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15019" w14:textId="6BEE0BD4" w:rsidR="00554C01" w:rsidRPr="00E47A79" w:rsidRDefault="00554C01" w:rsidP="00BC534D">
      <w:pPr>
        <w:spacing w:line="360" w:lineRule="auto"/>
        <w:jc w:val="left"/>
        <w:rPr>
          <w:rFonts w:ascii="Garamond" w:hAnsi="Garamond"/>
          <w:b/>
          <w:bCs/>
          <w:sz w:val="24"/>
          <w:szCs w:val="24"/>
        </w:rPr>
      </w:pPr>
    </w:p>
    <w:p w14:paraId="7CBA6BB1" w14:textId="52303040" w:rsidR="000511C5" w:rsidRPr="00E47A79" w:rsidRDefault="00BF1995" w:rsidP="00681D64">
      <w:pPr>
        <w:spacing w:line="360" w:lineRule="auto"/>
        <w:jc w:val="center"/>
        <w:rPr>
          <w:rFonts w:ascii="Garamond" w:hAnsi="Garamond"/>
          <w:b/>
          <w:bCs/>
          <w:sz w:val="28"/>
          <w:szCs w:val="28"/>
        </w:rPr>
      </w:pPr>
      <w:r w:rsidRPr="00E47A79">
        <w:rPr>
          <w:rFonts w:ascii="Garamond" w:hAnsi="Garamond"/>
          <w:b/>
          <w:bCs/>
          <w:sz w:val="28"/>
          <w:szCs w:val="28"/>
        </w:rPr>
        <w:t xml:space="preserve"> </w:t>
      </w:r>
      <w:r w:rsidR="000511C5" w:rsidRPr="00E47A79">
        <w:rPr>
          <w:rFonts w:ascii="Garamond" w:hAnsi="Garamond"/>
          <w:b/>
          <w:bCs/>
          <w:sz w:val="28"/>
          <w:szCs w:val="28"/>
        </w:rPr>
        <w:t xml:space="preserve">MEDICINAL CANNABIS PRESCRIBING: </w:t>
      </w:r>
    </w:p>
    <w:p w14:paraId="1DB490AB" w14:textId="687C1EE7" w:rsidR="00681D64" w:rsidRPr="00E47A79" w:rsidRDefault="000511C5" w:rsidP="00681D64">
      <w:pPr>
        <w:spacing w:line="360" w:lineRule="auto"/>
        <w:jc w:val="center"/>
        <w:rPr>
          <w:rFonts w:ascii="Garamond" w:hAnsi="Garamond"/>
          <w:b/>
          <w:bCs/>
          <w:sz w:val="28"/>
          <w:szCs w:val="28"/>
        </w:rPr>
      </w:pPr>
      <w:r w:rsidRPr="00E47A79">
        <w:rPr>
          <w:rFonts w:ascii="Garamond" w:hAnsi="Garamond"/>
          <w:b/>
          <w:bCs/>
          <w:sz w:val="28"/>
          <w:szCs w:val="28"/>
        </w:rPr>
        <w:t xml:space="preserve">A STUDY OF </w:t>
      </w:r>
      <w:r w:rsidR="00681D64" w:rsidRPr="00E47A79">
        <w:rPr>
          <w:rFonts w:ascii="Garamond" w:hAnsi="Garamond"/>
          <w:b/>
          <w:bCs/>
          <w:sz w:val="28"/>
          <w:szCs w:val="28"/>
        </w:rPr>
        <w:t xml:space="preserve">BOUNDARY WORK </w:t>
      </w:r>
      <w:r w:rsidRPr="00E47A79">
        <w:rPr>
          <w:rFonts w:ascii="Garamond" w:hAnsi="Garamond"/>
          <w:b/>
          <w:bCs/>
          <w:sz w:val="28"/>
          <w:szCs w:val="28"/>
        </w:rPr>
        <w:t xml:space="preserve">AND </w:t>
      </w:r>
      <w:r w:rsidR="003F2F5E" w:rsidRPr="00E47A79">
        <w:rPr>
          <w:rFonts w:ascii="Garamond" w:hAnsi="Garamond"/>
          <w:b/>
          <w:bCs/>
          <w:sz w:val="28"/>
          <w:szCs w:val="28"/>
        </w:rPr>
        <w:t xml:space="preserve">MEDICO-LEGAL </w:t>
      </w:r>
      <w:r w:rsidR="00681D64" w:rsidRPr="00E47A79">
        <w:rPr>
          <w:rFonts w:ascii="Garamond" w:hAnsi="Garamond"/>
          <w:b/>
          <w:bCs/>
          <w:sz w:val="28"/>
          <w:szCs w:val="28"/>
        </w:rPr>
        <w:t>RISK</w:t>
      </w:r>
      <w:r w:rsidR="00681D64" w:rsidRPr="00E47A79">
        <w:rPr>
          <w:rFonts w:ascii="Garamond" w:hAnsi="Garamond"/>
          <w:b/>
          <w:bCs/>
          <w:sz w:val="28"/>
          <w:szCs w:val="28"/>
          <w:vertAlign w:val="superscript"/>
        </w:rPr>
        <w:footnoteReference w:id="1"/>
      </w:r>
    </w:p>
    <w:p w14:paraId="59AB8DFA" w14:textId="77777777" w:rsidR="00C76313" w:rsidRDefault="00C76313" w:rsidP="00ED1C77">
      <w:pPr>
        <w:spacing w:line="360" w:lineRule="auto"/>
        <w:rPr>
          <w:rFonts w:ascii="Garamond" w:hAnsi="Garamond"/>
          <w:b/>
          <w:bCs/>
          <w:sz w:val="24"/>
          <w:szCs w:val="24"/>
        </w:rPr>
      </w:pPr>
    </w:p>
    <w:p w14:paraId="25729F17" w14:textId="77777777" w:rsidR="00C76313" w:rsidRPr="00ED1C77" w:rsidRDefault="00C76313" w:rsidP="00C76313">
      <w:pPr>
        <w:spacing w:line="360" w:lineRule="auto"/>
        <w:jc w:val="center"/>
        <w:rPr>
          <w:rFonts w:ascii="Garamond" w:hAnsi="Garamond"/>
          <w:b/>
          <w:bCs/>
          <w:sz w:val="28"/>
          <w:szCs w:val="28"/>
        </w:rPr>
      </w:pPr>
      <w:r w:rsidRPr="00ED1C77">
        <w:rPr>
          <w:rFonts w:ascii="Garamond" w:hAnsi="Garamond"/>
          <w:b/>
          <w:bCs/>
          <w:sz w:val="28"/>
          <w:szCs w:val="28"/>
        </w:rPr>
        <w:t>ABSTRACT</w:t>
      </w:r>
    </w:p>
    <w:p w14:paraId="394E0514" w14:textId="046BB6BA" w:rsidR="00C76313" w:rsidRPr="00ED1C77" w:rsidRDefault="00C76313" w:rsidP="00C76313">
      <w:pPr>
        <w:spacing w:line="360" w:lineRule="auto"/>
        <w:rPr>
          <w:rFonts w:ascii="Garamond" w:hAnsi="Garamond"/>
          <w:b/>
          <w:bCs/>
          <w:sz w:val="24"/>
          <w:szCs w:val="24"/>
        </w:rPr>
      </w:pPr>
      <w:r w:rsidRPr="0063560E">
        <w:rPr>
          <w:rFonts w:ascii="Garamond" w:hAnsi="Garamond"/>
          <w:sz w:val="24"/>
          <w:szCs w:val="24"/>
        </w:rPr>
        <w:t xml:space="preserve">In </w:t>
      </w:r>
      <w:proofErr w:type="gramStart"/>
      <w:r w:rsidRPr="0063560E">
        <w:rPr>
          <w:rFonts w:ascii="Garamond" w:hAnsi="Garamond"/>
          <w:sz w:val="24"/>
          <w:szCs w:val="24"/>
        </w:rPr>
        <w:t>November 2018</w:t>
      </w:r>
      <w:proofErr w:type="gramEnd"/>
      <w:r>
        <w:rPr>
          <w:rFonts w:ascii="Garamond" w:hAnsi="Garamond"/>
          <w:sz w:val="24"/>
          <w:szCs w:val="24"/>
        </w:rPr>
        <w:t xml:space="preserve"> </w:t>
      </w:r>
      <w:r w:rsidR="00C164B0">
        <w:rPr>
          <w:rFonts w:ascii="Garamond" w:hAnsi="Garamond"/>
          <w:sz w:val="24"/>
          <w:szCs w:val="24"/>
        </w:rPr>
        <w:t xml:space="preserve">the </w:t>
      </w:r>
      <w:r w:rsidRPr="0063560E">
        <w:rPr>
          <w:rFonts w:ascii="Garamond" w:hAnsi="Garamond"/>
          <w:sz w:val="24"/>
          <w:szCs w:val="24"/>
        </w:rPr>
        <w:t>prescription of ‘unlicensed’ cannabis</w:t>
      </w:r>
      <w:r w:rsidR="009C60BA">
        <w:rPr>
          <w:rFonts w:ascii="Garamond" w:hAnsi="Garamond"/>
          <w:sz w:val="24"/>
          <w:szCs w:val="24"/>
        </w:rPr>
        <w:t>-</w:t>
      </w:r>
      <w:r w:rsidRPr="0063560E">
        <w:rPr>
          <w:rFonts w:ascii="Garamond" w:hAnsi="Garamond"/>
          <w:sz w:val="24"/>
          <w:szCs w:val="24"/>
        </w:rPr>
        <w:t>based medicin</w:t>
      </w:r>
      <w:r>
        <w:rPr>
          <w:rFonts w:ascii="Garamond" w:hAnsi="Garamond"/>
          <w:sz w:val="24"/>
          <w:szCs w:val="24"/>
        </w:rPr>
        <w:t>es</w:t>
      </w:r>
      <w:r w:rsidRPr="0063560E">
        <w:rPr>
          <w:rFonts w:ascii="Garamond" w:hAnsi="Garamond"/>
          <w:sz w:val="24"/>
          <w:szCs w:val="24"/>
        </w:rPr>
        <w:t xml:space="preserve"> was legalised. This paper adopts a ‘boundary work’ analysis of the post reform guidance issued for doctors, revealing a discourse which frames the prescription of medicinal cannabis as a matter</w:t>
      </w:r>
      <w:r>
        <w:rPr>
          <w:rFonts w:ascii="Garamond" w:hAnsi="Garamond"/>
          <w:sz w:val="24"/>
          <w:szCs w:val="24"/>
        </w:rPr>
        <w:t xml:space="preserve"> </w:t>
      </w:r>
      <w:r w:rsidRPr="0063560E">
        <w:rPr>
          <w:rFonts w:ascii="Garamond" w:hAnsi="Garamond"/>
          <w:sz w:val="24"/>
          <w:szCs w:val="24"/>
        </w:rPr>
        <w:t xml:space="preserve">for clinical judgement, but </w:t>
      </w:r>
      <w:r>
        <w:rPr>
          <w:rFonts w:ascii="Garamond" w:hAnsi="Garamond"/>
          <w:sz w:val="24"/>
          <w:szCs w:val="24"/>
        </w:rPr>
        <w:t>also</w:t>
      </w:r>
      <w:r w:rsidRPr="0063560E">
        <w:rPr>
          <w:rFonts w:ascii="Garamond" w:hAnsi="Garamond"/>
          <w:sz w:val="24"/>
          <w:szCs w:val="24"/>
        </w:rPr>
        <w:t xml:space="preserve"> </w:t>
      </w:r>
      <w:r w:rsidR="00C164B0">
        <w:rPr>
          <w:rFonts w:ascii="Garamond" w:hAnsi="Garamond"/>
          <w:sz w:val="24"/>
          <w:szCs w:val="24"/>
        </w:rPr>
        <w:t xml:space="preserve">as </w:t>
      </w:r>
      <w:r w:rsidRPr="0063560E">
        <w:rPr>
          <w:rFonts w:ascii="Garamond" w:hAnsi="Garamond"/>
          <w:sz w:val="24"/>
          <w:szCs w:val="24"/>
        </w:rPr>
        <w:t xml:space="preserve">fraught with medico-legal hazard. </w:t>
      </w:r>
      <w:r>
        <w:rPr>
          <w:rFonts w:ascii="Garamond" w:hAnsi="Garamond"/>
          <w:sz w:val="24"/>
          <w:szCs w:val="24"/>
        </w:rPr>
        <w:t>M</w:t>
      </w:r>
      <w:r w:rsidRPr="0063560E">
        <w:rPr>
          <w:rFonts w:ascii="Garamond" w:hAnsi="Garamond"/>
          <w:sz w:val="24"/>
          <w:szCs w:val="24"/>
        </w:rPr>
        <w:t xml:space="preserve">aking visible the boundary work </w:t>
      </w:r>
      <w:r>
        <w:rPr>
          <w:rFonts w:ascii="Garamond" w:hAnsi="Garamond"/>
          <w:sz w:val="24"/>
          <w:szCs w:val="24"/>
        </w:rPr>
        <w:t xml:space="preserve">which </w:t>
      </w:r>
      <w:r w:rsidRPr="0063560E">
        <w:rPr>
          <w:rFonts w:ascii="Garamond" w:hAnsi="Garamond"/>
          <w:sz w:val="24"/>
          <w:szCs w:val="24"/>
        </w:rPr>
        <w:t>underscore</w:t>
      </w:r>
      <w:r>
        <w:rPr>
          <w:rFonts w:ascii="Garamond" w:hAnsi="Garamond"/>
          <w:sz w:val="24"/>
          <w:szCs w:val="24"/>
        </w:rPr>
        <w:t>s</w:t>
      </w:r>
      <w:r w:rsidRPr="0063560E">
        <w:rPr>
          <w:rFonts w:ascii="Garamond" w:hAnsi="Garamond"/>
          <w:sz w:val="24"/>
          <w:szCs w:val="24"/>
        </w:rPr>
        <w:t xml:space="preserve"> the messaging of medico-legal hazard, this paper </w:t>
      </w:r>
      <w:r>
        <w:rPr>
          <w:rFonts w:ascii="Garamond" w:hAnsi="Garamond"/>
          <w:sz w:val="24"/>
          <w:szCs w:val="24"/>
        </w:rPr>
        <w:t>highlights</w:t>
      </w:r>
      <w:r w:rsidRPr="0063560E">
        <w:rPr>
          <w:rFonts w:ascii="Garamond" w:hAnsi="Garamond"/>
          <w:sz w:val="24"/>
          <w:szCs w:val="24"/>
        </w:rPr>
        <w:t xml:space="preserve"> a triad of rhetorical devices comprising the ‘last resort’ principle, ‘personal responsibility’ and the randomised controlled trial as an exclusive measure of ‘safety and efficacy’. Having identified a </w:t>
      </w:r>
      <w:r w:rsidR="00C164B0">
        <w:rPr>
          <w:rFonts w:ascii="Garamond" w:hAnsi="Garamond"/>
          <w:sz w:val="24"/>
          <w:szCs w:val="24"/>
        </w:rPr>
        <w:t xml:space="preserve">pronounced signalling of </w:t>
      </w:r>
      <w:r w:rsidRPr="0063560E">
        <w:rPr>
          <w:rFonts w:ascii="Garamond" w:hAnsi="Garamond"/>
          <w:sz w:val="24"/>
          <w:szCs w:val="24"/>
        </w:rPr>
        <w:t xml:space="preserve">medico-legal risk which is likely to have a chilling effect on prescribing, the </w:t>
      </w:r>
      <w:r>
        <w:rPr>
          <w:rFonts w:ascii="Garamond" w:hAnsi="Garamond"/>
          <w:sz w:val="24"/>
          <w:szCs w:val="24"/>
        </w:rPr>
        <w:t>paper</w:t>
      </w:r>
      <w:r w:rsidRPr="0063560E">
        <w:rPr>
          <w:rFonts w:ascii="Garamond" w:hAnsi="Garamond"/>
          <w:sz w:val="24"/>
          <w:szCs w:val="24"/>
        </w:rPr>
        <w:t xml:space="preserve"> explores how the </w:t>
      </w:r>
      <w:proofErr w:type="spellStart"/>
      <w:r w:rsidRPr="0063560E">
        <w:rPr>
          <w:rFonts w:ascii="Garamond" w:hAnsi="Garamond"/>
          <w:i/>
          <w:iCs/>
          <w:sz w:val="24"/>
          <w:szCs w:val="24"/>
        </w:rPr>
        <w:t>Bolam</w:t>
      </w:r>
      <w:proofErr w:type="spellEnd"/>
      <w:r w:rsidRPr="0063560E">
        <w:rPr>
          <w:rFonts w:ascii="Garamond" w:hAnsi="Garamond"/>
          <w:i/>
          <w:iCs/>
          <w:sz w:val="24"/>
          <w:szCs w:val="24"/>
        </w:rPr>
        <w:t>-Bolitho</w:t>
      </w:r>
      <w:r w:rsidRPr="0063560E">
        <w:rPr>
          <w:rFonts w:ascii="Garamond" w:hAnsi="Garamond"/>
          <w:sz w:val="24"/>
          <w:szCs w:val="24"/>
        </w:rPr>
        <w:t xml:space="preserve"> formulation of the legal standard of care in negligence litigation might respond to this new domain of prescribing.  This paper concludes with observations about the compatibility of </w:t>
      </w:r>
      <w:r>
        <w:rPr>
          <w:rFonts w:ascii="Garamond" w:hAnsi="Garamond"/>
          <w:sz w:val="24"/>
          <w:szCs w:val="24"/>
        </w:rPr>
        <w:t xml:space="preserve">innovative </w:t>
      </w:r>
      <w:r w:rsidRPr="0063560E">
        <w:rPr>
          <w:rFonts w:ascii="Garamond" w:hAnsi="Garamond"/>
          <w:sz w:val="24"/>
          <w:szCs w:val="24"/>
        </w:rPr>
        <w:t xml:space="preserve">prescribing </w:t>
      </w:r>
      <w:r>
        <w:rPr>
          <w:rFonts w:ascii="Garamond" w:hAnsi="Garamond"/>
          <w:sz w:val="24"/>
          <w:szCs w:val="24"/>
        </w:rPr>
        <w:t xml:space="preserve">of </w:t>
      </w:r>
      <w:r w:rsidRPr="0063560E">
        <w:rPr>
          <w:rFonts w:ascii="Garamond" w:hAnsi="Garamond"/>
          <w:sz w:val="24"/>
          <w:szCs w:val="24"/>
        </w:rPr>
        <w:t xml:space="preserve">unlicensed </w:t>
      </w:r>
      <w:r>
        <w:rPr>
          <w:rFonts w:ascii="Garamond" w:hAnsi="Garamond"/>
          <w:sz w:val="24"/>
          <w:szCs w:val="24"/>
        </w:rPr>
        <w:t xml:space="preserve">cannabis </w:t>
      </w:r>
      <w:r w:rsidRPr="0063560E">
        <w:rPr>
          <w:rFonts w:ascii="Garamond" w:hAnsi="Garamond"/>
          <w:sz w:val="24"/>
          <w:szCs w:val="24"/>
        </w:rPr>
        <w:t>medicines with the standard of care in negligence law, notwithstanding the extreme caution inherent in the i</w:t>
      </w:r>
      <w:r w:rsidRPr="00ED1C77">
        <w:rPr>
          <w:rFonts w:ascii="Garamond" w:hAnsi="Garamond"/>
          <w:sz w:val="24"/>
          <w:szCs w:val="24"/>
        </w:rPr>
        <w:t>nterim prescribing guidance.</w:t>
      </w:r>
    </w:p>
    <w:p w14:paraId="0125B44D" w14:textId="736148D4" w:rsidR="00C76313" w:rsidRPr="00ED1C77" w:rsidRDefault="00C76313" w:rsidP="00C76313">
      <w:pPr>
        <w:rPr>
          <w:rFonts w:ascii="Garamond" w:hAnsi="Garamond"/>
          <w:sz w:val="24"/>
          <w:szCs w:val="24"/>
        </w:rPr>
      </w:pPr>
    </w:p>
    <w:p w14:paraId="7633EE0A" w14:textId="7966562B" w:rsidR="000F4F85" w:rsidRPr="00ED1C77" w:rsidRDefault="000F4F85" w:rsidP="00C76313">
      <w:pPr>
        <w:rPr>
          <w:rFonts w:ascii="Garamond" w:hAnsi="Garamond"/>
          <w:b/>
          <w:bCs/>
          <w:sz w:val="24"/>
          <w:szCs w:val="24"/>
        </w:rPr>
      </w:pPr>
      <w:r w:rsidRPr="00ED1C77">
        <w:rPr>
          <w:rFonts w:ascii="Garamond" w:hAnsi="Garamond"/>
          <w:b/>
          <w:bCs/>
          <w:sz w:val="24"/>
          <w:szCs w:val="24"/>
        </w:rPr>
        <w:t xml:space="preserve">Keywords </w:t>
      </w:r>
      <w:r w:rsidR="00796A73" w:rsidRPr="00ED1C77">
        <w:rPr>
          <w:rFonts w:ascii="Garamond" w:hAnsi="Garamond"/>
          <w:b/>
          <w:bCs/>
          <w:sz w:val="24"/>
          <w:szCs w:val="24"/>
        </w:rPr>
        <w:t>–</w:t>
      </w:r>
      <w:r w:rsidRPr="00ED1C77">
        <w:rPr>
          <w:rFonts w:ascii="Garamond" w:hAnsi="Garamond"/>
          <w:b/>
          <w:bCs/>
          <w:sz w:val="24"/>
          <w:szCs w:val="24"/>
        </w:rPr>
        <w:t xml:space="preserve"> </w:t>
      </w:r>
      <w:r w:rsidR="00796A73" w:rsidRPr="00ED1C77">
        <w:rPr>
          <w:rFonts w:ascii="Garamond" w:hAnsi="Garamond"/>
          <w:b/>
          <w:bCs/>
          <w:sz w:val="24"/>
          <w:szCs w:val="24"/>
        </w:rPr>
        <w:t xml:space="preserve">medicinal cannabis </w:t>
      </w:r>
      <w:r w:rsidR="00B733B5" w:rsidRPr="00ED1C77">
        <w:rPr>
          <w:rFonts w:ascii="Garamond" w:hAnsi="Garamond"/>
          <w:b/>
          <w:bCs/>
          <w:sz w:val="24"/>
          <w:szCs w:val="24"/>
        </w:rPr>
        <w:t>–</w:t>
      </w:r>
      <w:r w:rsidR="00796A73" w:rsidRPr="00ED1C77">
        <w:rPr>
          <w:rFonts w:ascii="Garamond" w:hAnsi="Garamond"/>
          <w:b/>
          <w:bCs/>
          <w:sz w:val="24"/>
          <w:szCs w:val="24"/>
        </w:rPr>
        <w:t xml:space="preserve"> </w:t>
      </w:r>
      <w:r w:rsidR="00B733B5" w:rsidRPr="00ED1C77">
        <w:rPr>
          <w:rFonts w:ascii="Garamond" w:hAnsi="Garamond"/>
          <w:b/>
          <w:bCs/>
          <w:sz w:val="24"/>
          <w:szCs w:val="24"/>
        </w:rPr>
        <w:t xml:space="preserve">prescribing – boundary work – </w:t>
      </w:r>
      <w:r w:rsidR="0055381D">
        <w:rPr>
          <w:rFonts w:ascii="Garamond" w:hAnsi="Garamond"/>
          <w:b/>
          <w:bCs/>
          <w:sz w:val="24"/>
          <w:szCs w:val="24"/>
        </w:rPr>
        <w:t>medical negligence -standard of care</w:t>
      </w:r>
    </w:p>
    <w:p w14:paraId="7BB1149E" w14:textId="5370EF2A" w:rsidR="00C164B0" w:rsidRPr="00ED1C77" w:rsidRDefault="00B733B5" w:rsidP="00C76313">
      <w:pPr>
        <w:rPr>
          <w:rFonts w:ascii="Garamond" w:hAnsi="Garamond"/>
          <w:b/>
          <w:bCs/>
          <w:sz w:val="24"/>
          <w:szCs w:val="24"/>
        </w:rPr>
      </w:pPr>
      <w:r w:rsidRPr="00ED1C77">
        <w:rPr>
          <w:rFonts w:ascii="Garamond" w:hAnsi="Garamond"/>
          <w:b/>
          <w:bCs/>
          <w:sz w:val="24"/>
          <w:szCs w:val="24"/>
        </w:rPr>
        <w:t>Author</w:t>
      </w:r>
    </w:p>
    <w:p w14:paraId="16AEEB34" w14:textId="52B14F82" w:rsidR="00B733B5" w:rsidRPr="00ED1C77" w:rsidRDefault="00B733B5" w:rsidP="00B733B5">
      <w:pPr>
        <w:spacing w:after="0" w:line="240" w:lineRule="auto"/>
        <w:rPr>
          <w:rFonts w:ascii="Garamond" w:hAnsi="Garamond"/>
          <w:b/>
          <w:bCs/>
          <w:sz w:val="24"/>
          <w:szCs w:val="24"/>
        </w:rPr>
      </w:pPr>
      <w:r w:rsidRPr="00ED1C77">
        <w:rPr>
          <w:rFonts w:ascii="Garamond" w:hAnsi="Garamond"/>
          <w:b/>
          <w:bCs/>
          <w:sz w:val="24"/>
          <w:szCs w:val="24"/>
        </w:rPr>
        <w:t>Paula Case</w:t>
      </w:r>
    </w:p>
    <w:p w14:paraId="7744067D" w14:textId="055621B7" w:rsidR="00B733B5" w:rsidRPr="00ED1C77" w:rsidRDefault="00B733B5" w:rsidP="00B733B5">
      <w:pPr>
        <w:spacing w:after="0" w:line="240" w:lineRule="auto"/>
        <w:rPr>
          <w:rFonts w:ascii="Garamond" w:hAnsi="Garamond"/>
          <w:b/>
          <w:bCs/>
          <w:sz w:val="24"/>
          <w:szCs w:val="24"/>
        </w:rPr>
      </w:pPr>
      <w:r w:rsidRPr="00ED1C77">
        <w:rPr>
          <w:rFonts w:ascii="Garamond" w:hAnsi="Garamond"/>
          <w:b/>
          <w:bCs/>
          <w:sz w:val="24"/>
          <w:szCs w:val="24"/>
        </w:rPr>
        <w:t>Corresponding Author</w:t>
      </w:r>
    </w:p>
    <w:p w14:paraId="34C11B58" w14:textId="77777777" w:rsidR="00A8660A" w:rsidRPr="00ED1C77" w:rsidRDefault="00A8660A" w:rsidP="00B733B5">
      <w:pPr>
        <w:spacing w:after="0" w:line="240" w:lineRule="auto"/>
        <w:rPr>
          <w:rFonts w:ascii="Garamond" w:hAnsi="Garamond"/>
          <w:sz w:val="24"/>
          <w:szCs w:val="24"/>
        </w:rPr>
      </w:pPr>
      <w:r w:rsidRPr="00ED1C77">
        <w:rPr>
          <w:rFonts w:ascii="Garamond" w:hAnsi="Garamond"/>
          <w:sz w:val="24"/>
          <w:szCs w:val="24"/>
        </w:rPr>
        <w:t>Senior Lecturer</w:t>
      </w:r>
    </w:p>
    <w:p w14:paraId="545811B7" w14:textId="7DE0D10F" w:rsidR="00B733B5" w:rsidRPr="00ED1C77" w:rsidRDefault="00B733B5" w:rsidP="00B733B5">
      <w:pPr>
        <w:spacing w:after="0" w:line="240" w:lineRule="auto"/>
        <w:rPr>
          <w:rFonts w:ascii="Garamond" w:hAnsi="Garamond"/>
          <w:sz w:val="24"/>
          <w:szCs w:val="24"/>
        </w:rPr>
      </w:pPr>
      <w:r w:rsidRPr="00ED1C77">
        <w:rPr>
          <w:rFonts w:ascii="Garamond" w:hAnsi="Garamond"/>
          <w:sz w:val="24"/>
          <w:szCs w:val="24"/>
        </w:rPr>
        <w:t>School of Law and Social Justice</w:t>
      </w:r>
    </w:p>
    <w:p w14:paraId="143A1B7D" w14:textId="7D9DAB19" w:rsidR="00B733B5" w:rsidRDefault="00B733B5" w:rsidP="00B733B5">
      <w:pPr>
        <w:spacing w:after="0" w:line="240" w:lineRule="auto"/>
        <w:rPr>
          <w:rFonts w:ascii="Garamond" w:hAnsi="Garamond"/>
          <w:sz w:val="24"/>
          <w:szCs w:val="24"/>
        </w:rPr>
      </w:pPr>
      <w:r w:rsidRPr="00ED1C77">
        <w:rPr>
          <w:rFonts w:ascii="Garamond" w:hAnsi="Garamond"/>
          <w:sz w:val="24"/>
          <w:szCs w:val="24"/>
        </w:rPr>
        <w:t xml:space="preserve">University of Liverpool </w:t>
      </w:r>
    </w:p>
    <w:p w14:paraId="24B9CF27" w14:textId="5D3A2FA3" w:rsidR="008937E5" w:rsidRPr="00ED1C77" w:rsidRDefault="008937E5" w:rsidP="00B733B5">
      <w:pPr>
        <w:spacing w:after="0" w:line="240" w:lineRule="auto"/>
        <w:rPr>
          <w:rFonts w:ascii="Garamond" w:hAnsi="Garamond"/>
          <w:sz w:val="24"/>
          <w:szCs w:val="24"/>
        </w:rPr>
      </w:pPr>
      <w:r>
        <w:rPr>
          <w:rFonts w:ascii="Garamond" w:hAnsi="Garamond"/>
          <w:sz w:val="24"/>
          <w:szCs w:val="24"/>
        </w:rPr>
        <w:t>Liverpool, UK</w:t>
      </w:r>
    </w:p>
    <w:p w14:paraId="56E1C282" w14:textId="77777777" w:rsidR="009C60BA" w:rsidRDefault="00CB6930" w:rsidP="00B733B5">
      <w:pPr>
        <w:spacing w:after="0" w:line="240" w:lineRule="auto"/>
        <w:rPr>
          <w:rFonts w:ascii="Garamond" w:hAnsi="Garamond"/>
          <w:sz w:val="24"/>
          <w:szCs w:val="24"/>
        </w:rPr>
      </w:pPr>
      <w:hyperlink r:id="rId8" w:history="1">
        <w:r w:rsidR="00A8660A" w:rsidRPr="00ED1C77">
          <w:rPr>
            <w:rStyle w:val="Hyperlink"/>
            <w:rFonts w:ascii="Garamond" w:hAnsi="Garamond"/>
            <w:sz w:val="24"/>
            <w:szCs w:val="24"/>
          </w:rPr>
          <w:t>paula.case@liv.ac.uk</w:t>
        </w:r>
      </w:hyperlink>
    </w:p>
    <w:p w14:paraId="646BCAE6" w14:textId="77777777" w:rsidR="009C60BA" w:rsidRDefault="009C60BA" w:rsidP="00B733B5">
      <w:pPr>
        <w:spacing w:after="0" w:line="240" w:lineRule="auto"/>
        <w:rPr>
          <w:rFonts w:ascii="Garamond" w:hAnsi="Garamond"/>
          <w:sz w:val="24"/>
          <w:szCs w:val="24"/>
        </w:rPr>
      </w:pPr>
    </w:p>
    <w:p w14:paraId="6173ECE3" w14:textId="77777777" w:rsidR="009C60BA" w:rsidRPr="009C60BA" w:rsidRDefault="009C60BA" w:rsidP="00B733B5">
      <w:pPr>
        <w:spacing w:after="0" w:line="240" w:lineRule="auto"/>
        <w:rPr>
          <w:rFonts w:ascii="Garamond" w:hAnsi="Garamond"/>
          <w:b/>
          <w:bCs/>
          <w:sz w:val="24"/>
          <w:szCs w:val="24"/>
        </w:rPr>
      </w:pPr>
      <w:r w:rsidRPr="009C60BA">
        <w:rPr>
          <w:rFonts w:ascii="Garamond" w:hAnsi="Garamond"/>
          <w:b/>
          <w:bCs/>
          <w:sz w:val="24"/>
          <w:szCs w:val="24"/>
        </w:rPr>
        <w:t xml:space="preserve">Acknowledgements </w:t>
      </w:r>
    </w:p>
    <w:p w14:paraId="71875A40" w14:textId="748027D5" w:rsidR="00A8660A" w:rsidRPr="007D1752" w:rsidRDefault="00A8660A" w:rsidP="00B733B5">
      <w:pPr>
        <w:spacing w:after="0" w:line="240" w:lineRule="auto"/>
        <w:rPr>
          <w:rFonts w:ascii="Garamond" w:hAnsi="Garamond"/>
          <w:sz w:val="24"/>
          <w:szCs w:val="24"/>
        </w:rPr>
      </w:pPr>
      <w:r w:rsidRPr="00ED1C77">
        <w:rPr>
          <w:rFonts w:ascii="Garamond" w:hAnsi="Garamond"/>
          <w:sz w:val="24"/>
          <w:szCs w:val="24"/>
        </w:rPr>
        <w:lastRenderedPageBreak/>
        <w:t xml:space="preserve">I would </w:t>
      </w:r>
      <w:r w:rsidRPr="007D1752">
        <w:rPr>
          <w:rFonts w:ascii="Garamond" w:hAnsi="Garamond"/>
          <w:sz w:val="24"/>
          <w:szCs w:val="24"/>
        </w:rPr>
        <w:t>like to thank the two anonymous reviewers</w:t>
      </w:r>
      <w:r w:rsidR="00D64738">
        <w:rPr>
          <w:rFonts w:ascii="Garamond" w:hAnsi="Garamond"/>
          <w:sz w:val="24"/>
          <w:szCs w:val="24"/>
        </w:rPr>
        <w:t xml:space="preserve"> </w:t>
      </w:r>
      <w:r w:rsidR="0055381D">
        <w:rPr>
          <w:rFonts w:ascii="Garamond" w:hAnsi="Garamond"/>
          <w:sz w:val="24"/>
          <w:szCs w:val="24"/>
        </w:rPr>
        <w:t xml:space="preserve">and colleagues at Liverpool </w:t>
      </w:r>
      <w:r w:rsidR="00675493" w:rsidRPr="007D1752">
        <w:rPr>
          <w:rFonts w:ascii="Garamond" w:hAnsi="Garamond"/>
          <w:sz w:val="24"/>
          <w:szCs w:val="24"/>
        </w:rPr>
        <w:t xml:space="preserve">for their extremely helpful comments which have </w:t>
      </w:r>
      <w:r w:rsidR="00D64738">
        <w:rPr>
          <w:rFonts w:ascii="Garamond" w:hAnsi="Garamond"/>
          <w:sz w:val="24"/>
          <w:szCs w:val="24"/>
        </w:rPr>
        <w:t xml:space="preserve">undoubtedly </w:t>
      </w:r>
      <w:r w:rsidR="00675493" w:rsidRPr="007D1752">
        <w:rPr>
          <w:rFonts w:ascii="Garamond" w:hAnsi="Garamond"/>
          <w:sz w:val="24"/>
          <w:szCs w:val="24"/>
        </w:rPr>
        <w:t>strengthen</w:t>
      </w:r>
      <w:r w:rsidR="00D64738">
        <w:rPr>
          <w:rFonts w:ascii="Garamond" w:hAnsi="Garamond"/>
          <w:sz w:val="24"/>
          <w:szCs w:val="24"/>
        </w:rPr>
        <w:t>ed</w:t>
      </w:r>
      <w:r w:rsidR="00675493" w:rsidRPr="007D1752">
        <w:rPr>
          <w:rFonts w:ascii="Garamond" w:hAnsi="Garamond"/>
          <w:sz w:val="24"/>
          <w:szCs w:val="24"/>
        </w:rPr>
        <w:t xml:space="preserve"> th</w:t>
      </w:r>
      <w:r w:rsidR="00D64738">
        <w:rPr>
          <w:rFonts w:ascii="Garamond" w:hAnsi="Garamond"/>
          <w:sz w:val="24"/>
          <w:szCs w:val="24"/>
        </w:rPr>
        <w:t>is</w:t>
      </w:r>
      <w:r w:rsidR="00675493" w:rsidRPr="007D1752">
        <w:rPr>
          <w:rFonts w:ascii="Garamond" w:hAnsi="Garamond"/>
          <w:sz w:val="24"/>
          <w:szCs w:val="24"/>
        </w:rPr>
        <w:t xml:space="preserve"> paper. </w:t>
      </w:r>
      <w:r w:rsidR="009C60BA">
        <w:rPr>
          <w:rFonts w:ascii="Garamond" w:hAnsi="Garamond"/>
          <w:sz w:val="24"/>
          <w:szCs w:val="24"/>
        </w:rPr>
        <w:t>U</w:t>
      </w:r>
      <w:r w:rsidR="009C60BA" w:rsidRPr="007D1752">
        <w:rPr>
          <w:rFonts w:ascii="Garamond" w:hAnsi="Garamond"/>
          <w:sz w:val="24"/>
          <w:szCs w:val="24"/>
        </w:rPr>
        <w:t>nless otherwise stated</w:t>
      </w:r>
      <w:r w:rsidR="009C60BA">
        <w:rPr>
          <w:rFonts w:ascii="Garamond" w:hAnsi="Garamond"/>
          <w:sz w:val="24"/>
          <w:szCs w:val="24"/>
        </w:rPr>
        <w:t>,</w:t>
      </w:r>
      <w:r w:rsidR="009C60BA" w:rsidRPr="007D1752">
        <w:rPr>
          <w:rFonts w:ascii="Garamond" w:hAnsi="Garamond"/>
          <w:sz w:val="24"/>
          <w:szCs w:val="24"/>
        </w:rPr>
        <w:t xml:space="preserve"> </w:t>
      </w:r>
      <w:r w:rsidR="009C60BA">
        <w:rPr>
          <w:rFonts w:ascii="Garamond" w:hAnsi="Garamond"/>
          <w:sz w:val="24"/>
          <w:szCs w:val="24"/>
        </w:rPr>
        <w:t>a</w:t>
      </w:r>
      <w:r w:rsidR="00675493" w:rsidRPr="007D1752">
        <w:rPr>
          <w:rFonts w:ascii="Garamond" w:hAnsi="Garamond"/>
          <w:sz w:val="24"/>
          <w:szCs w:val="24"/>
        </w:rPr>
        <w:t>ll URLs were last accessed on April 16</w:t>
      </w:r>
      <w:r w:rsidR="00675493" w:rsidRPr="007D1752">
        <w:rPr>
          <w:rFonts w:ascii="Garamond" w:hAnsi="Garamond"/>
          <w:sz w:val="24"/>
          <w:szCs w:val="24"/>
          <w:vertAlign w:val="superscript"/>
        </w:rPr>
        <w:t>th</w:t>
      </w:r>
      <w:proofErr w:type="gramStart"/>
      <w:r w:rsidR="00675493" w:rsidRPr="007D1752">
        <w:rPr>
          <w:rFonts w:ascii="Garamond" w:hAnsi="Garamond"/>
          <w:sz w:val="24"/>
          <w:szCs w:val="24"/>
        </w:rPr>
        <w:t xml:space="preserve"> 2021</w:t>
      </w:r>
      <w:proofErr w:type="gramEnd"/>
      <w:r w:rsidR="00675493" w:rsidRPr="007D1752">
        <w:rPr>
          <w:rFonts w:ascii="Garamond" w:hAnsi="Garamond"/>
          <w:sz w:val="24"/>
          <w:szCs w:val="24"/>
        </w:rPr>
        <w:t xml:space="preserve">. </w:t>
      </w:r>
    </w:p>
    <w:p w14:paraId="4DA3969E" w14:textId="77777777" w:rsidR="00ED1C77" w:rsidRPr="00B733B5" w:rsidRDefault="00ED1C77" w:rsidP="00B733B5">
      <w:pPr>
        <w:spacing w:after="0" w:line="240" w:lineRule="auto"/>
      </w:pPr>
    </w:p>
    <w:p w14:paraId="5CDE5D3B" w14:textId="77777777" w:rsidR="00C76313" w:rsidRPr="00E47A79" w:rsidRDefault="00C76313" w:rsidP="00A601B9">
      <w:pPr>
        <w:spacing w:line="360" w:lineRule="auto"/>
        <w:jc w:val="center"/>
        <w:rPr>
          <w:rFonts w:ascii="Garamond" w:hAnsi="Garamond"/>
          <w:b/>
          <w:bCs/>
          <w:sz w:val="24"/>
          <w:szCs w:val="24"/>
        </w:rPr>
      </w:pPr>
    </w:p>
    <w:p w14:paraId="00EA7A09" w14:textId="56BE3489" w:rsidR="00AE1D49" w:rsidRPr="00E47A79" w:rsidRDefault="006B7375" w:rsidP="00A601B9">
      <w:pPr>
        <w:spacing w:line="360" w:lineRule="auto"/>
        <w:jc w:val="center"/>
        <w:rPr>
          <w:rFonts w:ascii="Garamond" w:hAnsi="Garamond"/>
          <w:b/>
          <w:bCs/>
          <w:sz w:val="24"/>
          <w:szCs w:val="24"/>
        </w:rPr>
      </w:pPr>
      <w:r w:rsidRPr="00E47A79">
        <w:rPr>
          <w:rFonts w:ascii="Garamond" w:hAnsi="Garamond"/>
          <w:b/>
          <w:bCs/>
          <w:sz w:val="24"/>
          <w:szCs w:val="24"/>
        </w:rPr>
        <w:t>INTRODUCTION</w:t>
      </w:r>
    </w:p>
    <w:p w14:paraId="08CA85D6" w14:textId="27B101B6" w:rsidR="005B03EE" w:rsidRPr="00E47A79" w:rsidRDefault="0031074D" w:rsidP="00A601B9">
      <w:pPr>
        <w:spacing w:line="360" w:lineRule="auto"/>
        <w:rPr>
          <w:rFonts w:ascii="Garamond" w:hAnsi="Garamond"/>
          <w:sz w:val="24"/>
          <w:szCs w:val="24"/>
        </w:rPr>
      </w:pPr>
      <w:r w:rsidRPr="00E47A79">
        <w:rPr>
          <w:rFonts w:ascii="Garamond" w:hAnsi="Garamond"/>
          <w:sz w:val="24"/>
          <w:szCs w:val="24"/>
        </w:rPr>
        <w:t>In 2018 the prescription of unlicensed medicinal cannabis products was legalised</w:t>
      </w:r>
      <w:r w:rsidR="00864C39" w:rsidRPr="00E47A79">
        <w:rPr>
          <w:rFonts w:ascii="Garamond" w:hAnsi="Garamond"/>
          <w:sz w:val="24"/>
          <w:szCs w:val="24"/>
        </w:rPr>
        <w:t xml:space="preserve"> in the United Kingdom</w:t>
      </w:r>
      <w:r w:rsidR="001B6895" w:rsidRPr="00E47A79">
        <w:rPr>
          <w:rFonts w:ascii="Garamond" w:hAnsi="Garamond"/>
          <w:sz w:val="24"/>
          <w:szCs w:val="24"/>
        </w:rPr>
        <w:t xml:space="preserve">, largely as a result of activism by </w:t>
      </w:r>
      <w:r w:rsidR="00623656" w:rsidRPr="00E47A79">
        <w:rPr>
          <w:rFonts w:ascii="Garamond" w:hAnsi="Garamond"/>
          <w:sz w:val="24"/>
          <w:szCs w:val="24"/>
        </w:rPr>
        <w:t xml:space="preserve">those caring for </w:t>
      </w:r>
      <w:r w:rsidR="001B6895" w:rsidRPr="00E47A79">
        <w:rPr>
          <w:rFonts w:ascii="Garamond" w:hAnsi="Garamond"/>
          <w:sz w:val="24"/>
          <w:szCs w:val="24"/>
        </w:rPr>
        <w:t xml:space="preserve">children with rare </w:t>
      </w:r>
      <w:r w:rsidR="00865380" w:rsidRPr="00E47A79">
        <w:rPr>
          <w:rFonts w:ascii="Garamond" w:hAnsi="Garamond"/>
          <w:sz w:val="24"/>
          <w:szCs w:val="24"/>
        </w:rPr>
        <w:t xml:space="preserve">and intractable </w:t>
      </w:r>
      <w:r w:rsidR="001B6895" w:rsidRPr="00E47A79">
        <w:rPr>
          <w:rFonts w:ascii="Garamond" w:hAnsi="Garamond"/>
          <w:sz w:val="24"/>
          <w:szCs w:val="24"/>
        </w:rPr>
        <w:t>epilepsies</w:t>
      </w:r>
      <w:r w:rsidR="00402954" w:rsidRPr="00E47A79">
        <w:rPr>
          <w:rFonts w:ascii="Garamond" w:hAnsi="Garamond"/>
          <w:sz w:val="24"/>
          <w:szCs w:val="24"/>
        </w:rPr>
        <w:t>.</w:t>
      </w:r>
      <w:r w:rsidR="00D7301F" w:rsidRPr="00E47A79">
        <w:rPr>
          <w:rStyle w:val="FootnoteReference"/>
          <w:rFonts w:ascii="Garamond" w:hAnsi="Garamond"/>
          <w:sz w:val="24"/>
          <w:szCs w:val="24"/>
        </w:rPr>
        <w:footnoteReference w:id="2"/>
      </w:r>
      <w:r w:rsidR="00D175C6" w:rsidRPr="00E47A79">
        <w:rPr>
          <w:rFonts w:ascii="Garamond" w:hAnsi="Garamond"/>
          <w:sz w:val="24"/>
          <w:szCs w:val="24"/>
        </w:rPr>
        <w:t xml:space="preserve"> </w:t>
      </w:r>
      <w:r w:rsidR="00402954" w:rsidRPr="00E47A79">
        <w:rPr>
          <w:rFonts w:ascii="Garamond" w:hAnsi="Garamond"/>
          <w:sz w:val="24"/>
          <w:szCs w:val="24"/>
        </w:rPr>
        <w:t xml:space="preserve">These </w:t>
      </w:r>
      <w:r w:rsidR="00D175C6" w:rsidRPr="00E47A79">
        <w:rPr>
          <w:rFonts w:ascii="Garamond" w:hAnsi="Garamond"/>
          <w:sz w:val="24"/>
          <w:szCs w:val="24"/>
        </w:rPr>
        <w:t>conditions</w:t>
      </w:r>
      <w:r w:rsidR="006B7619" w:rsidRPr="00E47A79">
        <w:rPr>
          <w:rFonts w:ascii="Garamond" w:hAnsi="Garamond"/>
          <w:sz w:val="24"/>
          <w:szCs w:val="24"/>
        </w:rPr>
        <w:t xml:space="preserve"> </w:t>
      </w:r>
      <w:r w:rsidR="00EE0332" w:rsidRPr="00E47A79">
        <w:rPr>
          <w:rFonts w:ascii="Garamond" w:hAnsi="Garamond"/>
          <w:sz w:val="24"/>
          <w:szCs w:val="24"/>
        </w:rPr>
        <w:t xml:space="preserve">can </w:t>
      </w:r>
      <w:r w:rsidR="006B7619" w:rsidRPr="00E47A79">
        <w:rPr>
          <w:rFonts w:ascii="Garamond" w:hAnsi="Garamond"/>
          <w:sz w:val="24"/>
          <w:szCs w:val="24"/>
        </w:rPr>
        <w:t>caus</w:t>
      </w:r>
      <w:r w:rsidR="00402954" w:rsidRPr="00E47A79">
        <w:rPr>
          <w:rFonts w:ascii="Garamond" w:hAnsi="Garamond"/>
          <w:sz w:val="24"/>
          <w:szCs w:val="24"/>
        </w:rPr>
        <w:t>e</w:t>
      </w:r>
      <w:r w:rsidR="006B7619" w:rsidRPr="00E47A79">
        <w:rPr>
          <w:rFonts w:ascii="Garamond" w:hAnsi="Garamond"/>
          <w:sz w:val="24"/>
          <w:szCs w:val="24"/>
        </w:rPr>
        <w:t xml:space="preserve"> over </w:t>
      </w:r>
      <w:r w:rsidR="00B309A3" w:rsidRPr="00E47A79">
        <w:rPr>
          <w:rFonts w:ascii="Garamond" w:hAnsi="Garamond"/>
          <w:sz w:val="24"/>
          <w:szCs w:val="24"/>
        </w:rPr>
        <w:t>a</w:t>
      </w:r>
      <w:r w:rsidR="006B7619" w:rsidRPr="00E47A79">
        <w:rPr>
          <w:rFonts w:ascii="Garamond" w:hAnsi="Garamond"/>
          <w:sz w:val="24"/>
          <w:szCs w:val="24"/>
        </w:rPr>
        <w:t xml:space="preserve"> hundred seizures a day</w:t>
      </w:r>
      <w:r w:rsidR="006B7619" w:rsidRPr="00E47A79">
        <w:rPr>
          <w:rFonts w:ascii="Garamond" w:hAnsi="Garamond"/>
          <w:sz w:val="24"/>
          <w:szCs w:val="24"/>
          <w:vertAlign w:val="superscript"/>
        </w:rPr>
        <w:footnoteReference w:id="3"/>
      </w:r>
      <w:r w:rsidR="006B7619" w:rsidRPr="00E47A79">
        <w:rPr>
          <w:rFonts w:ascii="Garamond" w:hAnsi="Garamond"/>
          <w:sz w:val="24"/>
          <w:szCs w:val="24"/>
        </w:rPr>
        <w:t xml:space="preserve"> and hav</w:t>
      </w:r>
      <w:r w:rsidR="00EE0332" w:rsidRPr="00E47A79">
        <w:rPr>
          <w:rFonts w:ascii="Garamond" w:hAnsi="Garamond"/>
          <w:sz w:val="24"/>
          <w:szCs w:val="24"/>
        </w:rPr>
        <w:t>e</w:t>
      </w:r>
      <w:r w:rsidR="006B7619" w:rsidRPr="00E47A79">
        <w:rPr>
          <w:rFonts w:ascii="Garamond" w:hAnsi="Garamond"/>
          <w:sz w:val="24"/>
          <w:szCs w:val="24"/>
        </w:rPr>
        <w:t xml:space="preserve"> a significant mortality rate.</w:t>
      </w:r>
      <w:r w:rsidR="006B7619" w:rsidRPr="00E47A79">
        <w:rPr>
          <w:rFonts w:ascii="Garamond" w:hAnsi="Garamond"/>
          <w:sz w:val="24"/>
          <w:szCs w:val="24"/>
          <w:vertAlign w:val="superscript"/>
        </w:rPr>
        <w:footnoteReference w:id="4"/>
      </w:r>
      <w:r w:rsidR="001B6895" w:rsidRPr="00E47A79">
        <w:rPr>
          <w:rFonts w:ascii="Garamond" w:hAnsi="Garamond"/>
          <w:sz w:val="24"/>
          <w:szCs w:val="24"/>
        </w:rPr>
        <w:t xml:space="preserve"> Cannabis had </w:t>
      </w:r>
      <w:r w:rsidR="00B23C7D" w:rsidRPr="00E47A79">
        <w:rPr>
          <w:rFonts w:ascii="Garamond" w:hAnsi="Garamond"/>
          <w:sz w:val="24"/>
          <w:szCs w:val="24"/>
        </w:rPr>
        <w:t xml:space="preserve">substantially </w:t>
      </w:r>
      <w:r w:rsidR="001B6895" w:rsidRPr="00E47A79">
        <w:rPr>
          <w:rFonts w:ascii="Garamond" w:hAnsi="Garamond"/>
          <w:sz w:val="24"/>
          <w:szCs w:val="24"/>
        </w:rPr>
        <w:t>improved the quality of life</w:t>
      </w:r>
      <w:r w:rsidR="006428F6" w:rsidRPr="00E47A79">
        <w:rPr>
          <w:rFonts w:ascii="Garamond" w:hAnsi="Garamond"/>
          <w:sz w:val="24"/>
          <w:szCs w:val="24"/>
        </w:rPr>
        <w:t xml:space="preserve"> of a number of these children</w:t>
      </w:r>
      <w:r w:rsidR="00B23C7D" w:rsidRPr="00E47A79">
        <w:rPr>
          <w:rFonts w:ascii="Garamond" w:hAnsi="Garamond"/>
          <w:sz w:val="24"/>
          <w:szCs w:val="24"/>
        </w:rPr>
        <w:t xml:space="preserve"> </w:t>
      </w:r>
      <w:r w:rsidR="00FD6F61" w:rsidRPr="00E47A79">
        <w:rPr>
          <w:rFonts w:ascii="Garamond" w:hAnsi="Garamond"/>
          <w:sz w:val="24"/>
          <w:szCs w:val="24"/>
        </w:rPr>
        <w:t>(</w:t>
      </w:r>
      <w:r w:rsidR="00B23C7D" w:rsidRPr="00E47A79">
        <w:rPr>
          <w:rFonts w:ascii="Garamond" w:hAnsi="Garamond"/>
          <w:sz w:val="24"/>
          <w:szCs w:val="24"/>
        </w:rPr>
        <w:t>and their families</w:t>
      </w:r>
      <w:r w:rsidR="00FD6F61" w:rsidRPr="00E47A79">
        <w:rPr>
          <w:rFonts w:ascii="Garamond" w:hAnsi="Garamond"/>
          <w:sz w:val="24"/>
          <w:szCs w:val="24"/>
        </w:rPr>
        <w:t>)</w:t>
      </w:r>
      <w:r w:rsidR="001B6895" w:rsidRPr="00E47A79">
        <w:rPr>
          <w:rFonts w:ascii="Garamond" w:hAnsi="Garamond"/>
          <w:sz w:val="24"/>
          <w:szCs w:val="24"/>
        </w:rPr>
        <w:t xml:space="preserve">, including </w:t>
      </w:r>
      <w:r w:rsidR="006428F6" w:rsidRPr="00E47A79">
        <w:rPr>
          <w:rFonts w:ascii="Garamond" w:hAnsi="Garamond"/>
          <w:sz w:val="24"/>
          <w:szCs w:val="24"/>
        </w:rPr>
        <w:t>by</w:t>
      </w:r>
      <w:r w:rsidR="001B6895" w:rsidRPr="00E47A79">
        <w:rPr>
          <w:rFonts w:ascii="Garamond" w:hAnsi="Garamond"/>
          <w:sz w:val="24"/>
          <w:szCs w:val="24"/>
        </w:rPr>
        <w:t xml:space="preserve"> </w:t>
      </w:r>
      <w:r w:rsidR="00B23C7D" w:rsidRPr="00E47A79">
        <w:rPr>
          <w:rFonts w:ascii="Garamond" w:hAnsi="Garamond"/>
          <w:sz w:val="24"/>
          <w:szCs w:val="24"/>
        </w:rPr>
        <w:t xml:space="preserve">dramatically </w:t>
      </w:r>
      <w:r w:rsidR="001B6895" w:rsidRPr="00E47A79">
        <w:rPr>
          <w:rFonts w:ascii="Garamond" w:hAnsi="Garamond"/>
          <w:sz w:val="24"/>
          <w:szCs w:val="24"/>
        </w:rPr>
        <w:t>decreas</w:t>
      </w:r>
      <w:r w:rsidR="006428F6" w:rsidRPr="00E47A79">
        <w:rPr>
          <w:rFonts w:ascii="Garamond" w:hAnsi="Garamond"/>
          <w:sz w:val="24"/>
          <w:szCs w:val="24"/>
        </w:rPr>
        <w:t>ing</w:t>
      </w:r>
      <w:r w:rsidR="001B6895" w:rsidRPr="00E47A79">
        <w:rPr>
          <w:rFonts w:ascii="Garamond" w:hAnsi="Garamond"/>
          <w:sz w:val="24"/>
          <w:szCs w:val="24"/>
        </w:rPr>
        <w:t xml:space="preserve"> the number and severity of</w:t>
      </w:r>
      <w:r w:rsidR="006428F6" w:rsidRPr="00E47A79">
        <w:rPr>
          <w:rFonts w:ascii="Garamond" w:hAnsi="Garamond"/>
          <w:sz w:val="24"/>
          <w:szCs w:val="24"/>
        </w:rPr>
        <w:t xml:space="preserve"> </w:t>
      </w:r>
      <w:r w:rsidR="001B6895" w:rsidRPr="00E47A79">
        <w:rPr>
          <w:rFonts w:ascii="Garamond" w:hAnsi="Garamond"/>
          <w:sz w:val="24"/>
          <w:szCs w:val="24"/>
        </w:rPr>
        <w:t>seizures, reduc</w:t>
      </w:r>
      <w:r w:rsidR="00D175C6" w:rsidRPr="00E47A79">
        <w:rPr>
          <w:rFonts w:ascii="Garamond" w:hAnsi="Garamond"/>
          <w:sz w:val="24"/>
          <w:szCs w:val="24"/>
        </w:rPr>
        <w:t>ing the</w:t>
      </w:r>
      <w:r w:rsidR="001B6895" w:rsidRPr="00E47A79">
        <w:rPr>
          <w:rFonts w:ascii="Garamond" w:hAnsi="Garamond"/>
          <w:sz w:val="24"/>
          <w:szCs w:val="24"/>
        </w:rPr>
        <w:t xml:space="preserve"> </w:t>
      </w:r>
      <w:r w:rsidR="00B23C7D" w:rsidRPr="00E47A79">
        <w:rPr>
          <w:rFonts w:ascii="Garamond" w:hAnsi="Garamond"/>
          <w:sz w:val="24"/>
          <w:szCs w:val="24"/>
        </w:rPr>
        <w:t xml:space="preserve">frequency of </w:t>
      </w:r>
      <w:r w:rsidR="001B6895" w:rsidRPr="00E47A79">
        <w:rPr>
          <w:rFonts w:ascii="Garamond" w:hAnsi="Garamond"/>
          <w:sz w:val="24"/>
          <w:szCs w:val="24"/>
        </w:rPr>
        <w:t xml:space="preserve">hospitalisation and even </w:t>
      </w:r>
      <w:r w:rsidR="006428F6" w:rsidRPr="00E47A79">
        <w:rPr>
          <w:rFonts w:ascii="Garamond" w:hAnsi="Garamond"/>
          <w:sz w:val="24"/>
          <w:szCs w:val="24"/>
        </w:rPr>
        <w:t>enabling the</w:t>
      </w:r>
      <w:r w:rsidR="00A00AFD" w:rsidRPr="00E47A79">
        <w:rPr>
          <w:rFonts w:ascii="Garamond" w:hAnsi="Garamond"/>
          <w:sz w:val="24"/>
          <w:szCs w:val="24"/>
        </w:rPr>
        <w:t>ir</w:t>
      </w:r>
      <w:r w:rsidR="00B23C7D" w:rsidRPr="00E47A79">
        <w:rPr>
          <w:rFonts w:ascii="Garamond" w:hAnsi="Garamond"/>
          <w:sz w:val="24"/>
          <w:szCs w:val="24"/>
        </w:rPr>
        <w:t xml:space="preserve"> children</w:t>
      </w:r>
      <w:r w:rsidR="001B6895" w:rsidRPr="00E47A79">
        <w:rPr>
          <w:rFonts w:ascii="Garamond" w:hAnsi="Garamond"/>
          <w:sz w:val="24"/>
          <w:szCs w:val="24"/>
        </w:rPr>
        <w:t xml:space="preserve"> to start school</w:t>
      </w:r>
      <w:r w:rsidR="001B6895" w:rsidRPr="00E47A79">
        <w:rPr>
          <w:rStyle w:val="FootnoteReference"/>
          <w:rFonts w:ascii="Garamond" w:hAnsi="Garamond"/>
          <w:sz w:val="24"/>
          <w:szCs w:val="24"/>
        </w:rPr>
        <w:footnoteReference w:id="5"/>
      </w:r>
      <w:r w:rsidR="001B6895" w:rsidRPr="00E47A79">
        <w:rPr>
          <w:rFonts w:ascii="Garamond" w:hAnsi="Garamond"/>
          <w:sz w:val="24"/>
          <w:szCs w:val="24"/>
        </w:rPr>
        <w:t xml:space="preserve">. </w:t>
      </w:r>
      <w:r w:rsidR="00457F59" w:rsidRPr="00E47A79">
        <w:rPr>
          <w:rFonts w:ascii="Garamond" w:hAnsi="Garamond"/>
          <w:sz w:val="24"/>
          <w:szCs w:val="24"/>
        </w:rPr>
        <w:t>The reform</w:t>
      </w:r>
      <w:r w:rsidR="00623656" w:rsidRPr="00E47A79">
        <w:rPr>
          <w:rFonts w:ascii="Garamond" w:hAnsi="Garamond"/>
          <w:sz w:val="24"/>
          <w:szCs w:val="24"/>
        </w:rPr>
        <w:t>s</w:t>
      </w:r>
      <w:r w:rsidR="00457F59" w:rsidRPr="00E47A79">
        <w:rPr>
          <w:rFonts w:ascii="Garamond" w:hAnsi="Garamond"/>
          <w:sz w:val="24"/>
          <w:szCs w:val="24"/>
        </w:rPr>
        <w:t xml:space="preserve"> </w:t>
      </w:r>
      <w:r w:rsidR="00623656" w:rsidRPr="00E47A79">
        <w:rPr>
          <w:rFonts w:ascii="Garamond" w:hAnsi="Garamond"/>
          <w:sz w:val="24"/>
          <w:szCs w:val="24"/>
        </w:rPr>
        <w:t>were</w:t>
      </w:r>
      <w:r w:rsidR="00457F59" w:rsidRPr="00E47A79">
        <w:rPr>
          <w:rFonts w:ascii="Garamond" w:hAnsi="Garamond"/>
          <w:sz w:val="24"/>
          <w:szCs w:val="24"/>
        </w:rPr>
        <w:t xml:space="preserve"> </w:t>
      </w:r>
      <w:proofErr w:type="gramStart"/>
      <w:r w:rsidR="00457F59" w:rsidRPr="00E47A79">
        <w:rPr>
          <w:rFonts w:ascii="Garamond" w:hAnsi="Garamond"/>
          <w:sz w:val="24"/>
          <w:szCs w:val="24"/>
        </w:rPr>
        <w:t>effected</w:t>
      </w:r>
      <w:proofErr w:type="gramEnd"/>
      <w:r w:rsidR="00457F59" w:rsidRPr="00E47A79">
        <w:rPr>
          <w:rFonts w:ascii="Garamond" w:hAnsi="Garamond"/>
          <w:sz w:val="24"/>
          <w:szCs w:val="24"/>
        </w:rPr>
        <w:t xml:space="preserve"> by</w:t>
      </w:r>
      <w:r w:rsidR="00A44E25" w:rsidRPr="00E47A79">
        <w:rPr>
          <w:rFonts w:ascii="Garamond" w:hAnsi="Garamond"/>
          <w:sz w:val="24"/>
          <w:szCs w:val="24"/>
        </w:rPr>
        <w:t xml:space="preserve"> </w:t>
      </w:r>
      <w:r w:rsidR="00457F59" w:rsidRPr="00E47A79">
        <w:rPr>
          <w:rFonts w:ascii="Garamond" w:hAnsi="Garamond"/>
          <w:sz w:val="24"/>
          <w:szCs w:val="24"/>
        </w:rPr>
        <w:t xml:space="preserve">‘rescheduling’ cannabis based medicinal products </w:t>
      </w:r>
      <w:r w:rsidR="00E9203A" w:rsidRPr="00E47A79">
        <w:rPr>
          <w:rFonts w:ascii="Garamond" w:hAnsi="Garamond"/>
          <w:sz w:val="24"/>
          <w:szCs w:val="24"/>
        </w:rPr>
        <w:t xml:space="preserve">(CBMPs) </w:t>
      </w:r>
      <w:r w:rsidR="00457F59" w:rsidRPr="00E47A79">
        <w:rPr>
          <w:rFonts w:ascii="Garamond" w:hAnsi="Garamond"/>
          <w:sz w:val="24"/>
          <w:szCs w:val="24"/>
        </w:rPr>
        <w:t>under the Misuse of Drugs Regulations 2001</w:t>
      </w:r>
      <w:r w:rsidR="00457F59" w:rsidRPr="00E47A79">
        <w:rPr>
          <w:rFonts w:ascii="Garamond" w:hAnsi="Garamond"/>
          <w:sz w:val="24"/>
          <w:szCs w:val="24"/>
          <w:vertAlign w:val="superscript"/>
        </w:rPr>
        <w:footnoteReference w:id="6"/>
      </w:r>
      <w:r w:rsidR="00457F59" w:rsidRPr="00E47A79">
        <w:rPr>
          <w:rFonts w:ascii="Garamond" w:hAnsi="Garamond"/>
          <w:sz w:val="24"/>
          <w:szCs w:val="24"/>
        </w:rPr>
        <w:t>, a move accompanied by a requirement that use of the unlicensed product must be in accordance with the prescription or direction of a specialist</w:t>
      </w:r>
      <w:r w:rsidR="00A44E25" w:rsidRPr="00E47A79">
        <w:rPr>
          <w:rFonts w:ascii="Garamond" w:hAnsi="Garamond"/>
          <w:sz w:val="24"/>
          <w:szCs w:val="24"/>
        </w:rPr>
        <w:t xml:space="preserve"> medical</w:t>
      </w:r>
      <w:r w:rsidR="00457F59" w:rsidRPr="00E47A79">
        <w:rPr>
          <w:rFonts w:ascii="Garamond" w:hAnsi="Garamond"/>
          <w:sz w:val="24"/>
          <w:szCs w:val="24"/>
        </w:rPr>
        <w:t xml:space="preserve"> practitioner.</w:t>
      </w:r>
      <w:r w:rsidR="00457F59" w:rsidRPr="00E47A79">
        <w:rPr>
          <w:rStyle w:val="FootnoteReference"/>
          <w:rFonts w:ascii="Garamond" w:hAnsi="Garamond"/>
          <w:sz w:val="24"/>
          <w:szCs w:val="24"/>
        </w:rPr>
        <w:footnoteReference w:id="7"/>
      </w:r>
      <w:r w:rsidR="006748B3" w:rsidRPr="00E47A79">
        <w:rPr>
          <w:rFonts w:ascii="Garamond" w:hAnsi="Garamond"/>
          <w:sz w:val="24"/>
          <w:szCs w:val="24"/>
        </w:rPr>
        <w:t xml:space="preserve"> </w:t>
      </w:r>
      <w:r w:rsidR="007E57FA" w:rsidRPr="00E47A79">
        <w:rPr>
          <w:rFonts w:ascii="Garamond" w:hAnsi="Garamond"/>
          <w:sz w:val="24"/>
          <w:szCs w:val="24"/>
        </w:rPr>
        <w:t>The explanatory memorandum to the 2018 regulations states that</w:t>
      </w:r>
      <w:r w:rsidR="004E5F49" w:rsidRPr="00E47A79">
        <w:rPr>
          <w:rFonts w:ascii="Garamond" w:hAnsi="Garamond"/>
          <w:sz w:val="24"/>
          <w:szCs w:val="24"/>
        </w:rPr>
        <w:t xml:space="preserve"> reforms aimed </w:t>
      </w:r>
      <w:r w:rsidR="007E57FA" w:rsidRPr="00E47A79">
        <w:rPr>
          <w:rFonts w:ascii="Garamond" w:hAnsi="Garamond"/>
          <w:sz w:val="24"/>
          <w:szCs w:val="24"/>
        </w:rPr>
        <w:t>to ensure that access is provided where medically appropriate, whilst ‘minimising the risk of harm, misuse and diversion.’</w:t>
      </w:r>
      <w:r w:rsidR="007E57FA" w:rsidRPr="00E47A79">
        <w:rPr>
          <w:rFonts w:ascii="Garamond" w:hAnsi="Garamond"/>
          <w:sz w:val="24"/>
          <w:szCs w:val="24"/>
          <w:vertAlign w:val="superscript"/>
        </w:rPr>
        <w:footnoteReference w:id="8"/>
      </w:r>
    </w:p>
    <w:p w14:paraId="38155823" w14:textId="6C62F740" w:rsidR="00402954" w:rsidRPr="00E47A79" w:rsidRDefault="00410676" w:rsidP="00A601B9">
      <w:pPr>
        <w:spacing w:line="360" w:lineRule="auto"/>
        <w:rPr>
          <w:rFonts w:ascii="Garamond" w:hAnsi="Garamond"/>
          <w:sz w:val="24"/>
          <w:szCs w:val="24"/>
        </w:rPr>
      </w:pPr>
      <w:r w:rsidRPr="00E47A79">
        <w:rPr>
          <w:rFonts w:ascii="Garamond" w:hAnsi="Garamond"/>
          <w:sz w:val="24"/>
          <w:szCs w:val="24"/>
        </w:rPr>
        <w:t>T</w:t>
      </w:r>
      <w:r w:rsidR="00091621" w:rsidRPr="00E47A79">
        <w:rPr>
          <w:rFonts w:ascii="Garamond" w:hAnsi="Garamond"/>
          <w:sz w:val="24"/>
          <w:szCs w:val="24"/>
        </w:rPr>
        <w:t>h</w:t>
      </w:r>
      <w:r w:rsidR="007E57FA" w:rsidRPr="00E47A79">
        <w:rPr>
          <w:rFonts w:ascii="Garamond" w:hAnsi="Garamond"/>
          <w:sz w:val="24"/>
          <w:szCs w:val="24"/>
        </w:rPr>
        <w:t>is new domain of prescribing</w:t>
      </w:r>
      <w:r w:rsidR="005B03EE" w:rsidRPr="00E47A79">
        <w:rPr>
          <w:rFonts w:ascii="Garamond" w:hAnsi="Garamond"/>
          <w:sz w:val="24"/>
          <w:szCs w:val="24"/>
        </w:rPr>
        <w:t xml:space="preserve"> was</w:t>
      </w:r>
      <w:r w:rsidR="00E93FEC" w:rsidRPr="00E47A79">
        <w:rPr>
          <w:rFonts w:ascii="Garamond" w:hAnsi="Garamond"/>
          <w:sz w:val="24"/>
          <w:szCs w:val="24"/>
        </w:rPr>
        <w:t xml:space="preserve"> not confined to cases of intractable</w:t>
      </w:r>
      <w:r w:rsidR="00A00AFD" w:rsidRPr="00E47A79">
        <w:rPr>
          <w:rFonts w:ascii="Garamond" w:hAnsi="Garamond"/>
          <w:sz w:val="24"/>
          <w:szCs w:val="24"/>
        </w:rPr>
        <w:t xml:space="preserve"> childhood</w:t>
      </w:r>
      <w:r w:rsidR="00E93FEC" w:rsidRPr="00E47A79">
        <w:rPr>
          <w:rFonts w:ascii="Garamond" w:hAnsi="Garamond"/>
          <w:sz w:val="24"/>
          <w:szCs w:val="24"/>
        </w:rPr>
        <w:t xml:space="preserve"> epileps</w:t>
      </w:r>
      <w:r w:rsidR="00A00AFD" w:rsidRPr="00E47A79">
        <w:rPr>
          <w:rFonts w:ascii="Garamond" w:hAnsi="Garamond"/>
          <w:sz w:val="24"/>
          <w:szCs w:val="24"/>
        </w:rPr>
        <w:t>ies</w:t>
      </w:r>
      <w:r w:rsidR="00B309A3" w:rsidRPr="00E47A79">
        <w:rPr>
          <w:rStyle w:val="FootnoteReference"/>
          <w:rFonts w:ascii="Garamond" w:hAnsi="Garamond"/>
          <w:sz w:val="24"/>
          <w:szCs w:val="24"/>
        </w:rPr>
        <w:footnoteReference w:id="9"/>
      </w:r>
      <w:r w:rsidR="00E93FEC" w:rsidRPr="00E47A79">
        <w:rPr>
          <w:rFonts w:ascii="Garamond" w:hAnsi="Garamond"/>
          <w:sz w:val="24"/>
          <w:szCs w:val="24"/>
        </w:rPr>
        <w:t xml:space="preserve">, but </w:t>
      </w:r>
      <w:r w:rsidR="00A00AFD" w:rsidRPr="00E47A79">
        <w:rPr>
          <w:rFonts w:ascii="Garamond" w:hAnsi="Garamond"/>
          <w:sz w:val="24"/>
          <w:szCs w:val="24"/>
        </w:rPr>
        <w:t xml:space="preserve">could </w:t>
      </w:r>
      <w:r w:rsidR="000511C5" w:rsidRPr="00E47A79">
        <w:rPr>
          <w:rFonts w:ascii="Garamond" w:hAnsi="Garamond"/>
          <w:sz w:val="24"/>
          <w:szCs w:val="24"/>
        </w:rPr>
        <w:t xml:space="preserve">also </w:t>
      </w:r>
      <w:r w:rsidR="007E57FA" w:rsidRPr="00E47A79">
        <w:rPr>
          <w:rFonts w:ascii="Garamond" w:hAnsi="Garamond"/>
          <w:sz w:val="24"/>
          <w:szCs w:val="24"/>
        </w:rPr>
        <w:t>be used to</w:t>
      </w:r>
      <w:r w:rsidR="00535E00" w:rsidRPr="00E47A79">
        <w:rPr>
          <w:rFonts w:ascii="Garamond" w:hAnsi="Garamond"/>
          <w:sz w:val="24"/>
          <w:szCs w:val="24"/>
        </w:rPr>
        <w:t xml:space="preserve"> potentially</w:t>
      </w:r>
      <w:r w:rsidR="00C0372A" w:rsidRPr="00E47A79">
        <w:rPr>
          <w:rFonts w:ascii="Garamond" w:hAnsi="Garamond"/>
          <w:sz w:val="24"/>
          <w:szCs w:val="24"/>
        </w:rPr>
        <w:t xml:space="preserve"> </w:t>
      </w:r>
      <w:r w:rsidR="00A00AFD" w:rsidRPr="00E47A79">
        <w:rPr>
          <w:rFonts w:ascii="Garamond" w:hAnsi="Garamond"/>
          <w:sz w:val="24"/>
          <w:szCs w:val="24"/>
        </w:rPr>
        <w:t xml:space="preserve">transform the lives of many adults with </w:t>
      </w:r>
      <w:r w:rsidR="005B03EE" w:rsidRPr="00E47A79">
        <w:rPr>
          <w:rFonts w:ascii="Garamond" w:hAnsi="Garamond"/>
          <w:sz w:val="24"/>
          <w:szCs w:val="24"/>
        </w:rPr>
        <w:t>chronic health conditions.</w:t>
      </w:r>
      <w:r w:rsidR="00C0372A" w:rsidRPr="00E47A79">
        <w:rPr>
          <w:rStyle w:val="FootnoteReference"/>
          <w:rFonts w:ascii="Garamond" w:hAnsi="Garamond"/>
          <w:sz w:val="24"/>
          <w:szCs w:val="24"/>
        </w:rPr>
        <w:footnoteReference w:id="10"/>
      </w:r>
      <w:r w:rsidRPr="00E47A79">
        <w:rPr>
          <w:rFonts w:ascii="Garamond" w:hAnsi="Garamond"/>
          <w:sz w:val="24"/>
          <w:szCs w:val="24"/>
        </w:rPr>
        <w:t xml:space="preserve"> </w:t>
      </w:r>
      <w:r w:rsidR="00623656" w:rsidRPr="00E47A79">
        <w:rPr>
          <w:rFonts w:ascii="Garamond" w:hAnsi="Garamond"/>
          <w:sz w:val="24"/>
          <w:szCs w:val="24"/>
        </w:rPr>
        <w:t>O</w:t>
      </w:r>
      <w:r w:rsidR="00E9203A" w:rsidRPr="00E47A79">
        <w:rPr>
          <w:rFonts w:ascii="Garamond" w:hAnsi="Garamond"/>
          <w:sz w:val="24"/>
          <w:szCs w:val="24"/>
        </w:rPr>
        <w:t>ver 18 months</w:t>
      </w:r>
      <w:r w:rsidR="00CA51E3" w:rsidRPr="00E47A79">
        <w:rPr>
          <w:rFonts w:ascii="Garamond" w:hAnsi="Garamond"/>
          <w:sz w:val="24"/>
          <w:szCs w:val="24"/>
        </w:rPr>
        <w:t xml:space="preserve"> after the</w:t>
      </w:r>
      <w:r w:rsidR="00361744" w:rsidRPr="00E47A79">
        <w:rPr>
          <w:rFonts w:ascii="Garamond" w:hAnsi="Garamond"/>
          <w:sz w:val="24"/>
          <w:szCs w:val="24"/>
        </w:rPr>
        <w:t xml:space="preserve"> </w:t>
      </w:r>
      <w:r w:rsidR="00B309A3" w:rsidRPr="00E47A79">
        <w:rPr>
          <w:rFonts w:ascii="Garamond" w:hAnsi="Garamond"/>
          <w:sz w:val="24"/>
          <w:szCs w:val="24"/>
        </w:rPr>
        <w:t xml:space="preserve"> </w:t>
      </w:r>
      <w:r w:rsidR="00CA51E3" w:rsidRPr="00E47A79">
        <w:rPr>
          <w:rFonts w:ascii="Garamond" w:hAnsi="Garamond"/>
          <w:sz w:val="24"/>
          <w:szCs w:val="24"/>
        </w:rPr>
        <w:t>reforms</w:t>
      </w:r>
      <w:r w:rsidRPr="00E47A79">
        <w:rPr>
          <w:rFonts w:ascii="Garamond" w:hAnsi="Garamond"/>
          <w:sz w:val="24"/>
          <w:szCs w:val="24"/>
        </w:rPr>
        <w:t xml:space="preserve"> however</w:t>
      </w:r>
      <w:r w:rsidR="00E9203A" w:rsidRPr="00E47A79">
        <w:rPr>
          <w:rFonts w:ascii="Garamond" w:hAnsi="Garamond"/>
          <w:sz w:val="24"/>
          <w:szCs w:val="24"/>
        </w:rPr>
        <w:t xml:space="preserve">, </w:t>
      </w:r>
      <w:r w:rsidR="00236B6A">
        <w:rPr>
          <w:rFonts w:ascii="Garamond" w:hAnsi="Garamond"/>
          <w:sz w:val="24"/>
          <w:szCs w:val="24"/>
        </w:rPr>
        <w:t>patients</w:t>
      </w:r>
      <w:r w:rsidR="009C60BA">
        <w:rPr>
          <w:rFonts w:ascii="Garamond" w:hAnsi="Garamond"/>
          <w:sz w:val="24"/>
          <w:szCs w:val="24"/>
        </w:rPr>
        <w:t xml:space="preserve"> (</w:t>
      </w:r>
      <w:r w:rsidR="00236B6A">
        <w:rPr>
          <w:rFonts w:ascii="Garamond" w:hAnsi="Garamond"/>
          <w:sz w:val="24"/>
          <w:szCs w:val="24"/>
        </w:rPr>
        <w:t xml:space="preserve">including </w:t>
      </w:r>
      <w:r w:rsidR="00E9203A" w:rsidRPr="00E47A79">
        <w:rPr>
          <w:rFonts w:ascii="Garamond" w:hAnsi="Garamond"/>
          <w:sz w:val="24"/>
          <w:szCs w:val="24"/>
        </w:rPr>
        <w:t xml:space="preserve">the same desperate </w:t>
      </w:r>
      <w:r w:rsidR="00D56950" w:rsidRPr="00E47A79">
        <w:rPr>
          <w:rFonts w:ascii="Garamond" w:hAnsi="Garamond"/>
          <w:sz w:val="24"/>
          <w:szCs w:val="24"/>
        </w:rPr>
        <w:lastRenderedPageBreak/>
        <w:t>families, whose cases had triggered the Government’s review of cannabis</w:t>
      </w:r>
      <w:r w:rsidR="00EE0332" w:rsidRPr="00E47A79">
        <w:rPr>
          <w:rFonts w:ascii="Garamond" w:hAnsi="Garamond"/>
          <w:sz w:val="24"/>
          <w:szCs w:val="24"/>
        </w:rPr>
        <w:t xml:space="preserve"> as a medicine</w:t>
      </w:r>
      <w:r w:rsidR="009C60BA">
        <w:rPr>
          <w:rFonts w:ascii="Garamond" w:hAnsi="Garamond"/>
          <w:sz w:val="24"/>
          <w:szCs w:val="24"/>
        </w:rPr>
        <w:t>)</w:t>
      </w:r>
      <w:r w:rsidR="00D56950" w:rsidRPr="00E47A79">
        <w:rPr>
          <w:rFonts w:ascii="Garamond" w:hAnsi="Garamond"/>
          <w:sz w:val="24"/>
          <w:szCs w:val="24"/>
        </w:rPr>
        <w:t xml:space="preserve"> </w:t>
      </w:r>
      <w:r w:rsidR="00E9203A" w:rsidRPr="00E47A79">
        <w:rPr>
          <w:rFonts w:ascii="Garamond" w:hAnsi="Garamond"/>
          <w:sz w:val="24"/>
          <w:szCs w:val="24"/>
        </w:rPr>
        <w:t>ha</w:t>
      </w:r>
      <w:r w:rsidR="007569DB" w:rsidRPr="00E47A79">
        <w:rPr>
          <w:rFonts w:ascii="Garamond" w:hAnsi="Garamond"/>
          <w:sz w:val="24"/>
          <w:szCs w:val="24"/>
        </w:rPr>
        <w:t>d</w:t>
      </w:r>
      <w:r w:rsidR="00E9203A" w:rsidRPr="00E47A79">
        <w:rPr>
          <w:rFonts w:ascii="Garamond" w:hAnsi="Garamond"/>
          <w:sz w:val="24"/>
          <w:szCs w:val="24"/>
        </w:rPr>
        <w:t xml:space="preserve"> resorted to crowd funding</w:t>
      </w:r>
      <w:r w:rsidR="00236B6A">
        <w:rPr>
          <w:rStyle w:val="FootnoteReference"/>
          <w:rFonts w:ascii="Garamond" w:hAnsi="Garamond"/>
          <w:sz w:val="24"/>
          <w:szCs w:val="24"/>
        </w:rPr>
        <w:footnoteReference w:id="11"/>
      </w:r>
      <w:r w:rsidR="00E9203A" w:rsidRPr="00E47A79">
        <w:rPr>
          <w:rFonts w:ascii="Garamond" w:hAnsi="Garamond"/>
          <w:sz w:val="24"/>
          <w:szCs w:val="24"/>
        </w:rPr>
        <w:t>, petitioning Westminster</w:t>
      </w:r>
      <w:r w:rsidR="00E9203A" w:rsidRPr="00E47A79">
        <w:rPr>
          <w:rFonts w:ascii="Garamond" w:hAnsi="Garamond"/>
          <w:sz w:val="24"/>
          <w:szCs w:val="24"/>
          <w:vertAlign w:val="superscript"/>
        </w:rPr>
        <w:footnoteReference w:id="12"/>
      </w:r>
      <w:r w:rsidR="00E9203A" w:rsidRPr="00E47A79">
        <w:rPr>
          <w:rFonts w:ascii="Garamond" w:hAnsi="Garamond"/>
          <w:sz w:val="24"/>
          <w:szCs w:val="24"/>
        </w:rPr>
        <w:t xml:space="preserve"> and court action to push for funded prescriptions for medicinal cannabis.</w:t>
      </w:r>
      <w:r w:rsidR="00E9203A" w:rsidRPr="00E47A79">
        <w:rPr>
          <w:rFonts w:ascii="Garamond" w:hAnsi="Garamond"/>
          <w:sz w:val="24"/>
          <w:szCs w:val="24"/>
          <w:vertAlign w:val="superscript"/>
        </w:rPr>
        <w:footnoteReference w:id="13"/>
      </w:r>
      <w:r w:rsidR="00E9203A" w:rsidRPr="00E47A79">
        <w:rPr>
          <w:rFonts w:ascii="Garamond" w:hAnsi="Garamond"/>
          <w:sz w:val="24"/>
          <w:szCs w:val="24"/>
        </w:rPr>
        <w:t xml:space="preserve"> </w:t>
      </w:r>
      <w:r w:rsidR="00402954" w:rsidRPr="00E47A79">
        <w:rPr>
          <w:rFonts w:ascii="Garamond" w:hAnsi="Garamond"/>
          <w:sz w:val="24"/>
          <w:szCs w:val="24"/>
        </w:rPr>
        <w:t>In March 2020, w</w:t>
      </w:r>
      <w:r w:rsidR="00D56950" w:rsidRPr="00E47A79">
        <w:rPr>
          <w:rFonts w:ascii="Garamond" w:hAnsi="Garamond"/>
          <w:sz w:val="24"/>
          <w:szCs w:val="24"/>
        </w:rPr>
        <w:t>hen Teagan Appleby’s family could no longer afford her private prescription for medicinal cannabis, she was admitted to hospital in a critical condition</w:t>
      </w:r>
      <w:r w:rsidR="00D56950" w:rsidRPr="00E47A79">
        <w:rPr>
          <w:rStyle w:val="FootnoteReference"/>
          <w:rFonts w:ascii="Garamond" w:hAnsi="Garamond"/>
          <w:sz w:val="24"/>
          <w:szCs w:val="24"/>
        </w:rPr>
        <w:footnoteReference w:id="14"/>
      </w:r>
      <w:r w:rsidR="00D56950" w:rsidRPr="00E47A79">
        <w:rPr>
          <w:rFonts w:ascii="Garamond" w:hAnsi="Garamond"/>
          <w:sz w:val="24"/>
          <w:szCs w:val="24"/>
        </w:rPr>
        <w:t xml:space="preserve"> during ‘lockdown’, a situation which undoubtedly risked prejudicing her health even further. </w:t>
      </w:r>
      <w:r w:rsidR="00BE704C" w:rsidRPr="00E47A79">
        <w:rPr>
          <w:rFonts w:ascii="Garamond" w:hAnsi="Garamond"/>
          <w:sz w:val="24"/>
          <w:szCs w:val="24"/>
        </w:rPr>
        <w:t xml:space="preserve">Issues of access for adults </w:t>
      </w:r>
      <w:r w:rsidR="00986F76" w:rsidRPr="00E47A79">
        <w:rPr>
          <w:rFonts w:ascii="Garamond" w:hAnsi="Garamond"/>
          <w:sz w:val="24"/>
          <w:szCs w:val="24"/>
        </w:rPr>
        <w:t xml:space="preserve">are </w:t>
      </w:r>
      <w:r w:rsidR="00402954" w:rsidRPr="00E47A79">
        <w:rPr>
          <w:rFonts w:ascii="Garamond" w:hAnsi="Garamond"/>
          <w:sz w:val="24"/>
          <w:szCs w:val="24"/>
        </w:rPr>
        <w:t xml:space="preserve">also </w:t>
      </w:r>
      <w:r w:rsidR="00986F76" w:rsidRPr="00E47A79">
        <w:rPr>
          <w:rFonts w:ascii="Garamond" w:hAnsi="Garamond"/>
          <w:sz w:val="24"/>
          <w:szCs w:val="24"/>
        </w:rPr>
        <w:t xml:space="preserve">ongoing and </w:t>
      </w:r>
      <w:r w:rsidR="00BE704C" w:rsidRPr="00E47A79">
        <w:rPr>
          <w:rFonts w:ascii="Garamond" w:hAnsi="Garamond"/>
          <w:sz w:val="24"/>
          <w:szCs w:val="24"/>
        </w:rPr>
        <w:t>similarly revolve around finding a practitioner w</w:t>
      </w:r>
      <w:r w:rsidRPr="00E47A79">
        <w:rPr>
          <w:rFonts w:ascii="Garamond" w:hAnsi="Garamond"/>
          <w:sz w:val="24"/>
          <w:szCs w:val="24"/>
        </w:rPr>
        <w:t>illing to</w:t>
      </w:r>
      <w:r w:rsidR="00BE704C" w:rsidRPr="00E47A79">
        <w:rPr>
          <w:rFonts w:ascii="Garamond" w:hAnsi="Garamond"/>
          <w:sz w:val="24"/>
          <w:szCs w:val="24"/>
        </w:rPr>
        <w:t xml:space="preserve"> prescribe</w:t>
      </w:r>
      <w:r w:rsidR="000511C5" w:rsidRPr="00E47A79">
        <w:rPr>
          <w:rFonts w:ascii="Garamond" w:hAnsi="Garamond"/>
          <w:sz w:val="24"/>
          <w:szCs w:val="24"/>
        </w:rPr>
        <w:t>,</w:t>
      </w:r>
      <w:r w:rsidR="00BE704C" w:rsidRPr="00E47A79">
        <w:rPr>
          <w:rFonts w:ascii="Garamond" w:hAnsi="Garamond"/>
          <w:sz w:val="24"/>
          <w:szCs w:val="24"/>
        </w:rPr>
        <w:t xml:space="preserve"> and affordability.</w:t>
      </w:r>
      <w:r w:rsidR="00986F76" w:rsidRPr="00E47A79">
        <w:rPr>
          <w:rStyle w:val="FootnoteReference"/>
          <w:rFonts w:ascii="Garamond" w:hAnsi="Garamond"/>
          <w:sz w:val="24"/>
          <w:szCs w:val="24"/>
        </w:rPr>
        <w:footnoteReference w:id="15"/>
      </w:r>
      <w:r w:rsidR="00BE704C" w:rsidRPr="00E47A79">
        <w:rPr>
          <w:rFonts w:ascii="Garamond" w:hAnsi="Garamond"/>
          <w:sz w:val="24"/>
          <w:szCs w:val="24"/>
        </w:rPr>
        <w:t xml:space="preserve"> Although the cost of private prescriptions for most adults (as opposed to the quantities needed for intractable epilepsies) are usually lower</w:t>
      </w:r>
      <w:r w:rsidR="000511C5" w:rsidRPr="00E47A79">
        <w:rPr>
          <w:rStyle w:val="FootnoteReference"/>
          <w:rFonts w:ascii="Garamond" w:hAnsi="Garamond"/>
          <w:sz w:val="24"/>
          <w:szCs w:val="24"/>
        </w:rPr>
        <w:footnoteReference w:id="16"/>
      </w:r>
      <w:r w:rsidR="00BE704C" w:rsidRPr="00E47A79">
        <w:rPr>
          <w:rFonts w:ascii="Garamond" w:hAnsi="Garamond"/>
          <w:sz w:val="24"/>
          <w:szCs w:val="24"/>
        </w:rPr>
        <w:t>, they are still higher than many can afford</w:t>
      </w:r>
      <w:r w:rsidR="00FD6F61" w:rsidRPr="00E47A79">
        <w:rPr>
          <w:rFonts w:ascii="Garamond" w:hAnsi="Garamond"/>
          <w:sz w:val="24"/>
          <w:szCs w:val="24"/>
        </w:rPr>
        <w:t>,</w:t>
      </w:r>
      <w:r w:rsidR="00BE704C" w:rsidRPr="00E47A79">
        <w:rPr>
          <w:rFonts w:ascii="Garamond" w:hAnsi="Garamond"/>
          <w:sz w:val="24"/>
          <w:szCs w:val="24"/>
        </w:rPr>
        <w:t xml:space="preserve"> and patients</w:t>
      </w:r>
      <w:r w:rsidRPr="00E47A79">
        <w:rPr>
          <w:rFonts w:ascii="Garamond" w:hAnsi="Garamond"/>
          <w:sz w:val="24"/>
          <w:szCs w:val="24"/>
        </w:rPr>
        <w:t xml:space="preserve"> often</w:t>
      </w:r>
      <w:r w:rsidR="00BE704C" w:rsidRPr="00E47A79">
        <w:rPr>
          <w:rFonts w:ascii="Garamond" w:hAnsi="Garamond"/>
          <w:sz w:val="24"/>
          <w:szCs w:val="24"/>
        </w:rPr>
        <w:t xml:space="preserve"> resort to the black market or ‘medical exile’ to access th</w:t>
      </w:r>
      <w:r w:rsidR="00535E00" w:rsidRPr="00E47A79">
        <w:rPr>
          <w:rFonts w:ascii="Garamond" w:hAnsi="Garamond"/>
          <w:sz w:val="24"/>
          <w:szCs w:val="24"/>
        </w:rPr>
        <w:t>is</w:t>
      </w:r>
      <w:r w:rsidR="002E2F4B" w:rsidRPr="00E47A79">
        <w:rPr>
          <w:rFonts w:ascii="Garamond" w:hAnsi="Garamond"/>
          <w:sz w:val="24"/>
          <w:szCs w:val="24"/>
        </w:rPr>
        <w:t xml:space="preserve"> </w:t>
      </w:r>
      <w:r w:rsidR="00BE704C" w:rsidRPr="00E47A79">
        <w:rPr>
          <w:rFonts w:ascii="Garamond" w:hAnsi="Garamond"/>
          <w:sz w:val="24"/>
          <w:szCs w:val="24"/>
        </w:rPr>
        <w:t>medicine</w:t>
      </w:r>
      <w:r w:rsidR="00535E00" w:rsidRPr="00E47A79">
        <w:rPr>
          <w:rFonts w:ascii="Garamond" w:hAnsi="Garamond"/>
          <w:sz w:val="24"/>
          <w:szCs w:val="24"/>
        </w:rPr>
        <w:t>.</w:t>
      </w:r>
      <w:r w:rsidR="00906868" w:rsidRPr="00E47A79">
        <w:rPr>
          <w:rStyle w:val="FootnoteReference"/>
          <w:rFonts w:ascii="Garamond" w:hAnsi="Garamond"/>
          <w:sz w:val="24"/>
          <w:szCs w:val="24"/>
        </w:rPr>
        <w:footnoteReference w:id="17"/>
      </w:r>
      <w:r w:rsidR="00BE704C" w:rsidRPr="00E47A79">
        <w:rPr>
          <w:rFonts w:ascii="Garamond" w:hAnsi="Garamond"/>
          <w:sz w:val="24"/>
          <w:szCs w:val="24"/>
        </w:rPr>
        <w:t xml:space="preserve"> </w:t>
      </w:r>
    </w:p>
    <w:p w14:paraId="2E10532F" w14:textId="5036F9EE" w:rsidR="009A1CA3" w:rsidRPr="00E47A79" w:rsidRDefault="00225523" w:rsidP="00A601B9">
      <w:pPr>
        <w:spacing w:line="360" w:lineRule="auto"/>
        <w:rPr>
          <w:rFonts w:ascii="Garamond" w:hAnsi="Garamond"/>
          <w:sz w:val="24"/>
          <w:szCs w:val="24"/>
        </w:rPr>
      </w:pPr>
      <w:r w:rsidRPr="00E47A79">
        <w:rPr>
          <w:rFonts w:ascii="Garamond" w:hAnsi="Garamond"/>
          <w:sz w:val="24"/>
          <w:szCs w:val="24"/>
        </w:rPr>
        <w:t xml:space="preserve">When </w:t>
      </w:r>
      <w:r w:rsidR="00B910BE" w:rsidRPr="00E47A79">
        <w:rPr>
          <w:rFonts w:ascii="Garamond" w:hAnsi="Garamond"/>
          <w:sz w:val="24"/>
          <w:szCs w:val="24"/>
        </w:rPr>
        <w:t>the</w:t>
      </w:r>
      <w:r w:rsidR="00CA51E3" w:rsidRPr="00E47A79">
        <w:rPr>
          <w:rFonts w:ascii="Garamond" w:hAnsi="Garamond"/>
          <w:sz w:val="24"/>
          <w:szCs w:val="24"/>
        </w:rPr>
        <w:t xml:space="preserve"> </w:t>
      </w:r>
      <w:r w:rsidR="0049108D" w:rsidRPr="00E47A79">
        <w:rPr>
          <w:rFonts w:ascii="Garamond" w:hAnsi="Garamond"/>
          <w:sz w:val="24"/>
          <w:szCs w:val="24"/>
        </w:rPr>
        <w:t xml:space="preserve">2018 </w:t>
      </w:r>
      <w:r w:rsidR="00B910BE" w:rsidRPr="00E47A79">
        <w:rPr>
          <w:rFonts w:ascii="Garamond" w:hAnsi="Garamond"/>
          <w:sz w:val="24"/>
          <w:szCs w:val="24"/>
        </w:rPr>
        <w:t xml:space="preserve">reforms </w:t>
      </w:r>
      <w:r w:rsidRPr="00E47A79">
        <w:rPr>
          <w:rFonts w:ascii="Garamond" w:hAnsi="Garamond"/>
          <w:sz w:val="24"/>
          <w:szCs w:val="24"/>
        </w:rPr>
        <w:t>w</w:t>
      </w:r>
      <w:r w:rsidR="00B910BE" w:rsidRPr="00E47A79">
        <w:rPr>
          <w:rFonts w:ascii="Garamond" w:hAnsi="Garamond"/>
          <w:sz w:val="24"/>
          <w:szCs w:val="24"/>
        </w:rPr>
        <w:t>ere</w:t>
      </w:r>
      <w:r w:rsidRPr="00E47A79">
        <w:rPr>
          <w:rFonts w:ascii="Garamond" w:hAnsi="Garamond"/>
          <w:sz w:val="24"/>
          <w:szCs w:val="24"/>
        </w:rPr>
        <w:t xml:space="preserve"> followed by an absence of </w:t>
      </w:r>
      <w:r w:rsidR="00A90406" w:rsidRPr="00E47A79">
        <w:rPr>
          <w:rFonts w:ascii="Garamond" w:hAnsi="Garamond"/>
          <w:sz w:val="24"/>
          <w:szCs w:val="24"/>
        </w:rPr>
        <w:t xml:space="preserve">NHS </w:t>
      </w:r>
      <w:r w:rsidRPr="00E47A79">
        <w:rPr>
          <w:rFonts w:ascii="Garamond" w:hAnsi="Garamond"/>
          <w:sz w:val="24"/>
          <w:szCs w:val="24"/>
        </w:rPr>
        <w:t>prescriptions</w:t>
      </w:r>
      <w:r w:rsidR="002877E0" w:rsidRPr="00E47A79">
        <w:rPr>
          <w:rFonts w:ascii="Garamond" w:hAnsi="Garamond"/>
          <w:sz w:val="24"/>
          <w:szCs w:val="24"/>
          <w:vertAlign w:val="superscript"/>
        </w:rPr>
        <w:footnoteReference w:id="18"/>
      </w:r>
      <w:r w:rsidRPr="00E47A79">
        <w:rPr>
          <w:rFonts w:ascii="Garamond" w:hAnsi="Garamond"/>
          <w:sz w:val="24"/>
          <w:szCs w:val="24"/>
        </w:rPr>
        <w:t xml:space="preserve">, Matt Hancock (Secretary of State for Health and Social Care) appeared to blame </w:t>
      </w:r>
      <w:r w:rsidR="00A44E25" w:rsidRPr="00E47A79">
        <w:rPr>
          <w:rFonts w:ascii="Garamond" w:hAnsi="Garamond"/>
          <w:sz w:val="24"/>
          <w:szCs w:val="24"/>
        </w:rPr>
        <w:t xml:space="preserve">doctors </w:t>
      </w:r>
      <w:r w:rsidRPr="00E47A79">
        <w:rPr>
          <w:rFonts w:ascii="Garamond" w:hAnsi="Garamond"/>
          <w:sz w:val="24"/>
          <w:szCs w:val="24"/>
        </w:rPr>
        <w:t>for their unwillingness to prescribe.</w:t>
      </w:r>
      <w:r w:rsidRPr="00E47A79">
        <w:rPr>
          <w:rFonts w:ascii="Garamond" w:hAnsi="Garamond"/>
          <w:sz w:val="24"/>
          <w:szCs w:val="24"/>
          <w:vertAlign w:val="superscript"/>
        </w:rPr>
        <w:footnoteReference w:id="19"/>
      </w:r>
      <w:r w:rsidRPr="00E47A79">
        <w:rPr>
          <w:rFonts w:ascii="Garamond" w:hAnsi="Garamond"/>
          <w:sz w:val="24"/>
          <w:szCs w:val="24"/>
        </w:rPr>
        <w:t xml:space="preserve"> In </w:t>
      </w:r>
      <w:r w:rsidR="00D538E6" w:rsidRPr="00E47A79">
        <w:rPr>
          <w:rFonts w:ascii="Garamond" w:hAnsi="Garamond"/>
          <w:sz w:val="24"/>
          <w:szCs w:val="24"/>
        </w:rPr>
        <w:t xml:space="preserve">parliamentary </w:t>
      </w:r>
      <w:r w:rsidRPr="00E47A79">
        <w:rPr>
          <w:rFonts w:ascii="Garamond" w:hAnsi="Garamond"/>
          <w:sz w:val="24"/>
          <w:szCs w:val="24"/>
        </w:rPr>
        <w:t>debates on the issue of access,</w:t>
      </w:r>
      <w:r w:rsidR="00DC5222" w:rsidRPr="00E47A79">
        <w:rPr>
          <w:rStyle w:val="FootnoteReference"/>
          <w:rFonts w:ascii="Garamond" w:hAnsi="Garamond"/>
          <w:sz w:val="24"/>
          <w:szCs w:val="24"/>
        </w:rPr>
        <w:footnoteReference w:id="20"/>
      </w:r>
      <w:r w:rsidRPr="00E47A79">
        <w:rPr>
          <w:rFonts w:ascii="Garamond" w:hAnsi="Garamond"/>
          <w:sz w:val="24"/>
          <w:szCs w:val="24"/>
        </w:rPr>
        <w:t xml:space="preserve"> </w:t>
      </w:r>
      <w:r w:rsidR="0080093A" w:rsidRPr="00E47A79">
        <w:rPr>
          <w:rFonts w:ascii="Garamond" w:hAnsi="Garamond"/>
          <w:sz w:val="24"/>
          <w:szCs w:val="24"/>
        </w:rPr>
        <w:t>t</w:t>
      </w:r>
      <w:r w:rsidR="00A74BDC" w:rsidRPr="00E47A79">
        <w:rPr>
          <w:rFonts w:ascii="Garamond" w:hAnsi="Garamond"/>
          <w:sz w:val="24"/>
          <w:szCs w:val="24"/>
        </w:rPr>
        <w:t xml:space="preserve">he medical profession’s ‘interim </w:t>
      </w:r>
      <w:r w:rsidR="00A74BDC" w:rsidRPr="00E47A79">
        <w:rPr>
          <w:rFonts w:ascii="Garamond" w:hAnsi="Garamond"/>
          <w:sz w:val="24"/>
          <w:szCs w:val="24"/>
        </w:rPr>
        <w:lastRenderedPageBreak/>
        <w:t>guidance’ to doctors</w:t>
      </w:r>
      <w:r w:rsidR="0080093A" w:rsidRPr="00E47A79">
        <w:rPr>
          <w:rFonts w:ascii="Garamond" w:hAnsi="Garamond"/>
          <w:sz w:val="24"/>
          <w:szCs w:val="24"/>
        </w:rPr>
        <w:t xml:space="preserve"> was identified</w:t>
      </w:r>
      <w:r w:rsidR="00A74BDC" w:rsidRPr="00E47A79">
        <w:rPr>
          <w:rFonts w:ascii="Garamond" w:hAnsi="Garamond"/>
          <w:sz w:val="24"/>
          <w:szCs w:val="24"/>
        </w:rPr>
        <w:t xml:space="preserve"> as a key barrier to prescribing.</w:t>
      </w:r>
      <w:r w:rsidR="00A74BDC" w:rsidRPr="00E47A79">
        <w:rPr>
          <w:rFonts w:ascii="Garamond" w:hAnsi="Garamond"/>
          <w:sz w:val="24"/>
          <w:szCs w:val="24"/>
          <w:vertAlign w:val="superscript"/>
        </w:rPr>
        <w:footnoteReference w:id="21"/>
      </w:r>
      <w:r w:rsidR="00A74BDC" w:rsidRPr="00E47A79">
        <w:rPr>
          <w:rFonts w:ascii="Garamond" w:hAnsi="Garamond"/>
          <w:sz w:val="24"/>
          <w:szCs w:val="24"/>
        </w:rPr>
        <w:t xml:space="preserve"> </w:t>
      </w:r>
      <w:r w:rsidR="00675681" w:rsidRPr="00E47A79">
        <w:rPr>
          <w:rFonts w:ascii="Garamond" w:hAnsi="Garamond"/>
          <w:sz w:val="24"/>
          <w:szCs w:val="24"/>
        </w:rPr>
        <w:t xml:space="preserve">A </w:t>
      </w:r>
      <w:r w:rsidR="009D41E1" w:rsidRPr="00E47A79">
        <w:rPr>
          <w:rFonts w:ascii="Garamond" w:hAnsi="Garamond"/>
          <w:sz w:val="24"/>
          <w:szCs w:val="24"/>
        </w:rPr>
        <w:t>House of Commons S</w:t>
      </w:r>
      <w:r w:rsidR="009A1CA3" w:rsidRPr="00E47A79">
        <w:rPr>
          <w:rFonts w:ascii="Garamond" w:hAnsi="Garamond"/>
          <w:sz w:val="24"/>
          <w:szCs w:val="24"/>
        </w:rPr>
        <w:t>elect Committee</w:t>
      </w:r>
      <w:r w:rsidR="009B0652" w:rsidRPr="00E47A79">
        <w:rPr>
          <w:rFonts w:ascii="Garamond" w:hAnsi="Garamond"/>
          <w:sz w:val="24"/>
          <w:szCs w:val="24"/>
        </w:rPr>
        <w:t xml:space="preserve"> explained </w:t>
      </w:r>
      <w:r w:rsidR="00E9203A" w:rsidRPr="00E47A79">
        <w:rPr>
          <w:rFonts w:ascii="Garamond" w:hAnsi="Garamond"/>
          <w:sz w:val="24"/>
          <w:szCs w:val="24"/>
        </w:rPr>
        <w:t xml:space="preserve">the </w:t>
      </w:r>
      <w:r w:rsidR="009B0652" w:rsidRPr="00E47A79">
        <w:rPr>
          <w:rFonts w:ascii="Garamond" w:hAnsi="Garamond"/>
          <w:sz w:val="24"/>
          <w:szCs w:val="24"/>
        </w:rPr>
        <w:t>reluctance to prescribe</w:t>
      </w:r>
      <w:r w:rsidR="00AA19E1" w:rsidRPr="00E47A79">
        <w:rPr>
          <w:rFonts w:ascii="Garamond" w:hAnsi="Garamond"/>
          <w:sz w:val="24"/>
          <w:szCs w:val="24"/>
        </w:rPr>
        <w:t xml:space="preserve"> in terms of ‘evidence’ and spectres of medico-legal risk</w:t>
      </w:r>
      <w:r w:rsidR="009A1CA3" w:rsidRPr="00E47A79">
        <w:rPr>
          <w:rFonts w:ascii="Garamond" w:hAnsi="Garamond"/>
          <w:sz w:val="24"/>
          <w:szCs w:val="24"/>
        </w:rPr>
        <w:t>:</w:t>
      </w:r>
    </w:p>
    <w:p w14:paraId="1ECE5E75" w14:textId="5A766D4A" w:rsidR="009D41E1" w:rsidRPr="00E47A79" w:rsidRDefault="009D41E1" w:rsidP="00A601B9">
      <w:pPr>
        <w:spacing w:line="360" w:lineRule="auto"/>
        <w:ind w:left="397" w:right="397"/>
        <w:rPr>
          <w:rFonts w:ascii="Garamond" w:hAnsi="Garamond"/>
          <w:sz w:val="24"/>
          <w:szCs w:val="24"/>
        </w:rPr>
      </w:pPr>
      <w:r w:rsidRPr="00E47A79">
        <w:rPr>
          <w:rFonts w:ascii="Garamond" w:hAnsi="Garamond"/>
          <w:sz w:val="24"/>
          <w:szCs w:val="24"/>
        </w:rPr>
        <w:t xml:space="preserve"> ‘[D]</w:t>
      </w:r>
      <w:proofErr w:type="spellStart"/>
      <w:r w:rsidRPr="00E47A79">
        <w:rPr>
          <w:rFonts w:ascii="Garamond" w:hAnsi="Garamond"/>
          <w:sz w:val="24"/>
          <w:szCs w:val="24"/>
        </w:rPr>
        <w:t>octors</w:t>
      </w:r>
      <w:proofErr w:type="spellEnd"/>
      <w:r w:rsidRPr="00E47A79">
        <w:rPr>
          <w:rFonts w:ascii="Garamond" w:hAnsi="Garamond"/>
          <w:sz w:val="24"/>
          <w:szCs w:val="24"/>
        </w:rPr>
        <w:t xml:space="preserve"> must be satisfied that there is a sufficient evidence base for prescribing the unlicensed product. If there is an insufficient evidence base, doctors are reluctant to prescribe knowing that they are </w:t>
      </w:r>
      <w:r w:rsidRPr="00E47A79">
        <w:rPr>
          <w:rFonts w:ascii="Garamond" w:hAnsi="Garamond"/>
          <w:i/>
          <w:iCs/>
          <w:sz w:val="24"/>
          <w:szCs w:val="24"/>
        </w:rPr>
        <w:t>taking personal responsibility</w:t>
      </w:r>
      <w:r w:rsidRPr="00E47A79">
        <w:rPr>
          <w:rFonts w:ascii="Garamond" w:hAnsi="Garamond"/>
          <w:sz w:val="24"/>
          <w:szCs w:val="24"/>
        </w:rPr>
        <w:t xml:space="preserve"> for doing so and that there could be </w:t>
      </w:r>
      <w:r w:rsidRPr="00E47A79">
        <w:rPr>
          <w:rFonts w:ascii="Garamond" w:hAnsi="Garamond"/>
          <w:i/>
          <w:iCs/>
          <w:sz w:val="24"/>
          <w:szCs w:val="24"/>
        </w:rPr>
        <w:t>serious professional and legal consequences</w:t>
      </w:r>
      <w:r w:rsidRPr="00E47A79">
        <w:rPr>
          <w:rFonts w:ascii="Garamond" w:hAnsi="Garamond"/>
          <w:sz w:val="24"/>
          <w:szCs w:val="24"/>
        </w:rPr>
        <w:t xml:space="preserve"> if there are adverse outcomes for their patient.’</w:t>
      </w:r>
      <w:r w:rsidRPr="00E47A79">
        <w:rPr>
          <w:rFonts w:ascii="Garamond" w:hAnsi="Garamond"/>
          <w:sz w:val="24"/>
          <w:szCs w:val="24"/>
          <w:vertAlign w:val="superscript"/>
        </w:rPr>
        <w:footnoteReference w:id="22"/>
      </w:r>
      <w:r w:rsidRPr="00E47A79">
        <w:rPr>
          <w:rFonts w:ascii="Garamond" w:hAnsi="Garamond"/>
          <w:sz w:val="24"/>
          <w:szCs w:val="24"/>
        </w:rPr>
        <w:t xml:space="preserve"> </w:t>
      </w:r>
    </w:p>
    <w:p w14:paraId="0C12E3EF" w14:textId="5DC41A12" w:rsidR="00A90406" w:rsidRPr="00E47A79" w:rsidRDefault="00402954" w:rsidP="007716EE">
      <w:pPr>
        <w:spacing w:line="360" w:lineRule="auto"/>
        <w:rPr>
          <w:rFonts w:ascii="Garamond" w:hAnsi="Garamond"/>
          <w:sz w:val="24"/>
          <w:szCs w:val="24"/>
        </w:rPr>
      </w:pPr>
      <w:r w:rsidRPr="00E47A79">
        <w:rPr>
          <w:rFonts w:ascii="Garamond" w:hAnsi="Garamond"/>
          <w:sz w:val="24"/>
          <w:szCs w:val="24"/>
        </w:rPr>
        <w:t>As explored later in this paper, t</w:t>
      </w:r>
      <w:r w:rsidR="00244B8D" w:rsidRPr="00E47A79">
        <w:rPr>
          <w:rFonts w:ascii="Garamond" w:hAnsi="Garamond"/>
          <w:sz w:val="24"/>
          <w:szCs w:val="24"/>
        </w:rPr>
        <w:t>he National Institute for Health and Care Excellence (</w:t>
      </w:r>
      <w:r w:rsidR="00086CA4" w:rsidRPr="00E47A79">
        <w:rPr>
          <w:rFonts w:ascii="Garamond" w:hAnsi="Garamond"/>
          <w:sz w:val="24"/>
          <w:szCs w:val="24"/>
        </w:rPr>
        <w:t>NICE</w:t>
      </w:r>
      <w:r w:rsidR="00244B8D" w:rsidRPr="00E47A79">
        <w:rPr>
          <w:rFonts w:ascii="Garamond" w:hAnsi="Garamond"/>
          <w:sz w:val="24"/>
          <w:szCs w:val="24"/>
        </w:rPr>
        <w:t>)</w:t>
      </w:r>
      <w:r w:rsidR="00086CA4" w:rsidRPr="00E47A79">
        <w:rPr>
          <w:rFonts w:ascii="Garamond" w:hAnsi="Garamond"/>
          <w:sz w:val="24"/>
          <w:szCs w:val="24"/>
        </w:rPr>
        <w:t xml:space="preserve"> guideline</w:t>
      </w:r>
      <w:r w:rsidR="00244B8D" w:rsidRPr="00E47A79">
        <w:rPr>
          <w:rFonts w:ascii="Garamond" w:hAnsi="Garamond"/>
          <w:sz w:val="24"/>
          <w:szCs w:val="24"/>
        </w:rPr>
        <w:t xml:space="preserve"> published</w:t>
      </w:r>
      <w:r w:rsidR="00C76C88" w:rsidRPr="00E47A79">
        <w:rPr>
          <w:rFonts w:ascii="Garamond" w:hAnsi="Garamond"/>
          <w:sz w:val="24"/>
          <w:szCs w:val="24"/>
        </w:rPr>
        <w:t xml:space="preserve"> late in 2019</w:t>
      </w:r>
      <w:r w:rsidR="00244B8D" w:rsidRPr="00E47A79">
        <w:rPr>
          <w:rFonts w:ascii="Garamond" w:hAnsi="Garamond"/>
          <w:sz w:val="24"/>
          <w:szCs w:val="24"/>
        </w:rPr>
        <w:t xml:space="preserve"> d</w:t>
      </w:r>
      <w:r w:rsidR="00086CA4" w:rsidRPr="00E47A79">
        <w:rPr>
          <w:rFonts w:ascii="Garamond" w:hAnsi="Garamond"/>
          <w:sz w:val="24"/>
          <w:szCs w:val="24"/>
        </w:rPr>
        <w:t xml:space="preserve">id </w:t>
      </w:r>
      <w:r w:rsidR="00CB7A0F" w:rsidRPr="00E47A79">
        <w:rPr>
          <w:rFonts w:ascii="Garamond" w:hAnsi="Garamond"/>
          <w:sz w:val="24"/>
          <w:szCs w:val="24"/>
        </w:rPr>
        <w:t>little to</w:t>
      </w:r>
      <w:r w:rsidR="00086CA4" w:rsidRPr="00E47A79">
        <w:rPr>
          <w:rFonts w:ascii="Garamond" w:hAnsi="Garamond"/>
          <w:sz w:val="24"/>
          <w:szCs w:val="24"/>
        </w:rPr>
        <w:t xml:space="preserve"> improve matters</w:t>
      </w:r>
      <w:r w:rsidR="00535E00" w:rsidRPr="00E47A79">
        <w:rPr>
          <w:rFonts w:ascii="Garamond" w:hAnsi="Garamond"/>
          <w:sz w:val="24"/>
          <w:szCs w:val="24"/>
        </w:rPr>
        <w:t xml:space="preserve"> for those seeking </w:t>
      </w:r>
      <w:r w:rsidR="00D426B6" w:rsidRPr="00E47A79">
        <w:rPr>
          <w:rFonts w:ascii="Garamond" w:hAnsi="Garamond"/>
          <w:sz w:val="24"/>
          <w:szCs w:val="24"/>
        </w:rPr>
        <w:t>increased access</w:t>
      </w:r>
      <w:r w:rsidR="00CB7A0F" w:rsidRPr="00E47A79">
        <w:rPr>
          <w:rFonts w:ascii="Garamond" w:hAnsi="Garamond"/>
          <w:sz w:val="24"/>
          <w:szCs w:val="24"/>
        </w:rPr>
        <w:t>.</w:t>
      </w:r>
      <w:r w:rsidR="00086CA4" w:rsidRPr="00E47A79">
        <w:rPr>
          <w:rFonts w:ascii="Garamond" w:hAnsi="Garamond"/>
          <w:sz w:val="24"/>
          <w:szCs w:val="24"/>
        </w:rPr>
        <w:t xml:space="preserve"> </w:t>
      </w:r>
      <w:r w:rsidR="00A27401" w:rsidRPr="00E47A79">
        <w:rPr>
          <w:rFonts w:ascii="Garamond" w:hAnsi="Garamond"/>
          <w:sz w:val="24"/>
          <w:szCs w:val="24"/>
        </w:rPr>
        <w:t xml:space="preserve">While the reforms </w:t>
      </w:r>
      <w:r w:rsidR="00675681" w:rsidRPr="00E47A79">
        <w:rPr>
          <w:rFonts w:ascii="Garamond" w:hAnsi="Garamond"/>
          <w:sz w:val="24"/>
          <w:szCs w:val="24"/>
        </w:rPr>
        <w:t>had been</w:t>
      </w:r>
      <w:r w:rsidR="00A27401" w:rsidRPr="00E47A79">
        <w:rPr>
          <w:rFonts w:ascii="Garamond" w:hAnsi="Garamond"/>
          <w:sz w:val="24"/>
          <w:szCs w:val="24"/>
        </w:rPr>
        <w:t xml:space="preserve"> concerned with </w:t>
      </w:r>
      <w:r w:rsidR="00A27401" w:rsidRPr="00E47A79">
        <w:rPr>
          <w:rFonts w:ascii="Garamond" w:hAnsi="Garamond"/>
          <w:i/>
          <w:iCs/>
          <w:sz w:val="24"/>
          <w:szCs w:val="24"/>
        </w:rPr>
        <w:t xml:space="preserve">unlicensed </w:t>
      </w:r>
      <w:r w:rsidR="00A27401" w:rsidRPr="00E47A79">
        <w:rPr>
          <w:rFonts w:ascii="Garamond" w:hAnsi="Garamond"/>
          <w:sz w:val="24"/>
          <w:szCs w:val="24"/>
        </w:rPr>
        <w:t>products, t</w:t>
      </w:r>
      <w:r w:rsidR="00CB7A0F" w:rsidRPr="00E47A79">
        <w:rPr>
          <w:rFonts w:ascii="Garamond" w:hAnsi="Garamond"/>
          <w:sz w:val="24"/>
          <w:szCs w:val="24"/>
        </w:rPr>
        <w:t xml:space="preserve">he </w:t>
      </w:r>
      <w:r w:rsidR="00A27401" w:rsidRPr="00E47A79">
        <w:rPr>
          <w:rFonts w:ascii="Garamond" w:hAnsi="Garamond"/>
          <w:sz w:val="24"/>
          <w:szCs w:val="24"/>
        </w:rPr>
        <w:t xml:space="preserve">NICE </w:t>
      </w:r>
      <w:r w:rsidR="00CB7A0F" w:rsidRPr="00E47A79">
        <w:rPr>
          <w:rFonts w:ascii="Garamond" w:hAnsi="Garamond"/>
          <w:sz w:val="24"/>
          <w:szCs w:val="24"/>
        </w:rPr>
        <w:t xml:space="preserve">guideline </w:t>
      </w:r>
      <w:r w:rsidR="00A27401" w:rsidRPr="00E47A79">
        <w:rPr>
          <w:rFonts w:ascii="Garamond" w:hAnsi="Garamond"/>
          <w:sz w:val="24"/>
          <w:szCs w:val="24"/>
        </w:rPr>
        <w:t>on ‘</w:t>
      </w:r>
      <w:r w:rsidR="00A27401" w:rsidRPr="00E47A79">
        <w:rPr>
          <w:rFonts w:ascii="Garamond" w:hAnsi="Garamond"/>
          <w:i/>
          <w:iCs/>
          <w:sz w:val="24"/>
          <w:szCs w:val="24"/>
        </w:rPr>
        <w:t>Cannabis Based Medicinal Products</w:t>
      </w:r>
      <w:r w:rsidR="00A27401" w:rsidRPr="00E47A79">
        <w:rPr>
          <w:rFonts w:ascii="Garamond" w:hAnsi="Garamond"/>
          <w:sz w:val="24"/>
          <w:szCs w:val="24"/>
        </w:rPr>
        <w:t>’</w:t>
      </w:r>
      <w:r w:rsidR="00275FA6" w:rsidRPr="00E47A79">
        <w:rPr>
          <w:rFonts w:ascii="Garamond" w:hAnsi="Garamond"/>
          <w:sz w:val="24"/>
          <w:szCs w:val="24"/>
        </w:rPr>
        <w:t xml:space="preserve"> (CBMPs</w:t>
      </w:r>
      <w:r w:rsidR="00275FA6" w:rsidRPr="00E47A79">
        <w:rPr>
          <w:rFonts w:ascii="Garamond" w:hAnsi="Garamond"/>
          <w:sz w:val="24"/>
          <w:szCs w:val="24"/>
          <w:vertAlign w:val="superscript"/>
        </w:rPr>
        <w:footnoteReference w:id="23"/>
      </w:r>
      <w:r w:rsidR="00275FA6" w:rsidRPr="00E47A79">
        <w:rPr>
          <w:rFonts w:ascii="Garamond" w:hAnsi="Garamond"/>
          <w:sz w:val="24"/>
          <w:szCs w:val="24"/>
        </w:rPr>
        <w:t>)</w:t>
      </w:r>
      <w:r w:rsidR="00311898" w:rsidRPr="00E47A79">
        <w:rPr>
          <w:rFonts w:ascii="Garamond" w:hAnsi="Garamond"/>
          <w:sz w:val="24"/>
          <w:szCs w:val="24"/>
          <w:vertAlign w:val="superscript"/>
        </w:rPr>
        <w:footnoteReference w:id="24"/>
      </w:r>
      <w:r w:rsidR="00A27401" w:rsidRPr="00E47A79">
        <w:rPr>
          <w:rFonts w:ascii="Garamond" w:hAnsi="Garamond"/>
          <w:sz w:val="24"/>
          <w:szCs w:val="24"/>
        </w:rPr>
        <w:t xml:space="preserve"> </w:t>
      </w:r>
      <w:r w:rsidR="00CB7A0F" w:rsidRPr="00E47A79">
        <w:rPr>
          <w:rFonts w:ascii="Garamond" w:hAnsi="Garamond"/>
          <w:sz w:val="24"/>
          <w:szCs w:val="24"/>
        </w:rPr>
        <w:t>virtually</w:t>
      </w:r>
      <w:r w:rsidR="003B37C1" w:rsidRPr="00E47A79">
        <w:rPr>
          <w:rFonts w:ascii="Garamond" w:hAnsi="Garamond"/>
          <w:sz w:val="24"/>
          <w:szCs w:val="24"/>
        </w:rPr>
        <w:t xml:space="preserve"> ruled out</w:t>
      </w:r>
      <w:r w:rsidR="00CB7A0F" w:rsidRPr="00E47A79">
        <w:rPr>
          <w:rFonts w:ascii="Garamond" w:hAnsi="Garamond"/>
          <w:sz w:val="24"/>
          <w:szCs w:val="24"/>
        </w:rPr>
        <w:t xml:space="preserve"> prescription of </w:t>
      </w:r>
      <w:r w:rsidR="00A27401" w:rsidRPr="00E47A79">
        <w:rPr>
          <w:rFonts w:ascii="Garamond" w:hAnsi="Garamond"/>
          <w:sz w:val="24"/>
          <w:szCs w:val="24"/>
        </w:rPr>
        <w:t xml:space="preserve">these </w:t>
      </w:r>
      <w:r w:rsidR="00CB7A0F" w:rsidRPr="00E47A79">
        <w:rPr>
          <w:rFonts w:ascii="Garamond" w:hAnsi="Garamond"/>
          <w:sz w:val="24"/>
          <w:szCs w:val="24"/>
        </w:rPr>
        <w:t>unlicensed medicin</w:t>
      </w:r>
      <w:r w:rsidR="00A27401" w:rsidRPr="00E47A79">
        <w:rPr>
          <w:rFonts w:ascii="Garamond" w:hAnsi="Garamond"/>
          <w:sz w:val="24"/>
          <w:szCs w:val="24"/>
        </w:rPr>
        <w:t>es,</w:t>
      </w:r>
      <w:r w:rsidR="00CB7A0F" w:rsidRPr="00E47A79">
        <w:rPr>
          <w:rFonts w:ascii="Garamond" w:hAnsi="Garamond"/>
          <w:sz w:val="24"/>
          <w:szCs w:val="24"/>
        </w:rPr>
        <w:t xml:space="preserve"> endors</w:t>
      </w:r>
      <w:r w:rsidR="00A27401" w:rsidRPr="00E47A79">
        <w:rPr>
          <w:rFonts w:ascii="Garamond" w:hAnsi="Garamond"/>
          <w:sz w:val="24"/>
          <w:szCs w:val="24"/>
        </w:rPr>
        <w:t>ing only</w:t>
      </w:r>
      <w:r w:rsidR="00CB7A0F" w:rsidRPr="00E47A79">
        <w:rPr>
          <w:rFonts w:ascii="Garamond" w:hAnsi="Garamond"/>
          <w:sz w:val="24"/>
          <w:szCs w:val="24"/>
        </w:rPr>
        <w:t xml:space="preserve"> the use of </w:t>
      </w:r>
      <w:r w:rsidR="00675681" w:rsidRPr="00E47A79">
        <w:rPr>
          <w:rFonts w:ascii="Garamond" w:hAnsi="Garamond"/>
          <w:sz w:val="24"/>
          <w:szCs w:val="24"/>
        </w:rPr>
        <w:t>three</w:t>
      </w:r>
      <w:r w:rsidR="00E223EF" w:rsidRPr="00E47A79">
        <w:rPr>
          <w:rFonts w:ascii="Garamond" w:hAnsi="Garamond"/>
          <w:sz w:val="24"/>
          <w:szCs w:val="24"/>
        </w:rPr>
        <w:t xml:space="preserve"> already</w:t>
      </w:r>
      <w:r w:rsidR="0049108D" w:rsidRPr="00E47A79">
        <w:rPr>
          <w:rFonts w:ascii="Garamond" w:hAnsi="Garamond"/>
          <w:sz w:val="24"/>
          <w:szCs w:val="24"/>
        </w:rPr>
        <w:t xml:space="preserve"> available</w:t>
      </w:r>
      <w:r w:rsidR="00CB7A0F" w:rsidRPr="00E47A79">
        <w:rPr>
          <w:rFonts w:ascii="Garamond" w:hAnsi="Garamond"/>
          <w:i/>
          <w:iCs/>
          <w:sz w:val="24"/>
          <w:szCs w:val="24"/>
        </w:rPr>
        <w:t xml:space="preserve"> licensed</w:t>
      </w:r>
      <w:r w:rsidR="00CB7A0F" w:rsidRPr="00E47A79">
        <w:rPr>
          <w:rFonts w:ascii="Garamond" w:hAnsi="Garamond"/>
          <w:sz w:val="24"/>
          <w:szCs w:val="24"/>
        </w:rPr>
        <w:t xml:space="preserve"> products in relation to four very specific conditions.</w:t>
      </w:r>
      <w:r w:rsidR="00C76C88" w:rsidRPr="00E47A79">
        <w:rPr>
          <w:rStyle w:val="FootnoteReference"/>
          <w:rFonts w:ascii="Garamond" w:hAnsi="Garamond"/>
          <w:sz w:val="24"/>
          <w:szCs w:val="24"/>
        </w:rPr>
        <w:footnoteReference w:id="25"/>
      </w:r>
      <w:r w:rsidR="00A90406" w:rsidRPr="00E47A79">
        <w:rPr>
          <w:rFonts w:ascii="Garamond" w:hAnsi="Garamond"/>
          <w:sz w:val="24"/>
          <w:szCs w:val="24"/>
        </w:rPr>
        <w:t xml:space="preserve"> </w:t>
      </w:r>
      <w:r w:rsidR="00562189" w:rsidRPr="00E47A79">
        <w:rPr>
          <w:rFonts w:ascii="Garamond" w:hAnsi="Garamond"/>
          <w:sz w:val="24"/>
          <w:szCs w:val="24"/>
        </w:rPr>
        <w:t>Th</w:t>
      </w:r>
      <w:r w:rsidR="00AA19E1" w:rsidRPr="00E47A79">
        <w:rPr>
          <w:rFonts w:ascii="Garamond" w:hAnsi="Garamond"/>
          <w:sz w:val="24"/>
          <w:szCs w:val="24"/>
        </w:rPr>
        <w:t xml:space="preserve">e </w:t>
      </w:r>
      <w:r w:rsidR="00562189" w:rsidRPr="00E47A79">
        <w:rPr>
          <w:rFonts w:ascii="Garamond" w:hAnsi="Garamond"/>
          <w:sz w:val="24"/>
          <w:szCs w:val="24"/>
        </w:rPr>
        <w:t xml:space="preserve">rush for reform </w:t>
      </w:r>
      <w:r w:rsidR="00AA19E1" w:rsidRPr="00E47A79">
        <w:rPr>
          <w:rFonts w:ascii="Garamond" w:hAnsi="Garamond"/>
          <w:sz w:val="24"/>
          <w:szCs w:val="24"/>
        </w:rPr>
        <w:t xml:space="preserve">has been </w:t>
      </w:r>
      <w:r w:rsidR="00562189" w:rsidRPr="00E47A79">
        <w:rPr>
          <w:rFonts w:ascii="Garamond" w:hAnsi="Garamond"/>
          <w:sz w:val="24"/>
          <w:szCs w:val="24"/>
        </w:rPr>
        <w:t xml:space="preserve">followed by a gulf between </w:t>
      </w:r>
      <w:r w:rsidR="00410676" w:rsidRPr="00E47A79">
        <w:rPr>
          <w:rFonts w:ascii="Garamond" w:hAnsi="Garamond"/>
          <w:sz w:val="24"/>
          <w:szCs w:val="24"/>
        </w:rPr>
        <w:t>the promise of access and reality</w:t>
      </w:r>
      <w:r w:rsidR="00E9203A" w:rsidRPr="00E47A79">
        <w:rPr>
          <w:rFonts w:ascii="Garamond" w:hAnsi="Garamond"/>
          <w:sz w:val="24"/>
          <w:szCs w:val="24"/>
        </w:rPr>
        <w:t>.</w:t>
      </w:r>
      <w:r w:rsidR="00295EA7" w:rsidRPr="00E47A79">
        <w:rPr>
          <w:rStyle w:val="FootnoteReference"/>
          <w:rFonts w:ascii="Garamond" w:hAnsi="Garamond"/>
          <w:sz w:val="24"/>
          <w:szCs w:val="24"/>
        </w:rPr>
        <w:footnoteReference w:id="26"/>
      </w:r>
    </w:p>
    <w:p w14:paraId="1AB8D81D" w14:textId="787BC554" w:rsidR="006C57E2" w:rsidRPr="00E47A79" w:rsidRDefault="00BF1995" w:rsidP="007716EE">
      <w:pPr>
        <w:autoSpaceDE w:val="0"/>
        <w:autoSpaceDN w:val="0"/>
        <w:adjustRightInd w:val="0"/>
        <w:spacing w:after="0" w:line="360" w:lineRule="auto"/>
        <w:rPr>
          <w:rFonts w:ascii="Garamond" w:hAnsi="Garamond"/>
          <w:sz w:val="24"/>
          <w:szCs w:val="24"/>
        </w:rPr>
      </w:pPr>
      <w:r w:rsidRPr="00E47A79">
        <w:rPr>
          <w:rFonts w:ascii="Garamond" w:hAnsi="Garamond"/>
          <w:sz w:val="24"/>
          <w:szCs w:val="24"/>
        </w:rPr>
        <w:t>T</w:t>
      </w:r>
      <w:r w:rsidR="00ED753A" w:rsidRPr="00E47A79">
        <w:rPr>
          <w:rFonts w:ascii="Garamond" w:hAnsi="Garamond"/>
          <w:sz w:val="24"/>
          <w:szCs w:val="24"/>
        </w:rPr>
        <w:t>he</w:t>
      </w:r>
      <w:r w:rsidRPr="00E47A79">
        <w:rPr>
          <w:rFonts w:ascii="Garamond" w:hAnsi="Garamond"/>
          <w:sz w:val="24"/>
          <w:szCs w:val="24"/>
        </w:rPr>
        <w:t xml:space="preserve"> medicinal cannabis</w:t>
      </w:r>
      <w:r w:rsidR="00ED753A" w:rsidRPr="00E47A79">
        <w:rPr>
          <w:rFonts w:ascii="Garamond" w:hAnsi="Garamond"/>
          <w:sz w:val="24"/>
          <w:szCs w:val="24"/>
        </w:rPr>
        <w:t xml:space="preserve"> reforms</w:t>
      </w:r>
      <w:r w:rsidR="00FA5720" w:rsidRPr="00E47A79">
        <w:rPr>
          <w:rFonts w:ascii="Garamond" w:hAnsi="Garamond"/>
          <w:sz w:val="24"/>
          <w:szCs w:val="24"/>
        </w:rPr>
        <w:t xml:space="preserve"> </w:t>
      </w:r>
      <w:r w:rsidR="00410676" w:rsidRPr="00E47A79">
        <w:rPr>
          <w:rFonts w:ascii="Garamond" w:hAnsi="Garamond"/>
          <w:sz w:val="24"/>
          <w:szCs w:val="24"/>
        </w:rPr>
        <w:t>w</w:t>
      </w:r>
      <w:r w:rsidR="00503099" w:rsidRPr="00E47A79">
        <w:rPr>
          <w:rFonts w:ascii="Garamond" w:hAnsi="Garamond"/>
          <w:sz w:val="24"/>
          <w:szCs w:val="24"/>
        </w:rPr>
        <w:t>ere</w:t>
      </w:r>
      <w:r w:rsidR="00410676" w:rsidRPr="00E47A79">
        <w:rPr>
          <w:rFonts w:ascii="Garamond" w:hAnsi="Garamond"/>
          <w:sz w:val="24"/>
          <w:szCs w:val="24"/>
        </w:rPr>
        <w:t xml:space="preserve"> bound to </w:t>
      </w:r>
      <w:r w:rsidR="00FA5720" w:rsidRPr="00E47A79">
        <w:rPr>
          <w:rFonts w:ascii="Garamond" w:hAnsi="Garamond"/>
          <w:sz w:val="24"/>
          <w:szCs w:val="24"/>
        </w:rPr>
        <w:t>a</w:t>
      </w:r>
      <w:r w:rsidRPr="00E47A79">
        <w:rPr>
          <w:rFonts w:ascii="Garamond" w:hAnsi="Garamond"/>
          <w:sz w:val="24"/>
          <w:szCs w:val="24"/>
        </w:rPr>
        <w:t>gitate</w:t>
      </w:r>
      <w:r w:rsidR="001D3A07" w:rsidRPr="00E47A79">
        <w:rPr>
          <w:rFonts w:ascii="Garamond" w:hAnsi="Garamond"/>
          <w:sz w:val="24"/>
          <w:szCs w:val="24"/>
        </w:rPr>
        <w:t xml:space="preserve"> </w:t>
      </w:r>
      <w:r w:rsidR="00CA51E3" w:rsidRPr="00E47A79">
        <w:rPr>
          <w:rFonts w:ascii="Garamond" w:hAnsi="Garamond"/>
          <w:sz w:val="24"/>
          <w:szCs w:val="24"/>
        </w:rPr>
        <w:t xml:space="preserve">deeply embedded </w:t>
      </w:r>
      <w:r w:rsidR="001D3A07" w:rsidRPr="00E47A79">
        <w:rPr>
          <w:rFonts w:ascii="Garamond" w:hAnsi="Garamond"/>
          <w:sz w:val="24"/>
          <w:szCs w:val="24"/>
        </w:rPr>
        <w:t xml:space="preserve">norms </w:t>
      </w:r>
      <w:r w:rsidR="00CA51E3" w:rsidRPr="00E47A79">
        <w:rPr>
          <w:rFonts w:ascii="Garamond" w:hAnsi="Garamond"/>
          <w:sz w:val="24"/>
          <w:szCs w:val="24"/>
        </w:rPr>
        <w:t xml:space="preserve">in </w:t>
      </w:r>
      <w:r w:rsidR="00D175C6" w:rsidRPr="00E47A79">
        <w:rPr>
          <w:rFonts w:ascii="Garamond" w:hAnsi="Garamond"/>
          <w:sz w:val="24"/>
          <w:szCs w:val="24"/>
        </w:rPr>
        <w:t>modern</w:t>
      </w:r>
      <w:r w:rsidR="00FA5720" w:rsidRPr="00E47A79">
        <w:rPr>
          <w:rFonts w:ascii="Garamond" w:hAnsi="Garamond"/>
          <w:sz w:val="24"/>
          <w:szCs w:val="24"/>
        </w:rPr>
        <w:t xml:space="preserve"> medicine</w:t>
      </w:r>
      <w:r w:rsidR="00ED753A" w:rsidRPr="00E47A79">
        <w:rPr>
          <w:rFonts w:ascii="Garamond" w:hAnsi="Garamond"/>
          <w:sz w:val="24"/>
          <w:szCs w:val="24"/>
        </w:rPr>
        <w:t xml:space="preserve"> </w:t>
      </w:r>
      <w:r w:rsidR="00EA1923" w:rsidRPr="00E47A79">
        <w:rPr>
          <w:rFonts w:ascii="Garamond" w:hAnsi="Garamond"/>
          <w:sz w:val="24"/>
          <w:szCs w:val="24"/>
        </w:rPr>
        <w:t>on m</w:t>
      </w:r>
      <w:r w:rsidR="007569DB" w:rsidRPr="00E47A79">
        <w:rPr>
          <w:rFonts w:ascii="Garamond" w:hAnsi="Garamond"/>
          <w:sz w:val="24"/>
          <w:szCs w:val="24"/>
        </w:rPr>
        <w:t>any</w:t>
      </w:r>
      <w:r w:rsidR="00EA1923" w:rsidRPr="00E47A79">
        <w:rPr>
          <w:rFonts w:ascii="Garamond" w:hAnsi="Garamond"/>
          <w:sz w:val="24"/>
          <w:szCs w:val="24"/>
        </w:rPr>
        <w:t xml:space="preserve"> levels.</w:t>
      </w:r>
      <w:r w:rsidR="00562189" w:rsidRPr="00E47A79">
        <w:rPr>
          <w:rFonts w:ascii="Garamond" w:hAnsi="Garamond"/>
          <w:sz w:val="24"/>
          <w:szCs w:val="24"/>
        </w:rPr>
        <w:t xml:space="preserve"> </w:t>
      </w:r>
      <w:r w:rsidR="00EA1923" w:rsidRPr="00E47A79">
        <w:rPr>
          <w:rFonts w:ascii="Garamond" w:hAnsi="Garamond"/>
          <w:sz w:val="24"/>
          <w:szCs w:val="24"/>
        </w:rPr>
        <w:t>F</w:t>
      </w:r>
      <w:r w:rsidR="00ED753A" w:rsidRPr="00E47A79">
        <w:rPr>
          <w:rFonts w:ascii="Garamond" w:hAnsi="Garamond"/>
          <w:sz w:val="24"/>
          <w:szCs w:val="24"/>
        </w:rPr>
        <w:t xml:space="preserve">irst, </w:t>
      </w:r>
      <w:r w:rsidR="00D426B6" w:rsidRPr="00E47A79">
        <w:rPr>
          <w:rFonts w:ascii="Garamond" w:hAnsi="Garamond"/>
          <w:sz w:val="24"/>
          <w:szCs w:val="24"/>
        </w:rPr>
        <w:t>the</w:t>
      </w:r>
      <w:r w:rsidR="00A91B10" w:rsidRPr="00E47A79">
        <w:rPr>
          <w:rFonts w:ascii="Garamond" w:hAnsi="Garamond"/>
          <w:sz w:val="24"/>
          <w:szCs w:val="24"/>
        </w:rPr>
        <w:t>re are claims that</w:t>
      </w:r>
      <w:r w:rsidR="00D426B6" w:rsidRPr="00E47A79">
        <w:rPr>
          <w:rFonts w:ascii="Garamond" w:hAnsi="Garamond"/>
          <w:sz w:val="24"/>
          <w:szCs w:val="24"/>
        </w:rPr>
        <w:t xml:space="preserve"> </w:t>
      </w:r>
      <w:r w:rsidR="00ED753A" w:rsidRPr="00E47A79">
        <w:rPr>
          <w:rFonts w:ascii="Garamond" w:hAnsi="Garamond"/>
          <w:sz w:val="24"/>
          <w:szCs w:val="24"/>
        </w:rPr>
        <w:t>the p</w:t>
      </w:r>
      <w:r w:rsidR="00D426B6" w:rsidRPr="00E47A79">
        <w:rPr>
          <w:rFonts w:ascii="Garamond" w:hAnsi="Garamond"/>
          <w:sz w:val="24"/>
          <w:szCs w:val="24"/>
        </w:rPr>
        <w:t>ossible</w:t>
      </w:r>
      <w:r w:rsidR="00ED753A" w:rsidRPr="00E47A79">
        <w:rPr>
          <w:rFonts w:ascii="Garamond" w:hAnsi="Garamond"/>
          <w:sz w:val="24"/>
          <w:szCs w:val="24"/>
        </w:rPr>
        <w:t xml:space="preserve"> applications of </w:t>
      </w:r>
      <w:r w:rsidR="006C57E2" w:rsidRPr="00E47A79">
        <w:rPr>
          <w:rFonts w:ascii="Garamond" w:hAnsi="Garamond"/>
          <w:sz w:val="24"/>
          <w:szCs w:val="24"/>
        </w:rPr>
        <w:t xml:space="preserve">CBMPs </w:t>
      </w:r>
      <w:r w:rsidR="00D932E6" w:rsidRPr="00E47A79">
        <w:rPr>
          <w:rFonts w:ascii="Garamond" w:hAnsi="Garamond"/>
          <w:sz w:val="24"/>
          <w:szCs w:val="24"/>
        </w:rPr>
        <w:t xml:space="preserve">could </w:t>
      </w:r>
      <w:r w:rsidR="00ED753A" w:rsidRPr="00E47A79">
        <w:rPr>
          <w:rFonts w:ascii="Garamond" w:hAnsi="Garamond"/>
          <w:sz w:val="24"/>
          <w:szCs w:val="24"/>
        </w:rPr>
        <w:t xml:space="preserve">have significant potential to disrupt established thinking on </w:t>
      </w:r>
      <w:r w:rsidR="00FA5720" w:rsidRPr="00E47A79">
        <w:rPr>
          <w:rFonts w:ascii="Garamond" w:hAnsi="Garamond"/>
          <w:sz w:val="24"/>
          <w:szCs w:val="24"/>
        </w:rPr>
        <w:t>accepted</w:t>
      </w:r>
      <w:r w:rsidR="00ED753A" w:rsidRPr="00E47A79">
        <w:rPr>
          <w:rFonts w:ascii="Garamond" w:hAnsi="Garamond"/>
          <w:sz w:val="24"/>
          <w:szCs w:val="24"/>
        </w:rPr>
        <w:t xml:space="preserve"> treatments for a wide range of conditions</w:t>
      </w:r>
      <w:r w:rsidR="00EA1923" w:rsidRPr="00E47A79">
        <w:rPr>
          <w:rFonts w:ascii="Garamond" w:hAnsi="Garamond"/>
          <w:sz w:val="24"/>
          <w:szCs w:val="24"/>
        </w:rPr>
        <w:t>.</w:t>
      </w:r>
      <w:r w:rsidR="00ED753A" w:rsidRPr="00E47A79">
        <w:rPr>
          <w:rFonts w:ascii="Garamond" w:hAnsi="Garamond"/>
          <w:sz w:val="24"/>
          <w:szCs w:val="24"/>
          <w:vertAlign w:val="superscript"/>
        </w:rPr>
        <w:footnoteReference w:id="27"/>
      </w:r>
      <w:r w:rsidR="00ED753A" w:rsidRPr="00E47A79">
        <w:rPr>
          <w:rFonts w:ascii="Garamond" w:hAnsi="Garamond"/>
          <w:sz w:val="24"/>
          <w:szCs w:val="24"/>
        </w:rPr>
        <w:t xml:space="preserve"> </w:t>
      </w:r>
      <w:r w:rsidR="00EA1923" w:rsidRPr="00E47A79">
        <w:rPr>
          <w:rFonts w:ascii="Garamond" w:hAnsi="Garamond"/>
          <w:sz w:val="24"/>
          <w:szCs w:val="24"/>
        </w:rPr>
        <w:t>S</w:t>
      </w:r>
      <w:r w:rsidR="00ED753A" w:rsidRPr="00E47A79">
        <w:rPr>
          <w:rFonts w:ascii="Garamond" w:hAnsi="Garamond"/>
          <w:sz w:val="24"/>
          <w:szCs w:val="24"/>
        </w:rPr>
        <w:t>econd, the pharmacological effects of these substances depend on the ‘endocannabinoid system</w:t>
      </w:r>
      <w:r w:rsidR="00C76C88" w:rsidRPr="00E47A79">
        <w:rPr>
          <w:rFonts w:ascii="Garamond" w:hAnsi="Garamond"/>
          <w:sz w:val="24"/>
          <w:szCs w:val="24"/>
        </w:rPr>
        <w:t>,</w:t>
      </w:r>
      <w:r w:rsidR="00ED753A" w:rsidRPr="00E47A79">
        <w:rPr>
          <w:rFonts w:ascii="Garamond" w:hAnsi="Garamond"/>
          <w:sz w:val="24"/>
          <w:szCs w:val="24"/>
        </w:rPr>
        <w:t xml:space="preserve">’ </w:t>
      </w:r>
      <w:r w:rsidR="00C76C88" w:rsidRPr="00E47A79">
        <w:rPr>
          <w:rFonts w:ascii="Garamond" w:hAnsi="Garamond"/>
          <w:sz w:val="24"/>
          <w:szCs w:val="24"/>
        </w:rPr>
        <w:t xml:space="preserve">a subject </w:t>
      </w:r>
      <w:r w:rsidR="00ED753A" w:rsidRPr="00E47A79">
        <w:rPr>
          <w:rFonts w:ascii="Garamond" w:hAnsi="Garamond"/>
          <w:sz w:val="24"/>
          <w:szCs w:val="24"/>
        </w:rPr>
        <w:t xml:space="preserve">which is largely absent from </w:t>
      </w:r>
      <w:r w:rsidR="00D175C6" w:rsidRPr="00E47A79">
        <w:rPr>
          <w:rFonts w:ascii="Garamond" w:hAnsi="Garamond"/>
          <w:sz w:val="24"/>
          <w:szCs w:val="24"/>
        </w:rPr>
        <w:t>training</w:t>
      </w:r>
      <w:r w:rsidR="00D175C6" w:rsidRPr="00E47A79">
        <w:rPr>
          <w:rFonts w:ascii="Garamond" w:hAnsi="Garamond"/>
          <w:sz w:val="24"/>
          <w:szCs w:val="24"/>
          <w:vertAlign w:val="superscript"/>
        </w:rPr>
        <w:footnoteReference w:id="28"/>
      </w:r>
      <w:r w:rsidR="00D175C6" w:rsidRPr="00E47A79">
        <w:rPr>
          <w:rFonts w:ascii="Garamond" w:hAnsi="Garamond"/>
          <w:sz w:val="24"/>
          <w:szCs w:val="24"/>
        </w:rPr>
        <w:t xml:space="preserve"> and </w:t>
      </w:r>
      <w:r w:rsidR="00ED753A" w:rsidRPr="00E47A79">
        <w:rPr>
          <w:rFonts w:ascii="Garamond" w:hAnsi="Garamond"/>
          <w:sz w:val="24"/>
          <w:szCs w:val="24"/>
        </w:rPr>
        <w:t>medical school curricula</w:t>
      </w:r>
      <w:r w:rsidR="00EA1923" w:rsidRPr="00E47A79">
        <w:rPr>
          <w:rFonts w:ascii="Garamond" w:hAnsi="Garamond"/>
          <w:sz w:val="24"/>
          <w:szCs w:val="24"/>
        </w:rPr>
        <w:t xml:space="preserve"> </w:t>
      </w:r>
      <w:r w:rsidR="00ED753A" w:rsidRPr="00E47A79">
        <w:rPr>
          <w:rFonts w:ascii="Garamond" w:hAnsi="Garamond"/>
          <w:sz w:val="24"/>
          <w:szCs w:val="24"/>
        </w:rPr>
        <w:t>in the UK</w:t>
      </w:r>
      <w:r w:rsidR="00EA1923" w:rsidRPr="00E47A79">
        <w:rPr>
          <w:rFonts w:ascii="Garamond" w:hAnsi="Garamond"/>
          <w:sz w:val="24"/>
          <w:szCs w:val="24"/>
        </w:rPr>
        <w:t>.</w:t>
      </w:r>
      <w:r w:rsidR="00ED753A" w:rsidRPr="00E47A79">
        <w:rPr>
          <w:rFonts w:ascii="Garamond" w:hAnsi="Garamond"/>
          <w:sz w:val="24"/>
          <w:szCs w:val="24"/>
        </w:rPr>
        <w:t xml:space="preserve"> </w:t>
      </w:r>
      <w:r w:rsidR="00EA1923" w:rsidRPr="00E47A79">
        <w:rPr>
          <w:rFonts w:ascii="Garamond" w:hAnsi="Garamond"/>
          <w:sz w:val="24"/>
          <w:szCs w:val="24"/>
        </w:rPr>
        <w:t>T</w:t>
      </w:r>
      <w:r w:rsidR="00ED753A" w:rsidRPr="00E47A79">
        <w:rPr>
          <w:rFonts w:ascii="Garamond" w:hAnsi="Garamond"/>
          <w:sz w:val="24"/>
          <w:szCs w:val="24"/>
        </w:rPr>
        <w:t xml:space="preserve">hirdly, </w:t>
      </w:r>
      <w:r w:rsidR="006C57E2" w:rsidRPr="00E47A79">
        <w:rPr>
          <w:rFonts w:ascii="Garamond" w:hAnsi="Garamond"/>
          <w:sz w:val="24"/>
          <w:szCs w:val="24"/>
        </w:rPr>
        <w:t>e</w:t>
      </w:r>
      <w:r w:rsidR="00ED753A" w:rsidRPr="00E47A79">
        <w:rPr>
          <w:rFonts w:ascii="Garamond" w:hAnsi="Garamond"/>
          <w:sz w:val="24"/>
          <w:szCs w:val="24"/>
        </w:rPr>
        <w:t xml:space="preserve">vidence </w:t>
      </w:r>
      <w:r w:rsidR="006C57E2" w:rsidRPr="00E47A79">
        <w:rPr>
          <w:rFonts w:ascii="Garamond" w:hAnsi="Garamond"/>
          <w:sz w:val="24"/>
          <w:szCs w:val="24"/>
        </w:rPr>
        <w:t>b</w:t>
      </w:r>
      <w:r w:rsidR="00ED753A" w:rsidRPr="00E47A79">
        <w:rPr>
          <w:rFonts w:ascii="Garamond" w:hAnsi="Garamond"/>
          <w:sz w:val="24"/>
          <w:szCs w:val="24"/>
        </w:rPr>
        <w:t xml:space="preserve">ased </w:t>
      </w:r>
      <w:r w:rsidR="006C57E2" w:rsidRPr="00E47A79">
        <w:rPr>
          <w:rFonts w:ascii="Garamond" w:hAnsi="Garamond"/>
          <w:sz w:val="24"/>
          <w:szCs w:val="24"/>
        </w:rPr>
        <w:t>m</w:t>
      </w:r>
      <w:r w:rsidR="00ED753A" w:rsidRPr="00E47A79">
        <w:rPr>
          <w:rFonts w:ascii="Garamond" w:hAnsi="Garamond"/>
          <w:sz w:val="24"/>
          <w:szCs w:val="24"/>
        </w:rPr>
        <w:t xml:space="preserve">edicine </w:t>
      </w:r>
      <w:r w:rsidR="006C57E2" w:rsidRPr="00E47A79">
        <w:rPr>
          <w:rFonts w:ascii="Garamond" w:hAnsi="Garamond"/>
          <w:sz w:val="24"/>
          <w:szCs w:val="24"/>
        </w:rPr>
        <w:t>treats</w:t>
      </w:r>
      <w:r w:rsidR="00ED753A" w:rsidRPr="00E47A79">
        <w:rPr>
          <w:rFonts w:ascii="Garamond" w:hAnsi="Garamond"/>
          <w:sz w:val="24"/>
          <w:szCs w:val="24"/>
        </w:rPr>
        <w:t xml:space="preserve"> high quality </w:t>
      </w:r>
      <w:r w:rsidR="00B23C7D" w:rsidRPr="00E47A79">
        <w:rPr>
          <w:rFonts w:ascii="Garamond" w:hAnsi="Garamond"/>
          <w:sz w:val="24"/>
          <w:szCs w:val="24"/>
        </w:rPr>
        <w:t xml:space="preserve">double-blinded </w:t>
      </w:r>
      <w:r w:rsidR="00ED753A" w:rsidRPr="00E47A79">
        <w:rPr>
          <w:rFonts w:ascii="Garamond" w:hAnsi="Garamond"/>
          <w:sz w:val="24"/>
          <w:szCs w:val="24"/>
        </w:rPr>
        <w:t xml:space="preserve">randomised controlled trials (RCTs) as the gold standard of </w:t>
      </w:r>
      <w:r w:rsidR="00EA1923" w:rsidRPr="00E47A79">
        <w:rPr>
          <w:rFonts w:ascii="Garamond" w:hAnsi="Garamond"/>
          <w:sz w:val="24"/>
          <w:szCs w:val="24"/>
        </w:rPr>
        <w:t xml:space="preserve">generating </w:t>
      </w:r>
      <w:r w:rsidR="00ED753A" w:rsidRPr="00E47A79">
        <w:rPr>
          <w:rFonts w:ascii="Garamond" w:hAnsi="Garamond"/>
          <w:sz w:val="24"/>
          <w:szCs w:val="24"/>
        </w:rPr>
        <w:t>evidence o</w:t>
      </w:r>
      <w:r w:rsidR="0049108D" w:rsidRPr="00E47A79">
        <w:rPr>
          <w:rFonts w:ascii="Garamond" w:hAnsi="Garamond"/>
          <w:sz w:val="24"/>
          <w:szCs w:val="24"/>
        </w:rPr>
        <w:t>n</w:t>
      </w:r>
      <w:r w:rsidR="00ED753A" w:rsidRPr="00E47A79">
        <w:rPr>
          <w:rFonts w:ascii="Garamond" w:hAnsi="Garamond"/>
          <w:sz w:val="24"/>
          <w:szCs w:val="24"/>
        </w:rPr>
        <w:t xml:space="preserve"> the safety and effectiveness of medicines</w:t>
      </w:r>
      <w:r w:rsidR="006C57E2" w:rsidRPr="00E47A79">
        <w:rPr>
          <w:rStyle w:val="FootnoteReference"/>
          <w:rFonts w:ascii="Garamond" w:hAnsi="Garamond"/>
          <w:sz w:val="24"/>
          <w:szCs w:val="24"/>
        </w:rPr>
        <w:footnoteReference w:id="29"/>
      </w:r>
      <w:r w:rsidR="00A90406" w:rsidRPr="00E47A79">
        <w:rPr>
          <w:rFonts w:ascii="Garamond" w:hAnsi="Garamond"/>
          <w:sz w:val="24"/>
          <w:szCs w:val="24"/>
        </w:rPr>
        <w:t>,</w:t>
      </w:r>
      <w:r w:rsidR="00ED753A" w:rsidRPr="00E47A79">
        <w:rPr>
          <w:rFonts w:ascii="Garamond" w:hAnsi="Garamond"/>
          <w:sz w:val="24"/>
          <w:szCs w:val="24"/>
        </w:rPr>
        <w:t xml:space="preserve"> </w:t>
      </w:r>
      <w:r w:rsidR="00EA1923" w:rsidRPr="00E47A79">
        <w:rPr>
          <w:rFonts w:ascii="Garamond" w:hAnsi="Garamond"/>
          <w:sz w:val="24"/>
          <w:szCs w:val="24"/>
        </w:rPr>
        <w:t>whereas</w:t>
      </w:r>
      <w:r w:rsidR="00ED753A" w:rsidRPr="00E47A79">
        <w:rPr>
          <w:rFonts w:ascii="Garamond" w:hAnsi="Garamond"/>
          <w:sz w:val="24"/>
          <w:szCs w:val="24"/>
        </w:rPr>
        <w:t xml:space="preserve"> </w:t>
      </w:r>
      <w:r w:rsidR="00B23C7D" w:rsidRPr="00E47A79">
        <w:rPr>
          <w:rFonts w:ascii="Garamond" w:hAnsi="Garamond"/>
          <w:sz w:val="24"/>
          <w:szCs w:val="24"/>
        </w:rPr>
        <w:t>relatively</w:t>
      </w:r>
      <w:r w:rsidR="00ED753A" w:rsidRPr="00E47A79">
        <w:rPr>
          <w:rFonts w:ascii="Garamond" w:hAnsi="Garamond"/>
          <w:sz w:val="24"/>
          <w:szCs w:val="24"/>
        </w:rPr>
        <w:t xml:space="preserve"> few </w:t>
      </w:r>
      <w:r w:rsidR="002B2CE1" w:rsidRPr="00E47A79">
        <w:rPr>
          <w:rFonts w:ascii="Garamond" w:hAnsi="Garamond"/>
          <w:sz w:val="24"/>
          <w:szCs w:val="24"/>
        </w:rPr>
        <w:t>randomised trials</w:t>
      </w:r>
      <w:r w:rsidR="00ED753A" w:rsidRPr="00E47A79">
        <w:rPr>
          <w:rFonts w:ascii="Garamond" w:hAnsi="Garamond"/>
          <w:sz w:val="24"/>
          <w:szCs w:val="24"/>
        </w:rPr>
        <w:t xml:space="preserve"> have been conducted on these products</w:t>
      </w:r>
      <w:r w:rsidR="00EA1923" w:rsidRPr="00E47A79">
        <w:rPr>
          <w:rFonts w:ascii="Garamond" w:hAnsi="Garamond"/>
          <w:sz w:val="24"/>
          <w:szCs w:val="24"/>
        </w:rPr>
        <w:t>.</w:t>
      </w:r>
      <w:r w:rsidR="006C57E2" w:rsidRPr="00E47A79">
        <w:rPr>
          <w:rStyle w:val="FootnoteReference"/>
          <w:rFonts w:ascii="Garamond" w:hAnsi="Garamond"/>
          <w:sz w:val="24"/>
          <w:szCs w:val="24"/>
        </w:rPr>
        <w:footnoteReference w:id="30"/>
      </w:r>
      <w:r w:rsidR="00ED753A" w:rsidRPr="00E47A79">
        <w:rPr>
          <w:rFonts w:ascii="Garamond" w:hAnsi="Garamond"/>
          <w:sz w:val="24"/>
          <w:szCs w:val="24"/>
        </w:rPr>
        <w:t xml:space="preserve"> </w:t>
      </w:r>
      <w:r w:rsidR="00EA1923" w:rsidRPr="00E47A79">
        <w:rPr>
          <w:rFonts w:ascii="Garamond" w:hAnsi="Garamond"/>
          <w:sz w:val="24"/>
          <w:szCs w:val="24"/>
        </w:rPr>
        <w:t>F</w:t>
      </w:r>
      <w:r w:rsidR="00ED753A" w:rsidRPr="00E47A79">
        <w:rPr>
          <w:rFonts w:ascii="Garamond" w:hAnsi="Garamond"/>
          <w:sz w:val="24"/>
          <w:szCs w:val="24"/>
        </w:rPr>
        <w:t xml:space="preserve">inally, </w:t>
      </w:r>
      <w:r w:rsidR="008656B6" w:rsidRPr="00E47A79">
        <w:rPr>
          <w:rFonts w:ascii="Garamond" w:hAnsi="Garamond"/>
          <w:sz w:val="24"/>
          <w:szCs w:val="24"/>
        </w:rPr>
        <w:t>a group</w:t>
      </w:r>
      <w:r w:rsidR="00EA1923" w:rsidRPr="00E47A79">
        <w:rPr>
          <w:rFonts w:ascii="Garamond" w:hAnsi="Garamond"/>
          <w:sz w:val="24"/>
          <w:szCs w:val="24"/>
        </w:rPr>
        <w:t xml:space="preserve"> we might describe as the ‘first wave’ of</w:t>
      </w:r>
      <w:r w:rsidR="006C57E2" w:rsidRPr="00E47A79">
        <w:rPr>
          <w:rFonts w:ascii="Garamond" w:hAnsi="Garamond"/>
          <w:sz w:val="24"/>
          <w:szCs w:val="24"/>
        </w:rPr>
        <w:t xml:space="preserve"> likely</w:t>
      </w:r>
      <w:r w:rsidR="00EA1923" w:rsidRPr="00E47A79">
        <w:rPr>
          <w:rFonts w:ascii="Garamond" w:hAnsi="Garamond"/>
          <w:sz w:val="24"/>
          <w:szCs w:val="24"/>
        </w:rPr>
        <w:t xml:space="preserve"> patients for </w:t>
      </w:r>
      <w:r w:rsidR="00EA1923" w:rsidRPr="00E47A79">
        <w:rPr>
          <w:rFonts w:ascii="Garamond" w:hAnsi="Garamond"/>
          <w:sz w:val="24"/>
          <w:szCs w:val="24"/>
        </w:rPr>
        <w:lastRenderedPageBreak/>
        <w:t>medicinal cannabis</w:t>
      </w:r>
      <w:r w:rsidR="0074354B" w:rsidRPr="00E47A79">
        <w:rPr>
          <w:rFonts w:ascii="Garamond" w:hAnsi="Garamond"/>
          <w:sz w:val="24"/>
          <w:szCs w:val="24"/>
        </w:rPr>
        <w:t>,</w:t>
      </w:r>
      <w:r w:rsidR="003B37C1" w:rsidRPr="00E47A79">
        <w:rPr>
          <w:rFonts w:ascii="Garamond" w:hAnsi="Garamond"/>
          <w:sz w:val="24"/>
          <w:szCs w:val="24"/>
        </w:rPr>
        <w:t xml:space="preserve"> who self-identify as potential candidates for a prescription</w:t>
      </w:r>
      <w:r w:rsidR="003B37C1" w:rsidRPr="00E47A79">
        <w:rPr>
          <w:rFonts w:ascii="Garamond" w:hAnsi="Garamond"/>
          <w:sz w:val="24"/>
          <w:szCs w:val="24"/>
          <w:vertAlign w:val="superscript"/>
        </w:rPr>
        <w:footnoteReference w:id="31"/>
      </w:r>
      <w:r w:rsidR="003B37C1" w:rsidRPr="00E47A79">
        <w:rPr>
          <w:rFonts w:ascii="Garamond" w:hAnsi="Garamond"/>
          <w:sz w:val="24"/>
          <w:szCs w:val="24"/>
        </w:rPr>
        <w:t xml:space="preserve"> (e.g. by registering with a cannabis clinic or asking their doctor)</w:t>
      </w:r>
      <w:r w:rsidR="0074354B" w:rsidRPr="00E47A79">
        <w:rPr>
          <w:rFonts w:ascii="Garamond" w:hAnsi="Garamond"/>
          <w:sz w:val="24"/>
          <w:szCs w:val="24"/>
        </w:rPr>
        <w:t>,</w:t>
      </w:r>
      <w:r w:rsidR="00EA1923" w:rsidRPr="00E47A79">
        <w:rPr>
          <w:rFonts w:ascii="Garamond" w:hAnsi="Garamond"/>
          <w:sz w:val="24"/>
          <w:szCs w:val="24"/>
        </w:rPr>
        <w:t xml:space="preserve"> </w:t>
      </w:r>
      <w:r w:rsidR="00D175C6" w:rsidRPr="00E47A79">
        <w:rPr>
          <w:rFonts w:ascii="Garamond" w:hAnsi="Garamond"/>
          <w:sz w:val="24"/>
          <w:szCs w:val="24"/>
        </w:rPr>
        <w:t>create</w:t>
      </w:r>
      <w:r w:rsidR="00EA1923" w:rsidRPr="00E47A79">
        <w:rPr>
          <w:rFonts w:ascii="Garamond" w:hAnsi="Garamond"/>
          <w:sz w:val="24"/>
          <w:szCs w:val="24"/>
        </w:rPr>
        <w:t xml:space="preserve"> a </w:t>
      </w:r>
      <w:r w:rsidR="00D175C6" w:rsidRPr="00E47A79">
        <w:rPr>
          <w:rFonts w:ascii="Garamond" w:hAnsi="Garamond"/>
          <w:sz w:val="24"/>
          <w:szCs w:val="24"/>
        </w:rPr>
        <w:t xml:space="preserve">challenging </w:t>
      </w:r>
      <w:r w:rsidR="00EA1923" w:rsidRPr="00E47A79">
        <w:rPr>
          <w:rFonts w:ascii="Garamond" w:hAnsi="Garamond"/>
          <w:sz w:val="24"/>
          <w:szCs w:val="24"/>
        </w:rPr>
        <w:t>dynamic</w:t>
      </w:r>
      <w:r w:rsidR="00B72B21" w:rsidRPr="00E47A79">
        <w:rPr>
          <w:rFonts w:ascii="Garamond" w:hAnsi="Garamond"/>
          <w:sz w:val="24"/>
          <w:szCs w:val="24"/>
        </w:rPr>
        <w:t xml:space="preserve"> which </w:t>
      </w:r>
      <w:r w:rsidR="006C57E2" w:rsidRPr="00E47A79">
        <w:rPr>
          <w:rFonts w:ascii="Garamond" w:hAnsi="Garamond"/>
          <w:sz w:val="24"/>
          <w:szCs w:val="24"/>
        </w:rPr>
        <w:t xml:space="preserve">may be </w:t>
      </w:r>
      <w:r w:rsidR="0074354B" w:rsidRPr="00E47A79">
        <w:rPr>
          <w:rFonts w:ascii="Garamond" w:hAnsi="Garamond"/>
          <w:sz w:val="24"/>
          <w:szCs w:val="24"/>
        </w:rPr>
        <w:t xml:space="preserve">an </w:t>
      </w:r>
      <w:r w:rsidR="006C57E2" w:rsidRPr="00E47A79">
        <w:rPr>
          <w:rFonts w:ascii="Garamond" w:hAnsi="Garamond"/>
          <w:sz w:val="24"/>
          <w:szCs w:val="24"/>
        </w:rPr>
        <w:t>unfamiliar</w:t>
      </w:r>
      <w:r w:rsidR="0074354B" w:rsidRPr="00E47A79">
        <w:rPr>
          <w:rFonts w:ascii="Garamond" w:hAnsi="Garamond"/>
          <w:sz w:val="24"/>
          <w:szCs w:val="24"/>
        </w:rPr>
        <w:t xml:space="preserve"> and </w:t>
      </w:r>
      <w:r w:rsidR="006C57E2" w:rsidRPr="00E47A79">
        <w:rPr>
          <w:rFonts w:ascii="Garamond" w:hAnsi="Garamond"/>
          <w:sz w:val="24"/>
          <w:szCs w:val="24"/>
        </w:rPr>
        <w:t>uncomfortable</w:t>
      </w:r>
      <w:r w:rsidR="002B2CE1" w:rsidRPr="00E47A79">
        <w:rPr>
          <w:rFonts w:ascii="Garamond" w:hAnsi="Garamond"/>
          <w:sz w:val="24"/>
          <w:szCs w:val="24"/>
        </w:rPr>
        <w:t xml:space="preserve"> ‘reversal’ of the ‘usual structural inequality’</w:t>
      </w:r>
      <w:r w:rsidR="0049108D" w:rsidRPr="00E47A79">
        <w:rPr>
          <w:rFonts w:ascii="Garamond" w:hAnsi="Garamond"/>
          <w:sz w:val="24"/>
          <w:szCs w:val="24"/>
        </w:rPr>
        <w:t xml:space="preserve"> in doctor: patient relationships</w:t>
      </w:r>
      <w:r w:rsidR="00EA1923" w:rsidRPr="00E47A79">
        <w:rPr>
          <w:rFonts w:ascii="Garamond" w:hAnsi="Garamond"/>
          <w:sz w:val="24"/>
          <w:szCs w:val="24"/>
        </w:rPr>
        <w:t>.</w:t>
      </w:r>
      <w:r w:rsidR="002B2CE1" w:rsidRPr="00E47A79">
        <w:rPr>
          <w:rStyle w:val="FootnoteReference"/>
          <w:rFonts w:ascii="Garamond" w:hAnsi="Garamond"/>
          <w:sz w:val="24"/>
          <w:szCs w:val="24"/>
        </w:rPr>
        <w:footnoteReference w:id="32"/>
      </w:r>
      <w:r w:rsidR="00EA1923" w:rsidRPr="00E47A79">
        <w:rPr>
          <w:rFonts w:ascii="Garamond" w:hAnsi="Garamond"/>
          <w:sz w:val="24"/>
          <w:szCs w:val="24"/>
        </w:rPr>
        <w:t xml:space="preserve"> </w:t>
      </w:r>
      <w:r w:rsidR="002B2CE1" w:rsidRPr="00E47A79">
        <w:rPr>
          <w:rFonts w:ascii="Garamond" w:hAnsi="Garamond"/>
          <w:sz w:val="24"/>
          <w:szCs w:val="24"/>
        </w:rPr>
        <w:t>I</w:t>
      </w:r>
      <w:r w:rsidR="00E92925" w:rsidRPr="00E47A79">
        <w:rPr>
          <w:rFonts w:ascii="Garamond" w:hAnsi="Garamond"/>
          <w:sz w:val="24"/>
          <w:szCs w:val="24"/>
        </w:rPr>
        <w:t>nternet</w:t>
      </w:r>
      <w:r w:rsidR="002B2CE1" w:rsidRPr="00E47A79">
        <w:rPr>
          <w:rFonts w:ascii="Garamond" w:hAnsi="Garamond"/>
          <w:sz w:val="24"/>
          <w:szCs w:val="24"/>
        </w:rPr>
        <w:t xml:space="preserve"> use</w:t>
      </w:r>
      <w:r w:rsidR="00E92925" w:rsidRPr="00E47A79">
        <w:rPr>
          <w:rFonts w:ascii="Garamond" w:hAnsi="Garamond"/>
          <w:sz w:val="24"/>
          <w:szCs w:val="24"/>
        </w:rPr>
        <w:t xml:space="preserve"> ha</w:t>
      </w:r>
      <w:r w:rsidR="002B2CE1" w:rsidRPr="00E47A79">
        <w:rPr>
          <w:rFonts w:ascii="Garamond" w:hAnsi="Garamond"/>
          <w:sz w:val="24"/>
          <w:szCs w:val="24"/>
        </w:rPr>
        <w:t>d</w:t>
      </w:r>
      <w:r w:rsidR="00E92925" w:rsidRPr="00E47A79">
        <w:rPr>
          <w:rFonts w:ascii="Garamond" w:hAnsi="Garamond"/>
          <w:sz w:val="24"/>
          <w:szCs w:val="24"/>
        </w:rPr>
        <w:t xml:space="preserve"> already </w:t>
      </w:r>
      <w:r w:rsidR="002B2CE1" w:rsidRPr="00E47A79">
        <w:rPr>
          <w:rFonts w:ascii="Garamond" w:hAnsi="Garamond"/>
          <w:sz w:val="24"/>
          <w:szCs w:val="24"/>
        </w:rPr>
        <w:t xml:space="preserve">‘changed forever’ the relationship </w:t>
      </w:r>
      <w:r w:rsidR="00E92925" w:rsidRPr="00E47A79">
        <w:rPr>
          <w:rFonts w:ascii="Garamond" w:hAnsi="Garamond" w:cs="AdvOT2e364b11"/>
          <w:sz w:val="24"/>
          <w:szCs w:val="24"/>
        </w:rPr>
        <w:t xml:space="preserve">between  </w:t>
      </w:r>
      <w:r w:rsidR="002B2CE1" w:rsidRPr="00E47A79">
        <w:rPr>
          <w:rFonts w:ascii="Garamond" w:hAnsi="Garamond" w:cs="AdvOT2e364b11"/>
          <w:sz w:val="24"/>
          <w:szCs w:val="24"/>
        </w:rPr>
        <w:t>‘</w:t>
      </w:r>
      <w:r w:rsidR="00E92925" w:rsidRPr="00E47A79">
        <w:rPr>
          <w:rFonts w:ascii="Garamond" w:hAnsi="Garamond" w:cs="AdvOT2e364b11"/>
          <w:sz w:val="24"/>
          <w:szCs w:val="24"/>
        </w:rPr>
        <w:t>empowered possessor and dispenser of technical information and the dependent patient</w:t>
      </w:r>
      <w:r w:rsidR="002B2CE1" w:rsidRPr="00E47A79">
        <w:rPr>
          <w:rFonts w:ascii="Garamond" w:hAnsi="Garamond" w:cs="AdvOT2e364b11"/>
          <w:sz w:val="24"/>
          <w:szCs w:val="24"/>
        </w:rPr>
        <w:t>’.</w:t>
      </w:r>
      <w:r w:rsidR="00E92925" w:rsidRPr="00E47A79">
        <w:rPr>
          <w:rStyle w:val="FootnoteReference"/>
          <w:rFonts w:ascii="Garamond" w:hAnsi="Garamond" w:cs="AdvOT2e364b11"/>
          <w:sz w:val="24"/>
          <w:szCs w:val="24"/>
        </w:rPr>
        <w:footnoteReference w:id="33"/>
      </w:r>
      <w:r w:rsidR="00E92925" w:rsidRPr="00E47A79">
        <w:rPr>
          <w:rFonts w:ascii="Garamond" w:hAnsi="Garamond" w:cs="AdvOT2e364b11"/>
          <w:sz w:val="24"/>
          <w:szCs w:val="24"/>
        </w:rPr>
        <w:t xml:space="preserve"> This shift </w:t>
      </w:r>
      <w:r w:rsidR="001D3A07" w:rsidRPr="00E47A79">
        <w:rPr>
          <w:rFonts w:ascii="Garamond" w:hAnsi="Garamond" w:cs="AdvOT2e364b11"/>
          <w:sz w:val="24"/>
          <w:szCs w:val="24"/>
        </w:rPr>
        <w:t xml:space="preserve">is </w:t>
      </w:r>
      <w:r w:rsidR="00E92925" w:rsidRPr="00E47A79">
        <w:rPr>
          <w:rFonts w:ascii="Garamond" w:hAnsi="Garamond" w:cs="AdvOT2e364b11"/>
          <w:sz w:val="24"/>
          <w:szCs w:val="24"/>
        </w:rPr>
        <w:t xml:space="preserve">even more pronounced in the case of </w:t>
      </w:r>
      <w:r w:rsidR="00CA3CF6">
        <w:rPr>
          <w:rFonts w:ascii="Garamond" w:hAnsi="Garamond" w:cs="AdvOT2e364b11"/>
          <w:sz w:val="24"/>
          <w:szCs w:val="24"/>
        </w:rPr>
        <w:t>many</w:t>
      </w:r>
      <w:r w:rsidR="00E92925" w:rsidRPr="00E47A79">
        <w:rPr>
          <w:rFonts w:ascii="Garamond" w:hAnsi="Garamond" w:cs="AdvOT2e364b11"/>
          <w:sz w:val="24"/>
          <w:szCs w:val="24"/>
        </w:rPr>
        <w:t xml:space="preserve"> cannabis patients</w:t>
      </w:r>
      <w:r w:rsidR="00483B55" w:rsidRPr="00E47A79">
        <w:rPr>
          <w:rStyle w:val="FootnoteReference"/>
          <w:rFonts w:ascii="Garamond" w:hAnsi="Garamond" w:cs="AdvOT2e364b11"/>
          <w:sz w:val="24"/>
          <w:szCs w:val="24"/>
        </w:rPr>
        <w:footnoteReference w:id="34"/>
      </w:r>
      <w:r w:rsidR="001D3A07" w:rsidRPr="00E47A79">
        <w:rPr>
          <w:rFonts w:ascii="Garamond" w:hAnsi="Garamond"/>
          <w:sz w:val="24"/>
          <w:szCs w:val="24"/>
        </w:rPr>
        <w:t xml:space="preserve">. They </w:t>
      </w:r>
      <w:r w:rsidR="00EA1923" w:rsidRPr="00E47A79">
        <w:rPr>
          <w:rFonts w:ascii="Garamond" w:hAnsi="Garamond"/>
          <w:sz w:val="24"/>
          <w:szCs w:val="24"/>
        </w:rPr>
        <w:t xml:space="preserve">will often have prior experience of cannabis used therapeutically (whether with a prescription or without), </w:t>
      </w:r>
      <w:r w:rsidR="007B44F4" w:rsidRPr="00E47A79">
        <w:rPr>
          <w:rFonts w:ascii="Garamond" w:hAnsi="Garamond"/>
          <w:sz w:val="24"/>
          <w:szCs w:val="24"/>
        </w:rPr>
        <w:t xml:space="preserve">and like the </w:t>
      </w:r>
      <w:r w:rsidR="004A0526" w:rsidRPr="00E47A79">
        <w:rPr>
          <w:rFonts w:ascii="Garamond" w:hAnsi="Garamond"/>
          <w:sz w:val="24"/>
          <w:szCs w:val="24"/>
        </w:rPr>
        <w:t>self-taught</w:t>
      </w:r>
      <w:r w:rsidR="007B44F4" w:rsidRPr="00E47A79">
        <w:rPr>
          <w:rFonts w:ascii="Garamond" w:hAnsi="Garamond"/>
          <w:sz w:val="24"/>
          <w:szCs w:val="24"/>
        </w:rPr>
        <w:t xml:space="preserve"> patient envisaged in the Supreme Court judgment in </w:t>
      </w:r>
      <w:r w:rsidR="007B44F4" w:rsidRPr="00E47A79">
        <w:rPr>
          <w:rFonts w:ascii="Garamond" w:hAnsi="Garamond"/>
          <w:i/>
          <w:iCs/>
          <w:sz w:val="24"/>
          <w:szCs w:val="24"/>
        </w:rPr>
        <w:t xml:space="preserve">Montgomery v Lanarkshire Health Board, </w:t>
      </w:r>
      <w:r w:rsidR="00EA1923" w:rsidRPr="00E47A79">
        <w:rPr>
          <w:rFonts w:ascii="Garamond" w:hAnsi="Garamond"/>
          <w:sz w:val="24"/>
          <w:szCs w:val="24"/>
        </w:rPr>
        <w:t xml:space="preserve">will </w:t>
      </w:r>
      <w:r w:rsidR="00562846" w:rsidRPr="00E47A79">
        <w:rPr>
          <w:rFonts w:ascii="Garamond" w:hAnsi="Garamond"/>
          <w:sz w:val="24"/>
          <w:szCs w:val="24"/>
        </w:rPr>
        <w:t>no longer be ‘wholly dependent upon a flow of information from doctors’</w:t>
      </w:r>
      <w:r w:rsidR="00562846" w:rsidRPr="00E47A79">
        <w:rPr>
          <w:rFonts w:ascii="Garamond" w:hAnsi="Garamond"/>
          <w:sz w:val="24"/>
          <w:szCs w:val="24"/>
          <w:vertAlign w:val="superscript"/>
        </w:rPr>
        <w:footnoteReference w:id="35"/>
      </w:r>
      <w:r w:rsidR="00562846" w:rsidRPr="00E47A79">
        <w:rPr>
          <w:rFonts w:ascii="Garamond" w:hAnsi="Garamond"/>
          <w:sz w:val="24"/>
          <w:szCs w:val="24"/>
        </w:rPr>
        <w:t xml:space="preserve"> </w:t>
      </w:r>
      <w:r w:rsidR="00503099" w:rsidRPr="00E47A79">
        <w:rPr>
          <w:rFonts w:ascii="Garamond" w:hAnsi="Garamond"/>
          <w:sz w:val="24"/>
          <w:szCs w:val="24"/>
        </w:rPr>
        <w:t xml:space="preserve">having </w:t>
      </w:r>
      <w:r w:rsidR="00EA1923" w:rsidRPr="00E47A79">
        <w:rPr>
          <w:rFonts w:ascii="Garamond" w:hAnsi="Garamond"/>
          <w:sz w:val="24"/>
          <w:szCs w:val="24"/>
        </w:rPr>
        <w:t xml:space="preserve">researched the application of </w:t>
      </w:r>
      <w:r w:rsidR="006C57E2" w:rsidRPr="00E47A79">
        <w:rPr>
          <w:rFonts w:ascii="Garamond" w:hAnsi="Garamond"/>
          <w:sz w:val="24"/>
          <w:szCs w:val="24"/>
        </w:rPr>
        <w:t xml:space="preserve">CBPMs </w:t>
      </w:r>
      <w:r w:rsidR="00EA1923" w:rsidRPr="00E47A79">
        <w:rPr>
          <w:rFonts w:ascii="Garamond" w:hAnsi="Garamond"/>
          <w:sz w:val="24"/>
          <w:szCs w:val="24"/>
        </w:rPr>
        <w:t xml:space="preserve">for their condition </w:t>
      </w:r>
      <w:r w:rsidR="00562846" w:rsidRPr="00E47A79">
        <w:rPr>
          <w:rFonts w:ascii="Garamond" w:hAnsi="Garamond"/>
          <w:sz w:val="24"/>
          <w:szCs w:val="24"/>
        </w:rPr>
        <w:t>(</w:t>
      </w:r>
      <w:r w:rsidR="00EA1923" w:rsidRPr="00E47A79">
        <w:rPr>
          <w:rFonts w:ascii="Garamond" w:hAnsi="Garamond"/>
          <w:sz w:val="24"/>
          <w:szCs w:val="24"/>
        </w:rPr>
        <w:t>or that of their child</w:t>
      </w:r>
      <w:r w:rsidR="00EA1923" w:rsidRPr="00E47A79">
        <w:rPr>
          <w:rFonts w:ascii="Garamond" w:hAnsi="Garamond"/>
          <w:sz w:val="24"/>
          <w:szCs w:val="24"/>
          <w:vertAlign w:val="superscript"/>
        </w:rPr>
        <w:footnoteReference w:id="36"/>
      </w:r>
      <w:r w:rsidR="00562846" w:rsidRPr="00E47A79">
        <w:rPr>
          <w:rFonts w:ascii="Garamond" w:hAnsi="Garamond"/>
          <w:sz w:val="24"/>
          <w:szCs w:val="24"/>
        </w:rPr>
        <w:t>)</w:t>
      </w:r>
      <w:r w:rsidR="00EA1923" w:rsidRPr="00E47A79">
        <w:rPr>
          <w:rFonts w:ascii="Garamond" w:hAnsi="Garamond"/>
          <w:sz w:val="24"/>
          <w:szCs w:val="24"/>
        </w:rPr>
        <w:t xml:space="preserve"> extensively</w:t>
      </w:r>
      <w:r w:rsidR="007B44F4" w:rsidRPr="00E47A79">
        <w:rPr>
          <w:rFonts w:ascii="Garamond" w:hAnsi="Garamond"/>
          <w:sz w:val="24"/>
          <w:szCs w:val="24"/>
        </w:rPr>
        <w:t>.</w:t>
      </w:r>
      <w:r w:rsidR="007B44F4" w:rsidRPr="00E47A79">
        <w:rPr>
          <w:rFonts w:ascii="Garamond" w:hAnsi="Garamond"/>
          <w:i/>
          <w:iCs/>
          <w:sz w:val="24"/>
          <w:szCs w:val="24"/>
        </w:rPr>
        <w:t xml:space="preserve"> </w:t>
      </w:r>
    </w:p>
    <w:p w14:paraId="0486971C" w14:textId="77777777" w:rsidR="00C36F23" w:rsidRPr="00E47A79" w:rsidRDefault="00C36F23" w:rsidP="007716EE">
      <w:pPr>
        <w:autoSpaceDE w:val="0"/>
        <w:autoSpaceDN w:val="0"/>
        <w:adjustRightInd w:val="0"/>
        <w:spacing w:after="0" w:line="360" w:lineRule="auto"/>
        <w:rPr>
          <w:rFonts w:ascii="Garamond" w:hAnsi="Garamond"/>
          <w:sz w:val="24"/>
          <w:szCs w:val="24"/>
        </w:rPr>
      </w:pPr>
    </w:p>
    <w:p w14:paraId="3E8593E4" w14:textId="509D237B" w:rsidR="00986F76" w:rsidRPr="00E47A79" w:rsidRDefault="00B72B21" w:rsidP="007716EE">
      <w:pPr>
        <w:spacing w:line="360" w:lineRule="auto"/>
        <w:rPr>
          <w:rFonts w:ascii="Garamond" w:hAnsi="Garamond"/>
          <w:sz w:val="24"/>
          <w:szCs w:val="24"/>
        </w:rPr>
      </w:pPr>
      <w:r w:rsidRPr="00E47A79">
        <w:rPr>
          <w:rFonts w:ascii="Garamond" w:hAnsi="Garamond"/>
          <w:sz w:val="24"/>
          <w:szCs w:val="24"/>
        </w:rPr>
        <w:t xml:space="preserve">The </w:t>
      </w:r>
      <w:r w:rsidR="00CA51E3" w:rsidRPr="00E47A79">
        <w:rPr>
          <w:rFonts w:ascii="Garamond" w:hAnsi="Garamond"/>
          <w:sz w:val="24"/>
          <w:szCs w:val="24"/>
        </w:rPr>
        <w:t xml:space="preserve">legal changes which unleashed </w:t>
      </w:r>
      <w:r w:rsidR="006C57E2" w:rsidRPr="00E47A79">
        <w:rPr>
          <w:rFonts w:ascii="Garamond" w:hAnsi="Garamond"/>
          <w:sz w:val="24"/>
          <w:szCs w:val="24"/>
        </w:rPr>
        <w:t>this</w:t>
      </w:r>
      <w:r w:rsidRPr="00E47A79">
        <w:rPr>
          <w:rFonts w:ascii="Garamond" w:hAnsi="Garamond"/>
          <w:sz w:val="24"/>
          <w:szCs w:val="24"/>
        </w:rPr>
        <w:t xml:space="preserve"> cumulative assault on </w:t>
      </w:r>
      <w:r w:rsidR="00A44E1E" w:rsidRPr="00E47A79">
        <w:rPr>
          <w:rFonts w:ascii="Garamond" w:hAnsi="Garamond"/>
          <w:sz w:val="24"/>
          <w:szCs w:val="24"/>
        </w:rPr>
        <w:t>traditional evidence-based</w:t>
      </w:r>
      <w:r w:rsidRPr="00E47A79">
        <w:rPr>
          <w:rFonts w:ascii="Garamond" w:hAnsi="Garamond"/>
          <w:sz w:val="24"/>
          <w:szCs w:val="24"/>
        </w:rPr>
        <w:t xml:space="preserve"> medicine, generated demarcation strategies </w:t>
      </w:r>
      <w:r w:rsidR="00FA5720" w:rsidRPr="00E47A79">
        <w:rPr>
          <w:rFonts w:ascii="Garamond" w:hAnsi="Garamond"/>
          <w:sz w:val="24"/>
          <w:szCs w:val="24"/>
        </w:rPr>
        <w:t>(</w:t>
      </w:r>
      <w:r w:rsidRPr="00E47A79">
        <w:rPr>
          <w:rFonts w:ascii="Garamond" w:hAnsi="Garamond"/>
          <w:sz w:val="24"/>
          <w:szCs w:val="24"/>
        </w:rPr>
        <w:t>discussed below</w:t>
      </w:r>
      <w:r w:rsidR="00FA5720" w:rsidRPr="00E47A79">
        <w:rPr>
          <w:rFonts w:ascii="Garamond" w:hAnsi="Garamond"/>
          <w:sz w:val="24"/>
          <w:szCs w:val="24"/>
        </w:rPr>
        <w:t>)</w:t>
      </w:r>
      <w:r w:rsidRPr="00E47A79">
        <w:rPr>
          <w:rFonts w:ascii="Garamond" w:hAnsi="Garamond"/>
          <w:sz w:val="24"/>
          <w:szCs w:val="24"/>
        </w:rPr>
        <w:t xml:space="preserve"> </w:t>
      </w:r>
      <w:r w:rsidR="00503099" w:rsidRPr="00E47A79">
        <w:rPr>
          <w:rFonts w:ascii="Garamond" w:hAnsi="Garamond"/>
          <w:sz w:val="24"/>
          <w:szCs w:val="24"/>
        </w:rPr>
        <w:t xml:space="preserve">from </w:t>
      </w:r>
      <w:r w:rsidR="00C36F23" w:rsidRPr="00E47A79">
        <w:rPr>
          <w:rFonts w:ascii="Garamond" w:hAnsi="Garamond"/>
          <w:sz w:val="24"/>
          <w:szCs w:val="24"/>
        </w:rPr>
        <w:t xml:space="preserve">a </w:t>
      </w:r>
      <w:r w:rsidRPr="00E47A79">
        <w:rPr>
          <w:rFonts w:ascii="Garamond" w:hAnsi="Garamond"/>
          <w:sz w:val="24"/>
          <w:szCs w:val="24"/>
        </w:rPr>
        <w:t>profession and its regulators adjusting to a new landscape they had little notice of or input into.</w:t>
      </w:r>
      <w:r w:rsidR="006C57E2" w:rsidRPr="00E47A79">
        <w:rPr>
          <w:rFonts w:ascii="Garamond" w:hAnsi="Garamond"/>
          <w:sz w:val="24"/>
          <w:szCs w:val="24"/>
        </w:rPr>
        <w:t xml:space="preserve"> </w:t>
      </w:r>
      <w:r w:rsidR="00ED753A" w:rsidRPr="00E47A79">
        <w:rPr>
          <w:rFonts w:ascii="Garamond" w:hAnsi="Garamond"/>
          <w:sz w:val="24"/>
          <w:szCs w:val="24"/>
        </w:rPr>
        <w:t>The</w:t>
      </w:r>
      <w:r w:rsidR="005B6DE9" w:rsidRPr="00E47A79">
        <w:rPr>
          <w:rFonts w:ascii="Garamond" w:hAnsi="Garamond"/>
          <w:sz w:val="24"/>
          <w:szCs w:val="24"/>
        </w:rPr>
        <w:t xml:space="preserve"> drawing of new and sometimes artificial boundaries is </w:t>
      </w:r>
      <w:r w:rsidR="00ED753A" w:rsidRPr="00E47A79">
        <w:rPr>
          <w:rFonts w:ascii="Garamond" w:hAnsi="Garamond"/>
          <w:sz w:val="24"/>
          <w:szCs w:val="24"/>
        </w:rPr>
        <w:t xml:space="preserve">typical of </w:t>
      </w:r>
      <w:r w:rsidR="00C36F23" w:rsidRPr="00E47A79">
        <w:rPr>
          <w:rFonts w:ascii="Garamond" w:hAnsi="Garamond"/>
          <w:sz w:val="24"/>
          <w:szCs w:val="24"/>
        </w:rPr>
        <w:t xml:space="preserve">the </w:t>
      </w:r>
      <w:r w:rsidR="00ED753A" w:rsidRPr="00E47A79">
        <w:rPr>
          <w:rFonts w:ascii="Garamond" w:hAnsi="Garamond"/>
          <w:sz w:val="24"/>
          <w:szCs w:val="24"/>
        </w:rPr>
        <w:t xml:space="preserve">‘boundary work’ which </w:t>
      </w:r>
      <w:r w:rsidR="00A90406" w:rsidRPr="00E47A79">
        <w:rPr>
          <w:rFonts w:ascii="Garamond" w:hAnsi="Garamond"/>
          <w:sz w:val="24"/>
          <w:szCs w:val="24"/>
        </w:rPr>
        <w:t>occur</w:t>
      </w:r>
      <w:r w:rsidR="00AA19E1" w:rsidRPr="00E47A79">
        <w:rPr>
          <w:rFonts w:ascii="Garamond" w:hAnsi="Garamond"/>
          <w:sz w:val="24"/>
          <w:szCs w:val="24"/>
        </w:rPr>
        <w:t>s</w:t>
      </w:r>
      <w:r w:rsidR="00ED753A" w:rsidRPr="00E47A79">
        <w:rPr>
          <w:rFonts w:ascii="Garamond" w:hAnsi="Garamond"/>
          <w:sz w:val="24"/>
          <w:szCs w:val="24"/>
        </w:rPr>
        <w:t xml:space="preserve"> when </w:t>
      </w:r>
      <w:r w:rsidR="00881E82" w:rsidRPr="00E47A79">
        <w:rPr>
          <w:rFonts w:ascii="Garamond" w:hAnsi="Garamond"/>
          <w:sz w:val="24"/>
          <w:szCs w:val="24"/>
        </w:rPr>
        <w:t>‘two or more rival epistemic authorities square off for jurisdictional control over a contested ontological domain.’</w:t>
      </w:r>
      <w:r w:rsidR="00881E82" w:rsidRPr="00E47A79">
        <w:rPr>
          <w:rFonts w:ascii="Garamond" w:hAnsi="Garamond"/>
          <w:sz w:val="24"/>
          <w:szCs w:val="24"/>
          <w:vertAlign w:val="superscript"/>
        </w:rPr>
        <w:footnoteReference w:id="37"/>
      </w:r>
      <w:r w:rsidR="00881E82" w:rsidRPr="00E47A79">
        <w:rPr>
          <w:rFonts w:ascii="Garamond" w:hAnsi="Garamond"/>
          <w:sz w:val="24"/>
          <w:szCs w:val="24"/>
        </w:rPr>
        <w:t xml:space="preserve"> </w:t>
      </w:r>
      <w:r w:rsidR="00ED753A" w:rsidRPr="00E47A79">
        <w:rPr>
          <w:rFonts w:ascii="Garamond" w:hAnsi="Garamond"/>
          <w:sz w:val="24"/>
          <w:szCs w:val="24"/>
        </w:rPr>
        <w:t>Boundary work involves</w:t>
      </w:r>
      <w:r w:rsidR="00881E82" w:rsidRPr="00E47A79">
        <w:rPr>
          <w:rFonts w:ascii="Garamond" w:hAnsi="Garamond"/>
          <w:sz w:val="24"/>
          <w:szCs w:val="24"/>
        </w:rPr>
        <w:t xml:space="preserve"> a process of ‘demarcation’ ‘driven by a social interest in claiming, expanding, protecting, monopolising, usurping, denying or restricting the cognitive authority’ of the rival camps.</w:t>
      </w:r>
      <w:r w:rsidR="00881E82" w:rsidRPr="00E47A79">
        <w:rPr>
          <w:rFonts w:ascii="Garamond" w:hAnsi="Garamond"/>
          <w:sz w:val="24"/>
          <w:szCs w:val="24"/>
          <w:vertAlign w:val="superscript"/>
        </w:rPr>
        <w:footnoteReference w:id="38"/>
      </w:r>
      <w:r w:rsidR="00881E82" w:rsidRPr="00E47A79">
        <w:rPr>
          <w:rFonts w:ascii="Garamond" w:hAnsi="Garamond"/>
          <w:sz w:val="24"/>
          <w:szCs w:val="24"/>
        </w:rPr>
        <w:t xml:space="preserve"> </w:t>
      </w:r>
      <w:r w:rsidR="001112F1" w:rsidRPr="00E47A79">
        <w:rPr>
          <w:rFonts w:ascii="Garamond" w:hAnsi="Garamond"/>
          <w:sz w:val="24"/>
          <w:szCs w:val="24"/>
        </w:rPr>
        <w:t xml:space="preserve">This paper blends </w:t>
      </w:r>
      <w:r w:rsidR="00F870ED" w:rsidRPr="00E47A79">
        <w:rPr>
          <w:rFonts w:ascii="Garamond" w:hAnsi="Garamond"/>
          <w:sz w:val="24"/>
          <w:szCs w:val="24"/>
        </w:rPr>
        <w:t xml:space="preserve">‘boundary’ work scholarship </w:t>
      </w:r>
      <w:r w:rsidR="001112F1" w:rsidRPr="00E47A79">
        <w:rPr>
          <w:rFonts w:ascii="Garamond" w:hAnsi="Garamond"/>
          <w:sz w:val="24"/>
          <w:szCs w:val="24"/>
        </w:rPr>
        <w:t xml:space="preserve">with </w:t>
      </w:r>
      <w:r w:rsidR="00F870ED" w:rsidRPr="00E47A79">
        <w:rPr>
          <w:rFonts w:ascii="Garamond" w:hAnsi="Garamond"/>
          <w:sz w:val="24"/>
          <w:szCs w:val="24"/>
        </w:rPr>
        <w:t>medico-legal jurisprudence to</w:t>
      </w:r>
      <w:r w:rsidR="001112F1" w:rsidRPr="00E47A79">
        <w:rPr>
          <w:rFonts w:ascii="Garamond" w:hAnsi="Garamond"/>
          <w:sz w:val="24"/>
          <w:szCs w:val="24"/>
        </w:rPr>
        <w:t xml:space="preserve"> examine the </w:t>
      </w:r>
      <w:r w:rsidR="00A95A62" w:rsidRPr="00E47A79">
        <w:rPr>
          <w:rFonts w:ascii="Garamond" w:hAnsi="Garamond"/>
          <w:sz w:val="24"/>
          <w:szCs w:val="24"/>
        </w:rPr>
        <w:t xml:space="preserve">recently legalised </w:t>
      </w:r>
      <w:r w:rsidR="001112F1" w:rsidRPr="00E47A79">
        <w:rPr>
          <w:rFonts w:ascii="Garamond" w:hAnsi="Garamond"/>
          <w:sz w:val="24"/>
          <w:szCs w:val="24"/>
        </w:rPr>
        <w:t>domain</w:t>
      </w:r>
      <w:r w:rsidR="00A95A62" w:rsidRPr="00E47A79">
        <w:rPr>
          <w:rFonts w:ascii="Garamond" w:hAnsi="Garamond"/>
          <w:sz w:val="24"/>
          <w:szCs w:val="24"/>
        </w:rPr>
        <w:t xml:space="preserve"> of prescribing </w:t>
      </w:r>
      <w:r w:rsidR="006C57E2" w:rsidRPr="00E47A79">
        <w:rPr>
          <w:rFonts w:ascii="Garamond" w:hAnsi="Garamond"/>
          <w:sz w:val="24"/>
          <w:szCs w:val="24"/>
        </w:rPr>
        <w:t xml:space="preserve">unlicensed </w:t>
      </w:r>
      <w:r w:rsidR="001112F1" w:rsidRPr="00E47A79">
        <w:rPr>
          <w:rFonts w:ascii="Garamond" w:hAnsi="Garamond"/>
          <w:sz w:val="24"/>
          <w:szCs w:val="24"/>
        </w:rPr>
        <w:t>medicinal cannabis</w:t>
      </w:r>
      <w:r w:rsidR="006C57E2" w:rsidRPr="00E47A79">
        <w:rPr>
          <w:rFonts w:ascii="Garamond" w:hAnsi="Garamond"/>
          <w:sz w:val="24"/>
          <w:szCs w:val="24"/>
        </w:rPr>
        <w:t xml:space="preserve"> products</w:t>
      </w:r>
      <w:r w:rsidR="001112F1" w:rsidRPr="00E47A79">
        <w:rPr>
          <w:rFonts w:ascii="Garamond" w:hAnsi="Garamond"/>
          <w:sz w:val="24"/>
          <w:szCs w:val="24"/>
        </w:rPr>
        <w:t>. First</w:t>
      </w:r>
      <w:r w:rsidR="007E0140" w:rsidRPr="00E47A79">
        <w:rPr>
          <w:rFonts w:ascii="Garamond" w:hAnsi="Garamond"/>
          <w:sz w:val="24"/>
          <w:szCs w:val="24"/>
        </w:rPr>
        <w:t>,</w:t>
      </w:r>
      <w:r w:rsidR="001112F1" w:rsidRPr="00E47A79">
        <w:rPr>
          <w:rFonts w:ascii="Garamond" w:hAnsi="Garamond"/>
          <w:sz w:val="24"/>
          <w:szCs w:val="24"/>
        </w:rPr>
        <w:t xml:space="preserve"> the paper </w:t>
      </w:r>
      <w:r w:rsidR="00A12ACE" w:rsidRPr="00E47A79">
        <w:rPr>
          <w:rFonts w:ascii="Garamond" w:hAnsi="Garamond"/>
          <w:sz w:val="24"/>
          <w:szCs w:val="24"/>
        </w:rPr>
        <w:t>draws from the</w:t>
      </w:r>
      <w:r w:rsidR="00AA19E1" w:rsidRPr="00E47A79">
        <w:rPr>
          <w:rFonts w:ascii="Garamond" w:hAnsi="Garamond"/>
          <w:sz w:val="24"/>
          <w:szCs w:val="24"/>
        </w:rPr>
        <w:t xml:space="preserve"> original</w:t>
      </w:r>
      <w:r w:rsidR="00A12ACE" w:rsidRPr="00E47A79">
        <w:rPr>
          <w:rFonts w:ascii="Garamond" w:hAnsi="Garamond"/>
          <w:sz w:val="24"/>
          <w:szCs w:val="24"/>
        </w:rPr>
        <w:t xml:space="preserve"> ‘boundary work’ thesis of Thomas </w:t>
      </w:r>
      <w:proofErr w:type="spellStart"/>
      <w:r w:rsidR="00A12ACE" w:rsidRPr="00E47A79">
        <w:rPr>
          <w:rFonts w:ascii="Garamond" w:hAnsi="Garamond"/>
          <w:sz w:val="24"/>
          <w:szCs w:val="24"/>
        </w:rPr>
        <w:t>Gieryn</w:t>
      </w:r>
      <w:proofErr w:type="spellEnd"/>
      <w:r w:rsidR="006A2543" w:rsidRPr="00E47A79">
        <w:rPr>
          <w:rStyle w:val="FootnoteReference"/>
          <w:rFonts w:ascii="Garamond" w:hAnsi="Garamond"/>
          <w:sz w:val="24"/>
          <w:szCs w:val="24"/>
        </w:rPr>
        <w:footnoteReference w:id="39"/>
      </w:r>
      <w:r w:rsidR="00A12ACE" w:rsidRPr="00E47A79">
        <w:rPr>
          <w:rFonts w:ascii="Garamond" w:hAnsi="Garamond"/>
          <w:sz w:val="24"/>
          <w:szCs w:val="24"/>
        </w:rPr>
        <w:t xml:space="preserve"> and the later </w:t>
      </w:r>
      <w:r w:rsidR="00A12ACE" w:rsidRPr="00E47A79">
        <w:rPr>
          <w:rFonts w:ascii="Garamond" w:hAnsi="Garamond"/>
          <w:sz w:val="24"/>
          <w:szCs w:val="24"/>
        </w:rPr>
        <w:lastRenderedPageBreak/>
        <w:t>work of Lancaster</w:t>
      </w:r>
      <w:r w:rsidR="002F4A96" w:rsidRPr="00E47A79">
        <w:rPr>
          <w:rStyle w:val="FootnoteReference"/>
          <w:rFonts w:ascii="Garamond" w:hAnsi="Garamond"/>
          <w:sz w:val="24"/>
          <w:szCs w:val="24"/>
        </w:rPr>
        <w:footnoteReference w:id="40"/>
      </w:r>
      <w:r w:rsidR="00A12ACE" w:rsidRPr="00E47A79">
        <w:rPr>
          <w:rFonts w:ascii="Garamond" w:hAnsi="Garamond"/>
          <w:sz w:val="24"/>
          <w:szCs w:val="24"/>
        </w:rPr>
        <w:t xml:space="preserve">, </w:t>
      </w:r>
      <w:r w:rsidR="009B0652" w:rsidRPr="00E47A79">
        <w:rPr>
          <w:rFonts w:ascii="Garamond" w:hAnsi="Garamond"/>
          <w:sz w:val="24"/>
          <w:szCs w:val="24"/>
        </w:rPr>
        <w:t>Zolotov</w:t>
      </w:r>
      <w:r w:rsidR="002F4A96" w:rsidRPr="00E47A79">
        <w:rPr>
          <w:rStyle w:val="FootnoteReference"/>
          <w:rFonts w:ascii="Garamond" w:hAnsi="Garamond"/>
          <w:sz w:val="24"/>
          <w:szCs w:val="24"/>
        </w:rPr>
        <w:footnoteReference w:id="41"/>
      </w:r>
      <w:r w:rsidR="002F4A96" w:rsidRPr="00E47A79">
        <w:rPr>
          <w:rFonts w:ascii="Garamond" w:hAnsi="Garamond"/>
          <w:sz w:val="24"/>
          <w:szCs w:val="24"/>
        </w:rPr>
        <w:t xml:space="preserve">, </w:t>
      </w:r>
      <w:proofErr w:type="spellStart"/>
      <w:r w:rsidR="002F4A96" w:rsidRPr="00E47A79">
        <w:rPr>
          <w:rFonts w:ascii="Garamond" w:hAnsi="Garamond"/>
          <w:sz w:val="24"/>
          <w:szCs w:val="24"/>
        </w:rPr>
        <w:t>Zarhin</w:t>
      </w:r>
      <w:proofErr w:type="spellEnd"/>
      <w:r w:rsidR="002F4A96" w:rsidRPr="00E47A79">
        <w:rPr>
          <w:rStyle w:val="FootnoteReference"/>
          <w:rFonts w:ascii="Garamond" w:hAnsi="Garamond"/>
          <w:sz w:val="24"/>
          <w:szCs w:val="24"/>
        </w:rPr>
        <w:footnoteReference w:id="42"/>
      </w:r>
      <w:r w:rsidR="002F4A96" w:rsidRPr="00E47A79">
        <w:rPr>
          <w:rFonts w:ascii="Garamond" w:hAnsi="Garamond"/>
          <w:sz w:val="24"/>
          <w:szCs w:val="24"/>
        </w:rPr>
        <w:t xml:space="preserve">, </w:t>
      </w:r>
      <w:proofErr w:type="spellStart"/>
      <w:r w:rsidR="002F4A96" w:rsidRPr="00E47A79">
        <w:rPr>
          <w:rFonts w:ascii="Garamond" w:hAnsi="Garamond"/>
          <w:sz w:val="24"/>
          <w:szCs w:val="24"/>
        </w:rPr>
        <w:t>Sobo</w:t>
      </w:r>
      <w:proofErr w:type="spellEnd"/>
      <w:r w:rsidR="002F4A96" w:rsidRPr="00E47A79">
        <w:rPr>
          <w:rStyle w:val="FootnoteReference"/>
          <w:rFonts w:ascii="Garamond" w:hAnsi="Garamond"/>
          <w:sz w:val="24"/>
          <w:szCs w:val="24"/>
        </w:rPr>
        <w:footnoteReference w:id="43"/>
      </w:r>
      <w:r w:rsidR="00A12ACE" w:rsidRPr="00E47A79">
        <w:rPr>
          <w:rFonts w:ascii="Garamond" w:hAnsi="Garamond"/>
          <w:sz w:val="24"/>
          <w:szCs w:val="24"/>
        </w:rPr>
        <w:t xml:space="preserve"> and others to observe how </w:t>
      </w:r>
      <w:r w:rsidR="00A95A62" w:rsidRPr="00E47A79">
        <w:rPr>
          <w:rFonts w:ascii="Garamond" w:hAnsi="Garamond"/>
          <w:sz w:val="24"/>
          <w:szCs w:val="24"/>
        </w:rPr>
        <w:t xml:space="preserve">‘medicinal </w:t>
      </w:r>
      <w:proofErr w:type="gramStart"/>
      <w:r w:rsidR="00A95A62" w:rsidRPr="00E47A79">
        <w:rPr>
          <w:rFonts w:ascii="Garamond" w:hAnsi="Garamond"/>
          <w:sz w:val="24"/>
          <w:szCs w:val="24"/>
        </w:rPr>
        <w:t>cannabis’</w:t>
      </w:r>
      <w:proofErr w:type="gramEnd"/>
      <w:r w:rsidR="00A95A62" w:rsidRPr="00E47A79">
        <w:rPr>
          <w:rFonts w:ascii="Garamond" w:hAnsi="Garamond"/>
          <w:sz w:val="24"/>
          <w:szCs w:val="24"/>
        </w:rPr>
        <w:t xml:space="preserve"> </w:t>
      </w:r>
      <w:r w:rsidR="00A12ACE" w:rsidRPr="00E47A79">
        <w:rPr>
          <w:rFonts w:ascii="Garamond" w:hAnsi="Garamond"/>
          <w:sz w:val="24"/>
          <w:szCs w:val="24"/>
        </w:rPr>
        <w:t>ha</w:t>
      </w:r>
      <w:r w:rsidR="006C57E2" w:rsidRPr="00E47A79">
        <w:rPr>
          <w:rFonts w:ascii="Garamond" w:hAnsi="Garamond"/>
          <w:sz w:val="24"/>
          <w:szCs w:val="24"/>
        </w:rPr>
        <w:t>s</w:t>
      </w:r>
      <w:r w:rsidR="00A12ACE" w:rsidRPr="00E47A79">
        <w:rPr>
          <w:rFonts w:ascii="Garamond" w:hAnsi="Garamond"/>
          <w:sz w:val="24"/>
          <w:szCs w:val="24"/>
        </w:rPr>
        <w:t xml:space="preserve"> been constructed in the context of the </w:t>
      </w:r>
      <w:r w:rsidR="00222406" w:rsidRPr="00E47A79">
        <w:rPr>
          <w:rFonts w:ascii="Garamond" w:hAnsi="Garamond"/>
          <w:sz w:val="24"/>
          <w:szCs w:val="24"/>
        </w:rPr>
        <w:t xml:space="preserve">UK’s </w:t>
      </w:r>
      <w:r w:rsidR="00A12ACE" w:rsidRPr="00E47A79">
        <w:rPr>
          <w:rFonts w:ascii="Garamond" w:hAnsi="Garamond"/>
          <w:sz w:val="24"/>
          <w:szCs w:val="24"/>
        </w:rPr>
        <w:t>2018 reforms</w:t>
      </w:r>
      <w:r w:rsidR="00A95A62" w:rsidRPr="00E47A79">
        <w:rPr>
          <w:rFonts w:ascii="Garamond" w:hAnsi="Garamond"/>
          <w:sz w:val="24"/>
          <w:szCs w:val="24"/>
        </w:rPr>
        <w:t>. Th</w:t>
      </w:r>
      <w:r w:rsidR="00ED753A" w:rsidRPr="00E47A79">
        <w:rPr>
          <w:rFonts w:ascii="Garamond" w:hAnsi="Garamond"/>
          <w:sz w:val="24"/>
          <w:szCs w:val="24"/>
        </w:rPr>
        <w:t>is</w:t>
      </w:r>
      <w:r w:rsidR="0093262D" w:rsidRPr="00E47A79">
        <w:rPr>
          <w:rFonts w:ascii="Garamond" w:hAnsi="Garamond"/>
          <w:sz w:val="24"/>
          <w:szCs w:val="24"/>
        </w:rPr>
        <w:t xml:space="preserve"> </w:t>
      </w:r>
      <w:r w:rsidR="007E0140" w:rsidRPr="00E47A79">
        <w:rPr>
          <w:rFonts w:ascii="Garamond" w:hAnsi="Garamond"/>
          <w:sz w:val="24"/>
          <w:szCs w:val="24"/>
        </w:rPr>
        <w:t xml:space="preserve">analysis is then extended </w:t>
      </w:r>
      <w:r w:rsidR="0093262D" w:rsidRPr="00E47A79">
        <w:rPr>
          <w:rFonts w:ascii="Garamond" w:hAnsi="Garamond"/>
          <w:sz w:val="24"/>
          <w:szCs w:val="24"/>
        </w:rPr>
        <w:t>in a n</w:t>
      </w:r>
      <w:r w:rsidR="00AA19E1" w:rsidRPr="00E47A79">
        <w:rPr>
          <w:rFonts w:ascii="Garamond" w:hAnsi="Garamond"/>
          <w:sz w:val="24"/>
          <w:szCs w:val="24"/>
        </w:rPr>
        <w:t>ew</w:t>
      </w:r>
      <w:r w:rsidR="0093262D" w:rsidRPr="00E47A79">
        <w:rPr>
          <w:rFonts w:ascii="Garamond" w:hAnsi="Garamond"/>
          <w:sz w:val="24"/>
          <w:szCs w:val="24"/>
        </w:rPr>
        <w:t xml:space="preserve"> direction </w:t>
      </w:r>
      <w:r w:rsidR="007E0140" w:rsidRPr="00E47A79">
        <w:rPr>
          <w:rFonts w:ascii="Garamond" w:hAnsi="Garamond"/>
          <w:sz w:val="24"/>
          <w:szCs w:val="24"/>
        </w:rPr>
        <w:t>by mining the</w:t>
      </w:r>
      <w:r w:rsidR="00A95A62" w:rsidRPr="00E47A79">
        <w:rPr>
          <w:rFonts w:ascii="Garamond" w:hAnsi="Garamond"/>
          <w:sz w:val="24"/>
          <w:szCs w:val="24"/>
        </w:rPr>
        <w:t xml:space="preserve"> proliferation of guidance issued by professional bodies, government agencies and royal colleges</w:t>
      </w:r>
      <w:r w:rsidR="007133E4" w:rsidRPr="00E47A79">
        <w:rPr>
          <w:rFonts w:ascii="Garamond" w:hAnsi="Garamond"/>
          <w:sz w:val="24"/>
          <w:szCs w:val="24"/>
        </w:rPr>
        <w:t xml:space="preserve">, </w:t>
      </w:r>
      <w:r w:rsidR="00ED753A" w:rsidRPr="00E47A79">
        <w:rPr>
          <w:rFonts w:ascii="Garamond" w:hAnsi="Garamond"/>
          <w:sz w:val="24"/>
          <w:szCs w:val="24"/>
        </w:rPr>
        <w:t xml:space="preserve">to reveal </w:t>
      </w:r>
      <w:r w:rsidR="007133E4" w:rsidRPr="00E47A79">
        <w:rPr>
          <w:rFonts w:ascii="Garamond" w:hAnsi="Garamond"/>
          <w:sz w:val="24"/>
          <w:szCs w:val="24"/>
        </w:rPr>
        <w:t>a discourse which</w:t>
      </w:r>
      <w:r w:rsidR="00A95A62" w:rsidRPr="00E47A79">
        <w:rPr>
          <w:rFonts w:ascii="Garamond" w:hAnsi="Garamond"/>
          <w:sz w:val="24"/>
          <w:szCs w:val="24"/>
        </w:rPr>
        <w:t xml:space="preserve"> f</w:t>
      </w:r>
      <w:bookmarkStart w:id="3" w:name="_Hlk62416557"/>
      <w:r w:rsidR="00A95A62" w:rsidRPr="00E47A79">
        <w:rPr>
          <w:rFonts w:ascii="Garamond" w:hAnsi="Garamond"/>
          <w:sz w:val="24"/>
          <w:szCs w:val="24"/>
        </w:rPr>
        <w:t xml:space="preserve">rames </w:t>
      </w:r>
      <w:r w:rsidR="00222406" w:rsidRPr="00E47A79">
        <w:rPr>
          <w:rFonts w:ascii="Garamond" w:hAnsi="Garamond"/>
          <w:sz w:val="24"/>
          <w:szCs w:val="24"/>
        </w:rPr>
        <w:t>‘</w:t>
      </w:r>
      <w:r w:rsidR="00A95A62" w:rsidRPr="00E47A79">
        <w:rPr>
          <w:rFonts w:ascii="Garamond" w:hAnsi="Garamond"/>
          <w:sz w:val="24"/>
          <w:szCs w:val="24"/>
        </w:rPr>
        <w:t>prescribing</w:t>
      </w:r>
      <w:r w:rsidR="00222406" w:rsidRPr="00E47A79">
        <w:rPr>
          <w:rFonts w:ascii="Garamond" w:hAnsi="Garamond"/>
          <w:sz w:val="24"/>
          <w:szCs w:val="24"/>
        </w:rPr>
        <w:t>’</w:t>
      </w:r>
      <w:r w:rsidR="00A95A62" w:rsidRPr="00E47A79">
        <w:rPr>
          <w:rFonts w:ascii="Garamond" w:hAnsi="Garamond"/>
          <w:sz w:val="24"/>
          <w:szCs w:val="24"/>
        </w:rPr>
        <w:t xml:space="preserve"> as a medico-legally hazardous</w:t>
      </w:r>
      <w:r w:rsidR="00ED753A" w:rsidRPr="00E47A79">
        <w:rPr>
          <w:rFonts w:ascii="Garamond" w:hAnsi="Garamond"/>
          <w:sz w:val="24"/>
          <w:szCs w:val="24"/>
        </w:rPr>
        <w:t xml:space="preserve"> activity</w:t>
      </w:r>
      <w:r w:rsidR="00A95A62" w:rsidRPr="00E47A79">
        <w:rPr>
          <w:rFonts w:ascii="Garamond" w:hAnsi="Garamond"/>
          <w:sz w:val="24"/>
          <w:szCs w:val="24"/>
        </w:rPr>
        <w:t xml:space="preserve">. </w:t>
      </w:r>
      <w:r w:rsidR="00ED753A" w:rsidRPr="00E47A79">
        <w:rPr>
          <w:rFonts w:ascii="Garamond" w:hAnsi="Garamond"/>
          <w:sz w:val="24"/>
          <w:szCs w:val="24"/>
        </w:rPr>
        <w:t xml:space="preserve">In making </w:t>
      </w:r>
      <w:r w:rsidR="00A95A62" w:rsidRPr="00E47A79">
        <w:rPr>
          <w:rFonts w:ascii="Garamond" w:hAnsi="Garamond"/>
          <w:sz w:val="24"/>
          <w:szCs w:val="24"/>
        </w:rPr>
        <w:t xml:space="preserve">visible the boundary work </w:t>
      </w:r>
      <w:r w:rsidR="00E53734" w:rsidRPr="00E47A79">
        <w:rPr>
          <w:rFonts w:ascii="Garamond" w:hAnsi="Garamond"/>
          <w:sz w:val="24"/>
          <w:szCs w:val="24"/>
        </w:rPr>
        <w:t xml:space="preserve">which </w:t>
      </w:r>
      <w:r w:rsidR="00A95A62" w:rsidRPr="00E47A79">
        <w:rPr>
          <w:rFonts w:ascii="Garamond" w:hAnsi="Garamond"/>
          <w:sz w:val="24"/>
          <w:szCs w:val="24"/>
        </w:rPr>
        <w:t>underscore</w:t>
      </w:r>
      <w:r w:rsidR="00E53734" w:rsidRPr="00E47A79">
        <w:rPr>
          <w:rFonts w:ascii="Garamond" w:hAnsi="Garamond"/>
          <w:sz w:val="24"/>
          <w:szCs w:val="24"/>
        </w:rPr>
        <w:t>s</w:t>
      </w:r>
      <w:r w:rsidR="00A95A62" w:rsidRPr="00E47A79">
        <w:rPr>
          <w:rFonts w:ascii="Garamond" w:hAnsi="Garamond"/>
          <w:sz w:val="24"/>
          <w:szCs w:val="24"/>
        </w:rPr>
        <w:t xml:space="preserve"> </w:t>
      </w:r>
      <w:r w:rsidR="007E0140" w:rsidRPr="00E47A79">
        <w:rPr>
          <w:rFonts w:ascii="Garamond" w:hAnsi="Garamond"/>
          <w:sz w:val="24"/>
          <w:szCs w:val="24"/>
        </w:rPr>
        <w:t>th</w:t>
      </w:r>
      <w:r w:rsidR="00ED753A" w:rsidRPr="00E47A79">
        <w:rPr>
          <w:rFonts w:ascii="Garamond" w:hAnsi="Garamond"/>
          <w:sz w:val="24"/>
          <w:szCs w:val="24"/>
        </w:rPr>
        <w:t>e</w:t>
      </w:r>
      <w:r w:rsidR="007E0140" w:rsidRPr="00E47A79">
        <w:rPr>
          <w:rFonts w:ascii="Garamond" w:hAnsi="Garamond"/>
          <w:sz w:val="24"/>
          <w:szCs w:val="24"/>
        </w:rPr>
        <w:t xml:space="preserve"> </w:t>
      </w:r>
      <w:r w:rsidR="00A95A62" w:rsidRPr="00E47A79">
        <w:rPr>
          <w:rFonts w:ascii="Garamond" w:hAnsi="Garamond"/>
          <w:sz w:val="24"/>
          <w:szCs w:val="24"/>
        </w:rPr>
        <w:t xml:space="preserve">messaging of medico-legal hazard, </w:t>
      </w:r>
      <w:r w:rsidR="00ED753A" w:rsidRPr="00E47A79">
        <w:rPr>
          <w:rFonts w:ascii="Garamond" w:hAnsi="Garamond"/>
          <w:sz w:val="24"/>
          <w:szCs w:val="24"/>
        </w:rPr>
        <w:t xml:space="preserve">this paper </w:t>
      </w:r>
      <w:r w:rsidR="00D426B6" w:rsidRPr="00E47A79">
        <w:rPr>
          <w:rFonts w:ascii="Garamond" w:hAnsi="Garamond"/>
          <w:sz w:val="24"/>
          <w:szCs w:val="24"/>
        </w:rPr>
        <w:t>highlights</w:t>
      </w:r>
      <w:r w:rsidR="00ED753A" w:rsidRPr="00E47A79">
        <w:rPr>
          <w:rFonts w:ascii="Garamond" w:hAnsi="Garamond"/>
          <w:sz w:val="24"/>
          <w:szCs w:val="24"/>
        </w:rPr>
        <w:t xml:space="preserve"> a triad of rhetorical devices comprising</w:t>
      </w:r>
      <w:r w:rsidR="00A95A62" w:rsidRPr="00E47A79">
        <w:rPr>
          <w:rFonts w:ascii="Garamond" w:hAnsi="Garamond"/>
          <w:sz w:val="24"/>
          <w:szCs w:val="24"/>
        </w:rPr>
        <w:t xml:space="preserve"> the ‘last resort’ principle, ‘personal responsibility’ </w:t>
      </w:r>
      <w:r w:rsidR="00D175C6" w:rsidRPr="00E47A79">
        <w:rPr>
          <w:rFonts w:ascii="Garamond" w:hAnsi="Garamond"/>
          <w:sz w:val="24"/>
          <w:szCs w:val="24"/>
        </w:rPr>
        <w:t>for prescribing</w:t>
      </w:r>
      <w:r w:rsidR="00A91B10" w:rsidRPr="00E47A79">
        <w:rPr>
          <w:rFonts w:ascii="Garamond" w:hAnsi="Garamond"/>
          <w:sz w:val="24"/>
          <w:szCs w:val="24"/>
        </w:rPr>
        <w:t xml:space="preserve"> and the randomised controlled trial as an exclusive measure of ‘safety and efficacy’.</w:t>
      </w:r>
      <w:bookmarkEnd w:id="3"/>
      <w:r w:rsidR="00A95A62" w:rsidRPr="00E47A79">
        <w:rPr>
          <w:rFonts w:ascii="Garamond" w:hAnsi="Garamond"/>
          <w:sz w:val="24"/>
          <w:szCs w:val="24"/>
        </w:rPr>
        <w:t xml:space="preserve"> </w:t>
      </w:r>
      <w:r w:rsidR="00303BE0" w:rsidRPr="00E47A79">
        <w:rPr>
          <w:rFonts w:ascii="Garamond" w:hAnsi="Garamond"/>
          <w:sz w:val="24"/>
          <w:szCs w:val="24"/>
        </w:rPr>
        <w:t>The article concludes that</w:t>
      </w:r>
      <w:r w:rsidR="003D4BFF" w:rsidRPr="00E47A79">
        <w:rPr>
          <w:rFonts w:ascii="Garamond" w:hAnsi="Garamond"/>
          <w:sz w:val="24"/>
          <w:szCs w:val="24"/>
        </w:rPr>
        <w:t xml:space="preserve"> whilst these constructs are grounded in legitimate concerns with managing known and unknown health risks,</w:t>
      </w:r>
      <w:r w:rsidR="00303BE0" w:rsidRPr="00E47A79">
        <w:rPr>
          <w:rFonts w:ascii="Garamond" w:hAnsi="Garamond"/>
          <w:sz w:val="24"/>
          <w:szCs w:val="24"/>
        </w:rPr>
        <w:t xml:space="preserve"> these boundary mechanisms </w:t>
      </w:r>
      <w:r w:rsidR="00D426B6" w:rsidRPr="00E47A79">
        <w:rPr>
          <w:rFonts w:ascii="Garamond" w:hAnsi="Garamond"/>
          <w:sz w:val="24"/>
          <w:szCs w:val="24"/>
        </w:rPr>
        <w:t xml:space="preserve">may </w:t>
      </w:r>
      <w:r w:rsidR="00C2526B" w:rsidRPr="00E47A79">
        <w:rPr>
          <w:rFonts w:ascii="Garamond" w:hAnsi="Garamond"/>
          <w:sz w:val="24"/>
          <w:szCs w:val="24"/>
        </w:rPr>
        <w:t xml:space="preserve">also have the effect of </w:t>
      </w:r>
      <w:r w:rsidR="00A671B3" w:rsidRPr="00E47A79">
        <w:rPr>
          <w:rFonts w:ascii="Garamond" w:hAnsi="Garamond"/>
          <w:sz w:val="24"/>
          <w:szCs w:val="24"/>
        </w:rPr>
        <w:t>deterring innovation</w:t>
      </w:r>
      <w:r w:rsidR="00303BE0" w:rsidRPr="00E47A79">
        <w:rPr>
          <w:rFonts w:ascii="Garamond" w:hAnsi="Garamond"/>
          <w:sz w:val="24"/>
          <w:szCs w:val="24"/>
        </w:rPr>
        <w:t xml:space="preserve"> preserv</w:t>
      </w:r>
      <w:r w:rsidR="00C2526B" w:rsidRPr="00E47A79">
        <w:rPr>
          <w:rFonts w:ascii="Garamond" w:hAnsi="Garamond"/>
          <w:sz w:val="24"/>
          <w:szCs w:val="24"/>
        </w:rPr>
        <w:t>ing</w:t>
      </w:r>
      <w:r w:rsidR="00303BE0" w:rsidRPr="00E47A79">
        <w:rPr>
          <w:rFonts w:ascii="Garamond" w:hAnsi="Garamond"/>
          <w:sz w:val="24"/>
          <w:szCs w:val="24"/>
        </w:rPr>
        <w:t xml:space="preserve"> medical authority, </w:t>
      </w:r>
      <w:r w:rsidR="00127D7D" w:rsidRPr="00E47A79">
        <w:rPr>
          <w:rFonts w:ascii="Garamond" w:hAnsi="Garamond"/>
          <w:sz w:val="24"/>
          <w:szCs w:val="24"/>
        </w:rPr>
        <w:t xml:space="preserve">and risk compromising </w:t>
      </w:r>
      <w:r w:rsidR="00303BE0" w:rsidRPr="00E47A79">
        <w:rPr>
          <w:rFonts w:ascii="Garamond" w:hAnsi="Garamond"/>
          <w:sz w:val="24"/>
          <w:szCs w:val="24"/>
        </w:rPr>
        <w:t xml:space="preserve">the </w:t>
      </w:r>
      <w:r w:rsidR="00E53734" w:rsidRPr="00E47A79">
        <w:rPr>
          <w:rFonts w:ascii="Garamond" w:hAnsi="Garamond"/>
          <w:sz w:val="24"/>
          <w:szCs w:val="24"/>
        </w:rPr>
        <w:t xml:space="preserve">reform </w:t>
      </w:r>
      <w:r w:rsidR="00303BE0" w:rsidRPr="00E47A79">
        <w:rPr>
          <w:rFonts w:ascii="Garamond" w:hAnsi="Garamond"/>
          <w:sz w:val="24"/>
          <w:szCs w:val="24"/>
        </w:rPr>
        <w:t xml:space="preserve">objective of </w:t>
      </w:r>
      <w:r w:rsidR="00303BE0" w:rsidRPr="00E47A79">
        <w:rPr>
          <w:rFonts w:ascii="Garamond" w:hAnsi="Garamond"/>
          <w:i/>
          <w:iCs/>
          <w:sz w:val="24"/>
          <w:szCs w:val="24"/>
        </w:rPr>
        <w:t>balancing</w:t>
      </w:r>
      <w:r w:rsidR="00303BE0" w:rsidRPr="00E47A79">
        <w:rPr>
          <w:rFonts w:ascii="Garamond" w:hAnsi="Garamond"/>
          <w:sz w:val="24"/>
          <w:szCs w:val="24"/>
        </w:rPr>
        <w:t xml:space="preserve"> patient </w:t>
      </w:r>
      <w:r w:rsidR="00351B7D" w:rsidRPr="00E47A79">
        <w:rPr>
          <w:rFonts w:ascii="Garamond" w:hAnsi="Garamond"/>
          <w:sz w:val="24"/>
          <w:szCs w:val="24"/>
        </w:rPr>
        <w:t xml:space="preserve">access </w:t>
      </w:r>
      <w:r w:rsidR="00303BE0" w:rsidRPr="00E47A79">
        <w:rPr>
          <w:rFonts w:ascii="Garamond" w:hAnsi="Garamond"/>
          <w:sz w:val="24"/>
          <w:szCs w:val="24"/>
        </w:rPr>
        <w:t xml:space="preserve">with </w:t>
      </w:r>
      <w:r w:rsidR="00351B7D" w:rsidRPr="00E47A79">
        <w:rPr>
          <w:rFonts w:ascii="Garamond" w:hAnsi="Garamond"/>
          <w:sz w:val="24"/>
          <w:szCs w:val="24"/>
        </w:rPr>
        <w:t>safety</w:t>
      </w:r>
      <w:r w:rsidR="00303BE0" w:rsidRPr="00E47A79">
        <w:rPr>
          <w:rFonts w:ascii="Garamond" w:hAnsi="Garamond"/>
          <w:sz w:val="24"/>
          <w:szCs w:val="24"/>
        </w:rPr>
        <w:t xml:space="preserve">. </w:t>
      </w:r>
    </w:p>
    <w:p w14:paraId="2CE0989A" w14:textId="0D5A9C03" w:rsidR="00A95A62" w:rsidRPr="00E47A79" w:rsidRDefault="00AA15F5" w:rsidP="007716EE">
      <w:pPr>
        <w:spacing w:line="360" w:lineRule="auto"/>
        <w:rPr>
          <w:rFonts w:ascii="Garamond" w:hAnsi="Garamond"/>
          <w:sz w:val="24"/>
          <w:szCs w:val="24"/>
        </w:rPr>
      </w:pPr>
      <w:r w:rsidRPr="00E47A79">
        <w:rPr>
          <w:rFonts w:ascii="Garamond" w:hAnsi="Garamond"/>
          <w:sz w:val="24"/>
          <w:szCs w:val="24"/>
        </w:rPr>
        <w:t xml:space="preserve">The focus </w:t>
      </w:r>
      <w:r w:rsidR="006C57E2" w:rsidRPr="00E47A79">
        <w:rPr>
          <w:rFonts w:ascii="Garamond" w:hAnsi="Garamond"/>
          <w:sz w:val="24"/>
          <w:szCs w:val="24"/>
        </w:rPr>
        <w:t xml:space="preserve">of the paper </w:t>
      </w:r>
      <w:r w:rsidRPr="00E47A79">
        <w:rPr>
          <w:rFonts w:ascii="Garamond" w:hAnsi="Garamond"/>
          <w:sz w:val="24"/>
          <w:szCs w:val="24"/>
        </w:rPr>
        <w:t xml:space="preserve">then shifts to examine some of the realities of medico-legal risks of prescribing. The legal standard of care in negligence liability has been chosen </w:t>
      </w:r>
      <w:r w:rsidR="00AA19E1" w:rsidRPr="00E47A79">
        <w:rPr>
          <w:rFonts w:ascii="Garamond" w:hAnsi="Garamond"/>
          <w:sz w:val="24"/>
          <w:szCs w:val="24"/>
        </w:rPr>
        <w:t>for analysis</w:t>
      </w:r>
      <w:r w:rsidRPr="00E47A79">
        <w:rPr>
          <w:rFonts w:ascii="Garamond" w:hAnsi="Garamond"/>
          <w:sz w:val="24"/>
          <w:szCs w:val="24"/>
        </w:rPr>
        <w:t xml:space="preserve"> because it provides a space in which these ‘boundary sites’, particularly of judgements about the safety and efficacy of medicines and medical practices</w:t>
      </w:r>
      <w:r w:rsidR="001858A0" w:rsidRPr="00E47A79">
        <w:rPr>
          <w:rFonts w:ascii="Garamond" w:hAnsi="Garamond"/>
          <w:sz w:val="24"/>
          <w:szCs w:val="24"/>
        </w:rPr>
        <w:t>,</w:t>
      </w:r>
      <w:r w:rsidRPr="00E47A79">
        <w:rPr>
          <w:rFonts w:ascii="Garamond" w:hAnsi="Garamond"/>
          <w:sz w:val="24"/>
          <w:szCs w:val="24"/>
        </w:rPr>
        <w:t xml:space="preserve"> can be negotiated, sustained, further embedded</w:t>
      </w:r>
      <w:r w:rsidR="006C57E2" w:rsidRPr="00E47A79">
        <w:rPr>
          <w:rFonts w:ascii="Garamond" w:hAnsi="Garamond"/>
          <w:sz w:val="24"/>
          <w:szCs w:val="24"/>
        </w:rPr>
        <w:t>,</w:t>
      </w:r>
      <w:r w:rsidRPr="00E47A79">
        <w:rPr>
          <w:rFonts w:ascii="Garamond" w:hAnsi="Garamond"/>
          <w:sz w:val="24"/>
          <w:szCs w:val="24"/>
        </w:rPr>
        <w:t xml:space="preserve"> or sometimes reframed</w:t>
      </w:r>
      <w:r w:rsidR="003A3172" w:rsidRPr="00E47A79">
        <w:rPr>
          <w:rFonts w:ascii="Garamond" w:hAnsi="Garamond"/>
          <w:sz w:val="24"/>
          <w:szCs w:val="24"/>
        </w:rPr>
        <w:t>.</w:t>
      </w:r>
      <w:r w:rsidRPr="00E47A79">
        <w:rPr>
          <w:rFonts w:ascii="Garamond" w:hAnsi="Garamond"/>
          <w:sz w:val="24"/>
          <w:szCs w:val="24"/>
        </w:rPr>
        <w:t xml:space="preserve"> </w:t>
      </w:r>
      <w:r w:rsidR="00CB7807">
        <w:rPr>
          <w:rFonts w:ascii="Garamond" w:hAnsi="Garamond"/>
          <w:sz w:val="24"/>
          <w:szCs w:val="24"/>
        </w:rPr>
        <w:t>T</w:t>
      </w:r>
      <w:r w:rsidR="007E0140" w:rsidRPr="00E47A79">
        <w:rPr>
          <w:rFonts w:ascii="Garamond" w:hAnsi="Garamond"/>
          <w:sz w:val="24"/>
          <w:szCs w:val="24"/>
        </w:rPr>
        <w:t xml:space="preserve">he </w:t>
      </w:r>
      <w:r w:rsidR="00351B7D" w:rsidRPr="00E47A79">
        <w:rPr>
          <w:rFonts w:ascii="Garamond" w:hAnsi="Garamond"/>
          <w:sz w:val="24"/>
          <w:szCs w:val="24"/>
        </w:rPr>
        <w:t>paper</w:t>
      </w:r>
      <w:r w:rsidR="007E0140" w:rsidRPr="00E47A79">
        <w:rPr>
          <w:rFonts w:ascii="Garamond" w:hAnsi="Garamond"/>
          <w:sz w:val="24"/>
          <w:szCs w:val="24"/>
        </w:rPr>
        <w:t xml:space="preserve"> examines</w:t>
      </w:r>
      <w:r w:rsidRPr="00E47A79">
        <w:rPr>
          <w:rFonts w:ascii="Garamond" w:hAnsi="Garamond"/>
          <w:sz w:val="24"/>
          <w:szCs w:val="24"/>
        </w:rPr>
        <w:t xml:space="preserve"> </w:t>
      </w:r>
      <w:r w:rsidR="00A95A62" w:rsidRPr="00E47A79">
        <w:rPr>
          <w:rFonts w:ascii="Garamond" w:hAnsi="Garamond"/>
          <w:sz w:val="24"/>
          <w:szCs w:val="24"/>
        </w:rPr>
        <w:t xml:space="preserve">how the </w:t>
      </w:r>
      <w:proofErr w:type="spellStart"/>
      <w:r w:rsidR="00A95A62" w:rsidRPr="00E47A79">
        <w:rPr>
          <w:rFonts w:ascii="Garamond" w:hAnsi="Garamond"/>
          <w:i/>
          <w:iCs/>
          <w:sz w:val="24"/>
          <w:szCs w:val="24"/>
        </w:rPr>
        <w:t>Bolam</w:t>
      </w:r>
      <w:proofErr w:type="spellEnd"/>
      <w:r w:rsidR="00A95A62" w:rsidRPr="00E47A79">
        <w:rPr>
          <w:rFonts w:ascii="Garamond" w:hAnsi="Garamond"/>
          <w:i/>
          <w:iCs/>
          <w:sz w:val="24"/>
          <w:szCs w:val="24"/>
        </w:rPr>
        <w:t>-Bolitho</w:t>
      </w:r>
      <w:r w:rsidR="00A95A62" w:rsidRPr="00E47A79">
        <w:rPr>
          <w:rFonts w:ascii="Garamond" w:hAnsi="Garamond"/>
          <w:sz w:val="24"/>
          <w:szCs w:val="24"/>
        </w:rPr>
        <w:t xml:space="preserve"> formulation of the standard of care</w:t>
      </w:r>
      <w:r w:rsidR="00A671B3" w:rsidRPr="00E47A79">
        <w:rPr>
          <w:rFonts w:ascii="Garamond" w:hAnsi="Garamond"/>
          <w:sz w:val="24"/>
          <w:szCs w:val="24"/>
        </w:rPr>
        <w:t xml:space="preserve"> in the context of allegedly negligent medical treatment</w:t>
      </w:r>
      <w:r w:rsidR="00A95A62" w:rsidRPr="00E47A79">
        <w:rPr>
          <w:rFonts w:ascii="Garamond" w:hAnsi="Garamond"/>
          <w:sz w:val="24"/>
          <w:szCs w:val="24"/>
        </w:rPr>
        <w:t xml:space="preserve"> </w:t>
      </w:r>
      <w:r w:rsidR="00F06706" w:rsidRPr="00E47A79">
        <w:rPr>
          <w:rFonts w:ascii="Garamond" w:hAnsi="Garamond"/>
          <w:sz w:val="24"/>
          <w:szCs w:val="24"/>
        </w:rPr>
        <w:t xml:space="preserve">might </w:t>
      </w:r>
      <w:r w:rsidR="00CF0CC2" w:rsidRPr="00E47A79">
        <w:rPr>
          <w:rFonts w:ascii="Garamond" w:hAnsi="Garamond"/>
          <w:sz w:val="24"/>
          <w:szCs w:val="24"/>
        </w:rPr>
        <w:t xml:space="preserve">be applied to innovative prescribing of </w:t>
      </w:r>
      <w:r w:rsidR="00A95A62" w:rsidRPr="00E47A79">
        <w:rPr>
          <w:rFonts w:ascii="Garamond" w:hAnsi="Garamond"/>
          <w:sz w:val="24"/>
          <w:szCs w:val="24"/>
        </w:rPr>
        <w:t>unlicensed medicinal cannabis products</w:t>
      </w:r>
      <w:r w:rsidR="00303BE0" w:rsidRPr="00E47A79">
        <w:rPr>
          <w:rFonts w:ascii="Garamond" w:hAnsi="Garamond"/>
          <w:sz w:val="24"/>
          <w:szCs w:val="24"/>
        </w:rPr>
        <w:t xml:space="preserve"> in a way which </w:t>
      </w:r>
      <w:r w:rsidR="00127D7D" w:rsidRPr="00E47A79">
        <w:rPr>
          <w:rFonts w:ascii="Garamond" w:hAnsi="Garamond"/>
          <w:sz w:val="24"/>
          <w:szCs w:val="24"/>
        </w:rPr>
        <w:t>is more permissive of innovative prescribing</w:t>
      </w:r>
      <w:r w:rsidR="009C60BA">
        <w:rPr>
          <w:rFonts w:ascii="Garamond" w:hAnsi="Garamond"/>
          <w:sz w:val="24"/>
          <w:szCs w:val="24"/>
        </w:rPr>
        <w:t xml:space="preserve"> than the guidance would suggest,</w:t>
      </w:r>
      <w:r w:rsidR="00127D7D" w:rsidRPr="00E47A79">
        <w:rPr>
          <w:rFonts w:ascii="Garamond" w:hAnsi="Garamond"/>
          <w:sz w:val="24"/>
          <w:szCs w:val="24"/>
        </w:rPr>
        <w:t xml:space="preserve"> and</w:t>
      </w:r>
      <w:r w:rsidR="009C60BA">
        <w:rPr>
          <w:rFonts w:ascii="Garamond" w:hAnsi="Garamond"/>
          <w:sz w:val="24"/>
          <w:szCs w:val="24"/>
        </w:rPr>
        <w:t xml:space="preserve"> which</w:t>
      </w:r>
      <w:r w:rsidR="00CB7807">
        <w:rPr>
          <w:rFonts w:ascii="Garamond" w:hAnsi="Garamond"/>
          <w:sz w:val="24"/>
          <w:szCs w:val="24"/>
        </w:rPr>
        <w:t xml:space="preserve"> (</w:t>
      </w:r>
      <w:r w:rsidR="009C60BA">
        <w:rPr>
          <w:rFonts w:ascii="Garamond" w:hAnsi="Garamond"/>
          <w:sz w:val="24"/>
          <w:szCs w:val="24"/>
        </w:rPr>
        <w:t>again</w:t>
      </w:r>
      <w:r w:rsidR="00CB7807">
        <w:rPr>
          <w:rFonts w:ascii="Garamond" w:hAnsi="Garamond"/>
          <w:sz w:val="24"/>
          <w:szCs w:val="24"/>
        </w:rPr>
        <w:t>,</w:t>
      </w:r>
      <w:r w:rsidR="009C60BA">
        <w:rPr>
          <w:rFonts w:ascii="Garamond" w:hAnsi="Garamond"/>
          <w:sz w:val="24"/>
          <w:szCs w:val="24"/>
        </w:rPr>
        <w:t xml:space="preserve"> contrary to</w:t>
      </w:r>
      <w:r w:rsidR="00CB7807">
        <w:rPr>
          <w:rFonts w:ascii="Garamond" w:hAnsi="Garamond"/>
          <w:sz w:val="24"/>
          <w:szCs w:val="24"/>
        </w:rPr>
        <w:t xml:space="preserve"> much of</w:t>
      </w:r>
      <w:r w:rsidR="009C60BA">
        <w:rPr>
          <w:rFonts w:ascii="Garamond" w:hAnsi="Garamond"/>
          <w:sz w:val="24"/>
          <w:szCs w:val="24"/>
        </w:rPr>
        <w:t xml:space="preserve"> the guidance</w:t>
      </w:r>
      <w:r w:rsidR="00CB7807">
        <w:rPr>
          <w:rFonts w:ascii="Garamond" w:hAnsi="Garamond"/>
          <w:sz w:val="24"/>
          <w:szCs w:val="24"/>
        </w:rPr>
        <w:t>)</w:t>
      </w:r>
      <w:r w:rsidR="00127D7D" w:rsidRPr="00E47A79">
        <w:rPr>
          <w:rFonts w:ascii="Garamond" w:hAnsi="Garamond"/>
          <w:sz w:val="24"/>
          <w:szCs w:val="24"/>
        </w:rPr>
        <w:t xml:space="preserve"> enables the values and preferences of the patient to be given </w:t>
      </w:r>
      <w:r w:rsidR="009C60BA">
        <w:rPr>
          <w:rFonts w:ascii="Garamond" w:hAnsi="Garamond"/>
          <w:sz w:val="24"/>
          <w:szCs w:val="24"/>
        </w:rPr>
        <w:t xml:space="preserve">real </w:t>
      </w:r>
      <w:r w:rsidR="00127D7D" w:rsidRPr="00E47A79">
        <w:rPr>
          <w:rFonts w:ascii="Garamond" w:hAnsi="Garamond"/>
          <w:sz w:val="24"/>
          <w:szCs w:val="24"/>
        </w:rPr>
        <w:t>weight in clinical decision making</w:t>
      </w:r>
      <w:r w:rsidR="00A95A62" w:rsidRPr="00E47A79">
        <w:rPr>
          <w:rFonts w:ascii="Garamond" w:hAnsi="Garamond"/>
          <w:sz w:val="24"/>
          <w:szCs w:val="24"/>
        </w:rPr>
        <w:t xml:space="preserve">. </w:t>
      </w:r>
    </w:p>
    <w:p w14:paraId="238328C5" w14:textId="34903BB1" w:rsidR="00A95A62" w:rsidRPr="00E47A79" w:rsidRDefault="00A95A62" w:rsidP="00A601B9">
      <w:pPr>
        <w:spacing w:line="360" w:lineRule="auto"/>
        <w:rPr>
          <w:rFonts w:ascii="Garamond" w:hAnsi="Garamond"/>
          <w:b/>
          <w:bCs/>
          <w:sz w:val="24"/>
          <w:szCs w:val="24"/>
        </w:rPr>
      </w:pPr>
    </w:p>
    <w:p w14:paraId="716961ED" w14:textId="6BB9BAD9" w:rsidR="00D538E6" w:rsidRPr="00E47A79" w:rsidRDefault="006B7375" w:rsidP="004E0ED6">
      <w:pPr>
        <w:pStyle w:val="ListParagraph"/>
        <w:numPr>
          <w:ilvl w:val="0"/>
          <w:numId w:val="29"/>
        </w:numPr>
        <w:spacing w:line="360" w:lineRule="auto"/>
        <w:jc w:val="center"/>
        <w:rPr>
          <w:rFonts w:ascii="Garamond" w:hAnsi="Garamond"/>
          <w:b/>
          <w:bCs/>
          <w:sz w:val="24"/>
          <w:szCs w:val="24"/>
        </w:rPr>
      </w:pPr>
      <w:r w:rsidRPr="00E47A79">
        <w:rPr>
          <w:rFonts w:ascii="Garamond" w:hAnsi="Garamond"/>
          <w:b/>
          <w:bCs/>
          <w:sz w:val="24"/>
          <w:szCs w:val="24"/>
        </w:rPr>
        <w:t>BOUNDARY WORK AND</w:t>
      </w:r>
      <w:r w:rsidR="00F24536" w:rsidRPr="00E47A79">
        <w:rPr>
          <w:rFonts w:ascii="Garamond" w:hAnsi="Garamond"/>
          <w:b/>
          <w:bCs/>
          <w:sz w:val="24"/>
          <w:szCs w:val="24"/>
        </w:rPr>
        <w:t xml:space="preserve"> MEDICINAL CANNABIS</w:t>
      </w:r>
    </w:p>
    <w:p w14:paraId="31C84988" w14:textId="77777777" w:rsidR="004E0ED6" w:rsidRPr="00E47A79" w:rsidRDefault="004E0ED6" w:rsidP="00640BB9">
      <w:pPr>
        <w:pStyle w:val="ListParagraph"/>
        <w:spacing w:line="360" w:lineRule="auto"/>
        <w:ind w:left="1080"/>
        <w:rPr>
          <w:rFonts w:ascii="Garamond" w:hAnsi="Garamond"/>
          <w:b/>
          <w:bCs/>
          <w:sz w:val="24"/>
          <w:szCs w:val="24"/>
        </w:rPr>
      </w:pPr>
    </w:p>
    <w:p w14:paraId="089C73F3" w14:textId="681FE080" w:rsidR="00A40A54" w:rsidRPr="00E47A79" w:rsidRDefault="000C78F1" w:rsidP="00A601B9">
      <w:pPr>
        <w:spacing w:line="360" w:lineRule="auto"/>
        <w:rPr>
          <w:rFonts w:ascii="Garamond" w:hAnsi="Garamond"/>
          <w:sz w:val="24"/>
          <w:szCs w:val="24"/>
        </w:rPr>
      </w:pPr>
      <w:proofErr w:type="spellStart"/>
      <w:r w:rsidRPr="00E47A79">
        <w:rPr>
          <w:rFonts w:ascii="Garamond" w:hAnsi="Garamond"/>
          <w:sz w:val="24"/>
          <w:szCs w:val="24"/>
        </w:rPr>
        <w:t>Gieryn’s</w:t>
      </w:r>
      <w:proofErr w:type="spellEnd"/>
      <w:r w:rsidRPr="00E47A79">
        <w:rPr>
          <w:rFonts w:ascii="Garamond" w:hAnsi="Garamond"/>
          <w:sz w:val="24"/>
          <w:szCs w:val="24"/>
        </w:rPr>
        <w:t xml:space="preserve"> original </w:t>
      </w:r>
      <w:r w:rsidR="004E0ED6" w:rsidRPr="00E47A79">
        <w:rPr>
          <w:rFonts w:ascii="Garamond" w:hAnsi="Garamond"/>
          <w:sz w:val="24"/>
          <w:szCs w:val="24"/>
        </w:rPr>
        <w:t xml:space="preserve">boundary </w:t>
      </w:r>
      <w:r w:rsidRPr="00E47A79">
        <w:rPr>
          <w:rFonts w:ascii="Garamond" w:hAnsi="Garamond"/>
          <w:sz w:val="24"/>
          <w:szCs w:val="24"/>
        </w:rPr>
        <w:t>work</w:t>
      </w:r>
      <w:r w:rsidR="004E0ED6" w:rsidRPr="00E47A79">
        <w:rPr>
          <w:rFonts w:ascii="Garamond" w:hAnsi="Garamond"/>
          <w:sz w:val="24"/>
          <w:szCs w:val="24"/>
        </w:rPr>
        <w:t xml:space="preserve"> thesis</w:t>
      </w:r>
      <w:r w:rsidR="00EC4F52" w:rsidRPr="00E47A79">
        <w:rPr>
          <w:rStyle w:val="FootnoteReference"/>
          <w:rFonts w:ascii="Garamond" w:hAnsi="Garamond"/>
          <w:sz w:val="24"/>
          <w:szCs w:val="24"/>
        </w:rPr>
        <w:footnoteReference w:id="44"/>
      </w:r>
      <w:r w:rsidRPr="00E47A79">
        <w:rPr>
          <w:rFonts w:ascii="Garamond" w:hAnsi="Garamond"/>
          <w:sz w:val="24"/>
          <w:szCs w:val="24"/>
        </w:rPr>
        <w:t xml:space="preserve"> </w:t>
      </w:r>
      <w:r w:rsidR="004E0ED6" w:rsidRPr="00E47A79">
        <w:rPr>
          <w:rFonts w:ascii="Garamond" w:hAnsi="Garamond"/>
          <w:sz w:val="24"/>
          <w:szCs w:val="24"/>
        </w:rPr>
        <w:t xml:space="preserve">described </w:t>
      </w:r>
      <w:r w:rsidRPr="00E47A79">
        <w:rPr>
          <w:rFonts w:ascii="Garamond" w:hAnsi="Garamond"/>
          <w:sz w:val="24"/>
          <w:szCs w:val="24"/>
        </w:rPr>
        <w:t>scien</w:t>
      </w:r>
      <w:r w:rsidR="001776F0" w:rsidRPr="00E47A79">
        <w:rPr>
          <w:rFonts w:ascii="Garamond" w:hAnsi="Garamond"/>
          <w:sz w:val="24"/>
          <w:szCs w:val="24"/>
        </w:rPr>
        <w:t xml:space="preserve">tists’ attempts to defend their professional autonomy </w:t>
      </w:r>
      <w:r w:rsidR="000070C1" w:rsidRPr="00E47A79">
        <w:rPr>
          <w:rFonts w:ascii="Garamond" w:hAnsi="Garamond"/>
          <w:sz w:val="24"/>
          <w:szCs w:val="24"/>
        </w:rPr>
        <w:t>by</w:t>
      </w:r>
      <w:r w:rsidR="001776F0" w:rsidRPr="00E47A79">
        <w:rPr>
          <w:rFonts w:ascii="Garamond" w:hAnsi="Garamond"/>
          <w:sz w:val="24"/>
          <w:szCs w:val="24"/>
        </w:rPr>
        <w:t xml:space="preserve"> mark</w:t>
      </w:r>
      <w:r w:rsidR="000070C1" w:rsidRPr="00E47A79">
        <w:rPr>
          <w:rFonts w:ascii="Garamond" w:hAnsi="Garamond"/>
          <w:sz w:val="24"/>
          <w:szCs w:val="24"/>
        </w:rPr>
        <w:t>ing</w:t>
      </w:r>
      <w:r w:rsidR="001776F0" w:rsidRPr="00E47A79">
        <w:rPr>
          <w:rFonts w:ascii="Garamond" w:hAnsi="Garamond"/>
          <w:sz w:val="24"/>
          <w:szCs w:val="24"/>
        </w:rPr>
        <w:t xml:space="preserve"> out their terrain from non-science. </w:t>
      </w:r>
      <w:r w:rsidR="00150E51" w:rsidRPr="00E47A79">
        <w:rPr>
          <w:rFonts w:ascii="Garamond" w:hAnsi="Garamond"/>
          <w:sz w:val="24"/>
          <w:szCs w:val="24"/>
        </w:rPr>
        <w:t xml:space="preserve">Much like </w:t>
      </w:r>
      <w:r w:rsidRPr="00E47A79">
        <w:rPr>
          <w:rFonts w:ascii="Garamond" w:hAnsi="Garamond"/>
          <w:sz w:val="24"/>
          <w:szCs w:val="24"/>
        </w:rPr>
        <w:t xml:space="preserve">science, medicine is a </w:t>
      </w:r>
      <w:r w:rsidRPr="00E47A79">
        <w:rPr>
          <w:rFonts w:ascii="Garamond" w:hAnsi="Garamond"/>
          <w:sz w:val="24"/>
          <w:szCs w:val="24"/>
        </w:rPr>
        <w:lastRenderedPageBreak/>
        <w:t>‘negotiated practice defined by the boundaries it draws between itself and other realms</w:t>
      </w:r>
      <w:r w:rsidR="006708A1" w:rsidRPr="00E47A79">
        <w:rPr>
          <w:rFonts w:ascii="Garamond" w:hAnsi="Garamond"/>
          <w:sz w:val="24"/>
          <w:szCs w:val="24"/>
        </w:rPr>
        <w:t>,</w:t>
      </w:r>
      <w:r w:rsidRPr="00E47A79">
        <w:rPr>
          <w:rFonts w:ascii="Garamond" w:hAnsi="Garamond"/>
          <w:sz w:val="24"/>
          <w:szCs w:val="24"/>
        </w:rPr>
        <w:t>’</w:t>
      </w:r>
      <w:r w:rsidR="003804ED" w:rsidRPr="00E47A79">
        <w:rPr>
          <w:rStyle w:val="FootnoteReference"/>
          <w:rFonts w:ascii="Garamond" w:hAnsi="Garamond"/>
          <w:sz w:val="24"/>
          <w:szCs w:val="24"/>
        </w:rPr>
        <w:footnoteReference w:id="45"/>
      </w:r>
      <w:r w:rsidR="00EC4F52" w:rsidRPr="00E47A79">
        <w:rPr>
          <w:rFonts w:ascii="Garamond" w:hAnsi="Garamond"/>
          <w:sz w:val="24"/>
          <w:szCs w:val="24"/>
        </w:rPr>
        <w:t xml:space="preserve"> </w:t>
      </w:r>
      <w:r w:rsidR="00D538E6" w:rsidRPr="00E47A79">
        <w:rPr>
          <w:rFonts w:ascii="Garamond" w:hAnsi="Garamond"/>
          <w:sz w:val="24"/>
          <w:szCs w:val="24"/>
        </w:rPr>
        <w:t xml:space="preserve">and </w:t>
      </w:r>
      <w:r w:rsidR="00EC4F52" w:rsidRPr="00E47A79">
        <w:rPr>
          <w:rFonts w:ascii="Garamond" w:hAnsi="Garamond"/>
          <w:sz w:val="24"/>
          <w:szCs w:val="24"/>
        </w:rPr>
        <w:t xml:space="preserve">it involves the </w:t>
      </w:r>
      <w:r w:rsidR="005514CD" w:rsidRPr="00E47A79">
        <w:rPr>
          <w:rFonts w:ascii="Garamond" w:hAnsi="Garamond"/>
          <w:sz w:val="24"/>
          <w:szCs w:val="24"/>
        </w:rPr>
        <w:t xml:space="preserve">continuous </w:t>
      </w:r>
      <w:r w:rsidR="00EC4F52" w:rsidRPr="00E47A79">
        <w:rPr>
          <w:rFonts w:ascii="Garamond" w:hAnsi="Garamond"/>
          <w:sz w:val="24"/>
          <w:szCs w:val="24"/>
        </w:rPr>
        <w:t xml:space="preserve">playing out of disputes over what </w:t>
      </w:r>
      <w:r w:rsidR="007521F3">
        <w:rPr>
          <w:rFonts w:ascii="Garamond" w:hAnsi="Garamond"/>
          <w:sz w:val="24"/>
          <w:szCs w:val="24"/>
        </w:rPr>
        <w:t>constitutes acceptable medical practice</w:t>
      </w:r>
      <w:r w:rsidR="00EC4F52" w:rsidRPr="00E47A79">
        <w:rPr>
          <w:rFonts w:ascii="Garamond" w:hAnsi="Garamond"/>
          <w:sz w:val="24"/>
          <w:szCs w:val="24"/>
        </w:rPr>
        <w:t xml:space="preserve"> and </w:t>
      </w:r>
      <w:r w:rsidR="007521F3">
        <w:rPr>
          <w:rFonts w:ascii="Garamond" w:hAnsi="Garamond"/>
          <w:sz w:val="24"/>
          <w:szCs w:val="24"/>
        </w:rPr>
        <w:t xml:space="preserve">the legitimate </w:t>
      </w:r>
      <w:r w:rsidR="00EC4F52" w:rsidRPr="00E47A79">
        <w:rPr>
          <w:rFonts w:ascii="Garamond" w:hAnsi="Garamond"/>
          <w:sz w:val="24"/>
          <w:szCs w:val="24"/>
        </w:rPr>
        <w:t>role of medicine.</w:t>
      </w:r>
      <w:r w:rsidR="004E0ED6" w:rsidRPr="00E47A79">
        <w:rPr>
          <w:rFonts w:ascii="Garamond" w:hAnsi="Garamond"/>
          <w:sz w:val="24"/>
          <w:szCs w:val="24"/>
        </w:rPr>
        <w:t xml:space="preserve"> W</w:t>
      </w:r>
      <w:r w:rsidR="001776F0" w:rsidRPr="00E47A79">
        <w:rPr>
          <w:rFonts w:ascii="Garamond" w:hAnsi="Garamond"/>
          <w:sz w:val="24"/>
          <w:szCs w:val="24"/>
        </w:rPr>
        <w:t xml:space="preserve">here references to </w:t>
      </w:r>
      <w:proofErr w:type="spellStart"/>
      <w:r w:rsidR="001776F0" w:rsidRPr="00E47A79">
        <w:rPr>
          <w:rFonts w:ascii="Garamond" w:hAnsi="Garamond"/>
          <w:sz w:val="24"/>
          <w:szCs w:val="24"/>
        </w:rPr>
        <w:t>Gieryn’s</w:t>
      </w:r>
      <w:proofErr w:type="spellEnd"/>
      <w:r w:rsidR="001776F0" w:rsidRPr="00E47A79">
        <w:rPr>
          <w:rFonts w:ascii="Garamond" w:hAnsi="Garamond"/>
          <w:sz w:val="24"/>
          <w:szCs w:val="24"/>
        </w:rPr>
        <w:t xml:space="preserve"> ‘</w:t>
      </w:r>
      <w:r w:rsidR="00045B62" w:rsidRPr="00E47A79">
        <w:rPr>
          <w:rFonts w:ascii="Garamond" w:hAnsi="Garamond"/>
          <w:sz w:val="24"/>
          <w:szCs w:val="24"/>
        </w:rPr>
        <w:t>boundary-work</w:t>
      </w:r>
      <w:r w:rsidR="001776F0" w:rsidRPr="00E47A79">
        <w:rPr>
          <w:rFonts w:ascii="Garamond" w:hAnsi="Garamond"/>
          <w:sz w:val="24"/>
          <w:szCs w:val="24"/>
        </w:rPr>
        <w:t>’ feature</w:t>
      </w:r>
      <w:r w:rsidR="00045B62" w:rsidRPr="00E47A79">
        <w:rPr>
          <w:rFonts w:ascii="Garamond" w:hAnsi="Garamond"/>
          <w:sz w:val="24"/>
          <w:szCs w:val="24"/>
        </w:rPr>
        <w:t xml:space="preserve"> in legal scholarship, two distinct </w:t>
      </w:r>
      <w:r w:rsidR="00F21B4D" w:rsidRPr="00E47A79">
        <w:rPr>
          <w:rFonts w:ascii="Garamond" w:hAnsi="Garamond"/>
          <w:sz w:val="24"/>
          <w:szCs w:val="24"/>
        </w:rPr>
        <w:t>approaches</w:t>
      </w:r>
      <w:r w:rsidR="00045B62" w:rsidRPr="00E47A79">
        <w:rPr>
          <w:rFonts w:ascii="Garamond" w:hAnsi="Garamond"/>
          <w:sz w:val="24"/>
          <w:szCs w:val="24"/>
        </w:rPr>
        <w:t xml:space="preserve"> </w:t>
      </w:r>
      <w:r w:rsidR="00AA15F5" w:rsidRPr="00E47A79">
        <w:rPr>
          <w:rFonts w:ascii="Garamond" w:hAnsi="Garamond"/>
          <w:sz w:val="24"/>
          <w:szCs w:val="24"/>
        </w:rPr>
        <w:t>might</w:t>
      </w:r>
      <w:r w:rsidR="00045B62" w:rsidRPr="00E47A79">
        <w:rPr>
          <w:rFonts w:ascii="Garamond" w:hAnsi="Garamond"/>
          <w:sz w:val="24"/>
          <w:szCs w:val="24"/>
        </w:rPr>
        <w:t xml:space="preserve"> be identified</w:t>
      </w:r>
      <w:r w:rsidR="003804ED" w:rsidRPr="00E47A79">
        <w:rPr>
          <w:rFonts w:ascii="Garamond" w:hAnsi="Garamond"/>
          <w:sz w:val="24"/>
          <w:szCs w:val="24"/>
        </w:rPr>
        <w:t>;</w:t>
      </w:r>
      <w:r w:rsidR="00045B62" w:rsidRPr="00E47A79">
        <w:rPr>
          <w:rFonts w:ascii="Garamond" w:hAnsi="Garamond"/>
          <w:sz w:val="24"/>
          <w:szCs w:val="24"/>
        </w:rPr>
        <w:t xml:space="preserve"> ‘</w:t>
      </w:r>
      <w:r w:rsidR="00AA15F5" w:rsidRPr="00E47A79">
        <w:rPr>
          <w:rFonts w:ascii="Garamond" w:hAnsi="Garamond"/>
          <w:sz w:val="24"/>
          <w:szCs w:val="24"/>
        </w:rPr>
        <w:t>introspective</w:t>
      </w:r>
      <w:r w:rsidR="00045B62" w:rsidRPr="00E47A79">
        <w:rPr>
          <w:rFonts w:ascii="Garamond" w:hAnsi="Garamond"/>
          <w:sz w:val="24"/>
          <w:szCs w:val="24"/>
        </w:rPr>
        <w:t>’, studies</w:t>
      </w:r>
      <w:r w:rsidR="00AA15F5" w:rsidRPr="00E47A79">
        <w:rPr>
          <w:rFonts w:ascii="Garamond" w:hAnsi="Garamond"/>
          <w:sz w:val="24"/>
          <w:szCs w:val="24"/>
        </w:rPr>
        <w:t xml:space="preserve"> </w:t>
      </w:r>
      <w:r w:rsidR="00045B62" w:rsidRPr="00E47A79">
        <w:rPr>
          <w:rFonts w:ascii="Garamond" w:hAnsi="Garamond"/>
          <w:sz w:val="24"/>
          <w:szCs w:val="24"/>
        </w:rPr>
        <w:t>seek</w:t>
      </w:r>
      <w:r w:rsidR="00AA15F5" w:rsidRPr="00E47A79">
        <w:rPr>
          <w:rFonts w:ascii="Garamond" w:hAnsi="Garamond"/>
          <w:sz w:val="24"/>
          <w:szCs w:val="24"/>
        </w:rPr>
        <w:t>ing</w:t>
      </w:r>
      <w:r w:rsidR="00045B62" w:rsidRPr="00E47A79">
        <w:rPr>
          <w:rFonts w:ascii="Garamond" w:hAnsi="Garamond"/>
          <w:sz w:val="24"/>
          <w:szCs w:val="24"/>
        </w:rPr>
        <w:t xml:space="preserve"> to unpick the origins of law’s boundaries</w:t>
      </w:r>
      <w:r w:rsidR="003804ED" w:rsidRPr="00E47A79">
        <w:rPr>
          <w:rFonts w:ascii="Garamond" w:hAnsi="Garamond"/>
          <w:sz w:val="24"/>
          <w:szCs w:val="24"/>
        </w:rPr>
        <w:t xml:space="preserve"> and their precepts or operative assumptions</w:t>
      </w:r>
      <w:r w:rsidR="008156CC" w:rsidRPr="00E47A79">
        <w:rPr>
          <w:rFonts w:ascii="Garamond" w:hAnsi="Garamond"/>
          <w:sz w:val="24"/>
          <w:szCs w:val="24"/>
        </w:rPr>
        <w:t>,</w:t>
      </w:r>
      <w:r w:rsidR="001776F0" w:rsidRPr="00E47A79">
        <w:rPr>
          <w:rStyle w:val="FootnoteReference"/>
          <w:rFonts w:ascii="Garamond" w:hAnsi="Garamond"/>
          <w:sz w:val="24"/>
          <w:szCs w:val="24"/>
        </w:rPr>
        <w:footnoteReference w:id="46"/>
      </w:r>
      <w:r w:rsidR="00045B62" w:rsidRPr="00E47A79">
        <w:rPr>
          <w:rFonts w:ascii="Garamond" w:hAnsi="Garamond"/>
          <w:sz w:val="24"/>
          <w:szCs w:val="24"/>
        </w:rPr>
        <w:t xml:space="preserve"> or </w:t>
      </w:r>
      <w:r w:rsidR="007F70CD" w:rsidRPr="00E47A79">
        <w:rPr>
          <w:rFonts w:ascii="Garamond" w:hAnsi="Garamond"/>
          <w:sz w:val="24"/>
          <w:szCs w:val="24"/>
        </w:rPr>
        <w:t xml:space="preserve">studies which </w:t>
      </w:r>
      <w:r w:rsidR="00045B62" w:rsidRPr="00E47A79">
        <w:rPr>
          <w:rFonts w:ascii="Garamond" w:hAnsi="Garamond"/>
          <w:sz w:val="24"/>
          <w:szCs w:val="24"/>
        </w:rPr>
        <w:t>‘look out’</w:t>
      </w:r>
      <w:r w:rsidR="007F70CD" w:rsidRPr="00E47A79">
        <w:rPr>
          <w:rFonts w:ascii="Garamond" w:hAnsi="Garamond"/>
          <w:sz w:val="24"/>
          <w:szCs w:val="24"/>
        </w:rPr>
        <w:t xml:space="preserve"> </w:t>
      </w:r>
      <w:r w:rsidR="00503099" w:rsidRPr="00E47A79">
        <w:rPr>
          <w:rFonts w:ascii="Garamond" w:hAnsi="Garamond"/>
          <w:sz w:val="24"/>
          <w:szCs w:val="24"/>
        </w:rPr>
        <w:t>to</w:t>
      </w:r>
      <w:r w:rsidR="00045B62" w:rsidRPr="00E47A79">
        <w:rPr>
          <w:rFonts w:ascii="Garamond" w:hAnsi="Garamond"/>
          <w:sz w:val="24"/>
          <w:szCs w:val="24"/>
        </w:rPr>
        <w:t xml:space="preserve"> how actors go about the business of applying the law, </w:t>
      </w:r>
      <w:r w:rsidR="00477ACA" w:rsidRPr="00E47A79">
        <w:rPr>
          <w:rFonts w:ascii="Garamond" w:hAnsi="Garamond"/>
          <w:sz w:val="24"/>
          <w:szCs w:val="24"/>
        </w:rPr>
        <w:t>examining how professionals find ‘workable solutions’ in contested or conflictual areas</w:t>
      </w:r>
      <w:r w:rsidR="00477ACA" w:rsidRPr="00E47A79">
        <w:rPr>
          <w:rFonts w:ascii="Garamond" w:hAnsi="Garamond"/>
          <w:sz w:val="24"/>
          <w:szCs w:val="24"/>
          <w:vertAlign w:val="superscript"/>
        </w:rPr>
        <w:footnoteReference w:id="47"/>
      </w:r>
      <w:r w:rsidR="00477ACA" w:rsidRPr="00E47A79">
        <w:rPr>
          <w:rFonts w:ascii="Garamond" w:hAnsi="Garamond"/>
          <w:sz w:val="24"/>
          <w:szCs w:val="24"/>
        </w:rPr>
        <w:t xml:space="preserve"> </w:t>
      </w:r>
      <w:r w:rsidR="00045B62" w:rsidRPr="00E47A79">
        <w:rPr>
          <w:rFonts w:ascii="Garamond" w:hAnsi="Garamond"/>
          <w:sz w:val="24"/>
          <w:szCs w:val="24"/>
        </w:rPr>
        <w:t xml:space="preserve">and how law’s boundaries </w:t>
      </w:r>
      <w:r w:rsidR="008156CC" w:rsidRPr="00E47A79">
        <w:rPr>
          <w:rFonts w:ascii="Garamond" w:hAnsi="Garamond"/>
          <w:sz w:val="24"/>
          <w:szCs w:val="24"/>
        </w:rPr>
        <w:t>become</w:t>
      </w:r>
      <w:r w:rsidR="00045B62" w:rsidRPr="00E47A79">
        <w:rPr>
          <w:rFonts w:ascii="Garamond" w:hAnsi="Garamond"/>
          <w:sz w:val="24"/>
          <w:szCs w:val="24"/>
        </w:rPr>
        <w:t xml:space="preserve"> </w:t>
      </w:r>
      <w:r w:rsidR="00A90406" w:rsidRPr="00E47A79">
        <w:rPr>
          <w:rFonts w:ascii="Garamond" w:hAnsi="Garamond"/>
          <w:sz w:val="24"/>
          <w:szCs w:val="24"/>
        </w:rPr>
        <w:t>en</w:t>
      </w:r>
      <w:r w:rsidR="00045B62" w:rsidRPr="00E47A79">
        <w:rPr>
          <w:rFonts w:ascii="Garamond" w:hAnsi="Garamond"/>
          <w:sz w:val="24"/>
          <w:szCs w:val="24"/>
        </w:rPr>
        <w:t>meshed with the interests of those tasked with applying those distinctions.</w:t>
      </w:r>
      <w:r w:rsidR="008156CC" w:rsidRPr="00E47A79">
        <w:rPr>
          <w:rStyle w:val="FootnoteReference"/>
          <w:rFonts w:ascii="Garamond" w:hAnsi="Garamond"/>
          <w:sz w:val="24"/>
          <w:szCs w:val="24"/>
        </w:rPr>
        <w:footnoteReference w:id="48"/>
      </w:r>
      <w:r w:rsidR="00045B62" w:rsidRPr="00E47A79">
        <w:rPr>
          <w:rFonts w:ascii="Garamond" w:hAnsi="Garamond"/>
          <w:sz w:val="24"/>
          <w:szCs w:val="24"/>
        </w:rPr>
        <w:t xml:space="preserve"> </w:t>
      </w:r>
      <w:proofErr w:type="spellStart"/>
      <w:r w:rsidR="00A40A54" w:rsidRPr="00E47A79">
        <w:rPr>
          <w:rFonts w:ascii="Garamond" w:hAnsi="Garamond"/>
          <w:sz w:val="24"/>
          <w:szCs w:val="24"/>
        </w:rPr>
        <w:t>Zarhin</w:t>
      </w:r>
      <w:proofErr w:type="spellEnd"/>
      <w:r w:rsidR="00A40A54" w:rsidRPr="00E47A79">
        <w:rPr>
          <w:rFonts w:ascii="Garamond" w:hAnsi="Garamond"/>
          <w:sz w:val="24"/>
          <w:szCs w:val="24"/>
        </w:rPr>
        <w:t xml:space="preserve"> et </w:t>
      </w:r>
      <w:proofErr w:type="spellStart"/>
      <w:r w:rsidR="00A40A54" w:rsidRPr="00E47A79">
        <w:rPr>
          <w:rFonts w:ascii="Garamond" w:hAnsi="Garamond"/>
          <w:sz w:val="24"/>
          <w:szCs w:val="24"/>
        </w:rPr>
        <w:t>al’s</w:t>
      </w:r>
      <w:proofErr w:type="spellEnd"/>
      <w:r w:rsidR="00A40A54" w:rsidRPr="00E47A79">
        <w:rPr>
          <w:rFonts w:ascii="Garamond" w:hAnsi="Garamond"/>
          <w:sz w:val="24"/>
          <w:szCs w:val="24"/>
        </w:rPr>
        <w:t xml:space="preserve"> study</w:t>
      </w:r>
      <w:r w:rsidR="00AD41F5" w:rsidRPr="00E47A79">
        <w:rPr>
          <w:rFonts w:ascii="Garamond" w:hAnsi="Garamond"/>
          <w:sz w:val="24"/>
          <w:szCs w:val="24"/>
        </w:rPr>
        <w:t xml:space="preserve"> of the system for accessing medicinal cannabis in Israel</w:t>
      </w:r>
      <w:r w:rsidR="00A40A54" w:rsidRPr="00E47A79">
        <w:rPr>
          <w:rFonts w:ascii="Garamond" w:hAnsi="Garamond"/>
          <w:sz w:val="24"/>
          <w:szCs w:val="24"/>
        </w:rPr>
        <w:t xml:space="preserve"> </w:t>
      </w:r>
      <w:r w:rsidR="00AD41F5" w:rsidRPr="00E47A79">
        <w:rPr>
          <w:rFonts w:ascii="Garamond" w:hAnsi="Garamond"/>
          <w:sz w:val="24"/>
          <w:szCs w:val="24"/>
        </w:rPr>
        <w:t>noted that</w:t>
      </w:r>
      <w:r w:rsidR="00A40A54" w:rsidRPr="00E47A79">
        <w:rPr>
          <w:rFonts w:ascii="Garamond" w:hAnsi="Garamond"/>
          <w:sz w:val="24"/>
          <w:szCs w:val="24"/>
          <w:vertAlign w:val="superscript"/>
        </w:rPr>
        <w:footnoteReference w:id="49"/>
      </w:r>
      <w:r w:rsidR="00A40A54" w:rsidRPr="00E47A79">
        <w:rPr>
          <w:rFonts w:ascii="Garamond" w:hAnsi="Garamond"/>
          <w:sz w:val="24"/>
          <w:szCs w:val="24"/>
        </w:rPr>
        <w:t xml:space="preserve"> </w:t>
      </w:r>
      <w:r w:rsidR="00AD41F5" w:rsidRPr="00E47A79">
        <w:rPr>
          <w:rFonts w:ascii="Garamond" w:hAnsi="Garamond"/>
          <w:sz w:val="24"/>
          <w:szCs w:val="24"/>
        </w:rPr>
        <w:t xml:space="preserve">authority to </w:t>
      </w:r>
      <w:r w:rsidR="00503099" w:rsidRPr="00E47A79">
        <w:rPr>
          <w:rFonts w:ascii="Garamond" w:hAnsi="Garamond"/>
          <w:sz w:val="24"/>
          <w:szCs w:val="24"/>
        </w:rPr>
        <w:t>‘</w:t>
      </w:r>
      <w:r w:rsidR="00AD41F5" w:rsidRPr="00E47A79">
        <w:rPr>
          <w:rFonts w:ascii="Garamond" w:hAnsi="Garamond"/>
          <w:sz w:val="24"/>
          <w:szCs w:val="24"/>
        </w:rPr>
        <w:t>demarcate</w:t>
      </w:r>
      <w:r w:rsidR="00503099" w:rsidRPr="00E47A79">
        <w:rPr>
          <w:rFonts w:ascii="Garamond" w:hAnsi="Garamond"/>
          <w:sz w:val="24"/>
          <w:szCs w:val="24"/>
        </w:rPr>
        <w:t>’</w:t>
      </w:r>
      <w:r w:rsidR="00AD41F5" w:rsidRPr="00E47A79">
        <w:rPr>
          <w:rFonts w:ascii="Garamond" w:hAnsi="Garamond"/>
          <w:sz w:val="24"/>
          <w:szCs w:val="24"/>
        </w:rPr>
        <w:t xml:space="preserve"> had been assigned to the Ministry of Health which translated </w:t>
      </w:r>
      <w:r w:rsidR="00AA19E1" w:rsidRPr="00E47A79">
        <w:rPr>
          <w:rFonts w:ascii="Garamond" w:hAnsi="Garamond"/>
          <w:sz w:val="24"/>
          <w:szCs w:val="24"/>
        </w:rPr>
        <w:t>‘</w:t>
      </w:r>
      <w:r w:rsidR="00AD41F5" w:rsidRPr="00E47A79">
        <w:rPr>
          <w:rFonts w:ascii="Garamond" w:hAnsi="Garamond"/>
          <w:sz w:val="24"/>
          <w:szCs w:val="24"/>
        </w:rPr>
        <w:t>rhetorical boundary work</w:t>
      </w:r>
      <w:r w:rsidR="00AA19E1" w:rsidRPr="00E47A79">
        <w:rPr>
          <w:rFonts w:ascii="Garamond" w:hAnsi="Garamond"/>
          <w:sz w:val="24"/>
          <w:szCs w:val="24"/>
        </w:rPr>
        <w:t>’</w:t>
      </w:r>
      <w:r w:rsidR="00AD41F5" w:rsidRPr="00E47A79">
        <w:rPr>
          <w:rFonts w:ascii="Garamond" w:hAnsi="Garamond"/>
          <w:sz w:val="24"/>
          <w:szCs w:val="24"/>
        </w:rPr>
        <w:t xml:space="preserve"> (from policy and debates) into </w:t>
      </w:r>
      <w:r w:rsidR="00AA19E1" w:rsidRPr="00E47A79">
        <w:rPr>
          <w:rFonts w:ascii="Garamond" w:hAnsi="Garamond"/>
          <w:sz w:val="24"/>
          <w:szCs w:val="24"/>
        </w:rPr>
        <w:t>‘</w:t>
      </w:r>
      <w:r w:rsidR="00AD41F5" w:rsidRPr="00E47A79">
        <w:rPr>
          <w:rFonts w:ascii="Garamond" w:hAnsi="Garamond"/>
          <w:sz w:val="24"/>
          <w:szCs w:val="24"/>
        </w:rPr>
        <w:t>regulatory boundary work</w:t>
      </w:r>
      <w:r w:rsidR="00AA19E1" w:rsidRPr="00E47A79">
        <w:rPr>
          <w:rFonts w:ascii="Garamond" w:hAnsi="Garamond"/>
          <w:sz w:val="24"/>
          <w:szCs w:val="24"/>
        </w:rPr>
        <w:t>’</w:t>
      </w:r>
      <w:r w:rsidR="00AD41F5" w:rsidRPr="00E47A79">
        <w:rPr>
          <w:rFonts w:ascii="Garamond" w:hAnsi="Garamond"/>
          <w:sz w:val="24"/>
          <w:szCs w:val="24"/>
        </w:rPr>
        <w:t>, in the form of regulations and guidance limiting access. In the UK context,</w:t>
      </w:r>
      <w:r w:rsidR="000634DF">
        <w:rPr>
          <w:rFonts w:ascii="Garamond" w:hAnsi="Garamond"/>
          <w:sz w:val="24"/>
          <w:szCs w:val="24"/>
        </w:rPr>
        <w:t xml:space="preserve"> t</w:t>
      </w:r>
      <w:r w:rsidR="00AD41F5" w:rsidRPr="00E47A79">
        <w:rPr>
          <w:rFonts w:ascii="Garamond" w:hAnsi="Garamond"/>
          <w:sz w:val="24"/>
          <w:szCs w:val="24"/>
        </w:rPr>
        <w:t xml:space="preserve">he regulations </w:t>
      </w:r>
      <w:r w:rsidR="000070C1" w:rsidRPr="00E47A79">
        <w:rPr>
          <w:rFonts w:ascii="Garamond" w:hAnsi="Garamond"/>
          <w:sz w:val="24"/>
          <w:szCs w:val="24"/>
        </w:rPr>
        <w:t>themselves</w:t>
      </w:r>
      <w:r w:rsidR="00811B74" w:rsidRPr="00E47A79">
        <w:rPr>
          <w:rFonts w:ascii="Garamond" w:hAnsi="Garamond"/>
          <w:sz w:val="24"/>
          <w:szCs w:val="24"/>
        </w:rPr>
        <w:t xml:space="preserve"> say little about the boundaries of prescribing</w:t>
      </w:r>
      <w:r w:rsidR="00CA51E3" w:rsidRPr="00E47A79">
        <w:rPr>
          <w:rFonts w:ascii="Garamond" w:hAnsi="Garamond"/>
          <w:sz w:val="24"/>
          <w:szCs w:val="24"/>
        </w:rPr>
        <w:t>,</w:t>
      </w:r>
      <w:r w:rsidR="007420F3" w:rsidRPr="00E47A79">
        <w:rPr>
          <w:rFonts w:ascii="Garamond" w:hAnsi="Garamond"/>
          <w:sz w:val="24"/>
          <w:szCs w:val="24"/>
          <w:vertAlign w:val="superscript"/>
        </w:rPr>
        <w:footnoteReference w:id="50"/>
      </w:r>
      <w:r w:rsidR="00811B74" w:rsidRPr="00E47A79">
        <w:rPr>
          <w:rFonts w:ascii="Garamond" w:hAnsi="Garamond"/>
          <w:sz w:val="24"/>
          <w:szCs w:val="24"/>
        </w:rPr>
        <w:t xml:space="preserve"> impliedly</w:t>
      </w:r>
      <w:r w:rsidR="000070C1" w:rsidRPr="00E47A79">
        <w:rPr>
          <w:rFonts w:ascii="Garamond" w:hAnsi="Garamond"/>
          <w:sz w:val="24"/>
          <w:szCs w:val="24"/>
        </w:rPr>
        <w:t xml:space="preserve"> </w:t>
      </w:r>
      <w:r w:rsidR="00AD41F5" w:rsidRPr="00E47A79">
        <w:rPr>
          <w:rFonts w:ascii="Garamond" w:hAnsi="Garamond"/>
          <w:sz w:val="24"/>
          <w:szCs w:val="24"/>
        </w:rPr>
        <w:t>delegat</w:t>
      </w:r>
      <w:r w:rsidR="00B13996" w:rsidRPr="00E47A79">
        <w:rPr>
          <w:rFonts w:ascii="Garamond" w:hAnsi="Garamond"/>
          <w:sz w:val="24"/>
          <w:szCs w:val="24"/>
        </w:rPr>
        <w:t>ing</w:t>
      </w:r>
      <w:r w:rsidR="00AD41F5" w:rsidRPr="00E47A79">
        <w:rPr>
          <w:rFonts w:ascii="Garamond" w:hAnsi="Garamond"/>
          <w:sz w:val="24"/>
          <w:szCs w:val="24"/>
        </w:rPr>
        <w:t xml:space="preserve"> much of the boundary work to </w:t>
      </w:r>
      <w:r w:rsidR="008656B6" w:rsidRPr="00E47A79">
        <w:rPr>
          <w:rFonts w:ascii="Garamond" w:hAnsi="Garamond"/>
          <w:sz w:val="24"/>
          <w:szCs w:val="24"/>
        </w:rPr>
        <w:t>formal and informal regulatory networks</w:t>
      </w:r>
      <w:r w:rsidR="00811B74" w:rsidRPr="00E47A79">
        <w:rPr>
          <w:rFonts w:ascii="Garamond" w:hAnsi="Garamond"/>
          <w:sz w:val="24"/>
          <w:szCs w:val="24"/>
        </w:rPr>
        <w:t>. The General Medical Council</w:t>
      </w:r>
      <w:r w:rsidR="001A23F2" w:rsidRPr="00E47A79">
        <w:rPr>
          <w:rFonts w:ascii="Garamond" w:hAnsi="Garamond"/>
          <w:sz w:val="24"/>
          <w:szCs w:val="24"/>
        </w:rPr>
        <w:t xml:space="preserve"> (GMC)</w:t>
      </w:r>
      <w:r w:rsidR="00811B74" w:rsidRPr="00E47A79">
        <w:rPr>
          <w:rFonts w:ascii="Garamond" w:hAnsi="Garamond"/>
          <w:sz w:val="24"/>
          <w:szCs w:val="24"/>
        </w:rPr>
        <w:t xml:space="preserve">, </w:t>
      </w:r>
      <w:r w:rsidR="007420F3" w:rsidRPr="00E47A79">
        <w:rPr>
          <w:rFonts w:ascii="Garamond" w:hAnsi="Garamond"/>
          <w:sz w:val="24"/>
          <w:szCs w:val="24"/>
        </w:rPr>
        <w:t>the only body tasked by statute with providing guidance to the medical profession,</w:t>
      </w:r>
      <w:r w:rsidR="007420F3" w:rsidRPr="00E47A79">
        <w:rPr>
          <w:rFonts w:ascii="Garamond" w:hAnsi="Garamond"/>
          <w:sz w:val="24"/>
          <w:szCs w:val="24"/>
          <w:vertAlign w:val="superscript"/>
        </w:rPr>
        <w:footnoteReference w:id="51"/>
      </w:r>
      <w:r w:rsidR="007420F3" w:rsidRPr="00E47A79">
        <w:rPr>
          <w:rFonts w:ascii="Garamond" w:hAnsi="Garamond"/>
          <w:sz w:val="24"/>
          <w:szCs w:val="24"/>
        </w:rPr>
        <w:t xml:space="preserve"> has said little on the issue (see below),</w:t>
      </w:r>
      <w:r w:rsidR="00AD41F5" w:rsidRPr="00E47A79">
        <w:rPr>
          <w:rFonts w:ascii="Garamond" w:hAnsi="Garamond"/>
          <w:sz w:val="24"/>
          <w:szCs w:val="24"/>
        </w:rPr>
        <w:t xml:space="preserve"> therefore </w:t>
      </w:r>
      <w:r w:rsidR="000070C1" w:rsidRPr="00E47A79">
        <w:rPr>
          <w:rFonts w:ascii="Garamond" w:hAnsi="Garamond"/>
          <w:sz w:val="24"/>
          <w:szCs w:val="24"/>
        </w:rPr>
        <w:t>the boundar</w:t>
      </w:r>
      <w:r w:rsidR="00351B7D" w:rsidRPr="00E47A79">
        <w:rPr>
          <w:rFonts w:ascii="Garamond" w:hAnsi="Garamond"/>
          <w:sz w:val="24"/>
          <w:szCs w:val="24"/>
        </w:rPr>
        <w:t xml:space="preserve">ies </w:t>
      </w:r>
      <w:r w:rsidR="000070C1" w:rsidRPr="00E47A79">
        <w:rPr>
          <w:rFonts w:ascii="Garamond" w:hAnsi="Garamond"/>
          <w:sz w:val="24"/>
          <w:szCs w:val="24"/>
        </w:rPr>
        <w:t xml:space="preserve">embedded in </w:t>
      </w:r>
      <w:r w:rsidR="00AD41F5" w:rsidRPr="00E47A79">
        <w:rPr>
          <w:rFonts w:ascii="Garamond" w:hAnsi="Garamond"/>
          <w:sz w:val="24"/>
          <w:szCs w:val="24"/>
        </w:rPr>
        <w:t>professional guidance</w:t>
      </w:r>
      <w:r w:rsidR="007420F3" w:rsidRPr="00E47A79">
        <w:rPr>
          <w:rFonts w:ascii="Garamond" w:hAnsi="Garamond"/>
          <w:sz w:val="24"/>
          <w:szCs w:val="24"/>
        </w:rPr>
        <w:t xml:space="preserve"> from royal colleges and other bodies on medicinal cannabis prescribing</w:t>
      </w:r>
      <w:r w:rsidR="000070C1" w:rsidRPr="00E47A79">
        <w:rPr>
          <w:rFonts w:ascii="Garamond" w:hAnsi="Garamond"/>
          <w:sz w:val="24"/>
          <w:szCs w:val="24"/>
        </w:rPr>
        <w:t xml:space="preserve"> </w:t>
      </w:r>
      <w:r w:rsidR="007420F3" w:rsidRPr="00E47A79">
        <w:rPr>
          <w:rFonts w:ascii="Garamond" w:hAnsi="Garamond"/>
          <w:sz w:val="24"/>
          <w:szCs w:val="24"/>
        </w:rPr>
        <w:t>have</w:t>
      </w:r>
      <w:r w:rsidR="008656B6" w:rsidRPr="00E47A79">
        <w:rPr>
          <w:rFonts w:ascii="Garamond" w:hAnsi="Garamond"/>
          <w:sz w:val="24"/>
          <w:szCs w:val="24"/>
        </w:rPr>
        <w:t xml:space="preserve"> </w:t>
      </w:r>
      <w:r w:rsidR="00AD41F5" w:rsidRPr="00E47A79">
        <w:rPr>
          <w:rFonts w:ascii="Garamond" w:hAnsi="Garamond"/>
          <w:sz w:val="24"/>
          <w:szCs w:val="24"/>
        </w:rPr>
        <w:t>assume</w:t>
      </w:r>
      <w:r w:rsidR="007420F3" w:rsidRPr="00E47A79">
        <w:rPr>
          <w:rFonts w:ascii="Garamond" w:hAnsi="Garamond"/>
          <w:sz w:val="24"/>
          <w:szCs w:val="24"/>
        </w:rPr>
        <w:t>d</w:t>
      </w:r>
      <w:r w:rsidR="00AD41F5" w:rsidRPr="00E47A79">
        <w:rPr>
          <w:rFonts w:ascii="Garamond" w:hAnsi="Garamond"/>
          <w:sz w:val="24"/>
          <w:szCs w:val="24"/>
        </w:rPr>
        <w:t xml:space="preserve"> substantial importance. </w:t>
      </w:r>
      <w:r w:rsidR="008656B6" w:rsidRPr="00E47A79">
        <w:rPr>
          <w:rFonts w:ascii="Garamond" w:hAnsi="Garamond"/>
          <w:sz w:val="24"/>
          <w:szCs w:val="24"/>
        </w:rPr>
        <w:t xml:space="preserve">This </w:t>
      </w:r>
      <w:r w:rsidR="00AD41F5" w:rsidRPr="00E47A79">
        <w:rPr>
          <w:rFonts w:ascii="Garamond" w:hAnsi="Garamond"/>
          <w:sz w:val="24"/>
          <w:szCs w:val="24"/>
        </w:rPr>
        <w:t xml:space="preserve">delegation of boundary work </w:t>
      </w:r>
      <w:r w:rsidR="009E3A6A" w:rsidRPr="00E47A79">
        <w:rPr>
          <w:rFonts w:ascii="Garamond" w:hAnsi="Garamond"/>
          <w:sz w:val="24"/>
          <w:szCs w:val="24"/>
        </w:rPr>
        <w:t xml:space="preserve">to post-reform </w:t>
      </w:r>
      <w:r w:rsidR="00806658" w:rsidRPr="00E47A79">
        <w:rPr>
          <w:rFonts w:ascii="Garamond" w:hAnsi="Garamond"/>
          <w:sz w:val="24"/>
          <w:szCs w:val="24"/>
        </w:rPr>
        <w:t>publications</w:t>
      </w:r>
      <w:r w:rsidR="009E3A6A" w:rsidRPr="00E47A79">
        <w:rPr>
          <w:rFonts w:ascii="Garamond" w:hAnsi="Garamond"/>
          <w:sz w:val="24"/>
          <w:szCs w:val="24"/>
        </w:rPr>
        <w:t xml:space="preserve"> from</w:t>
      </w:r>
      <w:r w:rsidR="00AD41F5" w:rsidRPr="00E47A79">
        <w:rPr>
          <w:rFonts w:ascii="Garamond" w:hAnsi="Garamond"/>
          <w:sz w:val="24"/>
          <w:szCs w:val="24"/>
        </w:rPr>
        <w:t xml:space="preserve"> a mix of regulatory and non-regulatory bodies</w:t>
      </w:r>
      <w:r w:rsidR="009E3A6A" w:rsidRPr="00E47A79">
        <w:rPr>
          <w:rFonts w:ascii="Garamond" w:hAnsi="Garamond"/>
          <w:sz w:val="24"/>
          <w:szCs w:val="24"/>
        </w:rPr>
        <w:t xml:space="preserve"> has resulted in a </w:t>
      </w:r>
      <w:r w:rsidR="00DE1BCB" w:rsidRPr="00E47A79">
        <w:rPr>
          <w:rFonts w:ascii="Garamond" w:hAnsi="Garamond"/>
          <w:sz w:val="24"/>
          <w:szCs w:val="24"/>
        </w:rPr>
        <w:t xml:space="preserve">slew </w:t>
      </w:r>
      <w:r w:rsidR="009E3A6A" w:rsidRPr="00E47A79">
        <w:rPr>
          <w:rFonts w:ascii="Garamond" w:hAnsi="Garamond"/>
          <w:sz w:val="24"/>
          <w:szCs w:val="24"/>
        </w:rPr>
        <w:t>of guidance</w:t>
      </w:r>
      <w:r w:rsidR="00503099" w:rsidRPr="00E47A79">
        <w:rPr>
          <w:rFonts w:ascii="Garamond" w:hAnsi="Garamond"/>
          <w:sz w:val="24"/>
          <w:szCs w:val="24"/>
        </w:rPr>
        <w:t>, but</w:t>
      </w:r>
      <w:r w:rsidR="00AD41F5" w:rsidRPr="00E47A79">
        <w:rPr>
          <w:rFonts w:ascii="Garamond" w:hAnsi="Garamond"/>
          <w:sz w:val="24"/>
          <w:szCs w:val="24"/>
        </w:rPr>
        <w:t xml:space="preserve"> </w:t>
      </w:r>
      <w:r w:rsidR="009E3A6A" w:rsidRPr="00E47A79">
        <w:rPr>
          <w:rFonts w:ascii="Garamond" w:hAnsi="Garamond"/>
          <w:sz w:val="24"/>
          <w:szCs w:val="24"/>
        </w:rPr>
        <w:t>a</w:t>
      </w:r>
      <w:r w:rsidR="009E6E6D" w:rsidRPr="00E47A79">
        <w:rPr>
          <w:rFonts w:ascii="Garamond" w:hAnsi="Garamond"/>
          <w:sz w:val="24"/>
          <w:szCs w:val="24"/>
        </w:rPr>
        <w:t xml:space="preserve"> regrettable</w:t>
      </w:r>
      <w:r w:rsidR="009E3A6A" w:rsidRPr="00E47A79">
        <w:rPr>
          <w:rFonts w:ascii="Garamond" w:hAnsi="Garamond"/>
          <w:sz w:val="24"/>
          <w:szCs w:val="24"/>
        </w:rPr>
        <w:t xml:space="preserve"> l</w:t>
      </w:r>
      <w:r w:rsidR="00AD41F5" w:rsidRPr="00E47A79">
        <w:rPr>
          <w:rFonts w:ascii="Garamond" w:hAnsi="Garamond"/>
          <w:sz w:val="24"/>
          <w:szCs w:val="24"/>
        </w:rPr>
        <w:t>ack of coherence.</w:t>
      </w:r>
    </w:p>
    <w:p w14:paraId="076CB22E" w14:textId="3034BB42" w:rsidR="00D538E6" w:rsidRPr="00E47A79" w:rsidRDefault="00045B62" w:rsidP="00A601B9">
      <w:pPr>
        <w:spacing w:line="360" w:lineRule="auto"/>
        <w:rPr>
          <w:rFonts w:ascii="Garamond" w:hAnsi="Garamond"/>
          <w:sz w:val="24"/>
          <w:szCs w:val="24"/>
        </w:rPr>
      </w:pPr>
      <w:r w:rsidRPr="00E47A79">
        <w:rPr>
          <w:rFonts w:ascii="Garamond" w:hAnsi="Garamond"/>
          <w:sz w:val="24"/>
          <w:szCs w:val="24"/>
        </w:rPr>
        <w:t xml:space="preserve">The present study ‘looks </w:t>
      </w:r>
      <w:r w:rsidR="00AA15F5" w:rsidRPr="00E47A79">
        <w:rPr>
          <w:rFonts w:ascii="Garamond" w:hAnsi="Garamond"/>
          <w:sz w:val="24"/>
          <w:szCs w:val="24"/>
        </w:rPr>
        <w:t>out</w:t>
      </w:r>
      <w:r w:rsidRPr="00E47A79">
        <w:rPr>
          <w:rFonts w:ascii="Garamond" w:hAnsi="Garamond"/>
          <w:sz w:val="24"/>
          <w:szCs w:val="24"/>
        </w:rPr>
        <w:t>’</w:t>
      </w:r>
      <w:r w:rsidR="00F21B4D" w:rsidRPr="00E47A79">
        <w:rPr>
          <w:rFonts w:ascii="Garamond" w:hAnsi="Garamond"/>
          <w:sz w:val="24"/>
          <w:szCs w:val="24"/>
        </w:rPr>
        <w:t xml:space="preserve"> </w:t>
      </w:r>
      <w:r w:rsidR="00A90406" w:rsidRPr="00E47A79">
        <w:rPr>
          <w:rFonts w:ascii="Garamond" w:hAnsi="Garamond"/>
          <w:sz w:val="24"/>
          <w:szCs w:val="24"/>
        </w:rPr>
        <w:t>at</w:t>
      </w:r>
      <w:r w:rsidR="00562189" w:rsidRPr="00E47A79">
        <w:rPr>
          <w:rFonts w:ascii="Garamond" w:hAnsi="Garamond"/>
          <w:sz w:val="24"/>
          <w:szCs w:val="24"/>
        </w:rPr>
        <w:t xml:space="preserve"> </w:t>
      </w:r>
      <w:r w:rsidRPr="00E47A79">
        <w:rPr>
          <w:rFonts w:ascii="Garamond" w:hAnsi="Garamond"/>
          <w:sz w:val="24"/>
          <w:szCs w:val="24"/>
        </w:rPr>
        <w:t xml:space="preserve">the role of </w:t>
      </w:r>
      <w:r w:rsidR="00A90406" w:rsidRPr="00E47A79">
        <w:rPr>
          <w:rFonts w:ascii="Garamond" w:hAnsi="Garamond"/>
          <w:sz w:val="24"/>
          <w:szCs w:val="24"/>
        </w:rPr>
        <w:t xml:space="preserve">post-reform </w:t>
      </w:r>
      <w:r w:rsidR="005514CD" w:rsidRPr="00E47A79">
        <w:rPr>
          <w:rFonts w:ascii="Garamond" w:hAnsi="Garamond"/>
          <w:sz w:val="24"/>
          <w:szCs w:val="24"/>
        </w:rPr>
        <w:t>professional guidance</w:t>
      </w:r>
      <w:r w:rsidRPr="00E47A79">
        <w:rPr>
          <w:rFonts w:ascii="Garamond" w:hAnsi="Garamond"/>
          <w:sz w:val="24"/>
          <w:szCs w:val="24"/>
        </w:rPr>
        <w:t xml:space="preserve"> in </w:t>
      </w:r>
      <w:r w:rsidR="00AD786A" w:rsidRPr="00E47A79">
        <w:rPr>
          <w:rFonts w:ascii="Garamond" w:hAnsi="Garamond"/>
          <w:sz w:val="24"/>
          <w:szCs w:val="24"/>
        </w:rPr>
        <w:t>the contested field of</w:t>
      </w:r>
      <w:r w:rsidR="007538EC" w:rsidRPr="00E47A79">
        <w:rPr>
          <w:rFonts w:ascii="Garamond" w:hAnsi="Garamond"/>
          <w:sz w:val="24"/>
          <w:szCs w:val="24"/>
        </w:rPr>
        <w:t xml:space="preserve"> </w:t>
      </w:r>
      <w:r w:rsidRPr="00E47A79">
        <w:rPr>
          <w:rFonts w:ascii="Garamond" w:hAnsi="Garamond"/>
          <w:sz w:val="24"/>
          <w:szCs w:val="24"/>
        </w:rPr>
        <w:t>medicinal cannabis</w:t>
      </w:r>
      <w:r w:rsidR="00AD786A" w:rsidRPr="00E47A79">
        <w:rPr>
          <w:rFonts w:ascii="Garamond" w:hAnsi="Garamond"/>
          <w:sz w:val="24"/>
          <w:szCs w:val="24"/>
        </w:rPr>
        <w:t>, exploring tension points</w:t>
      </w:r>
      <w:r w:rsidR="003804ED" w:rsidRPr="00E47A79">
        <w:rPr>
          <w:rFonts w:ascii="Garamond" w:hAnsi="Garamond"/>
          <w:sz w:val="24"/>
          <w:szCs w:val="24"/>
        </w:rPr>
        <w:t xml:space="preserve"> in this new domain of prescribing.</w:t>
      </w:r>
      <w:r w:rsidR="00AD786A" w:rsidRPr="00E47A79">
        <w:rPr>
          <w:rFonts w:ascii="Garamond" w:hAnsi="Garamond"/>
          <w:sz w:val="24"/>
          <w:szCs w:val="24"/>
        </w:rPr>
        <w:t xml:space="preserve"> </w:t>
      </w:r>
      <w:r w:rsidRPr="00E47A79">
        <w:rPr>
          <w:rFonts w:ascii="Garamond" w:hAnsi="Garamond"/>
          <w:sz w:val="24"/>
          <w:szCs w:val="24"/>
        </w:rPr>
        <w:t xml:space="preserve"> </w:t>
      </w:r>
      <w:r w:rsidR="00716F93" w:rsidRPr="00E47A79">
        <w:rPr>
          <w:rFonts w:ascii="Garamond" w:hAnsi="Garamond"/>
          <w:sz w:val="24"/>
          <w:szCs w:val="24"/>
        </w:rPr>
        <w:t xml:space="preserve">First, </w:t>
      </w:r>
      <w:r w:rsidR="009E6E6D" w:rsidRPr="00E47A79">
        <w:rPr>
          <w:rFonts w:ascii="Garamond" w:hAnsi="Garamond"/>
          <w:sz w:val="24"/>
          <w:szCs w:val="24"/>
        </w:rPr>
        <w:t xml:space="preserve">however, </w:t>
      </w:r>
      <w:r w:rsidR="00716F93" w:rsidRPr="00E47A79">
        <w:rPr>
          <w:rFonts w:ascii="Garamond" w:hAnsi="Garamond"/>
          <w:sz w:val="24"/>
          <w:szCs w:val="24"/>
        </w:rPr>
        <w:t>ideas about boundary work and the construction of</w:t>
      </w:r>
      <w:r w:rsidR="00A671B3" w:rsidRPr="00E47A79">
        <w:rPr>
          <w:rFonts w:ascii="Garamond" w:hAnsi="Garamond"/>
          <w:sz w:val="24"/>
          <w:szCs w:val="24"/>
        </w:rPr>
        <w:t xml:space="preserve"> both</w:t>
      </w:r>
      <w:r w:rsidR="00716F93" w:rsidRPr="00E47A79">
        <w:rPr>
          <w:rFonts w:ascii="Garamond" w:hAnsi="Garamond"/>
          <w:sz w:val="24"/>
          <w:szCs w:val="24"/>
        </w:rPr>
        <w:t xml:space="preserve"> </w:t>
      </w:r>
      <w:r w:rsidR="005514CD" w:rsidRPr="00E47A79">
        <w:rPr>
          <w:rFonts w:ascii="Garamond" w:hAnsi="Garamond"/>
          <w:sz w:val="24"/>
          <w:szCs w:val="24"/>
        </w:rPr>
        <w:t>‘</w:t>
      </w:r>
      <w:r w:rsidR="00716F93" w:rsidRPr="00E47A79">
        <w:rPr>
          <w:rFonts w:ascii="Garamond" w:hAnsi="Garamond"/>
          <w:sz w:val="24"/>
          <w:szCs w:val="24"/>
        </w:rPr>
        <w:t xml:space="preserve">medicinal </w:t>
      </w:r>
      <w:proofErr w:type="gramStart"/>
      <w:r w:rsidR="00716F93" w:rsidRPr="00E47A79">
        <w:rPr>
          <w:rFonts w:ascii="Garamond" w:hAnsi="Garamond"/>
          <w:sz w:val="24"/>
          <w:szCs w:val="24"/>
        </w:rPr>
        <w:t>cannabis</w:t>
      </w:r>
      <w:r w:rsidR="005514CD" w:rsidRPr="00E47A79">
        <w:rPr>
          <w:rFonts w:ascii="Garamond" w:hAnsi="Garamond"/>
          <w:sz w:val="24"/>
          <w:szCs w:val="24"/>
        </w:rPr>
        <w:t>’</w:t>
      </w:r>
      <w:proofErr w:type="gramEnd"/>
      <w:r w:rsidR="00716F93" w:rsidRPr="00E47A79">
        <w:rPr>
          <w:rFonts w:ascii="Garamond" w:hAnsi="Garamond"/>
          <w:sz w:val="24"/>
          <w:szCs w:val="24"/>
        </w:rPr>
        <w:t xml:space="preserve"> and the act of </w:t>
      </w:r>
      <w:r w:rsidR="005514CD" w:rsidRPr="00E47A79">
        <w:rPr>
          <w:rFonts w:ascii="Garamond" w:hAnsi="Garamond"/>
          <w:sz w:val="24"/>
          <w:szCs w:val="24"/>
        </w:rPr>
        <w:t>‘</w:t>
      </w:r>
      <w:r w:rsidR="00716F93" w:rsidRPr="00E47A79">
        <w:rPr>
          <w:rFonts w:ascii="Garamond" w:hAnsi="Garamond"/>
          <w:sz w:val="24"/>
          <w:szCs w:val="24"/>
        </w:rPr>
        <w:t>prescribing</w:t>
      </w:r>
      <w:r w:rsidR="005514CD" w:rsidRPr="00E47A79">
        <w:rPr>
          <w:rFonts w:ascii="Garamond" w:hAnsi="Garamond"/>
          <w:sz w:val="24"/>
          <w:szCs w:val="24"/>
        </w:rPr>
        <w:t>’</w:t>
      </w:r>
      <w:r w:rsidR="00716F93" w:rsidRPr="00E47A79">
        <w:rPr>
          <w:rFonts w:ascii="Garamond" w:hAnsi="Garamond"/>
          <w:sz w:val="24"/>
          <w:szCs w:val="24"/>
        </w:rPr>
        <w:t xml:space="preserve"> are </w:t>
      </w:r>
      <w:r w:rsidR="00AA15F5" w:rsidRPr="00E47A79">
        <w:rPr>
          <w:rFonts w:ascii="Garamond" w:hAnsi="Garamond"/>
          <w:sz w:val="24"/>
          <w:szCs w:val="24"/>
        </w:rPr>
        <w:t>formulated</w:t>
      </w:r>
      <w:r w:rsidR="00716F93" w:rsidRPr="00E47A79">
        <w:rPr>
          <w:rFonts w:ascii="Garamond" w:hAnsi="Garamond"/>
          <w:sz w:val="24"/>
          <w:szCs w:val="24"/>
        </w:rPr>
        <w:t xml:space="preserve"> in the context of the UK reforms. </w:t>
      </w:r>
    </w:p>
    <w:p w14:paraId="25AAFA2F" w14:textId="2BBBA152" w:rsidR="008156CC" w:rsidRPr="00E47A79" w:rsidRDefault="004D1917" w:rsidP="00A601B9">
      <w:pPr>
        <w:spacing w:line="360" w:lineRule="auto"/>
        <w:jc w:val="center"/>
        <w:rPr>
          <w:rFonts w:ascii="Garamond" w:hAnsi="Garamond"/>
          <w:i/>
          <w:iCs/>
          <w:sz w:val="24"/>
          <w:szCs w:val="24"/>
        </w:rPr>
      </w:pPr>
      <w:r w:rsidRPr="00E47A79">
        <w:rPr>
          <w:rFonts w:ascii="Garamond" w:hAnsi="Garamond"/>
          <w:i/>
          <w:iCs/>
          <w:sz w:val="24"/>
          <w:szCs w:val="24"/>
        </w:rPr>
        <w:lastRenderedPageBreak/>
        <w:t>A</w:t>
      </w:r>
      <w:r w:rsidR="002F1FBE" w:rsidRPr="00E47A79">
        <w:rPr>
          <w:rFonts w:ascii="Garamond" w:hAnsi="Garamond"/>
          <w:i/>
          <w:iCs/>
          <w:sz w:val="24"/>
          <w:szCs w:val="24"/>
        </w:rPr>
        <w:t xml:space="preserve">. </w:t>
      </w:r>
      <w:r w:rsidR="00C27EFD" w:rsidRPr="00E47A79">
        <w:rPr>
          <w:rFonts w:ascii="Garamond" w:hAnsi="Garamond"/>
          <w:i/>
          <w:iCs/>
          <w:sz w:val="24"/>
          <w:szCs w:val="24"/>
        </w:rPr>
        <w:t xml:space="preserve"> </w:t>
      </w:r>
      <w:r w:rsidR="008156CC" w:rsidRPr="00E47A79">
        <w:rPr>
          <w:rFonts w:ascii="Garamond" w:hAnsi="Garamond"/>
          <w:i/>
          <w:iCs/>
          <w:sz w:val="24"/>
          <w:szCs w:val="24"/>
        </w:rPr>
        <w:t>‘</w:t>
      </w:r>
      <w:r w:rsidR="006143E4" w:rsidRPr="00E47A79">
        <w:rPr>
          <w:rFonts w:ascii="Garamond" w:hAnsi="Garamond"/>
          <w:i/>
          <w:iCs/>
          <w:sz w:val="24"/>
          <w:szCs w:val="24"/>
        </w:rPr>
        <w:t xml:space="preserve">Medicinal </w:t>
      </w:r>
      <w:r w:rsidR="007E0140" w:rsidRPr="00E47A79">
        <w:rPr>
          <w:rFonts w:ascii="Garamond" w:hAnsi="Garamond"/>
          <w:i/>
          <w:iCs/>
          <w:sz w:val="24"/>
          <w:szCs w:val="24"/>
        </w:rPr>
        <w:t>C</w:t>
      </w:r>
      <w:r w:rsidR="006143E4" w:rsidRPr="00E47A79">
        <w:rPr>
          <w:rFonts w:ascii="Garamond" w:hAnsi="Garamond"/>
          <w:i/>
          <w:iCs/>
          <w:sz w:val="24"/>
          <w:szCs w:val="24"/>
        </w:rPr>
        <w:t>annabis</w:t>
      </w:r>
      <w:r w:rsidR="008156CC" w:rsidRPr="00E47A79">
        <w:rPr>
          <w:rFonts w:ascii="Garamond" w:hAnsi="Garamond"/>
          <w:i/>
          <w:iCs/>
          <w:sz w:val="24"/>
          <w:szCs w:val="24"/>
        </w:rPr>
        <w:t>’</w:t>
      </w:r>
      <w:r w:rsidR="006143E4" w:rsidRPr="00E47A79">
        <w:rPr>
          <w:rFonts w:ascii="Garamond" w:hAnsi="Garamond"/>
          <w:i/>
          <w:iCs/>
          <w:sz w:val="24"/>
          <w:szCs w:val="24"/>
        </w:rPr>
        <w:t xml:space="preserve"> </w:t>
      </w:r>
      <w:r w:rsidR="00F24536" w:rsidRPr="00E47A79">
        <w:rPr>
          <w:rFonts w:ascii="Garamond" w:hAnsi="Garamond"/>
          <w:i/>
          <w:iCs/>
          <w:sz w:val="24"/>
          <w:szCs w:val="24"/>
        </w:rPr>
        <w:t>as a contested object</w:t>
      </w:r>
    </w:p>
    <w:p w14:paraId="5A2032B1" w14:textId="5311E185" w:rsidR="004368B7" w:rsidRPr="00E47A79" w:rsidRDefault="008156CC" w:rsidP="00A601B9">
      <w:pPr>
        <w:spacing w:line="360" w:lineRule="auto"/>
        <w:rPr>
          <w:rFonts w:ascii="Garamond" w:hAnsi="Garamond"/>
          <w:sz w:val="24"/>
          <w:szCs w:val="24"/>
        </w:rPr>
      </w:pPr>
      <w:r w:rsidRPr="00E47A79">
        <w:rPr>
          <w:rFonts w:ascii="Garamond" w:hAnsi="Garamond"/>
          <w:sz w:val="24"/>
          <w:szCs w:val="24"/>
        </w:rPr>
        <w:t>As in other jurisdictions</w:t>
      </w:r>
      <w:r w:rsidR="0077199D" w:rsidRPr="00E47A79">
        <w:rPr>
          <w:rFonts w:ascii="Garamond" w:hAnsi="Garamond"/>
          <w:sz w:val="24"/>
          <w:szCs w:val="24"/>
        </w:rPr>
        <w:t>,</w:t>
      </w:r>
      <w:r w:rsidR="006143E4" w:rsidRPr="00E47A79">
        <w:rPr>
          <w:rFonts w:ascii="Garamond" w:hAnsi="Garamond"/>
          <w:sz w:val="24"/>
          <w:szCs w:val="24"/>
        </w:rPr>
        <w:t xml:space="preserve"> </w:t>
      </w:r>
      <w:r w:rsidR="00BF21FC" w:rsidRPr="00E47A79">
        <w:rPr>
          <w:rFonts w:ascii="Garamond" w:hAnsi="Garamond"/>
          <w:sz w:val="24"/>
          <w:szCs w:val="24"/>
        </w:rPr>
        <w:t>‘</w:t>
      </w:r>
      <w:r w:rsidRPr="00E47A79">
        <w:rPr>
          <w:rFonts w:ascii="Garamond" w:hAnsi="Garamond"/>
          <w:sz w:val="24"/>
          <w:szCs w:val="24"/>
        </w:rPr>
        <w:t>m</w:t>
      </w:r>
      <w:r w:rsidR="006143E4" w:rsidRPr="00E47A79">
        <w:rPr>
          <w:rFonts w:ascii="Garamond" w:hAnsi="Garamond"/>
          <w:sz w:val="24"/>
          <w:szCs w:val="24"/>
        </w:rPr>
        <w:t>edicinal cannabis</w:t>
      </w:r>
      <w:r w:rsidR="00BF21FC" w:rsidRPr="00E47A79">
        <w:rPr>
          <w:rFonts w:ascii="Garamond" w:hAnsi="Garamond"/>
          <w:sz w:val="24"/>
          <w:szCs w:val="24"/>
        </w:rPr>
        <w:t>’</w:t>
      </w:r>
      <w:r w:rsidR="006143E4" w:rsidRPr="00E47A79">
        <w:rPr>
          <w:rFonts w:ascii="Garamond" w:hAnsi="Garamond"/>
          <w:sz w:val="24"/>
          <w:szCs w:val="24"/>
        </w:rPr>
        <w:t xml:space="preserve"> as an object has emerged as a</w:t>
      </w:r>
      <w:r w:rsidR="00BF21FC" w:rsidRPr="00E47A79">
        <w:rPr>
          <w:rFonts w:ascii="Garamond" w:hAnsi="Garamond"/>
          <w:sz w:val="24"/>
          <w:szCs w:val="24"/>
        </w:rPr>
        <w:t xml:space="preserve"> complex, contested</w:t>
      </w:r>
      <w:r w:rsidR="006143E4" w:rsidRPr="00E47A79">
        <w:rPr>
          <w:rFonts w:ascii="Garamond" w:hAnsi="Garamond"/>
          <w:sz w:val="24"/>
          <w:szCs w:val="24"/>
        </w:rPr>
        <w:t xml:space="preserve"> entity</w:t>
      </w:r>
      <w:r w:rsidR="00BF21FC" w:rsidRPr="00E47A79">
        <w:rPr>
          <w:rFonts w:ascii="Garamond" w:hAnsi="Garamond"/>
          <w:sz w:val="24"/>
          <w:szCs w:val="24"/>
        </w:rPr>
        <w:t>.</w:t>
      </w:r>
      <w:r w:rsidRPr="00E47A79">
        <w:rPr>
          <w:rStyle w:val="FootnoteReference"/>
          <w:rFonts w:ascii="Garamond" w:hAnsi="Garamond"/>
          <w:sz w:val="24"/>
          <w:szCs w:val="24"/>
        </w:rPr>
        <w:footnoteReference w:id="52"/>
      </w:r>
      <w:r w:rsidR="00BF21FC" w:rsidRPr="00E47A79">
        <w:rPr>
          <w:rFonts w:ascii="Garamond" w:hAnsi="Garamond"/>
          <w:sz w:val="24"/>
          <w:szCs w:val="24"/>
        </w:rPr>
        <w:t xml:space="preserve"> The label ‘medicinal cannabis’ </w:t>
      </w:r>
      <w:r w:rsidR="003804ED" w:rsidRPr="00E47A79">
        <w:rPr>
          <w:rFonts w:ascii="Garamond" w:hAnsi="Garamond"/>
          <w:sz w:val="24"/>
          <w:szCs w:val="24"/>
        </w:rPr>
        <w:t>implies</w:t>
      </w:r>
      <w:r w:rsidR="00BF21FC" w:rsidRPr="00E47A79">
        <w:rPr>
          <w:rFonts w:ascii="Garamond" w:hAnsi="Garamond"/>
          <w:sz w:val="24"/>
          <w:szCs w:val="24"/>
        </w:rPr>
        <w:t xml:space="preserve"> a single, discrete </w:t>
      </w:r>
      <w:r w:rsidR="001858A0" w:rsidRPr="00E47A79">
        <w:rPr>
          <w:rFonts w:ascii="Garamond" w:hAnsi="Garamond"/>
          <w:sz w:val="24"/>
          <w:szCs w:val="24"/>
        </w:rPr>
        <w:t>object</w:t>
      </w:r>
      <w:r w:rsidR="003804ED" w:rsidRPr="00E47A79">
        <w:rPr>
          <w:rFonts w:ascii="Garamond" w:hAnsi="Garamond"/>
          <w:sz w:val="24"/>
          <w:szCs w:val="24"/>
        </w:rPr>
        <w:t>: however,</w:t>
      </w:r>
      <w:r w:rsidR="00503214" w:rsidRPr="00E47A79">
        <w:rPr>
          <w:rFonts w:ascii="Garamond" w:hAnsi="Garamond"/>
          <w:sz w:val="24"/>
          <w:szCs w:val="24"/>
        </w:rPr>
        <w:t xml:space="preserve"> cannabis ‘is not one medicine but a family of medicines’</w:t>
      </w:r>
      <w:r w:rsidR="00503214" w:rsidRPr="00E47A79">
        <w:rPr>
          <w:rStyle w:val="FootnoteReference"/>
          <w:rFonts w:ascii="Garamond" w:hAnsi="Garamond"/>
          <w:sz w:val="24"/>
          <w:szCs w:val="24"/>
        </w:rPr>
        <w:footnoteReference w:id="53"/>
      </w:r>
      <w:r w:rsidR="005E37D1" w:rsidRPr="00E47A79">
        <w:rPr>
          <w:rFonts w:ascii="Garamond" w:hAnsi="Garamond"/>
          <w:sz w:val="24"/>
          <w:szCs w:val="24"/>
        </w:rPr>
        <w:t xml:space="preserve"> (a plant with two very well</w:t>
      </w:r>
      <w:r w:rsidR="003804ED" w:rsidRPr="00E47A79">
        <w:rPr>
          <w:rFonts w:ascii="Garamond" w:hAnsi="Garamond"/>
          <w:sz w:val="24"/>
          <w:szCs w:val="24"/>
        </w:rPr>
        <w:t>-</w:t>
      </w:r>
      <w:r w:rsidR="005E37D1" w:rsidRPr="00E47A79">
        <w:rPr>
          <w:rFonts w:ascii="Garamond" w:hAnsi="Garamond"/>
          <w:sz w:val="24"/>
          <w:szCs w:val="24"/>
        </w:rPr>
        <w:t>known isolates (</w:t>
      </w:r>
      <w:r w:rsidR="000070C1" w:rsidRPr="00E47A79">
        <w:rPr>
          <w:rFonts w:ascii="Garamond" w:hAnsi="Garamond"/>
          <w:sz w:val="24"/>
          <w:szCs w:val="24"/>
        </w:rPr>
        <w:t>cannabidiol (CBD) and tetrahydrocannabinol (THC)</w:t>
      </w:r>
      <w:r w:rsidR="005E37D1" w:rsidRPr="00E47A79">
        <w:rPr>
          <w:rFonts w:ascii="Garamond" w:hAnsi="Garamond"/>
          <w:sz w:val="24"/>
          <w:szCs w:val="24"/>
        </w:rPr>
        <w:t>)</w:t>
      </w:r>
      <w:r w:rsidR="00107026" w:rsidRPr="00E47A79">
        <w:rPr>
          <w:rFonts w:ascii="Garamond" w:hAnsi="Garamond"/>
          <w:sz w:val="24"/>
          <w:szCs w:val="24"/>
        </w:rPr>
        <w:t xml:space="preserve"> and </w:t>
      </w:r>
      <w:r w:rsidR="005E37D1" w:rsidRPr="00E47A79">
        <w:rPr>
          <w:rFonts w:ascii="Garamond" w:hAnsi="Garamond"/>
          <w:sz w:val="24"/>
          <w:szCs w:val="24"/>
        </w:rPr>
        <w:t>over 100 potentially medically useful components</w:t>
      </w:r>
      <w:r w:rsidR="00306933" w:rsidRPr="00E47A79">
        <w:rPr>
          <w:rStyle w:val="FootnoteReference"/>
          <w:rFonts w:ascii="Garamond" w:hAnsi="Garamond"/>
          <w:sz w:val="24"/>
          <w:szCs w:val="24"/>
        </w:rPr>
        <w:footnoteReference w:id="54"/>
      </w:r>
      <w:r w:rsidR="005E37D1" w:rsidRPr="00E47A79">
        <w:rPr>
          <w:rFonts w:ascii="Garamond" w:hAnsi="Garamond"/>
          <w:sz w:val="24"/>
          <w:szCs w:val="24"/>
        </w:rPr>
        <w:t>)</w:t>
      </w:r>
      <w:r w:rsidR="003804ED" w:rsidRPr="00E47A79">
        <w:rPr>
          <w:rFonts w:ascii="Garamond" w:hAnsi="Garamond"/>
          <w:sz w:val="24"/>
          <w:szCs w:val="24"/>
        </w:rPr>
        <w:t>;</w:t>
      </w:r>
      <w:r w:rsidR="004368B7" w:rsidRPr="00E47A79">
        <w:rPr>
          <w:rFonts w:ascii="Garamond" w:hAnsi="Garamond"/>
          <w:sz w:val="24"/>
          <w:szCs w:val="24"/>
        </w:rPr>
        <w:t xml:space="preserve"> and</w:t>
      </w:r>
      <w:r w:rsidR="003804ED" w:rsidRPr="00E47A79">
        <w:rPr>
          <w:rFonts w:ascii="Garamond" w:hAnsi="Garamond"/>
          <w:sz w:val="24"/>
          <w:szCs w:val="24"/>
        </w:rPr>
        <w:t xml:space="preserve"> </w:t>
      </w:r>
      <w:r w:rsidR="005E37D1" w:rsidRPr="00E47A79">
        <w:rPr>
          <w:rFonts w:ascii="Garamond" w:hAnsi="Garamond"/>
          <w:sz w:val="24"/>
          <w:szCs w:val="24"/>
        </w:rPr>
        <w:t xml:space="preserve">it </w:t>
      </w:r>
      <w:r w:rsidR="008656B6" w:rsidRPr="00E47A79">
        <w:rPr>
          <w:rFonts w:ascii="Garamond" w:hAnsi="Garamond"/>
          <w:sz w:val="24"/>
          <w:szCs w:val="24"/>
        </w:rPr>
        <w:t>manifests</w:t>
      </w:r>
      <w:r w:rsidR="00BF21FC" w:rsidRPr="00E47A79">
        <w:rPr>
          <w:rFonts w:ascii="Garamond" w:hAnsi="Garamond"/>
          <w:sz w:val="24"/>
          <w:szCs w:val="24"/>
        </w:rPr>
        <w:t xml:space="preserve"> in many physical forms (including tinctures, purified oil</w:t>
      </w:r>
      <w:r w:rsidR="004A675E" w:rsidRPr="00E47A79">
        <w:rPr>
          <w:rFonts w:ascii="Garamond" w:hAnsi="Garamond"/>
          <w:sz w:val="24"/>
          <w:szCs w:val="24"/>
        </w:rPr>
        <w:t>s</w:t>
      </w:r>
      <w:r w:rsidR="00BF21FC" w:rsidRPr="00E47A79">
        <w:rPr>
          <w:rFonts w:ascii="Garamond" w:hAnsi="Garamond"/>
          <w:sz w:val="24"/>
          <w:szCs w:val="24"/>
        </w:rPr>
        <w:t>, pill</w:t>
      </w:r>
      <w:r w:rsidR="004A675E" w:rsidRPr="00E47A79">
        <w:rPr>
          <w:rFonts w:ascii="Garamond" w:hAnsi="Garamond"/>
          <w:sz w:val="24"/>
          <w:szCs w:val="24"/>
        </w:rPr>
        <w:t>s</w:t>
      </w:r>
      <w:r w:rsidR="00BF21FC" w:rsidRPr="00E47A79">
        <w:rPr>
          <w:rFonts w:ascii="Garamond" w:hAnsi="Garamond"/>
          <w:sz w:val="24"/>
          <w:szCs w:val="24"/>
        </w:rPr>
        <w:t>, oral spray</w:t>
      </w:r>
      <w:r w:rsidR="004A675E" w:rsidRPr="00E47A79">
        <w:rPr>
          <w:rFonts w:ascii="Garamond" w:hAnsi="Garamond"/>
          <w:sz w:val="24"/>
          <w:szCs w:val="24"/>
        </w:rPr>
        <w:t>s</w:t>
      </w:r>
      <w:r w:rsidR="00BF21FC" w:rsidRPr="00E47A79">
        <w:rPr>
          <w:rFonts w:ascii="Garamond" w:hAnsi="Garamond"/>
          <w:sz w:val="24"/>
          <w:szCs w:val="24"/>
        </w:rPr>
        <w:t xml:space="preserve">, </w:t>
      </w:r>
      <w:r w:rsidR="004A675E" w:rsidRPr="00E47A79">
        <w:rPr>
          <w:rFonts w:ascii="Garamond" w:hAnsi="Garamond"/>
          <w:sz w:val="24"/>
          <w:szCs w:val="24"/>
        </w:rPr>
        <w:t xml:space="preserve">dried flowers, </w:t>
      </w:r>
      <w:r w:rsidR="0077199D" w:rsidRPr="00E47A79">
        <w:rPr>
          <w:rFonts w:ascii="Garamond" w:hAnsi="Garamond"/>
          <w:sz w:val="24"/>
          <w:szCs w:val="24"/>
        </w:rPr>
        <w:t xml:space="preserve">a </w:t>
      </w:r>
      <w:r w:rsidR="00BF21FC" w:rsidRPr="00E47A79">
        <w:rPr>
          <w:rFonts w:ascii="Garamond" w:hAnsi="Garamond"/>
          <w:sz w:val="24"/>
          <w:szCs w:val="24"/>
        </w:rPr>
        <w:t>vaping product</w:t>
      </w:r>
      <w:r w:rsidR="0077199D" w:rsidRPr="00E47A79">
        <w:rPr>
          <w:rFonts w:ascii="Garamond" w:hAnsi="Garamond"/>
          <w:sz w:val="24"/>
          <w:szCs w:val="24"/>
        </w:rPr>
        <w:t xml:space="preserve"> and </w:t>
      </w:r>
      <w:r w:rsidR="00BF21FC" w:rsidRPr="00E47A79">
        <w:rPr>
          <w:rFonts w:ascii="Garamond" w:hAnsi="Garamond"/>
          <w:sz w:val="24"/>
          <w:szCs w:val="24"/>
        </w:rPr>
        <w:t xml:space="preserve">edibles). </w:t>
      </w:r>
      <w:r w:rsidR="004368B7" w:rsidRPr="00E47A79">
        <w:rPr>
          <w:rFonts w:ascii="Garamond" w:hAnsi="Garamond"/>
          <w:sz w:val="24"/>
          <w:szCs w:val="24"/>
        </w:rPr>
        <w:t>Furthe</w:t>
      </w:r>
      <w:r w:rsidR="00716F93" w:rsidRPr="00E47A79">
        <w:rPr>
          <w:rFonts w:ascii="Garamond" w:hAnsi="Garamond"/>
          <w:sz w:val="24"/>
          <w:szCs w:val="24"/>
        </w:rPr>
        <w:t>r</w:t>
      </w:r>
      <w:r w:rsidR="004368B7" w:rsidRPr="00E47A79">
        <w:rPr>
          <w:rFonts w:ascii="Garamond" w:hAnsi="Garamond"/>
          <w:sz w:val="24"/>
          <w:szCs w:val="24"/>
        </w:rPr>
        <w:t xml:space="preserve">, whilst the impetus for reform in the UK centred around the experiences of young children with intractable epilepsies, medicinal cannabis products </w:t>
      </w:r>
      <w:r w:rsidR="00627950" w:rsidRPr="00E47A79">
        <w:rPr>
          <w:rFonts w:ascii="Garamond" w:hAnsi="Garamond"/>
          <w:sz w:val="24"/>
          <w:szCs w:val="24"/>
        </w:rPr>
        <w:t>a</w:t>
      </w:r>
      <w:r w:rsidR="004368B7" w:rsidRPr="00E47A79">
        <w:rPr>
          <w:rFonts w:ascii="Garamond" w:hAnsi="Garamond"/>
          <w:sz w:val="24"/>
          <w:szCs w:val="24"/>
        </w:rPr>
        <w:t xml:space="preserve">re reported as </w:t>
      </w:r>
      <w:r w:rsidR="00A671B3" w:rsidRPr="00E47A79">
        <w:rPr>
          <w:rFonts w:ascii="Garamond" w:hAnsi="Garamond"/>
          <w:sz w:val="24"/>
          <w:szCs w:val="24"/>
        </w:rPr>
        <w:t xml:space="preserve">providing therapeutic benefit </w:t>
      </w:r>
      <w:r w:rsidR="004368B7" w:rsidRPr="00E47A79">
        <w:rPr>
          <w:rFonts w:ascii="Garamond" w:hAnsi="Garamond"/>
          <w:sz w:val="24"/>
          <w:szCs w:val="24"/>
        </w:rPr>
        <w:t xml:space="preserve">for </w:t>
      </w:r>
      <w:r w:rsidR="00627950" w:rsidRPr="00E47A79">
        <w:rPr>
          <w:rFonts w:ascii="Garamond" w:hAnsi="Garamond"/>
          <w:sz w:val="24"/>
          <w:szCs w:val="24"/>
        </w:rPr>
        <w:t xml:space="preserve">a diverse range of conditions.  </w:t>
      </w:r>
      <w:r w:rsidR="00A671B3" w:rsidRPr="00E47A79">
        <w:rPr>
          <w:rFonts w:ascii="Garamond" w:hAnsi="Garamond"/>
          <w:sz w:val="24"/>
          <w:szCs w:val="24"/>
        </w:rPr>
        <w:t>A</w:t>
      </w:r>
      <w:r w:rsidR="00627950" w:rsidRPr="00E47A79">
        <w:rPr>
          <w:rFonts w:ascii="Garamond" w:hAnsi="Garamond"/>
          <w:sz w:val="24"/>
          <w:szCs w:val="24"/>
        </w:rPr>
        <w:t xml:space="preserve"> 2018 review by Dame Sally Davies (then Chief Medical Officer for England), concluded that these products </w:t>
      </w:r>
      <w:r w:rsidR="007521F3">
        <w:rPr>
          <w:rFonts w:ascii="Garamond" w:hAnsi="Garamond"/>
          <w:sz w:val="24"/>
          <w:szCs w:val="24"/>
        </w:rPr>
        <w:t>did indeed have</w:t>
      </w:r>
      <w:r w:rsidR="00627950" w:rsidRPr="00E47A79">
        <w:rPr>
          <w:rFonts w:ascii="Garamond" w:hAnsi="Garamond"/>
          <w:sz w:val="24"/>
          <w:szCs w:val="24"/>
        </w:rPr>
        <w:t xml:space="preserve"> medicinal value for patients with</w:t>
      </w:r>
      <w:r w:rsidR="004368B7" w:rsidRPr="00E47A79">
        <w:rPr>
          <w:rFonts w:ascii="Garamond" w:hAnsi="Garamond"/>
          <w:sz w:val="24"/>
          <w:szCs w:val="24"/>
        </w:rPr>
        <w:t xml:space="preserve"> nausea/vomiting caused by chemotherapy, spasticity in multiple sclerosis</w:t>
      </w:r>
      <w:r w:rsidR="00796E4D" w:rsidRPr="00E47A79">
        <w:rPr>
          <w:rFonts w:ascii="Garamond" w:hAnsi="Garamond"/>
          <w:sz w:val="24"/>
          <w:szCs w:val="24"/>
        </w:rPr>
        <w:t xml:space="preserve"> and</w:t>
      </w:r>
      <w:r w:rsidR="00A671B3" w:rsidRPr="00E47A79">
        <w:rPr>
          <w:rFonts w:ascii="Garamond" w:hAnsi="Garamond"/>
          <w:sz w:val="24"/>
          <w:szCs w:val="24"/>
        </w:rPr>
        <w:t xml:space="preserve"> </w:t>
      </w:r>
      <w:r w:rsidR="004368B7" w:rsidRPr="00E47A79">
        <w:rPr>
          <w:rFonts w:ascii="Garamond" w:hAnsi="Garamond"/>
          <w:sz w:val="24"/>
          <w:szCs w:val="24"/>
        </w:rPr>
        <w:t>chronic pain</w:t>
      </w:r>
      <w:r w:rsidR="00627950" w:rsidRPr="00E47A79">
        <w:rPr>
          <w:rFonts w:ascii="Garamond" w:hAnsi="Garamond"/>
          <w:sz w:val="24"/>
          <w:szCs w:val="24"/>
        </w:rPr>
        <w:t xml:space="preserve"> (adults)</w:t>
      </w:r>
      <w:r w:rsidR="003F7F7D" w:rsidRPr="00E47A79">
        <w:rPr>
          <w:rFonts w:ascii="Garamond" w:hAnsi="Garamond"/>
          <w:sz w:val="24"/>
          <w:szCs w:val="24"/>
        </w:rPr>
        <w:t>, in addition to intractable epilepsy</w:t>
      </w:r>
      <w:r w:rsidR="00BD0704" w:rsidRPr="00E47A79">
        <w:rPr>
          <w:rFonts w:ascii="Garamond" w:hAnsi="Garamond"/>
          <w:sz w:val="24"/>
          <w:szCs w:val="24"/>
        </w:rPr>
        <w:t>.</w:t>
      </w:r>
      <w:r w:rsidR="003F7F7D" w:rsidRPr="00E47A79">
        <w:rPr>
          <w:rStyle w:val="FootnoteReference"/>
          <w:rFonts w:ascii="Garamond" w:hAnsi="Garamond"/>
          <w:sz w:val="24"/>
          <w:szCs w:val="24"/>
        </w:rPr>
        <w:footnoteReference w:id="55"/>
      </w:r>
      <w:r w:rsidR="00B112C2" w:rsidRPr="00E47A79">
        <w:rPr>
          <w:rFonts w:ascii="Garamond" w:hAnsi="Garamond"/>
          <w:sz w:val="24"/>
          <w:szCs w:val="24"/>
        </w:rPr>
        <w:t xml:space="preserve"> This was despite the current absence of positive Randomised Controlled Trial evidence and against a background of some well</w:t>
      </w:r>
      <w:r w:rsidR="00127D7D" w:rsidRPr="00E47A79">
        <w:rPr>
          <w:rFonts w:ascii="Garamond" w:hAnsi="Garamond"/>
          <w:sz w:val="24"/>
          <w:szCs w:val="24"/>
        </w:rPr>
        <w:t>-</w:t>
      </w:r>
      <w:r w:rsidR="00B112C2" w:rsidRPr="00E47A79">
        <w:rPr>
          <w:rFonts w:ascii="Garamond" w:hAnsi="Garamond"/>
          <w:sz w:val="24"/>
          <w:szCs w:val="24"/>
        </w:rPr>
        <w:t>known risks (particularly mental health disorders and addiction</w:t>
      </w:r>
      <w:r w:rsidR="00B112C2" w:rsidRPr="00E47A79">
        <w:rPr>
          <w:rStyle w:val="FootnoteReference"/>
          <w:rFonts w:ascii="Garamond" w:hAnsi="Garamond"/>
          <w:sz w:val="24"/>
          <w:szCs w:val="24"/>
        </w:rPr>
        <w:footnoteReference w:id="56"/>
      </w:r>
      <w:r w:rsidR="00B112C2" w:rsidRPr="00E47A79">
        <w:rPr>
          <w:rFonts w:ascii="Garamond" w:hAnsi="Garamond"/>
          <w:sz w:val="24"/>
          <w:szCs w:val="24"/>
        </w:rPr>
        <w:t>)</w:t>
      </w:r>
      <w:r w:rsidR="00D85009">
        <w:rPr>
          <w:rFonts w:ascii="Garamond" w:hAnsi="Garamond"/>
          <w:sz w:val="24"/>
          <w:szCs w:val="24"/>
        </w:rPr>
        <w:t>.</w:t>
      </w:r>
      <w:r w:rsidR="00A671B3" w:rsidRPr="00E47A79">
        <w:rPr>
          <w:rFonts w:ascii="Garamond" w:hAnsi="Garamond"/>
          <w:sz w:val="24"/>
          <w:szCs w:val="24"/>
        </w:rPr>
        <w:t xml:space="preserve"> </w:t>
      </w:r>
      <w:r w:rsidR="003F7F7D" w:rsidRPr="00E47A79">
        <w:rPr>
          <w:rFonts w:ascii="Garamond" w:hAnsi="Garamond"/>
          <w:sz w:val="24"/>
          <w:szCs w:val="24"/>
        </w:rPr>
        <w:t xml:space="preserve">More broadly, it </w:t>
      </w:r>
      <w:r w:rsidR="00627950" w:rsidRPr="00E47A79">
        <w:rPr>
          <w:rFonts w:ascii="Garamond" w:hAnsi="Garamond"/>
          <w:sz w:val="24"/>
          <w:szCs w:val="24"/>
        </w:rPr>
        <w:t>has been</w:t>
      </w:r>
      <w:r w:rsidR="003F7F7D" w:rsidRPr="00E47A79">
        <w:rPr>
          <w:rFonts w:ascii="Garamond" w:hAnsi="Garamond"/>
          <w:sz w:val="24"/>
          <w:szCs w:val="24"/>
        </w:rPr>
        <w:t xml:space="preserve"> claimed that medicinal cannabis </w:t>
      </w:r>
      <w:r w:rsidR="00AA079C" w:rsidRPr="00E47A79">
        <w:rPr>
          <w:rFonts w:ascii="Garamond" w:hAnsi="Garamond"/>
          <w:sz w:val="24"/>
          <w:szCs w:val="24"/>
        </w:rPr>
        <w:t xml:space="preserve">is helping </w:t>
      </w:r>
      <w:r w:rsidR="003F7F7D" w:rsidRPr="00E47A79">
        <w:rPr>
          <w:rFonts w:ascii="Garamond" w:hAnsi="Garamond"/>
          <w:sz w:val="24"/>
          <w:szCs w:val="24"/>
        </w:rPr>
        <w:t xml:space="preserve">patients with </w:t>
      </w:r>
      <w:r w:rsidR="004368B7" w:rsidRPr="00E47A79">
        <w:rPr>
          <w:rFonts w:ascii="Garamond" w:hAnsi="Garamond"/>
          <w:sz w:val="24"/>
          <w:szCs w:val="24"/>
        </w:rPr>
        <w:t xml:space="preserve">fibromyalgia, anxiety and depression, the rigidity and tremors associated with Parkinson’s disease, </w:t>
      </w:r>
      <w:r w:rsidR="006B6E43" w:rsidRPr="00E47A79">
        <w:rPr>
          <w:rFonts w:ascii="Garamond" w:hAnsi="Garamond"/>
          <w:sz w:val="24"/>
          <w:szCs w:val="24"/>
        </w:rPr>
        <w:t xml:space="preserve">Tourette’s syndrome, </w:t>
      </w:r>
      <w:r w:rsidR="004368B7" w:rsidRPr="00E47A79">
        <w:rPr>
          <w:rFonts w:ascii="Garamond" w:hAnsi="Garamond"/>
          <w:sz w:val="24"/>
          <w:szCs w:val="24"/>
        </w:rPr>
        <w:t>Alzheimer’s disease, chronic fatigue syndrome, cancer</w:t>
      </w:r>
      <w:r w:rsidR="00D85009">
        <w:rPr>
          <w:rFonts w:ascii="Garamond" w:hAnsi="Garamond"/>
          <w:sz w:val="24"/>
          <w:szCs w:val="24"/>
        </w:rPr>
        <w:t>,</w:t>
      </w:r>
      <w:r w:rsidR="004368B7" w:rsidRPr="00E47A79">
        <w:rPr>
          <w:rFonts w:ascii="Garamond" w:hAnsi="Garamond"/>
          <w:sz w:val="24"/>
          <w:szCs w:val="24"/>
        </w:rPr>
        <w:t xml:space="preserve"> the distress experienced by patients receiving palliative care</w:t>
      </w:r>
      <w:r w:rsidR="00D85009">
        <w:rPr>
          <w:rFonts w:ascii="Garamond" w:hAnsi="Garamond"/>
          <w:sz w:val="24"/>
          <w:szCs w:val="24"/>
        </w:rPr>
        <w:t xml:space="preserve"> and </w:t>
      </w:r>
      <w:r w:rsidR="00D03FDE">
        <w:rPr>
          <w:rFonts w:ascii="Garamond" w:hAnsi="Garamond"/>
          <w:sz w:val="24"/>
          <w:szCs w:val="24"/>
        </w:rPr>
        <w:t xml:space="preserve">it </w:t>
      </w:r>
      <w:r w:rsidR="00D85009">
        <w:rPr>
          <w:rFonts w:ascii="Garamond" w:hAnsi="Garamond"/>
          <w:sz w:val="24"/>
          <w:szCs w:val="24"/>
        </w:rPr>
        <w:t>has</w:t>
      </w:r>
      <w:r w:rsidR="00D85009" w:rsidRPr="00E47A79">
        <w:rPr>
          <w:rFonts w:ascii="Garamond" w:hAnsi="Garamond"/>
          <w:sz w:val="24"/>
          <w:szCs w:val="24"/>
        </w:rPr>
        <w:t xml:space="preserve"> even</w:t>
      </w:r>
      <w:r w:rsidR="00D85009">
        <w:rPr>
          <w:rFonts w:ascii="Garamond" w:hAnsi="Garamond"/>
          <w:sz w:val="24"/>
          <w:szCs w:val="24"/>
        </w:rPr>
        <w:t xml:space="preserve"> been</w:t>
      </w:r>
      <w:r w:rsidR="00D85009" w:rsidRPr="00E47A79">
        <w:rPr>
          <w:rFonts w:ascii="Garamond" w:hAnsi="Garamond"/>
          <w:sz w:val="24"/>
          <w:szCs w:val="24"/>
        </w:rPr>
        <w:t xml:space="preserve"> named as a possible treatment for Covid-19.</w:t>
      </w:r>
      <w:r w:rsidR="00D85009" w:rsidRPr="00E47A79">
        <w:rPr>
          <w:rFonts w:ascii="Garamond" w:hAnsi="Garamond"/>
          <w:sz w:val="24"/>
          <w:szCs w:val="24"/>
          <w:vertAlign w:val="superscript"/>
        </w:rPr>
        <w:footnoteReference w:id="57"/>
      </w:r>
      <w:r w:rsidR="00D85009" w:rsidRPr="00E47A79">
        <w:rPr>
          <w:rFonts w:ascii="Garamond" w:hAnsi="Garamond"/>
          <w:sz w:val="24"/>
          <w:szCs w:val="24"/>
        </w:rPr>
        <w:t xml:space="preserve"> </w:t>
      </w:r>
      <w:r w:rsidR="00D85009">
        <w:rPr>
          <w:rFonts w:ascii="Garamond" w:hAnsi="Garamond"/>
          <w:sz w:val="24"/>
          <w:szCs w:val="24"/>
        </w:rPr>
        <w:t>T</w:t>
      </w:r>
      <w:r w:rsidR="00AA079C" w:rsidRPr="00E47A79">
        <w:rPr>
          <w:rFonts w:ascii="Garamond" w:hAnsi="Garamond"/>
          <w:sz w:val="24"/>
          <w:szCs w:val="24"/>
        </w:rPr>
        <w:t>here is</w:t>
      </w:r>
      <w:r w:rsidR="00D85009">
        <w:rPr>
          <w:rFonts w:ascii="Garamond" w:hAnsi="Garamond"/>
          <w:sz w:val="24"/>
          <w:szCs w:val="24"/>
        </w:rPr>
        <w:t>, however,</w:t>
      </w:r>
      <w:r w:rsidR="00A671B3" w:rsidRPr="00E47A79">
        <w:rPr>
          <w:rFonts w:ascii="Garamond" w:hAnsi="Garamond"/>
          <w:sz w:val="24"/>
          <w:szCs w:val="24"/>
        </w:rPr>
        <w:t xml:space="preserve"> either</w:t>
      </w:r>
      <w:r w:rsidR="00AA079C" w:rsidRPr="00E47A79">
        <w:rPr>
          <w:rFonts w:ascii="Garamond" w:hAnsi="Garamond"/>
          <w:sz w:val="24"/>
          <w:szCs w:val="24"/>
        </w:rPr>
        <w:t xml:space="preserve"> </w:t>
      </w:r>
      <w:r w:rsidR="00A671B3" w:rsidRPr="00E47A79">
        <w:rPr>
          <w:rFonts w:ascii="Garamond" w:hAnsi="Garamond"/>
          <w:sz w:val="24"/>
          <w:szCs w:val="24"/>
        </w:rPr>
        <w:t>‘</w:t>
      </w:r>
      <w:r w:rsidR="00AA079C" w:rsidRPr="00E47A79">
        <w:rPr>
          <w:rFonts w:ascii="Garamond" w:hAnsi="Garamond"/>
          <w:sz w:val="24"/>
          <w:szCs w:val="24"/>
        </w:rPr>
        <w:t>limited</w:t>
      </w:r>
      <w:r w:rsidR="00B112C2" w:rsidRPr="00E47A79">
        <w:rPr>
          <w:rFonts w:ascii="Garamond" w:hAnsi="Garamond"/>
          <w:sz w:val="24"/>
          <w:szCs w:val="24"/>
        </w:rPr>
        <w:t xml:space="preserve"> evidence</w:t>
      </w:r>
      <w:r w:rsidR="00A671B3" w:rsidRPr="00E47A79">
        <w:rPr>
          <w:rFonts w:ascii="Garamond" w:hAnsi="Garamond"/>
          <w:sz w:val="24"/>
          <w:szCs w:val="24"/>
        </w:rPr>
        <w:t>’</w:t>
      </w:r>
      <w:r w:rsidR="00AA079C" w:rsidRPr="00E47A79">
        <w:rPr>
          <w:rFonts w:ascii="Garamond" w:hAnsi="Garamond"/>
          <w:sz w:val="24"/>
          <w:szCs w:val="24"/>
        </w:rPr>
        <w:t xml:space="preserve"> or </w:t>
      </w:r>
      <w:r w:rsidR="00A671B3" w:rsidRPr="00E47A79">
        <w:rPr>
          <w:rFonts w:ascii="Garamond" w:hAnsi="Garamond"/>
          <w:sz w:val="24"/>
          <w:szCs w:val="24"/>
        </w:rPr>
        <w:t>‘</w:t>
      </w:r>
      <w:r w:rsidR="00AA079C" w:rsidRPr="00E47A79">
        <w:rPr>
          <w:rFonts w:ascii="Garamond" w:hAnsi="Garamond"/>
          <w:sz w:val="24"/>
          <w:szCs w:val="24"/>
        </w:rPr>
        <w:t>no conclusive evidence</w:t>
      </w:r>
      <w:r w:rsidR="00B112C2" w:rsidRPr="00E47A79">
        <w:rPr>
          <w:rFonts w:ascii="Garamond" w:hAnsi="Garamond"/>
          <w:sz w:val="24"/>
          <w:szCs w:val="24"/>
        </w:rPr>
        <w:t>’</w:t>
      </w:r>
      <w:r w:rsidR="00AA079C" w:rsidRPr="00E47A79">
        <w:rPr>
          <w:rFonts w:ascii="Garamond" w:hAnsi="Garamond"/>
          <w:sz w:val="24"/>
          <w:szCs w:val="24"/>
        </w:rPr>
        <w:t xml:space="preserve"> that medicinal cannabis is an effective </w:t>
      </w:r>
      <w:r w:rsidR="00796E4D" w:rsidRPr="00E47A79">
        <w:rPr>
          <w:rFonts w:ascii="Garamond" w:hAnsi="Garamond"/>
          <w:sz w:val="24"/>
          <w:szCs w:val="24"/>
        </w:rPr>
        <w:t>therapy</w:t>
      </w:r>
      <w:r w:rsidR="00AA079C" w:rsidRPr="00E47A79">
        <w:rPr>
          <w:rFonts w:ascii="Garamond" w:hAnsi="Garamond"/>
          <w:sz w:val="24"/>
          <w:szCs w:val="24"/>
        </w:rPr>
        <w:t xml:space="preserve"> for these</w:t>
      </w:r>
      <w:r w:rsidR="00CB7807">
        <w:rPr>
          <w:rFonts w:ascii="Garamond" w:hAnsi="Garamond"/>
          <w:sz w:val="24"/>
          <w:szCs w:val="24"/>
        </w:rPr>
        <w:t xml:space="preserve"> other</w:t>
      </w:r>
      <w:r w:rsidR="00AA079C" w:rsidRPr="00E47A79">
        <w:rPr>
          <w:rFonts w:ascii="Garamond" w:hAnsi="Garamond"/>
          <w:sz w:val="24"/>
          <w:szCs w:val="24"/>
        </w:rPr>
        <w:t xml:space="preserve"> conditions</w:t>
      </w:r>
      <w:r w:rsidR="00D85009">
        <w:rPr>
          <w:rFonts w:ascii="Garamond" w:hAnsi="Garamond"/>
          <w:sz w:val="24"/>
          <w:szCs w:val="24"/>
        </w:rPr>
        <w:t>.</w:t>
      </w:r>
      <w:r w:rsidR="00627950" w:rsidRPr="00E47A79">
        <w:rPr>
          <w:rStyle w:val="FootnoteReference"/>
          <w:rFonts w:ascii="Garamond" w:hAnsi="Garamond"/>
          <w:sz w:val="24"/>
          <w:szCs w:val="24"/>
        </w:rPr>
        <w:footnoteReference w:id="58"/>
      </w:r>
      <w:r w:rsidR="004368B7" w:rsidRPr="00E47A79">
        <w:rPr>
          <w:rFonts w:ascii="Garamond" w:hAnsi="Garamond"/>
          <w:sz w:val="24"/>
          <w:szCs w:val="24"/>
        </w:rPr>
        <w:t xml:space="preserve"> </w:t>
      </w:r>
    </w:p>
    <w:p w14:paraId="4EB340B6" w14:textId="52C7334E" w:rsidR="003E2CF3" w:rsidRPr="00E47A79" w:rsidRDefault="00BF21FC" w:rsidP="00A601B9">
      <w:pPr>
        <w:spacing w:line="360" w:lineRule="auto"/>
        <w:rPr>
          <w:rFonts w:ascii="Garamond" w:hAnsi="Garamond"/>
          <w:sz w:val="24"/>
          <w:szCs w:val="24"/>
        </w:rPr>
      </w:pPr>
      <w:r w:rsidRPr="00E47A79">
        <w:rPr>
          <w:rFonts w:ascii="Garamond" w:hAnsi="Garamond"/>
          <w:sz w:val="24"/>
          <w:szCs w:val="24"/>
        </w:rPr>
        <w:t>As a broad</w:t>
      </w:r>
      <w:r w:rsidR="00DC7993" w:rsidRPr="00E47A79">
        <w:rPr>
          <w:rFonts w:ascii="Garamond" w:hAnsi="Garamond"/>
          <w:sz w:val="24"/>
          <w:szCs w:val="24"/>
        </w:rPr>
        <w:t xml:space="preserve"> legal</w:t>
      </w:r>
      <w:r w:rsidRPr="00E47A79">
        <w:rPr>
          <w:rFonts w:ascii="Garamond" w:hAnsi="Garamond"/>
          <w:sz w:val="24"/>
          <w:szCs w:val="24"/>
        </w:rPr>
        <w:t xml:space="preserve"> term</w:t>
      </w:r>
      <w:r w:rsidR="00EC08EE" w:rsidRPr="00E47A79">
        <w:rPr>
          <w:rFonts w:ascii="Garamond" w:hAnsi="Garamond"/>
          <w:sz w:val="24"/>
          <w:szCs w:val="24"/>
        </w:rPr>
        <w:t>,</w:t>
      </w:r>
      <w:r w:rsidRPr="00E47A79">
        <w:rPr>
          <w:rFonts w:ascii="Garamond" w:hAnsi="Garamond"/>
          <w:sz w:val="24"/>
          <w:szCs w:val="24"/>
        </w:rPr>
        <w:t xml:space="preserve"> </w:t>
      </w:r>
      <w:r w:rsidR="000843D3" w:rsidRPr="00E47A79">
        <w:rPr>
          <w:rFonts w:ascii="Garamond" w:hAnsi="Garamond"/>
          <w:sz w:val="24"/>
          <w:szCs w:val="24"/>
        </w:rPr>
        <w:t>‘medicinal cannabis’</w:t>
      </w:r>
      <w:r w:rsidRPr="00E47A79">
        <w:rPr>
          <w:rFonts w:ascii="Garamond" w:hAnsi="Garamond"/>
          <w:sz w:val="24"/>
          <w:szCs w:val="24"/>
        </w:rPr>
        <w:t xml:space="preserve"> </w:t>
      </w:r>
      <w:r w:rsidR="00F03326" w:rsidRPr="00E47A79">
        <w:rPr>
          <w:rFonts w:ascii="Garamond" w:hAnsi="Garamond"/>
          <w:sz w:val="24"/>
          <w:szCs w:val="24"/>
        </w:rPr>
        <w:t xml:space="preserve">can be used to </w:t>
      </w:r>
      <w:r w:rsidRPr="00E47A79">
        <w:rPr>
          <w:rFonts w:ascii="Garamond" w:hAnsi="Garamond"/>
          <w:sz w:val="24"/>
          <w:szCs w:val="24"/>
        </w:rPr>
        <w:t xml:space="preserve">refer to a range of products which are subject to </w:t>
      </w:r>
      <w:r w:rsidR="00F445FF" w:rsidRPr="00E47A79">
        <w:rPr>
          <w:rFonts w:ascii="Garamond" w:hAnsi="Garamond"/>
          <w:sz w:val="24"/>
          <w:szCs w:val="24"/>
        </w:rPr>
        <w:t xml:space="preserve">divergent </w:t>
      </w:r>
      <w:r w:rsidRPr="00E47A79">
        <w:rPr>
          <w:rFonts w:ascii="Garamond" w:hAnsi="Garamond"/>
          <w:sz w:val="24"/>
          <w:szCs w:val="24"/>
        </w:rPr>
        <w:t xml:space="preserve">regulatory </w:t>
      </w:r>
      <w:r w:rsidR="003E2CF3" w:rsidRPr="00E47A79">
        <w:rPr>
          <w:rFonts w:ascii="Garamond" w:hAnsi="Garamond"/>
          <w:sz w:val="24"/>
          <w:szCs w:val="24"/>
        </w:rPr>
        <w:t>boundaries</w:t>
      </w:r>
      <w:r w:rsidRPr="00E47A79">
        <w:rPr>
          <w:rFonts w:ascii="Garamond" w:hAnsi="Garamond"/>
          <w:sz w:val="24"/>
          <w:szCs w:val="24"/>
        </w:rPr>
        <w:t>, including:</w:t>
      </w:r>
      <w:r w:rsidR="006143E4" w:rsidRPr="00E47A79">
        <w:rPr>
          <w:rFonts w:ascii="Garamond" w:hAnsi="Garamond"/>
          <w:sz w:val="24"/>
          <w:szCs w:val="24"/>
        </w:rPr>
        <w:t xml:space="preserve"> </w:t>
      </w:r>
      <w:r w:rsidR="00F03326" w:rsidRPr="00E47A79">
        <w:rPr>
          <w:rFonts w:ascii="Garamond" w:hAnsi="Garamond"/>
          <w:sz w:val="24"/>
          <w:szCs w:val="24"/>
        </w:rPr>
        <w:t xml:space="preserve">(1) </w:t>
      </w:r>
      <w:r w:rsidR="006143E4" w:rsidRPr="00E47A79">
        <w:rPr>
          <w:rFonts w:ascii="Garamond" w:hAnsi="Garamond"/>
          <w:sz w:val="24"/>
          <w:szCs w:val="24"/>
        </w:rPr>
        <w:t xml:space="preserve">a small number of </w:t>
      </w:r>
      <w:r w:rsidRPr="00E47A79">
        <w:rPr>
          <w:rFonts w:ascii="Garamond" w:hAnsi="Garamond"/>
          <w:sz w:val="24"/>
          <w:szCs w:val="24"/>
        </w:rPr>
        <w:t>‘</w:t>
      </w:r>
      <w:r w:rsidR="006143E4" w:rsidRPr="00E47A79">
        <w:rPr>
          <w:rFonts w:ascii="Garamond" w:hAnsi="Garamond"/>
          <w:sz w:val="24"/>
          <w:szCs w:val="24"/>
        </w:rPr>
        <w:t xml:space="preserve">licenced </w:t>
      </w:r>
      <w:r w:rsidRPr="00E47A79">
        <w:rPr>
          <w:rFonts w:ascii="Garamond" w:hAnsi="Garamond"/>
          <w:sz w:val="24"/>
          <w:szCs w:val="24"/>
        </w:rPr>
        <w:t xml:space="preserve">medicines’ </w:t>
      </w:r>
      <w:r w:rsidR="00F03326" w:rsidRPr="00E47A79">
        <w:rPr>
          <w:rFonts w:ascii="Garamond" w:hAnsi="Garamond"/>
          <w:sz w:val="24"/>
          <w:szCs w:val="24"/>
        </w:rPr>
        <w:t>derived from the cannabis plant</w:t>
      </w:r>
      <w:r w:rsidR="006143E4" w:rsidRPr="00E47A79">
        <w:rPr>
          <w:rFonts w:ascii="Garamond" w:hAnsi="Garamond"/>
          <w:sz w:val="24"/>
          <w:szCs w:val="24"/>
        </w:rPr>
        <w:t xml:space="preserve"> (</w:t>
      </w:r>
      <w:r w:rsidR="00F03326" w:rsidRPr="00E47A79">
        <w:rPr>
          <w:rFonts w:ascii="Garamond" w:hAnsi="Garamond"/>
          <w:sz w:val="24"/>
          <w:szCs w:val="24"/>
        </w:rPr>
        <w:t xml:space="preserve">in the UK these are currently, </w:t>
      </w:r>
      <w:proofErr w:type="spellStart"/>
      <w:r w:rsidR="0069188A" w:rsidRPr="00E47A79">
        <w:rPr>
          <w:rFonts w:ascii="Garamond" w:hAnsi="Garamond"/>
          <w:sz w:val="24"/>
          <w:szCs w:val="24"/>
        </w:rPr>
        <w:t>Epidiolex</w:t>
      </w:r>
      <w:proofErr w:type="spellEnd"/>
      <w:r w:rsidR="0069188A" w:rsidRPr="00E47A79">
        <w:rPr>
          <w:rFonts w:ascii="Garamond" w:hAnsi="Garamond"/>
          <w:sz w:val="24"/>
          <w:szCs w:val="24"/>
        </w:rPr>
        <w:t>®</w:t>
      </w:r>
      <w:r w:rsidR="006B6E43" w:rsidRPr="00E47A79">
        <w:rPr>
          <w:rStyle w:val="FootnoteReference"/>
          <w:rFonts w:ascii="Garamond" w:hAnsi="Garamond"/>
          <w:sz w:val="24"/>
          <w:szCs w:val="24"/>
        </w:rPr>
        <w:footnoteReference w:id="59"/>
      </w:r>
      <w:r w:rsidR="006143E4" w:rsidRPr="00E47A79">
        <w:rPr>
          <w:rFonts w:ascii="Garamond" w:hAnsi="Garamond"/>
          <w:sz w:val="24"/>
          <w:szCs w:val="24"/>
        </w:rPr>
        <w:t xml:space="preserve"> and Sativex</w:t>
      </w:r>
      <w:r w:rsidR="00B07DC2" w:rsidRPr="00E47A79">
        <w:rPr>
          <w:rFonts w:ascii="Garamond" w:hAnsi="Garamond"/>
          <w:sz w:val="24"/>
          <w:szCs w:val="24"/>
        </w:rPr>
        <w:t>®</w:t>
      </w:r>
      <w:r w:rsidR="006143E4" w:rsidRPr="00E47A79">
        <w:rPr>
          <w:rFonts w:ascii="Garamond" w:hAnsi="Garamond"/>
          <w:sz w:val="24"/>
          <w:szCs w:val="24"/>
        </w:rPr>
        <w:t xml:space="preserve">), </w:t>
      </w:r>
      <w:r w:rsidR="00F03326" w:rsidRPr="00E47A79">
        <w:rPr>
          <w:rFonts w:ascii="Garamond" w:hAnsi="Garamond"/>
          <w:sz w:val="24"/>
          <w:szCs w:val="24"/>
        </w:rPr>
        <w:t xml:space="preserve">(2) </w:t>
      </w:r>
      <w:r w:rsidR="006143E4" w:rsidRPr="00E47A79">
        <w:rPr>
          <w:rFonts w:ascii="Garamond" w:hAnsi="Garamond"/>
          <w:sz w:val="24"/>
          <w:szCs w:val="24"/>
        </w:rPr>
        <w:t xml:space="preserve">licensed </w:t>
      </w:r>
      <w:r w:rsidR="006143E4" w:rsidRPr="00E47A79">
        <w:rPr>
          <w:rFonts w:ascii="Garamond" w:hAnsi="Garamond"/>
          <w:i/>
          <w:iCs/>
          <w:sz w:val="24"/>
          <w:szCs w:val="24"/>
        </w:rPr>
        <w:t>synthetic</w:t>
      </w:r>
      <w:r w:rsidR="006143E4" w:rsidRPr="00E47A79">
        <w:rPr>
          <w:rFonts w:ascii="Garamond" w:hAnsi="Garamond"/>
          <w:sz w:val="24"/>
          <w:szCs w:val="24"/>
        </w:rPr>
        <w:t xml:space="preserve"> cannabinoid</w:t>
      </w:r>
      <w:r w:rsidR="00F03326" w:rsidRPr="00E47A79">
        <w:rPr>
          <w:rFonts w:ascii="Garamond" w:hAnsi="Garamond"/>
          <w:sz w:val="24"/>
          <w:szCs w:val="24"/>
        </w:rPr>
        <w:t xml:space="preserve"> medicines (</w:t>
      </w:r>
      <w:r w:rsidR="0077199D" w:rsidRPr="00E47A79">
        <w:rPr>
          <w:rFonts w:ascii="Garamond" w:hAnsi="Garamond"/>
          <w:sz w:val="24"/>
          <w:szCs w:val="24"/>
        </w:rPr>
        <w:t xml:space="preserve">such as </w:t>
      </w:r>
      <w:r w:rsidR="00CC2363" w:rsidRPr="00E47A79">
        <w:rPr>
          <w:rFonts w:ascii="Garamond" w:hAnsi="Garamond"/>
          <w:sz w:val="24"/>
          <w:szCs w:val="24"/>
        </w:rPr>
        <w:t>N</w:t>
      </w:r>
      <w:r w:rsidR="00F03326" w:rsidRPr="00E47A79">
        <w:rPr>
          <w:rFonts w:ascii="Garamond" w:hAnsi="Garamond"/>
          <w:sz w:val="24"/>
          <w:szCs w:val="24"/>
        </w:rPr>
        <w:t>abilone</w:t>
      </w:r>
      <w:r w:rsidR="0077199D" w:rsidRPr="00E47A79">
        <w:rPr>
          <w:rFonts w:ascii="Garamond" w:hAnsi="Garamond"/>
          <w:sz w:val="24"/>
          <w:szCs w:val="24"/>
        </w:rPr>
        <w:t xml:space="preserve"> and </w:t>
      </w:r>
      <w:r w:rsidR="00CC2363" w:rsidRPr="00E47A79">
        <w:rPr>
          <w:rFonts w:ascii="Garamond" w:hAnsi="Garamond"/>
          <w:sz w:val="24"/>
          <w:szCs w:val="24"/>
        </w:rPr>
        <w:t>D</w:t>
      </w:r>
      <w:r w:rsidR="0077199D" w:rsidRPr="00E47A79">
        <w:rPr>
          <w:rFonts w:ascii="Garamond" w:hAnsi="Garamond"/>
          <w:sz w:val="24"/>
          <w:szCs w:val="24"/>
        </w:rPr>
        <w:t>r</w:t>
      </w:r>
      <w:r w:rsidR="00CC2363" w:rsidRPr="00E47A79">
        <w:rPr>
          <w:rFonts w:ascii="Garamond" w:hAnsi="Garamond"/>
          <w:sz w:val="24"/>
          <w:szCs w:val="24"/>
        </w:rPr>
        <w:t>ona</w:t>
      </w:r>
      <w:r w:rsidR="0077199D" w:rsidRPr="00E47A79">
        <w:rPr>
          <w:rFonts w:ascii="Garamond" w:hAnsi="Garamond"/>
          <w:sz w:val="24"/>
          <w:szCs w:val="24"/>
        </w:rPr>
        <w:t>binol</w:t>
      </w:r>
      <w:r w:rsidR="00F03326" w:rsidRPr="00E47A79">
        <w:rPr>
          <w:rFonts w:ascii="Garamond" w:hAnsi="Garamond"/>
          <w:sz w:val="24"/>
          <w:szCs w:val="24"/>
        </w:rPr>
        <w:t>)</w:t>
      </w:r>
      <w:r w:rsidR="0077199D" w:rsidRPr="00E47A79">
        <w:rPr>
          <w:rFonts w:ascii="Garamond" w:hAnsi="Garamond"/>
          <w:sz w:val="24"/>
          <w:szCs w:val="24"/>
        </w:rPr>
        <w:t xml:space="preserve"> and</w:t>
      </w:r>
      <w:r w:rsidR="00F03326" w:rsidRPr="00E47A79">
        <w:rPr>
          <w:rFonts w:ascii="Garamond" w:hAnsi="Garamond"/>
          <w:sz w:val="24"/>
          <w:szCs w:val="24"/>
        </w:rPr>
        <w:t xml:space="preserve"> (3)</w:t>
      </w:r>
      <w:r w:rsidR="006143E4" w:rsidRPr="00E47A79">
        <w:rPr>
          <w:rFonts w:ascii="Garamond" w:hAnsi="Garamond"/>
          <w:sz w:val="24"/>
          <w:szCs w:val="24"/>
        </w:rPr>
        <w:t xml:space="preserve"> </w:t>
      </w:r>
      <w:r w:rsidR="006143E4" w:rsidRPr="00E47A79">
        <w:rPr>
          <w:rFonts w:ascii="Garamond" w:hAnsi="Garamond"/>
          <w:i/>
          <w:iCs/>
          <w:sz w:val="24"/>
          <w:szCs w:val="24"/>
        </w:rPr>
        <w:t>unlicensed</w:t>
      </w:r>
      <w:r w:rsidR="006143E4" w:rsidRPr="00E47A79">
        <w:rPr>
          <w:rFonts w:ascii="Garamond" w:hAnsi="Garamond"/>
          <w:sz w:val="24"/>
          <w:szCs w:val="24"/>
        </w:rPr>
        <w:t xml:space="preserve"> </w:t>
      </w:r>
      <w:r w:rsidR="006143E4" w:rsidRPr="00E47A79">
        <w:rPr>
          <w:rFonts w:ascii="Garamond" w:hAnsi="Garamond"/>
          <w:sz w:val="24"/>
          <w:szCs w:val="24"/>
        </w:rPr>
        <w:lastRenderedPageBreak/>
        <w:t>cannabis based medicin</w:t>
      </w:r>
      <w:r w:rsidR="008656B6" w:rsidRPr="00E47A79">
        <w:rPr>
          <w:rFonts w:ascii="Garamond" w:hAnsi="Garamond"/>
          <w:sz w:val="24"/>
          <w:szCs w:val="24"/>
        </w:rPr>
        <w:t>al products</w:t>
      </w:r>
      <w:r w:rsidR="00F03326" w:rsidRPr="00E47A79">
        <w:rPr>
          <w:rFonts w:ascii="Garamond" w:hAnsi="Garamond"/>
          <w:sz w:val="24"/>
          <w:szCs w:val="24"/>
        </w:rPr>
        <w:t xml:space="preserve"> which </w:t>
      </w:r>
      <w:r w:rsidR="00DC7993" w:rsidRPr="00E47A79">
        <w:rPr>
          <w:rFonts w:ascii="Garamond" w:hAnsi="Garamond"/>
          <w:sz w:val="24"/>
          <w:szCs w:val="24"/>
        </w:rPr>
        <w:t>can now be accessed through exceptional procedures</w:t>
      </w:r>
      <w:r w:rsidR="00EC08EE" w:rsidRPr="00E47A79">
        <w:rPr>
          <w:rStyle w:val="FootnoteReference"/>
          <w:rFonts w:ascii="Garamond" w:hAnsi="Garamond"/>
          <w:sz w:val="24"/>
          <w:szCs w:val="24"/>
        </w:rPr>
        <w:footnoteReference w:id="60"/>
      </w:r>
      <w:r w:rsidR="00DC7993" w:rsidRPr="00E47A79">
        <w:rPr>
          <w:rFonts w:ascii="Garamond" w:hAnsi="Garamond"/>
          <w:sz w:val="24"/>
          <w:szCs w:val="24"/>
        </w:rPr>
        <w:t xml:space="preserve"> in the UK</w:t>
      </w:r>
      <w:r w:rsidR="004A675E" w:rsidRPr="00E47A79">
        <w:rPr>
          <w:rFonts w:ascii="Garamond" w:hAnsi="Garamond"/>
          <w:sz w:val="24"/>
          <w:szCs w:val="24"/>
        </w:rPr>
        <w:t>,</w:t>
      </w:r>
      <w:r w:rsidR="00DC7993" w:rsidRPr="00E47A79">
        <w:rPr>
          <w:rFonts w:ascii="Garamond" w:hAnsi="Garamond"/>
          <w:sz w:val="24"/>
          <w:szCs w:val="24"/>
        </w:rPr>
        <w:t xml:space="preserve"> </w:t>
      </w:r>
      <w:r w:rsidR="004A675E" w:rsidRPr="00E47A79">
        <w:rPr>
          <w:rFonts w:ascii="Garamond" w:hAnsi="Garamond"/>
          <w:sz w:val="24"/>
          <w:szCs w:val="24"/>
        </w:rPr>
        <w:t>although they</w:t>
      </w:r>
      <w:r w:rsidR="00DC7993" w:rsidRPr="00E47A79">
        <w:rPr>
          <w:rFonts w:ascii="Garamond" w:hAnsi="Garamond"/>
          <w:sz w:val="24"/>
          <w:szCs w:val="24"/>
        </w:rPr>
        <w:t xml:space="preserve"> </w:t>
      </w:r>
      <w:r w:rsidR="00F03326" w:rsidRPr="00E47A79">
        <w:rPr>
          <w:rFonts w:ascii="Garamond" w:hAnsi="Garamond"/>
          <w:sz w:val="24"/>
          <w:szCs w:val="24"/>
        </w:rPr>
        <w:t>may be regularly prescribed in other jurisdictions.</w:t>
      </w:r>
      <w:r w:rsidR="004A675E" w:rsidRPr="00E47A79">
        <w:rPr>
          <w:rStyle w:val="FootnoteReference"/>
          <w:rFonts w:ascii="Garamond" w:hAnsi="Garamond"/>
          <w:sz w:val="24"/>
          <w:szCs w:val="24"/>
        </w:rPr>
        <w:footnoteReference w:id="61"/>
      </w:r>
      <w:r w:rsidR="00F03326" w:rsidRPr="00E47A79">
        <w:rPr>
          <w:rFonts w:ascii="Garamond" w:hAnsi="Garamond"/>
          <w:sz w:val="24"/>
          <w:szCs w:val="24"/>
        </w:rPr>
        <w:t xml:space="preserve"> It is th</w:t>
      </w:r>
      <w:r w:rsidR="003804ED" w:rsidRPr="00E47A79">
        <w:rPr>
          <w:rFonts w:ascii="Garamond" w:hAnsi="Garamond"/>
          <w:sz w:val="24"/>
          <w:szCs w:val="24"/>
        </w:rPr>
        <w:t>is</w:t>
      </w:r>
      <w:r w:rsidR="00F03326" w:rsidRPr="00E47A79">
        <w:rPr>
          <w:rFonts w:ascii="Garamond" w:hAnsi="Garamond"/>
          <w:sz w:val="24"/>
          <w:szCs w:val="24"/>
        </w:rPr>
        <w:t xml:space="preserve"> third category of </w:t>
      </w:r>
      <w:r w:rsidR="00EC08EE" w:rsidRPr="00E47A79">
        <w:rPr>
          <w:rFonts w:ascii="Garamond" w:hAnsi="Garamond"/>
          <w:sz w:val="24"/>
          <w:szCs w:val="24"/>
        </w:rPr>
        <w:t>‘</w:t>
      </w:r>
      <w:r w:rsidR="00F03326" w:rsidRPr="00E47A79">
        <w:rPr>
          <w:rFonts w:ascii="Garamond" w:hAnsi="Garamond"/>
          <w:sz w:val="24"/>
          <w:szCs w:val="24"/>
        </w:rPr>
        <w:t xml:space="preserve">unlicensed </w:t>
      </w:r>
      <w:r w:rsidR="00EC08EE" w:rsidRPr="00E47A79">
        <w:rPr>
          <w:rFonts w:ascii="Garamond" w:hAnsi="Garamond"/>
          <w:sz w:val="24"/>
          <w:szCs w:val="24"/>
        </w:rPr>
        <w:t>CBMPs’</w:t>
      </w:r>
      <w:r w:rsidR="00F03326" w:rsidRPr="00E47A79">
        <w:rPr>
          <w:rFonts w:ascii="Garamond" w:hAnsi="Garamond"/>
          <w:sz w:val="24"/>
          <w:szCs w:val="24"/>
        </w:rPr>
        <w:t xml:space="preserve"> which is the main focus of this paper</w:t>
      </w:r>
      <w:r w:rsidR="003E2CF3" w:rsidRPr="00E47A79">
        <w:rPr>
          <w:rFonts w:ascii="Garamond" w:hAnsi="Garamond"/>
          <w:sz w:val="24"/>
          <w:szCs w:val="24"/>
        </w:rPr>
        <w:t xml:space="preserve"> as these are what the 2018 reforms sought to enable </w:t>
      </w:r>
      <w:r w:rsidR="004368B7" w:rsidRPr="00E47A79">
        <w:rPr>
          <w:rFonts w:ascii="Garamond" w:hAnsi="Garamond"/>
          <w:sz w:val="24"/>
          <w:szCs w:val="24"/>
        </w:rPr>
        <w:t xml:space="preserve">patients to </w:t>
      </w:r>
      <w:r w:rsidR="00503099" w:rsidRPr="00E47A79">
        <w:rPr>
          <w:rFonts w:ascii="Garamond" w:hAnsi="Garamond"/>
          <w:sz w:val="24"/>
          <w:szCs w:val="24"/>
        </w:rPr>
        <w:t xml:space="preserve">(safely) </w:t>
      </w:r>
      <w:r w:rsidR="003E2CF3" w:rsidRPr="00E47A79">
        <w:rPr>
          <w:rFonts w:ascii="Garamond" w:hAnsi="Garamond"/>
          <w:sz w:val="24"/>
          <w:szCs w:val="24"/>
        </w:rPr>
        <w:t>access</w:t>
      </w:r>
      <w:r w:rsidR="00F03326" w:rsidRPr="00E47A79">
        <w:rPr>
          <w:rFonts w:ascii="Garamond" w:hAnsi="Garamond"/>
          <w:sz w:val="24"/>
          <w:szCs w:val="24"/>
        </w:rPr>
        <w:t xml:space="preserve">. </w:t>
      </w:r>
    </w:p>
    <w:p w14:paraId="7AA0AF13" w14:textId="3946862A" w:rsidR="009C1FB1" w:rsidRPr="00E47A79" w:rsidRDefault="004E3C7F" w:rsidP="00A601B9">
      <w:pPr>
        <w:spacing w:line="360" w:lineRule="auto"/>
        <w:rPr>
          <w:rFonts w:ascii="Garamond" w:hAnsi="Garamond"/>
          <w:sz w:val="24"/>
          <w:szCs w:val="24"/>
        </w:rPr>
      </w:pPr>
      <w:r w:rsidRPr="00E47A79">
        <w:rPr>
          <w:rFonts w:ascii="Garamond" w:hAnsi="Garamond"/>
          <w:sz w:val="24"/>
          <w:szCs w:val="24"/>
        </w:rPr>
        <w:t>Of course, t</w:t>
      </w:r>
      <w:r w:rsidR="00F03326" w:rsidRPr="00E47A79">
        <w:rPr>
          <w:rFonts w:ascii="Garamond" w:hAnsi="Garamond"/>
          <w:sz w:val="24"/>
          <w:szCs w:val="24"/>
        </w:rPr>
        <w:t>he</w:t>
      </w:r>
      <w:r w:rsidR="00DC7993" w:rsidRPr="00E47A79">
        <w:rPr>
          <w:rFonts w:ascii="Garamond" w:hAnsi="Garamond"/>
          <w:sz w:val="24"/>
          <w:szCs w:val="24"/>
        </w:rPr>
        <w:t xml:space="preserve">se ‘legal’ or potentially ‘legal’ manifestations of </w:t>
      </w:r>
      <w:r w:rsidR="001A1D5D" w:rsidRPr="00E47A79">
        <w:rPr>
          <w:rFonts w:ascii="Garamond" w:hAnsi="Garamond"/>
          <w:sz w:val="24"/>
          <w:szCs w:val="24"/>
        </w:rPr>
        <w:t>‘</w:t>
      </w:r>
      <w:r w:rsidR="00DC7993" w:rsidRPr="00E47A79">
        <w:rPr>
          <w:rFonts w:ascii="Garamond" w:hAnsi="Garamond"/>
          <w:sz w:val="24"/>
          <w:szCs w:val="24"/>
        </w:rPr>
        <w:t>medicinal</w:t>
      </w:r>
      <w:r w:rsidR="001A1D5D" w:rsidRPr="00E47A79">
        <w:rPr>
          <w:rFonts w:ascii="Garamond" w:hAnsi="Garamond"/>
          <w:sz w:val="24"/>
          <w:szCs w:val="24"/>
        </w:rPr>
        <w:t>’</w:t>
      </w:r>
      <w:r w:rsidR="00DC7993" w:rsidRPr="00E47A79">
        <w:rPr>
          <w:rFonts w:ascii="Garamond" w:hAnsi="Garamond"/>
          <w:sz w:val="24"/>
          <w:szCs w:val="24"/>
        </w:rPr>
        <w:t xml:space="preserve"> cannabis</w:t>
      </w:r>
      <w:r w:rsidR="003E2CF3" w:rsidRPr="00E47A79">
        <w:rPr>
          <w:rFonts w:ascii="Garamond" w:hAnsi="Garamond"/>
          <w:sz w:val="24"/>
          <w:szCs w:val="24"/>
        </w:rPr>
        <w:t xml:space="preserve"> do not capture</w:t>
      </w:r>
      <w:r w:rsidR="008F7629" w:rsidRPr="00E47A79">
        <w:rPr>
          <w:rFonts w:ascii="Garamond" w:hAnsi="Garamond"/>
          <w:sz w:val="24"/>
          <w:szCs w:val="24"/>
        </w:rPr>
        <w:t xml:space="preserve"> </w:t>
      </w:r>
      <w:r w:rsidR="003E2CF3" w:rsidRPr="00E47A79">
        <w:rPr>
          <w:rFonts w:ascii="Garamond" w:hAnsi="Garamond"/>
          <w:sz w:val="24"/>
          <w:szCs w:val="24"/>
        </w:rPr>
        <w:t>‘self-medication’</w:t>
      </w:r>
      <w:r w:rsidR="000843D3" w:rsidRPr="00E47A79">
        <w:rPr>
          <w:rFonts w:ascii="Garamond" w:hAnsi="Garamond"/>
          <w:sz w:val="24"/>
          <w:szCs w:val="24"/>
        </w:rPr>
        <w:t>, that is,</w:t>
      </w:r>
      <w:r w:rsidR="003E2CF3" w:rsidRPr="00E47A79">
        <w:rPr>
          <w:rFonts w:ascii="Garamond" w:hAnsi="Garamond"/>
          <w:sz w:val="24"/>
          <w:szCs w:val="24"/>
        </w:rPr>
        <w:t xml:space="preserve"> </w:t>
      </w:r>
      <w:r w:rsidR="00DC7993" w:rsidRPr="00E47A79">
        <w:rPr>
          <w:rFonts w:ascii="Garamond" w:hAnsi="Garamond"/>
          <w:sz w:val="24"/>
          <w:szCs w:val="24"/>
        </w:rPr>
        <w:t>where a cannabis</w:t>
      </w:r>
      <w:r w:rsidR="006143E4" w:rsidRPr="00E47A79">
        <w:rPr>
          <w:rFonts w:ascii="Garamond" w:hAnsi="Garamond"/>
          <w:sz w:val="24"/>
          <w:szCs w:val="24"/>
        </w:rPr>
        <w:t xml:space="preserve"> plant or </w:t>
      </w:r>
      <w:r w:rsidR="00F03326" w:rsidRPr="00E47A79">
        <w:rPr>
          <w:rFonts w:ascii="Garamond" w:hAnsi="Garamond"/>
          <w:sz w:val="24"/>
          <w:szCs w:val="24"/>
        </w:rPr>
        <w:t xml:space="preserve">cannabis-based </w:t>
      </w:r>
      <w:r w:rsidR="006143E4" w:rsidRPr="00E47A79">
        <w:rPr>
          <w:rFonts w:ascii="Garamond" w:hAnsi="Garamond"/>
          <w:sz w:val="24"/>
          <w:szCs w:val="24"/>
        </w:rPr>
        <w:t>product</w:t>
      </w:r>
      <w:r w:rsidR="00DC7993" w:rsidRPr="00E47A79">
        <w:rPr>
          <w:rFonts w:ascii="Garamond" w:hAnsi="Garamond"/>
          <w:sz w:val="24"/>
          <w:szCs w:val="24"/>
        </w:rPr>
        <w:t xml:space="preserve"> is</w:t>
      </w:r>
      <w:r w:rsidR="006143E4" w:rsidRPr="00E47A79">
        <w:rPr>
          <w:rFonts w:ascii="Garamond" w:hAnsi="Garamond"/>
          <w:sz w:val="24"/>
          <w:szCs w:val="24"/>
        </w:rPr>
        <w:t xml:space="preserve"> obtained and used for therapeutic purposes,</w:t>
      </w:r>
      <w:r w:rsidR="00F03326" w:rsidRPr="00E47A79">
        <w:rPr>
          <w:rFonts w:ascii="Garamond" w:hAnsi="Garamond"/>
          <w:sz w:val="24"/>
          <w:szCs w:val="24"/>
        </w:rPr>
        <w:t xml:space="preserve"> </w:t>
      </w:r>
      <w:r w:rsidR="00EC08EE" w:rsidRPr="00E47A79">
        <w:rPr>
          <w:rFonts w:ascii="Garamond" w:hAnsi="Garamond"/>
          <w:sz w:val="24"/>
          <w:szCs w:val="24"/>
        </w:rPr>
        <w:t>absent</w:t>
      </w:r>
      <w:r w:rsidR="00F03326" w:rsidRPr="00E47A79">
        <w:rPr>
          <w:rFonts w:ascii="Garamond" w:hAnsi="Garamond"/>
          <w:sz w:val="24"/>
          <w:szCs w:val="24"/>
        </w:rPr>
        <w:t xml:space="preserve"> a prescription</w:t>
      </w:r>
      <w:r w:rsidR="00DC7993" w:rsidRPr="00E47A79">
        <w:rPr>
          <w:rFonts w:ascii="Garamond" w:hAnsi="Garamond"/>
          <w:sz w:val="24"/>
          <w:szCs w:val="24"/>
        </w:rPr>
        <w:t>.</w:t>
      </w:r>
      <w:r w:rsidR="00DC7993" w:rsidRPr="00E47A79">
        <w:rPr>
          <w:rStyle w:val="FootnoteReference"/>
          <w:rFonts w:ascii="Garamond" w:hAnsi="Garamond"/>
          <w:sz w:val="24"/>
          <w:szCs w:val="24"/>
        </w:rPr>
        <w:footnoteReference w:id="62"/>
      </w:r>
      <w:r w:rsidR="00F03326" w:rsidRPr="00E47A79">
        <w:rPr>
          <w:rFonts w:ascii="Garamond" w:hAnsi="Garamond"/>
          <w:sz w:val="24"/>
          <w:szCs w:val="24"/>
        </w:rPr>
        <w:t xml:space="preserve"> </w:t>
      </w:r>
      <w:r w:rsidR="000843D3" w:rsidRPr="00E47A79">
        <w:rPr>
          <w:rFonts w:ascii="Garamond" w:hAnsi="Garamond"/>
          <w:sz w:val="24"/>
          <w:szCs w:val="24"/>
        </w:rPr>
        <w:t>T</w:t>
      </w:r>
      <w:r w:rsidR="001A1D5D" w:rsidRPr="00E47A79">
        <w:rPr>
          <w:rFonts w:ascii="Garamond" w:hAnsi="Garamond"/>
          <w:sz w:val="24"/>
          <w:szCs w:val="24"/>
        </w:rPr>
        <w:t xml:space="preserve">he cultivation, possession or use of cannabis or cannabis products containing more than </w:t>
      </w:r>
      <w:r w:rsidR="00167992" w:rsidRPr="00E47A79">
        <w:rPr>
          <w:rFonts w:ascii="Garamond" w:hAnsi="Garamond"/>
          <w:sz w:val="24"/>
          <w:szCs w:val="24"/>
        </w:rPr>
        <w:t>0.2</w:t>
      </w:r>
      <w:r w:rsidR="004368B7" w:rsidRPr="00E47A79">
        <w:rPr>
          <w:rFonts w:ascii="Garamond" w:hAnsi="Garamond"/>
          <w:sz w:val="24"/>
          <w:szCs w:val="24"/>
        </w:rPr>
        <w:t>%</w:t>
      </w:r>
      <w:r w:rsidR="001A1D5D" w:rsidRPr="00E47A79">
        <w:rPr>
          <w:rFonts w:ascii="Garamond" w:hAnsi="Garamond"/>
          <w:sz w:val="24"/>
          <w:szCs w:val="24"/>
        </w:rPr>
        <w:t xml:space="preserve"> THC remains a criminal offence.</w:t>
      </w:r>
      <w:r w:rsidR="002127DA" w:rsidRPr="00E47A79">
        <w:rPr>
          <w:rStyle w:val="FootnoteReference"/>
          <w:rFonts w:ascii="Garamond" w:hAnsi="Garamond"/>
          <w:sz w:val="24"/>
          <w:szCs w:val="24"/>
        </w:rPr>
        <w:footnoteReference w:id="63"/>
      </w:r>
      <w:r w:rsidR="001A1D5D" w:rsidRPr="00E47A79">
        <w:rPr>
          <w:rFonts w:ascii="Garamond" w:hAnsi="Garamond"/>
          <w:sz w:val="24"/>
          <w:szCs w:val="24"/>
        </w:rPr>
        <w:t xml:space="preserve"> </w:t>
      </w:r>
      <w:r w:rsidR="002127DA" w:rsidRPr="00E47A79">
        <w:rPr>
          <w:rFonts w:ascii="Garamond" w:hAnsi="Garamond"/>
          <w:sz w:val="24"/>
          <w:szCs w:val="24"/>
        </w:rPr>
        <w:t>In</w:t>
      </w:r>
      <w:r w:rsidR="00655A6E" w:rsidRPr="00E47A79">
        <w:rPr>
          <w:rFonts w:ascii="Garamond" w:hAnsi="Garamond"/>
          <w:sz w:val="24"/>
          <w:szCs w:val="24"/>
        </w:rPr>
        <w:t xml:space="preserve"> 2000, an independent inquiry into drug policy set up by the Police Foundation</w:t>
      </w:r>
      <w:r w:rsidR="00EC08EE" w:rsidRPr="00E47A79">
        <w:rPr>
          <w:rFonts w:ascii="Garamond" w:hAnsi="Garamond"/>
          <w:sz w:val="24"/>
          <w:szCs w:val="24"/>
        </w:rPr>
        <w:t xml:space="preserve"> </w:t>
      </w:r>
      <w:r w:rsidR="001A1D5D" w:rsidRPr="00E47A79">
        <w:rPr>
          <w:rFonts w:ascii="Garamond" w:hAnsi="Garamond"/>
          <w:sz w:val="24"/>
          <w:szCs w:val="24"/>
        </w:rPr>
        <w:t xml:space="preserve">recommended </w:t>
      </w:r>
      <w:r w:rsidR="002127DA" w:rsidRPr="00E47A79">
        <w:rPr>
          <w:rFonts w:ascii="Garamond" w:hAnsi="Garamond"/>
          <w:sz w:val="24"/>
          <w:szCs w:val="24"/>
        </w:rPr>
        <w:t>that a special defence for therapeutic use should be created</w:t>
      </w:r>
      <w:r w:rsidRPr="00E47A79">
        <w:rPr>
          <w:rFonts w:ascii="Garamond" w:hAnsi="Garamond"/>
          <w:sz w:val="24"/>
          <w:szCs w:val="24"/>
        </w:rPr>
        <w:t>.</w:t>
      </w:r>
      <w:r w:rsidR="002127DA" w:rsidRPr="00E47A79">
        <w:rPr>
          <w:rStyle w:val="FootnoteReference"/>
          <w:rFonts w:ascii="Garamond" w:hAnsi="Garamond"/>
          <w:sz w:val="24"/>
          <w:szCs w:val="24"/>
        </w:rPr>
        <w:footnoteReference w:id="64"/>
      </w:r>
      <w:r w:rsidR="00506A24" w:rsidRPr="00E47A79">
        <w:rPr>
          <w:rFonts w:ascii="Garamond" w:hAnsi="Garamond"/>
          <w:sz w:val="24"/>
          <w:szCs w:val="24"/>
        </w:rPr>
        <w:t xml:space="preserve"> </w:t>
      </w:r>
      <w:r w:rsidRPr="00E47A79">
        <w:rPr>
          <w:rFonts w:ascii="Garamond" w:hAnsi="Garamond"/>
          <w:sz w:val="24"/>
          <w:szCs w:val="24"/>
        </w:rPr>
        <w:t xml:space="preserve">To date, </w:t>
      </w:r>
      <w:r w:rsidR="00506A24" w:rsidRPr="00E47A79">
        <w:rPr>
          <w:rFonts w:ascii="Garamond" w:hAnsi="Garamond"/>
          <w:sz w:val="24"/>
          <w:szCs w:val="24"/>
        </w:rPr>
        <w:t xml:space="preserve">there has been no change in the law to protect persons who know that cannabis helps them to cope with their condition but are unable to obtain </w:t>
      </w:r>
      <w:r w:rsidR="004368B7" w:rsidRPr="00E47A79">
        <w:rPr>
          <w:rFonts w:ascii="Garamond" w:hAnsi="Garamond"/>
          <w:sz w:val="24"/>
          <w:szCs w:val="24"/>
        </w:rPr>
        <w:t xml:space="preserve">an NHS prescription </w:t>
      </w:r>
      <w:r w:rsidR="003804ED" w:rsidRPr="00E47A79">
        <w:rPr>
          <w:rFonts w:ascii="Garamond" w:hAnsi="Garamond"/>
          <w:sz w:val="24"/>
          <w:szCs w:val="24"/>
        </w:rPr>
        <w:t xml:space="preserve">or fund </w:t>
      </w:r>
      <w:r w:rsidR="00506A24" w:rsidRPr="00E47A79">
        <w:rPr>
          <w:rFonts w:ascii="Garamond" w:hAnsi="Garamond"/>
          <w:sz w:val="24"/>
          <w:szCs w:val="24"/>
        </w:rPr>
        <w:t xml:space="preserve">a </w:t>
      </w:r>
      <w:r w:rsidR="004368B7" w:rsidRPr="00E47A79">
        <w:rPr>
          <w:rFonts w:ascii="Garamond" w:hAnsi="Garamond"/>
          <w:sz w:val="24"/>
          <w:szCs w:val="24"/>
        </w:rPr>
        <w:t xml:space="preserve">private </w:t>
      </w:r>
      <w:r w:rsidR="00506A24" w:rsidRPr="00E47A79">
        <w:rPr>
          <w:rFonts w:ascii="Garamond" w:hAnsi="Garamond"/>
          <w:sz w:val="24"/>
          <w:szCs w:val="24"/>
        </w:rPr>
        <w:t xml:space="preserve">prescription. </w:t>
      </w:r>
      <w:r w:rsidR="002127DA" w:rsidRPr="00E47A79">
        <w:rPr>
          <w:rFonts w:ascii="Garamond" w:hAnsi="Garamond"/>
          <w:sz w:val="24"/>
          <w:szCs w:val="24"/>
        </w:rPr>
        <w:t xml:space="preserve">Crown Prosecution Service </w:t>
      </w:r>
      <w:r w:rsidRPr="00E47A79">
        <w:rPr>
          <w:rFonts w:ascii="Garamond" w:hAnsi="Garamond"/>
          <w:sz w:val="24"/>
          <w:szCs w:val="24"/>
        </w:rPr>
        <w:t xml:space="preserve">(CPS) </w:t>
      </w:r>
      <w:r w:rsidR="002127DA" w:rsidRPr="00E47A79">
        <w:rPr>
          <w:rFonts w:ascii="Garamond" w:hAnsi="Garamond"/>
          <w:sz w:val="24"/>
          <w:szCs w:val="24"/>
        </w:rPr>
        <w:t xml:space="preserve">guidance on when it is </w:t>
      </w:r>
      <w:r w:rsidR="008F06AC" w:rsidRPr="00E47A79">
        <w:rPr>
          <w:rFonts w:ascii="Garamond" w:hAnsi="Garamond"/>
          <w:sz w:val="24"/>
          <w:szCs w:val="24"/>
        </w:rPr>
        <w:t>‘</w:t>
      </w:r>
      <w:r w:rsidR="002127DA" w:rsidRPr="00E47A79">
        <w:rPr>
          <w:rFonts w:ascii="Garamond" w:hAnsi="Garamond"/>
          <w:sz w:val="24"/>
          <w:szCs w:val="24"/>
        </w:rPr>
        <w:t>in the public interest</w:t>
      </w:r>
      <w:r w:rsidR="008F06AC" w:rsidRPr="00E47A79">
        <w:rPr>
          <w:rFonts w:ascii="Garamond" w:hAnsi="Garamond"/>
          <w:sz w:val="24"/>
          <w:szCs w:val="24"/>
        </w:rPr>
        <w:t>’</w:t>
      </w:r>
      <w:r w:rsidR="002127DA" w:rsidRPr="00E47A79">
        <w:rPr>
          <w:rFonts w:ascii="Garamond" w:hAnsi="Garamond"/>
          <w:sz w:val="24"/>
          <w:szCs w:val="24"/>
        </w:rPr>
        <w:t xml:space="preserve"> to prosecute someone for possession of a small amount of cannabis does</w:t>
      </w:r>
      <w:r w:rsidR="00137F53" w:rsidRPr="00E47A79">
        <w:rPr>
          <w:rFonts w:ascii="Garamond" w:hAnsi="Garamond"/>
          <w:sz w:val="24"/>
          <w:szCs w:val="24"/>
        </w:rPr>
        <w:t xml:space="preserve"> now</w:t>
      </w:r>
      <w:r w:rsidR="002127DA" w:rsidRPr="00E47A79">
        <w:rPr>
          <w:rFonts w:ascii="Garamond" w:hAnsi="Garamond"/>
          <w:sz w:val="24"/>
          <w:szCs w:val="24"/>
        </w:rPr>
        <w:t xml:space="preserve"> refer to ‘Evidence demonstrating </w:t>
      </w:r>
      <w:r w:rsidR="00CF2C23" w:rsidRPr="00E47A79">
        <w:rPr>
          <w:rFonts w:ascii="Garamond" w:hAnsi="Garamond"/>
          <w:sz w:val="24"/>
          <w:szCs w:val="24"/>
        </w:rPr>
        <w:t xml:space="preserve">that </w:t>
      </w:r>
      <w:r w:rsidR="002127DA" w:rsidRPr="00E47A79">
        <w:rPr>
          <w:rFonts w:ascii="Garamond" w:hAnsi="Garamond"/>
          <w:sz w:val="24"/>
          <w:szCs w:val="24"/>
        </w:rPr>
        <w:t>the cannabis is being used to alleviate symptoms associated with a chronic medical condition’ as a mitigating circumstance.</w:t>
      </w:r>
      <w:r w:rsidR="002127DA" w:rsidRPr="00E47A79">
        <w:rPr>
          <w:rFonts w:ascii="Garamond" w:hAnsi="Garamond"/>
          <w:sz w:val="24"/>
          <w:szCs w:val="24"/>
          <w:vertAlign w:val="superscript"/>
        </w:rPr>
        <w:footnoteReference w:id="65"/>
      </w:r>
      <w:r w:rsidR="002127DA" w:rsidRPr="00E47A79">
        <w:rPr>
          <w:rFonts w:ascii="Garamond" w:hAnsi="Garamond"/>
          <w:sz w:val="24"/>
          <w:szCs w:val="24"/>
        </w:rPr>
        <w:t xml:space="preserve"> However, this applies to possession offences </w:t>
      </w:r>
      <w:r w:rsidR="00A0673D" w:rsidRPr="00E47A79">
        <w:rPr>
          <w:rFonts w:ascii="Garamond" w:hAnsi="Garamond"/>
          <w:sz w:val="24"/>
          <w:szCs w:val="24"/>
        </w:rPr>
        <w:t xml:space="preserve">only </w:t>
      </w:r>
      <w:r w:rsidR="008F7629" w:rsidRPr="00E47A79">
        <w:rPr>
          <w:rFonts w:ascii="Garamond" w:hAnsi="Garamond"/>
          <w:sz w:val="24"/>
          <w:szCs w:val="24"/>
        </w:rPr>
        <w:t xml:space="preserve">and </w:t>
      </w:r>
      <w:r w:rsidR="002127DA" w:rsidRPr="00E47A79">
        <w:rPr>
          <w:rFonts w:ascii="Garamond" w:hAnsi="Garamond"/>
          <w:sz w:val="24"/>
          <w:szCs w:val="24"/>
        </w:rPr>
        <w:t xml:space="preserve">not </w:t>
      </w:r>
      <w:r w:rsidR="008F7629" w:rsidRPr="00E47A79">
        <w:rPr>
          <w:rFonts w:ascii="Garamond" w:hAnsi="Garamond"/>
          <w:sz w:val="24"/>
          <w:szCs w:val="24"/>
        </w:rPr>
        <w:t xml:space="preserve">to </w:t>
      </w:r>
      <w:r w:rsidR="002127DA" w:rsidRPr="00E47A79">
        <w:rPr>
          <w:rFonts w:ascii="Garamond" w:hAnsi="Garamond"/>
          <w:sz w:val="24"/>
          <w:szCs w:val="24"/>
        </w:rPr>
        <w:t>cultivation</w:t>
      </w:r>
      <w:r w:rsidR="00C005B6" w:rsidRPr="00E47A79">
        <w:rPr>
          <w:rFonts w:ascii="Garamond" w:hAnsi="Garamond"/>
          <w:sz w:val="24"/>
          <w:szCs w:val="24"/>
        </w:rPr>
        <w:t xml:space="preserve"> or supply</w:t>
      </w:r>
      <w:r w:rsidR="002127DA" w:rsidRPr="00E47A79">
        <w:rPr>
          <w:rFonts w:ascii="Garamond" w:hAnsi="Garamond"/>
          <w:sz w:val="24"/>
          <w:szCs w:val="24"/>
        </w:rPr>
        <w:t>, and it has</w:t>
      </w:r>
      <w:r w:rsidR="00C96C26" w:rsidRPr="00E47A79">
        <w:rPr>
          <w:rFonts w:ascii="Garamond" w:hAnsi="Garamond"/>
          <w:sz w:val="24"/>
          <w:szCs w:val="24"/>
        </w:rPr>
        <w:t xml:space="preserve"> certainly</w:t>
      </w:r>
      <w:r w:rsidR="002127DA" w:rsidRPr="00E47A79">
        <w:rPr>
          <w:rFonts w:ascii="Garamond" w:hAnsi="Garamond"/>
          <w:sz w:val="24"/>
          <w:szCs w:val="24"/>
        </w:rPr>
        <w:t xml:space="preserve"> not halted the prosecution of therapeutic users.</w:t>
      </w:r>
      <w:r w:rsidR="002127DA" w:rsidRPr="00E47A79">
        <w:rPr>
          <w:rStyle w:val="FootnoteReference"/>
          <w:rFonts w:ascii="Garamond" w:hAnsi="Garamond"/>
          <w:sz w:val="24"/>
          <w:szCs w:val="24"/>
        </w:rPr>
        <w:footnoteReference w:id="66"/>
      </w:r>
      <w:r w:rsidR="009125C0" w:rsidRPr="00E47A79">
        <w:rPr>
          <w:rFonts w:ascii="Garamond" w:hAnsi="Garamond"/>
          <w:sz w:val="24"/>
          <w:szCs w:val="24"/>
        </w:rPr>
        <w:t xml:space="preserve"> </w:t>
      </w:r>
    </w:p>
    <w:p w14:paraId="6401FB06" w14:textId="7BEF8ADE" w:rsidR="009125C0" w:rsidRPr="00E47A79" w:rsidRDefault="009125C0" w:rsidP="00A601B9">
      <w:pPr>
        <w:spacing w:line="360" w:lineRule="auto"/>
        <w:rPr>
          <w:rFonts w:ascii="Garamond" w:hAnsi="Garamond"/>
          <w:sz w:val="24"/>
          <w:szCs w:val="24"/>
        </w:rPr>
      </w:pPr>
      <w:r w:rsidRPr="00E47A79">
        <w:rPr>
          <w:rFonts w:ascii="Garamond" w:eastAsia="Times New Roman" w:hAnsi="Garamond" w:cs="Times New Roman"/>
          <w:b/>
          <w:bCs/>
          <w:sz w:val="24"/>
          <w:szCs w:val="24"/>
          <w:bdr w:val="none" w:sz="0" w:space="0" w:color="auto" w:frame="1"/>
          <w:lang w:eastAsia="en-GB"/>
        </w:rPr>
        <w:t xml:space="preserve"> </w:t>
      </w:r>
    </w:p>
    <w:p w14:paraId="4D821882" w14:textId="6D669CE5" w:rsidR="004D5495" w:rsidRPr="00E47A79" w:rsidRDefault="00C96C26" w:rsidP="00A601B9">
      <w:pPr>
        <w:spacing w:line="360" w:lineRule="auto"/>
        <w:jc w:val="center"/>
        <w:rPr>
          <w:rFonts w:ascii="Garamond" w:hAnsi="Garamond"/>
          <w:i/>
          <w:iCs/>
          <w:sz w:val="24"/>
          <w:szCs w:val="24"/>
        </w:rPr>
      </w:pPr>
      <w:r w:rsidRPr="00E47A79">
        <w:rPr>
          <w:rFonts w:ascii="Garamond" w:hAnsi="Garamond"/>
          <w:i/>
          <w:iCs/>
          <w:sz w:val="24"/>
          <w:szCs w:val="24"/>
        </w:rPr>
        <w:t>B</w:t>
      </w:r>
      <w:r w:rsidR="004D1917" w:rsidRPr="00E47A79">
        <w:rPr>
          <w:rFonts w:ascii="Garamond" w:hAnsi="Garamond"/>
          <w:i/>
          <w:iCs/>
          <w:sz w:val="24"/>
          <w:szCs w:val="24"/>
        </w:rPr>
        <w:t xml:space="preserve">. </w:t>
      </w:r>
      <w:r w:rsidR="004D5495" w:rsidRPr="00E47A79">
        <w:rPr>
          <w:rFonts w:ascii="Garamond" w:hAnsi="Garamond"/>
          <w:i/>
          <w:iCs/>
          <w:sz w:val="24"/>
          <w:szCs w:val="24"/>
        </w:rPr>
        <w:t>The Functional Significance of Prescribing</w:t>
      </w:r>
    </w:p>
    <w:p w14:paraId="4F71DE5D" w14:textId="23247E11" w:rsidR="0059287D" w:rsidRPr="00E47A79" w:rsidRDefault="004D5495" w:rsidP="00A601B9">
      <w:pPr>
        <w:spacing w:line="360" w:lineRule="auto"/>
        <w:rPr>
          <w:rFonts w:ascii="Garamond" w:hAnsi="Garamond"/>
          <w:sz w:val="24"/>
          <w:szCs w:val="24"/>
        </w:rPr>
      </w:pPr>
      <w:r w:rsidRPr="00E47A79">
        <w:rPr>
          <w:rFonts w:ascii="Garamond" w:hAnsi="Garamond"/>
          <w:sz w:val="24"/>
          <w:szCs w:val="24"/>
        </w:rPr>
        <w:lastRenderedPageBreak/>
        <w:t>The act of prescribing</w:t>
      </w:r>
      <w:r w:rsidR="002C5777" w:rsidRPr="00E47A79">
        <w:rPr>
          <w:rFonts w:ascii="Garamond" w:hAnsi="Garamond"/>
          <w:sz w:val="24"/>
          <w:szCs w:val="24"/>
        </w:rPr>
        <w:t xml:space="preserve"> is multi-functional and potentially transformative </w:t>
      </w:r>
      <w:r w:rsidR="007F70CD" w:rsidRPr="00E47A79">
        <w:rPr>
          <w:rFonts w:ascii="Garamond" w:hAnsi="Garamond"/>
          <w:sz w:val="24"/>
          <w:szCs w:val="24"/>
        </w:rPr>
        <w:t xml:space="preserve">for </w:t>
      </w:r>
      <w:r w:rsidR="005C400B" w:rsidRPr="00E47A79">
        <w:rPr>
          <w:rFonts w:ascii="Garamond" w:hAnsi="Garamond"/>
          <w:sz w:val="24"/>
          <w:szCs w:val="24"/>
        </w:rPr>
        <w:t xml:space="preserve">both </w:t>
      </w:r>
      <w:r w:rsidR="007F70CD" w:rsidRPr="00E47A79">
        <w:rPr>
          <w:rFonts w:ascii="Garamond" w:hAnsi="Garamond"/>
          <w:sz w:val="24"/>
          <w:szCs w:val="24"/>
        </w:rPr>
        <w:t>doctors and patients</w:t>
      </w:r>
      <w:r w:rsidRPr="00E47A79">
        <w:rPr>
          <w:rFonts w:ascii="Garamond" w:hAnsi="Garamond"/>
          <w:sz w:val="24"/>
          <w:szCs w:val="24"/>
        </w:rPr>
        <w:t>. It can be regarded as a communicative device</w:t>
      </w:r>
      <w:r w:rsidRPr="00E47A79">
        <w:rPr>
          <w:rFonts w:ascii="Garamond" w:hAnsi="Garamond"/>
          <w:sz w:val="24"/>
          <w:szCs w:val="24"/>
          <w:vertAlign w:val="superscript"/>
        </w:rPr>
        <w:footnoteReference w:id="67"/>
      </w:r>
      <w:r w:rsidRPr="00E47A79">
        <w:rPr>
          <w:rFonts w:ascii="Garamond" w:hAnsi="Garamond"/>
          <w:sz w:val="24"/>
          <w:szCs w:val="24"/>
        </w:rPr>
        <w:t>, in that it is, for example, an acknowledgement of the patient’s suffering, legitimation of the situation as deserving medical attention</w:t>
      </w:r>
      <w:r w:rsidRPr="00E47A79">
        <w:rPr>
          <w:rFonts w:ascii="Garamond" w:hAnsi="Garamond"/>
          <w:sz w:val="24"/>
          <w:szCs w:val="24"/>
          <w:vertAlign w:val="superscript"/>
        </w:rPr>
        <w:footnoteReference w:id="68"/>
      </w:r>
      <w:r w:rsidRPr="00E47A79">
        <w:rPr>
          <w:rFonts w:ascii="Garamond" w:hAnsi="Garamond"/>
          <w:sz w:val="24"/>
          <w:szCs w:val="24"/>
        </w:rPr>
        <w:t>, a fulfilment of the therapeutic relationship</w:t>
      </w:r>
      <w:r w:rsidRPr="00E47A79">
        <w:rPr>
          <w:rFonts w:ascii="Garamond" w:hAnsi="Garamond"/>
          <w:sz w:val="24"/>
          <w:szCs w:val="24"/>
          <w:vertAlign w:val="superscript"/>
        </w:rPr>
        <w:footnoteReference w:id="69"/>
      </w:r>
      <w:r w:rsidRPr="00E47A79">
        <w:rPr>
          <w:rFonts w:ascii="Garamond" w:hAnsi="Garamond"/>
          <w:sz w:val="24"/>
          <w:szCs w:val="24"/>
        </w:rPr>
        <w:t xml:space="preserve"> </w:t>
      </w:r>
      <w:r w:rsidR="006F22EA" w:rsidRPr="00E47A79">
        <w:rPr>
          <w:rFonts w:ascii="Garamond" w:hAnsi="Garamond"/>
          <w:sz w:val="24"/>
          <w:szCs w:val="24"/>
        </w:rPr>
        <w:t xml:space="preserve">and </w:t>
      </w:r>
      <w:r w:rsidRPr="00E47A79">
        <w:rPr>
          <w:rFonts w:ascii="Garamond" w:hAnsi="Garamond"/>
          <w:sz w:val="24"/>
          <w:szCs w:val="24"/>
        </w:rPr>
        <w:t>a device for managing medical uncertainty in diagnosis and treatment and</w:t>
      </w:r>
      <w:r w:rsidR="007F70CD" w:rsidRPr="00E47A79">
        <w:rPr>
          <w:rFonts w:ascii="Garamond" w:hAnsi="Garamond"/>
          <w:sz w:val="24"/>
          <w:szCs w:val="24"/>
        </w:rPr>
        <w:t xml:space="preserve"> for</w:t>
      </w:r>
      <w:r w:rsidRPr="00E47A79">
        <w:rPr>
          <w:rFonts w:ascii="Garamond" w:hAnsi="Garamond"/>
          <w:sz w:val="24"/>
          <w:szCs w:val="24"/>
        </w:rPr>
        <w:t xml:space="preserve"> providing hope.</w:t>
      </w:r>
      <w:r w:rsidRPr="00E47A79">
        <w:rPr>
          <w:rFonts w:ascii="Garamond" w:hAnsi="Garamond"/>
          <w:sz w:val="24"/>
          <w:szCs w:val="24"/>
          <w:vertAlign w:val="superscript"/>
        </w:rPr>
        <w:footnoteReference w:id="70"/>
      </w:r>
      <w:r w:rsidRPr="00E47A79">
        <w:rPr>
          <w:rFonts w:ascii="Garamond" w:hAnsi="Garamond"/>
          <w:sz w:val="24"/>
          <w:szCs w:val="24"/>
        </w:rPr>
        <w:t xml:space="preserve"> The ‘ritual’ of prescription can be used as an efficiency manoeuvre, replacing lengthy and inconclusive explanations,</w:t>
      </w:r>
      <w:r w:rsidRPr="00E47A79">
        <w:rPr>
          <w:rFonts w:ascii="Garamond" w:hAnsi="Garamond"/>
          <w:sz w:val="24"/>
          <w:szCs w:val="24"/>
          <w:vertAlign w:val="superscript"/>
        </w:rPr>
        <w:footnoteReference w:id="71"/>
      </w:r>
      <w:r w:rsidRPr="00E47A79">
        <w:rPr>
          <w:rFonts w:ascii="Garamond" w:hAnsi="Garamond"/>
          <w:sz w:val="24"/>
          <w:szCs w:val="24"/>
        </w:rPr>
        <w:t xml:space="preserve"> or </w:t>
      </w:r>
      <w:r w:rsidR="006F22EA" w:rsidRPr="00E47A79">
        <w:rPr>
          <w:rFonts w:ascii="Garamond" w:hAnsi="Garamond"/>
          <w:sz w:val="24"/>
          <w:szCs w:val="24"/>
        </w:rPr>
        <w:t xml:space="preserve">is </w:t>
      </w:r>
      <w:r w:rsidRPr="00E47A79">
        <w:rPr>
          <w:rFonts w:ascii="Garamond" w:hAnsi="Garamond"/>
          <w:sz w:val="24"/>
          <w:szCs w:val="24"/>
        </w:rPr>
        <w:t xml:space="preserve">sometimes used (or experienced as) an act of ‘dismissal,’ bringing the time-constrained doctor: patient consultation to a close. </w:t>
      </w:r>
      <w:r w:rsidR="00B455C0" w:rsidRPr="00E47A79">
        <w:rPr>
          <w:rFonts w:ascii="Garamond" w:hAnsi="Garamond"/>
          <w:sz w:val="24"/>
          <w:szCs w:val="24"/>
        </w:rPr>
        <w:t>In the context of encounters between the patient</w:t>
      </w:r>
      <w:r w:rsidR="00CA3CF6">
        <w:rPr>
          <w:rFonts w:ascii="Garamond" w:hAnsi="Garamond"/>
          <w:sz w:val="24"/>
          <w:szCs w:val="24"/>
        </w:rPr>
        <w:t xml:space="preserve"> seeking a cannabis prescription</w:t>
      </w:r>
      <w:r w:rsidR="00B455C0" w:rsidRPr="00E47A79">
        <w:rPr>
          <w:rFonts w:ascii="Garamond" w:hAnsi="Garamond"/>
          <w:sz w:val="24"/>
          <w:szCs w:val="24"/>
        </w:rPr>
        <w:t xml:space="preserve"> and the</w:t>
      </w:r>
      <w:r w:rsidR="00C3318C" w:rsidRPr="00E47A79">
        <w:rPr>
          <w:rFonts w:ascii="Garamond" w:hAnsi="Garamond"/>
          <w:sz w:val="24"/>
          <w:szCs w:val="24"/>
        </w:rPr>
        <w:t>ir</w:t>
      </w:r>
      <w:r w:rsidR="0059287D" w:rsidRPr="00E47A79">
        <w:rPr>
          <w:rFonts w:ascii="Garamond" w:hAnsi="Garamond"/>
          <w:sz w:val="24"/>
          <w:szCs w:val="24"/>
        </w:rPr>
        <w:t xml:space="preserve"> specialist</w:t>
      </w:r>
      <w:r w:rsidR="00B455C0" w:rsidRPr="00E47A79">
        <w:rPr>
          <w:rFonts w:ascii="Garamond" w:hAnsi="Garamond"/>
          <w:sz w:val="24"/>
          <w:szCs w:val="24"/>
        </w:rPr>
        <w:t xml:space="preserve">, </w:t>
      </w:r>
      <w:r w:rsidR="0056533A" w:rsidRPr="00E47A79">
        <w:rPr>
          <w:rFonts w:ascii="Garamond" w:hAnsi="Garamond"/>
          <w:sz w:val="24"/>
          <w:szCs w:val="24"/>
        </w:rPr>
        <w:t xml:space="preserve">a consultation that ends without </w:t>
      </w:r>
      <w:r w:rsidR="00CA3CF6">
        <w:rPr>
          <w:rFonts w:ascii="Garamond" w:hAnsi="Garamond"/>
          <w:sz w:val="24"/>
          <w:szCs w:val="24"/>
        </w:rPr>
        <w:t xml:space="preserve">such </w:t>
      </w:r>
      <w:r w:rsidR="0056533A" w:rsidRPr="00E47A79">
        <w:rPr>
          <w:rFonts w:ascii="Garamond" w:hAnsi="Garamond"/>
          <w:sz w:val="24"/>
          <w:szCs w:val="24"/>
        </w:rPr>
        <w:t>a prescription will undoubtedly be experienced as a disappointment</w:t>
      </w:r>
      <w:r w:rsidR="00C3318C" w:rsidRPr="00E47A79">
        <w:rPr>
          <w:rFonts w:ascii="Garamond" w:hAnsi="Garamond"/>
          <w:sz w:val="24"/>
          <w:szCs w:val="24"/>
        </w:rPr>
        <w:t>.</w:t>
      </w:r>
      <w:r w:rsidR="0056533A" w:rsidRPr="00E47A79">
        <w:rPr>
          <w:rStyle w:val="FootnoteReference"/>
          <w:rFonts w:ascii="Garamond" w:hAnsi="Garamond"/>
          <w:sz w:val="24"/>
          <w:szCs w:val="24"/>
        </w:rPr>
        <w:footnoteReference w:id="72"/>
      </w:r>
      <w:r w:rsidR="00C3318C" w:rsidRPr="00E47A79">
        <w:rPr>
          <w:rFonts w:ascii="Garamond" w:hAnsi="Garamond"/>
          <w:sz w:val="24"/>
          <w:szCs w:val="24"/>
        </w:rPr>
        <w:t xml:space="preserve"> This will </w:t>
      </w:r>
      <w:r w:rsidR="0056533A" w:rsidRPr="00E47A79">
        <w:rPr>
          <w:rFonts w:ascii="Garamond" w:hAnsi="Garamond"/>
          <w:sz w:val="24"/>
          <w:szCs w:val="24"/>
        </w:rPr>
        <w:t>particularly</w:t>
      </w:r>
      <w:r w:rsidR="00C3318C" w:rsidRPr="00E47A79">
        <w:rPr>
          <w:rFonts w:ascii="Garamond" w:hAnsi="Garamond"/>
          <w:sz w:val="24"/>
          <w:szCs w:val="24"/>
        </w:rPr>
        <w:t xml:space="preserve"> be the case in cannabis clinic settings,</w:t>
      </w:r>
      <w:r w:rsidR="0056533A" w:rsidRPr="00E47A79">
        <w:rPr>
          <w:rFonts w:ascii="Garamond" w:hAnsi="Garamond"/>
          <w:sz w:val="24"/>
          <w:szCs w:val="24"/>
        </w:rPr>
        <w:t xml:space="preserve"> </w:t>
      </w:r>
      <w:r w:rsidR="00221215" w:rsidRPr="00E47A79">
        <w:rPr>
          <w:rFonts w:ascii="Garamond" w:hAnsi="Garamond"/>
          <w:sz w:val="24"/>
          <w:szCs w:val="24"/>
        </w:rPr>
        <w:t>if</w:t>
      </w:r>
      <w:r w:rsidR="0056533A" w:rsidRPr="00E47A79">
        <w:rPr>
          <w:rFonts w:ascii="Garamond" w:hAnsi="Garamond"/>
          <w:sz w:val="24"/>
          <w:szCs w:val="24"/>
        </w:rPr>
        <w:t xml:space="preserve"> the clinic has positioned itself as providing access to cannabis medicine,</w:t>
      </w:r>
      <w:r w:rsidR="00C3318C" w:rsidRPr="00E47A79">
        <w:rPr>
          <w:rFonts w:ascii="Garamond" w:hAnsi="Garamond"/>
          <w:sz w:val="24"/>
          <w:szCs w:val="24"/>
        </w:rPr>
        <w:t xml:space="preserve"> </w:t>
      </w:r>
      <w:r w:rsidR="00A277D6" w:rsidRPr="00E47A79">
        <w:rPr>
          <w:rFonts w:ascii="Garamond" w:hAnsi="Garamond"/>
          <w:sz w:val="24"/>
          <w:szCs w:val="24"/>
        </w:rPr>
        <w:t>which</w:t>
      </w:r>
      <w:r w:rsidR="00221215" w:rsidRPr="00E47A79">
        <w:rPr>
          <w:rFonts w:ascii="Garamond" w:hAnsi="Garamond"/>
          <w:sz w:val="24"/>
          <w:szCs w:val="24"/>
        </w:rPr>
        <w:t xml:space="preserve"> </w:t>
      </w:r>
      <w:r w:rsidR="0056533A" w:rsidRPr="00E47A79">
        <w:rPr>
          <w:rFonts w:ascii="Garamond" w:hAnsi="Garamond"/>
          <w:sz w:val="24"/>
          <w:szCs w:val="24"/>
        </w:rPr>
        <w:t xml:space="preserve">will inevitably result in an expectation of prescription. </w:t>
      </w:r>
    </w:p>
    <w:p w14:paraId="1D42E9EB" w14:textId="77777777" w:rsidR="0059672A" w:rsidRDefault="004D5495" w:rsidP="0059287D">
      <w:pPr>
        <w:spacing w:line="360" w:lineRule="auto"/>
        <w:rPr>
          <w:rFonts w:ascii="Garamond" w:hAnsi="Garamond"/>
          <w:sz w:val="24"/>
          <w:szCs w:val="24"/>
        </w:rPr>
      </w:pPr>
      <w:r w:rsidRPr="00E47A79">
        <w:rPr>
          <w:rFonts w:ascii="Garamond" w:hAnsi="Garamond"/>
          <w:sz w:val="24"/>
          <w:szCs w:val="24"/>
        </w:rPr>
        <w:t xml:space="preserve">The </w:t>
      </w:r>
      <w:r w:rsidR="00D03FDE">
        <w:rPr>
          <w:rFonts w:ascii="Garamond" w:hAnsi="Garamond"/>
          <w:sz w:val="24"/>
          <w:szCs w:val="24"/>
        </w:rPr>
        <w:t>act of prescribing can also</w:t>
      </w:r>
      <w:r w:rsidR="00C42221" w:rsidRPr="00E47A79">
        <w:rPr>
          <w:rFonts w:ascii="Garamond" w:hAnsi="Garamond"/>
          <w:sz w:val="24"/>
          <w:szCs w:val="24"/>
        </w:rPr>
        <w:t xml:space="preserve"> have</w:t>
      </w:r>
      <w:r w:rsidRPr="00E47A79">
        <w:rPr>
          <w:rFonts w:ascii="Garamond" w:hAnsi="Garamond"/>
          <w:sz w:val="24"/>
          <w:szCs w:val="24"/>
        </w:rPr>
        <w:t xml:space="preserve"> its own cultural and symbolic meaning,</w:t>
      </w:r>
      <w:r w:rsidRPr="00E47A79">
        <w:rPr>
          <w:rFonts w:ascii="Garamond" w:hAnsi="Garamond"/>
          <w:sz w:val="24"/>
          <w:szCs w:val="24"/>
          <w:vertAlign w:val="superscript"/>
        </w:rPr>
        <w:footnoteReference w:id="73"/>
      </w:r>
      <w:r w:rsidRPr="00E47A79">
        <w:rPr>
          <w:rFonts w:ascii="Garamond" w:hAnsi="Garamond"/>
          <w:sz w:val="24"/>
          <w:szCs w:val="24"/>
        </w:rPr>
        <w:t xml:space="preserve"> beyond its potential to offer improved outcomes </w:t>
      </w:r>
      <w:r w:rsidR="00A671B3" w:rsidRPr="00E47A79">
        <w:rPr>
          <w:rFonts w:ascii="Garamond" w:hAnsi="Garamond"/>
          <w:sz w:val="24"/>
          <w:szCs w:val="24"/>
        </w:rPr>
        <w:t>for</w:t>
      </w:r>
      <w:r w:rsidRPr="00E47A79">
        <w:rPr>
          <w:rFonts w:ascii="Garamond" w:hAnsi="Garamond"/>
          <w:sz w:val="24"/>
          <w:szCs w:val="24"/>
        </w:rPr>
        <w:t xml:space="preserve"> the patient. Prescriptions for medicinal cannabis </w:t>
      </w:r>
      <w:proofErr w:type="gramStart"/>
      <w:r w:rsidRPr="00E47A79">
        <w:rPr>
          <w:rFonts w:ascii="Garamond" w:hAnsi="Garamond"/>
          <w:sz w:val="24"/>
          <w:szCs w:val="24"/>
        </w:rPr>
        <w:t>in particular are</w:t>
      </w:r>
      <w:proofErr w:type="gramEnd"/>
      <w:r w:rsidRPr="00E47A79">
        <w:rPr>
          <w:rFonts w:ascii="Garamond" w:hAnsi="Garamond"/>
          <w:sz w:val="24"/>
          <w:szCs w:val="24"/>
        </w:rPr>
        <w:t xml:space="preserve"> ‘transitional objects’</w:t>
      </w:r>
      <w:r w:rsidRPr="00E47A79">
        <w:rPr>
          <w:rFonts w:ascii="Garamond" w:hAnsi="Garamond"/>
          <w:sz w:val="24"/>
          <w:szCs w:val="24"/>
          <w:vertAlign w:val="superscript"/>
        </w:rPr>
        <w:footnoteReference w:id="74"/>
      </w:r>
      <w:r w:rsidRPr="00E47A79">
        <w:rPr>
          <w:rFonts w:ascii="Garamond" w:hAnsi="Garamond"/>
          <w:sz w:val="24"/>
          <w:szCs w:val="24"/>
        </w:rPr>
        <w:t xml:space="preserve"> in that they can symbolise a transition for the subject of the prescription from ‘criminal’</w:t>
      </w:r>
      <w:r w:rsidRPr="00E47A79">
        <w:rPr>
          <w:rFonts w:ascii="Garamond" w:hAnsi="Garamond"/>
          <w:sz w:val="24"/>
          <w:szCs w:val="24"/>
          <w:vertAlign w:val="superscript"/>
        </w:rPr>
        <w:footnoteReference w:id="75"/>
      </w:r>
      <w:r w:rsidRPr="00E47A79">
        <w:rPr>
          <w:rFonts w:ascii="Garamond" w:hAnsi="Garamond"/>
          <w:sz w:val="24"/>
          <w:szCs w:val="24"/>
        </w:rPr>
        <w:t xml:space="preserve"> to ‘patient’,</w:t>
      </w:r>
      <w:r w:rsidRPr="00E47A79">
        <w:rPr>
          <w:rFonts w:ascii="Garamond" w:hAnsi="Garamond"/>
          <w:sz w:val="24"/>
          <w:szCs w:val="24"/>
          <w:vertAlign w:val="superscript"/>
        </w:rPr>
        <w:footnoteReference w:id="76"/>
      </w:r>
      <w:r w:rsidRPr="00E47A79">
        <w:rPr>
          <w:rFonts w:ascii="Garamond" w:hAnsi="Garamond"/>
          <w:sz w:val="24"/>
          <w:szCs w:val="24"/>
        </w:rPr>
        <w:t xml:space="preserve"> </w:t>
      </w:r>
      <w:r w:rsidR="00607E90" w:rsidRPr="00E47A79">
        <w:rPr>
          <w:rFonts w:ascii="Garamond" w:hAnsi="Garamond"/>
          <w:sz w:val="24"/>
          <w:szCs w:val="24"/>
        </w:rPr>
        <w:t xml:space="preserve">and a </w:t>
      </w:r>
      <w:r w:rsidRPr="00E47A79">
        <w:rPr>
          <w:rFonts w:ascii="Garamond" w:hAnsi="Garamond"/>
          <w:sz w:val="24"/>
          <w:szCs w:val="24"/>
        </w:rPr>
        <w:t xml:space="preserve">recasting </w:t>
      </w:r>
      <w:r w:rsidR="00607E90" w:rsidRPr="00E47A79">
        <w:rPr>
          <w:rFonts w:ascii="Garamond" w:hAnsi="Garamond"/>
          <w:sz w:val="24"/>
          <w:szCs w:val="24"/>
        </w:rPr>
        <w:t xml:space="preserve">of </w:t>
      </w:r>
      <w:r w:rsidRPr="00E47A79">
        <w:rPr>
          <w:rFonts w:ascii="Garamond" w:hAnsi="Garamond"/>
          <w:sz w:val="24"/>
          <w:szCs w:val="24"/>
        </w:rPr>
        <w:t xml:space="preserve">the object </w:t>
      </w:r>
      <w:r w:rsidR="00607E90" w:rsidRPr="00E47A79">
        <w:rPr>
          <w:rFonts w:ascii="Garamond" w:hAnsi="Garamond"/>
          <w:sz w:val="24"/>
          <w:szCs w:val="24"/>
        </w:rPr>
        <w:t xml:space="preserve">of the prescription </w:t>
      </w:r>
      <w:r w:rsidRPr="00E47A79">
        <w:rPr>
          <w:rFonts w:ascii="Garamond" w:hAnsi="Garamond"/>
          <w:sz w:val="24"/>
          <w:szCs w:val="24"/>
        </w:rPr>
        <w:t>from illicit</w:t>
      </w:r>
      <w:r w:rsidR="00CF2C23" w:rsidRPr="00E47A79">
        <w:rPr>
          <w:rFonts w:ascii="Garamond" w:hAnsi="Garamond"/>
          <w:sz w:val="24"/>
          <w:szCs w:val="24"/>
        </w:rPr>
        <w:t>, recreational</w:t>
      </w:r>
      <w:r w:rsidRPr="00E47A79">
        <w:rPr>
          <w:rFonts w:ascii="Garamond" w:hAnsi="Garamond"/>
          <w:sz w:val="24"/>
          <w:szCs w:val="24"/>
        </w:rPr>
        <w:t xml:space="preserve"> substance to approved medicine.</w:t>
      </w:r>
      <w:r w:rsidR="002C5777" w:rsidRPr="00E47A79">
        <w:rPr>
          <w:rFonts w:ascii="Garamond" w:hAnsi="Garamond"/>
          <w:sz w:val="24"/>
          <w:szCs w:val="24"/>
        </w:rPr>
        <w:t xml:space="preserve"> </w:t>
      </w:r>
      <w:r w:rsidR="008325A7" w:rsidRPr="00E47A79">
        <w:rPr>
          <w:rFonts w:ascii="Garamond" w:hAnsi="Garamond"/>
          <w:sz w:val="24"/>
          <w:szCs w:val="24"/>
        </w:rPr>
        <w:t xml:space="preserve">This </w:t>
      </w:r>
      <w:r w:rsidR="00D03FDE">
        <w:rPr>
          <w:rFonts w:ascii="Garamond" w:hAnsi="Garamond"/>
          <w:sz w:val="24"/>
          <w:szCs w:val="24"/>
        </w:rPr>
        <w:t xml:space="preserve">transition is rendered visible in the case of </w:t>
      </w:r>
      <w:proofErr w:type="spellStart"/>
      <w:r w:rsidR="008325A7" w:rsidRPr="00E47A79">
        <w:rPr>
          <w:rFonts w:ascii="Garamond" w:hAnsi="Garamond"/>
          <w:sz w:val="24"/>
          <w:szCs w:val="24"/>
        </w:rPr>
        <w:t>Lezley</w:t>
      </w:r>
      <w:proofErr w:type="spellEnd"/>
      <w:r w:rsidR="008325A7" w:rsidRPr="00E47A79">
        <w:rPr>
          <w:rFonts w:ascii="Garamond" w:hAnsi="Garamond"/>
          <w:sz w:val="24"/>
          <w:szCs w:val="24"/>
        </w:rPr>
        <w:t xml:space="preserve"> Gibson, an MS sufferer</w:t>
      </w:r>
      <w:r w:rsidR="00393DEA" w:rsidRPr="00E47A79">
        <w:rPr>
          <w:rFonts w:ascii="Garamond" w:hAnsi="Garamond"/>
          <w:sz w:val="24"/>
          <w:szCs w:val="24"/>
        </w:rPr>
        <w:t>,</w:t>
      </w:r>
      <w:r w:rsidR="008325A7" w:rsidRPr="00E47A79">
        <w:rPr>
          <w:rFonts w:ascii="Garamond" w:hAnsi="Garamond"/>
          <w:sz w:val="24"/>
          <w:szCs w:val="24"/>
        </w:rPr>
        <w:t xml:space="preserve"> prosecuted for cultivating her own cannabis plants for therapeutic reasons.</w:t>
      </w:r>
      <w:r w:rsidR="00607E90" w:rsidRPr="00E47A79">
        <w:rPr>
          <w:rFonts w:ascii="Garamond" w:hAnsi="Garamond"/>
          <w:sz w:val="24"/>
          <w:szCs w:val="24"/>
        </w:rPr>
        <w:t xml:space="preserve"> In </w:t>
      </w:r>
      <w:proofErr w:type="gramStart"/>
      <w:r w:rsidR="00607E90" w:rsidRPr="00E47A79">
        <w:rPr>
          <w:rFonts w:ascii="Garamond" w:hAnsi="Garamond"/>
          <w:sz w:val="24"/>
          <w:szCs w:val="24"/>
        </w:rPr>
        <w:t>January 2020</w:t>
      </w:r>
      <w:proofErr w:type="gramEnd"/>
      <w:r w:rsidR="00607E90" w:rsidRPr="00E47A79">
        <w:rPr>
          <w:rFonts w:ascii="Garamond" w:hAnsi="Garamond"/>
          <w:sz w:val="24"/>
          <w:szCs w:val="24"/>
        </w:rPr>
        <w:t xml:space="preserve"> t</w:t>
      </w:r>
      <w:r w:rsidR="008325A7" w:rsidRPr="00E47A79">
        <w:rPr>
          <w:rFonts w:ascii="Garamond" w:hAnsi="Garamond"/>
          <w:sz w:val="24"/>
          <w:szCs w:val="24"/>
        </w:rPr>
        <w:t>he prosecutor withdrew on the grounds that prosecution was no longer in the public interest, seemingly because Mrs Gibson had redeemed herself by obtaining a legal (private) prescription for medicinal cannabis.</w:t>
      </w:r>
      <w:r w:rsidR="008325A7" w:rsidRPr="00E47A79">
        <w:rPr>
          <w:rStyle w:val="FootnoteReference"/>
          <w:rFonts w:ascii="Garamond" w:hAnsi="Garamond"/>
          <w:sz w:val="24"/>
          <w:szCs w:val="24"/>
        </w:rPr>
        <w:footnoteReference w:id="77"/>
      </w:r>
      <w:r w:rsidR="008325A7" w:rsidRPr="00E47A79">
        <w:rPr>
          <w:rFonts w:ascii="Garamond" w:hAnsi="Garamond"/>
          <w:sz w:val="24"/>
          <w:szCs w:val="24"/>
        </w:rPr>
        <w:t xml:space="preserve"> </w:t>
      </w:r>
    </w:p>
    <w:p w14:paraId="50C233C7" w14:textId="77777777" w:rsidR="0059672A" w:rsidRDefault="0059672A" w:rsidP="0059287D">
      <w:pPr>
        <w:spacing w:line="360" w:lineRule="auto"/>
        <w:rPr>
          <w:rFonts w:ascii="Garamond" w:hAnsi="Garamond"/>
          <w:sz w:val="24"/>
          <w:szCs w:val="24"/>
        </w:rPr>
      </w:pPr>
    </w:p>
    <w:p w14:paraId="18F1FC5E" w14:textId="29C984D4" w:rsidR="0059287D" w:rsidRPr="00E47A79" w:rsidRDefault="0059287D" w:rsidP="0059287D">
      <w:pPr>
        <w:spacing w:line="360" w:lineRule="auto"/>
        <w:rPr>
          <w:rFonts w:ascii="Garamond" w:hAnsi="Garamond"/>
          <w:sz w:val="24"/>
          <w:szCs w:val="24"/>
        </w:rPr>
      </w:pPr>
      <w:r w:rsidRPr="00E47A79">
        <w:rPr>
          <w:rFonts w:ascii="Garamond" w:hAnsi="Garamond"/>
          <w:sz w:val="24"/>
          <w:szCs w:val="24"/>
        </w:rPr>
        <w:t>The status of cannabis based medicines has historically been compromised by the widespread use of cannabis as a drug of pleasure and, consequently, the object of ‘medicinal cannabis’ remains ‘inextricably intertwined’ with the object of ‘recreational cannabis.’</w:t>
      </w:r>
      <w:r w:rsidRPr="00E47A79">
        <w:rPr>
          <w:rFonts w:ascii="Garamond" w:hAnsi="Garamond"/>
          <w:sz w:val="24"/>
          <w:szCs w:val="24"/>
          <w:vertAlign w:val="superscript"/>
        </w:rPr>
        <w:footnoteReference w:id="78"/>
      </w:r>
      <w:r w:rsidRPr="00E47A79">
        <w:rPr>
          <w:rFonts w:ascii="Garamond" w:hAnsi="Garamond"/>
          <w:sz w:val="24"/>
          <w:szCs w:val="24"/>
        </w:rPr>
        <w:t xml:space="preserve"> The fluidity of this boundary can mean that patients are marginalised; being or feeling that they are the subject of moralistic judgements and treated as manipulative malingerers,</w:t>
      </w:r>
      <w:r w:rsidRPr="00E47A79">
        <w:rPr>
          <w:rFonts w:ascii="Garamond" w:hAnsi="Garamond"/>
          <w:sz w:val="24"/>
          <w:szCs w:val="24"/>
          <w:vertAlign w:val="superscript"/>
        </w:rPr>
        <w:footnoteReference w:id="79"/>
      </w:r>
      <w:r w:rsidRPr="00E47A79">
        <w:rPr>
          <w:rFonts w:ascii="Garamond" w:hAnsi="Garamond"/>
          <w:sz w:val="24"/>
          <w:szCs w:val="24"/>
        </w:rPr>
        <w:t xml:space="preserve"> or that legitimation of medicinal use through reform, helps to de-stigmatise recreational use.</w:t>
      </w:r>
      <w:r w:rsidRPr="00E47A79">
        <w:rPr>
          <w:rFonts w:ascii="Garamond" w:hAnsi="Garamond"/>
          <w:sz w:val="24"/>
          <w:szCs w:val="24"/>
          <w:vertAlign w:val="superscript"/>
        </w:rPr>
        <w:footnoteReference w:id="80"/>
      </w:r>
      <w:r w:rsidRPr="00E47A79">
        <w:rPr>
          <w:rFonts w:ascii="Garamond" w:hAnsi="Garamond"/>
          <w:sz w:val="24"/>
          <w:szCs w:val="24"/>
        </w:rPr>
        <w:t xml:space="preserve"> In the UK it is clear that a significant amount of boundary work in policy papers, debates and professional guidance focuses on keeping medicinal cannabis distinct from the object of ‘recreational cannabis.’ The 1998 House of Lords Select Committee observed ‘slippery slope’ styled arguments which construed legalising for medical use as a ‘stalking horse’ for legalising recreational cannabis use.</w:t>
      </w:r>
      <w:r w:rsidRPr="00E47A79">
        <w:rPr>
          <w:rFonts w:ascii="Garamond" w:hAnsi="Garamond"/>
          <w:sz w:val="24"/>
          <w:szCs w:val="24"/>
          <w:vertAlign w:val="superscript"/>
        </w:rPr>
        <w:footnoteReference w:id="81"/>
      </w:r>
      <w:r w:rsidRPr="00E47A79">
        <w:rPr>
          <w:rFonts w:ascii="Garamond" w:hAnsi="Garamond"/>
          <w:sz w:val="24"/>
          <w:szCs w:val="24"/>
        </w:rPr>
        <w:t xml:space="preserve"> In the Committee’s view however, legalising </w:t>
      </w:r>
      <w:r w:rsidR="00126966">
        <w:rPr>
          <w:rFonts w:ascii="Garamond" w:hAnsi="Garamond"/>
          <w:sz w:val="24"/>
          <w:szCs w:val="24"/>
        </w:rPr>
        <w:t xml:space="preserve">the </w:t>
      </w:r>
      <w:r w:rsidRPr="00E47A79">
        <w:rPr>
          <w:rFonts w:ascii="Garamond" w:hAnsi="Garamond"/>
          <w:sz w:val="24"/>
          <w:szCs w:val="24"/>
        </w:rPr>
        <w:t>prescription of cannabis would only fortify the boundary</w:t>
      </w:r>
      <w:r w:rsidR="00A671B3" w:rsidRPr="00E47A79">
        <w:rPr>
          <w:rFonts w:ascii="Garamond" w:hAnsi="Garamond"/>
          <w:sz w:val="24"/>
          <w:szCs w:val="24"/>
        </w:rPr>
        <w:t>,</w:t>
      </w:r>
      <w:r w:rsidRPr="00E47A79">
        <w:rPr>
          <w:rFonts w:ascii="Garamond" w:hAnsi="Garamond"/>
          <w:sz w:val="24"/>
          <w:szCs w:val="24"/>
        </w:rPr>
        <w:t xml:space="preserve"> as it would: ‘create a clear separation between medical and recreational use, under control of the health care professions. We believe it would in fact make the line against recreational use easier to hold.’</w:t>
      </w:r>
      <w:r w:rsidRPr="00E47A79">
        <w:rPr>
          <w:rFonts w:ascii="Garamond" w:hAnsi="Garamond"/>
          <w:sz w:val="24"/>
          <w:szCs w:val="24"/>
          <w:vertAlign w:val="superscript"/>
        </w:rPr>
        <w:footnoteReference w:id="82"/>
      </w:r>
    </w:p>
    <w:p w14:paraId="166B67E9" w14:textId="4B391426" w:rsidR="0059287D" w:rsidRPr="00E47A79" w:rsidRDefault="0059287D" w:rsidP="0059287D">
      <w:pPr>
        <w:spacing w:line="360" w:lineRule="auto"/>
        <w:rPr>
          <w:rFonts w:ascii="Garamond" w:hAnsi="Garamond"/>
          <w:sz w:val="24"/>
          <w:szCs w:val="24"/>
        </w:rPr>
      </w:pPr>
      <w:r w:rsidRPr="00E47A79">
        <w:rPr>
          <w:rFonts w:ascii="Garamond" w:hAnsi="Garamond"/>
          <w:sz w:val="24"/>
          <w:szCs w:val="24"/>
        </w:rPr>
        <w:t>Beyond these functions, prescribing is also an exercise of medical authority and jurisdiction, as it remains largely (although not wholly) the preserve of registered medical practitioners.</w:t>
      </w:r>
      <w:r w:rsidRPr="00E47A79">
        <w:rPr>
          <w:rFonts w:ascii="Garamond" w:hAnsi="Garamond"/>
          <w:sz w:val="24"/>
          <w:szCs w:val="24"/>
          <w:vertAlign w:val="superscript"/>
        </w:rPr>
        <w:footnoteReference w:id="83"/>
      </w:r>
      <w:r w:rsidRPr="00E47A79">
        <w:rPr>
          <w:rFonts w:ascii="Garamond" w:hAnsi="Garamond"/>
          <w:sz w:val="24"/>
          <w:szCs w:val="24"/>
        </w:rPr>
        <w:t xml:space="preserve"> Both regulators and professional bodies engage in boundary work to defend their claims to territory as a trusted profession or source of authority, and </w:t>
      </w:r>
      <w:r w:rsidR="004A207B" w:rsidRPr="00E47A79">
        <w:rPr>
          <w:rFonts w:ascii="Garamond" w:hAnsi="Garamond"/>
          <w:sz w:val="24"/>
          <w:szCs w:val="24"/>
        </w:rPr>
        <w:t xml:space="preserve">some members of the </w:t>
      </w:r>
      <w:r w:rsidRPr="00E47A79">
        <w:rPr>
          <w:rFonts w:ascii="Garamond" w:hAnsi="Garamond"/>
          <w:sz w:val="24"/>
          <w:szCs w:val="24"/>
        </w:rPr>
        <w:t>medical profession may be</w:t>
      </w:r>
      <w:r w:rsidR="004A207B" w:rsidRPr="00E47A79">
        <w:rPr>
          <w:rFonts w:ascii="Garamond" w:hAnsi="Garamond"/>
          <w:sz w:val="24"/>
          <w:szCs w:val="24"/>
        </w:rPr>
        <w:t xml:space="preserve"> understandably</w:t>
      </w:r>
      <w:r w:rsidRPr="00E47A79">
        <w:rPr>
          <w:rFonts w:ascii="Garamond" w:hAnsi="Garamond"/>
          <w:sz w:val="24"/>
          <w:szCs w:val="24"/>
        </w:rPr>
        <w:t xml:space="preserve"> resentful that they have seemingly been gifted the ‘dirty work’</w:t>
      </w:r>
      <w:r w:rsidRPr="00E47A79">
        <w:rPr>
          <w:rFonts w:ascii="Garamond" w:hAnsi="Garamond"/>
          <w:sz w:val="24"/>
          <w:szCs w:val="24"/>
          <w:vertAlign w:val="superscript"/>
        </w:rPr>
        <w:footnoteReference w:id="84"/>
      </w:r>
      <w:r w:rsidRPr="00E47A79">
        <w:rPr>
          <w:rFonts w:ascii="Garamond" w:hAnsi="Garamond"/>
          <w:sz w:val="24"/>
          <w:szCs w:val="24"/>
        </w:rPr>
        <w:t xml:space="preserve"> of maintaining the line between recreational and medicinal uses, preferring the clinical realm of judging whether thresholds of safety and efficacy have been met.</w:t>
      </w:r>
      <w:r w:rsidR="00A671B3" w:rsidRPr="00E47A79">
        <w:rPr>
          <w:rStyle w:val="FootnoteReference"/>
          <w:rFonts w:ascii="Garamond" w:hAnsi="Garamond"/>
          <w:sz w:val="24"/>
          <w:szCs w:val="24"/>
        </w:rPr>
        <w:footnoteReference w:id="85"/>
      </w:r>
      <w:r w:rsidRPr="00E47A79">
        <w:rPr>
          <w:rFonts w:ascii="Garamond" w:hAnsi="Garamond"/>
          <w:sz w:val="24"/>
          <w:szCs w:val="24"/>
        </w:rPr>
        <w:t xml:space="preserve"> </w:t>
      </w:r>
    </w:p>
    <w:p w14:paraId="11CD50E7" w14:textId="75595A81" w:rsidR="004D5495" w:rsidRPr="00E47A79" w:rsidRDefault="004D5495" w:rsidP="00A601B9">
      <w:pPr>
        <w:spacing w:line="360" w:lineRule="auto"/>
        <w:rPr>
          <w:rFonts w:ascii="Garamond" w:hAnsi="Garamond"/>
          <w:sz w:val="24"/>
          <w:szCs w:val="24"/>
        </w:rPr>
      </w:pPr>
      <w:r w:rsidRPr="00E47A79">
        <w:rPr>
          <w:rFonts w:ascii="Garamond" w:hAnsi="Garamond"/>
          <w:sz w:val="24"/>
          <w:szCs w:val="24"/>
        </w:rPr>
        <w:lastRenderedPageBreak/>
        <w:t>Added to all of th</w:t>
      </w:r>
      <w:r w:rsidR="006F22EA" w:rsidRPr="00E47A79">
        <w:rPr>
          <w:rFonts w:ascii="Garamond" w:hAnsi="Garamond"/>
          <w:sz w:val="24"/>
          <w:szCs w:val="24"/>
        </w:rPr>
        <w:t>ese dynamics</w:t>
      </w:r>
      <w:r w:rsidRPr="00E47A79">
        <w:rPr>
          <w:rFonts w:ascii="Garamond" w:hAnsi="Garamond"/>
          <w:sz w:val="24"/>
          <w:szCs w:val="24"/>
        </w:rPr>
        <w:t>, the prescription itself has</w:t>
      </w:r>
      <w:r w:rsidR="001141A0" w:rsidRPr="00E47A79">
        <w:rPr>
          <w:rFonts w:ascii="Garamond" w:hAnsi="Garamond"/>
          <w:sz w:val="24"/>
          <w:szCs w:val="24"/>
        </w:rPr>
        <w:t xml:space="preserve"> particular</w:t>
      </w:r>
      <w:r w:rsidRPr="00E47A79">
        <w:rPr>
          <w:rFonts w:ascii="Garamond" w:hAnsi="Garamond"/>
          <w:sz w:val="24"/>
          <w:szCs w:val="24"/>
        </w:rPr>
        <w:t xml:space="preserve"> medico-legal significance, for the signature on the prescription identifies where legal responsibility for the prescribing lies.</w:t>
      </w:r>
      <w:r w:rsidRPr="00E47A79">
        <w:rPr>
          <w:rFonts w:ascii="Garamond" w:hAnsi="Garamond"/>
          <w:sz w:val="24"/>
          <w:szCs w:val="24"/>
          <w:vertAlign w:val="superscript"/>
        </w:rPr>
        <w:footnoteReference w:id="86"/>
      </w:r>
      <w:r w:rsidRPr="00E47A79">
        <w:rPr>
          <w:rFonts w:ascii="Garamond" w:hAnsi="Garamond"/>
          <w:sz w:val="24"/>
          <w:szCs w:val="24"/>
        </w:rPr>
        <w:t xml:space="preserve"> The act of prescribing </w:t>
      </w:r>
      <w:r w:rsidR="007F70CD" w:rsidRPr="00E47A79">
        <w:rPr>
          <w:rFonts w:ascii="Garamond" w:hAnsi="Garamond"/>
          <w:sz w:val="24"/>
          <w:szCs w:val="24"/>
        </w:rPr>
        <w:t xml:space="preserve">unlicensed </w:t>
      </w:r>
      <w:r w:rsidRPr="00E47A79">
        <w:rPr>
          <w:rFonts w:ascii="Garamond" w:hAnsi="Garamond"/>
          <w:sz w:val="24"/>
          <w:szCs w:val="24"/>
        </w:rPr>
        <w:t>cannabis</w:t>
      </w:r>
      <w:r w:rsidR="007F70CD" w:rsidRPr="00E47A79">
        <w:rPr>
          <w:rFonts w:ascii="Garamond" w:hAnsi="Garamond"/>
          <w:sz w:val="24"/>
          <w:szCs w:val="24"/>
        </w:rPr>
        <w:t xml:space="preserve"> products</w:t>
      </w:r>
      <w:r w:rsidRPr="00E47A79">
        <w:rPr>
          <w:rFonts w:ascii="Garamond" w:hAnsi="Garamond"/>
          <w:sz w:val="24"/>
          <w:szCs w:val="24"/>
        </w:rPr>
        <w:t xml:space="preserve"> has been associated with possible reprisals from the medical community</w:t>
      </w:r>
      <w:r w:rsidRPr="00E47A79">
        <w:rPr>
          <w:rFonts w:ascii="Garamond" w:hAnsi="Garamond"/>
          <w:sz w:val="24"/>
          <w:szCs w:val="24"/>
          <w:vertAlign w:val="superscript"/>
        </w:rPr>
        <w:footnoteReference w:id="87"/>
      </w:r>
      <w:r w:rsidRPr="00E47A79">
        <w:rPr>
          <w:rFonts w:ascii="Garamond" w:hAnsi="Garamond"/>
          <w:sz w:val="24"/>
          <w:szCs w:val="24"/>
        </w:rPr>
        <w:t>, and unknown risks of liability for the doctor, and their interpretation of this legal risk will be heavily informed by</w:t>
      </w:r>
      <w:r w:rsidR="00C42221" w:rsidRPr="00E47A79">
        <w:rPr>
          <w:rFonts w:ascii="Garamond" w:hAnsi="Garamond"/>
          <w:sz w:val="24"/>
          <w:szCs w:val="24"/>
        </w:rPr>
        <w:t xml:space="preserve"> the</w:t>
      </w:r>
      <w:r w:rsidRPr="00E47A79">
        <w:rPr>
          <w:rFonts w:ascii="Garamond" w:hAnsi="Garamond"/>
          <w:sz w:val="24"/>
          <w:szCs w:val="24"/>
        </w:rPr>
        <w:t xml:space="preserve"> proliferation of regulatory and professional guidance issued in the aftermath of the 2018 reforms. ‘</w:t>
      </w:r>
      <w:r w:rsidR="001C5081" w:rsidRPr="00E47A79">
        <w:rPr>
          <w:rFonts w:ascii="Garamond" w:hAnsi="Garamond"/>
          <w:sz w:val="24"/>
          <w:szCs w:val="24"/>
        </w:rPr>
        <w:t>P</w:t>
      </w:r>
      <w:r w:rsidRPr="00E47A79">
        <w:rPr>
          <w:rFonts w:ascii="Garamond" w:hAnsi="Garamond"/>
          <w:sz w:val="24"/>
          <w:szCs w:val="24"/>
        </w:rPr>
        <w:t xml:space="preserve">rescribing’ </w:t>
      </w:r>
      <w:proofErr w:type="gramStart"/>
      <w:r w:rsidRPr="00E47A79">
        <w:rPr>
          <w:rFonts w:ascii="Garamond" w:hAnsi="Garamond"/>
          <w:sz w:val="24"/>
          <w:szCs w:val="24"/>
        </w:rPr>
        <w:t>in particular has</w:t>
      </w:r>
      <w:proofErr w:type="gramEnd"/>
      <w:r w:rsidRPr="00E47A79">
        <w:rPr>
          <w:rFonts w:ascii="Garamond" w:hAnsi="Garamond"/>
          <w:sz w:val="24"/>
          <w:szCs w:val="24"/>
        </w:rPr>
        <w:t xml:space="preserve"> been identified as a ‘battleground’ where the clinical autonomy of the medical profession is defended.</w:t>
      </w:r>
      <w:r w:rsidRPr="00E47A79">
        <w:rPr>
          <w:rFonts w:ascii="Garamond" w:hAnsi="Garamond"/>
          <w:sz w:val="24"/>
          <w:szCs w:val="24"/>
          <w:vertAlign w:val="superscript"/>
        </w:rPr>
        <w:footnoteReference w:id="88"/>
      </w:r>
      <w:r w:rsidRPr="00E47A79">
        <w:rPr>
          <w:rFonts w:ascii="Garamond" w:hAnsi="Garamond"/>
          <w:sz w:val="24"/>
          <w:szCs w:val="24"/>
        </w:rPr>
        <w:t xml:space="preserve"> </w:t>
      </w:r>
      <w:r w:rsidR="00EC385E" w:rsidRPr="00E47A79">
        <w:rPr>
          <w:rFonts w:ascii="Garamond" w:hAnsi="Garamond"/>
          <w:sz w:val="24"/>
          <w:szCs w:val="24"/>
        </w:rPr>
        <w:t>However, t</w:t>
      </w:r>
      <w:r w:rsidRPr="00E47A79">
        <w:rPr>
          <w:rFonts w:ascii="Garamond" w:hAnsi="Garamond"/>
          <w:sz w:val="24"/>
          <w:szCs w:val="24"/>
        </w:rPr>
        <w:t>h</w:t>
      </w:r>
      <w:r w:rsidR="00CE63A5" w:rsidRPr="00E47A79">
        <w:rPr>
          <w:rFonts w:ascii="Garamond" w:hAnsi="Garamond"/>
          <w:sz w:val="24"/>
          <w:szCs w:val="24"/>
        </w:rPr>
        <w:t>e</w:t>
      </w:r>
      <w:r w:rsidRPr="00E47A79">
        <w:rPr>
          <w:rFonts w:ascii="Garamond" w:hAnsi="Garamond"/>
          <w:sz w:val="24"/>
          <w:szCs w:val="24"/>
        </w:rPr>
        <w:t xml:space="preserve"> </w:t>
      </w:r>
      <w:r w:rsidR="00CE63A5" w:rsidRPr="00E47A79">
        <w:rPr>
          <w:rFonts w:ascii="Garamond" w:hAnsi="Garamond"/>
          <w:sz w:val="24"/>
          <w:szCs w:val="24"/>
        </w:rPr>
        <w:t xml:space="preserve">emergent </w:t>
      </w:r>
      <w:r w:rsidRPr="00E47A79">
        <w:rPr>
          <w:rFonts w:ascii="Garamond" w:hAnsi="Garamond"/>
          <w:sz w:val="24"/>
          <w:szCs w:val="24"/>
        </w:rPr>
        <w:t xml:space="preserve">boundary work </w:t>
      </w:r>
      <w:r w:rsidR="00C42221" w:rsidRPr="00E47A79">
        <w:rPr>
          <w:rFonts w:ascii="Garamond" w:hAnsi="Garamond"/>
          <w:sz w:val="24"/>
          <w:szCs w:val="24"/>
        </w:rPr>
        <w:t xml:space="preserve">has constructed a landscape which </w:t>
      </w:r>
      <w:r w:rsidR="00646B27" w:rsidRPr="00E47A79">
        <w:rPr>
          <w:rFonts w:ascii="Garamond" w:hAnsi="Garamond"/>
          <w:sz w:val="24"/>
          <w:szCs w:val="24"/>
        </w:rPr>
        <w:t>rules out routine prescribing, whilst saying little about the interests of individual patients</w:t>
      </w:r>
      <w:r w:rsidR="00D45EC2" w:rsidRPr="00E47A79">
        <w:rPr>
          <w:rFonts w:ascii="Garamond" w:hAnsi="Garamond"/>
          <w:sz w:val="24"/>
          <w:szCs w:val="24"/>
        </w:rPr>
        <w:t>. Its terms have likely contributed to a broader failure to</w:t>
      </w:r>
      <w:r w:rsidR="00C42221" w:rsidRPr="00E47A79">
        <w:rPr>
          <w:rFonts w:ascii="Garamond" w:hAnsi="Garamond"/>
          <w:sz w:val="24"/>
          <w:szCs w:val="24"/>
        </w:rPr>
        <w:t xml:space="preserve"> deliver the balance of </w:t>
      </w:r>
      <w:r w:rsidR="00275FA6" w:rsidRPr="00E47A79">
        <w:rPr>
          <w:rFonts w:ascii="Garamond" w:hAnsi="Garamond"/>
          <w:sz w:val="24"/>
          <w:szCs w:val="24"/>
        </w:rPr>
        <w:t>access with safety</w:t>
      </w:r>
      <w:r w:rsidR="00C42221" w:rsidRPr="00E47A79">
        <w:rPr>
          <w:rFonts w:ascii="Garamond" w:hAnsi="Garamond"/>
          <w:sz w:val="24"/>
          <w:szCs w:val="24"/>
        </w:rPr>
        <w:t xml:space="preserve"> promised by </w:t>
      </w:r>
      <w:r w:rsidR="00275FA6" w:rsidRPr="00E47A79">
        <w:rPr>
          <w:rFonts w:ascii="Garamond" w:hAnsi="Garamond"/>
          <w:sz w:val="24"/>
          <w:szCs w:val="24"/>
        </w:rPr>
        <w:t xml:space="preserve">the 2018 </w:t>
      </w:r>
      <w:r w:rsidR="00C42221" w:rsidRPr="00E47A79">
        <w:rPr>
          <w:rFonts w:ascii="Garamond" w:hAnsi="Garamond"/>
          <w:sz w:val="24"/>
          <w:szCs w:val="24"/>
        </w:rPr>
        <w:t xml:space="preserve">re-scheduling </w:t>
      </w:r>
      <w:r w:rsidR="00275FA6" w:rsidRPr="00E47A79">
        <w:rPr>
          <w:rFonts w:ascii="Garamond" w:hAnsi="Garamond"/>
          <w:sz w:val="24"/>
          <w:szCs w:val="24"/>
        </w:rPr>
        <w:t>legislation</w:t>
      </w:r>
      <w:r w:rsidR="00C42221" w:rsidRPr="00E47A79">
        <w:rPr>
          <w:rFonts w:ascii="Garamond" w:hAnsi="Garamond"/>
          <w:sz w:val="24"/>
          <w:szCs w:val="24"/>
        </w:rPr>
        <w:t>.</w:t>
      </w:r>
      <w:r w:rsidR="00D45EC2" w:rsidRPr="00E47A79">
        <w:rPr>
          <w:rStyle w:val="FootnoteReference"/>
          <w:rFonts w:ascii="Garamond" w:hAnsi="Garamond"/>
          <w:sz w:val="24"/>
          <w:szCs w:val="24"/>
        </w:rPr>
        <w:footnoteReference w:id="89"/>
      </w:r>
      <w:r w:rsidR="00C42221" w:rsidRPr="00E47A79">
        <w:rPr>
          <w:rFonts w:ascii="Garamond" w:hAnsi="Garamond"/>
          <w:sz w:val="24"/>
          <w:szCs w:val="24"/>
        </w:rPr>
        <w:t xml:space="preserve"> </w:t>
      </w:r>
    </w:p>
    <w:p w14:paraId="31296E71" w14:textId="77777777" w:rsidR="00DB513E" w:rsidRPr="00E47A79" w:rsidRDefault="00DB513E" w:rsidP="00A601B9">
      <w:pPr>
        <w:spacing w:line="360" w:lineRule="auto"/>
        <w:jc w:val="center"/>
        <w:rPr>
          <w:rFonts w:ascii="Garamond" w:hAnsi="Garamond"/>
          <w:b/>
          <w:bCs/>
          <w:sz w:val="24"/>
          <w:szCs w:val="24"/>
        </w:rPr>
      </w:pPr>
    </w:p>
    <w:p w14:paraId="0CD1DA43" w14:textId="53B06542" w:rsidR="00716F93" w:rsidRPr="00E47A79" w:rsidRDefault="004D1917" w:rsidP="00A601B9">
      <w:pPr>
        <w:spacing w:line="360" w:lineRule="auto"/>
        <w:jc w:val="center"/>
        <w:rPr>
          <w:rFonts w:ascii="Garamond" w:hAnsi="Garamond"/>
          <w:b/>
          <w:bCs/>
          <w:sz w:val="24"/>
          <w:szCs w:val="24"/>
        </w:rPr>
      </w:pPr>
      <w:r w:rsidRPr="00E47A79">
        <w:rPr>
          <w:rFonts w:ascii="Garamond" w:hAnsi="Garamond"/>
          <w:b/>
          <w:bCs/>
          <w:sz w:val="24"/>
          <w:szCs w:val="24"/>
        </w:rPr>
        <w:t xml:space="preserve">II. </w:t>
      </w:r>
      <w:r w:rsidR="00542833" w:rsidRPr="00E47A79">
        <w:rPr>
          <w:rFonts w:ascii="Garamond" w:hAnsi="Garamond"/>
          <w:b/>
          <w:bCs/>
          <w:sz w:val="24"/>
          <w:szCs w:val="24"/>
        </w:rPr>
        <w:t>MIXED MESSAGES AND THE PROLIFERATION OF GUIDANCE ON MC PRESCRIBING</w:t>
      </w:r>
    </w:p>
    <w:p w14:paraId="5AA4D15F" w14:textId="024C6957" w:rsidR="00F21EA1" w:rsidRPr="00E47A79" w:rsidRDefault="00F21EA1" w:rsidP="00A601B9">
      <w:pPr>
        <w:spacing w:line="360" w:lineRule="auto"/>
        <w:rPr>
          <w:rFonts w:ascii="Garamond" w:hAnsi="Garamond"/>
          <w:sz w:val="24"/>
          <w:szCs w:val="24"/>
        </w:rPr>
      </w:pPr>
      <w:r w:rsidRPr="00E47A79">
        <w:rPr>
          <w:rFonts w:ascii="Garamond" w:hAnsi="Garamond"/>
          <w:sz w:val="24"/>
          <w:szCs w:val="24"/>
        </w:rPr>
        <w:t>Th</w:t>
      </w:r>
      <w:r w:rsidR="00CC2363" w:rsidRPr="00E47A79">
        <w:rPr>
          <w:rFonts w:ascii="Garamond" w:hAnsi="Garamond"/>
          <w:sz w:val="24"/>
          <w:szCs w:val="24"/>
        </w:rPr>
        <w:t>is section</w:t>
      </w:r>
      <w:r w:rsidRPr="00E47A79">
        <w:rPr>
          <w:rFonts w:ascii="Garamond" w:hAnsi="Garamond"/>
          <w:sz w:val="24"/>
          <w:szCs w:val="24"/>
        </w:rPr>
        <w:t xml:space="preserve"> </w:t>
      </w:r>
      <w:r w:rsidR="000377B8" w:rsidRPr="00E47A79">
        <w:rPr>
          <w:rFonts w:ascii="Garamond" w:hAnsi="Garamond"/>
          <w:sz w:val="24"/>
          <w:szCs w:val="24"/>
        </w:rPr>
        <w:t xml:space="preserve">advances </w:t>
      </w:r>
      <w:r w:rsidRPr="00E47A79">
        <w:rPr>
          <w:rFonts w:ascii="Garamond" w:hAnsi="Garamond"/>
          <w:sz w:val="24"/>
          <w:szCs w:val="24"/>
        </w:rPr>
        <w:t xml:space="preserve">the </w:t>
      </w:r>
      <w:r w:rsidR="000377B8" w:rsidRPr="00E47A79">
        <w:rPr>
          <w:rFonts w:ascii="Garamond" w:hAnsi="Garamond"/>
          <w:sz w:val="24"/>
          <w:szCs w:val="24"/>
        </w:rPr>
        <w:t xml:space="preserve">previous section’s </w:t>
      </w:r>
      <w:r w:rsidRPr="00E47A79">
        <w:rPr>
          <w:rFonts w:ascii="Garamond" w:hAnsi="Garamond"/>
          <w:sz w:val="24"/>
          <w:szCs w:val="24"/>
        </w:rPr>
        <w:t xml:space="preserve">boundary work </w:t>
      </w:r>
      <w:r w:rsidR="00860764" w:rsidRPr="00E47A79">
        <w:rPr>
          <w:rFonts w:ascii="Garamond" w:hAnsi="Garamond"/>
          <w:sz w:val="24"/>
          <w:szCs w:val="24"/>
        </w:rPr>
        <w:t>analysis</w:t>
      </w:r>
      <w:r w:rsidR="005D7759" w:rsidRPr="00E47A79">
        <w:rPr>
          <w:rFonts w:ascii="Garamond" w:hAnsi="Garamond"/>
          <w:sz w:val="24"/>
          <w:szCs w:val="24"/>
        </w:rPr>
        <w:t xml:space="preserve">, </w:t>
      </w:r>
      <w:r w:rsidR="00AC3F5C" w:rsidRPr="00E47A79">
        <w:rPr>
          <w:rFonts w:ascii="Garamond" w:hAnsi="Garamond"/>
          <w:sz w:val="24"/>
          <w:szCs w:val="24"/>
        </w:rPr>
        <w:t xml:space="preserve">exploring </w:t>
      </w:r>
      <w:r w:rsidR="00C42221" w:rsidRPr="00E47A79">
        <w:rPr>
          <w:rFonts w:ascii="Garamond" w:hAnsi="Garamond"/>
          <w:sz w:val="24"/>
          <w:szCs w:val="24"/>
        </w:rPr>
        <w:t>t</w:t>
      </w:r>
      <w:r w:rsidR="00E40F39" w:rsidRPr="00E47A79">
        <w:rPr>
          <w:rFonts w:ascii="Garamond" w:hAnsi="Garamond"/>
          <w:sz w:val="24"/>
          <w:szCs w:val="24"/>
        </w:rPr>
        <w:t>he emergence of key guidance</w:t>
      </w:r>
      <w:r w:rsidR="00C42221" w:rsidRPr="00E47A79">
        <w:rPr>
          <w:rFonts w:ascii="Garamond" w:hAnsi="Garamond"/>
          <w:sz w:val="24"/>
          <w:szCs w:val="24"/>
        </w:rPr>
        <w:t>,</w:t>
      </w:r>
      <w:r w:rsidR="00E40F39" w:rsidRPr="00E47A79">
        <w:rPr>
          <w:rFonts w:ascii="Garamond" w:hAnsi="Garamond"/>
          <w:sz w:val="24"/>
          <w:szCs w:val="24"/>
        </w:rPr>
        <w:t xml:space="preserve"> including the NICE guideline, </w:t>
      </w:r>
      <w:r w:rsidR="00806658" w:rsidRPr="00E47A79">
        <w:rPr>
          <w:rFonts w:ascii="Garamond" w:hAnsi="Garamond"/>
          <w:sz w:val="24"/>
          <w:szCs w:val="24"/>
        </w:rPr>
        <w:t xml:space="preserve">‘default’ </w:t>
      </w:r>
      <w:r w:rsidR="0076030D" w:rsidRPr="00E47A79">
        <w:rPr>
          <w:rFonts w:ascii="Garamond" w:hAnsi="Garamond"/>
          <w:sz w:val="24"/>
          <w:szCs w:val="24"/>
        </w:rPr>
        <w:t>General Medical Council (</w:t>
      </w:r>
      <w:r w:rsidR="00E40F39" w:rsidRPr="00E47A79">
        <w:rPr>
          <w:rFonts w:ascii="Garamond" w:hAnsi="Garamond"/>
          <w:sz w:val="24"/>
          <w:szCs w:val="24"/>
        </w:rPr>
        <w:t>GMC</w:t>
      </w:r>
      <w:r w:rsidR="0076030D" w:rsidRPr="00E47A79">
        <w:rPr>
          <w:rFonts w:ascii="Garamond" w:hAnsi="Garamond"/>
          <w:sz w:val="24"/>
          <w:szCs w:val="24"/>
        </w:rPr>
        <w:t>)</w:t>
      </w:r>
      <w:r w:rsidR="00E40F39" w:rsidRPr="00E47A79">
        <w:rPr>
          <w:rFonts w:ascii="Garamond" w:hAnsi="Garamond"/>
          <w:sz w:val="24"/>
          <w:szCs w:val="24"/>
        </w:rPr>
        <w:t xml:space="preserve"> guidance</w:t>
      </w:r>
      <w:r w:rsidR="00806658" w:rsidRPr="00E47A79">
        <w:rPr>
          <w:rFonts w:ascii="Garamond" w:hAnsi="Garamond"/>
          <w:sz w:val="24"/>
          <w:szCs w:val="24"/>
        </w:rPr>
        <w:t xml:space="preserve"> </w:t>
      </w:r>
      <w:r w:rsidR="00E223EF" w:rsidRPr="00E47A79">
        <w:rPr>
          <w:rFonts w:ascii="Garamond" w:hAnsi="Garamond"/>
          <w:sz w:val="24"/>
          <w:szCs w:val="24"/>
        </w:rPr>
        <w:t xml:space="preserve">on </w:t>
      </w:r>
      <w:r w:rsidR="00806658" w:rsidRPr="00E47A79">
        <w:rPr>
          <w:rFonts w:ascii="Garamond" w:hAnsi="Garamond"/>
          <w:sz w:val="24"/>
          <w:szCs w:val="24"/>
        </w:rPr>
        <w:t>prescribing unlicensed products (but not CBMPs specifically)</w:t>
      </w:r>
      <w:r w:rsidR="00E40F39" w:rsidRPr="00E47A79">
        <w:rPr>
          <w:rFonts w:ascii="Garamond" w:hAnsi="Garamond"/>
          <w:sz w:val="24"/>
          <w:szCs w:val="24"/>
        </w:rPr>
        <w:t xml:space="preserve"> and </w:t>
      </w:r>
      <w:r w:rsidR="00A277D6" w:rsidRPr="00E47A79">
        <w:rPr>
          <w:rFonts w:ascii="Garamond" w:hAnsi="Garamond"/>
          <w:sz w:val="24"/>
          <w:szCs w:val="24"/>
        </w:rPr>
        <w:t xml:space="preserve">more recent </w:t>
      </w:r>
      <w:r w:rsidR="00E40F39" w:rsidRPr="00E47A79">
        <w:rPr>
          <w:rFonts w:ascii="Garamond" w:hAnsi="Garamond"/>
          <w:sz w:val="24"/>
          <w:szCs w:val="24"/>
        </w:rPr>
        <w:t>guidance from the royal colleges</w:t>
      </w:r>
      <w:r w:rsidR="007D0C38" w:rsidRPr="00E47A79">
        <w:rPr>
          <w:rFonts w:ascii="Garamond" w:hAnsi="Garamond"/>
          <w:sz w:val="24"/>
          <w:szCs w:val="24"/>
        </w:rPr>
        <w:t xml:space="preserve"> and medical associations</w:t>
      </w:r>
      <w:r w:rsidR="00E40F39" w:rsidRPr="00E47A79">
        <w:rPr>
          <w:rFonts w:ascii="Garamond" w:hAnsi="Garamond"/>
          <w:sz w:val="24"/>
          <w:szCs w:val="24"/>
        </w:rPr>
        <w:t>.</w:t>
      </w:r>
      <w:r w:rsidR="007D0C38" w:rsidRPr="00E47A79">
        <w:rPr>
          <w:rStyle w:val="FootnoteReference"/>
          <w:rFonts w:ascii="Garamond" w:hAnsi="Garamond"/>
          <w:sz w:val="24"/>
          <w:szCs w:val="24"/>
        </w:rPr>
        <w:footnoteReference w:id="90"/>
      </w:r>
      <w:r w:rsidR="00E40F39" w:rsidRPr="00E47A79">
        <w:rPr>
          <w:rFonts w:ascii="Garamond" w:hAnsi="Garamond"/>
          <w:sz w:val="24"/>
          <w:szCs w:val="24"/>
        </w:rPr>
        <w:t xml:space="preserve"> </w:t>
      </w:r>
      <w:r w:rsidR="009160D3" w:rsidRPr="00E47A79">
        <w:rPr>
          <w:rFonts w:ascii="Garamond" w:hAnsi="Garamond"/>
          <w:sz w:val="24"/>
          <w:szCs w:val="24"/>
        </w:rPr>
        <w:t>Much of th</w:t>
      </w:r>
      <w:r w:rsidR="00E40F39" w:rsidRPr="00E47A79">
        <w:rPr>
          <w:rFonts w:ascii="Garamond" w:hAnsi="Garamond"/>
          <w:sz w:val="24"/>
          <w:szCs w:val="24"/>
        </w:rPr>
        <w:t>is</w:t>
      </w:r>
      <w:r w:rsidR="009160D3" w:rsidRPr="00E47A79">
        <w:rPr>
          <w:rFonts w:ascii="Garamond" w:hAnsi="Garamond"/>
          <w:sz w:val="24"/>
          <w:szCs w:val="24"/>
        </w:rPr>
        <w:t xml:space="preserve"> guidance acknowledges the possibility that prescribing might be appropriate, thus preserving clinical autonomy, whilst simultaneously being laden with warnings against it. </w:t>
      </w:r>
      <w:r w:rsidR="00986F76" w:rsidRPr="00E47A79">
        <w:rPr>
          <w:rFonts w:ascii="Garamond" w:hAnsi="Garamond"/>
          <w:sz w:val="24"/>
          <w:szCs w:val="24"/>
        </w:rPr>
        <w:t>Crucially, t</w:t>
      </w:r>
      <w:r w:rsidR="00D53CD1" w:rsidRPr="00E47A79">
        <w:rPr>
          <w:rFonts w:ascii="Garamond" w:hAnsi="Garamond"/>
          <w:sz w:val="24"/>
          <w:szCs w:val="24"/>
        </w:rPr>
        <w:t>he guidance says nothing of access, only of risk</w:t>
      </w:r>
      <w:r w:rsidR="00CB5ED9" w:rsidRPr="00E47A79">
        <w:rPr>
          <w:rFonts w:ascii="Garamond" w:hAnsi="Garamond"/>
          <w:sz w:val="24"/>
          <w:szCs w:val="24"/>
        </w:rPr>
        <w:t>.</w:t>
      </w:r>
      <w:r w:rsidR="00D53CD1" w:rsidRPr="00E47A79">
        <w:rPr>
          <w:rFonts w:ascii="Garamond" w:hAnsi="Garamond"/>
          <w:sz w:val="24"/>
          <w:szCs w:val="24"/>
        </w:rPr>
        <w:t xml:space="preserve"> </w:t>
      </w:r>
      <w:r w:rsidR="00CB5ED9" w:rsidRPr="00E47A79">
        <w:rPr>
          <w:rFonts w:ascii="Garamond" w:hAnsi="Garamond"/>
          <w:sz w:val="24"/>
          <w:szCs w:val="24"/>
        </w:rPr>
        <w:t>A</w:t>
      </w:r>
      <w:r w:rsidR="005D7759" w:rsidRPr="00E47A79">
        <w:rPr>
          <w:rFonts w:ascii="Garamond" w:hAnsi="Garamond"/>
          <w:sz w:val="24"/>
          <w:szCs w:val="24"/>
        </w:rPr>
        <w:t xml:space="preserve"> tone of extreme caution p</w:t>
      </w:r>
      <w:r w:rsidR="00EC7F29" w:rsidRPr="00E47A79">
        <w:rPr>
          <w:rFonts w:ascii="Garamond" w:hAnsi="Garamond"/>
          <w:sz w:val="24"/>
          <w:szCs w:val="24"/>
        </w:rPr>
        <w:t>revails</w:t>
      </w:r>
      <w:r w:rsidR="005D7759" w:rsidRPr="00E47A79">
        <w:rPr>
          <w:rFonts w:ascii="Garamond" w:hAnsi="Garamond"/>
          <w:sz w:val="24"/>
          <w:szCs w:val="24"/>
        </w:rPr>
        <w:t xml:space="preserve">, combined with refrains of </w:t>
      </w:r>
      <w:r w:rsidR="00EC7F29" w:rsidRPr="00E47A79">
        <w:rPr>
          <w:rFonts w:ascii="Garamond" w:hAnsi="Garamond"/>
          <w:sz w:val="24"/>
          <w:szCs w:val="24"/>
        </w:rPr>
        <w:t>‘</w:t>
      </w:r>
      <w:r w:rsidR="005D7759" w:rsidRPr="00E47A79">
        <w:rPr>
          <w:rFonts w:ascii="Garamond" w:hAnsi="Garamond"/>
          <w:sz w:val="24"/>
          <w:szCs w:val="24"/>
        </w:rPr>
        <w:t>personal responsibility</w:t>
      </w:r>
      <w:r w:rsidR="00EC7F29" w:rsidRPr="00E47A79">
        <w:rPr>
          <w:rFonts w:ascii="Garamond" w:hAnsi="Garamond"/>
          <w:sz w:val="24"/>
          <w:szCs w:val="24"/>
        </w:rPr>
        <w:t>’</w:t>
      </w:r>
      <w:r w:rsidR="005D7759" w:rsidRPr="00E47A79">
        <w:rPr>
          <w:rFonts w:ascii="Garamond" w:hAnsi="Garamond"/>
          <w:sz w:val="24"/>
          <w:szCs w:val="24"/>
        </w:rPr>
        <w:t xml:space="preserve">, prescribing as a </w:t>
      </w:r>
      <w:r w:rsidR="00EC7F29" w:rsidRPr="00E47A79">
        <w:rPr>
          <w:rFonts w:ascii="Garamond" w:hAnsi="Garamond"/>
          <w:sz w:val="24"/>
          <w:szCs w:val="24"/>
        </w:rPr>
        <w:t>‘</w:t>
      </w:r>
      <w:r w:rsidR="005D7759" w:rsidRPr="00E47A79">
        <w:rPr>
          <w:rFonts w:ascii="Garamond" w:hAnsi="Garamond"/>
          <w:sz w:val="24"/>
          <w:szCs w:val="24"/>
        </w:rPr>
        <w:t>last resort</w:t>
      </w:r>
      <w:r w:rsidR="00EC7F29" w:rsidRPr="00E47A79">
        <w:rPr>
          <w:rFonts w:ascii="Garamond" w:hAnsi="Garamond"/>
          <w:sz w:val="24"/>
          <w:szCs w:val="24"/>
        </w:rPr>
        <w:t>’</w:t>
      </w:r>
      <w:r w:rsidR="005D7759" w:rsidRPr="00E47A79">
        <w:rPr>
          <w:rFonts w:ascii="Garamond" w:hAnsi="Garamond"/>
          <w:sz w:val="24"/>
          <w:szCs w:val="24"/>
        </w:rPr>
        <w:t xml:space="preserve"> and insufficient evidence of </w:t>
      </w:r>
      <w:r w:rsidR="00EC7F29" w:rsidRPr="00E47A79">
        <w:rPr>
          <w:rFonts w:ascii="Garamond" w:hAnsi="Garamond"/>
          <w:sz w:val="24"/>
          <w:szCs w:val="24"/>
        </w:rPr>
        <w:t>‘</w:t>
      </w:r>
      <w:r w:rsidR="005D7759" w:rsidRPr="00E47A79">
        <w:rPr>
          <w:rFonts w:ascii="Garamond" w:hAnsi="Garamond"/>
          <w:sz w:val="24"/>
          <w:szCs w:val="24"/>
        </w:rPr>
        <w:t>safety and efficacy</w:t>
      </w:r>
      <w:r w:rsidR="00EC7F29" w:rsidRPr="00E47A79">
        <w:rPr>
          <w:rFonts w:ascii="Garamond" w:hAnsi="Garamond"/>
          <w:sz w:val="24"/>
          <w:szCs w:val="24"/>
        </w:rPr>
        <w:t>’</w:t>
      </w:r>
      <w:r w:rsidR="005D7759" w:rsidRPr="00E47A79">
        <w:rPr>
          <w:rFonts w:ascii="Garamond" w:hAnsi="Garamond"/>
          <w:sz w:val="24"/>
          <w:szCs w:val="24"/>
        </w:rPr>
        <w:t xml:space="preserve">, which </w:t>
      </w:r>
      <w:r w:rsidR="00AD57E1" w:rsidRPr="00E47A79">
        <w:rPr>
          <w:rFonts w:ascii="Garamond" w:hAnsi="Garamond"/>
          <w:sz w:val="24"/>
          <w:szCs w:val="24"/>
        </w:rPr>
        <w:t xml:space="preserve">the author argues </w:t>
      </w:r>
      <w:r w:rsidR="005D7759" w:rsidRPr="00E47A79">
        <w:rPr>
          <w:rFonts w:ascii="Garamond" w:hAnsi="Garamond"/>
          <w:sz w:val="24"/>
          <w:szCs w:val="24"/>
        </w:rPr>
        <w:t>work together to convey an indeterminate threat of medico-legal ramifications. The</w:t>
      </w:r>
      <w:r w:rsidR="001141A0" w:rsidRPr="00E47A79">
        <w:rPr>
          <w:rFonts w:ascii="Garamond" w:hAnsi="Garamond"/>
          <w:sz w:val="24"/>
          <w:szCs w:val="24"/>
        </w:rPr>
        <w:t>se</w:t>
      </w:r>
      <w:r w:rsidR="005D7759" w:rsidRPr="00E47A79">
        <w:rPr>
          <w:rFonts w:ascii="Garamond" w:hAnsi="Garamond"/>
          <w:sz w:val="24"/>
          <w:szCs w:val="24"/>
        </w:rPr>
        <w:t xml:space="preserve"> three prominent boundary devices </w:t>
      </w:r>
      <w:r w:rsidR="00D84794">
        <w:rPr>
          <w:rFonts w:ascii="Garamond" w:hAnsi="Garamond"/>
          <w:sz w:val="24"/>
          <w:szCs w:val="24"/>
        </w:rPr>
        <w:t>will be</w:t>
      </w:r>
      <w:r w:rsidR="005D7759" w:rsidRPr="00E47A79">
        <w:rPr>
          <w:rFonts w:ascii="Garamond" w:hAnsi="Garamond"/>
          <w:sz w:val="24"/>
          <w:szCs w:val="24"/>
        </w:rPr>
        <w:t xml:space="preserve"> examined and key </w:t>
      </w:r>
      <w:r w:rsidR="00DE1BCB" w:rsidRPr="00E47A79">
        <w:rPr>
          <w:rFonts w:ascii="Garamond" w:hAnsi="Garamond"/>
          <w:sz w:val="24"/>
          <w:szCs w:val="24"/>
        </w:rPr>
        <w:t>points of tension</w:t>
      </w:r>
      <w:r w:rsidR="005D7759" w:rsidRPr="00E47A79">
        <w:rPr>
          <w:rFonts w:ascii="Garamond" w:hAnsi="Garamond"/>
          <w:sz w:val="24"/>
          <w:szCs w:val="24"/>
        </w:rPr>
        <w:t xml:space="preserve"> in the guidance </w:t>
      </w:r>
      <w:r w:rsidR="00F6077B" w:rsidRPr="00E47A79">
        <w:rPr>
          <w:rFonts w:ascii="Garamond" w:hAnsi="Garamond"/>
          <w:sz w:val="24"/>
          <w:szCs w:val="24"/>
        </w:rPr>
        <w:t>highlight</w:t>
      </w:r>
      <w:r w:rsidR="005D7759" w:rsidRPr="00E47A79">
        <w:rPr>
          <w:rFonts w:ascii="Garamond" w:hAnsi="Garamond"/>
          <w:sz w:val="24"/>
          <w:szCs w:val="24"/>
        </w:rPr>
        <w:t>ed</w:t>
      </w:r>
      <w:r w:rsidR="00D84794">
        <w:rPr>
          <w:rFonts w:ascii="Garamond" w:hAnsi="Garamond"/>
          <w:sz w:val="24"/>
          <w:szCs w:val="24"/>
        </w:rPr>
        <w:t xml:space="preserve"> in the pages that follow. First, however,</w:t>
      </w:r>
      <w:r w:rsidR="00CB5ED9" w:rsidRPr="00E47A79">
        <w:rPr>
          <w:rFonts w:ascii="Garamond" w:hAnsi="Garamond"/>
          <w:sz w:val="24"/>
          <w:szCs w:val="24"/>
        </w:rPr>
        <w:t xml:space="preserve"> the</w:t>
      </w:r>
      <w:r w:rsidR="00126966">
        <w:rPr>
          <w:rFonts w:ascii="Garamond" w:hAnsi="Garamond"/>
          <w:sz w:val="24"/>
          <w:szCs w:val="24"/>
        </w:rPr>
        <w:t xml:space="preserve"> boundary</w:t>
      </w:r>
      <w:r w:rsidR="00CB5ED9" w:rsidRPr="00E47A79">
        <w:rPr>
          <w:rFonts w:ascii="Garamond" w:hAnsi="Garamond"/>
          <w:sz w:val="24"/>
          <w:szCs w:val="24"/>
        </w:rPr>
        <w:t xml:space="preserve"> between publicly funded and privately funded care</w:t>
      </w:r>
      <w:r w:rsidR="00D84794">
        <w:rPr>
          <w:rFonts w:ascii="Garamond" w:hAnsi="Garamond"/>
          <w:sz w:val="24"/>
          <w:szCs w:val="24"/>
        </w:rPr>
        <w:t xml:space="preserve"> is scrutinised</w:t>
      </w:r>
      <w:r w:rsidR="00126966">
        <w:rPr>
          <w:rFonts w:ascii="Garamond" w:hAnsi="Garamond"/>
          <w:sz w:val="24"/>
          <w:szCs w:val="24"/>
        </w:rPr>
        <w:t>, as it is this boundary which possibly represents the most fundamental barrier to increased access to medicinal cannabis</w:t>
      </w:r>
      <w:r w:rsidR="005D7759" w:rsidRPr="00E47A79">
        <w:rPr>
          <w:rFonts w:ascii="Garamond" w:hAnsi="Garamond"/>
          <w:sz w:val="24"/>
          <w:szCs w:val="24"/>
        </w:rPr>
        <w:t xml:space="preserve">. </w:t>
      </w:r>
    </w:p>
    <w:p w14:paraId="10690A87" w14:textId="2E7E661A" w:rsidR="006A6C78" w:rsidRPr="00E47A79" w:rsidRDefault="006A6C78" w:rsidP="00A601B9">
      <w:pPr>
        <w:spacing w:line="360" w:lineRule="auto"/>
        <w:rPr>
          <w:rFonts w:ascii="Garamond" w:hAnsi="Garamond"/>
          <w:sz w:val="24"/>
          <w:szCs w:val="24"/>
        </w:rPr>
      </w:pPr>
    </w:p>
    <w:p w14:paraId="5CFE2D2B" w14:textId="15C67962" w:rsidR="00AD1322" w:rsidRPr="00E47A79" w:rsidRDefault="004D1917" w:rsidP="00A601B9">
      <w:pPr>
        <w:spacing w:line="360" w:lineRule="auto"/>
        <w:jc w:val="center"/>
        <w:rPr>
          <w:rFonts w:ascii="Garamond" w:hAnsi="Garamond"/>
          <w:i/>
          <w:iCs/>
          <w:sz w:val="24"/>
          <w:szCs w:val="24"/>
        </w:rPr>
      </w:pPr>
      <w:r w:rsidRPr="00E47A79">
        <w:rPr>
          <w:rFonts w:ascii="Garamond" w:hAnsi="Garamond"/>
          <w:i/>
          <w:iCs/>
          <w:sz w:val="24"/>
          <w:szCs w:val="24"/>
        </w:rPr>
        <w:lastRenderedPageBreak/>
        <w:t xml:space="preserve">A. </w:t>
      </w:r>
      <w:r w:rsidR="00AD1322" w:rsidRPr="00E47A79">
        <w:rPr>
          <w:rFonts w:ascii="Garamond" w:hAnsi="Garamond"/>
          <w:i/>
          <w:iCs/>
          <w:sz w:val="24"/>
          <w:szCs w:val="24"/>
        </w:rPr>
        <w:t>The NHS/Private Health Care Boundary: a two-tier system</w:t>
      </w:r>
    </w:p>
    <w:p w14:paraId="69500EF8" w14:textId="4A080DBE" w:rsidR="00AD1322" w:rsidRPr="00E47A79" w:rsidRDefault="00244B8D" w:rsidP="00A601B9">
      <w:pPr>
        <w:spacing w:line="360" w:lineRule="auto"/>
        <w:rPr>
          <w:rFonts w:ascii="Garamond" w:hAnsi="Garamond"/>
          <w:sz w:val="24"/>
          <w:szCs w:val="24"/>
        </w:rPr>
      </w:pPr>
      <w:r w:rsidRPr="00E47A79">
        <w:rPr>
          <w:rFonts w:ascii="Garamond" w:hAnsi="Garamond"/>
          <w:sz w:val="24"/>
          <w:szCs w:val="24"/>
        </w:rPr>
        <w:t xml:space="preserve">The NHS/private health care boundary is hugely significant in medicinal cannabis </w:t>
      </w:r>
      <w:proofErr w:type="gramStart"/>
      <w:r w:rsidRPr="00E47A79">
        <w:rPr>
          <w:rFonts w:ascii="Garamond" w:hAnsi="Garamond"/>
          <w:sz w:val="24"/>
          <w:szCs w:val="24"/>
        </w:rPr>
        <w:t>prescribing,</w:t>
      </w:r>
      <w:r w:rsidR="00351B7D" w:rsidRPr="00E47A79">
        <w:rPr>
          <w:rFonts w:ascii="Garamond" w:hAnsi="Garamond"/>
          <w:sz w:val="24"/>
          <w:szCs w:val="24"/>
        </w:rPr>
        <w:t xml:space="preserve"> and</w:t>
      </w:r>
      <w:proofErr w:type="gramEnd"/>
      <w:r w:rsidR="00351B7D" w:rsidRPr="00E47A79">
        <w:rPr>
          <w:rFonts w:ascii="Garamond" w:hAnsi="Garamond"/>
          <w:sz w:val="24"/>
          <w:szCs w:val="24"/>
        </w:rPr>
        <w:t xml:space="preserve"> represents the next frontier for </w:t>
      </w:r>
      <w:r w:rsidR="00F6077B" w:rsidRPr="00E47A79">
        <w:rPr>
          <w:rFonts w:ascii="Garamond" w:hAnsi="Garamond"/>
          <w:sz w:val="24"/>
          <w:szCs w:val="24"/>
        </w:rPr>
        <w:t>patient</w:t>
      </w:r>
      <w:r w:rsidR="00351B7D" w:rsidRPr="00E47A79">
        <w:rPr>
          <w:rFonts w:ascii="Garamond" w:hAnsi="Garamond"/>
          <w:sz w:val="24"/>
          <w:szCs w:val="24"/>
        </w:rPr>
        <w:t xml:space="preserve"> activism. Thus far, p</w:t>
      </w:r>
      <w:r w:rsidRPr="00E47A79">
        <w:rPr>
          <w:rFonts w:ascii="Garamond" w:hAnsi="Garamond"/>
          <w:sz w:val="24"/>
          <w:szCs w:val="24"/>
        </w:rPr>
        <w:t xml:space="preserve">rescriptions </w:t>
      </w:r>
      <w:r w:rsidR="00351B7D" w:rsidRPr="00E47A79">
        <w:rPr>
          <w:rFonts w:ascii="Garamond" w:hAnsi="Garamond"/>
          <w:sz w:val="24"/>
          <w:szCs w:val="24"/>
        </w:rPr>
        <w:t xml:space="preserve">have </w:t>
      </w:r>
      <w:r w:rsidR="00086CA4" w:rsidRPr="00E47A79">
        <w:rPr>
          <w:rFonts w:ascii="Garamond" w:hAnsi="Garamond"/>
          <w:sz w:val="24"/>
          <w:szCs w:val="24"/>
        </w:rPr>
        <w:t>occur</w:t>
      </w:r>
      <w:r w:rsidR="00351B7D" w:rsidRPr="00E47A79">
        <w:rPr>
          <w:rFonts w:ascii="Garamond" w:hAnsi="Garamond"/>
          <w:sz w:val="24"/>
          <w:szCs w:val="24"/>
        </w:rPr>
        <w:t>red</w:t>
      </w:r>
      <w:r w:rsidR="00086CA4" w:rsidRPr="00E47A79">
        <w:rPr>
          <w:rFonts w:ascii="Garamond" w:hAnsi="Garamond"/>
          <w:sz w:val="24"/>
          <w:szCs w:val="24"/>
        </w:rPr>
        <w:t xml:space="preserve"> largely</w:t>
      </w:r>
      <w:r w:rsidR="00AD1322" w:rsidRPr="00E47A79">
        <w:rPr>
          <w:rFonts w:ascii="Garamond" w:hAnsi="Garamond"/>
          <w:sz w:val="24"/>
          <w:szCs w:val="24"/>
        </w:rPr>
        <w:t xml:space="preserve"> in the p</w:t>
      </w:r>
      <w:r w:rsidR="001141A0" w:rsidRPr="00E47A79">
        <w:rPr>
          <w:rFonts w:ascii="Garamond" w:hAnsi="Garamond"/>
          <w:sz w:val="24"/>
          <w:szCs w:val="24"/>
        </w:rPr>
        <w:t xml:space="preserve">rivate </w:t>
      </w:r>
      <w:r w:rsidR="00AD1322" w:rsidRPr="00E47A79">
        <w:rPr>
          <w:rFonts w:ascii="Garamond" w:hAnsi="Garamond"/>
          <w:sz w:val="24"/>
          <w:szCs w:val="24"/>
        </w:rPr>
        <w:t>sector</w:t>
      </w:r>
      <w:r w:rsidR="00086CA4" w:rsidRPr="00E47A79">
        <w:rPr>
          <w:rFonts w:ascii="Garamond" w:hAnsi="Garamond"/>
          <w:sz w:val="24"/>
          <w:szCs w:val="24"/>
        </w:rPr>
        <w:t xml:space="preserve"> and NHS prescribing </w:t>
      </w:r>
      <w:r w:rsidR="00351B7D" w:rsidRPr="00E47A79">
        <w:rPr>
          <w:rFonts w:ascii="Garamond" w:hAnsi="Garamond"/>
          <w:sz w:val="24"/>
          <w:szCs w:val="24"/>
        </w:rPr>
        <w:t xml:space="preserve">has </w:t>
      </w:r>
      <w:r w:rsidR="00EC7F29" w:rsidRPr="00E47A79">
        <w:rPr>
          <w:rFonts w:ascii="Garamond" w:hAnsi="Garamond"/>
          <w:sz w:val="24"/>
          <w:szCs w:val="24"/>
        </w:rPr>
        <w:t>be</w:t>
      </w:r>
      <w:r w:rsidR="00351B7D" w:rsidRPr="00E47A79">
        <w:rPr>
          <w:rFonts w:ascii="Garamond" w:hAnsi="Garamond"/>
          <w:sz w:val="24"/>
          <w:szCs w:val="24"/>
        </w:rPr>
        <w:t>en</w:t>
      </w:r>
      <w:r w:rsidR="00086CA4" w:rsidRPr="00E47A79">
        <w:rPr>
          <w:rFonts w:ascii="Garamond" w:hAnsi="Garamond"/>
          <w:sz w:val="24"/>
          <w:szCs w:val="24"/>
        </w:rPr>
        <w:t xml:space="preserve"> virtually non-existent</w:t>
      </w:r>
      <w:r w:rsidR="006B286C" w:rsidRPr="00E47A79">
        <w:rPr>
          <w:rFonts w:ascii="Garamond" w:hAnsi="Garamond"/>
          <w:sz w:val="24"/>
          <w:szCs w:val="24"/>
        </w:rPr>
        <w:t>.</w:t>
      </w:r>
      <w:r w:rsidR="00AD1322" w:rsidRPr="00E47A79">
        <w:rPr>
          <w:rFonts w:ascii="Garamond" w:hAnsi="Garamond"/>
          <w:sz w:val="24"/>
          <w:szCs w:val="24"/>
          <w:vertAlign w:val="superscript"/>
        </w:rPr>
        <w:footnoteReference w:id="91"/>
      </w:r>
      <w:r w:rsidR="00D932E6" w:rsidRPr="00E47A79">
        <w:rPr>
          <w:rFonts w:ascii="Garamond" w:hAnsi="Garamond"/>
          <w:sz w:val="24"/>
          <w:szCs w:val="24"/>
        </w:rPr>
        <w:t xml:space="preserve"> </w:t>
      </w:r>
      <w:r w:rsidR="00AD1322" w:rsidRPr="00E47A79">
        <w:rPr>
          <w:rFonts w:ascii="Garamond" w:hAnsi="Garamond"/>
          <w:sz w:val="24"/>
          <w:szCs w:val="24"/>
        </w:rPr>
        <w:t>Th</w:t>
      </w:r>
      <w:r w:rsidR="00351B7D" w:rsidRPr="00E47A79">
        <w:rPr>
          <w:rFonts w:ascii="Garamond" w:hAnsi="Garamond"/>
          <w:sz w:val="24"/>
          <w:szCs w:val="24"/>
        </w:rPr>
        <w:t xml:space="preserve">e </w:t>
      </w:r>
      <w:r w:rsidR="00FC7093" w:rsidRPr="00E47A79">
        <w:rPr>
          <w:rFonts w:ascii="Garamond" w:hAnsi="Garamond"/>
          <w:sz w:val="24"/>
          <w:szCs w:val="24"/>
        </w:rPr>
        <w:t>scarcity of publicly funded prescription</w:t>
      </w:r>
      <w:r w:rsidR="00275FA6" w:rsidRPr="00E47A79">
        <w:rPr>
          <w:rFonts w:ascii="Garamond" w:hAnsi="Garamond"/>
          <w:sz w:val="24"/>
          <w:szCs w:val="24"/>
        </w:rPr>
        <w:t>s</w:t>
      </w:r>
      <w:r w:rsidR="00AD1322" w:rsidRPr="00E47A79">
        <w:rPr>
          <w:rFonts w:ascii="Garamond" w:hAnsi="Garamond"/>
          <w:sz w:val="24"/>
          <w:szCs w:val="24"/>
        </w:rPr>
        <w:t xml:space="preserve"> is likely </w:t>
      </w:r>
      <w:r w:rsidR="000377B8" w:rsidRPr="00E47A79">
        <w:rPr>
          <w:rFonts w:ascii="Garamond" w:hAnsi="Garamond"/>
          <w:sz w:val="24"/>
          <w:szCs w:val="24"/>
        </w:rPr>
        <w:t>(</w:t>
      </w:r>
      <w:r w:rsidR="00AD1322" w:rsidRPr="00E47A79">
        <w:rPr>
          <w:rFonts w:ascii="Garamond" w:hAnsi="Garamond"/>
          <w:sz w:val="24"/>
          <w:szCs w:val="24"/>
        </w:rPr>
        <w:t>a</w:t>
      </w:r>
      <w:r w:rsidR="008E5C4B" w:rsidRPr="00E47A79">
        <w:rPr>
          <w:rFonts w:ascii="Garamond" w:hAnsi="Garamond"/>
          <w:sz w:val="24"/>
          <w:szCs w:val="24"/>
        </w:rPr>
        <w:t>t least in part</w:t>
      </w:r>
      <w:r w:rsidR="000377B8" w:rsidRPr="00E47A79">
        <w:rPr>
          <w:rFonts w:ascii="Garamond" w:hAnsi="Garamond"/>
          <w:sz w:val="24"/>
          <w:szCs w:val="24"/>
        </w:rPr>
        <w:t>)</w:t>
      </w:r>
      <w:r w:rsidR="008E5C4B" w:rsidRPr="00E47A79">
        <w:rPr>
          <w:rFonts w:ascii="Garamond" w:hAnsi="Garamond"/>
          <w:sz w:val="24"/>
          <w:szCs w:val="24"/>
        </w:rPr>
        <w:t xml:space="preserve"> a</w:t>
      </w:r>
      <w:r w:rsidR="00AD1322" w:rsidRPr="00E47A79">
        <w:rPr>
          <w:rFonts w:ascii="Garamond" w:hAnsi="Garamond"/>
          <w:sz w:val="24"/>
          <w:szCs w:val="24"/>
        </w:rPr>
        <w:t xml:space="preserve"> result of:  i) the impact of the </w:t>
      </w:r>
      <w:r w:rsidR="00DB513E" w:rsidRPr="00E47A79">
        <w:rPr>
          <w:rFonts w:ascii="Garamond" w:hAnsi="Garamond"/>
          <w:sz w:val="24"/>
          <w:szCs w:val="24"/>
        </w:rPr>
        <w:t xml:space="preserve">2019 </w:t>
      </w:r>
      <w:r w:rsidR="00AD1322" w:rsidRPr="00E47A79">
        <w:rPr>
          <w:rFonts w:ascii="Garamond" w:hAnsi="Garamond"/>
          <w:sz w:val="24"/>
          <w:szCs w:val="24"/>
        </w:rPr>
        <w:t>NICE guideline</w:t>
      </w:r>
      <w:r w:rsidR="00086CA4" w:rsidRPr="00E47A79">
        <w:rPr>
          <w:rFonts w:ascii="Garamond" w:hAnsi="Garamond"/>
          <w:sz w:val="24"/>
          <w:szCs w:val="24"/>
        </w:rPr>
        <w:t xml:space="preserve"> </w:t>
      </w:r>
      <w:r w:rsidR="00AD1322" w:rsidRPr="00E47A79">
        <w:rPr>
          <w:rFonts w:ascii="Garamond" w:hAnsi="Garamond"/>
          <w:sz w:val="24"/>
          <w:szCs w:val="24"/>
        </w:rPr>
        <w:t>and ii) the fact that in the NHS, a specialist’s prescription of an unlicensed CBMP must still be approved by local governance arrangements, usually a prescribing group within the NHS trust or Clinical Commissioning Group (CCG).</w:t>
      </w:r>
      <w:r w:rsidR="00AD1322" w:rsidRPr="00E47A79">
        <w:rPr>
          <w:rFonts w:ascii="Garamond" w:hAnsi="Garamond"/>
          <w:sz w:val="24"/>
          <w:szCs w:val="24"/>
          <w:vertAlign w:val="superscript"/>
        </w:rPr>
        <w:footnoteReference w:id="92"/>
      </w:r>
      <w:r w:rsidR="00AD1322" w:rsidRPr="00E47A79">
        <w:rPr>
          <w:rFonts w:ascii="Garamond" w:hAnsi="Garamond"/>
          <w:sz w:val="24"/>
          <w:szCs w:val="24"/>
        </w:rPr>
        <w:t xml:space="preserve"> </w:t>
      </w:r>
    </w:p>
    <w:p w14:paraId="35948964" w14:textId="3760869C" w:rsidR="00AD1322" w:rsidRPr="00E47A79" w:rsidRDefault="00E52403" w:rsidP="00A601B9">
      <w:pPr>
        <w:spacing w:line="360" w:lineRule="auto"/>
        <w:rPr>
          <w:rFonts w:ascii="Garamond" w:hAnsi="Garamond"/>
          <w:sz w:val="24"/>
          <w:szCs w:val="24"/>
        </w:rPr>
      </w:pPr>
      <w:r w:rsidRPr="00E47A79">
        <w:rPr>
          <w:rFonts w:ascii="Garamond" w:hAnsi="Garamond"/>
          <w:i/>
          <w:iCs/>
          <w:sz w:val="24"/>
          <w:szCs w:val="24"/>
        </w:rPr>
        <w:t>The NICE Guideline</w:t>
      </w:r>
    </w:p>
    <w:p w14:paraId="1131B453" w14:textId="43E78E3B" w:rsidR="00F817BE" w:rsidRPr="00E47A79" w:rsidRDefault="00244B8D" w:rsidP="00A601B9">
      <w:pPr>
        <w:spacing w:line="360" w:lineRule="auto"/>
        <w:rPr>
          <w:rFonts w:ascii="Garamond" w:hAnsi="Garamond"/>
          <w:sz w:val="24"/>
          <w:szCs w:val="24"/>
        </w:rPr>
      </w:pPr>
      <w:r w:rsidRPr="00E47A79">
        <w:rPr>
          <w:rFonts w:ascii="Garamond" w:hAnsi="Garamond"/>
          <w:sz w:val="24"/>
          <w:szCs w:val="24"/>
        </w:rPr>
        <w:t>For those working in the NHS, guidance from NICE has special status when it comes to the standard of care.</w:t>
      </w:r>
      <w:r w:rsidRPr="00E47A79">
        <w:rPr>
          <w:rFonts w:ascii="Garamond" w:hAnsi="Garamond"/>
          <w:sz w:val="24"/>
          <w:szCs w:val="24"/>
          <w:vertAlign w:val="superscript"/>
        </w:rPr>
        <w:footnoteReference w:id="93"/>
      </w:r>
      <w:r w:rsidR="00CB7A0F" w:rsidRPr="00E47A79">
        <w:rPr>
          <w:rFonts w:ascii="Garamond" w:hAnsi="Garamond"/>
          <w:sz w:val="24"/>
          <w:szCs w:val="24"/>
        </w:rPr>
        <w:t xml:space="preserve"> </w:t>
      </w:r>
      <w:r w:rsidR="00E52403" w:rsidRPr="00E47A79">
        <w:rPr>
          <w:rFonts w:ascii="Garamond" w:hAnsi="Garamond"/>
          <w:sz w:val="24"/>
          <w:szCs w:val="24"/>
        </w:rPr>
        <w:t>The NICE guideline</w:t>
      </w:r>
      <w:r w:rsidR="0059287D" w:rsidRPr="00E47A79">
        <w:rPr>
          <w:rFonts w:ascii="Garamond" w:hAnsi="Garamond"/>
          <w:sz w:val="24"/>
          <w:szCs w:val="24"/>
        </w:rPr>
        <w:t xml:space="preserve"> on</w:t>
      </w:r>
      <w:r w:rsidR="00E52403" w:rsidRPr="00E47A79">
        <w:rPr>
          <w:rFonts w:ascii="Garamond" w:hAnsi="Garamond"/>
          <w:sz w:val="24"/>
          <w:szCs w:val="24"/>
        </w:rPr>
        <w:t xml:space="preserve"> </w:t>
      </w:r>
      <w:r w:rsidR="00275FA6" w:rsidRPr="00E47A79">
        <w:rPr>
          <w:rFonts w:ascii="Garamond" w:hAnsi="Garamond"/>
          <w:sz w:val="24"/>
          <w:szCs w:val="24"/>
        </w:rPr>
        <w:t xml:space="preserve">CBMPs </w:t>
      </w:r>
      <w:r w:rsidR="00E52403" w:rsidRPr="00E47A79">
        <w:rPr>
          <w:rFonts w:ascii="Garamond" w:hAnsi="Garamond"/>
          <w:sz w:val="24"/>
          <w:szCs w:val="24"/>
        </w:rPr>
        <w:t>was published in November 2019</w:t>
      </w:r>
      <w:r w:rsidR="00E52403" w:rsidRPr="00E47A79">
        <w:rPr>
          <w:rFonts w:ascii="Garamond" w:hAnsi="Garamond"/>
          <w:sz w:val="24"/>
          <w:szCs w:val="24"/>
          <w:vertAlign w:val="superscript"/>
        </w:rPr>
        <w:footnoteReference w:id="94"/>
      </w:r>
      <w:r w:rsidR="00E52403" w:rsidRPr="00E47A79">
        <w:rPr>
          <w:rFonts w:ascii="Garamond" w:hAnsi="Garamond"/>
          <w:sz w:val="24"/>
          <w:szCs w:val="24"/>
        </w:rPr>
        <w:t xml:space="preserve"> and, whilst it endorses the medicinal value of</w:t>
      </w:r>
      <w:r w:rsidR="00275FA6" w:rsidRPr="00E47A79">
        <w:rPr>
          <w:rFonts w:ascii="Garamond" w:hAnsi="Garamond"/>
          <w:sz w:val="24"/>
          <w:szCs w:val="24"/>
        </w:rPr>
        <w:t xml:space="preserve"> cannabis </w:t>
      </w:r>
      <w:r w:rsidR="00E52403" w:rsidRPr="00E47A79">
        <w:rPr>
          <w:rFonts w:ascii="Garamond" w:hAnsi="Garamond"/>
          <w:sz w:val="24"/>
          <w:szCs w:val="24"/>
        </w:rPr>
        <w:t>for some conditions, it does so in very narrow terms</w:t>
      </w:r>
      <w:r w:rsidR="002F486F" w:rsidRPr="00E47A79">
        <w:rPr>
          <w:rFonts w:ascii="Garamond" w:hAnsi="Garamond"/>
          <w:sz w:val="24"/>
          <w:szCs w:val="24"/>
        </w:rPr>
        <w:t>.</w:t>
      </w:r>
      <w:r w:rsidR="00E52403" w:rsidRPr="00E47A79">
        <w:rPr>
          <w:rFonts w:ascii="Garamond" w:hAnsi="Garamond"/>
          <w:sz w:val="24"/>
          <w:szCs w:val="24"/>
        </w:rPr>
        <w:t xml:space="preserve"> </w:t>
      </w:r>
      <w:r w:rsidR="002F486F" w:rsidRPr="00E47A79">
        <w:rPr>
          <w:rFonts w:ascii="Garamond" w:hAnsi="Garamond"/>
          <w:sz w:val="24"/>
          <w:szCs w:val="24"/>
        </w:rPr>
        <w:t>E</w:t>
      </w:r>
      <w:r w:rsidR="00E52403" w:rsidRPr="00E47A79">
        <w:rPr>
          <w:rFonts w:ascii="Garamond" w:hAnsi="Garamond"/>
          <w:sz w:val="24"/>
          <w:szCs w:val="24"/>
        </w:rPr>
        <w:t xml:space="preserve">ssentially </w:t>
      </w:r>
      <w:r w:rsidR="002F486F" w:rsidRPr="00E47A79">
        <w:rPr>
          <w:rFonts w:ascii="Garamond" w:hAnsi="Garamond"/>
          <w:sz w:val="24"/>
          <w:szCs w:val="24"/>
        </w:rPr>
        <w:t xml:space="preserve">it </w:t>
      </w:r>
      <w:r w:rsidR="002C31B2" w:rsidRPr="00E47A79">
        <w:rPr>
          <w:rFonts w:ascii="Garamond" w:hAnsi="Garamond"/>
          <w:sz w:val="24"/>
          <w:szCs w:val="24"/>
        </w:rPr>
        <w:t xml:space="preserve">only </w:t>
      </w:r>
      <w:r w:rsidR="00E52403" w:rsidRPr="00E47A79">
        <w:rPr>
          <w:rFonts w:ascii="Garamond" w:hAnsi="Garamond"/>
          <w:sz w:val="24"/>
          <w:szCs w:val="24"/>
        </w:rPr>
        <w:t>enable</w:t>
      </w:r>
      <w:r w:rsidR="002C31B2" w:rsidRPr="00E47A79">
        <w:rPr>
          <w:rFonts w:ascii="Garamond" w:hAnsi="Garamond"/>
          <w:sz w:val="24"/>
          <w:szCs w:val="24"/>
        </w:rPr>
        <w:t>s</w:t>
      </w:r>
      <w:r w:rsidR="00E52403" w:rsidRPr="00E47A79">
        <w:rPr>
          <w:rFonts w:ascii="Garamond" w:hAnsi="Garamond"/>
          <w:sz w:val="24"/>
          <w:szCs w:val="24"/>
        </w:rPr>
        <w:t xml:space="preserve"> prescribing on the NHS for three </w:t>
      </w:r>
      <w:r w:rsidR="00D574B1" w:rsidRPr="00E47A79">
        <w:rPr>
          <w:rFonts w:ascii="Garamond" w:hAnsi="Garamond"/>
          <w:sz w:val="24"/>
          <w:szCs w:val="24"/>
        </w:rPr>
        <w:t>(</w:t>
      </w:r>
      <w:r w:rsidR="00E52403" w:rsidRPr="00E47A79">
        <w:rPr>
          <w:rFonts w:ascii="Garamond" w:hAnsi="Garamond"/>
          <w:sz w:val="24"/>
          <w:szCs w:val="24"/>
        </w:rPr>
        <w:t>already licensed</w:t>
      </w:r>
      <w:r w:rsidR="00D574B1" w:rsidRPr="00E47A79">
        <w:rPr>
          <w:rFonts w:ascii="Garamond" w:hAnsi="Garamond"/>
          <w:sz w:val="24"/>
          <w:szCs w:val="24"/>
        </w:rPr>
        <w:t>)</w:t>
      </w:r>
      <w:r w:rsidR="00E52403" w:rsidRPr="00E47A79">
        <w:rPr>
          <w:rFonts w:ascii="Garamond" w:hAnsi="Garamond"/>
          <w:sz w:val="24"/>
          <w:szCs w:val="24"/>
        </w:rPr>
        <w:t xml:space="preserve"> products</w:t>
      </w:r>
      <w:r w:rsidR="002F486F" w:rsidRPr="00E47A79">
        <w:rPr>
          <w:rStyle w:val="FootnoteReference"/>
          <w:rFonts w:ascii="Garamond" w:hAnsi="Garamond"/>
          <w:sz w:val="24"/>
          <w:szCs w:val="24"/>
        </w:rPr>
        <w:footnoteReference w:id="95"/>
      </w:r>
      <w:r w:rsidR="00E52403" w:rsidRPr="00E47A79">
        <w:rPr>
          <w:rFonts w:ascii="Garamond" w:hAnsi="Garamond"/>
          <w:sz w:val="24"/>
          <w:szCs w:val="24"/>
        </w:rPr>
        <w:t xml:space="preserve">: </w:t>
      </w:r>
    </w:p>
    <w:p w14:paraId="2CB65969" w14:textId="2BC990B8" w:rsidR="00F817BE" w:rsidRPr="00E47A79" w:rsidRDefault="00E52403" w:rsidP="00A601B9">
      <w:pPr>
        <w:spacing w:line="360" w:lineRule="auto"/>
        <w:rPr>
          <w:rFonts w:ascii="Garamond" w:hAnsi="Garamond"/>
          <w:sz w:val="24"/>
          <w:szCs w:val="24"/>
        </w:rPr>
      </w:pPr>
      <w:r w:rsidRPr="00E47A79">
        <w:rPr>
          <w:rFonts w:ascii="Garamond" w:hAnsi="Garamond"/>
          <w:sz w:val="24"/>
          <w:szCs w:val="24"/>
        </w:rPr>
        <w:t xml:space="preserve">i) </w:t>
      </w:r>
      <w:r w:rsidR="00F817BE" w:rsidRPr="00E47A79">
        <w:rPr>
          <w:rFonts w:ascii="Garamond" w:hAnsi="Garamond"/>
          <w:sz w:val="24"/>
          <w:szCs w:val="24"/>
        </w:rPr>
        <w:t xml:space="preserve">tetrahydrocannabinol (THC): cannabidiol (CBD) spray </w:t>
      </w:r>
      <w:r w:rsidR="007913EA" w:rsidRPr="00E47A79">
        <w:rPr>
          <w:rFonts w:ascii="Garamond" w:hAnsi="Garamond"/>
          <w:sz w:val="24"/>
          <w:szCs w:val="24"/>
        </w:rPr>
        <w:t xml:space="preserve">(currently Sativex®) </w:t>
      </w:r>
      <w:r w:rsidR="00F817BE" w:rsidRPr="00E47A79">
        <w:rPr>
          <w:rFonts w:ascii="Garamond" w:hAnsi="Garamond"/>
          <w:sz w:val="24"/>
          <w:szCs w:val="24"/>
        </w:rPr>
        <w:t>which should be ‘offered’ on a four</w:t>
      </w:r>
      <w:r w:rsidR="008C4DE5" w:rsidRPr="00E47A79">
        <w:rPr>
          <w:rFonts w:ascii="Garamond" w:hAnsi="Garamond"/>
          <w:sz w:val="24"/>
          <w:szCs w:val="24"/>
        </w:rPr>
        <w:t>-</w:t>
      </w:r>
      <w:r w:rsidR="00F817BE" w:rsidRPr="00E47A79">
        <w:rPr>
          <w:rFonts w:ascii="Garamond" w:hAnsi="Garamond"/>
          <w:sz w:val="24"/>
          <w:szCs w:val="24"/>
        </w:rPr>
        <w:t xml:space="preserve">week trial basis for </w:t>
      </w:r>
      <w:r w:rsidRPr="00E47A79">
        <w:rPr>
          <w:rFonts w:ascii="Garamond" w:hAnsi="Garamond"/>
          <w:sz w:val="24"/>
          <w:szCs w:val="24"/>
        </w:rPr>
        <w:t>spasticity in multiple sclerosis</w:t>
      </w:r>
      <w:r w:rsidR="00F817BE" w:rsidRPr="00E47A79">
        <w:rPr>
          <w:rFonts w:ascii="Garamond" w:hAnsi="Garamond"/>
          <w:sz w:val="24"/>
          <w:szCs w:val="24"/>
        </w:rPr>
        <w:t>;</w:t>
      </w:r>
      <w:r w:rsidRPr="00E47A79">
        <w:rPr>
          <w:rFonts w:ascii="Garamond" w:hAnsi="Garamond"/>
          <w:sz w:val="24"/>
          <w:szCs w:val="24"/>
          <w:vertAlign w:val="superscript"/>
        </w:rPr>
        <w:footnoteReference w:id="96"/>
      </w:r>
    </w:p>
    <w:p w14:paraId="23F25FC6" w14:textId="7A902EB3" w:rsidR="00F817BE" w:rsidRPr="00E47A79" w:rsidRDefault="00E52403" w:rsidP="00A601B9">
      <w:pPr>
        <w:spacing w:line="360" w:lineRule="auto"/>
        <w:rPr>
          <w:rFonts w:ascii="Garamond" w:hAnsi="Garamond"/>
          <w:sz w:val="24"/>
          <w:szCs w:val="24"/>
        </w:rPr>
      </w:pPr>
      <w:r w:rsidRPr="00E47A79">
        <w:rPr>
          <w:rFonts w:ascii="Garamond" w:hAnsi="Garamond"/>
          <w:sz w:val="24"/>
          <w:szCs w:val="24"/>
        </w:rPr>
        <w:t xml:space="preserve">ii) </w:t>
      </w:r>
      <w:proofErr w:type="spellStart"/>
      <w:r w:rsidR="00F817BE" w:rsidRPr="00E47A79">
        <w:rPr>
          <w:rFonts w:ascii="Garamond" w:hAnsi="Garamond"/>
          <w:sz w:val="24"/>
          <w:szCs w:val="24"/>
        </w:rPr>
        <w:t>Epidiolex</w:t>
      </w:r>
      <w:proofErr w:type="spellEnd"/>
      <w:r w:rsidR="007913EA" w:rsidRPr="00E47A79">
        <w:rPr>
          <w:rFonts w:ascii="Garamond" w:hAnsi="Garamond"/>
          <w:sz w:val="24"/>
          <w:szCs w:val="24"/>
        </w:rPr>
        <w:t>®</w:t>
      </w:r>
      <w:r w:rsidR="00F817BE" w:rsidRPr="00E47A79">
        <w:rPr>
          <w:rFonts w:ascii="Garamond" w:hAnsi="Garamond"/>
          <w:sz w:val="24"/>
          <w:szCs w:val="24"/>
        </w:rPr>
        <w:t xml:space="preserve"> which should be recommended </w:t>
      </w:r>
      <w:r w:rsidRPr="00E47A79">
        <w:rPr>
          <w:rFonts w:ascii="Garamond" w:hAnsi="Garamond"/>
          <w:sz w:val="24"/>
          <w:szCs w:val="24"/>
        </w:rPr>
        <w:t xml:space="preserve">for two rare forms of treatment-resistant </w:t>
      </w:r>
      <w:proofErr w:type="gramStart"/>
      <w:r w:rsidRPr="00E47A79">
        <w:rPr>
          <w:rFonts w:ascii="Garamond" w:hAnsi="Garamond"/>
          <w:sz w:val="24"/>
          <w:szCs w:val="24"/>
        </w:rPr>
        <w:t>epilepsy</w:t>
      </w:r>
      <w:r w:rsidR="00F817BE" w:rsidRPr="00E47A79">
        <w:rPr>
          <w:rFonts w:ascii="Garamond" w:hAnsi="Garamond"/>
          <w:sz w:val="24"/>
          <w:szCs w:val="24"/>
        </w:rPr>
        <w:t>;</w:t>
      </w:r>
      <w:proofErr w:type="gramEnd"/>
      <w:r w:rsidRPr="00E47A79">
        <w:rPr>
          <w:rFonts w:ascii="Garamond" w:hAnsi="Garamond"/>
          <w:sz w:val="24"/>
          <w:szCs w:val="24"/>
          <w:vertAlign w:val="superscript"/>
        </w:rPr>
        <w:footnoteReference w:id="97"/>
      </w:r>
      <w:r w:rsidRPr="00E47A79">
        <w:rPr>
          <w:rFonts w:ascii="Garamond" w:hAnsi="Garamond"/>
          <w:sz w:val="24"/>
          <w:szCs w:val="24"/>
        </w:rPr>
        <w:t xml:space="preserve"> and</w:t>
      </w:r>
    </w:p>
    <w:p w14:paraId="25313E53" w14:textId="3756F033" w:rsidR="00F817BE" w:rsidRPr="00E47A79" w:rsidRDefault="00E52403" w:rsidP="00A601B9">
      <w:pPr>
        <w:spacing w:line="360" w:lineRule="auto"/>
        <w:rPr>
          <w:rFonts w:ascii="Garamond" w:hAnsi="Garamond"/>
          <w:sz w:val="24"/>
          <w:szCs w:val="24"/>
        </w:rPr>
      </w:pPr>
      <w:r w:rsidRPr="00E47A79">
        <w:rPr>
          <w:rFonts w:ascii="Garamond" w:hAnsi="Garamond"/>
          <w:sz w:val="24"/>
          <w:szCs w:val="24"/>
        </w:rPr>
        <w:t xml:space="preserve"> iii) </w:t>
      </w:r>
      <w:r w:rsidR="00107026" w:rsidRPr="00E47A79">
        <w:rPr>
          <w:rFonts w:ascii="Garamond" w:hAnsi="Garamond"/>
          <w:sz w:val="24"/>
          <w:szCs w:val="24"/>
        </w:rPr>
        <w:t>N</w:t>
      </w:r>
      <w:r w:rsidR="00F817BE" w:rsidRPr="00E47A79">
        <w:rPr>
          <w:rFonts w:ascii="Garamond" w:hAnsi="Garamond"/>
          <w:sz w:val="24"/>
          <w:szCs w:val="24"/>
        </w:rPr>
        <w:t xml:space="preserve">abilone (the generic name for a synthetic cannabinoid), which should be ‘considered’ </w:t>
      </w:r>
      <w:r w:rsidRPr="00E47A79">
        <w:rPr>
          <w:rFonts w:ascii="Garamond" w:hAnsi="Garamond"/>
          <w:sz w:val="24"/>
          <w:szCs w:val="24"/>
        </w:rPr>
        <w:t>for the treatment of, and for adults with intractable nausea/vomiting associated with chemotherapy.</w:t>
      </w:r>
      <w:r w:rsidRPr="00E47A79">
        <w:rPr>
          <w:rFonts w:ascii="Garamond" w:hAnsi="Garamond"/>
          <w:sz w:val="24"/>
          <w:szCs w:val="24"/>
          <w:vertAlign w:val="superscript"/>
        </w:rPr>
        <w:footnoteReference w:id="98"/>
      </w:r>
    </w:p>
    <w:p w14:paraId="77D0DBE3" w14:textId="6A9F4D8D" w:rsidR="00D574B1" w:rsidRPr="00E47A79" w:rsidRDefault="005C400B" w:rsidP="00A601B9">
      <w:pPr>
        <w:spacing w:line="360" w:lineRule="auto"/>
        <w:rPr>
          <w:rFonts w:ascii="Garamond" w:hAnsi="Garamond"/>
          <w:sz w:val="24"/>
          <w:szCs w:val="24"/>
        </w:rPr>
      </w:pPr>
      <w:r w:rsidRPr="00E47A79">
        <w:rPr>
          <w:rFonts w:ascii="Garamond" w:hAnsi="Garamond"/>
          <w:sz w:val="24"/>
          <w:szCs w:val="24"/>
        </w:rPr>
        <w:lastRenderedPageBreak/>
        <w:t xml:space="preserve">Whilst prescribers in many countries clearly </w:t>
      </w:r>
      <w:r w:rsidRPr="00E47A79">
        <w:rPr>
          <w:rFonts w:ascii="Garamond" w:hAnsi="Garamond"/>
          <w:i/>
          <w:iCs/>
          <w:sz w:val="24"/>
          <w:szCs w:val="24"/>
        </w:rPr>
        <w:t>do</w:t>
      </w:r>
      <w:r w:rsidRPr="00E47A79">
        <w:rPr>
          <w:rFonts w:ascii="Garamond" w:hAnsi="Garamond"/>
          <w:sz w:val="24"/>
          <w:szCs w:val="24"/>
        </w:rPr>
        <w:t xml:space="preserve"> prescribe medicinal cannabis for chronic pain</w:t>
      </w:r>
      <w:r w:rsidRPr="00E47A79">
        <w:rPr>
          <w:rFonts w:ascii="Garamond" w:hAnsi="Garamond"/>
          <w:sz w:val="24"/>
          <w:szCs w:val="24"/>
          <w:vertAlign w:val="superscript"/>
        </w:rPr>
        <w:footnoteReference w:id="99"/>
      </w:r>
      <w:r w:rsidRPr="00E47A79">
        <w:rPr>
          <w:rFonts w:ascii="Garamond" w:hAnsi="Garamond"/>
          <w:sz w:val="24"/>
          <w:szCs w:val="24"/>
        </w:rPr>
        <w:t xml:space="preserve">, NICE steers prescribers away from considering this option, instructing </w:t>
      </w:r>
      <w:r w:rsidR="00E52403" w:rsidRPr="00E47A79">
        <w:rPr>
          <w:rFonts w:ascii="Garamond" w:hAnsi="Garamond"/>
          <w:sz w:val="24"/>
          <w:szCs w:val="24"/>
        </w:rPr>
        <w:t xml:space="preserve">doctors to ‘NOT offer’ </w:t>
      </w:r>
      <w:r w:rsidR="00CE63A5" w:rsidRPr="00E47A79">
        <w:rPr>
          <w:rFonts w:ascii="Garamond" w:hAnsi="Garamond"/>
          <w:sz w:val="24"/>
          <w:szCs w:val="24"/>
        </w:rPr>
        <w:t>unlicensed CBMPs</w:t>
      </w:r>
      <w:r w:rsidR="00E52403" w:rsidRPr="00E47A79">
        <w:rPr>
          <w:rFonts w:ascii="Garamond" w:hAnsi="Garamond"/>
          <w:sz w:val="24"/>
          <w:szCs w:val="24"/>
          <w:vertAlign w:val="superscript"/>
        </w:rPr>
        <w:footnoteReference w:id="100"/>
      </w:r>
      <w:r w:rsidR="00E52403" w:rsidRPr="00E47A79">
        <w:rPr>
          <w:rFonts w:ascii="Garamond" w:hAnsi="Garamond"/>
          <w:sz w:val="24"/>
          <w:szCs w:val="24"/>
        </w:rPr>
        <w:t xml:space="preserve"> and ‘NOT offer’ CBD for chronic pain in adults, unless as part of a controlled trial.</w:t>
      </w:r>
      <w:r w:rsidR="00E52403" w:rsidRPr="00E47A79">
        <w:rPr>
          <w:rFonts w:ascii="Garamond" w:hAnsi="Garamond"/>
          <w:sz w:val="24"/>
          <w:szCs w:val="24"/>
          <w:vertAlign w:val="superscript"/>
        </w:rPr>
        <w:footnoteReference w:id="101"/>
      </w:r>
      <w:r w:rsidR="00E52403" w:rsidRPr="00E47A79">
        <w:rPr>
          <w:rFonts w:ascii="Garamond" w:hAnsi="Garamond"/>
          <w:sz w:val="24"/>
          <w:szCs w:val="24"/>
        </w:rPr>
        <w:t xml:space="preserve"> The recommendation regarding chronic pain was based on there being ‘some evidence’ of ‘modest’ effectiveness</w:t>
      </w:r>
      <w:r w:rsidR="00E45E3E" w:rsidRPr="00E47A79">
        <w:rPr>
          <w:rStyle w:val="FootnoteReference"/>
          <w:rFonts w:ascii="Garamond" w:hAnsi="Garamond"/>
          <w:sz w:val="24"/>
          <w:szCs w:val="24"/>
        </w:rPr>
        <w:footnoteReference w:id="102"/>
      </w:r>
      <w:r w:rsidR="00E52403" w:rsidRPr="00E47A79">
        <w:rPr>
          <w:rFonts w:ascii="Garamond" w:hAnsi="Garamond"/>
          <w:sz w:val="24"/>
          <w:szCs w:val="24"/>
        </w:rPr>
        <w:t>, but given the large number of people who might benefit</w:t>
      </w:r>
      <w:r w:rsidR="000377B8" w:rsidRPr="00E47A79">
        <w:rPr>
          <w:rFonts w:ascii="Garamond" w:hAnsi="Garamond"/>
          <w:sz w:val="24"/>
          <w:szCs w:val="24"/>
        </w:rPr>
        <w:t xml:space="preserve"> (sic)</w:t>
      </w:r>
      <w:r w:rsidR="00E52403" w:rsidRPr="00E47A79">
        <w:rPr>
          <w:rFonts w:ascii="Garamond" w:hAnsi="Garamond"/>
          <w:sz w:val="24"/>
          <w:szCs w:val="24"/>
        </w:rPr>
        <w:t>, medicinal cannabis was not cost effective as a treatment option.</w:t>
      </w:r>
      <w:r w:rsidR="00E52403" w:rsidRPr="00E47A79">
        <w:rPr>
          <w:rFonts w:ascii="Garamond" w:hAnsi="Garamond"/>
          <w:sz w:val="24"/>
          <w:szCs w:val="24"/>
          <w:vertAlign w:val="superscript"/>
        </w:rPr>
        <w:footnoteReference w:id="103"/>
      </w:r>
      <w:r w:rsidR="00E52403" w:rsidRPr="00E47A79">
        <w:rPr>
          <w:rFonts w:ascii="Garamond" w:hAnsi="Garamond"/>
          <w:sz w:val="24"/>
          <w:szCs w:val="24"/>
        </w:rPr>
        <w:t xml:space="preserve"> </w:t>
      </w:r>
    </w:p>
    <w:p w14:paraId="741981E2" w14:textId="02D0EE16" w:rsidR="00E52403" w:rsidRPr="00E47A79" w:rsidRDefault="00E52403" w:rsidP="00A601B9">
      <w:pPr>
        <w:spacing w:line="360" w:lineRule="auto"/>
        <w:rPr>
          <w:rFonts w:ascii="Garamond" w:hAnsi="Garamond"/>
          <w:sz w:val="24"/>
          <w:szCs w:val="24"/>
        </w:rPr>
      </w:pPr>
      <w:r w:rsidRPr="00E47A79">
        <w:rPr>
          <w:rFonts w:ascii="Garamond" w:hAnsi="Garamond"/>
          <w:sz w:val="24"/>
          <w:szCs w:val="24"/>
        </w:rPr>
        <w:t>The prescribing guideline is very narrowly drawn</w:t>
      </w:r>
      <w:r w:rsidR="002C31B2" w:rsidRPr="00E47A79">
        <w:rPr>
          <w:rFonts w:ascii="Garamond" w:hAnsi="Garamond"/>
          <w:sz w:val="24"/>
          <w:szCs w:val="24"/>
        </w:rPr>
        <w:t>;</w:t>
      </w:r>
      <w:r w:rsidR="00640C9A" w:rsidRPr="00E47A79">
        <w:rPr>
          <w:rFonts w:ascii="Garamond" w:hAnsi="Garamond"/>
          <w:sz w:val="24"/>
          <w:szCs w:val="24"/>
        </w:rPr>
        <w:t xml:space="preserve"> </w:t>
      </w:r>
      <w:r w:rsidRPr="00E47A79">
        <w:rPr>
          <w:rFonts w:ascii="Garamond" w:hAnsi="Garamond"/>
          <w:sz w:val="24"/>
          <w:szCs w:val="24"/>
        </w:rPr>
        <w:t>virtually prohibit</w:t>
      </w:r>
      <w:r w:rsidR="002C31B2" w:rsidRPr="00E47A79">
        <w:rPr>
          <w:rFonts w:ascii="Garamond" w:hAnsi="Garamond"/>
          <w:sz w:val="24"/>
          <w:szCs w:val="24"/>
        </w:rPr>
        <w:t>ing</w:t>
      </w:r>
      <w:r w:rsidRPr="00E47A79">
        <w:rPr>
          <w:rFonts w:ascii="Garamond" w:hAnsi="Garamond"/>
          <w:sz w:val="24"/>
          <w:szCs w:val="24"/>
        </w:rPr>
        <w:t xml:space="preserve"> prescri</w:t>
      </w:r>
      <w:r w:rsidR="002C31B2" w:rsidRPr="00E47A79">
        <w:rPr>
          <w:rFonts w:ascii="Garamond" w:hAnsi="Garamond"/>
          <w:sz w:val="24"/>
          <w:szCs w:val="24"/>
        </w:rPr>
        <w:t>ption</w:t>
      </w:r>
      <w:r w:rsidRPr="00E47A79">
        <w:rPr>
          <w:rFonts w:ascii="Garamond" w:hAnsi="Garamond"/>
          <w:sz w:val="24"/>
          <w:szCs w:val="24"/>
        </w:rPr>
        <w:t xml:space="preserve"> of </w:t>
      </w:r>
      <w:r w:rsidR="00D574B1" w:rsidRPr="00E47A79">
        <w:rPr>
          <w:rFonts w:ascii="Garamond" w:hAnsi="Garamond"/>
          <w:sz w:val="24"/>
          <w:szCs w:val="24"/>
        </w:rPr>
        <w:t xml:space="preserve">unlicensed </w:t>
      </w:r>
      <w:r w:rsidRPr="00E47A79">
        <w:rPr>
          <w:rFonts w:ascii="Garamond" w:hAnsi="Garamond"/>
          <w:sz w:val="24"/>
          <w:szCs w:val="24"/>
        </w:rPr>
        <w:t>medicinal cannabis products</w:t>
      </w:r>
      <w:r w:rsidR="00D574B1" w:rsidRPr="00E47A79">
        <w:rPr>
          <w:rFonts w:ascii="Garamond" w:hAnsi="Garamond"/>
          <w:sz w:val="24"/>
          <w:szCs w:val="24"/>
        </w:rPr>
        <w:t xml:space="preserve">, </w:t>
      </w:r>
      <w:r w:rsidRPr="00E47A79">
        <w:rPr>
          <w:rFonts w:ascii="Garamond" w:hAnsi="Garamond"/>
          <w:sz w:val="24"/>
          <w:szCs w:val="24"/>
        </w:rPr>
        <w:t>and only endors</w:t>
      </w:r>
      <w:r w:rsidR="002C31B2" w:rsidRPr="00E47A79">
        <w:rPr>
          <w:rFonts w:ascii="Garamond" w:hAnsi="Garamond"/>
          <w:sz w:val="24"/>
          <w:szCs w:val="24"/>
        </w:rPr>
        <w:t>ing</w:t>
      </w:r>
      <w:r w:rsidRPr="00E47A79">
        <w:rPr>
          <w:rFonts w:ascii="Garamond" w:hAnsi="Garamond"/>
          <w:sz w:val="24"/>
          <w:szCs w:val="24"/>
        </w:rPr>
        <w:t xml:space="preserve"> the use of specific named</w:t>
      </w:r>
      <w:r w:rsidR="00806658" w:rsidRPr="00E47A79">
        <w:rPr>
          <w:rFonts w:ascii="Garamond" w:hAnsi="Garamond"/>
          <w:sz w:val="24"/>
          <w:szCs w:val="24"/>
        </w:rPr>
        <w:t>, licensed</w:t>
      </w:r>
      <w:r w:rsidRPr="00E47A79">
        <w:rPr>
          <w:rFonts w:ascii="Garamond" w:hAnsi="Garamond"/>
          <w:sz w:val="24"/>
          <w:szCs w:val="24"/>
        </w:rPr>
        <w:t xml:space="preserve"> products in relation to </w:t>
      </w:r>
      <w:r w:rsidR="00D574B1" w:rsidRPr="00E47A79">
        <w:rPr>
          <w:rFonts w:ascii="Garamond" w:hAnsi="Garamond"/>
          <w:sz w:val="24"/>
          <w:szCs w:val="24"/>
        </w:rPr>
        <w:t>four</w:t>
      </w:r>
      <w:r w:rsidRPr="00E47A79">
        <w:rPr>
          <w:rFonts w:ascii="Garamond" w:hAnsi="Garamond"/>
          <w:sz w:val="24"/>
          <w:szCs w:val="24"/>
        </w:rPr>
        <w:t xml:space="preserve"> very specific conditions. The recommendation in relation to spasticity </w:t>
      </w:r>
      <w:r w:rsidR="00D84794" w:rsidRPr="00D84794">
        <w:rPr>
          <w:rFonts w:ascii="Garamond" w:hAnsi="Garamond"/>
          <w:i/>
          <w:iCs/>
          <w:sz w:val="24"/>
          <w:szCs w:val="24"/>
        </w:rPr>
        <w:t xml:space="preserve">only </w:t>
      </w:r>
      <w:r w:rsidRPr="00E47A79">
        <w:rPr>
          <w:rFonts w:ascii="Garamond" w:hAnsi="Garamond"/>
          <w:sz w:val="24"/>
          <w:szCs w:val="24"/>
        </w:rPr>
        <w:t>in MS is of particular interest</w:t>
      </w:r>
      <w:r w:rsidR="005E3785" w:rsidRPr="00E47A79">
        <w:rPr>
          <w:rFonts w:ascii="Garamond" w:hAnsi="Garamond"/>
          <w:sz w:val="24"/>
          <w:szCs w:val="24"/>
        </w:rPr>
        <w:t>,</w:t>
      </w:r>
      <w:r w:rsidRPr="00E47A79">
        <w:rPr>
          <w:rFonts w:ascii="Garamond" w:hAnsi="Garamond"/>
          <w:sz w:val="24"/>
          <w:szCs w:val="24"/>
        </w:rPr>
        <w:t xml:space="preserve"> as many MS sufferers claim that Sativex</w:t>
      </w:r>
      <w:r w:rsidR="007913EA" w:rsidRPr="00E47A79">
        <w:rPr>
          <w:rFonts w:ascii="Garamond" w:hAnsi="Garamond"/>
          <w:sz w:val="24"/>
          <w:szCs w:val="24"/>
        </w:rPr>
        <w:t>®</w:t>
      </w:r>
      <w:r w:rsidRPr="00E47A79">
        <w:rPr>
          <w:rFonts w:ascii="Garamond" w:hAnsi="Garamond"/>
          <w:sz w:val="24"/>
          <w:szCs w:val="24"/>
        </w:rPr>
        <w:t xml:space="preserve"> helps with </w:t>
      </w:r>
      <w:r w:rsidR="005E3785" w:rsidRPr="00E47A79">
        <w:rPr>
          <w:rFonts w:ascii="Garamond" w:hAnsi="Garamond"/>
          <w:sz w:val="24"/>
          <w:szCs w:val="24"/>
        </w:rPr>
        <w:t xml:space="preserve">both </w:t>
      </w:r>
      <w:r w:rsidRPr="00E47A79">
        <w:rPr>
          <w:rFonts w:ascii="Garamond" w:hAnsi="Garamond"/>
          <w:sz w:val="24"/>
          <w:szCs w:val="24"/>
        </w:rPr>
        <w:t xml:space="preserve">their pain </w:t>
      </w:r>
      <w:r w:rsidRPr="00E47A79">
        <w:rPr>
          <w:rFonts w:ascii="Garamond" w:hAnsi="Garamond"/>
          <w:i/>
          <w:iCs/>
          <w:sz w:val="24"/>
          <w:szCs w:val="24"/>
        </w:rPr>
        <w:t xml:space="preserve">and </w:t>
      </w:r>
      <w:r w:rsidRPr="00E47A79">
        <w:rPr>
          <w:rFonts w:ascii="Garamond" w:hAnsi="Garamond"/>
          <w:sz w:val="24"/>
          <w:szCs w:val="24"/>
        </w:rPr>
        <w:t>spasticity.</w:t>
      </w:r>
      <w:r w:rsidR="000C554D" w:rsidRPr="00E47A79">
        <w:rPr>
          <w:rStyle w:val="FootnoteReference"/>
          <w:rFonts w:ascii="Garamond" w:hAnsi="Garamond"/>
          <w:sz w:val="24"/>
          <w:szCs w:val="24"/>
        </w:rPr>
        <w:footnoteReference w:id="104"/>
      </w:r>
      <w:r w:rsidRPr="00E47A79">
        <w:rPr>
          <w:rFonts w:ascii="Garamond" w:hAnsi="Garamond"/>
          <w:sz w:val="24"/>
          <w:szCs w:val="24"/>
        </w:rPr>
        <w:t xml:space="preserve"> Clearly, endorsing its use for pain in MS, would risk breaching the embargo on</w:t>
      </w:r>
      <w:r w:rsidR="006C3217" w:rsidRPr="00E47A79">
        <w:rPr>
          <w:rFonts w:ascii="Garamond" w:hAnsi="Garamond"/>
          <w:sz w:val="24"/>
          <w:szCs w:val="24"/>
        </w:rPr>
        <w:t xml:space="preserve"> the</w:t>
      </w:r>
      <w:r w:rsidRPr="00E47A79">
        <w:rPr>
          <w:rFonts w:ascii="Garamond" w:hAnsi="Garamond"/>
          <w:sz w:val="24"/>
          <w:szCs w:val="24"/>
        </w:rPr>
        <w:t xml:space="preserve"> use of medicinal cannabis for chronic pain</w:t>
      </w:r>
      <w:r w:rsidR="000C554D" w:rsidRPr="00E47A79">
        <w:rPr>
          <w:rFonts w:ascii="Garamond" w:hAnsi="Garamond"/>
          <w:sz w:val="24"/>
          <w:szCs w:val="24"/>
        </w:rPr>
        <w:t>,</w:t>
      </w:r>
      <w:r w:rsidRPr="00E47A79">
        <w:rPr>
          <w:rFonts w:ascii="Garamond" w:hAnsi="Garamond"/>
          <w:sz w:val="24"/>
          <w:szCs w:val="24"/>
        </w:rPr>
        <w:t xml:space="preserve"> </w:t>
      </w:r>
      <w:r w:rsidR="006C3217" w:rsidRPr="00E47A79">
        <w:rPr>
          <w:rFonts w:ascii="Garamond" w:hAnsi="Garamond"/>
          <w:sz w:val="24"/>
          <w:szCs w:val="24"/>
        </w:rPr>
        <w:t xml:space="preserve">and this </w:t>
      </w:r>
      <w:r w:rsidRPr="00E47A79">
        <w:rPr>
          <w:rFonts w:ascii="Garamond" w:hAnsi="Garamond"/>
          <w:sz w:val="24"/>
          <w:szCs w:val="24"/>
        </w:rPr>
        <w:t>artificial</w:t>
      </w:r>
      <w:r w:rsidR="005206E0" w:rsidRPr="00E47A79">
        <w:rPr>
          <w:rFonts w:ascii="Garamond" w:hAnsi="Garamond"/>
          <w:sz w:val="24"/>
          <w:szCs w:val="24"/>
        </w:rPr>
        <w:t xml:space="preserve"> distinction </w:t>
      </w:r>
      <w:r w:rsidR="006C3217" w:rsidRPr="00E47A79">
        <w:rPr>
          <w:rFonts w:ascii="Garamond" w:hAnsi="Garamond"/>
          <w:sz w:val="24"/>
          <w:szCs w:val="24"/>
        </w:rPr>
        <w:t xml:space="preserve">functions to </w:t>
      </w:r>
      <w:r w:rsidR="005206E0" w:rsidRPr="00E47A79">
        <w:rPr>
          <w:rFonts w:ascii="Garamond" w:hAnsi="Garamond"/>
          <w:sz w:val="24"/>
          <w:szCs w:val="24"/>
        </w:rPr>
        <w:t xml:space="preserve">preserve the </w:t>
      </w:r>
      <w:r w:rsidR="00E40F39" w:rsidRPr="00E47A79">
        <w:rPr>
          <w:rFonts w:ascii="Garamond" w:hAnsi="Garamond"/>
          <w:sz w:val="24"/>
          <w:szCs w:val="24"/>
        </w:rPr>
        <w:t>regulatory</w:t>
      </w:r>
      <w:r w:rsidRPr="00E47A79">
        <w:rPr>
          <w:rFonts w:ascii="Garamond" w:hAnsi="Garamond"/>
          <w:sz w:val="24"/>
          <w:szCs w:val="24"/>
        </w:rPr>
        <w:t xml:space="preserve"> boundary</w:t>
      </w:r>
      <w:r w:rsidR="005206E0" w:rsidRPr="00E47A79">
        <w:rPr>
          <w:rFonts w:ascii="Garamond" w:hAnsi="Garamond"/>
          <w:sz w:val="24"/>
          <w:szCs w:val="24"/>
        </w:rPr>
        <w:t xml:space="preserve"> between authorised use</w:t>
      </w:r>
      <w:r w:rsidR="00CB7807">
        <w:rPr>
          <w:rFonts w:ascii="Garamond" w:hAnsi="Garamond"/>
          <w:sz w:val="24"/>
          <w:szCs w:val="24"/>
        </w:rPr>
        <w:t xml:space="preserve"> (spasticity</w:t>
      </w:r>
      <w:r w:rsidR="005206E0" w:rsidRPr="00E47A79">
        <w:rPr>
          <w:rFonts w:ascii="Garamond" w:hAnsi="Garamond"/>
          <w:sz w:val="24"/>
          <w:szCs w:val="24"/>
        </w:rPr>
        <w:t>) and unauthorised use</w:t>
      </w:r>
      <w:r w:rsidR="00CB7807">
        <w:rPr>
          <w:rFonts w:ascii="Garamond" w:hAnsi="Garamond"/>
          <w:sz w:val="24"/>
          <w:szCs w:val="24"/>
        </w:rPr>
        <w:t xml:space="preserve"> (pain</w:t>
      </w:r>
      <w:r w:rsidR="005206E0" w:rsidRPr="00E47A79">
        <w:rPr>
          <w:rFonts w:ascii="Garamond" w:hAnsi="Garamond"/>
          <w:sz w:val="24"/>
          <w:szCs w:val="24"/>
        </w:rPr>
        <w:t>)</w:t>
      </w:r>
      <w:r w:rsidR="006C3217" w:rsidRPr="00E47A79">
        <w:rPr>
          <w:rFonts w:ascii="Garamond" w:hAnsi="Garamond"/>
          <w:sz w:val="24"/>
          <w:szCs w:val="24"/>
        </w:rPr>
        <w:t xml:space="preserve">. </w:t>
      </w:r>
    </w:p>
    <w:p w14:paraId="599192D4" w14:textId="5ABF09AC" w:rsidR="001A5B29" w:rsidRPr="00E47A79" w:rsidRDefault="001A5B29" w:rsidP="001A5B29">
      <w:pPr>
        <w:spacing w:line="360" w:lineRule="auto"/>
        <w:rPr>
          <w:rFonts w:ascii="Garamond" w:hAnsi="Garamond"/>
          <w:sz w:val="24"/>
          <w:szCs w:val="24"/>
        </w:rPr>
      </w:pPr>
      <w:r w:rsidRPr="00E47A79">
        <w:rPr>
          <w:rFonts w:ascii="Garamond" w:hAnsi="Garamond"/>
          <w:sz w:val="24"/>
          <w:szCs w:val="24"/>
        </w:rPr>
        <w:t xml:space="preserve">Whilst </w:t>
      </w:r>
      <w:r w:rsidR="00F01739" w:rsidRPr="00E47A79">
        <w:rPr>
          <w:rFonts w:ascii="Garamond" w:hAnsi="Garamond"/>
          <w:sz w:val="24"/>
          <w:szCs w:val="24"/>
        </w:rPr>
        <w:t xml:space="preserve">the </w:t>
      </w:r>
      <w:r w:rsidRPr="00E47A79">
        <w:rPr>
          <w:rFonts w:ascii="Garamond" w:hAnsi="Garamond"/>
          <w:sz w:val="24"/>
          <w:szCs w:val="24"/>
        </w:rPr>
        <w:t>prescribing</w:t>
      </w:r>
      <w:r w:rsidR="0059287D" w:rsidRPr="00E47A79">
        <w:rPr>
          <w:rFonts w:ascii="Garamond" w:hAnsi="Garamond"/>
          <w:sz w:val="24"/>
          <w:szCs w:val="24"/>
        </w:rPr>
        <w:t xml:space="preserve"> of unlicensed CBMPs</w:t>
      </w:r>
      <w:r w:rsidRPr="00E47A79">
        <w:rPr>
          <w:rFonts w:ascii="Garamond" w:hAnsi="Garamond"/>
          <w:sz w:val="24"/>
          <w:szCs w:val="24"/>
        </w:rPr>
        <w:t xml:space="preserve"> on the NHS is virtually non-existent, there are</w:t>
      </w:r>
      <w:r w:rsidR="00E223EF" w:rsidRPr="00E47A79">
        <w:rPr>
          <w:rFonts w:ascii="Garamond" w:hAnsi="Garamond"/>
          <w:sz w:val="24"/>
          <w:szCs w:val="24"/>
        </w:rPr>
        <w:t xml:space="preserve"> nevertheless</w:t>
      </w:r>
      <w:r w:rsidRPr="00E47A79">
        <w:rPr>
          <w:rFonts w:ascii="Garamond" w:hAnsi="Garamond"/>
          <w:sz w:val="24"/>
          <w:szCs w:val="24"/>
        </w:rPr>
        <w:t xml:space="preserve"> at least two means by which private prescribing might </w:t>
      </w:r>
      <w:r w:rsidR="00E223EF" w:rsidRPr="00E47A79">
        <w:rPr>
          <w:rFonts w:ascii="Garamond" w:hAnsi="Garamond"/>
          <w:sz w:val="24"/>
          <w:szCs w:val="24"/>
        </w:rPr>
        <w:t xml:space="preserve">ultimately </w:t>
      </w:r>
      <w:r w:rsidRPr="00E47A79">
        <w:rPr>
          <w:rFonts w:ascii="Garamond" w:hAnsi="Garamond"/>
          <w:sz w:val="24"/>
          <w:szCs w:val="24"/>
        </w:rPr>
        <w:t>‘spill over’ into the NHS: i) as experience builds in the private sector, consultants who are employed</w:t>
      </w:r>
      <w:r w:rsidR="00CB5ED9" w:rsidRPr="00E47A79">
        <w:rPr>
          <w:rFonts w:ascii="Garamond" w:hAnsi="Garamond"/>
          <w:sz w:val="24"/>
          <w:szCs w:val="24"/>
        </w:rPr>
        <w:t xml:space="preserve"> there</w:t>
      </w:r>
      <w:r w:rsidRPr="00E47A79">
        <w:rPr>
          <w:rFonts w:ascii="Garamond" w:hAnsi="Garamond"/>
          <w:sz w:val="24"/>
          <w:szCs w:val="24"/>
        </w:rPr>
        <w:t>, or specifically in medicinal cannabis clinics, frequently have NHS roles too</w:t>
      </w:r>
      <w:r w:rsidR="000C554D" w:rsidRPr="00E47A79">
        <w:rPr>
          <w:rFonts w:ascii="Garamond" w:hAnsi="Garamond"/>
          <w:sz w:val="24"/>
          <w:szCs w:val="24"/>
        </w:rPr>
        <w:t>,</w:t>
      </w:r>
      <w:r w:rsidRPr="00E47A79">
        <w:rPr>
          <w:rFonts w:ascii="Garamond" w:hAnsi="Garamond"/>
          <w:sz w:val="24"/>
          <w:szCs w:val="24"/>
          <w:vertAlign w:val="superscript"/>
        </w:rPr>
        <w:footnoteReference w:id="105"/>
      </w:r>
      <w:r w:rsidRPr="00E47A79">
        <w:rPr>
          <w:rFonts w:ascii="Garamond" w:hAnsi="Garamond"/>
          <w:sz w:val="24"/>
          <w:szCs w:val="24"/>
        </w:rPr>
        <w:t xml:space="preserve"> and over time their accumulated experience may</w:t>
      </w:r>
      <w:r w:rsidR="00E40F39" w:rsidRPr="00E47A79">
        <w:rPr>
          <w:rFonts w:ascii="Garamond" w:hAnsi="Garamond"/>
          <w:sz w:val="24"/>
          <w:szCs w:val="24"/>
        </w:rPr>
        <w:t xml:space="preserve"> mean that they</w:t>
      </w:r>
      <w:r w:rsidRPr="00E47A79">
        <w:rPr>
          <w:rFonts w:ascii="Garamond" w:hAnsi="Garamond"/>
          <w:sz w:val="24"/>
          <w:szCs w:val="24"/>
        </w:rPr>
        <w:t xml:space="preserve"> seek to prescribe in their NHS capacity</w:t>
      </w:r>
      <w:r w:rsidR="000C554D" w:rsidRPr="00E47A79">
        <w:rPr>
          <w:rFonts w:ascii="Garamond" w:hAnsi="Garamond"/>
          <w:sz w:val="24"/>
          <w:szCs w:val="24"/>
        </w:rPr>
        <w:t>;</w:t>
      </w:r>
      <w:r w:rsidRPr="00E47A79">
        <w:rPr>
          <w:rFonts w:ascii="Garamond" w:hAnsi="Garamond"/>
          <w:sz w:val="24"/>
          <w:szCs w:val="24"/>
        </w:rPr>
        <w:t xml:space="preserve"> and ii) a prescription might be initiated in private healthcare, but then be handed over to the NHS via ‘shared care’ arrangements.</w:t>
      </w:r>
      <w:r w:rsidRPr="00E47A79">
        <w:rPr>
          <w:rFonts w:ascii="Garamond" w:hAnsi="Garamond"/>
          <w:sz w:val="24"/>
          <w:szCs w:val="24"/>
          <w:vertAlign w:val="superscript"/>
        </w:rPr>
        <w:footnoteReference w:id="106"/>
      </w:r>
      <w:r w:rsidRPr="00E47A79">
        <w:rPr>
          <w:rFonts w:ascii="Garamond" w:hAnsi="Garamond"/>
          <w:sz w:val="24"/>
          <w:szCs w:val="24"/>
        </w:rPr>
        <w:t xml:space="preserve"> Under ‘shared care’, a patient who is doing well</w:t>
      </w:r>
      <w:r w:rsidR="0059287D" w:rsidRPr="00E47A79">
        <w:rPr>
          <w:rFonts w:ascii="Garamond" w:hAnsi="Garamond"/>
          <w:sz w:val="24"/>
          <w:szCs w:val="24"/>
        </w:rPr>
        <w:t xml:space="preserve"> on</w:t>
      </w:r>
      <w:r w:rsidRPr="00E47A79">
        <w:rPr>
          <w:rFonts w:ascii="Garamond" w:hAnsi="Garamond"/>
          <w:sz w:val="24"/>
          <w:szCs w:val="24"/>
        </w:rPr>
        <w:t xml:space="preserve"> a prescription of CBMPs may seek access to follow up services, including monitoring appointments or even further prescription, under the direction of the initial (probably private) prescriber, but locally with their GP.</w:t>
      </w:r>
      <w:r w:rsidRPr="00E47A79">
        <w:rPr>
          <w:rFonts w:ascii="Garamond" w:hAnsi="Garamond"/>
          <w:sz w:val="24"/>
          <w:szCs w:val="24"/>
          <w:vertAlign w:val="superscript"/>
        </w:rPr>
        <w:footnoteReference w:id="107"/>
      </w:r>
      <w:r w:rsidRPr="00E47A79">
        <w:rPr>
          <w:rFonts w:ascii="Garamond" w:hAnsi="Garamond"/>
          <w:sz w:val="24"/>
          <w:szCs w:val="24"/>
        </w:rPr>
        <w:t xml:space="preserve"> </w:t>
      </w:r>
      <w:bookmarkStart w:id="6" w:name="_Hlk38618311"/>
      <w:r w:rsidRPr="00E47A79">
        <w:rPr>
          <w:rFonts w:ascii="Garamond" w:hAnsi="Garamond"/>
          <w:sz w:val="24"/>
          <w:szCs w:val="24"/>
        </w:rPr>
        <w:t xml:space="preserve">The NICE guideline specifically envisages ‘shared care’ as a way forward, providing guidance on how a ‘shared care arrangement’ might work in this setting. </w:t>
      </w:r>
      <w:bookmarkEnd w:id="6"/>
      <w:r w:rsidRPr="00E47A79">
        <w:rPr>
          <w:rFonts w:ascii="Garamond" w:hAnsi="Garamond"/>
          <w:sz w:val="24"/>
          <w:szCs w:val="24"/>
        </w:rPr>
        <w:t>Presumably</w:t>
      </w:r>
      <w:r w:rsidR="00DE1BCB" w:rsidRPr="00E47A79">
        <w:rPr>
          <w:rFonts w:ascii="Garamond" w:hAnsi="Garamond"/>
          <w:sz w:val="24"/>
          <w:szCs w:val="24"/>
        </w:rPr>
        <w:t>,</w:t>
      </w:r>
      <w:r w:rsidRPr="00E47A79">
        <w:rPr>
          <w:rFonts w:ascii="Garamond" w:hAnsi="Garamond"/>
          <w:sz w:val="24"/>
          <w:szCs w:val="24"/>
        </w:rPr>
        <w:t xml:space="preserve"> once private healthcare has determined that the treatment</w:t>
      </w:r>
      <w:r w:rsidR="00297902" w:rsidRPr="00E47A79">
        <w:rPr>
          <w:rFonts w:ascii="Garamond" w:hAnsi="Garamond"/>
          <w:sz w:val="24"/>
          <w:szCs w:val="24"/>
        </w:rPr>
        <w:t xml:space="preserve"> is</w:t>
      </w:r>
      <w:r w:rsidRPr="00E47A79">
        <w:rPr>
          <w:rFonts w:ascii="Garamond" w:hAnsi="Garamond"/>
          <w:sz w:val="24"/>
          <w:szCs w:val="24"/>
        </w:rPr>
        <w:t xml:space="preserve"> </w:t>
      </w:r>
      <w:r w:rsidR="00297902" w:rsidRPr="00E47A79">
        <w:rPr>
          <w:rFonts w:ascii="Garamond" w:hAnsi="Garamond"/>
          <w:sz w:val="24"/>
          <w:szCs w:val="24"/>
        </w:rPr>
        <w:t>working</w:t>
      </w:r>
      <w:r w:rsidRPr="00E47A79">
        <w:rPr>
          <w:rFonts w:ascii="Garamond" w:hAnsi="Garamond"/>
          <w:sz w:val="24"/>
          <w:szCs w:val="24"/>
        </w:rPr>
        <w:t xml:space="preserve"> for this patient, then this </w:t>
      </w:r>
      <w:r w:rsidR="00297902" w:rsidRPr="00E47A79">
        <w:rPr>
          <w:rFonts w:ascii="Garamond" w:hAnsi="Garamond"/>
          <w:sz w:val="24"/>
          <w:szCs w:val="24"/>
        </w:rPr>
        <w:t xml:space="preserve">should </w:t>
      </w:r>
      <w:r w:rsidRPr="00E47A79">
        <w:rPr>
          <w:rFonts w:ascii="Garamond" w:hAnsi="Garamond"/>
          <w:sz w:val="24"/>
          <w:szCs w:val="24"/>
        </w:rPr>
        <w:t xml:space="preserve">affect the </w:t>
      </w:r>
      <w:r w:rsidRPr="00E47A79">
        <w:rPr>
          <w:rFonts w:ascii="Garamond" w:hAnsi="Garamond"/>
          <w:sz w:val="24"/>
          <w:szCs w:val="24"/>
        </w:rPr>
        <w:lastRenderedPageBreak/>
        <w:t>cost benefit analysis which NHS prescription requires or which might otherwise prevent NHS funding, and could open the door to funded prescribing.</w:t>
      </w:r>
      <w:r w:rsidR="00F6077B" w:rsidRPr="00E47A79">
        <w:rPr>
          <w:rFonts w:ascii="Garamond" w:hAnsi="Garamond"/>
          <w:sz w:val="24"/>
          <w:szCs w:val="24"/>
        </w:rPr>
        <w:t xml:space="preserve"> However, this</w:t>
      </w:r>
      <w:r w:rsidR="000F6A6E" w:rsidRPr="00E47A79">
        <w:rPr>
          <w:rFonts w:ascii="Garamond" w:hAnsi="Garamond"/>
          <w:sz w:val="24"/>
          <w:szCs w:val="24"/>
        </w:rPr>
        <w:t xml:space="preserve"> pathway from privately funded trialling of the medicine to publicly funded of a tried and tested medication</w:t>
      </w:r>
      <w:r w:rsidR="00F6077B" w:rsidRPr="00E47A79">
        <w:rPr>
          <w:rFonts w:ascii="Garamond" w:hAnsi="Garamond"/>
          <w:sz w:val="24"/>
          <w:szCs w:val="24"/>
        </w:rPr>
        <w:t xml:space="preserve"> </w:t>
      </w:r>
      <w:r w:rsidR="000F6A6E" w:rsidRPr="00E47A79">
        <w:rPr>
          <w:rFonts w:ascii="Garamond" w:hAnsi="Garamond"/>
          <w:sz w:val="24"/>
          <w:szCs w:val="24"/>
        </w:rPr>
        <w:t>has not</w:t>
      </w:r>
      <w:r w:rsidR="00D84794">
        <w:rPr>
          <w:rFonts w:ascii="Garamond" w:hAnsi="Garamond"/>
          <w:sz w:val="24"/>
          <w:szCs w:val="24"/>
        </w:rPr>
        <w:t xml:space="preserve"> thus far</w:t>
      </w:r>
      <w:r w:rsidR="000F6A6E" w:rsidRPr="00E47A79">
        <w:rPr>
          <w:rFonts w:ascii="Garamond" w:hAnsi="Garamond"/>
          <w:sz w:val="24"/>
          <w:szCs w:val="24"/>
        </w:rPr>
        <w:t xml:space="preserve"> been a reality for the </w:t>
      </w:r>
      <w:r w:rsidR="00F6077B" w:rsidRPr="00E47A79">
        <w:rPr>
          <w:rFonts w:ascii="Garamond" w:hAnsi="Garamond"/>
          <w:sz w:val="24"/>
          <w:szCs w:val="24"/>
        </w:rPr>
        <w:t>families seeking cannabis medicines for their children.</w:t>
      </w:r>
      <w:r w:rsidR="00DE1BCB" w:rsidRPr="00E47A79">
        <w:rPr>
          <w:rStyle w:val="FootnoteReference"/>
          <w:rFonts w:ascii="Garamond" w:hAnsi="Garamond"/>
          <w:sz w:val="24"/>
          <w:szCs w:val="24"/>
        </w:rPr>
        <w:footnoteReference w:id="108"/>
      </w:r>
      <w:r w:rsidR="00F6077B" w:rsidRPr="00E47A79">
        <w:rPr>
          <w:rFonts w:ascii="Garamond" w:hAnsi="Garamond"/>
          <w:sz w:val="24"/>
          <w:szCs w:val="24"/>
        </w:rPr>
        <w:t xml:space="preserve"> </w:t>
      </w:r>
    </w:p>
    <w:p w14:paraId="67939DB6" w14:textId="77777777" w:rsidR="00B50BA1" w:rsidRPr="00E47A79" w:rsidRDefault="00B50BA1" w:rsidP="001A5B29">
      <w:pPr>
        <w:spacing w:line="360" w:lineRule="auto"/>
        <w:rPr>
          <w:rFonts w:ascii="Garamond" w:hAnsi="Garamond"/>
          <w:sz w:val="24"/>
          <w:szCs w:val="24"/>
        </w:rPr>
      </w:pPr>
    </w:p>
    <w:p w14:paraId="40D9B1BC" w14:textId="770A6ABF" w:rsidR="00DA6D95" w:rsidRPr="00E47A79" w:rsidRDefault="004D1917" w:rsidP="00A601B9">
      <w:pPr>
        <w:spacing w:line="360" w:lineRule="auto"/>
        <w:jc w:val="center"/>
        <w:rPr>
          <w:rFonts w:ascii="Garamond" w:hAnsi="Garamond"/>
          <w:i/>
          <w:iCs/>
          <w:sz w:val="24"/>
          <w:szCs w:val="24"/>
        </w:rPr>
      </w:pPr>
      <w:r w:rsidRPr="00E47A79">
        <w:rPr>
          <w:rFonts w:ascii="Garamond" w:hAnsi="Garamond"/>
          <w:i/>
          <w:iCs/>
          <w:sz w:val="24"/>
          <w:szCs w:val="24"/>
        </w:rPr>
        <w:t xml:space="preserve">B. </w:t>
      </w:r>
      <w:r w:rsidR="00AD1322" w:rsidRPr="00E47A79">
        <w:rPr>
          <w:rFonts w:ascii="Garamond" w:hAnsi="Garamond"/>
          <w:i/>
          <w:iCs/>
          <w:sz w:val="24"/>
          <w:szCs w:val="24"/>
        </w:rPr>
        <w:t xml:space="preserve">Beyond NICE: </w:t>
      </w:r>
      <w:proofErr w:type="gramStart"/>
      <w:r w:rsidR="00A12F25" w:rsidRPr="00E47A79">
        <w:rPr>
          <w:rFonts w:ascii="Garamond" w:hAnsi="Garamond"/>
          <w:i/>
          <w:iCs/>
          <w:sz w:val="24"/>
          <w:szCs w:val="24"/>
        </w:rPr>
        <w:t>t</w:t>
      </w:r>
      <w:r w:rsidR="001F5D49" w:rsidRPr="00E47A79">
        <w:rPr>
          <w:rFonts w:ascii="Garamond" w:hAnsi="Garamond"/>
          <w:i/>
          <w:iCs/>
          <w:sz w:val="24"/>
          <w:szCs w:val="24"/>
        </w:rPr>
        <w:t>he</w:t>
      </w:r>
      <w:proofErr w:type="gramEnd"/>
      <w:r w:rsidR="001F5D49" w:rsidRPr="00E47A79">
        <w:rPr>
          <w:rFonts w:ascii="Garamond" w:hAnsi="Garamond"/>
          <w:i/>
          <w:iCs/>
          <w:sz w:val="24"/>
          <w:szCs w:val="24"/>
        </w:rPr>
        <w:t xml:space="preserve"> </w:t>
      </w:r>
      <w:r w:rsidR="00E054E9" w:rsidRPr="00E47A79">
        <w:rPr>
          <w:rFonts w:ascii="Garamond" w:hAnsi="Garamond"/>
          <w:i/>
          <w:iCs/>
          <w:sz w:val="24"/>
          <w:szCs w:val="24"/>
        </w:rPr>
        <w:t>Emergence</w:t>
      </w:r>
      <w:r w:rsidR="001F5D49" w:rsidRPr="00E47A79">
        <w:rPr>
          <w:rFonts w:ascii="Garamond" w:hAnsi="Garamond"/>
          <w:i/>
          <w:iCs/>
          <w:sz w:val="24"/>
          <w:szCs w:val="24"/>
        </w:rPr>
        <w:t xml:space="preserve"> of </w:t>
      </w:r>
      <w:r w:rsidRPr="00E47A79">
        <w:rPr>
          <w:rFonts w:ascii="Garamond" w:hAnsi="Garamond"/>
          <w:i/>
          <w:iCs/>
          <w:sz w:val="24"/>
          <w:szCs w:val="24"/>
        </w:rPr>
        <w:t>P</w:t>
      </w:r>
      <w:r w:rsidR="001F5D49" w:rsidRPr="00E47A79">
        <w:rPr>
          <w:rFonts w:ascii="Garamond" w:hAnsi="Garamond"/>
          <w:i/>
          <w:iCs/>
          <w:sz w:val="24"/>
          <w:szCs w:val="24"/>
        </w:rPr>
        <w:t xml:space="preserve">rofessional </w:t>
      </w:r>
      <w:r w:rsidRPr="00E47A79">
        <w:rPr>
          <w:rFonts w:ascii="Garamond" w:hAnsi="Garamond"/>
          <w:i/>
          <w:iCs/>
          <w:sz w:val="24"/>
          <w:szCs w:val="24"/>
        </w:rPr>
        <w:t>G</w:t>
      </w:r>
      <w:r w:rsidR="001F5D49" w:rsidRPr="00E47A79">
        <w:rPr>
          <w:rFonts w:ascii="Garamond" w:hAnsi="Garamond"/>
          <w:i/>
          <w:iCs/>
          <w:sz w:val="24"/>
          <w:szCs w:val="24"/>
        </w:rPr>
        <w:t>uidance</w:t>
      </w:r>
    </w:p>
    <w:p w14:paraId="19C81A8A" w14:textId="77777777" w:rsidR="00D37AAB" w:rsidRPr="00E47A79" w:rsidRDefault="00D37AAB" w:rsidP="00A601B9">
      <w:pPr>
        <w:spacing w:line="360" w:lineRule="auto"/>
        <w:rPr>
          <w:rFonts w:ascii="Garamond" w:hAnsi="Garamond"/>
          <w:sz w:val="24"/>
          <w:szCs w:val="24"/>
        </w:rPr>
      </w:pPr>
      <w:r w:rsidRPr="00E47A79">
        <w:rPr>
          <w:rFonts w:ascii="Garamond" w:hAnsi="Garamond"/>
          <w:sz w:val="24"/>
          <w:szCs w:val="24"/>
        </w:rPr>
        <w:t>When the 2018 reforms were introduced enabling the prescription of unlicensed medicinal cannabis products, ‘interim’</w:t>
      </w:r>
      <w:r w:rsidRPr="00E47A79">
        <w:rPr>
          <w:rFonts w:ascii="Garamond" w:hAnsi="Garamond"/>
          <w:sz w:val="24"/>
          <w:szCs w:val="24"/>
          <w:vertAlign w:val="superscript"/>
        </w:rPr>
        <w:footnoteReference w:id="109"/>
      </w:r>
      <w:r w:rsidRPr="00E47A79">
        <w:rPr>
          <w:rFonts w:ascii="Garamond" w:hAnsi="Garamond"/>
          <w:sz w:val="24"/>
          <w:szCs w:val="24"/>
        </w:rPr>
        <w:t xml:space="preserve"> guidance to the profession was published by a number of professional and regulatory bodies, to include: </w:t>
      </w:r>
      <w:proofErr w:type="gramStart"/>
      <w:r w:rsidRPr="00E47A79">
        <w:rPr>
          <w:rFonts w:ascii="Garamond" w:hAnsi="Garamond"/>
          <w:sz w:val="24"/>
          <w:szCs w:val="24"/>
        </w:rPr>
        <w:t>the</w:t>
      </w:r>
      <w:proofErr w:type="gramEnd"/>
      <w:r w:rsidRPr="00E47A79">
        <w:rPr>
          <w:rFonts w:ascii="Garamond" w:hAnsi="Garamond"/>
          <w:sz w:val="24"/>
          <w:szCs w:val="24"/>
        </w:rPr>
        <w:t xml:space="preserve"> Royal College of Physicians (RCP)</w:t>
      </w:r>
      <w:r w:rsidRPr="00E47A79">
        <w:rPr>
          <w:rFonts w:ascii="Garamond" w:hAnsi="Garamond"/>
          <w:sz w:val="24"/>
          <w:szCs w:val="24"/>
          <w:vertAlign w:val="superscript"/>
        </w:rPr>
        <w:footnoteReference w:id="110"/>
      </w:r>
      <w:r w:rsidRPr="00E47A79">
        <w:rPr>
          <w:rFonts w:ascii="Garamond" w:hAnsi="Garamond"/>
          <w:sz w:val="24"/>
          <w:szCs w:val="24"/>
        </w:rPr>
        <w:t>, British Paediatric Neurology Association (BPNA)</w:t>
      </w:r>
      <w:r w:rsidRPr="00E47A79">
        <w:rPr>
          <w:rFonts w:ascii="Garamond" w:hAnsi="Garamond"/>
          <w:sz w:val="24"/>
          <w:szCs w:val="24"/>
          <w:vertAlign w:val="superscript"/>
        </w:rPr>
        <w:footnoteReference w:id="111"/>
      </w:r>
      <w:r w:rsidRPr="00E47A79">
        <w:rPr>
          <w:rFonts w:ascii="Garamond" w:hAnsi="Garamond"/>
          <w:sz w:val="24"/>
          <w:szCs w:val="24"/>
        </w:rPr>
        <w:t>, Royal College of General Practitioners (RCGP)</w:t>
      </w:r>
      <w:r w:rsidRPr="00E47A79">
        <w:rPr>
          <w:rFonts w:ascii="Garamond" w:hAnsi="Garamond"/>
          <w:sz w:val="24"/>
          <w:szCs w:val="24"/>
          <w:vertAlign w:val="superscript"/>
        </w:rPr>
        <w:footnoteReference w:id="112"/>
      </w:r>
      <w:r w:rsidRPr="00E47A79">
        <w:rPr>
          <w:rFonts w:ascii="Garamond" w:hAnsi="Garamond"/>
          <w:sz w:val="24"/>
          <w:szCs w:val="24"/>
        </w:rPr>
        <w:t>, Association of British Neurologists (ABN)</w:t>
      </w:r>
      <w:r w:rsidRPr="00E47A79">
        <w:rPr>
          <w:rFonts w:ascii="Garamond" w:hAnsi="Garamond"/>
          <w:sz w:val="24"/>
          <w:szCs w:val="24"/>
          <w:vertAlign w:val="superscript"/>
        </w:rPr>
        <w:footnoteReference w:id="113"/>
      </w:r>
      <w:r w:rsidRPr="00E47A79">
        <w:rPr>
          <w:rFonts w:ascii="Garamond" w:hAnsi="Garamond"/>
          <w:sz w:val="24"/>
          <w:szCs w:val="24"/>
        </w:rPr>
        <w:t xml:space="preserve"> and the Care Quality Commission (CQC)</w:t>
      </w:r>
      <w:r w:rsidRPr="00E47A79">
        <w:rPr>
          <w:rFonts w:ascii="Garamond" w:hAnsi="Garamond"/>
          <w:sz w:val="24"/>
          <w:szCs w:val="24"/>
          <w:vertAlign w:val="superscript"/>
        </w:rPr>
        <w:footnoteReference w:id="114"/>
      </w:r>
      <w:r w:rsidRPr="00E47A79">
        <w:rPr>
          <w:rFonts w:ascii="Garamond" w:hAnsi="Garamond"/>
          <w:sz w:val="24"/>
          <w:szCs w:val="24"/>
        </w:rPr>
        <w:t>. ‘Position statements’ were also prepared by the Royal College of Psychiatrists</w:t>
      </w:r>
      <w:r w:rsidRPr="00E47A79">
        <w:rPr>
          <w:rFonts w:ascii="Garamond" w:hAnsi="Garamond"/>
          <w:sz w:val="24"/>
          <w:szCs w:val="24"/>
          <w:vertAlign w:val="superscript"/>
        </w:rPr>
        <w:footnoteReference w:id="115"/>
      </w:r>
      <w:r w:rsidRPr="00E47A79">
        <w:rPr>
          <w:rFonts w:ascii="Garamond" w:hAnsi="Garamond"/>
          <w:sz w:val="24"/>
          <w:szCs w:val="24"/>
        </w:rPr>
        <w:t xml:space="preserve"> and British Pain Society,</w:t>
      </w:r>
      <w:r w:rsidRPr="00E47A79">
        <w:rPr>
          <w:rFonts w:ascii="Garamond" w:hAnsi="Garamond"/>
          <w:sz w:val="24"/>
          <w:szCs w:val="24"/>
          <w:vertAlign w:val="superscript"/>
        </w:rPr>
        <w:footnoteReference w:id="116"/>
      </w:r>
      <w:r w:rsidRPr="00E47A79">
        <w:rPr>
          <w:rFonts w:ascii="Garamond" w:hAnsi="Garamond"/>
          <w:sz w:val="24"/>
          <w:szCs w:val="24"/>
        </w:rPr>
        <w:t xml:space="preserve"> and NHS England produced a review accompanied by ‘Frequently Asked Questions’.</w:t>
      </w:r>
      <w:r w:rsidRPr="00E47A79">
        <w:rPr>
          <w:rFonts w:ascii="Garamond" w:hAnsi="Garamond"/>
          <w:sz w:val="24"/>
          <w:szCs w:val="24"/>
          <w:vertAlign w:val="superscript"/>
        </w:rPr>
        <w:footnoteReference w:id="117"/>
      </w:r>
      <w:r w:rsidRPr="00E47A79">
        <w:rPr>
          <w:rFonts w:ascii="Garamond" w:hAnsi="Garamond"/>
          <w:sz w:val="24"/>
          <w:szCs w:val="24"/>
        </w:rPr>
        <w:t xml:space="preserve"> </w:t>
      </w:r>
    </w:p>
    <w:p w14:paraId="16E1AF60" w14:textId="25D9FE1D" w:rsidR="00450C0C" w:rsidRPr="00E47A79" w:rsidRDefault="00D37AAB" w:rsidP="00A601B9">
      <w:pPr>
        <w:spacing w:line="360" w:lineRule="auto"/>
        <w:rPr>
          <w:rFonts w:ascii="Garamond" w:hAnsi="Garamond"/>
          <w:sz w:val="24"/>
          <w:szCs w:val="24"/>
        </w:rPr>
      </w:pPr>
      <w:r w:rsidRPr="00E47A79">
        <w:rPr>
          <w:rFonts w:ascii="Garamond" w:hAnsi="Garamond"/>
          <w:sz w:val="24"/>
          <w:szCs w:val="24"/>
        </w:rPr>
        <w:t>O</w:t>
      </w:r>
      <w:r w:rsidR="00707EC7" w:rsidRPr="00E47A79">
        <w:rPr>
          <w:rFonts w:ascii="Garamond" w:hAnsi="Garamond"/>
          <w:sz w:val="24"/>
          <w:szCs w:val="24"/>
        </w:rPr>
        <w:t>nly the General Medical Council (GMC)</w:t>
      </w:r>
      <w:r w:rsidRPr="00E47A79">
        <w:rPr>
          <w:rFonts w:ascii="Garamond" w:hAnsi="Garamond"/>
          <w:sz w:val="24"/>
          <w:szCs w:val="24"/>
        </w:rPr>
        <w:t>, however,</w:t>
      </w:r>
      <w:r w:rsidR="00707EC7" w:rsidRPr="00E47A79">
        <w:rPr>
          <w:rFonts w:ascii="Garamond" w:hAnsi="Garamond"/>
          <w:sz w:val="24"/>
          <w:szCs w:val="24"/>
        </w:rPr>
        <w:t xml:space="preserve"> is tasked by statute with providing guidance to medical p</w:t>
      </w:r>
      <w:r w:rsidR="00E054E9" w:rsidRPr="00E47A79">
        <w:rPr>
          <w:rFonts w:ascii="Garamond" w:hAnsi="Garamond"/>
          <w:sz w:val="24"/>
          <w:szCs w:val="24"/>
        </w:rPr>
        <w:t>ractitioners</w:t>
      </w:r>
      <w:r w:rsidR="00707EC7" w:rsidRPr="00E47A79">
        <w:rPr>
          <w:rStyle w:val="FootnoteReference"/>
          <w:rFonts w:ascii="Garamond" w:hAnsi="Garamond"/>
          <w:sz w:val="24"/>
          <w:szCs w:val="24"/>
        </w:rPr>
        <w:footnoteReference w:id="118"/>
      </w:r>
      <w:r w:rsidR="00707EC7" w:rsidRPr="00E47A79">
        <w:rPr>
          <w:rFonts w:ascii="Garamond" w:hAnsi="Garamond"/>
          <w:sz w:val="24"/>
          <w:szCs w:val="24"/>
        </w:rPr>
        <w:t xml:space="preserve">, </w:t>
      </w:r>
      <w:r w:rsidR="00694C90" w:rsidRPr="00E47A79">
        <w:rPr>
          <w:rFonts w:ascii="Garamond" w:hAnsi="Garamond"/>
          <w:sz w:val="24"/>
          <w:szCs w:val="24"/>
        </w:rPr>
        <w:t>consequently t</w:t>
      </w:r>
      <w:r w:rsidR="00AE5748" w:rsidRPr="00E47A79">
        <w:rPr>
          <w:rFonts w:ascii="Garamond" w:hAnsi="Garamond"/>
          <w:sz w:val="24"/>
          <w:szCs w:val="24"/>
        </w:rPr>
        <w:t xml:space="preserve">he GMC is </w:t>
      </w:r>
      <w:r w:rsidR="00297902" w:rsidRPr="00E47A79">
        <w:rPr>
          <w:rFonts w:ascii="Garamond" w:hAnsi="Garamond"/>
          <w:sz w:val="24"/>
          <w:szCs w:val="24"/>
        </w:rPr>
        <w:t xml:space="preserve">generally </w:t>
      </w:r>
      <w:r w:rsidR="00AE5748" w:rsidRPr="00E47A79">
        <w:rPr>
          <w:rFonts w:ascii="Garamond" w:hAnsi="Garamond"/>
          <w:sz w:val="24"/>
          <w:szCs w:val="24"/>
        </w:rPr>
        <w:t>regarded as the predominant source of ethical guidance</w:t>
      </w:r>
      <w:r w:rsidRPr="00E47A79">
        <w:rPr>
          <w:rFonts w:ascii="Garamond" w:hAnsi="Garamond"/>
          <w:sz w:val="24"/>
          <w:szCs w:val="24"/>
        </w:rPr>
        <w:t>.</w:t>
      </w:r>
      <w:r w:rsidR="00AE5748" w:rsidRPr="00E47A79">
        <w:rPr>
          <w:rFonts w:ascii="Garamond" w:hAnsi="Garamond"/>
          <w:sz w:val="24"/>
          <w:szCs w:val="24"/>
          <w:vertAlign w:val="superscript"/>
        </w:rPr>
        <w:footnoteReference w:id="119"/>
      </w:r>
      <w:r w:rsidR="00FF3CF1" w:rsidRPr="00E47A79">
        <w:rPr>
          <w:rFonts w:ascii="Garamond" w:hAnsi="Garamond"/>
          <w:sz w:val="24"/>
          <w:szCs w:val="24"/>
        </w:rPr>
        <w:t xml:space="preserve"> </w:t>
      </w:r>
      <w:r w:rsidRPr="00E47A79">
        <w:rPr>
          <w:rFonts w:ascii="Garamond" w:hAnsi="Garamond"/>
          <w:sz w:val="24"/>
          <w:szCs w:val="24"/>
        </w:rPr>
        <w:t>D</w:t>
      </w:r>
      <w:r w:rsidR="00FF3CF1" w:rsidRPr="00E47A79">
        <w:rPr>
          <w:rFonts w:ascii="Garamond" w:hAnsi="Garamond"/>
          <w:sz w:val="24"/>
          <w:szCs w:val="24"/>
        </w:rPr>
        <w:t>etailed</w:t>
      </w:r>
      <w:r w:rsidR="00707EC7" w:rsidRPr="00E47A79">
        <w:rPr>
          <w:rFonts w:ascii="Garamond" w:hAnsi="Garamond"/>
          <w:sz w:val="24"/>
          <w:szCs w:val="24"/>
        </w:rPr>
        <w:t xml:space="preserve"> </w:t>
      </w:r>
      <w:r w:rsidR="008043AC" w:rsidRPr="00E47A79">
        <w:rPr>
          <w:rFonts w:ascii="Garamond" w:hAnsi="Garamond"/>
          <w:sz w:val="24"/>
          <w:szCs w:val="24"/>
        </w:rPr>
        <w:t>advice</w:t>
      </w:r>
      <w:r w:rsidR="00E054E9" w:rsidRPr="00E47A79">
        <w:rPr>
          <w:rFonts w:ascii="Garamond" w:hAnsi="Garamond"/>
          <w:sz w:val="24"/>
          <w:szCs w:val="24"/>
        </w:rPr>
        <w:t xml:space="preserve"> from the regulator</w:t>
      </w:r>
      <w:r w:rsidR="00707EC7" w:rsidRPr="00E47A79">
        <w:rPr>
          <w:rFonts w:ascii="Garamond" w:hAnsi="Garamond"/>
          <w:sz w:val="24"/>
          <w:szCs w:val="24"/>
        </w:rPr>
        <w:t xml:space="preserve"> </w:t>
      </w:r>
      <w:r w:rsidR="00FF3CF1" w:rsidRPr="00E47A79">
        <w:rPr>
          <w:rFonts w:ascii="Garamond" w:hAnsi="Garamond"/>
          <w:sz w:val="24"/>
          <w:szCs w:val="24"/>
        </w:rPr>
        <w:t xml:space="preserve">on </w:t>
      </w:r>
      <w:r w:rsidR="00AE5748" w:rsidRPr="00E47A79">
        <w:rPr>
          <w:rFonts w:ascii="Garamond" w:hAnsi="Garamond"/>
          <w:sz w:val="24"/>
          <w:szCs w:val="24"/>
        </w:rPr>
        <w:t xml:space="preserve">prescribing medicinal cannabis </w:t>
      </w:r>
      <w:r w:rsidR="00811B74" w:rsidRPr="00E47A79">
        <w:rPr>
          <w:rFonts w:ascii="Garamond" w:hAnsi="Garamond"/>
          <w:sz w:val="24"/>
          <w:szCs w:val="24"/>
        </w:rPr>
        <w:t>or dealing with requests for medicinal cannabi</w:t>
      </w:r>
      <w:r w:rsidR="00E054E9" w:rsidRPr="00E47A79">
        <w:rPr>
          <w:rFonts w:ascii="Garamond" w:hAnsi="Garamond"/>
          <w:sz w:val="24"/>
          <w:szCs w:val="24"/>
        </w:rPr>
        <w:t>s</w:t>
      </w:r>
      <w:r w:rsidRPr="00E47A79">
        <w:rPr>
          <w:rFonts w:ascii="Garamond" w:hAnsi="Garamond"/>
          <w:sz w:val="24"/>
          <w:szCs w:val="24"/>
        </w:rPr>
        <w:t xml:space="preserve"> </w:t>
      </w:r>
      <w:r w:rsidR="00707EC7" w:rsidRPr="00E47A79">
        <w:rPr>
          <w:rFonts w:ascii="Garamond" w:hAnsi="Garamond"/>
          <w:sz w:val="24"/>
          <w:szCs w:val="24"/>
        </w:rPr>
        <w:t>ha</w:t>
      </w:r>
      <w:r w:rsidR="008043AC" w:rsidRPr="00E47A79">
        <w:rPr>
          <w:rFonts w:ascii="Garamond" w:hAnsi="Garamond"/>
          <w:sz w:val="24"/>
          <w:szCs w:val="24"/>
        </w:rPr>
        <w:t>s</w:t>
      </w:r>
      <w:r w:rsidR="00F34F9B" w:rsidRPr="00E47A79">
        <w:rPr>
          <w:rFonts w:ascii="Garamond" w:hAnsi="Garamond"/>
          <w:sz w:val="24"/>
          <w:szCs w:val="24"/>
        </w:rPr>
        <w:t xml:space="preserve"> </w:t>
      </w:r>
      <w:r w:rsidR="00707EC7" w:rsidRPr="00E47A79">
        <w:rPr>
          <w:rFonts w:ascii="Garamond" w:hAnsi="Garamond"/>
          <w:sz w:val="24"/>
          <w:szCs w:val="24"/>
        </w:rPr>
        <w:t>not been</w:t>
      </w:r>
      <w:r w:rsidR="000E3CE7" w:rsidRPr="00E47A79">
        <w:rPr>
          <w:rFonts w:ascii="Garamond" w:hAnsi="Garamond"/>
          <w:sz w:val="24"/>
          <w:szCs w:val="24"/>
        </w:rPr>
        <w:t xml:space="preserve"> forthcoming</w:t>
      </w:r>
      <w:r w:rsidR="00707EC7" w:rsidRPr="00E47A79">
        <w:rPr>
          <w:rFonts w:ascii="Garamond" w:hAnsi="Garamond"/>
          <w:sz w:val="24"/>
          <w:szCs w:val="24"/>
        </w:rPr>
        <w:t>.</w:t>
      </w:r>
      <w:r w:rsidR="004369CF" w:rsidRPr="00E47A79">
        <w:rPr>
          <w:rStyle w:val="FootnoteReference"/>
          <w:rFonts w:ascii="Garamond" w:hAnsi="Garamond"/>
          <w:sz w:val="24"/>
          <w:szCs w:val="24"/>
        </w:rPr>
        <w:footnoteReference w:id="120"/>
      </w:r>
      <w:r w:rsidR="00F34F9B" w:rsidRPr="00E47A79">
        <w:rPr>
          <w:rFonts w:ascii="Garamond" w:hAnsi="Garamond"/>
          <w:sz w:val="24"/>
          <w:szCs w:val="24"/>
        </w:rPr>
        <w:t xml:space="preserve"> Whilst the GMC perhaps takes the view that it is not part of its role to provide advice on prescribing specific medicines, the medicinal cannabis reforms raise</w:t>
      </w:r>
      <w:r w:rsidR="000377B8" w:rsidRPr="00E47A79">
        <w:rPr>
          <w:rFonts w:ascii="Garamond" w:hAnsi="Garamond"/>
          <w:sz w:val="24"/>
          <w:szCs w:val="24"/>
        </w:rPr>
        <w:t>d</w:t>
      </w:r>
      <w:r w:rsidR="00F34F9B" w:rsidRPr="00E47A79">
        <w:rPr>
          <w:rFonts w:ascii="Garamond" w:hAnsi="Garamond"/>
          <w:sz w:val="24"/>
          <w:szCs w:val="24"/>
        </w:rPr>
        <w:t xml:space="preserve"> special </w:t>
      </w:r>
      <w:r w:rsidR="00A266C5">
        <w:rPr>
          <w:rFonts w:ascii="Garamond" w:hAnsi="Garamond"/>
          <w:sz w:val="24"/>
          <w:szCs w:val="24"/>
        </w:rPr>
        <w:t xml:space="preserve">ethical </w:t>
      </w:r>
      <w:r w:rsidR="00F34F9B" w:rsidRPr="00E47A79">
        <w:rPr>
          <w:rFonts w:ascii="Garamond" w:hAnsi="Garamond"/>
          <w:sz w:val="24"/>
          <w:szCs w:val="24"/>
        </w:rPr>
        <w:t>issues</w:t>
      </w:r>
      <w:r w:rsidR="00A266C5">
        <w:rPr>
          <w:rFonts w:ascii="Garamond" w:hAnsi="Garamond"/>
          <w:sz w:val="24"/>
          <w:szCs w:val="24"/>
        </w:rPr>
        <w:t xml:space="preserve">. Not least of these were </w:t>
      </w:r>
      <w:r w:rsidR="00350C03" w:rsidRPr="00E47A79">
        <w:rPr>
          <w:rFonts w:ascii="Garamond" w:hAnsi="Garamond"/>
          <w:sz w:val="24"/>
          <w:szCs w:val="24"/>
        </w:rPr>
        <w:t xml:space="preserve">that </w:t>
      </w:r>
      <w:r w:rsidR="00350C03" w:rsidRPr="00E47A79">
        <w:rPr>
          <w:rFonts w:ascii="Garamond" w:hAnsi="Garamond"/>
          <w:sz w:val="24"/>
          <w:szCs w:val="24"/>
        </w:rPr>
        <w:lastRenderedPageBreak/>
        <w:t xml:space="preserve">these reforms have been felt across a </w:t>
      </w:r>
      <w:r w:rsidR="00F23D19" w:rsidRPr="00E47A79">
        <w:rPr>
          <w:rFonts w:ascii="Garamond" w:hAnsi="Garamond"/>
          <w:sz w:val="24"/>
          <w:szCs w:val="24"/>
        </w:rPr>
        <w:t xml:space="preserve">range </w:t>
      </w:r>
      <w:r w:rsidR="00350C03" w:rsidRPr="00E47A79">
        <w:rPr>
          <w:rFonts w:ascii="Garamond" w:hAnsi="Garamond"/>
          <w:sz w:val="24"/>
          <w:szCs w:val="24"/>
        </w:rPr>
        <w:t xml:space="preserve">of specialties </w:t>
      </w:r>
      <w:r w:rsidR="00350C03" w:rsidRPr="00E47A79">
        <w:rPr>
          <w:rFonts w:ascii="Garamond" w:hAnsi="Garamond"/>
          <w:i/>
          <w:iCs/>
          <w:sz w:val="24"/>
          <w:szCs w:val="24"/>
        </w:rPr>
        <w:t xml:space="preserve">and </w:t>
      </w:r>
      <w:r w:rsidR="00350C03" w:rsidRPr="00E47A79">
        <w:rPr>
          <w:rFonts w:ascii="Garamond" w:hAnsi="Garamond"/>
          <w:sz w:val="24"/>
          <w:szCs w:val="24"/>
        </w:rPr>
        <w:t>general practice (as reflected by the proliferation of guidance from different royal colleges</w:t>
      </w:r>
      <w:r w:rsidR="00AD57E1" w:rsidRPr="00E47A79">
        <w:rPr>
          <w:rFonts w:ascii="Garamond" w:hAnsi="Garamond"/>
          <w:sz w:val="24"/>
          <w:szCs w:val="24"/>
        </w:rPr>
        <w:t>)</w:t>
      </w:r>
      <w:r w:rsidR="00350C03" w:rsidRPr="00E47A79">
        <w:rPr>
          <w:rFonts w:ascii="Garamond" w:hAnsi="Garamond"/>
          <w:sz w:val="24"/>
          <w:szCs w:val="24"/>
        </w:rPr>
        <w:t xml:space="preserve">, that the patient’s prior experience of the active ingredients may fundamentally disrupt the usual </w:t>
      </w:r>
      <w:proofErr w:type="spellStart"/>
      <w:proofErr w:type="gramStart"/>
      <w:r w:rsidR="00350C03" w:rsidRPr="00E47A79">
        <w:rPr>
          <w:rFonts w:ascii="Garamond" w:hAnsi="Garamond"/>
          <w:sz w:val="24"/>
          <w:szCs w:val="24"/>
        </w:rPr>
        <w:t>doctor:patient</w:t>
      </w:r>
      <w:proofErr w:type="spellEnd"/>
      <w:proofErr w:type="gramEnd"/>
      <w:r w:rsidR="00350C03" w:rsidRPr="00E47A79">
        <w:rPr>
          <w:rFonts w:ascii="Garamond" w:hAnsi="Garamond"/>
          <w:sz w:val="24"/>
          <w:szCs w:val="24"/>
        </w:rPr>
        <w:t xml:space="preserve"> dynamic and that the reforms and media attention more broadly ha</w:t>
      </w:r>
      <w:r w:rsidR="00D84794">
        <w:rPr>
          <w:rFonts w:ascii="Garamond" w:hAnsi="Garamond"/>
          <w:sz w:val="24"/>
          <w:szCs w:val="24"/>
        </w:rPr>
        <w:t>d</w:t>
      </w:r>
      <w:r w:rsidR="00350C03" w:rsidRPr="00E47A79">
        <w:rPr>
          <w:rFonts w:ascii="Garamond" w:hAnsi="Garamond"/>
          <w:sz w:val="24"/>
          <w:szCs w:val="24"/>
        </w:rPr>
        <w:t xml:space="preserve"> ramped up patients’ expectations of access to cannabis based medicines</w:t>
      </w:r>
      <w:r w:rsidR="00F23D19" w:rsidRPr="00E47A79">
        <w:rPr>
          <w:rFonts w:ascii="Garamond" w:hAnsi="Garamond"/>
          <w:sz w:val="24"/>
          <w:szCs w:val="24"/>
        </w:rPr>
        <w:t>. A</w:t>
      </w:r>
      <w:r w:rsidR="00F34F9B" w:rsidRPr="00E47A79">
        <w:rPr>
          <w:rFonts w:ascii="Garamond" w:hAnsi="Garamond"/>
          <w:sz w:val="24"/>
          <w:szCs w:val="24"/>
        </w:rPr>
        <w:t>rguably, these issues would benefit from more direct input from the regulator.  Instead</w:t>
      </w:r>
      <w:r w:rsidR="00707EC7" w:rsidRPr="00E47A79">
        <w:rPr>
          <w:rFonts w:ascii="Garamond" w:hAnsi="Garamond"/>
          <w:sz w:val="24"/>
          <w:szCs w:val="24"/>
        </w:rPr>
        <w:t>, doctors are directed to</w:t>
      </w:r>
      <w:r w:rsidR="005A4AA8" w:rsidRPr="00E47A79">
        <w:rPr>
          <w:rStyle w:val="FootnoteReference"/>
          <w:rFonts w:ascii="Garamond" w:hAnsi="Garamond"/>
          <w:sz w:val="24"/>
          <w:szCs w:val="24"/>
        </w:rPr>
        <w:footnoteReference w:id="121"/>
      </w:r>
      <w:r w:rsidR="00707EC7" w:rsidRPr="00E47A79">
        <w:rPr>
          <w:rFonts w:ascii="Garamond" w:hAnsi="Garamond"/>
          <w:sz w:val="24"/>
          <w:szCs w:val="24"/>
        </w:rPr>
        <w:t xml:space="preserve"> the GMC’s</w:t>
      </w:r>
      <w:r w:rsidR="00916096" w:rsidRPr="00E47A79">
        <w:rPr>
          <w:rFonts w:ascii="Garamond" w:hAnsi="Garamond"/>
          <w:sz w:val="24"/>
          <w:szCs w:val="24"/>
        </w:rPr>
        <w:t xml:space="preserve"> 2013</w:t>
      </w:r>
      <w:r w:rsidR="00707EC7" w:rsidRPr="00E47A79">
        <w:rPr>
          <w:rFonts w:ascii="Garamond" w:hAnsi="Garamond"/>
          <w:sz w:val="24"/>
          <w:szCs w:val="24"/>
        </w:rPr>
        <w:t xml:space="preserve"> </w:t>
      </w:r>
      <w:r w:rsidR="00F436ED" w:rsidRPr="00E47A79">
        <w:rPr>
          <w:rFonts w:ascii="Garamond" w:hAnsi="Garamond"/>
          <w:sz w:val="24"/>
          <w:szCs w:val="24"/>
        </w:rPr>
        <w:t xml:space="preserve">generic </w:t>
      </w:r>
      <w:r w:rsidR="00707EC7" w:rsidRPr="00E47A79">
        <w:rPr>
          <w:rFonts w:ascii="Garamond" w:hAnsi="Garamond"/>
          <w:sz w:val="24"/>
          <w:szCs w:val="24"/>
        </w:rPr>
        <w:t>guidance on the prescription of unlicensed medicines,</w:t>
      </w:r>
      <w:r w:rsidR="00D071FB" w:rsidRPr="00E47A79">
        <w:rPr>
          <w:rFonts w:ascii="Garamond" w:hAnsi="Garamond"/>
          <w:sz w:val="24"/>
          <w:szCs w:val="24"/>
        </w:rPr>
        <w:t xml:space="preserve"> </w:t>
      </w:r>
      <w:r w:rsidR="00707EC7" w:rsidRPr="00E47A79">
        <w:rPr>
          <w:rFonts w:ascii="Garamond" w:hAnsi="Garamond"/>
          <w:sz w:val="24"/>
          <w:szCs w:val="24"/>
        </w:rPr>
        <w:t xml:space="preserve">found within </w:t>
      </w:r>
      <w:r w:rsidR="00707EC7" w:rsidRPr="00E47A79">
        <w:rPr>
          <w:rFonts w:ascii="Garamond" w:hAnsi="Garamond"/>
          <w:i/>
          <w:iCs/>
          <w:sz w:val="24"/>
          <w:szCs w:val="24"/>
        </w:rPr>
        <w:t>Good practice in prescribing and managing medicines and devices</w:t>
      </w:r>
      <w:r w:rsidRPr="00E47A79">
        <w:rPr>
          <w:rFonts w:ascii="Garamond" w:hAnsi="Garamond"/>
          <w:i/>
          <w:iCs/>
          <w:sz w:val="24"/>
          <w:szCs w:val="24"/>
        </w:rPr>
        <w:t xml:space="preserve"> </w:t>
      </w:r>
      <w:r w:rsidRPr="00E47A79">
        <w:rPr>
          <w:rFonts w:ascii="Garamond" w:hAnsi="Garamond"/>
          <w:sz w:val="24"/>
          <w:szCs w:val="24"/>
        </w:rPr>
        <w:t>(hereafter referred to as the ‘GMC’s default guidance’)</w:t>
      </w:r>
      <w:r w:rsidR="00707EC7" w:rsidRPr="00E47A79">
        <w:rPr>
          <w:rFonts w:ascii="Garamond" w:hAnsi="Garamond"/>
          <w:sz w:val="24"/>
          <w:szCs w:val="24"/>
        </w:rPr>
        <w:t>.</w:t>
      </w:r>
      <w:r w:rsidR="00707EC7" w:rsidRPr="00E47A79">
        <w:rPr>
          <w:rStyle w:val="FootnoteReference"/>
          <w:rFonts w:ascii="Garamond" w:hAnsi="Garamond"/>
          <w:sz w:val="24"/>
          <w:szCs w:val="24"/>
        </w:rPr>
        <w:footnoteReference w:id="122"/>
      </w:r>
      <w:r w:rsidR="00707EC7" w:rsidRPr="00E47A79">
        <w:rPr>
          <w:rFonts w:ascii="Garamond" w:hAnsi="Garamond"/>
          <w:sz w:val="24"/>
          <w:szCs w:val="24"/>
        </w:rPr>
        <w:t xml:space="preserve"> </w:t>
      </w:r>
      <w:r w:rsidR="00E054E9" w:rsidRPr="00E47A79">
        <w:rPr>
          <w:rFonts w:ascii="Garamond" w:hAnsi="Garamond"/>
          <w:sz w:val="24"/>
          <w:szCs w:val="24"/>
        </w:rPr>
        <w:t xml:space="preserve">This default </w:t>
      </w:r>
      <w:r w:rsidR="00054B54" w:rsidRPr="00E47A79">
        <w:rPr>
          <w:rFonts w:ascii="Garamond" w:hAnsi="Garamond"/>
          <w:sz w:val="24"/>
          <w:szCs w:val="24"/>
        </w:rPr>
        <w:t xml:space="preserve">guidance states that prescribing decisions should also take account of ‘the clinical guidelines published by </w:t>
      </w:r>
      <w:r w:rsidR="00110F99" w:rsidRPr="00E47A79">
        <w:rPr>
          <w:rFonts w:ascii="Garamond" w:hAnsi="Garamond"/>
          <w:sz w:val="24"/>
          <w:szCs w:val="24"/>
        </w:rPr>
        <w:t xml:space="preserve">NICE </w:t>
      </w:r>
      <w:r w:rsidR="00054B54" w:rsidRPr="00E47A79">
        <w:rPr>
          <w:rFonts w:ascii="Garamond" w:hAnsi="Garamond"/>
          <w:sz w:val="24"/>
          <w:szCs w:val="24"/>
        </w:rPr>
        <w:t xml:space="preserve">and devolved equivalents, and </w:t>
      </w:r>
      <w:r w:rsidR="00450C0C" w:rsidRPr="00E47A79">
        <w:rPr>
          <w:rFonts w:ascii="Garamond" w:hAnsi="Garamond"/>
          <w:sz w:val="24"/>
          <w:szCs w:val="24"/>
        </w:rPr>
        <w:t>by</w:t>
      </w:r>
      <w:r w:rsidR="00054B54" w:rsidRPr="00E47A79">
        <w:rPr>
          <w:rFonts w:ascii="Garamond" w:hAnsi="Garamond"/>
          <w:sz w:val="24"/>
          <w:szCs w:val="24"/>
        </w:rPr>
        <w:t xml:space="preserve"> </w:t>
      </w:r>
      <w:r w:rsidR="00450C0C" w:rsidRPr="00E47A79">
        <w:rPr>
          <w:rFonts w:ascii="Garamond" w:hAnsi="Garamond"/>
          <w:sz w:val="24"/>
          <w:szCs w:val="24"/>
        </w:rPr>
        <w:t>‘</w:t>
      </w:r>
      <w:r w:rsidR="00054B54" w:rsidRPr="00E47A79">
        <w:rPr>
          <w:rFonts w:ascii="Garamond" w:hAnsi="Garamond"/>
          <w:sz w:val="24"/>
          <w:szCs w:val="24"/>
        </w:rPr>
        <w:t>medical royal colleges and other authoritative sources of specialty specific clinical guidelines.’</w:t>
      </w:r>
      <w:r w:rsidR="00E054E9" w:rsidRPr="00E47A79">
        <w:rPr>
          <w:rStyle w:val="FootnoteReference"/>
          <w:rFonts w:ascii="Garamond" w:hAnsi="Garamond"/>
          <w:sz w:val="24"/>
          <w:szCs w:val="24"/>
        </w:rPr>
        <w:footnoteReference w:id="123"/>
      </w:r>
      <w:r w:rsidR="0042588B" w:rsidRPr="00E47A79">
        <w:rPr>
          <w:rFonts w:ascii="Garamond" w:hAnsi="Garamond"/>
          <w:sz w:val="24"/>
          <w:szCs w:val="24"/>
        </w:rPr>
        <w:t xml:space="preserve"> </w:t>
      </w:r>
    </w:p>
    <w:p w14:paraId="58B9C74A" w14:textId="003FEEE0" w:rsidR="004934DA" w:rsidRPr="00E47A79" w:rsidRDefault="00D53CD1" w:rsidP="00A601B9">
      <w:pPr>
        <w:spacing w:line="360" w:lineRule="auto"/>
        <w:rPr>
          <w:rFonts w:ascii="Garamond" w:hAnsi="Garamond"/>
          <w:sz w:val="24"/>
          <w:szCs w:val="24"/>
        </w:rPr>
      </w:pPr>
      <w:r w:rsidRPr="00E47A79">
        <w:rPr>
          <w:rFonts w:ascii="Garamond" w:hAnsi="Garamond"/>
          <w:sz w:val="24"/>
          <w:szCs w:val="24"/>
        </w:rPr>
        <w:t>The proliferation of (sometimes conflicting</w:t>
      </w:r>
      <w:r w:rsidRPr="00E47A79">
        <w:rPr>
          <w:rFonts w:ascii="Garamond" w:hAnsi="Garamond"/>
          <w:sz w:val="24"/>
          <w:szCs w:val="24"/>
          <w:vertAlign w:val="superscript"/>
        </w:rPr>
        <w:footnoteReference w:id="124"/>
      </w:r>
      <w:r w:rsidRPr="00E47A79">
        <w:rPr>
          <w:rFonts w:ascii="Garamond" w:hAnsi="Garamond"/>
          <w:sz w:val="24"/>
          <w:szCs w:val="24"/>
        </w:rPr>
        <w:t>) guidance, outlined above, has spawned a ‘fragmented discourse’,</w:t>
      </w:r>
      <w:r w:rsidRPr="00E47A79">
        <w:rPr>
          <w:rFonts w:ascii="Garamond" w:hAnsi="Garamond"/>
          <w:sz w:val="24"/>
          <w:szCs w:val="24"/>
          <w:vertAlign w:val="superscript"/>
        </w:rPr>
        <w:footnoteReference w:id="125"/>
      </w:r>
      <w:r w:rsidRPr="00E47A79">
        <w:rPr>
          <w:rFonts w:ascii="Garamond" w:hAnsi="Garamond"/>
          <w:sz w:val="24"/>
          <w:szCs w:val="24"/>
        </w:rPr>
        <w:t xml:space="preserve"> a position which risks quite opposite stances being ethically justified by the extant guidance and the result becoming one of regulatory vacuum.</w:t>
      </w:r>
      <w:r w:rsidRPr="00E47A79">
        <w:rPr>
          <w:rFonts w:ascii="Garamond" w:hAnsi="Garamond"/>
          <w:sz w:val="24"/>
          <w:szCs w:val="24"/>
          <w:vertAlign w:val="superscript"/>
        </w:rPr>
        <w:footnoteReference w:id="126"/>
      </w:r>
      <w:r w:rsidRPr="00E47A79">
        <w:rPr>
          <w:rFonts w:ascii="Garamond" w:hAnsi="Garamond"/>
          <w:sz w:val="24"/>
          <w:szCs w:val="24"/>
        </w:rPr>
        <w:t xml:space="preserve"> For example, whilst (as we shall see) the interim professional guidance </w:t>
      </w:r>
      <w:r w:rsidR="00F5214A" w:rsidRPr="00E47A79">
        <w:rPr>
          <w:rFonts w:ascii="Garamond" w:hAnsi="Garamond"/>
          <w:sz w:val="24"/>
          <w:szCs w:val="24"/>
        </w:rPr>
        <w:t>features</w:t>
      </w:r>
      <w:r w:rsidRPr="00E47A79">
        <w:rPr>
          <w:rFonts w:ascii="Garamond" w:hAnsi="Garamond"/>
          <w:sz w:val="24"/>
          <w:szCs w:val="24"/>
        </w:rPr>
        <w:t xml:space="preserve"> three </w:t>
      </w:r>
      <w:r w:rsidR="00F5214A" w:rsidRPr="00E47A79">
        <w:rPr>
          <w:rFonts w:ascii="Garamond" w:hAnsi="Garamond"/>
          <w:sz w:val="24"/>
          <w:szCs w:val="24"/>
        </w:rPr>
        <w:t>pronounced themes</w:t>
      </w:r>
      <w:r w:rsidRPr="00E47A79">
        <w:rPr>
          <w:rFonts w:ascii="Garamond" w:hAnsi="Garamond"/>
          <w:sz w:val="24"/>
          <w:szCs w:val="24"/>
        </w:rPr>
        <w:t xml:space="preserve"> of </w:t>
      </w:r>
      <w:r w:rsidR="001F73C7" w:rsidRPr="00E47A79">
        <w:rPr>
          <w:rFonts w:ascii="Garamond" w:hAnsi="Garamond"/>
          <w:sz w:val="24"/>
          <w:szCs w:val="24"/>
        </w:rPr>
        <w:t xml:space="preserve">RCTs </w:t>
      </w:r>
      <w:r w:rsidRPr="00E47A79">
        <w:rPr>
          <w:rFonts w:ascii="Garamond" w:hAnsi="Garamond"/>
          <w:sz w:val="24"/>
          <w:szCs w:val="24"/>
        </w:rPr>
        <w:t xml:space="preserve">as the exclusive measure of safety and efficacy, use of unlicensed products as a last resort and personal responsibility, these are far less prominent in the GMC’s generic guidance on prescribing unlicensed medicines. </w:t>
      </w:r>
    </w:p>
    <w:p w14:paraId="2FABB32D" w14:textId="77777777" w:rsidR="004D1917" w:rsidRPr="00E47A79" w:rsidRDefault="004D1917" w:rsidP="00A601B9">
      <w:pPr>
        <w:spacing w:line="360" w:lineRule="auto"/>
        <w:rPr>
          <w:rFonts w:ascii="Garamond" w:hAnsi="Garamond"/>
          <w:sz w:val="24"/>
          <w:szCs w:val="24"/>
        </w:rPr>
      </w:pPr>
    </w:p>
    <w:p w14:paraId="381B4C25" w14:textId="46A08CD0" w:rsidR="004D1917" w:rsidRPr="00E47A79" w:rsidRDefault="004D1917" w:rsidP="00A601B9">
      <w:pPr>
        <w:spacing w:line="360" w:lineRule="auto"/>
        <w:jc w:val="center"/>
        <w:rPr>
          <w:rFonts w:ascii="Garamond" w:hAnsi="Garamond"/>
          <w:b/>
          <w:bCs/>
          <w:sz w:val="24"/>
          <w:szCs w:val="24"/>
        </w:rPr>
      </w:pPr>
      <w:r w:rsidRPr="00E47A79">
        <w:rPr>
          <w:rFonts w:ascii="Garamond" w:hAnsi="Garamond"/>
          <w:b/>
          <w:bCs/>
          <w:sz w:val="24"/>
          <w:szCs w:val="24"/>
        </w:rPr>
        <w:t>III. ANALYSIS OF ‘INTERIM’ PROFESSIONAL GUIDANCE: FRAMING PRESCRIBING AS MEDICO-LEGALLY HAZARDOUS</w:t>
      </w:r>
    </w:p>
    <w:p w14:paraId="24EA73C8" w14:textId="0EF13818" w:rsidR="00FA052A" w:rsidRPr="00E47A79" w:rsidRDefault="004D1917" w:rsidP="00A601B9">
      <w:pPr>
        <w:spacing w:line="360" w:lineRule="auto"/>
        <w:jc w:val="center"/>
        <w:rPr>
          <w:rFonts w:ascii="Garamond" w:hAnsi="Garamond"/>
          <w:i/>
          <w:iCs/>
          <w:sz w:val="24"/>
          <w:szCs w:val="24"/>
        </w:rPr>
      </w:pPr>
      <w:r w:rsidRPr="00E47A79">
        <w:rPr>
          <w:rFonts w:ascii="Garamond" w:hAnsi="Garamond"/>
          <w:i/>
          <w:iCs/>
          <w:sz w:val="24"/>
          <w:szCs w:val="24"/>
        </w:rPr>
        <w:t>A.</w:t>
      </w:r>
      <w:r w:rsidR="00F51498" w:rsidRPr="00E47A79">
        <w:rPr>
          <w:rFonts w:ascii="Garamond" w:hAnsi="Garamond"/>
          <w:i/>
          <w:iCs/>
          <w:sz w:val="24"/>
          <w:szCs w:val="24"/>
        </w:rPr>
        <w:t xml:space="preserve"> </w:t>
      </w:r>
      <w:r w:rsidR="00F85669" w:rsidRPr="00E47A79">
        <w:rPr>
          <w:rFonts w:ascii="Garamond" w:hAnsi="Garamond"/>
          <w:i/>
          <w:iCs/>
          <w:sz w:val="24"/>
          <w:szCs w:val="24"/>
        </w:rPr>
        <w:t xml:space="preserve">Prescribing CBMPs </w:t>
      </w:r>
      <w:r w:rsidR="00E52618" w:rsidRPr="00E47A79">
        <w:rPr>
          <w:rFonts w:ascii="Garamond" w:hAnsi="Garamond"/>
          <w:i/>
          <w:iCs/>
          <w:sz w:val="24"/>
          <w:szCs w:val="24"/>
        </w:rPr>
        <w:t>-</w:t>
      </w:r>
      <w:r w:rsidR="00F85669" w:rsidRPr="00E47A79">
        <w:rPr>
          <w:rFonts w:ascii="Garamond" w:hAnsi="Garamond"/>
          <w:i/>
          <w:iCs/>
          <w:sz w:val="24"/>
          <w:szCs w:val="24"/>
        </w:rPr>
        <w:t xml:space="preserve"> a</w:t>
      </w:r>
      <w:r w:rsidR="00FA052A" w:rsidRPr="00E47A79">
        <w:rPr>
          <w:rFonts w:ascii="Garamond" w:hAnsi="Garamond"/>
          <w:i/>
          <w:iCs/>
          <w:sz w:val="24"/>
          <w:szCs w:val="24"/>
        </w:rPr>
        <w:t xml:space="preserve"> last resort?</w:t>
      </w:r>
    </w:p>
    <w:p w14:paraId="753C4788" w14:textId="7C30B086" w:rsidR="00BA6B65" w:rsidRPr="00E47A79" w:rsidRDefault="007D1B35" w:rsidP="00A601B9">
      <w:pPr>
        <w:spacing w:line="360" w:lineRule="auto"/>
        <w:rPr>
          <w:rFonts w:ascii="Garamond" w:hAnsi="Garamond"/>
          <w:sz w:val="24"/>
          <w:szCs w:val="24"/>
        </w:rPr>
      </w:pPr>
      <w:r w:rsidRPr="00E47A79">
        <w:rPr>
          <w:rFonts w:ascii="Garamond" w:hAnsi="Garamond"/>
          <w:sz w:val="24"/>
          <w:szCs w:val="24"/>
        </w:rPr>
        <w:t xml:space="preserve">Professional guidance and guidelines can have rhetorical force, the term </w:t>
      </w:r>
      <w:r w:rsidR="00EF5C90" w:rsidRPr="00E47A79">
        <w:rPr>
          <w:rFonts w:ascii="Garamond" w:hAnsi="Garamond"/>
          <w:sz w:val="24"/>
          <w:szCs w:val="24"/>
        </w:rPr>
        <w:t>‘</w:t>
      </w:r>
      <w:r w:rsidRPr="00E47A79">
        <w:rPr>
          <w:rFonts w:ascii="Garamond" w:hAnsi="Garamond"/>
          <w:sz w:val="24"/>
          <w:szCs w:val="24"/>
        </w:rPr>
        <w:t>rhetorical</w:t>
      </w:r>
      <w:r w:rsidR="00EF5C90" w:rsidRPr="00E47A79">
        <w:rPr>
          <w:rFonts w:ascii="Garamond" w:hAnsi="Garamond"/>
          <w:sz w:val="24"/>
          <w:szCs w:val="24"/>
        </w:rPr>
        <w:t>’</w:t>
      </w:r>
      <w:r w:rsidRPr="00E47A79">
        <w:rPr>
          <w:rFonts w:ascii="Garamond" w:hAnsi="Garamond"/>
          <w:sz w:val="24"/>
          <w:szCs w:val="24"/>
        </w:rPr>
        <w:t xml:space="preserve"> used here not in a pejorative sense, but to convey that one of their functions is to persuade</w:t>
      </w:r>
      <w:r w:rsidRPr="00E47A79">
        <w:rPr>
          <w:rStyle w:val="FootnoteReference"/>
          <w:rFonts w:ascii="Garamond" w:hAnsi="Garamond"/>
          <w:sz w:val="24"/>
          <w:szCs w:val="24"/>
        </w:rPr>
        <w:footnoteReference w:id="127"/>
      </w:r>
      <w:r w:rsidRPr="00E47A79">
        <w:rPr>
          <w:rFonts w:ascii="Garamond" w:hAnsi="Garamond"/>
          <w:sz w:val="24"/>
          <w:szCs w:val="24"/>
        </w:rPr>
        <w:t xml:space="preserve"> practitioners to </w:t>
      </w:r>
      <w:r w:rsidRPr="00E47A79">
        <w:rPr>
          <w:rFonts w:ascii="Garamond" w:hAnsi="Garamond"/>
          <w:sz w:val="24"/>
          <w:szCs w:val="24"/>
        </w:rPr>
        <w:lastRenderedPageBreak/>
        <w:t xml:space="preserve">behave (or conform) in a certain way. </w:t>
      </w:r>
      <w:r w:rsidR="00BA6B65" w:rsidRPr="00E47A79">
        <w:rPr>
          <w:rFonts w:ascii="Garamond" w:hAnsi="Garamond"/>
          <w:sz w:val="24"/>
          <w:szCs w:val="24"/>
        </w:rPr>
        <w:t>T</w:t>
      </w:r>
      <w:r w:rsidR="00FA052A" w:rsidRPr="00E47A79">
        <w:rPr>
          <w:rFonts w:ascii="Garamond" w:hAnsi="Garamond"/>
          <w:sz w:val="24"/>
          <w:szCs w:val="24"/>
        </w:rPr>
        <w:t xml:space="preserve">he tenor of </w:t>
      </w:r>
      <w:r w:rsidR="00E52618" w:rsidRPr="00E47A79">
        <w:rPr>
          <w:rFonts w:ascii="Garamond" w:hAnsi="Garamond"/>
          <w:sz w:val="24"/>
          <w:szCs w:val="24"/>
        </w:rPr>
        <w:t xml:space="preserve">interim </w:t>
      </w:r>
      <w:r w:rsidR="00FA052A" w:rsidRPr="00E47A79">
        <w:rPr>
          <w:rFonts w:ascii="Garamond" w:hAnsi="Garamond"/>
          <w:sz w:val="24"/>
          <w:szCs w:val="24"/>
        </w:rPr>
        <w:t>professional guidance</w:t>
      </w:r>
      <w:r w:rsidRPr="00E47A79">
        <w:rPr>
          <w:rFonts w:ascii="Garamond" w:hAnsi="Garamond"/>
          <w:sz w:val="24"/>
          <w:szCs w:val="24"/>
        </w:rPr>
        <w:t xml:space="preserve"> on medicinal cannabis</w:t>
      </w:r>
      <w:r w:rsidR="00FA052A" w:rsidRPr="00E47A79">
        <w:rPr>
          <w:rFonts w:ascii="Garamond" w:hAnsi="Garamond"/>
          <w:sz w:val="24"/>
          <w:szCs w:val="24"/>
        </w:rPr>
        <w:t xml:space="preserve"> is deeply cautious</w:t>
      </w:r>
      <w:r w:rsidR="00EC10C5" w:rsidRPr="00E47A79">
        <w:rPr>
          <w:rFonts w:ascii="Garamond" w:hAnsi="Garamond"/>
          <w:sz w:val="24"/>
          <w:szCs w:val="24"/>
        </w:rPr>
        <w:t>,</w:t>
      </w:r>
      <w:r w:rsidR="00082358" w:rsidRPr="00E47A79">
        <w:rPr>
          <w:rFonts w:ascii="Garamond" w:hAnsi="Garamond"/>
          <w:sz w:val="24"/>
          <w:szCs w:val="24"/>
        </w:rPr>
        <w:t xml:space="preserve"> </w:t>
      </w:r>
      <w:r w:rsidR="00FA052A" w:rsidRPr="00E47A79">
        <w:rPr>
          <w:rFonts w:ascii="Garamond" w:hAnsi="Garamond"/>
          <w:sz w:val="24"/>
          <w:szCs w:val="24"/>
        </w:rPr>
        <w:t>envisag</w:t>
      </w:r>
      <w:r w:rsidR="00EC10C5" w:rsidRPr="00E47A79">
        <w:rPr>
          <w:rFonts w:ascii="Garamond" w:hAnsi="Garamond"/>
          <w:sz w:val="24"/>
          <w:szCs w:val="24"/>
        </w:rPr>
        <w:t>ing</w:t>
      </w:r>
      <w:r w:rsidR="00FA052A" w:rsidRPr="00E47A79">
        <w:rPr>
          <w:rFonts w:ascii="Garamond" w:hAnsi="Garamond"/>
          <w:sz w:val="24"/>
          <w:szCs w:val="24"/>
        </w:rPr>
        <w:t xml:space="preserve"> that prescription of unlicensed cannabis products is</w:t>
      </w:r>
      <w:r w:rsidR="00845CCF" w:rsidRPr="00E47A79">
        <w:rPr>
          <w:rFonts w:ascii="Garamond" w:hAnsi="Garamond"/>
          <w:sz w:val="24"/>
          <w:szCs w:val="24"/>
        </w:rPr>
        <w:t xml:space="preserve"> to be undertaken with ‘extreme caution,’</w:t>
      </w:r>
      <w:r w:rsidR="00845CCF" w:rsidRPr="00E47A79">
        <w:rPr>
          <w:rStyle w:val="FootnoteReference"/>
          <w:rFonts w:ascii="Garamond" w:hAnsi="Garamond"/>
          <w:sz w:val="24"/>
          <w:szCs w:val="24"/>
        </w:rPr>
        <w:footnoteReference w:id="128"/>
      </w:r>
      <w:r w:rsidR="00FA052A" w:rsidRPr="00E47A79">
        <w:rPr>
          <w:rFonts w:ascii="Garamond" w:hAnsi="Garamond"/>
          <w:sz w:val="24"/>
          <w:szCs w:val="24"/>
        </w:rPr>
        <w:t xml:space="preserve"> </w:t>
      </w:r>
      <w:r w:rsidR="00845CCF" w:rsidRPr="00E47A79">
        <w:rPr>
          <w:rFonts w:ascii="Garamond" w:hAnsi="Garamond"/>
          <w:sz w:val="24"/>
          <w:szCs w:val="24"/>
        </w:rPr>
        <w:t xml:space="preserve">is </w:t>
      </w:r>
      <w:r w:rsidR="00FA052A" w:rsidRPr="00E47A79">
        <w:rPr>
          <w:rFonts w:ascii="Garamond" w:hAnsi="Garamond"/>
          <w:sz w:val="24"/>
          <w:szCs w:val="24"/>
        </w:rPr>
        <w:t>unlikely to be medical</w:t>
      </w:r>
      <w:r w:rsidR="00082358" w:rsidRPr="00E47A79">
        <w:rPr>
          <w:rFonts w:ascii="Garamond" w:hAnsi="Garamond"/>
          <w:sz w:val="24"/>
          <w:szCs w:val="24"/>
        </w:rPr>
        <w:t>ly</w:t>
      </w:r>
      <w:r w:rsidR="00FA052A" w:rsidRPr="00E47A79">
        <w:rPr>
          <w:rFonts w:ascii="Garamond" w:hAnsi="Garamond"/>
          <w:sz w:val="24"/>
          <w:szCs w:val="24"/>
        </w:rPr>
        <w:t xml:space="preserve"> appropriate</w:t>
      </w:r>
      <w:r w:rsidR="0053113C" w:rsidRPr="00E47A79">
        <w:rPr>
          <w:rFonts w:ascii="Garamond" w:hAnsi="Garamond"/>
          <w:sz w:val="24"/>
          <w:szCs w:val="24"/>
        </w:rPr>
        <w:t xml:space="preserve"> and </w:t>
      </w:r>
      <w:r w:rsidR="00EC10C5" w:rsidRPr="00E47A79">
        <w:rPr>
          <w:rFonts w:ascii="Garamond" w:hAnsi="Garamond"/>
          <w:sz w:val="24"/>
          <w:szCs w:val="24"/>
        </w:rPr>
        <w:t xml:space="preserve">is </w:t>
      </w:r>
      <w:r w:rsidR="0053113C" w:rsidRPr="00E47A79">
        <w:rPr>
          <w:rFonts w:ascii="Garamond" w:hAnsi="Garamond"/>
          <w:sz w:val="24"/>
          <w:szCs w:val="24"/>
        </w:rPr>
        <w:t xml:space="preserve">only </w:t>
      </w:r>
      <w:r w:rsidR="005E26AD" w:rsidRPr="00E47A79">
        <w:rPr>
          <w:rFonts w:ascii="Garamond" w:hAnsi="Garamond"/>
          <w:sz w:val="24"/>
          <w:szCs w:val="24"/>
        </w:rPr>
        <w:t xml:space="preserve">to be </w:t>
      </w:r>
      <w:r w:rsidR="0053113C" w:rsidRPr="00E47A79">
        <w:rPr>
          <w:rFonts w:ascii="Garamond" w:hAnsi="Garamond"/>
          <w:sz w:val="24"/>
          <w:szCs w:val="24"/>
        </w:rPr>
        <w:t>used as a ‘last resort’</w:t>
      </w:r>
      <w:r w:rsidR="00FA052A" w:rsidRPr="00E47A79">
        <w:rPr>
          <w:rFonts w:ascii="Garamond" w:hAnsi="Garamond"/>
          <w:sz w:val="24"/>
          <w:szCs w:val="24"/>
        </w:rPr>
        <w:t>.</w:t>
      </w:r>
      <w:r w:rsidR="00845CCF" w:rsidRPr="00E47A79">
        <w:rPr>
          <w:rStyle w:val="FootnoteReference"/>
          <w:rFonts w:ascii="Garamond" w:hAnsi="Garamond"/>
          <w:sz w:val="24"/>
          <w:szCs w:val="24"/>
        </w:rPr>
        <w:footnoteReference w:id="129"/>
      </w:r>
      <w:r w:rsidR="00BA6B65" w:rsidRPr="00E47A79">
        <w:rPr>
          <w:rFonts w:ascii="Garamond" w:hAnsi="Garamond"/>
          <w:sz w:val="24"/>
          <w:szCs w:val="24"/>
        </w:rPr>
        <w:t xml:space="preserve"> </w:t>
      </w:r>
      <w:r w:rsidR="000B5C85" w:rsidRPr="00E47A79">
        <w:rPr>
          <w:rFonts w:ascii="Garamond" w:hAnsi="Garamond"/>
          <w:sz w:val="24"/>
          <w:szCs w:val="24"/>
        </w:rPr>
        <w:t xml:space="preserve"> </w:t>
      </w:r>
      <w:r w:rsidR="00197F12" w:rsidRPr="00E47A79">
        <w:rPr>
          <w:rFonts w:ascii="Garamond" w:hAnsi="Garamond"/>
          <w:sz w:val="24"/>
          <w:szCs w:val="24"/>
        </w:rPr>
        <w:t xml:space="preserve">Exacting applications </w:t>
      </w:r>
      <w:r w:rsidR="000B5C85" w:rsidRPr="00E47A79">
        <w:rPr>
          <w:rFonts w:ascii="Garamond" w:hAnsi="Garamond"/>
          <w:sz w:val="24"/>
          <w:szCs w:val="24"/>
        </w:rPr>
        <w:t xml:space="preserve">of </w:t>
      </w:r>
      <w:r w:rsidR="00161D06" w:rsidRPr="00E47A79">
        <w:rPr>
          <w:rFonts w:ascii="Garamond" w:hAnsi="Garamond"/>
          <w:sz w:val="24"/>
          <w:szCs w:val="24"/>
        </w:rPr>
        <w:t xml:space="preserve">last resort rhetoric can be viewed as a grudging acceptance of cannabis as having a place in modern medicine, but only in cases of desperation where nothing is working, all bets are off and there is little left to lose. From a patient’s perspective they must prove themselves deserving of an exceptional exercise of compassionate prescribing by showing that they have tried all conventional treatments on </w:t>
      </w:r>
      <w:proofErr w:type="gramStart"/>
      <w:r w:rsidR="00161D06" w:rsidRPr="00E47A79">
        <w:rPr>
          <w:rFonts w:ascii="Garamond" w:hAnsi="Garamond"/>
          <w:sz w:val="24"/>
          <w:szCs w:val="24"/>
        </w:rPr>
        <w:t>offer, but</w:t>
      </w:r>
      <w:proofErr w:type="gramEnd"/>
      <w:r w:rsidR="00161D06" w:rsidRPr="00E47A79">
        <w:rPr>
          <w:rFonts w:ascii="Garamond" w:hAnsi="Garamond"/>
          <w:sz w:val="24"/>
          <w:szCs w:val="24"/>
        </w:rPr>
        <w:t xml:space="preserve"> have not found them to be effective or tolerable.</w:t>
      </w:r>
    </w:p>
    <w:p w14:paraId="4DE8CF90" w14:textId="4D7B0BB5" w:rsidR="00F85669" w:rsidRPr="00E47A79" w:rsidRDefault="00082358" w:rsidP="00A601B9">
      <w:pPr>
        <w:spacing w:line="360" w:lineRule="auto"/>
        <w:rPr>
          <w:rFonts w:ascii="Garamond" w:hAnsi="Garamond"/>
          <w:sz w:val="24"/>
          <w:szCs w:val="24"/>
        </w:rPr>
      </w:pPr>
      <w:r w:rsidRPr="00E47A79">
        <w:rPr>
          <w:rFonts w:ascii="Garamond" w:hAnsi="Garamond"/>
          <w:sz w:val="24"/>
          <w:szCs w:val="24"/>
        </w:rPr>
        <w:t xml:space="preserve">Despite the publicised success </w:t>
      </w:r>
      <w:r w:rsidR="001B6895" w:rsidRPr="00E47A79">
        <w:rPr>
          <w:rFonts w:ascii="Garamond" w:hAnsi="Garamond"/>
          <w:sz w:val="24"/>
          <w:szCs w:val="24"/>
        </w:rPr>
        <w:t xml:space="preserve">stories </w:t>
      </w:r>
      <w:r w:rsidRPr="00E47A79">
        <w:rPr>
          <w:rFonts w:ascii="Garamond" w:hAnsi="Garamond"/>
          <w:sz w:val="24"/>
          <w:szCs w:val="24"/>
        </w:rPr>
        <w:t xml:space="preserve">of unlicensed medicinal cannabis products in the treatment of </w:t>
      </w:r>
      <w:proofErr w:type="gramStart"/>
      <w:r w:rsidR="000F0309" w:rsidRPr="00E47A79">
        <w:rPr>
          <w:rFonts w:ascii="Garamond" w:hAnsi="Garamond"/>
          <w:sz w:val="24"/>
          <w:szCs w:val="24"/>
        </w:rPr>
        <w:t>a number of</w:t>
      </w:r>
      <w:proofErr w:type="gramEnd"/>
      <w:r w:rsidR="000F0309" w:rsidRPr="00E47A79">
        <w:rPr>
          <w:rFonts w:ascii="Garamond" w:hAnsi="Garamond"/>
          <w:sz w:val="24"/>
          <w:szCs w:val="24"/>
        </w:rPr>
        <w:t xml:space="preserve"> </w:t>
      </w:r>
      <w:r w:rsidRPr="00E47A79">
        <w:rPr>
          <w:rFonts w:ascii="Garamond" w:hAnsi="Garamond"/>
          <w:sz w:val="24"/>
          <w:szCs w:val="24"/>
        </w:rPr>
        <w:t>children with intractable epilepsies</w:t>
      </w:r>
      <w:r w:rsidRPr="00E47A79">
        <w:rPr>
          <w:rStyle w:val="FootnoteReference"/>
          <w:rFonts w:ascii="Garamond" w:hAnsi="Garamond"/>
          <w:sz w:val="24"/>
          <w:szCs w:val="24"/>
        </w:rPr>
        <w:footnoteReference w:id="130"/>
      </w:r>
      <w:r w:rsidRPr="00E47A79">
        <w:rPr>
          <w:rFonts w:ascii="Garamond" w:hAnsi="Garamond"/>
          <w:sz w:val="24"/>
          <w:szCs w:val="24"/>
        </w:rPr>
        <w:t>, t</w:t>
      </w:r>
      <w:r w:rsidR="00FA052A" w:rsidRPr="00E47A79">
        <w:rPr>
          <w:rFonts w:ascii="Garamond" w:hAnsi="Garamond"/>
          <w:sz w:val="24"/>
          <w:szCs w:val="24"/>
        </w:rPr>
        <w:t>he BPNA recommends using unlicensed cannabis-based products for children with intractable epilepsy only as a ‘last resort’</w:t>
      </w:r>
      <w:r w:rsidR="00193E52" w:rsidRPr="00E47A79">
        <w:rPr>
          <w:rFonts w:ascii="Garamond" w:hAnsi="Garamond"/>
          <w:sz w:val="24"/>
          <w:szCs w:val="24"/>
        </w:rPr>
        <w:t xml:space="preserve">. The ‘last resort’ </w:t>
      </w:r>
      <w:r w:rsidR="00002460" w:rsidRPr="00E47A79">
        <w:rPr>
          <w:rFonts w:ascii="Garamond" w:hAnsi="Garamond"/>
          <w:sz w:val="24"/>
          <w:szCs w:val="24"/>
        </w:rPr>
        <w:t>theme</w:t>
      </w:r>
      <w:r w:rsidR="00193E52" w:rsidRPr="00E47A79">
        <w:rPr>
          <w:rFonts w:ascii="Garamond" w:hAnsi="Garamond"/>
          <w:sz w:val="24"/>
          <w:szCs w:val="24"/>
        </w:rPr>
        <w:t xml:space="preserve"> is underscored by the BPNA’s preference for </w:t>
      </w:r>
      <w:r w:rsidR="004E452F" w:rsidRPr="00E47A79">
        <w:rPr>
          <w:rFonts w:ascii="Garamond" w:hAnsi="Garamond"/>
          <w:sz w:val="24"/>
          <w:szCs w:val="24"/>
        </w:rPr>
        <w:t xml:space="preserve">brain </w:t>
      </w:r>
      <w:r w:rsidR="00193E52" w:rsidRPr="00E47A79">
        <w:rPr>
          <w:rFonts w:ascii="Garamond" w:hAnsi="Garamond"/>
          <w:sz w:val="24"/>
          <w:szCs w:val="24"/>
        </w:rPr>
        <w:t>surgery</w:t>
      </w:r>
      <w:r w:rsidR="00193E52" w:rsidRPr="00E47A79">
        <w:rPr>
          <w:rFonts w:ascii="Garamond" w:hAnsi="Garamond"/>
          <w:sz w:val="24"/>
          <w:szCs w:val="24"/>
          <w:vertAlign w:val="superscript"/>
        </w:rPr>
        <w:footnoteReference w:id="131"/>
      </w:r>
      <w:r w:rsidR="00193E52" w:rsidRPr="00E47A79">
        <w:rPr>
          <w:rFonts w:ascii="Garamond" w:hAnsi="Garamond"/>
          <w:sz w:val="24"/>
          <w:szCs w:val="24"/>
        </w:rPr>
        <w:t xml:space="preserve"> over</w:t>
      </w:r>
      <w:r w:rsidR="005C400B" w:rsidRPr="00E47A79">
        <w:rPr>
          <w:rFonts w:ascii="Garamond" w:hAnsi="Garamond"/>
          <w:sz w:val="24"/>
          <w:szCs w:val="24"/>
        </w:rPr>
        <w:t xml:space="preserve"> the</w:t>
      </w:r>
      <w:r w:rsidR="00193E52" w:rsidRPr="00E47A79">
        <w:rPr>
          <w:rFonts w:ascii="Garamond" w:hAnsi="Garamond"/>
          <w:sz w:val="24"/>
          <w:szCs w:val="24"/>
        </w:rPr>
        <w:t xml:space="preserve"> use of unlicensed CBMPs and the recommendation </w:t>
      </w:r>
      <w:r w:rsidR="00FA052A" w:rsidRPr="00E47A79">
        <w:rPr>
          <w:rFonts w:ascii="Garamond" w:hAnsi="Garamond"/>
          <w:sz w:val="24"/>
          <w:szCs w:val="24"/>
        </w:rPr>
        <w:t xml:space="preserve">that patients who have been using cannabis products with more than 0.2% THC content </w:t>
      </w:r>
      <w:r w:rsidR="004E452F" w:rsidRPr="00E47A79">
        <w:rPr>
          <w:rFonts w:ascii="Garamond" w:hAnsi="Garamond"/>
          <w:sz w:val="24"/>
          <w:szCs w:val="24"/>
        </w:rPr>
        <w:t xml:space="preserve">(albeit that they may have improved dramatically) </w:t>
      </w:r>
      <w:r w:rsidR="00FA052A" w:rsidRPr="00E47A79">
        <w:rPr>
          <w:rFonts w:ascii="Garamond" w:hAnsi="Garamond"/>
          <w:sz w:val="24"/>
          <w:szCs w:val="24"/>
        </w:rPr>
        <w:t>should be ‘transitioned to’ pure CBD.</w:t>
      </w:r>
      <w:r w:rsidR="00FA052A" w:rsidRPr="00E47A79">
        <w:rPr>
          <w:rFonts w:ascii="Garamond" w:hAnsi="Garamond"/>
          <w:sz w:val="24"/>
          <w:szCs w:val="24"/>
          <w:vertAlign w:val="superscript"/>
        </w:rPr>
        <w:footnoteReference w:id="132"/>
      </w:r>
      <w:r w:rsidR="00FA052A" w:rsidRPr="00E47A79">
        <w:rPr>
          <w:rFonts w:ascii="Garamond" w:hAnsi="Garamond"/>
          <w:sz w:val="24"/>
          <w:szCs w:val="24"/>
        </w:rPr>
        <w:t xml:space="preserve"> </w:t>
      </w:r>
    </w:p>
    <w:p w14:paraId="041E073E" w14:textId="47B96065" w:rsidR="00A80EA7" w:rsidRPr="00E47A79" w:rsidRDefault="0098155D" w:rsidP="00A601B9">
      <w:pPr>
        <w:spacing w:line="360" w:lineRule="auto"/>
        <w:rPr>
          <w:rFonts w:ascii="Garamond" w:hAnsi="Garamond"/>
          <w:sz w:val="24"/>
          <w:szCs w:val="24"/>
        </w:rPr>
      </w:pPr>
      <w:r w:rsidRPr="00E47A79">
        <w:rPr>
          <w:rFonts w:ascii="Garamond" w:hAnsi="Garamond"/>
          <w:sz w:val="24"/>
          <w:szCs w:val="24"/>
        </w:rPr>
        <w:t xml:space="preserve">The BPNA is not alone in its ‘last resort’ stance. </w:t>
      </w:r>
      <w:r w:rsidR="0079767E" w:rsidRPr="00E47A79">
        <w:rPr>
          <w:rFonts w:ascii="Garamond" w:hAnsi="Garamond"/>
          <w:sz w:val="24"/>
          <w:szCs w:val="24"/>
        </w:rPr>
        <w:t>R</w:t>
      </w:r>
      <w:r w:rsidR="0049647B" w:rsidRPr="00E47A79">
        <w:rPr>
          <w:rFonts w:ascii="Garamond" w:hAnsi="Garamond"/>
          <w:sz w:val="24"/>
          <w:szCs w:val="24"/>
        </w:rPr>
        <w:t xml:space="preserve">eluctance to recognise a place for unlicensed MC products </w:t>
      </w:r>
      <w:r w:rsidR="0079767E" w:rsidRPr="00E47A79">
        <w:rPr>
          <w:rFonts w:ascii="Garamond" w:hAnsi="Garamond"/>
          <w:sz w:val="24"/>
          <w:szCs w:val="24"/>
        </w:rPr>
        <w:t xml:space="preserve">in prescribing </w:t>
      </w:r>
      <w:r w:rsidR="0049647B" w:rsidRPr="00E47A79">
        <w:rPr>
          <w:rFonts w:ascii="Garamond" w:hAnsi="Garamond"/>
          <w:sz w:val="24"/>
          <w:szCs w:val="24"/>
        </w:rPr>
        <w:t xml:space="preserve">is </w:t>
      </w:r>
      <w:r w:rsidR="00EF5287" w:rsidRPr="00E47A79">
        <w:rPr>
          <w:rFonts w:ascii="Garamond" w:hAnsi="Garamond"/>
          <w:sz w:val="24"/>
          <w:szCs w:val="24"/>
        </w:rPr>
        <w:t>more pronounced</w:t>
      </w:r>
      <w:r w:rsidR="0049647B" w:rsidRPr="00E47A79">
        <w:rPr>
          <w:rFonts w:ascii="Garamond" w:hAnsi="Garamond"/>
          <w:sz w:val="24"/>
          <w:szCs w:val="24"/>
        </w:rPr>
        <w:t xml:space="preserve"> in NHS England </w:t>
      </w:r>
      <w:r w:rsidR="00114F38" w:rsidRPr="00E47A79">
        <w:rPr>
          <w:rFonts w:ascii="Garamond" w:hAnsi="Garamond"/>
          <w:sz w:val="24"/>
          <w:szCs w:val="24"/>
        </w:rPr>
        <w:t>FAQs</w:t>
      </w:r>
      <w:r w:rsidR="0049647B" w:rsidRPr="00E47A79">
        <w:rPr>
          <w:rFonts w:ascii="Garamond" w:hAnsi="Garamond"/>
          <w:sz w:val="24"/>
          <w:szCs w:val="24"/>
        </w:rPr>
        <w:t>, which does not apply only to children</w:t>
      </w:r>
      <w:r w:rsidR="001C4D87" w:rsidRPr="00E47A79">
        <w:rPr>
          <w:rFonts w:ascii="Garamond" w:hAnsi="Garamond"/>
          <w:sz w:val="24"/>
          <w:szCs w:val="24"/>
        </w:rPr>
        <w:t xml:space="preserve">. According to NHS England it: </w:t>
      </w:r>
      <w:r w:rsidR="0049647B" w:rsidRPr="00E47A79">
        <w:rPr>
          <w:rFonts w:ascii="Garamond" w:hAnsi="Garamond"/>
          <w:sz w:val="24"/>
          <w:szCs w:val="24"/>
        </w:rPr>
        <w:t xml:space="preserve"> </w:t>
      </w:r>
    </w:p>
    <w:p w14:paraId="3FEB7A48" w14:textId="47BEF732" w:rsidR="00A80EA7" w:rsidRPr="00E47A79" w:rsidRDefault="001C4D87" w:rsidP="00A601B9">
      <w:pPr>
        <w:spacing w:line="360" w:lineRule="auto"/>
        <w:ind w:left="397" w:right="397"/>
        <w:rPr>
          <w:rFonts w:ascii="Garamond" w:hAnsi="Garamond"/>
          <w:sz w:val="24"/>
          <w:szCs w:val="24"/>
        </w:rPr>
      </w:pPr>
      <w:r w:rsidRPr="00E47A79">
        <w:rPr>
          <w:rFonts w:ascii="Garamond" w:hAnsi="Garamond"/>
          <w:sz w:val="24"/>
          <w:szCs w:val="24"/>
        </w:rPr>
        <w:t>‘</w:t>
      </w:r>
      <w:r w:rsidR="009E4DD4" w:rsidRPr="00E47A79">
        <w:rPr>
          <w:rFonts w:ascii="Garamond" w:hAnsi="Garamond"/>
          <w:sz w:val="24"/>
          <w:szCs w:val="24"/>
        </w:rPr>
        <w:t xml:space="preserve">expects that cannabis-based products for medicinal use should only be prescribed for indications where there is </w:t>
      </w:r>
      <w:r w:rsidR="009E4DD4" w:rsidRPr="00E47A79">
        <w:rPr>
          <w:rFonts w:ascii="Garamond" w:hAnsi="Garamond"/>
          <w:i/>
          <w:iCs/>
          <w:sz w:val="24"/>
          <w:szCs w:val="24"/>
        </w:rPr>
        <w:t>clear published evidence of benefit</w:t>
      </w:r>
      <w:r w:rsidR="009E4DD4" w:rsidRPr="00E47A79">
        <w:rPr>
          <w:rFonts w:ascii="Garamond" w:hAnsi="Garamond"/>
          <w:sz w:val="24"/>
          <w:szCs w:val="24"/>
        </w:rPr>
        <w:t xml:space="preserve"> or UK Guidelines and in patients </w:t>
      </w:r>
      <w:r w:rsidR="009E4DD4" w:rsidRPr="00E47A79">
        <w:rPr>
          <w:rFonts w:ascii="Garamond" w:hAnsi="Garamond"/>
          <w:sz w:val="24"/>
          <w:szCs w:val="24"/>
        </w:rPr>
        <w:lastRenderedPageBreak/>
        <w:t xml:space="preserve">where there is a clinical need which cannot be met by a licensed medicine and where established treatment options </w:t>
      </w:r>
      <w:r w:rsidR="009E4DD4" w:rsidRPr="00E47A79">
        <w:rPr>
          <w:rFonts w:ascii="Garamond" w:hAnsi="Garamond"/>
          <w:i/>
          <w:iCs/>
          <w:sz w:val="24"/>
          <w:szCs w:val="24"/>
        </w:rPr>
        <w:t>have been exhausted.</w:t>
      </w:r>
      <w:r w:rsidR="009E4DD4" w:rsidRPr="00E47A79">
        <w:rPr>
          <w:rFonts w:ascii="Garamond" w:hAnsi="Garamond"/>
          <w:sz w:val="24"/>
          <w:szCs w:val="24"/>
        </w:rPr>
        <w:t>’</w:t>
      </w:r>
      <w:r w:rsidR="009E4DD4" w:rsidRPr="00E47A79">
        <w:rPr>
          <w:rFonts w:ascii="Garamond" w:hAnsi="Garamond"/>
          <w:sz w:val="24"/>
          <w:szCs w:val="24"/>
          <w:vertAlign w:val="superscript"/>
        </w:rPr>
        <w:footnoteReference w:id="133"/>
      </w:r>
      <w:r w:rsidR="009E4DD4" w:rsidRPr="00E47A79">
        <w:rPr>
          <w:rFonts w:ascii="Garamond" w:hAnsi="Garamond"/>
          <w:sz w:val="24"/>
          <w:szCs w:val="24"/>
        </w:rPr>
        <w:t xml:space="preserve"> </w:t>
      </w:r>
    </w:p>
    <w:p w14:paraId="227EF02A" w14:textId="78C6E4F0" w:rsidR="00640CF4" w:rsidRPr="00E47A79" w:rsidRDefault="002B4E33" w:rsidP="00A601B9">
      <w:pPr>
        <w:spacing w:line="360" w:lineRule="auto"/>
        <w:rPr>
          <w:rFonts w:ascii="Garamond" w:hAnsi="Garamond"/>
          <w:sz w:val="24"/>
          <w:szCs w:val="24"/>
        </w:rPr>
      </w:pPr>
      <w:bookmarkStart w:id="7" w:name="_Hlk42965884"/>
      <w:r w:rsidRPr="00E47A79">
        <w:rPr>
          <w:rFonts w:ascii="Garamond" w:hAnsi="Garamond"/>
          <w:sz w:val="24"/>
          <w:szCs w:val="24"/>
        </w:rPr>
        <w:t xml:space="preserve">If taken literally, </w:t>
      </w:r>
      <w:r w:rsidR="00F64979" w:rsidRPr="00E47A79">
        <w:rPr>
          <w:rFonts w:ascii="Garamond" w:hAnsi="Garamond"/>
          <w:sz w:val="24"/>
          <w:szCs w:val="24"/>
        </w:rPr>
        <w:t>NHS England’s stipulation that</w:t>
      </w:r>
      <w:r w:rsidRPr="00E47A79">
        <w:rPr>
          <w:rFonts w:ascii="Garamond" w:hAnsi="Garamond"/>
          <w:sz w:val="24"/>
          <w:szCs w:val="24"/>
        </w:rPr>
        <w:t xml:space="preserve"> access</w:t>
      </w:r>
      <w:r w:rsidR="00F64979" w:rsidRPr="00E47A79">
        <w:rPr>
          <w:rFonts w:ascii="Garamond" w:hAnsi="Garamond"/>
          <w:sz w:val="24"/>
          <w:szCs w:val="24"/>
        </w:rPr>
        <w:t xml:space="preserve"> should be</w:t>
      </w:r>
      <w:r w:rsidRPr="00E47A79">
        <w:rPr>
          <w:rFonts w:ascii="Garamond" w:hAnsi="Garamond"/>
          <w:sz w:val="24"/>
          <w:szCs w:val="24"/>
        </w:rPr>
        <w:t xml:space="preserve"> contingent on having ‘exhausted’ all conventional treatment options </w:t>
      </w:r>
      <w:r w:rsidR="00093EEE" w:rsidRPr="00E47A79">
        <w:rPr>
          <w:rFonts w:ascii="Garamond" w:hAnsi="Garamond"/>
          <w:sz w:val="24"/>
          <w:szCs w:val="24"/>
        </w:rPr>
        <w:t xml:space="preserve">could </w:t>
      </w:r>
      <w:r w:rsidRPr="00E47A79">
        <w:rPr>
          <w:rFonts w:ascii="Garamond" w:hAnsi="Garamond"/>
          <w:sz w:val="24"/>
          <w:szCs w:val="24"/>
        </w:rPr>
        <w:t xml:space="preserve">be extremely onerous, as it </w:t>
      </w:r>
      <w:r w:rsidR="00093EEE" w:rsidRPr="00E47A79">
        <w:rPr>
          <w:rFonts w:ascii="Garamond" w:hAnsi="Garamond"/>
          <w:sz w:val="24"/>
          <w:szCs w:val="24"/>
        </w:rPr>
        <w:t>may</w:t>
      </w:r>
      <w:r w:rsidRPr="00E47A79">
        <w:rPr>
          <w:rFonts w:ascii="Garamond" w:hAnsi="Garamond"/>
          <w:sz w:val="24"/>
          <w:szCs w:val="24"/>
        </w:rPr>
        <w:t xml:space="preserve"> involve trying any number of options first</w:t>
      </w:r>
      <w:r w:rsidR="00297902" w:rsidRPr="00E47A79">
        <w:rPr>
          <w:rFonts w:ascii="Garamond" w:hAnsi="Garamond"/>
          <w:sz w:val="24"/>
          <w:szCs w:val="24"/>
        </w:rPr>
        <w:t>, many of which</w:t>
      </w:r>
      <w:r w:rsidR="00D84794">
        <w:rPr>
          <w:rFonts w:ascii="Garamond" w:hAnsi="Garamond"/>
          <w:sz w:val="24"/>
          <w:szCs w:val="24"/>
        </w:rPr>
        <w:t xml:space="preserve"> will</w:t>
      </w:r>
      <w:r w:rsidR="00297902" w:rsidRPr="00E47A79">
        <w:rPr>
          <w:rFonts w:ascii="Garamond" w:hAnsi="Garamond"/>
          <w:sz w:val="24"/>
          <w:szCs w:val="24"/>
        </w:rPr>
        <w:t xml:space="preserve"> have far from benign risk burden</w:t>
      </w:r>
      <w:r w:rsidR="00D84794">
        <w:rPr>
          <w:rFonts w:ascii="Garamond" w:hAnsi="Garamond"/>
          <w:sz w:val="24"/>
          <w:szCs w:val="24"/>
        </w:rPr>
        <w:t>s. It will also take</w:t>
      </w:r>
      <w:r w:rsidR="00297902" w:rsidRPr="00E47A79">
        <w:rPr>
          <w:rFonts w:ascii="Garamond" w:hAnsi="Garamond"/>
          <w:sz w:val="24"/>
          <w:szCs w:val="24"/>
        </w:rPr>
        <w:t xml:space="preserve"> a substantial amount of time </w:t>
      </w:r>
      <w:r w:rsidRPr="00E47A79">
        <w:rPr>
          <w:rFonts w:ascii="Garamond" w:hAnsi="Garamond"/>
          <w:sz w:val="24"/>
          <w:szCs w:val="24"/>
        </w:rPr>
        <w:t xml:space="preserve">to verify whether </w:t>
      </w:r>
      <w:r w:rsidR="00297902" w:rsidRPr="00E47A79">
        <w:rPr>
          <w:rFonts w:ascii="Garamond" w:hAnsi="Garamond"/>
          <w:sz w:val="24"/>
          <w:szCs w:val="24"/>
        </w:rPr>
        <w:t>each</w:t>
      </w:r>
      <w:r w:rsidRPr="00E47A79">
        <w:rPr>
          <w:rFonts w:ascii="Garamond" w:hAnsi="Garamond"/>
          <w:sz w:val="24"/>
          <w:szCs w:val="24"/>
        </w:rPr>
        <w:t xml:space="preserve"> drug is or is not working adequately</w:t>
      </w:r>
      <w:r w:rsidR="003F0756" w:rsidRPr="00E47A79">
        <w:rPr>
          <w:rFonts w:ascii="Garamond" w:hAnsi="Garamond"/>
          <w:sz w:val="24"/>
          <w:szCs w:val="24"/>
        </w:rPr>
        <w:t>.</w:t>
      </w:r>
      <w:r w:rsidR="00DA5D4D">
        <w:rPr>
          <w:rFonts w:ascii="Garamond" w:hAnsi="Garamond"/>
          <w:sz w:val="24"/>
          <w:szCs w:val="24"/>
        </w:rPr>
        <w:t xml:space="preserve">  </w:t>
      </w:r>
      <w:r w:rsidR="003F0756" w:rsidRPr="00E47A79">
        <w:rPr>
          <w:rFonts w:ascii="Garamond" w:hAnsi="Garamond"/>
          <w:sz w:val="24"/>
          <w:szCs w:val="24"/>
        </w:rPr>
        <w:t>A</w:t>
      </w:r>
      <w:r w:rsidRPr="00E47A79">
        <w:rPr>
          <w:rFonts w:ascii="Garamond" w:hAnsi="Garamond"/>
          <w:sz w:val="24"/>
          <w:szCs w:val="24"/>
        </w:rPr>
        <w:t>ll of</w:t>
      </w:r>
      <w:r w:rsidR="00DA5D4D">
        <w:rPr>
          <w:rFonts w:ascii="Garamond" w:hAnsi="Garamond"/>
          <w:sz w:val="24"/>
          <w:szCs w:val="24"/>
        </w:rPr>
        <w:t xml:space="preserve"> this</w:t>
      </w:r>
      <w:r w:rsidRPr="00E47A79">
        <w:rPr>
          <w:rFonts w:ascii="Garamond" w:hAnsi="Garamond"/>
          <w:sz w:val="24"/>
          <w:szCs w:val="24"/>
        </w:rPr>
        <w:t xml:space="preserve"> is made the more burdensome by current waiting times to see specialists.</w:t>
      </w:r>
      <w:r w:rsidRPr="00E47A79">
        <w:rPr>
          <w:rFonts w:ascii="Garamond" w:hAnsi="Garamond"/>
          <w:sz w:val="24"/>
          <w:szCs w:val="24"/>
          <w:vertAlign w:val="superscript"/>
        </w:rPr>
        <w:footnoteReference w:id="134"/>
      </w:r>
      <w:r w:rsidRPr="00E47A79">
        <w:rPr>
          <w:rFonts w:ascii="Garamond" w:hAnsi="Garamond"/>
          <w:sz w:val="24"/>
          <w:szCs w:val="24"/>
        </w:rPr>
        <w:t xml:space="preserve"> A further</w:t>
      </w:r>
      <w:r w:rsidR="00760E87" w:rsidRPr="00E47A79">
        <w:rPr>
          <w:rFonts w:ascii="Garamond" w:hAnsi="Garamond"/>
          <w:sz w:val="24"/>
          <w:szCs w:val="24"/>
        </w:rPr>
        <w:t xml:space="preserve"> problem with</w:t>
      </w:r>
      <w:r w:rsidR="00002460" w:rsidRPr="00E47A79">
        <w:rPr>
          <w:rFonts w:ascii="Garamond" w:hAnsi="Garamond"/>
          <w:sz w:val="24"/>
          <w:szCs w:val="24"/>
        </w:rPr>
        <w:t xml:space="preserve"> the language of</w:t>
      </w:r>
      <w:r w:rsidR="00760E87" w:rsidRPr="00E47A79">
        <w:rPr>
          <w:rFonts w:ascii="Garamond" w:hAnsi="Garamond"/>
          <w:sz w:val="24"/>
          <w:szCs w:val="24"/>
        </w:rPr>
        <w:t xml:space="preserve"> last resort in the interim guidance is that it</w:t>
      </w:r>
      <w:r w:rsidR="00E30E69" w:rsidRPr="00E47A79">
        <w:rPr>
          <w:rFonts w:ascii="Garamond" w:hAnsi="Garamond"/>
          <w:sz w:val="24"/>
          <w:szCs w:val="24"/>
        </w:rPr>
        <w:t xml:space="preserve"> encourages</w:t>
      </w:r>
      <w:r w:rsidR="00760E87" w:rsidRPr="00E47A79">
        <w:rPr>
          <w:rFonts w:ascii="Garamond" w:hAnsi="Garamond"/>
          <w:sz w:val="24"/>
          <w:szCs w:val="24"/>
        </w:rPr>
        <w:t xml:space="preserve"> doctors </w:t>
      </w:r>
      <w:r w:rsidR="00E30E69" w:rsidRPr="00E47A79">
        <w:rPr>
          <w:rFonts w:ascii="Garamond" w:hAnsi="Garamond"/>
          <w:sz w:val="24"/>
          <w:szCs w:val="24"/>
        </w:rPr>
        <w:t>to view</w:t>
      </w:r>
      <w:r w:rsidR="00760E87" w:rsidRPr="00E47A79">
        <w:rPr>
          <w:rFonts w:ascii="Garamond" w:hAnsi="Garamond"/>
          <w:sz w:val="24"/>
          <w:szCs w:val="24"/>
        </w:rPr>
        <w:t xml:space="preserve"> </w:t>
      </w:r>
      <w:r w:rsidR="00E30E69" w:rsidRPr="00E47A79">
        <w:rPr>
          <w:rFonts w:ascii="Garamond" w:hAnsi="Garamond"/>
          <w:sz w:val="24"/>
          <w:szCs w:val="24"/>
        </w:rPr>
        <w:t>‘</w:t>
      </w:r>
      <w:r w:rsidR="00760E87" w:rsidRPr="00E47A79">
        <w:rPr>
          <w:rFonts w:ascii="Garamond" w:hAnsi="Garamond"/>
          <w:sz w:val="24"/>
          <w:szCs w:val="24"/>
        </w:rPr>
        <w:t>unlicensed</w:t>
      </w:r>
      <w:r w:rsidR="00E30E69" w:rsidRPr="00E47A79">
        <w:rPr>
          <w:rFonts w:ascii="Garamond" w:hAnsi="Garamond"/>
          <w:sz w:val="24"/>
          <w:szCs w:val="24"/>
        </w:rPr>
        <w:t>’</w:t>
      </w:r>
      <w:r w:rsidR="00760E87" w:rsidRPr="00E47A79">
        <w:rPr>
          <w:rFonts w:ascii="Garamond" w:hAnsi="Garamond"/>
          <w:sz w:val="24"/>
          <w:szCs w:val="24"/>
        </w:rPr>
        <w:t xml:space="preserve"> status </w:t>
      </w:r>
      <w:r w:rsidR="00E30E69" w:rsidRPr="00E47A79">
        <w:rPr>
          <w:rFonts w:ascii="Garamond" w:hAnsi="Garamond"/>
          <w:sz w:val="24"/>
          <w:szCs w:val="24"/>
        </w:rPr>
        <w:t>a</w:t>
      </w:r>
      <w:r w:rsidR="00760E87" w:rsidRPr="00E47A79">
        <w:rPr>
          <w:rFonts w:ascii="Garamond" w:hAnsi="Garamond"/>
          <w:sz w:val="24"/>
          <w:szCs w:val="24"/>
        </w:rPr>
        <w:t xml:space="preserve">s a proxy measure of </w:t>
      </w:r>
      <w:r w:rsidR="00E30E69" w:rsidRPr="00E47A79">
        <w:rPr>
          <w:rFonts w:ascii="Garamond" w:hAnsi="Garamond"/>
          <w:sz w:val="24"/>
          <w:szCs w:val="24"/>
        </w:rPr>
        <w:t xml:space="preserve">unacceptable </w:t>
      </w:r>
      <w:r w:rsidR="00760E87" w:rsidRPr="00E47A79">
        <w:rPr>
          <w:rFonts w:ascii="Garamond" w:hAnsi="Garamond"/>
          <w:sz w:val="24"/>
          <w:szCs w:val="24"/>
        </w:rPr>
        <w:t xml:space="preserve">risk, </w:t>
      </w:r>
      <w:r w:rsidR="00E30E69" w:rsidRPr="00E47A79">
        <w:rPr>
          <w:rFonts w:ascii="Garamond" w:hAnsi="Garamond"/>
          <w:sz w:val="24"/>
          <w:szCs w:val="24"/>
        </w:rPr>
        <w:t>and to automatically privilege licensed alternatives regardless of their benefit:</w:t>
      </w:r>
      <w:r w:rsidR="00DA5D4D">
        <w:rPr>
          <w:rFonts w:ascii="Garamond" w:hAnsi="Garamond"/>
          <w:sz w:val="24"/>
          <w:szCs w:val="24"/>
        </w:rPr>
        <w:t xml:space="preserve"> </w:t>
      </w:r>
      <w:r w:rsidR="00E30E69" w:rsidRPr="00E47A79">
        <w:rPr>
          <w:rFonts w:ascii="Garamond" w:hAnsi="Garamond"/>
          <w:sz w:val="24"/>
          <w:szCs w:val="24"/>
        </w:rPr>
        <w:t xml:space="preserve">harm ratios. </w:t>
      </w:r>
      <w:r w:rsidR="00760E87" w:rsidRPr="00E47A79">
        <w:rPr>
          <w:rFonts w:ascii="Garamond" w:hAnsi="Garamond"/>
          <w:sz w:val="24"/>
          <w:szCs w:val="24"/>
        </w:rPr>
        <w:t xml:space="preserve">Yet, </w:t>
      </w:r>
      <w:bookmarkEnd w:id="7"/>
      <w:r w:rsidR="00760E87" w:rsidRPr="00E47A79">
        <w:rPr>
          <w:rFonts w:ascii="Garamond" w:hAnsi="Garamond"/>
          <w:sz w:val="24"/>
          <w:szCs w:val="24"/>
        </w:rPr>
        <w:t>l</w:t>
      </w:r>
      <w:r w:rsidR="00640CF4" w:rsidRPr="00E47A79">
        <w:rPr>
          <w:rFonts w:ascii="Garamond" w:hAnsi="Garamond"/>
          <w:sz w:val="24"/>
          <w:szCs w:val="24"/>
        </w:rPr>
        <w:t>icensed medicines for serious health conditions</w:t>
      </w:r>
      <w:r w:rsidR="00EC10C5" w:rsidRPr="00E47A79">
        <w:rPr>
          <w:rFonts w:ascii="Garamond" w:hAnsi="Garamond"/>
          <w:sz w:val="24"/>
          <w:szCs w:val="24"/>
        </w:rPr>
        <w:t xml:space="preserve">, such as AEDs (anti-epilepsy drugs), opioids, </w:t>
      </w:r>
      <w:proofErr w:type="spellStart"/>
      <w:r w:rsidR="00EC10C5" w:rsidRPr="00E47A79">
        <w:rPr>
          <w:rFonts w:ascii="Garamond" w:hAnsi="Garamond"/>
          <w:sz w:val="24"/>
          <w:szCs w:val="24"/>
        </w:rPr>
        <w:t>benzodiazepenes</w:t>
      </w:r>
      <w:proofErr w:type="spellEnd"/>
      <w:r w:rsidR="00EC10C5" w:rsidRPr="00E47A79">
        <w:rPr>
          <w:rFonts w:ascii="Garamond" w:hAnsi="Garamond"/>
          <w:sz w:val="24"/>
          <w:szCs w:val="24"/>
        </w:rPr>
        <w:t xml:space="preserve"> and NSAIDS (nonsteroidal anti-inflammatory drugs)</w:t>
      </w:r>
      <w:r w:rsidR="00640CF4" w:rsidRPr="00E47A79">
        <w:rPr>
          <w:rFonts w:ascii="Garamond" w:hAnsi="Garamond"/>
          <w:sz w:val="24"/>
          <w:szCs w:val="24"/>
        </w:rPr>
        <w:t xml:space="preserve"> </w:t>
      </w:r>
      <w:r w:rsidR="00F85669" w:rsidRPr="00E47A79">
        <w:rPr>
          <w:rFonts w:ascii="Garamond" w:hAnsi="Garamond"/>
          <w:sz w:val="24"/>
          <w:szCs w:val="24"/>
        </w:rPr>
        <w:t>are frequently</w:t>
      </w:r>
      <w:r w:rsidR="00640CF4" w:rsidRPr="00E47A79">
        <w:rPr>
          <w:rFonts w:ascii="Garamond" w:hAnsi="Garamond"/>
          <w:sz w:val="24"/>
          <w:szCs w:val="24"/>
        </w:rPr>
        <w:t xml:space="preserve"> </w:t>
      </w:r>
      <w:r w:rsidR="00EC10C5" w:rsidRPr="00E47A79">
        <w:rPr>
          <w:rFonts w:ascii="Garamond" w:hAnsi="Garamond"/>
          <w:sz w:val="24"/>
          <w:szCs w:val="24"/>
        </w:rPr>
        <w:t>incumbered</w:t>
      </w:r>
      <w:r w:rsidR="00640CF4" w:rsidRPr="00E47A79">
        <w:rPr>
          <w:rFonts w:ascii="Garamond" w:hAnsi="Garamond"/>
          <w:sz w:val="24"/>
          <w:szCs w:val="24"/>
        </w:rPr>
        <w:t xml:space="preserve"> with formidable side-effects and risk profiles, including</w:t>
      </w:r>
      <w:r w:rsidR="00E51352" w:rsidRPr="00E47A79">
        <w:rPr>
          <w:rFonts w:ascii="Garamond" w:hAnsi="Garamond"/>
          <w:sz w:val="24"/>
          <w:szCs w:val="24"/>
        </w:rPr>
        <w:t>, for example,</w:t>
      </w:r>
      <w:r w:rsidR="00640CF4" w:rsidRPr="00E47A79">
        <w:rPr>
          <w:rFonts w:ascii="Garamond" w:hAnsi="Garamond"/>
          <w:sz w:val="24"/>
          <w:szCs w:val="24"/>
        </w:rPr>
        <w:t xml:space="preserve"> </w:t>
      </w:r>
      <w:r w:rsidR="00E51352" w:rsidRPr="00E47A79">
        <w:rPr>
          <w:rFonts w:ascii="Garamond" w:hAnsi="Garamond"/>
          <w:sz w:val="24"/>
          <w:szCs w:val="24"/>
        </w:rPr>
        <w:t xml:space="preserve">renal and cardiac </w:t>
      </w:r>
      <w:r w:rsidR="00640CF4" w:rsidRPr="00E47A79">
        <w:rPr>
          <w:rFonts w:ascii="Garamond" w:hAnsi="Garamond"/>
          <w:sz w:val="24"/>
          <w:szCs w:val="24"/>
        </w:rPr>
        <w:t>risks, blindness, stroke, organ damage</w:t>
      </w:r>
      <w:r w:rsidR="00EC10C5" w:rsidRPr="00E47A79">
        <w:rPr>
          <w:rFonts w:ascii="Garamond" w:hAnsi="Garamond"/>
          <w:sz w:val="24"/>
          <w:szCs w:val="24"/>
        </w:rPr>
        <w:t xml:space="preserve">, </w:t>
      </w:r>
      <w:r w:rsidR="00E51352" w:rsidRPr="00E47A79">
        <w:rPr>
          <w:rFonts w:ascii="Garamond" w:hAnsi="Garamond"/>
          <w:sz w:val="24"/>
          <w:szCs w:val="24"/>
        </w:rPr>
        <w:t xml:space="preserve">gastro-intestinal </w:t>
      </w:r>
      <w:proofErr w:type="gramStart"/>
      <w:r w:rsidR="00E51352" w:rsidRPr="00E47A79">
        <w:rPr>
          <w:rFonts w:ascii="Garamond" w:hAnsi="Garamond"/>
          <w:sz w:val="24"/>
          <w:szCs w:val="24"/>
        </w:rPr>
        <w:t>bleeding</w:t>
      </w:r>
      <w:proofErr w:type="gramEnd"/>
      <w:r w:rsidR="00640CF4" w:rsidRPr="00E47A79">
        <w:rPr>
          <w:rFonts w:ascii="Garamond" w:hAnsi="Garamond"/>
          <w:sz w:val="24"/>
          <w:szCs w:val="24"/>
        </w:rPr>
        <w:t xml:space="preserve"> and dependence.</w:t>
      </w:r>
      <w:r w:rsidR="00640CF4" w:rsidRPr="00E47A79">
        <w:rPr>
          <w:rFonts w:ascii="Garamond" w:hAnsi="Garamond"/>
          <w:sz w:val="24"/>
          <w:szCs w:val="24"/>
          <w:vertAlign w:val="superscript"/>
        </w:rPr>
        <w:footnoteReference w:id="135"/>
      </w:r>
      <w:r w:rsidR="00760E87" w:rsidRPr="00E47A79">
        <w:rPr>
          <w:rFonts w:ascii="Garamond" w:hAnsi="Garamond"/>
          <w:sz w:val="24"/>
          <w:szCs w:val="24"/>
        </w:rPr>
        <w:t xml:space="preserve"> </w:t>
      </w:r>
      <w:r w:rsidR="00F85669" w:rsidRPr="00E47A79">
        <w:rPr>
          <w:rFonts w:ascii="Garamond" w:hAnsi="Garamond"/>
          <w:sz w:val="24"/>
          <w:szCs w:val="24"/>
        </w:rPr>
        <w:t xml:space="preserve"> </w:t>
      </w:r>
    </w:p>
    <w:p w14:paraId="49687D34" w14:textId="6E89A890" w:rsidR="00064AB2" w:rsidRPr="00E47A79" w:rsidRDefault="00064AB2" w:rsidP="00064AB2">
      <w:pPr>
        <w:spacing w:line="360" w:lineRule="auto"/>
        <w:rPr>
          <w:rFonts w:ascii="Garamond" w:hAnsi="Garamond"/>
          <w:sz w:val="24"/>
          <w:szCs w:val="24"/>
        </w:rPr>
      </w:pPr>
      <w:r w:rsidRPr="00E47A79">
        <w:rPr>
          <w:rFonts w:ascii="Garamond" w:hAnsi="Garamond"/>
          <w:sz w:val="24"/>
          <w:szCs w:val="24"/>
        </w:rPr>
        <w:t xml:space="preserve">There is, however, </w:t>
      </w:r>
      <w:r w:rsidR="00EF5287" w:rsidRPr="00E47A79">
        <w:rPr>
          <w:rFonts w:ascii="Garamond" w:hAnsi="Garamond"/>
          <w:sz w:val="24"/>
          <w:szCs w:val="24"/>
        </w:rPr>
        <w:t>a real distinction</w:t>
      </w:r>
      <w:r w:rsidRPr="00E47A79">
        <w:rPr>
          <w:rFonts w:ascii="Garamond" w:hAnsi="Garamond"/>
          <w:sz w:val="24"/>
          <w:szCs w:val="24"/>
        </w:rPr>
        <w:t xml:space="preserve"> between </w:t>
      </w:r>
      <w:r w:rsidR="004B4EB0" w:rsidRPr="00E47A79">
        <w:rPr>
          <w:rFonts w:ascii="Garamond" w:hAnsi="Garamond"/>
          <w:sz w:val="24"/>
          <w:szCs w:val="24"/>
        </w:rPr>
        <w:t xml:space="preserve">the </w:t>
      </w:r>
      <w:proofErr w:type="gramStart"/>
      <w:r w:rsidR="00B72255" w:rsidRPr="00E47A79">
        <w:rPr>
          <w:rFonts w:ascii="Garamond" w:hAnsi="Garamond"/>
          <w:sz w:val="24"/>
          <w:szCs w:val="24"/>
        </w:rPr>
        <w:t>fairly restrictive</w:t>
      </w:r>
      <w:proofErr w:type="gramEnd"/>
      <w:r w:rsidR="00B72255" w:rsidRPr="00E47A79">
        <w:rPr>
          <w:rFonts w:ascii="Garamond" w:hAnsi="Garamond"/>
          <w:sz w:val="24"/>
          <w:szCs w:val="24"/>
        </w:rPr>
        <w:t xml:space="preserve"> </w:t>
      </w:r>
      <w:r w:rsidR="004B4EB0" w:rsidRPr="00E47A79">
        <w:rPr>
          <w:rFonts w:ascii="Garamond" w:hAnsi="Garamond"/>
          <w:sz w:val="24"/>
          <w:szCs w:val="24"/>
        </w:rPr>
        <w:t xml:space="preserve">‘last resort’ stance advocated in some of the interim professional guidance and </w:t>
      </w:r>
      <w:r w:rsidRPr="00E47A79">
        <w:rPr>
          <w:rFonts w:ascii="Garamond" w:hAnsi="Garamond"/>
          <w:sz w:val="24"/>
          <w:szCs w:val="24"/>
        </w:rPr>
        <w:t>the</w:t>
      </w:r>
      <w:r w:rsidR="00B72255" w:rsidRPr="00E47A79">
        <w:rPr>
          <w:rFonts w:ascii="Garamond" w:hAnsi="Garamond"/>
          <w:sz w:val="24"/>
          <w:szCs w:val="24"/>
        </w:rPr>
        <w:t xml:space="preserve"> more liberal</w:t>
      </w:r>
      <w:r w:rsidRPr="00E47A79">
        <w:rPr>
          <w:rFonts w:ascii="Garamond" w:hAnsi="Garamond"/>
          <w:sz w:val="24"/>
          <w:szCs w:val="24"/>
        </w:rPr>
        <w:t xml:space="preserve"> ‘default’ GMC guidance. The GMC’s guidance on prescribing unlicensed medicines</w:t>
      </w:r>
      <w:r w:rsidR="00D36A82" w:rsidRPr="00E47A79">
        <w:rPr>
          <w:rFonts w:ascii="Garamond" w:hAnsi="Garamond"/>
          <w:sz w:val="24"/>
          <w:szCs w:val="24"/>
        </w:rPr>
        <w:t xml:space="preserve"> generally</w:t>
      </w:r>
      <w:r w:rsidRPr="00E47A79">
        <w:rPr>
          <w:rFonts w:ascii="Garamond" w:hAnsi="Garamond"/>
          <w:sz w:val="24"/>
          <w:szCs w:val="24"/>
        </w:rPr>
        <w:t>,</w:t>
      </w:r>
      <w:r w:rsidRPr="00E47A79">
        <w:rPr>
          <w:rFonts w:ascii="Garamond" w:hAnsi="Garamond"/>
          <w:sz w:val="24"/>
          <w:szCs w:val="24"/>
          <w:vertAlign w:val="superscript"/>
        </w:rPr>
        <w:footnoteReference w:id="136"/>
      </w:r>
      <w:r w:rsidRPr="00E47A79">
        <w:rPr>
          <w:rFonts w:ascii="Garamond" w:hAnsi="Garamond"/>
          <w:sz w:val="24"/>
          <w:szCs w:val="24"/>
        </w:rPr>
        <w:t xml:space="preserve"> states that the prescription of unlicensed products is ‘common’ in some areas of medicine,</w:t>
      </w:r>
      <w:r w:rsidRPr="00E47A79">
        <w:rPr>
          <w:rFonts w:ascii="Garamond" w:hAnsi="Garamond"/>
          <w:sz w:val="24"/>
          <w:szCs w:val="24"/>
          <w:vertAlign w:val="superscript"/>
        </w:rPr>
        <w:footnoteReference w:id="137"/>
      </w:r>
      <w:r w:rsidRPr="00E47A79">
        <w:rPr>
          <w:rFonts w:ascii="Garamond" w:hAnsi="Garamond"/>
          <w:sz w:val="24"/>
          <w:szCs w:val="24"/>
        </w:rPr>
        <w:t xml:space="preserve"> and may be ‘necessary’, for example, where licensed medicines ‘do not meet the patient’s needs’.</w:t>
      </w:r>
      <w:r w:rsidRPr="00E47A79">
        <w:rPr>
          <w:rFonts w:ascii="Garamond" w:hAnsi="Garamond"/>
          <w:sz w:val="24"/>
          <w:szCs w:val="24"/>
          <w:vertAlign w:val="superscript"/>
        </w:rPr>
        <w:footnoteReference w:id="138"/>
      </w:r>
      <w:r w:rsidRPr="00E47A79">
        <w:rPr>
          <w:rFonts w:ascii="Garamond" w:hAnsi="Garamond"/>
          <w:sz w:val="24"/>
          <w:szCs w:val="24"/>
        </w:rPr>
        <w:t xml:space="preserve"> There is no ‘last resort’ provision stipulating that the patient must have tried all other available medicines first</w:t>
      </w:r>
      <w:r w:rsidR="00B72255" w:rsidRPr="00E47A79">
        <w:rPr>
          <w:rFonts w:ascii="Garamond" w:hAnsi="Garamond"/>
          <w:sz w:val="24"/>
          <w:szCs w:val="24"/>
        </w:rPr>
        <w:t xml:space="preserve"> (although it is perhaps implicit </w:t>
      </w:r>
      <w:r w:rsidR="00641776" w:rsidRPr="00E47A79">
        <w:rPr>
          <w:rFonts w:ascii="Garamond" w:hAnsi="Garamond"/>
          <w:sz w:val="24"/>
          <w:szCs w:val="24"/>
        </w:rPr>
        <w:t xml:space="preserve">in the wording used </w:t>
      </w:r>
      <w:r w:rsidR="00B72255" w:rsidRPr="00E47A79">
        <w:rPr>
          <w:rFonts w:ascii="Garamond" w:hAnsi="Garamond"/>
          <w:sz w:val="24"/>
          <w:szCs w:val="24"/>
        </w:rPr>
        <w:t>that they should at least have been ‘considered’ first)</w:t>
      </w:r>
      <w:r w:rsidRPr="00E47A79">
        <w:rPr>
          <w:rFonts w:ascii="Garamond" w:hAnsi="Garamond"/>
          <w:sz w:val="24"/>
          <w:szCs w:val="24"/>
        </w:rPr>
        <w:t xml:space="preserve">, and there is no further definition of ‘need’ in the GMC guidance.  ‘Need’ could arguably justify prescription where the patient or their carer has a strong preference for avoiding the usual, licensed treatments because of their known side-effects. We know, for example, that many patients prefer cannabis over </w:t>
      </w:r>
      <w:r w:rsidRPr="00E47A79">
        <w:rPr>
          <w:rFonts w:ascii="Garamond" w:hAnsi="Garamond"/>
          <w:sz w:val="24"/>
          <w:szCs w:val="24"/>
        </w:rPr>
        <w:lastRenderedPageBreak/>
        <w:t xml:space="preserve">licensed opioids </w:t>
      </w:r>
      <w:r w:rsidR="00E30E69" w:rsidRPr="00E47A79">
        <w:rPr>
          <w:rFonts w:ascii="Garamond" w:hAnsi="Garamond"/>
          <w:sz w:val="24"/>
          <w:szCs w:val="24"/>
        </w:rPr>
        <w:t xml:space="preserve">because of the latter’s </w:t>
      </w:r>
      <w:r w:rsidRPr="00E47A79">
        <w:rPr>
          <w:rFonts w:ascii="Garamond" w:hAnsi="Garamond"/>
          <w:sz w:val="24"/>
          <w:szCs w:val="24"/>
        </w:rPr>
        <w:t>daunting side effect profile.  This is referenced in many court judgments both here and in other jurisdictions</w:t>
      </w:r>
      <w:r w:rsidRPr="00E47A79">
        <w:rPr>
          <w:rFonts w:ascii="Garamond" w:hAnsi="Garamond"/>
          <w:sz w:val="24"/>
          <w:szCs w:val="24"/>
          <w:vertAlign w:val="superscript"/>
        </w:rPr>
        <w:footnoteReference w:id="139"/>
      </w:r>
      <w:r w:rsidRPr="00E47A79">
        <w:rPr>
          <w:rFonts w:ascii="Garamond" w:hAnsi="Garamond"/>
          <w:sz w:val="24"/>
          <w:szCs w:val="24"/>
        </w:rPr>
        <w:t xml:space="preserve">, including </w:t>
      </w:r>
      <w:r w:rsidRPr="00E47A79">
        <w:rPr>
          <w:rFonts w:ascii="Garamond" w:hAnsi="Garamond"/>
          <w:i/>
          <w:iCs/>
          <w:sz w:val="24"/>
          <w:szCs w:val="24"/>
        </w:rPr>
        <w:t>R v Brown</w:t>
      </w:r>
      <w:r w:rsidRPr="00E47A79">
        <w:rPr>
          <w:rFonts w:ascii="Garamond" w:hAnsi="Garamond"/>
          <w:sz w:val="24"/>
          <w:szCs w:val="24"/>
          <w:vertAlign w:val="superscript"/>
        </w:rPr>
        <w:footnoteReference w:id="140"/>
      </w:r>
      <w:r w:rsidRPr="00E47A79">
        <w:rPr>
          <w:rFonts w:ascii="Garamond" w:hAnsi="Garamond"/>
          <w:sz w:val="24"/>
          <w:szCs w:val="24"/>
        </w:rPr>
        <w:t xml:space="preserve"> with the defendant arguing he was taking cannabis unlawfully out of ‘necessity’, as it represented an effective and low risk analgesic</w:t>
      </w:r>
      <w:r w:rsidR="007F198F">
        <w:rPr>
          <w:rFonts w:ascii="Garamond" w:hAnsi="Garamond"/>
          <w:sz w:val="24"/>
          <w:szCs w:val="24"/>
        </w:rPr>
        <w:t xml:space="preserve"> for the pain associated with his MS</w:t>
      </w:r>
      <w:r w:rsidRPr="00E47A79">
        <w:rPr>
          <w:rFonts w:ascii="Garamond" w:hAnsi="Garamond"/>
          <w:sz w:val="24"/>
          <w:szCs w:val="24"/>
        </w:rPr>
        <w:t>, when compared with the available prescription drugs which carried adverse side effects.</w:t>
      </w:r>
      <w:r w:rsidRPr="00E47A79">
        <w:rPr>
          <w:rFonts w:ascii="Garamond" w:hAnsi="Garamond"/>
          <w:sz w:val="24"/>
          <w:szCs w:val="24"/>
          <w:vertAlign w:val="superscript"/>
        </w:rPr>
        <w:footnoteReference w:id="141"/>
      </w:r>
      <w:r w:rsidRPr="00E47A79">
        <w:rPr>
          <w:rFonts w:ascii="Garamond" w:hAnsi="Garamond"/>
          <w:sz w:val="24"/>
          <w:szCs w:val="24"/>
        </w:rPr>
        <w:t xml:space="preserve"> As the GMC’s identification of situations where prescription of unlicensed medicines might be ‘necessary’ is non-exhaustive,</w:t>
      </w:r>
      <w:r w:rsidRPr="00E47A79">
        <w:rPr>
          <w:rFonts w:ascii="Garamond" w:hAnsi="Garamond"/>
          <w:sz w:val="24"/>
          <w:szCs w:val="24"/>
          <w:vertAlign w:val="superscript"/>
        </w:rPr>
        <w:footnoteReference w:id="142"/>
      </w:r>
      <w:r w:rsidRPr="00E47A79">
        <w:rPr>
          <w:rFonts w:ascii="Garamond" w:hAnsi="Garamond"/>
          <w:sz w:val="24"/>
          <w:szCs w:val="24"/>
        </w:rPr>
        <w:t xml:space="preserve"> potentially there is room for a doctor deeming a prescription ‘necessary’ where the patient is currently using cannabis to effectively control their symptoms, but is otherwise compelled to obtain it from the black market, an experience described by the Ontario Court of Appeal</w:t>
      </w:r>
      <w:r w:rsidR="00E93B95" w:rsidRPr="00E47A79">
        <w:rPr>
          <w:rFonts w:ascii="Garamond" w:hAnsi="Garamond"/>
          <w:sz w:val="24"/>
          <w:szCs w:val="24"/>
        </w:rPr>
        <w:t xml:space="preserve"> in </w:t>
      </w:r>
      <w:r w:rsidR="00E93B95" w:rsidRPr="00E47A79">
        <w:rPr>
          <w:rFonts w:ascii="Garamond" w:hAnsi="Garamond"/>
          <w:i/>
          <w:iCs/>
          <w:sz w:val="24"/>
          <w:szCs w:val="24"/>
        </w:rPr>
        <w:t>Hitzig v Canada</w:t>
      </w:r>
      <w:r w:rsidRPr="00E47A79">
        <w:rPr>
          <w:rFonts w:ascii="Garamond" w:hAnsi="Garamond"/>
          <w:sz w:val="24"/>
          <w:szCs w:val="24"/>
        </w:rPr>
        <w:t xml:space="preserve"> as ‘dehumanising and humiliating’ and entailing poor quality control, a  lack of protection from adulteration, consorting with criminals and unpredictability of supply.</w:t>
      </w:r>
      <w:r w:rsidRPr="00E47A79">
        <w:rPr>
          <w:rFonts w:ascii="Garamond" w:hAnsi="Garamond"/>
          <w:sz w:val="24"/>
          <w:szCs w:val="24"/>
          <w:vertAlign w:val="superscript"/>
        </w:rPr>
        <w:footnoteReference w:id="143"/>
      </w:r>
      <w:r w:rsidRPr="00E47A79">
        <w:rPr>
          <w:rFonts w:ascii="Garamond" w:hAnsi="Garamond"/>
          <w:sz w:val="24"/>
          <w:szCs w:val="24"/>
        </w:rPr>
        <w:t xml:space="preserve"> </w:t>
      </w:r>
    </w:p>
    <w:p w14:paraId="48981F30" w14:textId="5AF64F03" w:rsidR="00064AB2" w:rsidRPr="00E47A79" w:rsidRDefault="00064AB2" w:rsidP="00064AB2">
      <w:pPr>
        <w:spacing w:line="360" w:lineRule="auto"/>
        <w:rPr>
          <w:rFonts w:ascii="Garamond" w:hAnsi="Garamond"/>
          <w:sz w:val="24"/>
          <w:szCs w:val="24"/>
        </w:rPr>
      </w:pPr>
      <w:r w:rsidRPr="00E47A79">
        <w:rPr>
          <w:rFonts w:ascii="Garamond" w:hAnsi="Garamond"/>
          <w:sz w:val="24"/>
          <w:szCs w:val="24"/>
        </w:rPr>
        <w:t>The Medical Cannabis Clinicians Society (MCCS), an association led by a team including experts in cannabis</w:t>
      </w:r>
      <w:r w:rsidR="007F198F">
        <w:rPr>
          <w:rFonts w:ascii="Garamond" w:hAnsi="Garamond"/>
          <w:sz w:val="24"/>
          <w:szCs w:val="24"/>
        </w:rPr>
        <w:t>-</w:t>
      </w:r>
      <w:r w:rsidRPr="00E47A79">
        <w:rPr>
          <w:rFonts w:ascii="Garamond" w:hAnsi="Garamond"/>
          <w:sz w:val="24"/>
          <w:szCs w:val="24"/>
        </w:rPr>
        <w:t>based medicine</w:t>
      </w:r>
      <w:r w:rsidR="00E21CD9">
        <w:rPr>
          <w:rFonts w:ascii="Garamond" w:hAnsi="Garamond"/>
          <w:sz w:val="24"/>
          <w:szCs w:val="24"/>
        </w:rPr>
        <w:t>,</w:t>
      </w:r>
      <w:r w:rsidRPr="00E47A79">
        <w:rPr>
          <w:rFonts w:ascii="Garamond" w:hAnsi="Garamond"/>
          <w:sz w:val="24"/>
          <w:szCs w:val="24"/>
        </w:rPr>
        <w:t xml:space="preserve"> issued its own guidance to doctors considering prescribing.</w:t>
      </w:r>
      <w:r w:rsidRPr="00E47A79">
        <w:rPr>
          <w:rFonts w:ascii="Garamond" w:hAnsi="Garamond"/>
          <w:sz w:val="24"/>
          <w:szCs w:val="24"/>
          <w:vertAlign w:val="superscript"/>
        </w:rPr>
        <w:footnoteReference w:id="144"/>
      </w:r>
      <w:r w:rsidRPr="00E47A79">
        <w:rPr>
          <w:rFonts w:ascii="Garamond" w:hAnsi="Garamond"/>
          <w:sz w:val="24"/>
          <w:szCs w:val="24"/>
        </w:rPr>
        <w:t xml:space="preserve"> Aligning itself with the GMC’s </w:t>
      </w:r>
      <w:r w:rsidR="0067049D" w:rsidRPr="00E47A79">
        <w:rPr>
          <w:rFonts w:ascii="Garamond" w:hAnsi="Garamond"/>
          <w:sz w:val="24"/>
          <w:szCs w:val="24"/>
        </w:rPr>
        <w:t xml:space="preserve">default </w:t>
      </w:r>
      <w:r w:rsidRPr="00E47A79">
        <w:rPr>
          <w:rFonts w:ascii="Garamond" w:hAnsi="Garamond"/>
          <w:sz w:val="24"/>
          <w:szCs w:val="24"/>
        </w:rPr>
        <w:t xml:space="preserve">guidance on unlicensed medicines, the MCCS </w:t>
      </w:r>
      <w:r w:rsidR="0067049D" w:rsidRPr="00E47A79">
        <w:rPr>
          <w:rFonts w:ascii="Garamond" w:hAnsi="Garamond"/>
          <w:sz w:val="24"/>
          <w:szCs w:val="24"/>
        </w:rPr>
        <w:t>document</w:t>
      </w:r>
      <w:r w:rsidRPr="00E47A79">
        <w:rPr>
          <w:rFonts w:ascii="Garamond" w:hAnsi="Garamond"/>
          <w:sz w:val="24"/>
          <w:szCs w:val="24"/>
        </w:rPr>
        <w:t xml:space="preserve"> offers a further counter-discourse to </w:t>
      </w:r>
      <w:r w:rsidR="0067049D" w:rsidRPr="00E47A79">
        <w:rPr>
          <w:rFonts w:ascii="Garamond" w:hAnsi="Garamond"/>
          <w:sz w:val="24"/>
          <w:szCs w:val="24"/>
        </w:rPr>
        <w:t>strict applications of the</w:t>
      </w:r>
      <w:r w:rsidRPr="00E47A79">
        <w:rPr>
          <w:rFonts w:ascii="Garamond" w:hAnsi="Garamond"/>
          <w:sz w:val="24"/>
          <w:szCs w:val="24"/>
        </w:rPr>
        <w:t xml:space="preserve"> last resort approach. For example, with regard to epilepsy, the MCCS guidance states that whilst it does not recommend cannabis products as </w:t>
      </w:r>
      <w:r w:rsidR="00E21CD9">
        <w:rPr>
          <w:rFonts w:ascii="Garamond" w:hAnsi="Garamond"/>
          <w:sz w:val="24"/>
          <w:szCs w:val="24"/>
        </w:rPr>
        <w:t>‘</w:t>
      </w:r>
      <w:r w:rsidRPr="00E47A79">
        <w:rPr>
          <w:rFonts w:ascii="Garamond" w:hAnsi="Garamond"/>
          <w:sz w:val="24"/>
          <w:szCs w:val="24"/>
        </w:rPr>
        <w:t>first line treatment</w:t>
      </w:r>
      <w:r w:rsidR="00E21CD9">
        <w:rPr>
          <w:rFonts w:ascii="Garamond" w:hAnsi="Garamond"/>
          <w:sz w:val="24"/>
          <w:szCs w:val="24"/>
        </w:rPr>
        <w:t>’</w:t>
      </w:r>
      <w:r w:rsidRPr="00E47A79">
        <w:rPr>
          <w:rFonts w:ascii="Garamond" w:hAnsi="Garamond"/>
          <w:sz w:val="24"/>
          <w:szCs w:val="24"/>
        </w:rPr>
        <w:t>, equally ‘[cannabis medicines] are not necessarily medicines of last resort’, it being ultimately for the prescriber to determine whether use of the CBMP is ‘reasonable’ with regard to the evidence ‘and the circumstances of the individual patient.’</w:t>
      </w:r>
      <w:r w:rsidRPr="00E47A79">
        <w:rPr>
          <w:rFonts w:ascii="Garamond" w:hAnsi="Garamond"/>
          <w:sz w:val="24"/>
          <w:szCs w:val="24"/>
          <w:vertAlign w:val="superscript"/>
        </w:rPr>
        <w:footnoteReference w:id="145"/>
      </w:r>
      <w:r w:rsidRPr="00E47A79">
        <w:rPr>
          <w:rFonts w:ascii="Garamond" w:hAnsi="Garamond"/>
          <w:sz w:val="24"/>
          <w:szCs w:val="24"/>
        </w:rPr>
        <w:t xml:space="preserve"> This would seem to be in line with the default GMC position,</w:t>
      </w:r>
      <w:r w:rsidR="00691475" w:rsidRPr="00E47A79">
        <w:rPr>
          <w:rFonts w:ascii="Garamond" w:hAnsi="Garamond"/>
          <w:sz w:val="24"/>
          <w:szCs w:val="24"/>
        </w:rPr>
        <w:t xml:space="preserve"> in</w:t>
      </w:r>
      <w:r w:rsidRPr="00E47A79">
        <w:rPr>
          <w:rFonts w:ascii="Garamond" w:hAnsi="Garamond"/>
          <w:sz w:val="24"/>
          <w:szCs w:val="24"/>
        </w:rPr>
        <w:t xml:space="preserve"> privileging the best interests of the patient over any particular stance on prescribing medicinal cannabis. </w:t>
      </w:r>
    </w:p>
    <w:p w14:paraId="754428E0" w14:textId="5E44CFE4" w:rsidR="00D36A82" w:rsidRPr="00E47A79" w:rsidRDefault="00D36A82" w:rsidP="00064AB2">
      <w:pPr>
        <w:spacing w:line="360" w:lineRule="auto"/>
        <w:rPr>
          <w:rFonts w:ascii="Garamond" w:hAnsi="Garamond"/>
          <w:sz w:val="24"/>
          <w:szCs w:val="24"/>
        </w:rPr>
      </w:pPr>
      <w:r w:rsidRPr="00E47A79">
        <w:rPr>
          <w:rFonts w:ascii="Garamond" w:hAnsi="Garamond"/>
          <w:sz w:val="24"/>
          <w:szCs w:val="24"/>
        </w:rPr>
        <w:t>Of course</w:t>
      </w:r>
      <w:r w:rsidR="00644B33">
        <w:rPr>
          <w:rFonts w:ascii="Garamond" w:hAnsi="Garamond"/>
          <w:sz w:val="24"/>
          <w:szCs w:val="24"/>
        </w:rPr>
        <w:t>,</w:t>
      </w:r>
      <w:r w:rsidRPr="00E47A79">
        <w:rPr>
          <w:rFonts w:ascii="Garamond" w:hAnsi="Garamond"/>
          <w:sz w:val="24"/>
          <w:szCs w:val="24"/>
        </w:rPr>
        <w:t xml:space="preserve"> there is not </w:t>
      </w:r>
      <w:r w:rsidRPr="00E47A79">
        <w:rPr>
          <w:rFonts w:ascii="Garamond" w:hAnsi="Garamond"/>
          <w:i/>
          <w:iCs/>
          <w:sz w:val="24"/>
          <w:szCs w:val="24"/>
        </w:rPr>
        <w:t>necessarily</w:t>
      </w:r>
      <w:r w:rsidRPr="00E47A79">
        <w:rPr>
          <w:rFonts w:ascii="Garamond" w:hAnsi="Garamond"/>
          <w:sz w:val="24"/>
          <w:szCs w:val="24"/>
        </w:rPr>
        <w:t xml:space="preserve"> any incompatibility between the GMC’s guidance appearing to be more liberal on the prescribing of unlicensed medicines in general, and guidance from other </w:t>
      </w:r>
      <w:r w:rsidRPr="00E47A79">
        <w:rPr>
          <w:rFonts w:ascii="Garamond" w:hAnsi="Garamond"/>
          <w:sz w:val="24"/>
          <w:szCs w:val="24"/>
        </w:rPr>
        <w:lastRenderedPageBreak/>
        <w:t>sources on specific unlicensed medicines being more restrictive.</w:t>
      </w:r>
      <w:r w:rsidRPr="00E47A79">
        <w:rPr>
          <w:rStyle w:val="FootnoteReference"/>
          <w:rFonts w:ascii="Garamond" w:hAnsi="Garamond"/>
          <w:sz w:val="24"/>
          <w:szCs w:val="24"/>
        </w:rPr>
        <w:footnoteReference w:id="146"/>
      </w:r>
      <w:r w:rsidRPr="00E47A79">
        <w:rPr>
          <w:rFonts w:ascii="Garamond" w:hAnsi="Garamond"/>
          <w:sz w:val="24"/>
          <w:szCs w:val="24"/>
        </w:rPr>
        <w:t xml:space="preserve"> There will be some unlicensed medicines </w:t>
      </w:r>
      <w:r w:rsidR="0067049D" w:rsidRPr="00E47A79">
        <w:rPr>
          <w:rFonts w:ascii="Garamond" w:hAnsi="Garamond"/>
          <w:sz w:val="24"/>
          <w:szCs w:val="24"/>
        </w:rPr>
        <w:t>where</w:t>
      </w:r>
      <w:r w:rsidRPr="00E47A79">
        <w:rPr>
          <w:rFonts w:ascii="Garamond" w:hAnsi="Garamond"/>
          <w:sz w:val="24"/>
          <w:szCs w:val="24"/>
        </w:rPr>
        <w:t xml:space="preserve"> a lot is known about the relative risks and outcomes</w:t>
      </w:r>
      <w:r w:rsidR="0067049D" w:rsidRPr="00E47A79">
        <w:rPr>
          <w:rFonts w:ascii="Garamond" w:hAnsi="Garamond"/>
          <w:sz w:val="24"/>
          <w:szCs w:val="24"/>
        </w:rPr>
        <w:t>,</w:t>
      </w:r>
      <w:r w:rsidRPr="00E47A79">
        <w:rPr>
          <w:rFonts w:ascii="Garamond" w:hAnsi="Garamond"/>
          <w:sz w:val="24"/>
          <w:szCs w:val="24"/>
        </w:rPr>
        <w:t xml:space="preserve"> and others where the risk profile remains very uncertain. What is clear however, is that the </w:t>
      </w:r>
      <w:r w:rsidR="007F198F">
        <w:rPr>
          <w:rFonts w:ascii="Garamond" w:hAnsi="Garamond"/>
          <w:sz w:val="24"/>
          <w:szCs w:val="24"/>
        </w:rPr>
        <w:t xml:space="preserve">guidance specific to </w:t>
      </w:r>
      <w:r w:rsidRPr="00E47A79">
        <w:rPr>
          <w:rFonts w:ascii="Garamond" w:hAnsi="Garamond"/>
          <w:sz w:val="24"/>
          <w:szCs w:val="24"/>
        </w:rPr>
        <w:t xml:space="preserve">cannabis medicines takes a more restrictive stance on prescribing, and that in the case of </w:t>
      </w:r>
      <w:proofErr w:type="gramStart"/>
      <w:r w:rsidRPr="00E47A79">
        <w:rPr>
          <w:rFonts w:ascii="Garamond" w:hAnsi="Garamond"/>
          <w:sz w:val="24"/>
          <w:szCs w:val="24"/>
        </w:rPr>
        <w:t>NHS England in particular, appears</w:t>
      </w:r>
      <w:proofErr w:type="gramEnd"/>
      <w:r w:rsidRPr="00E47A79">
        <w:rPr>
          <w:rFonts w:ascii="Garamond" w:hAnsi="Garamond"/>
          <w:sz w:val="24"/>
          <w:szCs w:val="24"/>
        </w:rPr>
        <w:t xml:space="preserve"> to adopt wording</w:t>
      </w:r>
      <w:r w:rsidR="00EF5287" w:rsidRPr="00E47A79">
        <w:rPr>
          <w:rFonts w:ascii="Garamond" w:hAnsi="Garamond"/>
          <w:sz w:val="24"/>
          <w:szCs w:val="24"/>
        </w:rPr>
        <w:t xml:space="preserve"> which implies </w:t>
      </w:r>
      <w:r w:rsidRPr="00E47A79">
        <w:rPr>
          <w:rFonts w:ascii="Garamond" w:hAnsi="Garamond"/>
          <w:sz w:val="24"/>
          <w:szCs w:val="24"/>
        </w:rPr>
        <w:t xml:space="preserve">that </w:t>
      </w:r>
      <w:r w:rsidR="00EF5287" w:rsidRPr="00E47A79">
        <w:rPr>
          <w:rFonts w:ascii="Garamond" w:hAnsi="Garamond"/>
          <w:i/>
          <w:iCs/>
          <w:sz w:val="24"/>
          <w:szCs w:val="24"/>
        </w:rPr>
        <w:t>all</w:t>
      </w:r>
      <w:r w:rsidR="00EF5287" w:rsidRPr="00E47A79">
        <w:rPr>
          <w:rFonts w:ascii="Garamond" w:hAnsi="Garamond"/>
          <w:sz w:val="24"/>
          <w:szCs w:val="24"/>
        </w:rPr>
        <w:t xml:space="preserve"> available options ought to have been tried first (rather than just considered). </w:t>
      </w:r>
    </w:p>
    <w:p w14:paraId="3FB38798" w14:textId="19D541D8" w:rsidR="00AB109F" w:rsidRPr="00E47A79" w:rsidRDefault="00612774" w:rsidP="00AB109F">
      <w:pPr>
        <w:spacing w:line="360" w:lineRule="auto"/>
        <w:rPr>
          <w:rFonts w:ascii="Garamond" w:hAnsi="Garamond"/>
          <w:i/>
          <w:iCs/>
          <w:sz w:val="24"/>
          <w:szCs w:val="24"/>
        </w:rPr>
      </w:pPr>
      <w:r w:rsidRPr="00E47A79">
        <w:rPr>
          <w:rFonts w:ascii="Garamond" w:hAnsi="Garamond"/>
          <w:i/>
          <w:iCs/>
          <w:sz w:val="24"/>
          <w:szCs w:val="24"/>
        </w:rPr>
        <w:t xml:space="preserve">Reserving </w:t>
      </w:r>
      <w:r w:rsidR="00AB109F" w:rsidRPr="00E47A79">
        <w:rPr>
          <w:rFonts w:ascii="Garamond" w:hAnsi="Garamond"/>
          <w:i/>
          <w:iCs/>
          <w:sz w:val="24"/>
          <w:szCs w:val="24"/>
        </w:rPr>
        <w:t>Prescribing for Specialis</w:t>
      </w:r>
      <w:r w:rsidRPr="00E47A79">
        <w:rPr>
          <w:rFonts w:ascii="Garamond" w:hAnsi="Garamond"/>
          <w:i/>
          <w:iCs/>
          <w:sz w:val="24"/>
          <w:szCs w:val="24"/>
        </w:rPr>
        <w:t>ts</w:t>
      </w:r>
    </w:p>
    <w:p w14:paraId="40B41FE1" w14:textId="333F9427" w:rsidR="00AB109F" w:rsidRPr="00E47A79" w:rsidRDefault="00002460" w:rsidP="00AB109F">
      <w:pPr>
        <w:spacing w:line="360" w:lineRule="auto"/>
        <w:rPr>
          <w:rFonts w:ascii="Garamond" w:hAnsi="Garamond"/>
          <w:sz w:val="24"/>
          <w:szCs w:val="24"/>
        </w:rPr>
      </w:pPr>
      <w:r w:rsidRPr="00E47A79">
        <w:rPr>
          <w:rFonts w:ascii="Garamond" w:hAnsi="Garamond"/>
          <w:sz w:val="24"/>
          <w:szCs w:val="24"/>
        </w:rPr>
        <w:t xml:space="preserve">The </w:t>
      </w:r>
      <w:r w:rsidR="00346F16" w:rsidRPr="00E47A79">
        <w:rPr>
          <w:rFonts w:ascii="Garamond" w:hAnsi="Garamond"/>
          <w:sz w:val="24"/>
          <w:szCs w:val="24"/>
        </w:rPr>
        <w:t>‘</w:t>
      </w:r>
      <w:r w:rsidRPr="00E47A79">
        <w:rPr>
          <w:rFonts w:ascii="Garamond" w:hAnsi="Garamond"/>
          <w:sz w:val="24"/>
          <w:szCs w:val="24"/>
        </w:rPr>
        <w:t>l</w:t>
      </w:r>
      <w:r w:rsidR="00AB109F" w:rsidRPr="00E47A79">
        <w:rPr>
          <w:rFonts w:ascii="Garamond" w:hAnsi="Garamond"/>
          <w:sz w:val="24"/>
          <w:szCs w:val="24"/>
        </w:rPr>
        <w:t>ast resort</w:t>
      </w:r>
      <w:r w:rsidR="00346F16" w:rsidRPr="00E47A79">
        <w:rPr>
          <w:rFonts w:ascii="Garamond" w:hAnsi="Garamond"/>
          <w:sz w:val="24"/>
          <w:szCs w:val="24"/>
        </w:rPr>
        <w:t>’</w:t>
      </w:r>
      <w:r w:rsidR="00AB109F" w:rsidRPr="00E47A79">
        <w:rPr>
          <w:rFonts w:ascii="Garamond" w:hAnsi="Garamond"/>
          <w:sz w:val="24"/>
          <w:szCs w:val="24"/>
        </w:rPr>
        <w:t xml:space="preserve"> </w:t>
      </w:r>
      <w:r w:rsidRPr="00E47A79">
        <w:rPr>
          <w:rFonts w:ascii="Garamond" w:hAnsi="Garamond"/>
          <w:sz w:val="24"/>
          <w:szCs w:val="24"/>
        </w:rPr>
        <w:t>stance</w:t>
      </w:r>
      <w:r w:rsidR="00AB109F" w:rsidRPr="00E47A79">
        <w:rPr>
          <w:rFonts w:ascii="Garamond" w:hAnsi="Garamond"/>
          <w:sz w:val="24"/>
          <w:szCs w:val="24"/>
        </w:rPr>
        <w:t xml:space="preserve"> is underscored by the 2018 regulations</w:t>
      </w:r>
      <w:r w:rsidR="00346F16" w:rsidRPr="00E47A79">
        <w:rPr>
          <w:rFonts w:ascii="Garamond" w:hAnsi="Garamond"/>
          <w:sz w:val="24"/>
          <w:szCs w:val="24"/>
        </w:rPr>
        <w:t xml:space="preserve">’ reserving of </w:t>
      </w:r>
      <w:r w:rsidR="00AB109F" w:rsidRPr="00E47A79">
        <w:rPr>
          <w:rFonts w:ascii="Garamond" w:hAnsi="Garamond"/>
          <w:sz w:val="24"/>
          <w:szCs w:val="24"/>
        </w:rPr>
        <w:t>the act of prescribing in the first instance to specialists (consultants).</w:t>
      </w:r>
      <w:r w:rsidR="00AB109F" w:rsidRPr="00E47A79">
        <w:rPr>
          <w:rFonts w:ascii="Garamond" w:hAnsi="Garamond"/>
          <w:sz w:val="24"/>
          <w:szCs w:val="24"/>
          <w:vertAlign w:val="superscript"/>
        </w:rPr>
        <w:footnoteReference w:id="147"/>
      </w:r>
      <w:r w:rsidR="00AB109F" w:rsidRPr="00E47A79">
        <w:rPr>
          <w:rFonts w:ascii="Garamond" w:hAnsi="Garamond"/>
          <w:sz w:val="24"/>
          <w:szCs w:val="24"/>
        </w:rPr>
        <w:t xml:space="preserve"> Thereafter, prescription can be continued by others, provided it remains under the direction of the specialist.</w:t>
      </w:r>
      <w:r w:rsidR="00AB109F" w:rsidRPr="00E47A79">
        <w:rPr>
          <w:rFonts w:ascii="Garamond" w:hAnsi="Garamond"/>
          <w:sz w:val="24"/>
          <w:szCs w:val="24"/>
          <w:vertAlign w:val="superscript"/>
        </w:rPr>
        <w:footnoteReference w:id="148"/>
      </w:r>
      <w:r w:rsidR="00AB109F" w:rsidRPr="00E47A79">
        <w:rPr>
          <w:rFonts w:ascii="Garamond" w:hAnsi="Garamond"/>
          <w:sz w:val="24"/>
          <w:szCs w:val="24"/>
        </w:rPr>
        <w:t xml:space="preserve"> This is distinct from the position for </w:t>
      </w:r>
      <w:r w:rsidR="006F3E56" w:rsidRPr="00E47A79">
        <w:rPr>
          <w:rFonts w:ascii="Garamond" w:hAnsi="Garamond"/>
          <w:sz w:val="24"/>
          <w:szCs w:val="24"/>
        </w:rPr>
        <w:t xml:space="preserve">some </w:t>
      </w:r>
      <w:r w:rsidR="00AB109F" w:rsidRPr="00E47A79">
        <w:rPr>
          <w:rFonts w:ascii="Garamond" w:hAnsi="Garamond"/>
          <w:sz w:val="24"/>
          <w:szCs w:val="24"/>
        </w:rPr>
        <w:t>other unlicensed medicinal products which can be prescribed by specialists, General Practitioners (GPs), ‘dentists; independent nurse and pharmacist prescribers and, in some circumstances, supplementary prescribers (who can be a pharmacist, nurse, midwife, community nurse, optometrist, physiotherapist, radiographer, or chiropodist/podiatrist</w:t>
      </w:r>
      <w:r w:rsidR="00644B33">
        <w:rPr>
          <w:rFonts w:ascii="Garamond" w:hAnsi="Garamond"/>
          <w:sz w:val="24"/>
          <w:szCs w:val="24"/>
        </w:rPr>
        <w:t>)</w:t>
      </w:r>
      <w:r w:rsidR="007F198F">
        <w:rPr>
          <w:rFonts w:ascii="Garamond" w:hAnsi="Garamond"/>
          <w:sz w:val="24"/>
          <w:szCs w:val="24"/>
        </w:rPr>
        <w:t>’</w:t>
      </w:r>
      <w:r w:rsidR="00644B33">
        <w:rPr>
          <w:rFonts w:ascii="Garamond" w:hAnsi="Garamond"/>
          <w:sz w:val="24"/>
          <w:szCs w:val="24"/>
        </w:rPr>
        <w:t>.</w:t>
      </w:r>
      <w:r w:rsidR="00AB109F" w:rsidRPr="00E47A79">
        <w:rPr>
          <w:rFonts w:ascii="Garamond" w:hAnsi="Garamond"/>
          <w:sz w:val="24"/>
          <w:szCs w:val="24"/>
          <w:vertAlign w:val="superscript"/>
        </w:rPr>
        <w:footnoteReference w:id="149"/>
      </w:r>
      <w:r w:rsidR="00AB109F" w:rsidRPr="00E47A79">
        <w:rPr>
          <w:rFonts w:ascii="Garamond" w:hAnsi="Garamond"/>
          <w:sz w:val="24"/>
          <w:szCs w:val="24"/>
        </w:rPr>
        <w:t xml:space="preserve"> </w:t>
      </w:r>
      <w:r w:rsidR="006F3E56" w:rsidRPr="00E47A79">
        <w:rPr>
          <w:rFonts w:ascii="Garamond" w:hAnsi="Garamond"/>
          <w:sz w:val="24"/>
          <w:szCs w:val="24"/>
        </w:rPr>
        <w:t xml:space="preserve">It is clear therefore that not all unlicensed product prescribing is </w:t>
      </w:r>
      <w:r w:rsidR="00F17407" w:rsidRPr="00E47A79">
        <w:rPr>
          <w:rFonts w:ascii="Garamond" w:hAnsi="Garamond"/>
          <w:sz w:val="24"/>
          <w:szCs w:val="24"/>
        </w:rPr>
        <w:t>restricted to</w:t>
      </w:r>
      <w:r w:rsidR="00644B33">
        <w:rPr>
          <w:rFonts w:ascii="Garamond" w:hAnsi="Garamond"/>
          <w:sz w:val="24"/>
          <w:szCs w:val="24"/>
        </w:rPr>
        <w:t xml:space="preserve"> consultants</w:t>
      </w:r>
      <w:r w:rsidR="00F17407" w:rsidRPr="00E47A79">
        <w:rPr>
          <w:rFonts w:ascii="Garamond" w:hAnsi="Garamond"/>
          <w:sz w:val="24"/>
          <w:szCs w:val="24"/>
        </w:rPr>
        <w:t xml:space="preserve">. It seems unlikely that a GP would prescribe any medicine that they had not satisfied themselves was appropriate for their patient to try </w:t>
      </w:r>
      <w:proofErr w:type="gramStart"/>
      <w:r w:rsidR="00F17407" w:rsidRPr="00E47A79">
        <w:rPr>
          <w:rFonts w:ascii="Garamond" w:hAnsi="Garamond"/>
          <w:sz w:val="24"/>
          <w:szCs w:val="24"/>
        </w:rPr>
        <w:t>in light of</w:t>
      </w:r>
      <w:proofErr w:type="gramEnd"/>
      <w:r w:rsidR="00F17407" w:rsidRPr="00E47A79">
        <w:rPr>
          <w:rFonts w:ascii="Garamond" w:hAnsi="Garamond"/>
          <w:sz w:val="24"/>
          <w:szCs w:val="24"/>
        </w:rPr>
        <w:t xml:space="preserve"> current evidence on its potential risks and benefits. There are reported instances of GPs being willing to continue to prescribe an unlicensed medicinal cannabis product for their p</w:t>
      </w:r>
      <w:r w:rsidR="00644B33">
        <w:rPr>
          <w:rFonts w:ascii="Garamond" w:hAnsi="Garamond"/>
          <w:sz w:val="24"/>
          <w:szCs w:val="24"/>
        </w:rPr>
        <w:t>a</w:t>
      </w:r>
      <w:r w:rsidR="00F17407" w:rsidRPr="00E47A79">
        <w:rPr>
          <w:rFonts w:ascii="Garamond" w:hAnsi="Garamond"/>
          <w:sz w:val="24"/>
          <w:szCs w:val="24"/>
        </w:rPr>
        <w:t>tient, when prescription is initiated by a consultant, but that the law prevents them from doing so.</w:t>
      </w:r>
      <w:r w:rsidR="00F17407" w:rsidRPr="00E47A79">
        <w:rPr>
          <w:rStyle w:val="FootnoteReference"/>
          <w:rFonts w:ascii="Garamond" w:hAnsi="Garamond"/>
          <w:sz w:val="24"/>
          <w:szCs w:val="24"/>
        </w:rPr>
        <w:footnoteReference w:id="150"/>
      </w:r>
      <w:r w:rsidR="00F17407" w:rsidRPr="00E47A79">
        <w:rPr>
          <w:rFonts w:ascii="Garamond" w:hAnsi="Garamond"/>
          <w:sz w:val="24"/>
          <w:szCs w:val="24"/>
        </w:rPr>
        <w:t xml:space="preserve">  E</w:t>
      </w:r>
      <w:r w:rsidR="00AB109F" w:rsidRPr="00E47A79">
        <w:rPr>
          <w:rFonts w:ascii="Garamond" w:hAnsi="Garamond"/>
          <w:sz w:val="24"/>
          <w:szCs w:val="24"/>
        </w:rPr>
        <w:t>xcluding GPs from initiating a</w:t>
      </w:r>
      <w:r w:rsidR="000B4F3D" w:rsidRPr="00E47A79">
        <w:rPr>
          <w:rFonts w:ascii="Garamond" w:hAnsi="Garamond"/>
          <w:sz w:val="24"/>
          <w:szCs w:val="24"/>
        </w:rPr>
        <w:t>n unlicensed CBMP</w:t>
      </w:r>
      <w:r w:rsidR="00AB109F" w:rsidRPr="00E47A79">
        <w:rPr>
          <w:rFonts w:ascii="Garamond" w:hAnsi="Garamond"/>
          <w:sz w:val="24"/>
          <w:szCs w:val="24"/>
        </w:rPr>
        <w:t xml:space="preserve"> prescription, </w:t>
      </w:r>
      <w:r w:rsidR="00F17407" w:rsidRPr="00E47A79">
        <w:rPr>
          <w:rFonts w:ascii="Garamond" w:hAnsi="Garamond"/>
          <w:sz w:val="24"/>
          <w:szCs w:val="24"/>
        </w:rPr>
        <w:t>reduces</w:t>
      </w:r>
      <w:r w:rsidR="00377B2B" w:rsidRPr="00E47A79">
        <w:rPr>
          <w:rFonts w:ascii="Garamond" w:hAnsi="Garamond"/>
          <w:sz w:val="24"/>
          <w:szCs w:val="24"/>
        </w:rPr>
        <w:t xml:space="preserve"> </w:t>
      </w:r>
      <w:r w:rsidR="00AB109F" w:rsidRPr="00E47A79">
        <w:rPr>
          <w:rFonts w:ascii="Garamond" w:hAnsi="Garamond"/>
          <w:sz w:val="24"/>
          <w:szCs w:val="24"/>
        </w:rPr>
        <w:t>the pool of (initial) prescribers by more than half.</w:t>
      </w:r>
      <w:r w:rsidR="00AB109F" w:rsidRPr="00E47A79">
        <w:rPr>
          <w:rFonts w:ascii="Garamond" w:hAnsi="Garamond"/>
          <w:sz w:val="24"/>
          <w:szCs w:val="24"/>
          <w:vertAlign w:val="superscript"/>
        </w:rPr>
        <w:footnoteReference w:id="151"/>
      </w:r>
      <w:r w:rsidR="00AB109F" w:rsidRPr="00E47A79">
        <w:rPr>
          <w:rFonts w:ascii="Garamond" w:hAnsi="Garamond"/>
          <w:sz w:val="24"/>
          <w:szCs w:val="24"/>
        </w:rPr>
        <w:t xml:space="preserve"> It </w:t>
      </w:r>
      <w:r w:rsidR="00F17407" w:rsidRPr="00E47A79">
        <w:rPr>
          <w:rFonts w:ascii="Garamond" w:hAnsi="Garamond"/>
          <w:sz w:val="24"/>
          <w:szCs w:val="24"/>
        </w:rPr>
        <w:t>may</w:t>
      </w:r>
      <w:r w:rsidR="00AB109F" w:rsidRPr="00E47A79">
        <w:rPr>
          <w:rFonts w:ascii="Garamond" w:hAnsi="Garamond"/>
          <w:sz w:val="24"/>
          <w:szCs w:val="24"/>
        </w:rPr>
        <w:t xml:space="preserve"> therefore be viewed </w:t>
      </w:r>
      <w:r w:rsidR="006F3E56" w:rsidRPr="00E47A79">
        <w:rPr>
          <w:rFonts w:ascii="Garamond" w:hAnsi="Garamond"/>
          <w:sz w:val="24"/>
          <w:szCs w:val="24"/>
        </w:rPr>
        <w:t xml:space="preserve">in part </w:t>
      </w:r>
      <w:r w:rsidR="00AB109F" w:rsidRPr="00E47A79">
        <w:rPr>
          <w:rFonts w:ascii="Garamond" w:hAnsi="Garamond"/>
          <w:sz w:val="24"/>
          <w:szCs w:val="24"/>
        </w:rPr>
        <w:t xml:space="preserve">as a </w:t>
      </w:r>
      <w:r w:rsidR="006A0510" w:rsidRPr="00E47A79">
        <w:rPr>
          <w:rFonts w:ascii="Garamond" w:hAnsi="Garamond"/>
          <w:sz w:val="24"/>
          <w:szCs w:val="24"/>
        </w:rPr>
        <w:t xml:space="preserve">rationing </w:t>
      </w:r>
      <w:r w:rsidR="00AB109F" w:rsidRPr="00E47A79">
        <w:rPr>
          <w:rFonts w:ascii="Garamond" w:hAnsi="Garamond"/>
          <w:sz w:val="24"/>
          <w:szCs w:val="24"/>
        </w:rPr>
        <w:t>measure, whilst also</w:t>
      </w:r>
      <w:r w:rsidR="0076030D" w:rsidRPr="00E47A79">
        <w:rPr>
          <w:rFonts w:ascii="Garamond" w:hAnsi="Garamond"/>
          <w:sz w:val="24"/>
          <w:szCs w:val="24"/>
        </w:rPr>
        <w:t xml:space="preserve"> functioning to </w:t>
      </w:r>
      <w:r w:rsidR="00AB109F" w:rsidRPr="00E47A79">
        <w:rPr>
          <w:rFonts w:ascii="Garamond" w:hAnsi="Garamond"/>
          <w:sz w:val="24"/>
          <w:szCs w:val="24"/>
        </w:rPr>
        <w:t xml:space="preserve"> corroborat</w:t>
      </w:r>
      <w:r w:rsidR="0076030D" w:rsidRPr="00E47A79">
        <w:rPr>
          <w:rFonts w:ascii="Garamond" w:hAnsi="Garamond"/>
          <w:sz w:val="24"/>
          <w:szCs w:val="24"/>
        </w:rPr>
        <w:t>e</w:t>
      </w:r>
      <w:r w:rsidR="00AB109F" w:rsidRPr="00E47A79">
        <w:rPr>
          <w:rFonts w:ascii="Garamond" w:hAnsi="Garamond"/>
          <w:sz w:val="24"/>
          <w:szCs w:val="24"/>
        </w:rPr>
        <w:t xml:space="preserve"> the message that concerns around safety and efficacy place these drugs beyond the competence of GPs. </w:t>
      </w:r>
      <w:proofErr w:type="gramStart"/>
      <w:r w:rsidR="00AB109F" w:rsidRPr="00E47A79">
        <w:rPr>
          <w:rFonts w:ascii="Garamond" w:hAnsi="Garamond"/>
          <w:sz w:val="24"/>
          <w:szCs w:val="24"/>
        </w:rPr>
        <w:t>It is clear that families</w:t>
      </w:r>
      <w:proofErr w:type="gramEnd"/>
      <w:r w:rsidR="00AB109F" w:rsidRPr="00E47A79">
        <w:rPr>
          <w:rFonts w:ascii="Garamond" w:hAnsi="Garamond"/>
          <w:sz w:val="24"/>
          <w:szCs w:val="24"/>
        </w:rPr>
        <w:t xml:space="preserve"> are continuing </w:t>
      </w:r>
      <w:r w:rsidR="00AB109F" w:rsidRPr="00E47A79">
        <w:rPr>
          <w:rFonts w:ascii="Garamond" w:hAnsi="Garamond"/>
          <w:sz w:val="24"/>
          <w:szCs w:val="24"/>
        </w:rPr>
        <w:lastRenderedPageBreak/>
        <w:t>to make long monthly journeys to consultants, despite the intention that ‘shared care’ would remove this burden.</w:t>
      </w:r>
      <w:r w:rsidR="00AB109F" w:rsidRPr="00E47A79">
        <w:rPr>
          <w:rFonts w:ascii="Garamond" w:hAnsi="Garamond"/>
          <w:sz w:val="24"/>
          <w:szCs w:val="24"/>
          <w:vertAlign w:val="superscript"/>
        </w:rPr>
        <w:footnoteReference w:id="152"/>
      </w:r>
      <w:r w:rsidR="00AB109F" w:rsidRPr="00E47A79">
        <w:rPr>
          <w:rFonts w:ascii="Garamond" w:hAnsi="Garamond"/>
          <w:sz w:val="24"/>
          <w:szCs w:val="24"/>
        </w:rPr>
        <w:t xml:space="preserve">  </w:t>
      </w:r>
    </w:p>
    <w:p w14:paraId="66EA65B3" w14:textId="77777777" w:rsidR="006D0971" w:rsidRPr="00E47A79" w:rsidRDefault="006D0971" w:rsidP="00AB109F">
      <w:pPr>
        <w:spacing w:line="360" w:lineRule="auto"/>
        <w:rPr>
          <w:rFonts w:ascii="Garamond" w:hAnsi="Garamond"/>
          <w:sz w:val="24"/>
          <w:szCs w:val="24"/>
        </w:rPr>
      </w:pPr>
    </w:p>
    <w:p w14:paraId="1779F34F" w14:textId="3404E710" w:rsidR="006412AC" w:rsidRPr="00E47A79" w:rsidRDefault="004D1917" w:rsidP="00A601B9">
      <w:pPr>
        <w:spacing w:line="360" w:lineRule="auto"/>
        <w:jc w:val="center"/>
        <w:rPr>
          <w:rFonts w:ascii="Garamond" w:hAnsi="Garamond"/>
          <w:sz w:val="24"/>
          <w:szCs w:val="24"/>
        </w:rPr>
      </w:pPr>
      <w:r w:rsidRPr="00E47A79">
        <w:rPr>
          <w:rFonts w:ascii="Garamond" w:hAnsi="Garamond"/>
          <w:i/>
          <w:iCs/>
          <w:sz w:val="24"/>
          <w:szCs w:val="24"/>
        </w:rPr>
        <w:t>B.</w:t>
      </w:r>
      <w:r w:rsidR="00F51498" w:rsidRPr="00E47A79">
        <w:rPr>
          <w:rFonts w:ascii="Garamond" w:hAnsi="Garamond"/>
          <w:i/>
          <w:iCs/>
          <w:sz w:val="24"/>
          <w:szCs w:val="24"/>
        </w:rPr>
        <w:t xml:space="preserve"> </w:t>
      </w:r>
      <w:r w:rsidR="006412AC" w:rsidRPr="00E47A79">
        <w:rPr>
          <w:rFonts w:ascii="Garamond" w:hAnsi="Garamond"/>
          <w:i/>
          <w:iCs/>
          <w:sz w:val="24"/>
          <w:szCs w:val="24"/>
        </w:rPr>
        <w:t>At your own risk</w:t>
      </w:r>
      <w:r w:rsidR="006412AC" w:rsidRPr="00E47A79">
        <w:rPr>
          <w:rFonts w:ascii="Garamond" w:hAnsi="Garamond"/>
          <w:sz w:val="24"/>
          <w:szCs w:val="24"/>
        </w:rPr>
        <w:t>!</w:t>
      </w:r>
      <w:r w:rsidR="00233AED" w:rsidRPr="00E47A79">
        <w:rPr>
          <w:rFonts w:ascii="Garamond" w:hAnsi="Garamond"/>
          <w:sz w:val="24"/>
          <w:szCs w:val="24"/>
        </w:rPr>
        <w:t xml:space="preserve"> </w:t>
      </w:r>
    </w:p>
    <w:p w14:paraId="3A1FA524" w14:textId="4F95F464" w:rsidR="00B062D7" w:rsidRPr="00E47A79" w:rsidRDefault="00E20792" w:rsidP="00343F28">
      <w:pPr>
        <w:spacing w:line="360" w:lineRule="auto"/>
        <w:rPr>
          <w:rFonts w:ascii="Garamond" w:hAnsi="Garamond"/>
          <w:sz w:val="24"/>
          <w:szCs w:val="24"/>
        </w:rPr>
      </w:pPr>
      <w:r w:rsidRPr="00E47A79">
        <w:rPr>
          <w:rFonts w:ascii="Garamond" w:hAnsi="Garamond"/>
          <w:sz w:val="24"/>
          <w:szCs w:val="24"/>
        </w:rPr>
        <w:t>Article 5(1) of the</w:t>
      </w:r>
      <w:r w:rsidR="006A7AF5" w:rsidRPr="00E47A79">
        <w:rPr>
          <w:rFonts w:ascii="Garamond" w:hAnsi="Garamond"/>
          <w:sz w:val="24"/>
          <w:szCs w:val="24"/>
        </w:rPr>
        <w:t xml:space="preserve"> Medicinal Products </w:t>
      </w:r>
      <w:r w:rsidRPr="00E47A79">
        <w:rPr>
          <w:rFonts w:ascii="Garamond" w:hAnsi="Garamond"/>
          <w:sz w:val="24"/>
          <w:szCs w:val="24"/>
        </w:rPr>
        <w:t>Directive 2001</w:t>
      </w:r>
      <w:r w:rsidR="006A7AF5" w:rsidRPr="00E47A79">
        <w:rPr>
          <w:rFonts w:ascii="Garamond" w:hAnsi="Garamond"/>
          <w:sz w:val="24"/>
          <w:szCs w:val="24"/>
        </w:rPr>
        <w:t>/83/EC</w:t>
      </w:r>
      <w:r w:rsidRPr="00E47A79">
        <w:rPr>
          <w:rFonts w:ascii="Garamond" w:hAnsi="Garamond"/>
          <w:sz w:val="24"/>
          <w:szCs w:val="24"/>
        </w:rPr>
        <w:t xml:space="preserve"> enables </w:t>
      </w:r>
      <w:r w:rsidR="00080DC4" w:rsidRPr="00E47A79">
        <w:rPr>
          <w:rFonts w:ascii="Garamond" w:hAnsi="Garamond"/>
          <w:sz w:val="24"/>
          <w:szCs w:val="24"/>
        </w:rPr>
        <w:t xml:space="preserve">the </w:t>
      </w:r>
      <w:r w:rsidRPr="00E47A79">
        <w:rPr>
          <w:rFonts w:ascii="Garamond" w:hAnsi="Garamond"/>
          <w:sz w:val="24"/>
          <w:szCs w:val="24"/>
        </w:rPr>
        <w:t xml:space="preserve">prescribing </w:t>
      </w:r>
      <w:r w:rsidR="00080DC4" w:rsidRPr="00E47A79">
        <w:rPr>
          <w:rFonts w:ascii="Garamond" w:hAnsi="Garamond"/>
          <w:sz w:val="24"/>
          <w:szCs w:val="24"/>
        </w:rPr>
        <w:t xml:space="preserve">of </w:t>
      </w:r>
      <w:r w:rsidRPr="00E47A79">
        <w:rPr>
          <w:rFonts w:ascii="Garamond" w:hAnsi="Garamond"/>
          <w:sz w:val="24"/>
          <w:szCs w:val="24"/>
        </w:rPr>
        <w:t xml:space="preserve">unlicensed medicines, on a named patient basis (sometimes known as ‘specials’) </w:t>
      </w:r>
      <w:r w:rsidR="00E41B20" w:rsidRPr="00E47A79">
        <w:rPr>
          <w:rFonts w:ascii="Garamond" w:hAnsi="Garamond"/>
          <w:sz w:val="24"/>
          <w:szCs w:val="24"/>
        </w:rPr>
        <w:t xml:space="preserve">‘for use by an individual patient under his [the prescriber’s] </w:t>
      </w:r>
      <w:r w:rsidRPr="00E47A79">
        <w:rPr>
          <w:rFonts w:ascii="Garamond" w:hAnsi="Garamond"/>
          <w:sz w:val="24"/>
          <w:szCs w:val="24"/>
        </w:rPr>
        <w:t>‘direct personal responsibility.’</w:t>
      </w:r>
      <w:r w:rsidR="00343F28" w:rsidRPr="00E47A79">
        <w:rPr>
          <w:rFonts w:ascii="Garamond" w:hAnsi="Garamond"/>
          <w:sz w:val="24"/>
          <w:szCs w:val="24"/>
        </w:rPr>
        <w:t xml:space="preserve"> The meaning of ‘direct personal responsibility’ is unclear</w:t>
      </w:r>
      <w:r w:rsidR="00BC1812" w:rsidRPr="00E47A79">
        <w:rPr>
          <w:rFonts w:ascii="Garamond" w:hAnsi="Garamond"/>
          <w:sz w:val="24"/>
          <w:szCs w:val="24"/>
        </w:rPr>
        <w:t>,</w:t>
      </w:r>
      <w:r w:rsidR="00343F28" w:rsidRPr="00E47A79">
        <w:rPr>
          <w:rFonts w:ascii="Garamond" w:hAnsi="Garamond"/>
          <w:sz w:val="24"/>
          <w:szCs w:val="24"/>
        </w:rPr>
        <w:t xml:space="preserve"> but t</w:t>
      </w:r>
      <w:r w:rsidR="002334E2" w:rsidRPr="00E47A79">
        <w:rPr>
          <w:rFonts w:ascii="Garamond" w:hAnsi="Garamond"/>
          <w:sz w:val="24"/>
          <w:szCs w:val="24"/>
        </w:rPr>
        <w:t>he</w:t>
      </w:r>
      <w:r w:rsidR="00343F28" w:rsidRPr="00E47A79">
        <w:rPr>
          <w:rFonts w:ascii="Garamond" w:hAnsi="Garamond"/>
          <w:sz w:val="24"/>
          <w:szCs w:val="24"/>
        </w:rPr>
        <w:t xml:space="preserve"> UK regulations</w:t>
      </w:r>
      <w:r w:rsidR="002334E2" w:rsidRPr="00E47A79">
        <w:rPr>
          <w:rFonts w:ascii="Garamond" w:hAnsi="Garamond"/>
          <w:sz w:val="24"/>
          <w:szCs w:val="24"/>
        </w:rPr>
        <w:t xml:space="preserve"> on prescribing unlicensed medicines</w:t>
      </w:r>
      <w:r w:rsidR="00343F28" w:rsidRPr="00E47A79">
        <w:rPr>
          <w:rFonts w:ascii="Garamond" w:hAnsi="Garamond"/>
          <w:sz w:val="24"/>
          <w:szCs w:val="24"/>
        </w:rPr>
        <w:t xml:space="preserve"> </w:t>
      </w:r>
      <w:r w:rsidR="00E40877" w:rsidRPr="00E47A79">
        <w:rPr>
          <w:rFonts w:ascii="Garamond" w:hAnsi="Garamond"/>
          <w:sz w:val="24"/>
          <w:szCs w:val="24"/>
        </w:rPr>
        <w:t>translate these words into a requirement that  prescriber</w:t>
      </w:r>
      <w:r w:rsidR="002334E2" w:rsidRPr="00E47A79">
        <w:rPr>
          <w:rFonts w:ascii="Garamond" w:hAnsi="Garamond"/>
          <w:sz w:val="24"/>
          <w:szCs w:val="24"/>
        </w:rPr>
        <w:t>s</w:t>
      </w:r>
      <w:r w:rsidR="00E40877" w:rsidRPr="00E47A79">
        <w:rPr>
          <w:rFonts w:ascii="Garamond" w:hAnsi="Garamond"/>
          <w:sz w:val="24"/>
          <w:szCs w:val="24"/>
        </w:rPr>
        <w:t xml:space="preserve"> must only prescribe </w:t>
      </w:r>
      <w:r w:rsidR="002334E2" w:rsidRPr="00E47A79">
        <w:rPr>
          <w:rFonts w:ascii="Garamond" w:hAnsi="Garamond"/>
          <w:sz w:val="24"/>
          <w:szCs w:val="24"/>
        </w:rPr>
        <w:t>these</w:t>
      </w:r>
      <w:r w:rsidR="00343F28" w:rsidRPr="00E47A79">
        <w:rPr>
          <w:rFonts w:ascii="Garamond" w:hAnsi="Garamond"/>
          <w:sz w:val="24"/>
          <w:szCs w:val="24"/>
        </w:rPr>
        <w:t xml:space="preserve"> medicines for </w:t>
      </w:r>
      <w:r w:rsidR="002334E2" w:rsidRPr="00E47A79">
        <w:rPr>
          <w:rFonts w:ascii="Garamond" w:hAnsi="Garamond"/>
          <w:sz w:val="24"/>
          <w:szCs w:val="24"/>
        </w:rPr>
        <w:t>those</w:t>
      </w:r>
      <w:r w:rsidR="00343F28" w:rsidRPr="00E47A79">
        <w:rPr>
          <w:rFonts w:ascii="Garamond" w:hAnsi="Garamond"/>
          <w:sz w:val="24"/>
          <w:szCs w:val="24"/>
        </w:rPr>
        <w:t xml:space="preserve"> </w:t>
      </w:r>
      <w:r w:rsidR="0064254E" w:rsidRPr="00E47A79">
        <w:rPr>
          <w:rFonts w:ascii="Garamond" w:hAnsi="Garamond"/>
          <w:sz w:val="24"/>
          <w:szCs w:val="24"/>
        </w:rPr>
        <w:t>‘</w:t>
      </w:r>
      <w:r w:rsidR="00343F28" w:rsidRPr="00E47A79">
        <w:rPr>
          <w:rFonts w:ascii="Garamond" w:hAnsi="Garamond"/>
          <w:i/>
          <w:iCs/>
          <w:sz w:val="24"/>
          <w:szCs w:val="24"/>
        </w:rPr>
        <w:t xml:space="preserve">for whose treatment </w:t>
      </w:r>
      <w:r w:rsidR="002334E2" w:rsidRPr="00E47A79">
        <w:rPr>
          <w:rFonts w:ascii="Garamond" w:hAnsi="Garamond"/>
          <w:i/>
          <w:iCs/>
          <w:sz w:val="24"/>
          <w:szCs w:val="24"/>
        </w:rPr>
        <w:t>[the prescriber]</w:t>
      </w:r>
      <w:r w:rsidR="00343F28" w:rsidRPr="00E47A79">
        <w:rPr>
          <w:rFonts w:ascii="Garamond" w:hAnsi="Garamond"/>
          <w:i/>
          <w:iCs/>
          <w:sz w:val="24"/>
          <w:szCs w:val="24"/>
        </w:rPr>
        <w:t xml:space="preserve"> is directly responsible</w:t>
      </w:r>
      <w:r w:rsidR="00E41B20" w:rsidRPr="00E47A79">
        <w:rPr>
          <w:rFonts w:ascii="Garamond" w:hAnsi="Garamond"/>
          <w:sz w:val="24"/>
          <w:szCs w:val="24"/>
        </w:rPr>
        <w:t xml:space="preserve"> in order to fulfil the special needs of that patient</w:t>
      </w:r>
      <w:r w:rsidR="00343F28" w:rsidRPr="00E47A79">
        <w:rPr>
          <w:rFonts w:ascii="Garamond" w:hAnsi="Garamond"/>
          <w:sz w:val="24"/>
          <w:szCs w:val="24"/>
        </w:rPr>
        <w:t>.’</w:t>
      </w:r>
      <w:r w:rsidR="00343F28" w:rsidRPr="00E47A79">
        <w:rPr>
          <w:rStyle w:val="FootnoteReference"/>
          <w:rFonts w:ascii="Garamond" w:hAnsi="Garamond"/>
          <w:sz w:val="24"/>
          <w:szCs w:val="24"/>
        </w:rPr>
        <w:footnoteReference w:id="153"/>
      </w:r>
      <w:r w:rsidR="00343F28" w:rsidRPr="00E47A79">
        <w:rPr>
          <w:rFonts w:ascii="Garamond" w:hAnsi="Garamond"/>
          <w:sz w:val="24"/>
          <w:szCs w:val="24"/>
        </w:rPr>
        <w:t xml:space="preserve"> Th</w:t>
      </w:r>
      <w:r w:rsidR="00E40877" w:rsidRPr="00E47A79">
        <w:rPr>
          <w:rFonts w:ascii="Garamond" w:hAnsi="Garamond"/>
          <w:sz w:val="24"/>
          <w:szCs w:val="24"/>
        </w:rPr>
        <w:t>is</w:t>
      </w:r>
      <w:r w:rsidR="00B062D7" w:rsidRPr="00E47A79">
        <w:rPr>
          <w:rFonts w:ascii="Garamond" w:hAnsi="Garamond"/>
          <w:sz w:val="24"/>
          <w:szCs w:val="24"/>
        </w:rPr>
        <w:t xml:space="preserve"> </w:t>
      </w:r>
      <w:r w:rsidR="00E40877" w:rsidRPr="00E47A79">
        <w:rPr>
          <w:rFonts w:ascii="Garamond" w:hAnsi="Garamond"/>
          <w:sz w:val="24"/>
          <w:szCs w:val="24"/>
        </w:rPr>
        <w:t xml:space="preserve">transposed </w:t>
      </w:r>
      <w:r w:rsidR="00B062D7" w:rsidRPr="00E47A79">
        <w:rPr>
          <w:rFonts w:ascii="Garamond" w:hAnsi="Garamond"/>
          <w:sz w:val="24"/>
          <w:szCs w:val="24"/>
        </w:rPr>
        <w:t xml:space="preserve">wording implies a certain relationship between the prescriber and the named patient, that is, </w:t>
      </w:r>
      <w:r w:rsidR="00343F28" w:rsidRPr="00E47A79">
        <w:rPr>
          <w:rFonts w:ascii="Garamond" w:hAnsi="Garamond"/>
          <w:sz w:val="24"/>
          <w:szCs w:val="24"/>
        </w:rPr>
        <w:t xml:space="preserve">that prescribers </w:t>
      </w:r>
      <w:r w:rsidR="00B062D7" w:rsidRPr="00E47A79">
        <w:rPr>
          <w:rFonts w:ascii="Garamond" w:hAnsi="Garamond"/>
          <w:sz w:val="24"/>
          <w:szCs w:val="24"/>
        </w:rPr>
        <w:t>may</w:t>
      </w:r>
      <w:r w:rsidR="00343F28" w:rsidRPr="00E47A79">
        <w:rPr>
          <w:rFonts w:ascii="Garamond" w:hAnsi="Garamond"/>
          <w:sz w:val="24"/>
          <w:szCs w:val="24"/>
        </w:rPr>
        <w:t xml:space="preserve"> only prescribe unlicensed products for those they would describe as their patients and whom they already owe a duty of care to – it communicates little</w:t>
      </w:r>
      <w:r w:rsidR="00E93B95" w:rsidRPr="00E47A79">
        <w:rPr>
          <w:rFonts w:ascii="Garamond" w:hAnsi="Garamond"/>
          <w:sz w:val="24"/>
          <w:szCs w:val="24"/>
        </w:rPr>
        <w:t>, however,</w:t>
      </w:r>
      <w:r w:rsidR="00343F28" w:rsidRPr="00E47A79">
        <w:rPr>
          <w:rFonts w:ascii="Garamond" w:hAnsi="Garamond"/>
          <w:sz w:val="24"/>
          <w:szCs w:val="24"/>
        </w:rPr>
        <w:t xml:space="preserve"> about the </w:t>
      </w:r>
      <w:r w:rsidR="00E40877" w:rsidRPr="00E47A79">
        <w:rPr>
          <w:rFonts w:ascii="Garamond" w:hAnsi="Garamond"/>
          <w:sz w:val="24"/>
          <w:szCs w:val="24"/>
        </w:rPr>
        <w:t xml:space="preserve">content of any </w:t>
      </w:r>
      <w:r w:rsidR="00343F28" w:rsidRPr="00E47A79">
        <w:rPr>
          <w:rFonts w:ascii="Garamond" w:hAnsi="Garamond"/>
          <w:sz w:val="24"/>
          <w:szCs w:val="24"/>
        </w:rPr>
        <w:t>liabilities</w:t>
      </w:r>
      <w:r w:rsidR="007A4751" w:rsidRPr="00E47A79">
        <w:rPr>
          <w:rFonts w:ascii="Garamond" w:hAnsi="Garamond"/>
          <w:sz w:val="24"/>
          <w:szCs w:val="24"/>
        </w:rPr>
        <w:t xml:space="preserve"> (an issue dealt with in further detail below, with specific reference to key standard of care principles</w:t>
      </w:r>
      <w:r w:rsidR="007B72C1" w:rsidRPr="00E47A79">
        <w:rPr>
          <w:rFonts w:ascii="Garamond" w:hAnsi="Garamond"/>
          <w:sz w:val="24"/>
          <w:szCs w:val="24"/>
        </w:rPr>
        <w:t xml:space="preserve"> generated by the judgments in </w:t>
      </w:r>
      <w:proofErr w:type="spellStart"/>
      <w:r w:rsidR="007A4751" w:rsidRPr="00E47A79">
        <w:rPr>
          <w:rFonts w:ascii="Garamond" w:hAnsi="Garamond"/>
          <w:i/>
          <w:iCs/>
          <w:sz w:val="24"/>
          <w:szCs w:val="24"/>
        </w:rPr>
        <w:t>Bolam</w:t>
      </w:r>
      <w:proofErr w:type="spellEnd"/>
      <w:r w:rsidR="007A4751" w:rsidRPr="00E47A79">
        <w:rPr>
          <w:rFonts w:ascii="Garamond" w:hAnsi="Garamond"/>
          <w:i/>
          <w:iCs/>
          <w:sz w:val="24"/>
          <w:szCs w:val="24"/>
        </w:rPr>
        <w:t>, Bolitho</w:t>
      </w:r>
      <w:r w:rsidR="007A4751" w:rsidRPr="00E47A79">
        <w:rPr>
          <w:rFonts w:ascii="Garamond" w:hAnsi="Garamond"/>
          <w:sz w:val="24"/>
          <w:szCs w:val="24"/>
        </w:rPr>
        <w:t xml:space="preserve"> and</w:t>
      </w:r>
      <w:r w:rsidR="007A4751" w:rsidRPr="00E47A79">
        <w:rPr>
          <w:rFonts w:ascii="Garamond" w:hAnsi="Garamond"/>
          <w:i/>
          <w:iCs/>
          <w:sz w:val="24"/>
          <w:szCs w:val="24"/>
        </w:rPr>
        <w:t xml:space="preserve"> Montgomery</w:t>
      </w:r>
      <w:r w:rsidR="007B72C1" w:rsidRPr="00E47A79">
        <w:rPr>
          <w:rStyle w:val="FootnoteReference"/>
          <w:rFonts w:ascii="Garamond" w:hAnsi="Garamond"/>
          <w:sz w:val="24"/>
          <w:szCs w:val="24"/>
        </w:rPr>
        <w:footnoteReference w:id="154"/>
      </w:r>
      <w:r w:rsidR="007A4751" w:rsidRPr="00E47A79">
        <w:t>)</w:t>
      </w:r>
      <w:r w:rsidR="00343F28" w:rsidRPr="00E47A79">
        <w:rPr>
          <w:rFonts w:ascii="Garamond" w:hAnsi="Garamond"/>
          <w:sz w:val="24"/>
          <w:szCs w:val="24"/>
        </w:rPr>
        <w:t xml:space="preserve">. </w:t>
      </w:r>
      <w:r w:rsidR="002334E2" w:rsidRPr="00E47A79">
        <w:rPr>
          <w:rFonts w:ascii="Garamond" w:hAnsi="Garamond"/>
          <w:sz w:val="24"/>
          <w:szCs w:val="24"/>
        </w:rPr>
        <w:t>The GMC’s default guidance makes no specific reference to direct responsibility other than to underline the</w:t>
      </w:r>
      <w:r w:rsidR="002445F1" w:rsidRPr="00E47A79">
        <w:rPr>
          <w:rFonts w:ascii="Garamond" w:hAnsi="Garamond"/>
          <w:sz w:val="24"/>
          <w:szCs w:val="24"/>
        </w:rPr>
        <w:t xml:space="preserve"> ordinary</w:t>
      </w:r>
      <w:r w:rsidR="002334E2" w:rsidRPr="00E47A79">
        <w:rPr>
          <w:rFonts w:ascii="Garamond" w:hAnsi="Garamond"/>
          <w:sz w:val="24"/>
          <w:szCs w:val="24"/>
        </w:rPr>
        <w:t xml:space="preserve"> duty of care of the prescriber with an emphasis on monitoring, saying that doctors prescribing unlicensed medicines must: ‘</w:t>
      </w:r>
      <w:r w:rsidR="002334E2" w:rsidRPr="00E47A79">
        <w:rPr>
          <w:rFonts w:ascii="Garamond" w:hAnsi="Garamond"/>
          <w:i/>
          <w:iCs/>
          <w:sz w:val="24"/>
          <w:szCs w:val="24"/>
        </w:rPr>
        <w:t>take responsibility</w:t>
      </w:r>
      <w:r w:rsidR="002334E2" w:rsidRPr="00E47A79">
        <w:rPr>
          <w:rFonts w:ascii="Garamond" w:hAnsi="Garamond"/>
          <w:b/>
          <w:bCs/>
          <w:sz w:val="24"/>
          <w:szCs w:val="24"/>
        </w:rPr>
        <w:t xml:space="preserve"> </w:t>
      </w:r>
      <w:r w:rsidR="002334E2" w:rsidRPr="00E47A79">
        <w:rPr>
          <w:rFonts w:ascii="Garamond" w:hAnsi="Garamond"/>
          <w:sz w:val="24"/>
          <w:szCs w:val="24"/>
        </w:rPr>
        <w:t>for prescribing the medicine and for overseeing the patient’s care, monitoring, and any follow up treatment.’</w:t>
      </w:r>
      <w:r w:rsidR="002334E2" w:rsidRPr="00E47A79">
        <w:rPr>
          <w:rFonts w:ascii="Garamond" w:hAnsi="Garamond"/>
          <w:sz w:val="24"/>
          <w:szCs w:val="24"/>
          <w:vertAlign w:val="superscript"/>
        </w:rPr>
        <w:footnoteReference w:id="155"/>
      </w:r>
      <w:r w:rsidR="002334E2" w:rsidRPr="00E47A79">
        <w:rPr>
          <w:rFonts w:ascii="Garamond" w:hAnsi="Garamond"/>
          <w:sz w:val="24"/>
          <w:szCs w:val="24"/>
        </w:rPr>
        <w:t xml:space="preserve"> </w:t>
      </w:r>
    </w:p>
    <w:p w14:paraId="04C99F73" w14:textId="0D4E10F7" w:rsidR="00820752" w:rsidRPr="00E47A79" w:rsidRDefault="00B94867" w:rsidP="00A601B9">
      <w:pPr>
        <w:spacing w:line="360" w:lineRule="auto"/>
        <w:rPr>
          <w:rStyle w:val="Emphasis"/>
          <w:rFonts w:ascii="Garamond" w:hAnsi="Garamond"/>
          <w:i w:val="0"/>
          <w:iCs w:val="0"/>
          <w:sz w:val="24"/>
          <w:szCs w:val="24"/>
        </w:rPr>
      </w:pPr>
      <w:r w:rsidRPr="00E47A79">
        <w:rPr>
          <w:rFonts w:ascii="Garamond" w:hAnsi="Garamond"/>
          <w:sz w:val="24"/>
          <w:szCs w:val="24"/>
        </w:rPr>
        <w:t>In other places</w:t>
      </w:r>
      <w:r w:rsidR="00691475" w:rsidRPr="00E47A79">
        <w:rPr>
          <w:rFonts w:ascii="Garamond" w:hAnsi="Garamond"/>
          <w:sz w:val="24"/>
          <w:szCs w:val="24"/>
        </w:rPr>
        <w:t>, however,</w:t>
      </w:r>
      <w:r w:rsidR="00343F28" w:rsidRPr="00E47A79">
        <w:rPr>
          <w:rFonts w:ascii="Garamond" w:hAnsi="Garamond"/>
          <w:sz w:val="24"/>
          <w:szCs w:val="24"/>
        </w:rPr>
        <w:t xml:space="preserve"> the wording ‘direct personal responsibility’ has been seized upon as of grave significance for the prescriber</w:t>
      </w:r>
      <w:r w:rsidR="002445F1" w:rsidRPr="00E47A79">
        <w:rPr>
          <w:rFonts w:ascii="Garamond" w:hAnsi="Garamond"/>
          <w:sz w:val="24"/>
          <w:szCs w:val="24"/>
        </w:rPr>
        <w:t>, hinting at enhanced and unidentified liabilities</w:t>
      </w:r>
      <w:r w:rsidR="00343F28" w:rsidRPr="00E47A79">
        <w:rPr>
          <w:rFonts w:ascii="Garamond" w:hAnsi="Garamond"/>
          <w:sz w:val="24"/>
          <w:szCs w:val="24"/>
        </w:rPr>
        <w:t>.</w:t>
      </w:r>
      <w:r w:rsidR="00B24398" w:rsidRPr="00E47A79">
        <w:rPr>
          <w:rFonts w:ascii="Garamond" w:hAnsi="Garamond"/>
          <w:sz w:val="24"/>
          <w:szCs w:val="24"/>
        </w:rPr>
        <w:t xml:space="preserve"> </w:t>
      </w:r>
      <w:r w:rsidR="002445F1" w:rsidRPr="00E47A79">
        <w:rPr>
          <w:rFonts w:ascii="Garamond" w:hAnsi="Garamond"/>
          <w:sz w:val="24"/>
          <w:szCs w:val="24"/>
        </w:rPr>
        <w:t xml:space="preserve">NHS Trust policies on prescribing unlicensed medicines frequently discourage such prescribing on the vague premise that the prescriber takes on the liabilities of the drug manufacturer or becomes a </w:t>
      </w:r>
      <w:r w:rsidR="002445F1" w:rsidRPr="00E47A79">
        <w:rPr>
          <w:rFonts w:ascii="Garamond" w:hAnsi="Garamond"/>
          <w:sz w:val="24"/>
          <w:szCs w:val="24"/>
        </w:rPr>
        <w:lastRenderedPageBreak/>
        <w:t>‘producer’</w:t>
      </w:r>
      <w:r w:rsidR="00D36667" w:rsidRPr="00E47A79">
        <w:rPr>
          <w:rStyle w:val="FootnoteReference"/>
          <w:rFonts w:ascii="Garamond" w:hAnsi="Garamond"/>
          <w:sz w:val="24"/>
          <w:szCs w:val="24"/>
        </w:rPr>
        <w:footnoteReference w:id="156"/>
      </w:r>
      <w:r w:rsidR="002445F1" w:rsidRPr="00E47A79">
        <w:rPr>
          <w:rFonts w:ascii="Garamond" w:hAnsi="Garamond"/>
          <w:sz w:val="24"/>
          <w:szCs w:val="24"/>
        </w:rPr>
        <w:t xml:space="preserve"> and becomes strictly liable</w:t>
      </w:r>
      <w:r w:rsidR="002445F1" w:rsidRPr="00E47A79">
        <w:rPr>
          <w:rStyle w:val="FootnoteReference"/>
          <w:rFonts w:ascii="Garamond" w:hAnsi="Garamond"/>
          <w:sz w:val="24"/>
          <w:szCs w:val="24"/>
        </w:rPr>
        <w:footnoteReference w:id="157"/>
      </w:r>
      <w:r w:rsidR="002445F1" w:rsidRPr="00E47A79">
        <w:rPr>
          <w:rFonts w:ascii="Garamond" w:hAnsi="Garamond"/>
          <w:sz w:val="24"/>
          <w:szCs w:val="24"/>
        </w:rPr>
        <w:t xml:space="preserve"> for any product defects. </w:t>
      </w:r>
      <w:r w:rsidR="00D36667" w:rsidRPr="00E47A79">
        <w:rPr>
          <w:rFonts w:ascii="Garamond" w:hAnsi="Garamond"/>
          <w:sz w:val="24"/>
          <w:szCs w:val="24"/>
        </w:rPr>
        <w:t xml:space="preserve">Interim professional guidance </w:t>
      </w:r>
      <w:r w:rsidR="00644B33">
        <w:rPr>
          <w:rFonts w:ascii="Garamond" w:hAnsi="Garamond"/>
          <w:sz w:val="24"/>
          <w:szCs w:val="24"/>
        </w:rPr>
        <w:t xml:space="preserve">on medicinal cannabis </w:t>
      </w:r>
      <w:r w:rsidR="00D36667" w:rsidRPr="00E47A79">
        <w:rPr>
          <w:rFonts w:ascii="Garamond" w:hAnsi="Garamond"/>
          <w:sz w:val="24"/>
          <w:szCs w:val="24"/>
        </w:rPr>
        <w:t xml:space="preserve">emphasises that the act of prescribing is fraught with risk for the prescriber. </w:t>
      </w:r>
      <w:r w:rsidR="00B062D7" w:rsidRPr="00E47A79">
        <w:rPr>
          <w:rFonts w:ascii="Garamond" w:hAnsi="Garamond"/>
          <w:sz w:val="24"/>
          <w:szCs w:val="24"/>
        </w:rPr>
        <w:t xml:space="preserve">The wording of the BPNA guidance on prescribing unlicensed CBMPs is </w:t>
      </w:r>
      <w:r w:rsidR="002445F1" w:rsidRPr="00E47A79">
        <w:rPr>
          <w:rFonts w:ascii="Garamond" w:hAnsi="Garamond"/>
          <w:sz w:val="24"/>
          <w:szCs w:val="24"/>
        </w:rPr>
        <w:t>opaque on the matter</w:t>
      </w:r>
      <w:r w:rsidR="00B062D7" w:rsidRPr="00E47A79">
        <w:rPr>
          <w:rFonts w:ascii="Garamond" w:hAnsi="Garamond"/>
          <w:sz w:val="24"/>
          <w:szCs w:val="24"/>
        </w:rPr>
        <w:t>, stating</w:t>
      </w:r>
      <w:r w:rsidR="00016723" w:rsidRPr="00E47A79">
        <w:rPr>
          <w:rFonts w:ascii="Garamond" w:hAnsi="Garamond"/>
          <w:sz w:val="24"/>
          <w:szCs w:val="24"/>
        </w:rPr>
        <w:t xml:space="preserve"> that ‘the responsibility for the prescribing </w:t>
      </w:r>
      <w:r w:rsidR="00016723" w:rsidRPr="00E47A79">
        <w:rPr>
          <w:rFonts w:ascii="Garamond" w:hAnsi="Garamond"/>
          <w:i/>
          <w:iCs/>
          <w:sz w:val="24"/>
          <w:szCs w:val="24"/>
        </w:rPr>
        <w:t>and potential adverse effects of a CBPM prescription will remain with the prescribing clinician.</w:t>
      </w:r>
      <w:r w:rsidR="00016723" w:rsidRPr="00E47A79">
        <w:rPr>
          <w:rFonts w:ascii="Garamond" w:hAnsi="Garamond"/>
          <w:sz w:val="24"/>
          <w:szCs w:val="24"/>
        </w:rPr>
        <w:t>’</w:t>
      </w:r>
      <w:r w:rsidR="00016723" w:rsidRPr="00E47A79">
        <w:rPr>
          <w:rFonts w:ascii="Garamond" w:hAnsi="Garamond"/>
          <w:sz w:val="24"/>
          <w:szCs w:val="24"/>
          <w:vertAlign w:val="superscript"/>
        </w:rPr>
        <w:footnoteReference w:id="158"/>
      </w:r>
      <w:r w:rsidR="00B062D7" w:rsidRPr="00E47A79">
        <w:rPr>
          <w:rFonts w:ascii="Garamond" w:hAnsi="Garamond"/>
          <w:sz w:val="24"/>
          <w:szCs w:val="24"/>
        </w:rPr>
        <w:t xml:space="preserve"> Guidance from the Care Quality Commission </w:t>
      </w:r>
      <w:r w:rsidR="00387D2A" w:rsidRPr="00E47A79">
        <w:rPr>
          <w:rFonts w:ascii="Garamond" w:hAnsi="Garamond"/>
          <w:sz w:val="24"/>
          <w:szCs w:val="24"/>
        </w:rPr>
        <w:t>also adopts the language of responsibility ‘remaining with the prescriber,’</w:t>
      </w:r>
      <w:r w:rsidR="00B062D7" w:rsidRPr="00E47A79">
        <w:rPr>
          <w:rFonts w:ascii="Garamond" w:hAnsi="Garamond"/>
          <w:sz w:val="24"/>
          <w:szCs w:val="24"/>
          <w:vertAlign w:val="superscript"/>
        </w:rPr>
        <w:footnoteReference w:id="159"/>
      </w:r>
      <w:r w:rsidR="00B062D7" w:rsidRPr="00E47A79">
        <w:rPr>
          <w:rFonts w:ascii="Garamond" w:hAnsi="Garamond"/>
          <w:sz w:val="24"/>
          <w:szCs w:val="24"/>
        </w:rPr>
        <w:t xml:space="preserve"> </w:t>
      </w:r>
      <w:r w:rsidR="00387D2A" w:rsidRPr="00E47A79">
        <w:rPr>
          <w:rFonts w:ascii="Garamond" w:hAnsi="Garamond"/>
          <w:sz w:val="24"/>
          <w:szCs w:val="24"/>
        </w:rPr>
        <w:t>and e</w:t>
      </w:r>
      <w:r w:rsidR="00471266" w:rsidRPr="00E47A79">
        <w:rPr>
          <w:rFonts w:ascii="Garamond" w:hAnsi="Garamond"/>
          <w:sz w:val="24"/>
          <w:szCs w:val="24"/>
        </w:rPr>
        <w:t>ven the MCCS notes that prescribers of unlicensed medicines</w:t>
      </w:r>
      <w:r w:rsidR="00471266" w:rsidRPr="00E47A79">
        <w:rPr>
          <w:rFonts w:ascii="Garamond" w:hAnsi="Garamond"/>
          <w:i/>
          <w:iCs/>
          <w:sz w:val="24"/>
          <w:szCs w:val="24"/>
        </w:rPr>
        <w:t xml:space="preserve"> </w:t>
      </w:r>
      <w:r w:rsidR="00471266" w:rsidRPr="00E47A79">
        <w:rPr>
          <w:rStyle w:val="Emphasis"/>
          <w:rFonts w:ascii="Garamond" w:hAnsi="Garamond"/>
          <w:i w:val="0"/>
          <w:iCs w:val="0"/>
          <w:sz w:val="24"/>
          <w:szCs w:val="24"/>
        </w:rPr>
        <w:t>’</w:t>
      </w:r>
      <w:r w:rsidR="00471266" w:rsidRPr="00E47A79">
        <w:rPr>
          <w:rStyle w:val="Emphasis"/>
          <w:rFonts w:ascii="Garamond" w:hAnsi="Garamond"/>
          <w:sz w:val="24"/>
          <w:szCs w:val="24"/>
        </w:rPr>
        <w:t>take full clinical responsibility for any consequences of the prescription</w:t>
      </w:r>
      <w:r w:rsidR="00471266" w:rsidRPr="00E47A79">
        <w:rPr>
          <w:rStyle w:val="Emphasis"/>
          <w:rFonts w:ascii="Garamond" w:hAnsi="Garamond"/>
          <w:i w:val="0"/>
          <w:iCs w:val="0"/>
          <w:sz w:val="24"/>
          <w:szCs w:val="24"/>
        </w:rPr>
        <w:t xml:space="preserve"> and might not be covered by professional indemnity insurance.’</w:t>
      </w:r>
      <w:r w:rsidR="00471266" w:rsidRPr="00E47A79">
        <w:rPr>
          <w:rStyle w:val="FootnoteReference"/>
          <w:rFonts w:ascii="Garamond" w:hAnsi="Garamond"/>
          <w:sz w:val="24"/>
          <w:szCs w:val="24"/>
        </w:rPr>
        <w:footnoteReference w:id="160"/>
      </w:r>
      <w:r w:rsidR="00471266" w:rsidRPr="00E47A79">
        <w:rPr>
          <w:rStyle w:val="Emphasis"/>
          <w:rFonts w:ascii="Garamond" w:hAnsi="Garamond"/>
          <w:i w:val="0"/>
          <w:iCs w:val="0"/>
          <w:sz w:val="24"/>
          <w:szCs w:val="24"/>
        </w:rPr>
        <w:t xml:space="preserve"> </w:t>
      </w:r>
    </w:p>
    <w:p w14:paraId="07F41852" w14:textId="5108BDD7" w:rsidR="00655A89" w:rsidRPr="00E47A79" w:rsidRDefault="00804F8C" w:rsidP="00A601B9">
      <w:pPr>
        <w:spacing w:line="360" w:lineRule="auto"/>
        <w:rPr>
          <w:rFonts w:ascii="Garamond" w:hAnsi="Garamond"/>
          <w:sz w:val="24"/>
          <w:szCs w:val="24"/>
        </w:rPr>
      </w:pPr>
      <w:r w:rsidRPr="00E47A79">
        <w:rPr>
          <w:rStyle w:val="Emphasis"/>
          <w:rFonts w:ascii="Garamond" w:hAnsi="Garamond"/>
          <w:i w:val="0"/>
          <w:iCs w:val="0"/>
          <w:sz w:val="24"/>
          <w:szCs w:val="24"/>
        </w:rPr>
        <w:t>Case law</w:t>
      </w:r>
      <w:r w:rsidR="00820752" w:rsidRPr="00E47A79">
        <w:rPr>
          <w:rStyle w:val="Emphasis"/>
          <w:rFonts w:ascii="Garamond" w:hAnsi="Garamond"/>
          <w:i w:val="0"/>
          <w:iCs w:val="0"/>
          <w:sz w:val="24"/>
          <w:szCs w:val="24"/>
        </w:rPr>
        <w:t xml:space="preserve"> does indeed</w:t>
      </w:r>
      <w:r w:rsidRPr="00E47A79">
        <w:rPr>
          <w:rStyle w:val="Emphasis"/>
          <w:rFonts w:ascii="Garamond" w:hAnsi="Garamond"/>
          <w:i w:val="0"/>
          <w:iCs w:val="0"/>
          <w:sz w:val="24"/>
          <w:szCs w:val="24"/>
        </w:rPr>
        <w:t xml:space="preserve"> recognise that </w:t>
      </w:r>
      <w:r w:rsidRPr="00E47A79">
        <w:rPr>
          <w:rFonts w:ascii="Garamond" w:hAnsi="Garamond"/>
          <w:sz w:val="24"/>
          <w:szCs w:val="24"/>
        </w:rPr>
        <w:t>all off-licence prescribing or prescribing of unlicensed medications is to some extent at the prescriber’s risk,</w:t>
      </w:r>
      <w:r w:rsidRPr="00E47A79">
        <w:rPr>
          <w:rFonts w:ascii="Garamond" w:hAnsi="Garamond"/>
          <w:sz w:val="24"/>
          <w:szCs w:val="24"/>
          <w:vertAlign w:val="superscript"/>
        </w:rPr>
        <w:footnoteReference w:id="161"/>
      </w:r>
      <w:r w:rsidRPr="00E47A79">
        <w:rPr>
          <w:rFonts w:ascii="Garamond" w:hAnsi="Garamond"/>
          <w:sz w:val="24"/>
          <w:szCs w:val="24"/>
        </w:rPr>
        <w:t xml:space="preserve"> as the prescriber cannot refer to the product’s market authorisation </w:t>
      </w:r>
      <w:proofErr w:type="gramStart"/>
      <w:r w:rsidRPr="00E47A79">
        <w:rPr>
          <w:rFonts w:ascii="Garamond" w:hAnsi="Garamond"/>
          <w:sz w:val="24"/>
          <w:szCs w:val="24"/>
        </w:rPr>
        <w:t>in order to</w:t>
      </w:r>
      <w:proofErr w:type="gramEnd"/>
      <w:r w:rsidRPr="00E47A79">
        <w:rPr>
          <w:rFonts w:ascii="Garamond" w:hAnsi="Garamond"/>
          <w:sz w:val="24"/>
          <w:szCs w:val="24"/>
        </w:rPr>
        <w:t xml:space="preserve"> justify either their decision to prescribe or their advice to the patient regarding dosage.  However, t</w:t>
      </w:r>
      <w:r w:rsidR="00016723" w:rsidRPr="00E47A79">
        <w:rPr>
          <w:rFonts w:ascii="Garamond" w:hAnsi="Garamond"/>
          <w:sz w:val="24"/>
          <w:szCs w:val="24"/>
        </w:rPr>
        <w:t xml:space="preserve">he main problem </w:t>
      </w:r>
      <w:r w:rsidR="00387D2A" w:rsidRPr="00E47A79">
        <w:rPr>
          <w:rFonts w:ascii="Garamond" w:hAnsi="Garamond"/>
          <w:sz w:val="24"/>
          <w:szCs w:val="24"/>
        </w:rPr>
        <w:t xml:space="preserve">with </w:t>
      </w:r>
      <w:r w:rsidR="00016723" w:rsidRPr="00E47A79">
        <w:rPr>
          <w:rFonts w:ascii="Garamond" w:hAnsi="Garamond"/>
          <w:sz w:val="24"/>
          <w:szCs w:val="24"/>
        </w:rPr>
        <w:t xml:space="preserve">‘at your own risk’ messaging </w:t>
      </w:r>
      <w:r w:rsidRPr="00E47A79">
        <w:rPr>
          <w:rFonts w:ascii="Garamond" w:hAnsi="Garamond"/>
          <w:sz w:val="24"/>
          <w:szCs w:val="24"/>
        </w:rPr>
        <w:t xml:space="preserve">and ‘responsibility remaining with the prescriber’ </w:t>
      </w:r>
      <w:r w:rsidR="00016723" w:rsidRPr="00E47A79">
        <w:rPr>
          <w:rFonts w:ascii="Garamond" w:hAnsi="Garamond"/>
          <w:sz w:val="24"/>
          <w:szCs w:val="24"/>
        </w:rPr>
        <w:t xml:space="preserve">is </w:t>
      </w:r>
      <w:r w:rsidR="00387D2A" w:rsidRPr="00E47A79">
        <w:rPr>
          <w:rFonts w:ascii="Garamond" w:hAnsi="Garamond"/>
          <w:sz w:val="24"/>
          <w:szCs w:val="24"/>
        </w:rPr>
        <w:t xml:space="preserve">that it is </w:t>
      </w:r>
      <w:r w:rsidR="00820752" w:rsidRPr="00E47A79">
        <w:rPr>
          <w:rFonts w:ascii="Garamond" w:hAnsi="Garamond"/>
          <w:sz w:val="24"/>
          <w:szCs w:val="24"/>
        </w:rPr>
        <w:t>unclear</w:t>
      </w:r>
      <w:r w:rsidR="000A183A" w:rsidRPr="00E47A79">
        <w:rPr>
          <w:rFonts w:ascii="Garamond" w:hAnsi="Garamond"/>
          <w:sz w:val="24"/>
          <w:szCs w:val="24"/>
        </w:rPr>
        <w:t>,</w:t>
      </w:r>
      <w:r w:rsidR="00016723" w:rsidRPr="00E47A79">
        <w:rPr>
          <w:rFonts w:ascii="Garamond" w:hAnsi="Garamond"/>
          <w:sz w:val="24"/>
          <w:szCs w:val="24"/>
        </w:rPr>
        <w:t xml:space="preserve"> and the</w:t>
      </w:r>
      <w:r w:rsidR="00BC1D7C" w:rsidRPr="00E47A79">
        <w:rPr>
          <w:rFonts w:ascii="Garamond" w:hAnsi="Garamond"/>
          <w:sz w:val="24"/>
          <w:szCs w:val="24"/>
        </w:rPr>
        <w:t>re is no attempt t</w:t>
      </w:r>
      <w:r w:rsidR="00016723" w:rsidRPr="00E47A79">
        <w:rPr>
          <w:rFonts w:ascii="Garamond" w:hAnsi="Garamond"/>
          <w:sz w:val="24"/>
          <w:szCs w:val="24"/>
        </w:rPr>
        <w:t xml:space="preserve">o explain the ambit of this ‘responsibility’. In the absence of such an explanation, clinicians may assume the worst, including perhaps that any liability </w:t>
      </w:r>
      <w:r w:rsidR="0064254E" w:rsidRPr="00E47A79">
        <w:rPr>
          <w:rFonts w:ascii="Garamond" w:hAnsi="Garamond"/>
          <w:sz w:val="24"/>
          <w:szCs w:val="24"/>
        </w:rPr>
        <w:t>will</w:t>
      </w:r>
      <w:r w:rsidR="00016723" w:rsidRPr="00E47A79">
        <w:rPr>
          <w:rFonts w:ascii="Garamond" w:hAnsi="Garamond"/>
          <w:sz w:val="24"/>
          <w:szCs w:val="24"/>
        </w:rPr>
        <w:t xml:space="preserve"> be personal and not covered by any indemnity or insurance or that liability would be</w:t>
      </w:r>
      <w:r w:rsidR="0064254E" w:rsidRPr="00E47A79">
        <w:rPr>
          <w:rFonts w:ascii="Garamond" w:hAnsi="Garamond"/>
          <w:sz w:val="24"/>
          <w:szCs w:val="24"/>
        </w:rPr>
        <w:t>, ‘enhanced,’</w:t>
      </w:r>
      <w:r w:rsidR="0064254E" w:rsidRPr="00E47A79">
        <w:rPr>
          <w:rStyle w:val="FootnoteReference"/>
          <w:rFonts w:ascii="Garamond" w:hAnsi="Garamond"/>
          <w:sz w:val="24"/>
          <w:szCs w:val="24"/>
        </w:rPr>
        <w:footnoteReference w:id="162"/>
      </w:r>
      <w:r w:rsidR="00016723" w:rsidRPr="00E47A79">
        <w:rPr>
          <w:rFonts w:ascii="Garamond" w:hAnsi="Garamond"/>
          <w:sz w:val="24"/>
          <w:szCs w:val="24"/>
        </w:rPr>
        <w:t xml:space="preserve"> strict</w:t>
      </w:r>
      <w:r w:rsidR="00AF3F2B" w:rsidRPr="00E47A79">
        <w:rPr>
          <w:rStyle w:val="FootnoteReference"/>
          <w:rFonts w:ascii="Garamond" w:hAnsi="Garamond"/>
          <w:sz w:val="24"/>
          <w:szCs w:val="24"/>
        </w:rPr>
        <w:footnoteReference w:id="163"/>
      </w:r>
      <w:r w:rsidR="00016723" w:rsidRPr="00E47A79">
        <w:rPr>
          <w:rFonts w:ascii="Garamond" w:hAnsi="Garamond"/>
          <w:sz w:val="24"/>
          <w:szCs w:val="24"/>
        </w:rPr>
        <w:t xml:space="preserve"> </w:t>
      </w:r>
      <w:r w:rsidR="0064254E" w:rsidRPr="00E47A79">
        <w:rPr>
          <w:rFonts w:ascii="Garamond" w:hAnsi="Garamond"/>
          <w:sz w:val="24"/>
          <w:szCs w:val="24"/>
        </w:rPr>
        <w:t xml:space="preserve">or even absolute, </w:t>
      </w:r>
      <w:r w:rsidR="00016723" w:rsidRPr="00E47A79">
        <w:rPr>
          <w:rFonts w:ascii="Garamond" w:hAnsi="Garamond"/>
          <w:sz w:val="24"/>
          <w:szCs w:val="24"/>
        </w:rPr>
        <w:t xml:space="preserve">regardless of </w:t>
      </w:r>
      <w:r w:rsidR="0064254E" w:rsidRPr="00E47A79">
        <w:rPr>
          <w:rFonts w:ascii="Garamond" w:hAnsi="Garamond"/>
          <w:sz w:val="24"/>
          <w:szCs w:val="24"/>
        </w:rPr>
        <w:t xml:space="preserve">any </w:t>
      </w:r>
      <w:r w:rsidR="00016723" w:rsidRPr="00E47A79">
        <w:rPr>
          <w:rFonts w:ascii="Garamond" w:hAnsi="Garamond"/>
          <w:sz w:val="24"/>
          <w:szCs w:val="24"/>
        </w:rPr>
        <w:t xml:space="preserve">reasonable care exercised by the prescriber. </w:t>
      </w:r>
      <w:r w:rsidR="00972568" w:rsidRPr="00E47A79">
        <w:rPr>
          <w:rFonts w:ascii="Garamond" w:hAnsi="Garamond"/>
          <w:sz w:val="24"/>
          <w:szCs w:val="24"/>
        </w:rPr>
        <w:t>Policies on prescribing unlicensed medicines frequently state that the ‘prescriber may be called upon to justify his actions in the event of an adverse reaction,’</w:t>
      </w:r>
      <w:r w:rsidR="00972568" w:rsidRPr="00E47A79">
        <w:rPr>
          <w:rStyle w:val="FootnoteReference"/>
          <w:rFonts w:ascii="Garamond" w:hAnsi="Garamond"/>
          <w:sz w:val="24"/>
          <w:szCs w:val="24"/>
        </w:rPr>
        <w:footnoteReference w:id="164"/>
      </w:r>
      <w:r w:rsidR="00972568" w:rsidRPr="00E47A79">
        <w:rPr>
          <w:rFonts w:ascii="Garamond" w:hAnsi="Garamond"/>
          <w:sz w:val="24"/>
          <w:szCs w:val="24"/>
        </w:rPr>
        <w:t xml:space="preserve"> </w:t>
      </w:r>
      <w:r w:rsidR="00644B33">
        <w:rPr>
          <w:rFonts w:ascii="Garamond" w:hAnsi="Garamond"/>
          <w:sz w:val="24"/>
          <w:szCs w:val="24"/>
        </w:rPr>
        <w:t>yet</w:t>
      </w:r>
      <w:r w:rsidR="00972568" w:rsidRPr="00E47A79">
        <w:rPr>
          <w:rFonts w:ascii="Garamond" w:hAnsi="Garamond"/>
          <w:sz w:val="24"/>
          <w:szCs w:val="24"/>
        </w:rPr>
        <w:t xml:space="preserve"> this is the case </w:t>
      </w:r>
      <w:r w:rsidR="00755C75" w:rsidRPr="00E47A79">
        <w:rPr>
          <w:rFonts w:ascii="Garamond" w:hAnsi="Garamond"/>
          <w:sz w:val="24"/>
          <w:szCs w:val="24"/>
        </w:rPr>
        <w:t>for</w:t>
      </w:r>
      <w:r w:rsidR="00E657E1" w:rsidRPr="00644B33">
        <w:rPr>
          <w:rFonts w:ascii="Garamond" w:hAnsi="Garamond"/>
          <w:i/>
          <w:iCs/>
          <w:sz w:val="24"/>
          <w:szCs w:val="24"/>
        </w:rPr>
        <w:t xml:space="preserve"> any</w:t>
      </w:r>
      <w:r w:rsidR="00E657E1" w:rsidRPr="00E47A79">
        <w:rPr>
          <w:rFonts w:ascii="Garamond" w:hAnsi="Garamond"/>
          <w:sz w:val="24"/>
          <w:szCs w:val="24"/>
        </w:rPr>
        <w:t xml:space="preserve"> therapeutic intervention a doctor recommends</w:t>
      </w:r>
      <w:r w:rsidR="00972568" w:rsidRPr="00E47A79">
        <w:rPr>
          <w:rFonts w:ascii="Garamond" w:hAnsi="Garamond"/>
          <w:sz w:val="24"/>
          <w:szCs w:val="24"/>
        </w:rPr>
        <w:t xml:space="preserve">. </w:t>
      </w:r>
      <w:proofErr w:type="gramStart"/>
      <w:r w:rsidR="00BD7422" w:rsidRPr="00E47A79">
        <w:rPr>
          <w:rFonts w:ascii="Garamond" w:hAnsi="Garamond"/>
          <w:sz w:val="24"/>
          <w:szCs w:val="24"/>
        </w:rPr>
        <w:lastRenderedPageBreak/>
        <w:t>Despite the fact that</w:t>
      </w:r>
      <w:proofErr w:type="gramEnd"/>
      <w:r w:rsidR="00BD7422" w:rsidRPr="00E47A79">
        <w:rPr>
          <w:rFonts w:ascii="Garamond" w:hAnsi="Garamond"/>
          <w:sz w:val="24"/>
          <w:szCs w:val="24"/>
        </w:rPr>
        <w:t xml:space="preserve"> the prescription of unlicensed medicines is widespread</w:t>
      </w:r>
      <w:r w:rsidR="00BD7422" w:rsidRPr="00E47A79">
        <w:rPr>
          <w:rStyle w:val="FootnoteReference"/>
          <w:rFonts w:ascii="Garamond" w:hAnsi="Garamond"/>
          <w:sz w:val="24"/>
          <w:szCs w:val="24"/>
        </w:rPr>
        <w:footnoteReference w:id="165"/>
      </w:r>
      <w:r w:rsidR="00BD7422" w:rsidRPr="00E47A79">
        <w:rPr>
          <w:rFonts w:ascii="Garamond" w:hAnsi="Garamond"/>
          <w:sz w:val="24"/>
          <w:szCs w:val="24"/>
        </w:rPr>
        <w:t>, there has been little sign that the threat of ‘personal responsibility</w:t>
      </w:r>
      <w:r w:rsidR="00972568" w:rsidRPr="00E47A79">
        <w:rPr>
          <w:rFonts w:ascii="Garamond" w:hAnsi="Garamond"/>
          <w:sz w:val="24"/>
          <w:szCs w:val="24"/>
        </w:rPr>
        <w:t>,</w:t>
      </w:r>
      <w:r w:rsidR="00BD7422" w:rsidRPr="00E47A79">
        <w:rPr>
          <w:rFonts w:ascii="Garamond" w:hAnsi="Garamond"/>
          <w:sz w:val="24"/>
          <w:szCs w:val="24"/>
        </w:rPr>
        <w:t xml:space="preserve">’ </w:t>
      </w:r>
      <w:r w:rsidR="00972568" w:rsidRPr="00E47A79">
        <w:rPr>
          <w:rFonts w:ascii="Garamond" w:hAnsi="Garamond"/>
          <w:sz w:val="24"/>
          <w:szCs w:val="24"/>
        </w:rPr>
        <w:t xml:space="preserve">other than through the ordinary mechanisms of negligence, </w:t>
      </w:r>
      <w:r w:rsidR="00BD7422" w:rsidRPr="00E47A79">
        <w:rPr>
          <w:rFonts w:ascii="Garamond" w:hAnsi="Garamond"/>
          <w:sz w:val="24"/>
          <w:szCs w:val="24"/>
        </w:rPr>
        <w:t xml:space="preserve">has become a reality. </w:t>
      </w:r>
      <w:r w:rsidR="00820752" w:rsidRPr="00E47A79">
        <w:rPr>
          <w:rFonts w:ascii="Garamond" w:hAnsi="Garamond"/>
          <w:sz w:val="24"/>
          <w:szCs w:val="24"/>
        </w:rPr>
        <w:t xml:space="preserve">What we can say with certainty is that the standard of care is </w:t>
      </w:r>
      <w:r w:rsidR="0064254E" w:rsidRPr="00E47A79">
        <w:rPr>
          <w:rFonts w:ascii="Garamond" w:hAnsi="Garamond"/>
          <w:sz w:val="24"/>
          <w:szCs w:val="24"/>
        </w:rPr>
        <w:t>enhanced as the result of prescribing a medicine about which less is known when compared with its conventional counterparts. This could mean that the prescriber should be particularly alert to the risks of unknown side-effects</w:t>
      </w:r>
      <w:r w:rsidR="00E657E1" w:rsidRPr="00E47A79">
        <w:rPr>
          <w:rFonts w:ascii="Garamond" w:hAnsi="Garamond"/>
          <w:sz w:val="24"/>
          <w:szCs w:val="24"/>
        </w:rPr>
        <w:t>,</w:t>
      </w:r>
      <w:r w:rsidR="0064254E" w:rsidRPr="00E47A79">
        <w:rPr>
          <w:rFonts w:ascii="Garamond" w:hAnsi="Garamond"/>
          <w:sz w:val="24"/>
          <w:szCs w:val="24"/>
        </w:rPr>
        <w:t xml:space="preserve"> </w:t>
      </w:r>
      <w:r w:rsidR="00E657E1" w:rsidRPr="00E47A79">
        <w:rPr>
          <w:rFonts w:ascii="Garamond" w:hAnsi="Garamond"/>
          <w:sz w:val="24"/>
          <w:szCs w:val="24"/>
        </w:rPr>
        <w:t xml:space="preserve">should monitor the patient for signs of complications </w:t>
      </w:r>
      <w:r w:rsidR="0064254E" w:rsidRPr="00E47A79">
        <w:rPr>
          <w:rFonts w:ascii="Garamond" w:hAnsi="Garamond"/>
          <w:sz w:val="24"/>
          <w:szCs w:val="24"/>
        </w:rPr>
        <w:t>and should take reasonable care to bring the possibility of unknown risks to the attention of the patient.</w:t>
      </w:r>
      <w:r w:rsidR="0064254E" w:rsidRPr="00E47A79">
        <w:rPr>
          <w:rStyle w:val="FootnoteReference"/>
          <w:rFonts w:ascii="Garamond" w:hAnsi="Garamond"/>
          <w:sz w:val="24"/>
          <w:szCs w:val="24"/>
        </w:rPr>
        <w:footnoteReference w:id="166"/>
      </w:r>
      <w:r w:rsidR="0064254E" w:rsidRPr="00E47A79">
        <w:rPr>
          <w:rFonts w:ascii="Garamond" w:hAnsi="Garamond"/>
          <w:sz w:val="24"/>
          <w:szCs w:val="24"/>
        </w:rPr>
        <w:t xml:space="preserve"> </w:t>
      </w:r>
    </w:p>
    <w:p w14:paraId="5D1BEBF2" w14:textId="67E95451" w:rsidR="006412AC" w:rsidRPr="00E47A79" w:rsidRDefault="006412AC" w:rsidP="00A601B9">
      <w:pPr>
        <w:spacing w:line="360" w:lineRule="auto"/>
        <w:rPr>
          <w:rFonts w:ascii="Garamond" w:hAnsi="Garamond"/>
          <w:sz w:val="24"/>
          <w:szCs w:val="24"/>
        </w:rPr>
      </w:pPr>
    </w:p>
    <w:p w14:paraId="412AFB1F" w14:textId="640991F9" w:rsidR="009D2DC6" w:rsidRPr="00E47A79" w:rsidRDefault="009D2DC6" w:rsidP="009D2DC6">
      <w:pPr>
        <w:spacing w:line="360" w:lineRule="auto"/>
        <w:jc w:val="center"/>
        <w:rPr>
          <w:rFonts w:ascii="Garamond" w:hAnsi="Garamond"/>
          <w:i/>
          <w:iCs/>
          <w:sz w:val="24"/>
          <w:szCs w:val="24"/>
        </w:rPr>
      </w:pPr>
      <w:r w:rsidRPr="00E47A79">
        <w:rPr>
          <w:rFonts w:ascii="Garamond" w:hAnsi="Garamond"/>
          <w:i/>
          <w:iCs/>
          <w:sz w:val="24"/>
          <w:szCs w:val="24"/>
        </w:rPr>
        <w:t>C. Safety</w:t>
      </w:r>
      <w:r w:rsidR="002D21A3" w:rsidRPr="00E47A79">
        <w:rPr>
          <w:rFonts w:ascii="Garamond" w:hAnsi="Garamond"/>
          <w:i/>
          <w:iCs/>
          <w:sz w:val="24"/>
          <w:szCs w:val="24"/>
        </w:rPr>
        <w:t xml:space="preserve"> and</w:t>
      </w:r>
      <w:r w:rsidRPr="00E47A79">
        <w:rPr>
          <w:rFonts w:ascii="Garamond" w:hAnsi="Garamond"/>
          <w:i/>
          <w:iCs/>
          <w:sz w:val="24"/>
          <w:szCs w:val="24"/>
        </w:rPr>
        <w:t xml:space="preserve"> efficacy </w:t>
      </w:r>
      <w:r w:rsidR="00E52618" w:rsidRPr="00E47A79">
        <w:rPr>
          <w:rFonts w:ascii="Garamond" w:hAnsi="Garamond"/>
          <w:i/>
          <w:iCs/>
          <w:sz w:val="24"/>
          <w:szCs w:val="24"/>
        </w:rPr>
        <w:t>– preserving the authority of the RCT</w:t>
      </w:r>
      <w:r w:rsidR="00B37563" w:rsidRPr="00E47A79">
        <w:rPr>
          <w:rFonts w:ascii="Garamond" w:hAnsi="Garamond"/>
          <w:i/>
          <w:iCs/>
          <w:sz w:val="24"/>
          <w:szCs w:val="24"/>
        </w:rPr>
        <w:t>?</w:t>
      </w:r>
    </w:p>
    <w:p w14:paraId="361A18AF" w14:textId="273D207A" w:rsidR="009D2DC6" w:rsidRPr="00E47A79" w:rsidRDefault="009D2DC6" w:rsidP="003A454F">
      <w:pPr>
        <w:spacing w:line="360" w:lineRule="auto"/>
        <w:rPr>
          <w:rFonts w:ascii="Garamond" w:hAnsi="Garamond"/>
          <w:sz w:val="24"/>
          <w:szCs w:val="24"/>
        </w:rPr>
      </w:pPr>
      <w:r w:rsidRPr="00E47A79">
        <w:rPr>
          <w:rFonts w:ascii="Garamond" w:hAnsi="Garamond"/>
          <w:sz w:val="24"/>
          <w:szCs w:val="24"/>
        </w:rPr>
        <w:t xml:space="preserve">In evidence based medicine, a triptych of ‘safety’, ‘efficacy’ and </w:t>
      </w:r>
      <w:r w:rsidR="00941C11" w:rsidRPr="00E47A79">
        <w:rPr>
          <w:rFonts w:ascii="Garamond" w:hAnsi="Garamond"/>
          <w:sz w:val="24"/>
          <w:szCs w:val="24"/>
        </w:rPr>
        <w:t xml:space="preserve">an </w:t>
      </w:r>
      <w:r w:rsidRPr="00E47A79">
        <w:rPr>
          <w:rFonts w:ascii="Garamond" w:hAnsi="Garamond"/>
          <w:sz w:val="24"/>
          <w:szCs w:val="24"/>
        </w:rPr>
        <w:t>insistence upon RCTs</w:t>
      </w:r>
      <w:r w:rsidRPr="00E47A79">
        <w:rPr>
          <w:rFonts w:ascii="Garamond" w:hAnsi="Garamond"/>
          <w:sz w:val="24"/>
          <w:szCs w:val="24"/>
          <w:vertAlign w:val="superscript"/>
        </w:rPr>
        <w:footnoteReference w:id="167"/>
      </w:r>
      <w:r w:rsidRPr="00E47A79">
        <w:rPr>
          <w:rFonts w:ascii="Garamond" w:hAnsi="Garamond"/>
          <w:sz w:val="24"/>
          <w:szCs w:val="24"/>
        </w:rPr>
        <w:t xml:space="preserve"> to demonstrate these, are frequently used as gatekeeping devices</w:t>
      </w:r>
      <w:r w:rsidR="007F198F">
        <w:rPr>
          <w:rFonts w:ascii="Garamond" w:hAnsi="Garamond"/>
          <w:sz w:val="24"/>
          <w:szCs w:val="24"/>
        </w:rPr>
        <w:t>,</w:t>
      </w:r>
      <w:r w:rsidRPr="00E47A79">
        <w:rPr>
          <w:rFonts w:ascii="Garamond" w:hAnsi="Garamond"/>
          <w:sz w:val="24"/>
          <w:szCs w:val="24"/>
          <w:vertAlign w:val="superscript"/>
        </w:rPr>
        <w:footnoteReference w:id="168"/>
      </w:r>
      <w:r w:rsidR="00503214" w:rsidRPr="00E47A79">
        <w:rPr>
          <w:rFonts w:ascii="Garamond" w:hAnsi="Garamond"/>
          <w:sz w:val="24"/>
          <w:szCs w:val="24"/>
        </w:rPr>
        <w:t xml:space="preserve"> and</w:t>
      </w:r>
      <w:r w:rsidR="001C4AA6" w:rsidRPr="00E47A79">
        <w:rPr>
          <w:rFonts w:ascii="Garamond" w:hAnsi="Garamond"/>
          <w:sz w:val="24"/>
          <w:szCs w:val="24"/>
        </w:rPr>
        <w:t xml:space="preserve"> it has been suggested that</w:t>
      </w:r>
      <w:r w:rsidR="00503214" w:rsidRPr="00E47A79">
        <w:rPr>
          <w:rFonts w:ascii="Garamond" w:hAnsi="Garamond"/>
          <w:sz w:val="24"/>
          <w:szCs w:val="24"/>
        </w:rPr>
        <w:t xml:space="preserve"> </w:t>
      </w:r>
      <w:r w:rsidR="00E144DD" w:rsidRPr="00E47A79">
        <w:rPr>
          <w:rFonts w:ascii="Garamond" w:hAnsi="Garamond"/>
          <w:sz w:val="24"/>
          <w:szCs w:val="24"/>
        </w:rPr>
        <w:t>‘</w:t>
      </w:r>
      <w:r w:rsidR="00503214" w:rsidRPr="00E47A79">
        <w:rPr>
          <w:rFonts w:ascii="Garamond" w:hAnsi="Garamond"/>
          <w:sz w:val="24"/>
          <w:szCs w:val="24"/>
        </w:rPr>
        <w:t>evidential uncertainty</w:t>
      </w:r>
      <w:r w:rsidR="00E144DD" w:rsidRPr="00E47A79">
        <w:rPr>
          <w:rFonts w:ascii="Garamond" w:hAnsi="Garamond"/>
          <w:sz w:val="24"/>
          <w:szCs w:val="24"/>
        </w:rPr>
        <w:t>’</w:t>
      </w:r>
      <w:r w:rsidR="00503214" w:rsidRPr="00E47A79">
        <w:rPr>
          <w:rFonts w:ascii="Garamond" w:hAnsi="Garamond"/>
          <w:sz w:val="24"/>
          <w:szCs w:val="24"/>
        </w:rPr>
        <w:t xml:space="preserve"> </w:t>
      </w:r>
      <w:r w:rsidR="00A17C01" w:rsidRPr="00E47A79">
        <w:rPr>
          <w:rFonts w:ascii="Garamond" w:hAnsi="Garamond"/>
          <w:sz w:val="24"/>
          <w:szCs w:val="24"/>
        </w:rPr>
        <w:t xml:space="preserve">can </w:t>
      </w:r>
      <w:r w:rsidR="00002460" w:rsidRPr="00E47A79">
        <w:rPr>
          <w:rFonts w:ascii="Garamond" w:hAnsi="Garamond"/>
          <w:sz w:val="24"/>
          <w:szCs w:val="24"/>
        </w:rPr>
        <w:t xml:space="preserve">sometimes </w:t>
      </w:r>
      <w:r w:rsidR="00A17C01" w:rsidRPr="00E47A79">
        <w:rPr>
          <w:rFonts w:ascii="Garamond" w:hAnsi="Garamond"/>
          <w:sz w:val="24"/>
          <w:szCs w:val="24"/>
        </w:rPr>
        <w:t xml:space="preserve">provide strategic </w:t>
      </w:r>
      <w:r w:rsidR="00E144DD" w:rsidRPr="00E47A79">
        <w:rPr>
          <w:rFonts w:ascii="Garamond" w:hAnsi="Garamond"/>
          <w:sz w:val="24"/>
          <w:szCs w:val="24"/>
        </w:rPr>
        <w:t>means</w:t>
      </w:r>
      <w:r w:rsidR="00A17C01" w:rsidRPr="00E47A79">
        <w:rPr>
          <w:rFonts w:ascii="Garamond" w:hAnsi="Garamond"/>
          <w:sz w:val="24"/>
          <w:szCs w:val="24"/>
        </w:rPr>
        <w:t xml:space="preserve"> for </w:t>
      </w:r>
      <w:r w:rsidR="008324C9" w:rsidRPr="00E47A79">
        <w:rPr>
          <w:rFonts w:ascii="Garamond" w:hAnsi="Garamond"/>
          <w:sz w:val="24"/>
          <w:szCs w:val="24"/>
        </w:rPr>
        <w:t xml:space="preserve">defending professional boundaries or for </w:t>
      </w:r>
      <w:r w:rsidR="00A17C01" w:rsidRPr="00E47A79">
        <w:rPr>
          <w:rFonts w:ascii="Garamond" w:hAnsi="Garamond"/>
          <w:sz w:val="24"/>
          <w:szCs w:val="24"/>
        </w:rPr>
        <w:t>the</w:t>
      </w:r>
      <w:r w:rsidR="00503214" w:rsidRPr="00E47A79">
        <w:rPr>
          <w:rFonts w:ascii="Garamond" w:hAnsi="Garamond" w:cs="FrutigerLTPro-LightCn"/>
          <w:sz w:val="24"/>
          <w:szCs w:val="24"/>
        </w:rPr>
        <w:t xml:space="preserve"> ratio</w:t>
      </w:r>
      <w:r w:rsidR="00A17C01" w:rsidRPr="00E47A79">
        <w:rPr>
          <w:rFonts w:ascii="Garamond" w:hAnsi="Garamond" w:cs="FrutigerLTPro-LightCn"/>
          <w:sz w:val="24"/>
          <w:szCs w:val="24"/>
        </w:rPr>
        <w:t>ning of</w:t>
      </w:r>
      <w:r w:rsidR="00503214" w:rsidRPr="00E47A79">
        <w:rPr>
          <w:rFonts w:ascii="Garamond" w:hAnsi="Garamond" w:cs="FrutigerLTPro-LightCn"/>
          <w:sz w:val="24"/>
          <w:szCs w:val="24"/>
        </w:rPr>
        <w:t xml:space="preserve"> healthcare</w:t>
      </w:r>
      <w:r w:rsidR="00A17C01" w:rsidRPr="00E47A79">
        <w:rPr>
          <w:rFonts w:ascii="Garamond" w:hAnsi="Garamond" w:cs="FrutigerLTPro-LightCn"/>
          <w:sz w:val="24"/>
          <w:szCs w:val="24"/>
        </w:rPr>
        <w:t xml:space="preserve"> resource</w:t>
      </w:r>
      <w:r w:rsidR="00503214" w:rsidRPr="00E47A79">
        <w:rPr>
          <w:rFonts w:ascii="Garamond" w:hAnsi="Garamond" w:cs="FrutigerLTPro-LightCn"/>
          <w:sz w:val="24"/>
          <w:szCs w:val="24"/>
        </w:rPr>
        <w:t>.</w:t>
      </w:r>
      <w:r w:rsidR="00503214" w:rsidRPr="00E47A79">
        <w:rPr>
          <w:rStyle w:val="FootnoteReference"/>
          <w:rFonts w:ascii="Garamond" w:hAnsi="Garamond" w:cs="FrutigerLTPro-LightCn"/>
          <w:sz w:val="24"/>
          <w:szCs w:val="24"/>
        </w:rPr>
        <w:footnoteReference w:id="169"/>
      </w:r>
      <w:r w:rsidRPr="00E47A79">
        <w:rPr>
          <w:rFonts w:ascii="Garamond" w:hAnsi="Garamond"/>
          <w:sz w:val="24"/>
          <w:szCs w:val="24"/>
        </w:rPr>
        <w:t xml:space="preserve"> The interim guidance</w:t>
      </w:r>
      <w:r w:rsidR="00820752" w:rsidRPr="00E47A79">
        <w:rPr>
          <w:rFonts w:ascii="Garamond" w:hAnsi="Garamond"/>
          <w:sz w:val="24"/>
          <w:szCs w:val="24"/>
        </w:rPr>
        <w:t xml:space="preserve"> on medicinal cannabis prescribing</w:t>
      </w:r>
      <w:r w:rsidRPr="00E47A79">
        <w:rPr>
          <w:rFonts w:ascii="Garamond" w:hAnsi="Garamond"/>
          <w:sz w:val="24"/>
          <w:szCs w:val="24"/>
        </w:rPr>
        <w:t xml:space="preserve"> is filled with references to the absence of evidence on the safety and efficacy of these drugs and a resolution not to use them in the absence of positive RCT evidence.</w:t>
      </w:r>
      <w:r w:rsidRPr="00E47A79">
        <w:rPr>
          <w:rStyle w:val="FootnoteReference"/>
          <w:rFonts w:ascii="Garamond" w:hAnsi="Garamond"/>
          <w:sz w:val="24"/>
          <w:szCs w:val="24"/>
        </w:rPr>
        <w:footnoteReference w:id="170"/>
      </w:r>
      <w:r w:rsidR="003A0C68" w:rsidRPr="00E47A79">
        <w:rPr>
          <w:rFonts w:ascii="Garamond" w:hAnsi="Garamond"/>
          <w:sz w:val="24"/>
          <w:szCs w:val="24"/>
        </w:rPr>
        <w:t xml:space="preserve"> This i</w:t>
      </w:r>
      <w:r w:rsidR="00A14C96" w:rsidRPr="00E47A79">
        <w:rPr>
          <w:rFonts w:ascii="Garamond" w:hAnsi="Garamond"/>
          <w:sz w:val="24"/>
          <w:szCs w:val="24"/>
        </w:rPr>
        <w:t xml:space="preserve">nsistence on RCT evidence </w:t>
      </w:r>
      <w:r w:rsidRPr="00E47A79">
        <w:rPr>
          <w:rFonts w:ascii="Garamond" w:hAnsi="Garamond"/>
          <w:sz w:val="24"/>
          <w:szCs w:val="24"/>
        </w:rPr>
        <w:t>is most pronounced in the BPNA’s guidance on treating epilepsies in children.</w:t>
      </w:r>
      <w:r w:rsidR="007D6F7D" w:rsidRPr="00E47A79">
        <w:rPr>
          <w:rFonts w:ascii="Garamond" w:hAnsi="Garamond"/>
          <w:sz w:val="24"/>
          <w:szCs w:val="24"/>
        </w:rPr>
        <w:t xml:space="preserve"> Its provisions</w:t>
      </w:r>
      <w:r w:rsidRPr="00E47A79">
        <w:rPr>
          <w:rFonts w:ascii="Garamond" w:hAnsi="Garamond"/>
          <w:sz w:val="24"/>
          <w:szCs w:val="24"/>
        </w:rPr>
        <w:t xml:space="preserve"> recommend that the only cannabis</w:t>
      </w:r>
      <w:r w:rsidR="007F198F">
        <w:rPr>
          <w:rFonts w:ascii="Garamond" w:hAnsi="Garamond"/>
          <w:sz w:val="24"/>
          <w:szCs w:val="24"/>
        </w:rPr>
        <w:t>-</w:t>
      </w:r>
      <w:r w:rsidRPr="00E47A79">
        <w:rPr>
          <w:rFonts w:ascii="Garamond" w:hAnsi="Garamond"/>
          <w:sz w:val="24"/>
          <w:szCs w:val="24"/>
        </w:rPr>
        <w:t xml:space="preserve">based medicine to be considered for children should be </w:t>
      </w:r>
      <w:proofErr w:type="spellStart"/>
      <w:r w:rsidRPr="00E47A79">
        <w:rPr>
          <w:rFonts w:ascii="Garamond" w:hAnsi="Garamond"/>
          <w:sz w:val="24"/>
          <w:szCs w:val="24"/>
        </w:rPr>
        <w:t>Epidiolex</w:t>
      </w:r>
      <w:proofErr w:type="spellEnd"/>
      <w:r w:rsidRPr="00E47A79">
        <w:rPr>
          <w:rFonts w:ascii="Garamond" w:hAnsi="Garamond"/>
          <w:sz w:val="24"/>
          <w:szCs w:val="24"/>
        </w:rPr>
        <w:t>® (a licensed product containing no THC and one of the few cannabis based medicines to be the subject of recent RCTs supporting its use for intractable epilepsies in children).</w:t>
      </w:r>
      <w:r w:rsidRPr="00E47A79">
        <w:rPr>
          <w:rFonts w:ascii="Garamond" w:hAnsi="Garamond"/>
          <w:sz w:val="24"/>
          <w:szCs w:val="24"/>
          <w:vertAlign w:val="superscript"/>
        </w:rPr>
        <w:footnoteReference w:id="171"/>
      </w:r>
      <w:r w:rsidRPr="00E47A79">
        <w:rPr>
          <w:rFonts w:ascii="Garamond" w:hAnsi="Garamond"/>
          <w:sz w:val="24"/>
          <w:szCs w:val="24"/>
        </w:rPr>
        <w:t xml:space="preserve"> </w:t>
      </w:r>
      <w:r w:rsidRPr="00E47A79">
        <w:rPr>
          <w:rFonts w:ascii="Garamond" w:hAnsi="Garamond"/>
          <w:i/>
          <w:iCs/>
          <w:sz w:val="24"/>
          <w:szCs w:val="24"/>
        </w:rPr>
        <w:t>NHS England</w:t>
      </w:r>
      <w:r w:rsidR="00A17C01" w:rsidRPr="00E47A79">
        <w:rPr>
          <w:rFonts w:ascii="Garamond" w:hAnsi="Garamond"/>
          <w:i/>
          <w:iCs/>
          <w:sz w:val="24"/>
          <w:szCs w:val="24"/>
        </w:rPr>
        <w:t xml:space="preserve"> </w:t>
      </w:r>
      <w:r w:rsidR="00A17C01" w:rsidRPr="00E47A79">
        <w:rPr>
          <w:rFonts w:ascii="Garamond" w:hAnsi="Garamond"/>
          <w:sz w:val="24"/>
          <w:szCs w:val="24"/>
        </w:rPr>
        <w:t>advice</w:t>
      </w:r>
      <w:r w:rsidRPr="00E47A79">
        <w:rPr>
          <w:rFonts w:ascii="Garamond" w:hAnsi="Garamond"/>
          <w:i/>
          <w:iCs/>
          <w:sz w:val="24"/>
          <w:szCs w:val="24"/>
        </w:rPr>
        <w:t xml:space="preserve"> </w:t>
      </w:r>
      <w:r w:rsidRPr="00E47A79">
        <w:rPr>
          <w:rFonts w:ascii="Garamond" w:hAnsi="Garamond"/>
          <w:sz w:val="24"/>
          <w:szCs w:val="24"/>
        </w:rPr>
        <w:t>echo</w:t>
      </w:r>
      <w:r w:rsidR="003A0C68" w:rsidRPr="00E47A79">
        <w:rPr>
          <w:rFonts w:ascii="Garamond" w:hAnsi="Garamond"/>
          <w:sz w:val="24"/>
          <w:szCs w:val="24"/>
        </w:rPr>
        <w:t>es</w:t>
      </w:r>
      <w:r w:rsidRPr="00E47A79">
        <w:rPr>
          <w:rFonts w:ascii="Garamond" w:hAnsi="Garamond"/>
          <w:sz w:val="24"/>
          <w:szCs w:val="24"/>
        </w:rPr>
        <w:t xml:space="preserve"> these sentiments, </w:t>
      </w:r>
      <w:bookmarkStart w:id="9" w:name="_Hlk44492751"/>
      <w:r w:rsidRPr="00E47A79">
        <w:rPr>
          <w:rFonts w:ascii="Garamond" w:hAnsi="Garamond"/>
          <w:sz w:val="24"/>
          <w:szCs w:val="24"/>
        </w:rPr>
        <w:t>foregrounding concerns about the impact of THC on the young: ‘</w:t>
      </w:r>
      <w:r w:rsidR="00A14C96" w:rsidRPr="00E47A79">
        <w:rPr>
          <w:rFonts w:ascii="Garamond" w:hAnsi="Garamond"/>
          <w:sz w:val="24"/>
          <w:szCs w:val="24"/>
        </w:rPr>
        <w:t>…</w:t>
      </w:r>
      <w:r w:rsidRPr="00E47A79">
        <w:rPr>
          <w:rFonts w:ascii="Garamond" w:hAnsi="Garamond"/>
          <w:sz w:val="24"/>
          <w:szCs w:val="24"/>
        </w:rPr>
        <w:t xml:space="preserve">currently there is no good evidence that products that contain </w:t>
      </w:r>
      <w:r w:rsidRPr="00E47A79">
        <w:rPr>
          <w:rFonts w:ascii="Garamond" w:hAnsi="Garamond"/>
          <w:sz w:val="24"/>
          <w:szCs w:val="24"/>
        </w:rPr>
        <w:lastRenderedPageBreak/>
        <w:t>THC are either safe or efficacious and there is a concern about the effect of THC on the developing brain.</w:t>
      </w:r>
      <w:r w:rsidR="003A454F" w:rsidRPr="00E47A79">
        <w:rPr>
          <w:rFonts w:ascii="Garamond" w:hAnsi="Garamond"/>
          <w:sz w:val="24"/>
          <w:szCs w:val="24"/>
        </w:rPr>
        <w:t>’</w:t>
      </w:r>
      <w:r w:rsidRPr="00E47A79">
        <w:rPr>
          <w:rFonts w:ascii="Garamond" w:hAnsi="Garamond"/>
          <w:sz w:val="24"/>
          <w:szCs w:val="24"/>
          <w:vertAlign w:val="superscript"/>
        </w:rPr>
        <w:footnoteReference w:id="172"/>
      </w:r>
    </w:p>
    <w:bookmarkEnd w:id="9"/>
    <w:p w14:paraId="5C88A78F" w14:textId="5A6D5F0C" w:rsidR="00774377" w:rsidRPr="00E47A79" w:rsidRDefault="009D2DC6" w:rsidP="004A5459">
      <w:pPr>
        <w:spacing w:line="360" w:lineRule="auto"/>
        <w:rPr>
          <w:rFonts w:ascii="Garamond" w:hAnsi="Garamond"/>
          <w:sz w:val="24"/>
          <w:szCs w:val="24"/>
        </w:rPr>
      </w:pPr>
      <w:r w:rsidRPr="00E47A79">
        <w:rPr>
          <w:rFonts w:ascii="Garamond" w:hAnsi="Garamond"/>
          <w:sz w:val="24"/>
          <w:szCs w:val="24"/>
        </w:rPr>
        <w:t>The ABN’s interim guidance</w:t>
      </w:r>
      <w:r w:rsidR="00B272CE" w:rsidRPr="00E47A79">
        <w:rPr>
          <w:rFonts w:ascii="Garamond" w:hAnsi="Garamond"/>
          <w:sz w:val="24"/>
          <w:szCs w:val="24"/>
        </w:rPr>
        <w:t xml:space="preserve"> (</w:t>
      </w:r>
      <w:r w:rsidRPr="00E47A79">
        <w:rPr>
          <w:rFonts w:ascii="Garamond" w:hAnsi="Garamond"/>
          <w:sz w:val="24"/>
          <w:szCs w:val="24"/>
        </w:rPr>
        <w:t>which would apply to adults with epilepsy or other neurological conditions</w:t>
      </w:r>
      <w:r w:rsidR="00B272CE" w:rsidRPr="00E47A79">
        <w:rPr>
          <w:rFonts w:ascii="Garamond" w:hAnsi="Garamond"/>
          <w:sz w:val="24"/>
          <w:szCs w:val="24"/>
        </w:rPr>
        <w:t>)</w:t>
      </w:r>
      <w:r w:rsidRPr="00E47A79">
        <w:rPr>
          <w:rFonts w:ascii="Garamond" w:hAnsi="Garamond"/>
          <w:sz w:val="24"/>
          <w:szCs w:val="24"/>
        </w:rPr>
        <w:t xml:space="preserve"> takes a slightly less prescriptive approach</w:t>
      </w:r>
      <w:r w:rsidR="00B272CE" w:rsidRPr="00E47A79">
        <w:rPr>
          <w:rFonts w:ascii="Garamond" w:hAnsi="Garamond"/>
          <w:sz w:val="24"/>
          <w:szCs w:val="24"/>
        </w:rPr>
        <w:t>,</w:t>
      </w:r>
      <w:r w:rsidRPr="00E47A79">
        <w:rPr>
          <w:rFonts w:ascii="Garamond" w:hAnsi="Garamond"/>
          <w:sz w:val="24"/>
          <w:szCs w:val="24"/>
        </w:rPr>
        <w:t xml:space="preserve"> stating that there is only ‘published evidence of efficacy’ of cannabis for </w:t>
      </w:r>
      <w:proofErr w:type="spellStart"/>
      <w:r w:rsidRPr="00E47A79">
        <w:rPr>
          <w:rFonts w:ascii="Garamond" w:hAnsi="Garamond"/>
          <w:sz w:val="24"/>
          <w:szCs w:val="24"/>
        </w:rPr>
        <w:t>Dravet’s</w:t>
      </w:r>
      <w:proofErr w:type="spellEnd"/>
      <w:r w:rsidRPr="00E47A79">
        <w:rPr>
          <w:rFonts w:ascii="Garamond" w:hAnsi="Garamond"/>
          <w:sz w:val="24"/>
          <w:szCs w:val="24"/>
        </w:rPr>
        <w:t xml:space="preserve"> Syndrome and Lennox-</w:t>
      </w:r>
      <w:proofErr w:type="spellStart"/>
      <w:r w:rsidRPr="00E47A79">
        <w:rPr>
          <w:rFonts w:ascii="Garamond" w:hAnsi="Garamond"/>
          <w:sz w:val="24"/>
          <w:szCs w:val="24"/>
        </w:rPr>
        <w:t>Gastaut</w:t>
      </w:r>
      <w:proofErr w:type="spellEnd"/>
      <w:r w:rsidRPr="00E47A79">
        <w:rPr>
          <w:rFonts w:ascii="Garamond" w:hAnsi="Garamond"/>
          <w:sz w:val="24"/>
          <w:szCs w:val="24"/>
        </w:rPr>
        <w:t xml:space="preserve"> Syndrome,</w:t>
      </w:r>
      <w:r w:rsidRPr="00E47A79">
        <w:rPr>
          <w:rStyle w:val="FootnoteReference"/>
          <w:rFonts w:ascii="Garamond" w:hAnsi="Garamond"/>
          <w:sz w:val="24"/>
          <w:szCs w:val="24"/>
        </w:rPr>
        <w:footnoteReference w:id="173"/>
      </w:r>
      <w:r w:rsidRPr="00E47A79">
        <w:rPr>
          <w:rFonts w:ascii="Garamond" w:hAnsi="Garamond"/>
          <w:sz w:val="24"/>
          <w:szCs w:val="24"/>
        </w:rPr>
        <w:t xml:space="preserve"> therefore ‘extreme caution’ must be used before considering MC for other epilepsies.  It is not true to say that evidence in relation to other epilepsies does not exist</w:t>
      </w:r>
      <w:r w:rsidRPr="00E47A79">
        <w:rPr>
          <w:rStyle w:val="FootnoteReference"/>
          <w:rFonts w:ascii="Garamond" w:hAnsi="Garamond"/>
          <w:sz w:val="24"/>
          <w:szCs w:val="24"/>
        </w:rPr>
        <w:footnoteReference w:id="174"/>
      </w:r>
      <w:r w:rsidRPr="00E47A79">
        <w:rPr>
          <w:rFonts w:ascii="Garamond" w:hAnsi="Garamond"/>
          <w:sz w:val="24"/>
          <w:szCs w:val="24"/>
        </w:rPr>
        <w:t>, it is rather that the ABN</w:t>
      </w:r>
      <w:r w:rsidR="001C4AA6" w:rsidRPr="00E47A79">
        <w:rPr>
          <w:rFonts w:ascii="Garamond" w:hAnsi="Garamond"/>
          <w:sz w:val="24"/>
          <w:szCs w:val="24"/>
        </w:rPr>
        <w:t>’s guidance</w:t>
      </w:r>
      <w:r w:rsidR="008324C9" w:rsidRPr="00E47A79">
        <w:rPr>
          <w:rFonts w:ascii="Garamond" w:hAnsi="Garamond"/>
          <w:sz w:val="24"/>
          <w:szCs w:val="24"/>
        </w:rPr>
        <w:t xml:space="preserve"> </w:t>
      </w:r>
      <w:r w:rsidRPr="00E47A79">
        <w:rPr>
          <w:rFonts w:ascii="Garamond" w:hAnsi="Garamond"/>
          <w:sz w:val="24"/>
          <w:szCs w:val="24"/>
        </w:rPr>
        <w:t>equate</w:t>
      </w:r>
      <w:r w:rsidR="001C4AA6" w:rsidRPr="00E47A79">
        <w:rPr>
          <w:rFonts w:ascii="Garamond" w:hAnsi="Garamond"/>
          <w:sz w:val="24"/>
          <w:szCs w:val="24"/>
        </w:rPr>
        <w:t>s</w:t>
      </w:r>
      <w:r w:rsidRPr="00E47A79">
        <w:rPr>
          <w:rFonts w:ascii="Garamond" w:hAnsi="Garamond"/>
          <w:sz w:val="24"/>
          <w:szCs w:val="24"/>
        </w:rPr>
        <w:t xml:space="preserve"> ‘published evidence of efficacy’ with</w:t>
      </w:r>
      <w:r w:rsidR="00192E52" w:rsidRPr="00E47A79">
        <w:rPr>
          <w:rFonts w:ascii="Garamond" w:hAnsi="Garamond"/>
          <w:sz w:val="24"/>
          <w:szCs w:val="24"/>
        </w:rPr>
        <w:t xml:space="preserve"> an exclusive subset of</w:t>
      </w:r>
      <w:r w:rsidRPr="00E47A79">
        <w:rPr>
          <w:rFonts w:ascii="Garamond" w:hAnsi="Garamond"/>
          <w:sz w:val="24"/>
          <w:szCs w:val="24"/>
        </w:rPr>
        <w:t xml:space="preserve"> RCTs.</w:t>
      </w:r>
      <w:r w:rsidR="00774377" w:rsidRPr="00E47A79">
        <w:rPr>
          <w:rFonts w:ascii="Garamond" w:hAnsi="Garamond"/>
          <w:sz w:val="24"/>
          <w:szCs w:val="24"/>
        </w:rPr>
        <w:t xml:space="preserve"> </w:t>
      </w:r>
      <w:r w:rsidRPr="00E47A79">
        <w:rPr>
          <w:rFonts w:ascii="Garamond" w:hAnsi="Garamond"/>
          <w:sz w:val="24"/>
          <w:szCs w:val="24"/>
        </w:rPr>
        <w:t xml:space="preserve">That same rigid insistence on RCT evidence is </w:t>
      </w:r>
      <w:r w:rsidR="008906CF" w:rsidRPr="00E47A79">
        <w:rPr>
          <w:rFonts w:ascii="Garamond" w:hAnsi="Garamond"/>
          <w:sz w:val="24"/>
          <w:szCs w:val="24"/>
        </w:rPr>
        <w:t xml:space="preserve">also </w:t>
      </w:r>
      <w:r w:rsidRPr="00E47A79">
        <w:rPr>
          <w:rFonts w:ascii="Garamond" w:hAnsi="Garamond"/>
          <w:sz w:val="24"/>
          <w:szCs w:val="24"/>
        </w:rPr>
        <w:t xml:space="preserve">seen in relation to chronic pain </w:t>
      </w:r>
      <w:r w:rsidR="00A17C01" w:rsidRPr="00E47A79">
        <w:rPr>
          <w:rFonts w:ascii="Garamond" w:hAnsi="Garamond"/>
          <w:sz w:val="24"/>
          <w:szCs w:val="24"/>
        </w:rPr>
        <w:t>(</w:t>
      </w:r>
      <w:r w:rsidR="007D6F7D" w:rsidRPr="00E47A79">
        <w:rPr>
          <w:rFonts w:ascii="Garamond" w:hAnsi="Garamond"/>
          <w:sz w:val="24"/>
          <w:szCs w:val="24"/>
        </w:rPr>
        <w:t xml:space="preserve">with </w:t>
      </w:r>
      <w:r w:rsidRPr="00E47A79">
        <w:rPr>
          <w:rFonts w:ascii="Garamond" w:hAnsi="Garamond"/>
          <w:sz w:val="24"/>
          <w:szCs w:val="24"/>
        </w:rPr>
        <w:t xml:space="preserve">RCP guidance claiming that there is: ‘no </w:t>
      </w:r>
      <w:r w:rsidRPr="00E47A79">
        <w:rPr>
          <w:rFonts w:ascii="Garamond" w:hAnsi="Garamond"/>
          <w:i/>
          <w:iCs/>
          <w:sz w:val="24"/>
          <w:szCs w:val="24"/>
        </w:rPr>
        <w:t>robust</w:t>
      </w:r>
      <w:r w:rsidRPr="00E47A79">
        <w:rPr>
          <w:rFonts w:ascii="Garamond" w:hAnsi="Garamond"/>
          <w:sz w:val="24"/>
          <w:szCs w:val="24"/>
        </w:rPr>
        <w:t xml:space="preserve"> evidence for the use of CBPM in chronic pain and their use is not recommended’</w:t>
      </w:r>
      <w:r w:rsidRPr="00E47A79">
        <w:rPr>
          <w:rFonts w:ascii="Garamond" w:hAnsi="Garamond"/>
          <w:sz w:val="24"/>
          <w:szCs w:val="24"/>
          <w:vertAlign w:val="superscript"/>
        </w:rPr>
        <w:footnoteReference w:id="175"/>
      </w:r>
      <w:r w:rsidR="00A17C01" w:rsidRPr="00E47A79">
        <w:rPr>
          <w:rFonts w:ascii="Garamond" w:hAnsi="Garamond"/>
          <w:sz w:val="24"/>
          <w:szCs w:val="24"/>
        </w:rPr>
        <w:t xml:space="preserve">) and in NHS England’s advice: </w:t>
      </w:r>
      <w:r w:rsidRPr="00E47A79">
        <w:rPr>
          <w:rFonts w:ascii="Garamond" w:hAnsi="Garamond"/>
          <w:sz w:val="24"/>
          <w:szCs w:val="24"/>
        </w:rPr>
        <w:t xml:space="preserve"> </w:t>
      </w:r>
    </w:p>
    <w:p w14:paraId="22D1865F" w14:textId="0B7B0736" w:rsidR="009D2DC6" w:rsidRPr="00E47A79" w:rsidRDefault="009D2DC6" w:rsidP="004A5459">
      <w:pPr>
        <w:pStyle w:val="ListParagraph"/>
        <w:autoSpaceDE w:val="0"/>
        <w:autoSpaceDN w:val="0"/>
        <w:adjustRightInd w:val="0"/>
        <w:spacing w:after="0" w:line="360" w:lineRule="auto"/>
        <w:rPr>
          <w:rFonts w:ascii="Garamond" w:hAnsi="Garamond"/>
          <w:sz w:val="24"/>
          <w:szCs w:val="24"/>
        </w:rPr>
      </w:pPr>
      <w:r w:rsidRPr="00E47A79">
        <w:rPr>
          <w:rFonts w:ascii="Garamond" w:hAnsi="Garamond"/>
          <w:sz w:val="24"/>
          <w:szCs w:val="24"/>
        </w:rPr>
        <w:t>‘</w:t>
      </w:r>
      <w:r w:rsidR="00774377" w:rsidRPr="00E47A79">
        <w:rPr>
          <w:rFonts w:ascii="Garamond" w:hAnsi="Garamond"/>
          <w:sz w:val="24"/>
          <w:szCs w:val="24"/>
        </w:rPr>
        <w:t>…</w:t>
      </w:r>
      <w:r w:rsidRPr="00E47A79">
        <w:rPr>
          <w:rFonts w:ascii="Garamond" w:hAnsi="Garamond"/>
          <w:i/>
          <w:iCs/>
          <w:sz w:val="24"/>
          <w:szCs w:val="24"/>
        </w:rPr>
        <w:t>whilst individual patients may perceive benefit</w:t>
      </w:r>
      <w:r w:rsidRPr="00E47A79">
        <w:rPr>
          <w:rFonts w:ascii="Garamond" w:hAnsi="Garamond"/>
          <w:sz w:val="24"/>
          <w:szCs w:val="24"/>
        </w:rPr>
        <w:t>; this hasn’t been fully tested in comparative randomised controlled trials in large numbers of patients.  Potential harms of using cannabis-based treatments for medicinal use in the long term have also not been studied’.</w:t>
      </w:r>
      <w:r w:rsidRPr="00E47A79">
        <w:rPr>
          <w:rStyle w:val="FootnoteReference"/>
          <w:rFonts w:ascii="Garamond" w:hAnsi="Garamond"/>
          <w:sz w:val="24"/>
          <w:szCs w:val="24"/>
        </w:rPr>
        <w:footnoteReference w:id="176"/>
      </w:r>
    </w:p>
    <w:p w14:paraId="5B1CA10F" w14:textId="77777777" w:rsidR="009D2DC6" w:rsidRPr="00E47A79" w:rsidRDefault="009D2DC6" w:rsidP="004A5459">
      <w:pPr>
        <w:pStyle w:val="ListParagraph"/>
        <w:autoSpaceDE w:val="0"/>
        <w:autoSpaceDN w:val="0"/>
        <w:adjustRightInd w:val="0"/>
        <w:spacing w:after="0" w:line="360" w:lineRule="auto"/>
        <w:rPr>
          <w:rFonts w:ascii="Garamond" w:hAnsi="Garamond"/>
          <w:sz w:val="24"/>
          <w:szCs w:val="24"/>
        </w:rPr>
      </w:pPr>
    </w:p>
    <w:p w14:paraId="0547DF54" w14:textId="635198F9" w:rsidR="004A5459" w:rsidRPr="00E47A79" w:rsidRDefault="009D2DC6" w:rsidP="003A0C68">
      <w:pPr>
        <w:pStyle w:val="Default"/>
        <w:spacing w:line="360" w:lineRule="auto"/>
        <w:rPr>
          <w:rFonts w:ascii="Garamond" w:hAnsi="Garamond"/>
          <w:i/>
          <w:iCs/>
          <w:color w:val="auto"/>
        </w:rPr>
      </w:pPr>
      <w:r w:rsidRPr="00E47A79">
        <w:rPr>
          <w:rFonts w:ascii="Garamond" w:hAnsi="Garamond"/>
          <w:color w:val="auto"/>
        </w:rPr>
        <w:t>Aside from NHS England’s disqualification of the patient from being able to identify whether their medicine is benefi</w:t>
      </w:r>
      <w:r w:rsidR="00E144DD" w:rsidRPr="00E47A79">
        <w:rPr>
          <w:rFonts w:ascii="Garamond" w:hAnsi="Garamond"/>
          <w:color w:val="auto"/>
        </w:rPr>
        <w:t>tting them</w:t>
      </w:r>
      <w:r w:rsidRPr="00E47A79">
        <w:rPr>
          <w:rFonts w:ascii="Garamond" w:hAnsi="Garamond"/>
          <w:color w:val="auto"/>
        </w:rPr>
        <w:t xml:space="preserve">, </w:t>
      </w:r>
      <w:r w:rsidR="00A17C01" w:rsidRPr="00E47A79">
        <w:rPr>
          <w:rFonts w:ascii="Garamond" w:hAnsi="Garamond"/>
          <w:color w:val="auto"/>
        </w:rPr>
        <w:t xml:space="preserve">similarly to other interim guidance documents, NHS England also flags concerns about the absence of reliable evidence regarding the </w:t>
      </w:r>
      <w:r w:rsidR="00A17C01" w:rsidRPr="00E47A79">
        <w:rPr>
          <w:rFonts w:ascii="Garamond" w:hAnsi="Garamond"/>
          <w:i/>
          <w:iCs/>
          <w:color w:val="auto"/>
        </w:rPr>
        <w:t>effects of long</w:t>
      </w:r>
      <w:r w:rsidR="007F198F">
        <w:rPr>
          <w:rFonts w:ascii="Garamond" w:hAnsi="Garamond"/>
          <w:i/>
          <w:iCs/>
          <w:color w:val="auto"/>
        </w:rPr>
        <w:t>-</w:t>
      </w:r>
      <w:r w:rsidR="00A17C01" w:rsidRPr="00E47A79">
        <w:rPr>
          <w:rFonts w:ascii="Garamond" w:hAnsi="Garamond"/>
          <w:i/>
          <w:iCs/>
          <w:color w:val="auto"/>
        </w:rPr>
        <w:t>term use.</w:t>
      </w:r>
      <w:r w:rsidR="00A17C01" w:rsidRPr="00E47A79">
        <w:rPr>
          <w:rFonts w:ascii="Garamond" w:hAnsi="Garamond"/>
          <w:color w:val="auto"/>
          <w:vertAlign w:val="superscript"/>
        </w:rPr>
        <w:footnoteReference w:id="177"/>
      </w:r>
      <w:r w:rsidR="003A0C68" w:rsidRPr="00E47A79">
        <w:rPr>
          <w:rFonts w:ascii="Garamond" w:hAnsi="Garamond"/>
          <w:i/>
          <w:iCs/>
          <w:color w:val="auto"/>
        </w:rPr>
        <w:t xml:space="preserve"> </w:t>
      </w:r>
      <w:r w:rsidR="003A0C68" w:rsidRPr="00E47A79">
        <w:rPr>
          <w:rFonts w:ascii="Garamond" w:hAnsi="Garamond"/>
          <w:color w:val="auto"/>
        </w:rPr>
        <w:t>T</w:t>
      </w:r>
      <w:r w:rsidR="004A5459" w:rsidRPr="00E47A79">
        <w:rPr>
          <w:rFonts w:ascii="Garamond" w:hAnsi="Garamond"/>
          <w:color w:val="auto"/>
        </w:rPr>
        <w:t xml:space="preserve">he interim guidance stance on RCT evidence </w:t>
      </w:r>
      <w:r w:rsidR="00E144DD" w:rsidRPr="00E47A79">
        <w:rPr>
          <w:rFonts w:ascii="Garamond" w:hAnsi="Garamond"/>
          <w:color w:val="auto"/>
        </w:rPr>
        <w:t xml:space="preserve">is </w:t>
      </w:r>
      <w:r w:rsidR="00103D7A" w:rsidRPr="00E47A79">
        <w:rPr>
          <w:rFonts w:ascii="Garamond" w:hAnsi="Garamond"/>
          <w:color w:val="auto"/>
        </w:rPr>
        <w:t>clearly less liberal</w:t>
      </w:r>
      <w:r w:rsidR="001C4AA6" w:rsidRPr="00E47A79">
        <w:rPr>
          <w:rFonts w:ascii="Garamond" w:hAnsi="Garamond"/>
          <w:color w:val="auto"/>
        </w:rPr>
        <w:t xml:space="preserve"> </w:t>
      </w:r>
      <w:r w:rsidR="00103D7A" w:rsidRPr="00E47A79">
        <w:rPr>
          <w:rFonts w:ascii="Garamond" w:hAnsi="Garamond"/>
          <w:color w:val="auto"/>
        </w:rPr>
        <w:t>than</w:t>
      </w:r>
      <w:r w:rsidR="001C4AA6" w:rsidRPr="00E47A79">
        <w:rPr>
          <w:rFonts w:ascii="Garamond" w:hAnsi="Garamond"/>
          <w:color w:val="auto"/>
        </w:rPr>
        <w:t xml:space="preserve"> </w:t>
      </w:r>
      <w:r w:rsidR="00E144DD" w:rsidRPr="00E47A79">
        <w:rPr>
          <w:rFonts w:ascii="Garamond" w:hAnsi="Garamond"/>
          <w:color w:val="auto"/>
        </w:rPr>
        <w:t xml:space="preserve">the </w:t>
      </w:r>
      <w:r w:rsidR="004A5459" w:rsidRPr="00E47A79">
        <w:rPr>
          <w:rFonts w:ascii="Garamond" w:hAnsi="Garamond"/>
          <w:color w:val="auto"/>
        </w:rPr>
        <w:t xml:space="preserve">GMC’s </w:t>
      </w:r>
      <w:r w:rsidR="003A0C68" w:rsidRPr="00E47A79">
        <w:rPr>
          <w:rFonts w:ascii="Garamond" w:hAnsi="Garamond"/>
          <w:color w:val="auto"/>
        </w:rPr>
        <w:t xml:space="preserve">default </w:t>
      </w:r>
      <w:r w:rsidR="004A5459" w:rsidRPr="00E47A79">
        <w:rPr>
          <w:rFonts w:ascii="Garamond" w:hAnsi="Garamond"/>
          <w:color w:val="auto"/>
        </w:rPr>
        <w:t>2013 guidance</w:t>
      </w:r>
      <w:r w:rsidR="001C4AA6" w:rsidRPr="00E47A79">
        <w:rPr>
          <w:rFonts w:ascii="Garamond" w:hAnsi="Garamond"/>
          <w:color w:val="auto"/>
        </w:rPr>
        <w:t xml:space="preserve"> on prescribing unlicensed medicines</w:t>
      </w:r>
      <w:r w:rsidR="004A5459" w:rsidRPr="00E47A79">
        <w:rPr>
          <w:rFonts w:ascii="Garamond" w:hAnsi="Garamond"/>
          <w:color w:val="auto"/>
        </w:rPr>
        <w:t xml:space="preserve">. The latter says that doctors must ‘be satisfied that there is sufficient evidence </w:t>
      </w:r>
      <w:r w:rsidR="004A5459" w:rsidRPr="00E47A79">
        <w:rPr>
          <w:rFonts w:ascii="Garamond" w:hAnsi="Garamond"/>
          <w:i/>
          <w:iCs/>
          <w:color w:val="auto"/>
        </w:rPr>
        <w:t>or experience</w:t>
      </w:r>
      <w:r w:rsidR="004A5459" w:rsidRPr="00E47A79">
        <w:rPr>
          <w:rFonts w:ascii="Garamond" w:hAnsi="Garamond"/>
          <w:color w:val="auto"/>
        </w:rPr>
        <w:t xml:space="preserve"> of using the medicine to demonstrate its safety and efficacy’.</w:t>
      </w:r>
      <w:r w:rsidR="004A5459" w:rsidRPr="00E47A79">
        <w:rPr>
          <w:rFonts w:ascii="Garamond" w:hAnsi="Garamond"/>
          <w:color w:val="auto"/>
          <w:vertAlign w:val="superscript"/>
        </w:rPr>
        <w:footnoteReference w:id="178"/>
      </w:r>
      <w:r w:rsidR="004A5459" w:rsidRPr="00E47A79">
        <w:rPr>
          <w:rFonts w:ascii="Garamond" w:hAnsi="Garamond"/>
          <w:color w:val="auto"/>
        </w:rPr>
        <w:t xml:space="preserve"> </w:t>
      </w:r>
      <w:r w:rsidR="00171CB5" w:rsidRPr="00E47A79">
        <w:rPr>
          <w:rFonts w:ascii="Garamond" w:hAnsi="Garamond"/>
          <w:color w:val="auto"/>
        </w:rPr>
        <w:t xml:space="preserve">The guidance does not elaborate on what is meant by ‘experience’, but in this context it could be construed as fulfilled by a clinician’s experience either of prescribing cannabis generally, or the specific cannabis product. </w:t>
      </w:r>
      <w:r w:rsidR="004A5459" w:rsidRPr="00E47A79">
        <w:rPr>
          <w:rFonts w:ascii="Garamond" w:hAnsi="Garamond"/>
          <w:color w:val="auto"/>
        </w:rPr>
        <w:t xml:space="preserve">This juxtaposition of </w:t>
      </w:r>
      <w:r w:rsidR="00644B33">
        <w:rPr>
          <w:rFonts w:ascii="Garamond" w:hAnsi="Garamond"/>
          <w:color w:val="auto"/>
        </w:rPr>
        <w:t>‘</w:t>
      </w:r>
      <w:r w:rsidR="004A5459" w:rsidRPr="00E47A79">
        <w:rPr>
          <w:rFonts w:ascii="Garamond" w:hAnsi="Garamond"/>
          <w:color w:val="auto"/>
        </w:rPr>
        <w:t>evidence</w:t>
      </w:r>
      <w:r w:rsidR="00644B33">
        <w:rPr>
          <w:rFonts w:ascii="Garamond" w:hAnsi="Garamond"/>
          <w:color w:val="auto"/>
        </w:rPr>
        <w:t>’</w:t>
      </w:r>
      <w:r w:rsidR="004A5459" w:rsidRPr="00E47A79">
        <w:rPr>
          <w:rFonts w:ascii="Garamond" w:hAnsi="Garamond"/>
          <w:color w:val="auto"/>
        </w:rPr>
        <w:t xml:space="preserve"> </w:t>
      </w:r>
      <w:r w:rsidR="00644B33">
        <w:rPr>
          <w:rFonts w:ascii="Garamond" w:hAnsi="Garamond"/>
          <w:color w:val="auto"/>
        </w:rPr>
        <w:t>and</w:t>
      </w:r>
      <w:r w:rsidR="004A5459" w:rsidRPr="00E47A79">
        <w:rPr>
          <w:rFonts w:ascii="Garamond" w:hAnsi="Garamond"/>
          <w:color w:val="auto"/>
        </w:rPr>
        <w:t xml:space="preserve"> </w:t>
      </w:r>
      <w:r w:rsidR="00644B33">
        <w:rPr>
          <w:rFonts w:ascii="Garamond" w:hAnsi="Garamond"/>
          <w:color w:val="auto"/>
        </w:rPr>
        <w:t>‘</w:t>
      </w:r>
      <w:r w:rsidR="004A5459" w:rsidRPr="00E47A79">
        <w:rPr>
          <w:rFonts w:ascii="Garamond" w:hAnsi="Garamond"/>
          <w:color w:val="auto"/>
        </w:rPr>
        <w:t>experience</w:t>
      </w:r>
      <w:r w:rsidR="00644B33">
        <w:rPr>
          <w:rFonts w:ascii="Garamond" w:hAnsi="Garamond"/>
          <w:color w:val="auto"/>
        </w:rPr>
        <w:t>’</w:t>
      </w:r>
      <w:r w:rsidR="004A5459" w:rsidRPr="00E47A79">
        <w:rPr>
          <w:rFonts w:ascii="Garamond" w:hAnsi="Garamond"/>
          <w:color w:val="auto"/>
        </w:rPr>
        <w:t xml:space="preserve"> suggests a far more generous approach to </w:t>
      </w:r>
      <w:r w:rsidR="003139CE" w:rsidRPr="00E47A79">
        <w:rPr>
          <w:rFonts w:ascii="Garamond" w:hAnsi="Garamond"/>
          <w:color w:val="auto"/>
        </w:rPr>
        <w:t>determining whether trying a medicine is appropriate</w:t>
      </w:r>
      <w:r w:rsidR="004A5459" w:rsidRPr="00E47A79">
        <w:rPr>
          <w:rFonts w:ascii="Garamond" w:hAnsi="Garamond"/>
          <w:color w:val="auto"/>
        </w:rPr>
        <w:t xml:space="preserve"> than </w:t>
      </w:r>
      <w:r w:rsidR="003139CE" w:rsidRPr="00E47A79">
        <w:rPr>
          <w:rFonts w:ascii="Garamond" w:hAnsi="Garamond"/>
          <w:color w:val="auto"/>
        </w:rPr>
        <w:t>the</w:t>
      </w:r>
      <w:r w:rsidR="004A5459" w:rsidRPr="00E47A79">
        <w:rPr>
          <w:rFonts w:ascii="Garamond" w:hAnsi="Garamond"/>
          <w:color w:val="auto"/>
        </w:rPr>
        <w:t xml:space="preserve"> rigid </w:t>
      </w:r>
      <w:r w:rsidR="004A5459" w:rsidRPr="00E47A79">
        <w:rPr>
          <w:rFonts w:ascii="Garamond" w:hAnsi="Garamond"/>
          <w:color w:val="auto"/>
        </w:rPr>
        <w:lastRenderedPageBreak/>
        <w:t>insistence on RCT evidence</w:t>
      </w:r>
      <w:r w:rsidR="003139CE" w:rsidRPr="00E47A79">
        <w:rPr>
          <w:rFonts w:ascii="Garamond" w:hAnsi="Garamond"/>
          <w:color w:val="auto"/>
        </w:rPr>
        <w:t xml:space="preserve"> seen elsewhere</w:t>
      </w:r>
      <w:r w:rsidR="004A5459" w:rsidRPr="00E47A79">
        <w:rPr>
          <w:rFonts w:ascii="Garamond" w:hAnsi="Garamond"/>
          <w:color w:val="auto"/>
        </w:rPr>
        <w:t>, raising questions of how a court might resolve th</w:t>
      </w:r>
      <w:r w:rsidR="008324C9" w:rsidRPr="00E47A79">
        <w:rPr>
          <w:rFonts w:ascii="Garamond" w:hAnsi="Garamond"/>
          <w:color w:val="auto"/>
        </w:rPr>
        <w:t>e tension between these two approaches</w:t>
      </w:r>
      <w:r w:rsidR="004A5459" w:rsidRPr="00E47A79">
        <w:rPr>
          <w:rFonts w:ascii="Garamond" w:hAnsi="Garamond"/>
          <w:color w:val="auto"/>
        </w:rPr>
        <w:t xml:space="preserve"> (see further below on this provision, </w:t>
      </w:r>
      <w:r w:rsidR="003A0C68" w:rsidRPr="00E47A79">
        <w:rPr>
          <w:rFonts w:ascii="Garamond" w:hAnsi="Garamond"/>
          <w:color w:val="auto"/>
        </w:rPr>
        <w:t xml:space="preserve">and </w:t>
      </w:r>
      <w:r w:rsidR="004A5459" w:rsidRPr="00E47A79">
        <w:rPr>
          <w:rFonts w:ascii="Garamond" w:hAnsi="Garamond"/>
          <w:color w:val="auto"/>
        </w:rPr>
        <w:t xml:space="preserve">particularly on the possible meaning of ‘experience’). </w:t>
      </w:r>
    </w:p>
    <w:p w14:paraId="76A23256" w14:textId="77777777" w:rsidR="00A17C01" w:rsidRPr="00E47A79" w:rsidRDefault="00A17C01" w:rsidP="003A0C68">
      <w:pPr>
        <w:pStyle w:val="Default"/>
        <w:spacing w:line="360" w:lineRule="auto"/>
        <w:rPr>
          <w:rFonts w:ascii="Garamond" w:hAnsi="Garamond"/>
          <w:color w:val="auto"/>
        </w:rPr>
      </w:pPr>
    </w:p>
    <w:p w14:paraId="18142313" w14:textId="04AD7D2F" w:rsidR="00D77BEC" w:rsidRPr="00E47A79" w:rsidRDefault="003A0C68" w:rsidP="003A0C68">
      <w:pPr>
        <w:spacing w:line="360" w:lineRule="auto"/>
        <w:rPr>
          <w:rFonts w:ascii="Garamond" w:hAnsi="Garamond"/>
          <w:sz w:val="24"/>
          <w:szCs w:val="24"/>
        </w:rPr>
      </w:pPr>
      <w:r w:rsidRPr="00E47A79">
        <w:rPr>
          <w:rFonts w:ascii="Garamond" w:hAnsi="Garamond"/>
          <w:sz w:val="24"/>
          <w:szCs w:val="24"/>
        </w:rPr>
        <w:t xml:space="preserve">As detailed above, the </w:t>
      </w:r>
      <w:r w:rsidR="005D296E" w:rsidRPr="00E47A79">
        <w:rPr>
          <w:rFonts w:ascii="Garamond" w:hAnsi="Garamond"/>
          <w:sz w:val="24"/>
          <w:szCs w:val="24"/>
        </w:rPr>
        <w:t>interim guidance</w:t>
      </w:r>
      <w:r w:rsidRPr="00E47A79">
        <w:rPr>
          <w:rFonts w:ascii="Garamond" w:hAnsi="Garamond"/>
          <w:sz w:val="24"/>
          <w:szCs w:val="24"/>
        </w:rPr>
        <w:t xml:space="preserve"> communicates</w:t>
      </w:r>
      <w:r w:rsidR="009D2DC6" w:rsidRPr="00E47A79">
        <w:rPr>
          <w:rFonts w:ascii="Garamond" w:hAnsi="Garamond"/>
          <w:sz w:val="24"/>
          <w:szCs w:val="24"/>
        </w:rPr>
        <w:t xml:space="preserve"> a clear, exclusive preference for RCTs, to the point that </w:t>
      </w:r>
      <w:r w:rsidR="009E1A6B" w:rsidRPr="00E47A79">
        <w:rPr>
          <w:rFonts w:ascii="Garamond" w:hAnsi="Garamond"/>
          <w:sz w:val="24"/>
          <w:szCs w:val="24"/>
        </w:rPr>
        <w:t>they</w:t>
      </w:r>
      <w:r w:rsidR="00200FDA" w:rsidRPr="00E47A79">
        <w:rPr>
          <w:rFonts w:ascii="Garamond" w:hAnsi="Garamond"/>
          <w:sz w:val="24"/>
          <w:szCs w:val="24"/>
        </w:rPr>
        <w:t xml:space="preserve"> are assumed to</w:t>
      </w:r>
      <w:r w:rsidR="009D2DC6" w:rsidRPr="00E47A79">
        <w:rPr>
          <w:rFonts w:ascii="Garamond" w:hAnsi="Garamond"/>
          <w:sz w:val="24"/>
          <w:szCs w:val="24"/>
        </w:rPr>
        <w:t xml:space="preserve"> represent the </w:t>
      </w:r>
      <w:r w:rsidR="009D2DC6" w:rsidRPr="00E47A79">
        <w:rPr>
          <w:rFonts w:ascii="Garamond" w:hAnsi="Garamond"/>
          <w:i/>
          <w:iCs/>
          <w:sz w:val="24"/>
          <w:szCs w:val="24"/>
        </w:rPr>
        <w:t>only</w:t>
      </w:r>
      <w:r w:rsidR="009D2DC6" w:rsidRPr="00E47A79">
        <w:rPr>
          <w:rFonts w:ascii="Garamond" w:hAnsi="Garamond"/>
          <w:sz w:val="24"/>
          <w:szCs w:val="24"/>
        </w:rPr>
        <w:t xml:space="preserve"> type of evidence which will satisfy the concerns of ‘evidence</w:t>
      </w:r>
      <w:r w:rsidR="00820752" w:rsidRPr="00E47A79">
        <w:rPr>
          <w:rFonts w:ascii="Garamond" w:hAnsi="Garamond"/>
          <w:sz w:val="24"/>
          <w:szCs w:val="24"/>
        </w:rPr>
        <w:t>-</w:t>
      </w:r>
      <w:r w:rsidR="009D2DC6" w:rsidRPr="00E47A79">
        <w:rPr>
          <w:rFonts w:ascii="Garamond" w:hAnsi="Garamond"/>
          <w:sz w:val="24"/>
          <w:szCs w:val="24"/>
        </w:rPr>
        <w:t>based medicine</w:t>
      </w:r>
      <w:r w:rsidR="009E1A6B" w:rsidRPr="00E47A79">
        <w:rPr>
          <w:rFonts w:ascii="Garamond" w:hAnsi="Garamond"/>
          <w:sz w:val="24"/>
          <w:szCs w:val="24"/>
        </w:rPr>
        <w:t>.</w:t>
      </w:r>
      <w:r w:rsidR="009D2DC6" w:rsidRPr="00E47A79">
        <w:rPr>
          <w:rFonts w:ascii="Garamond" w:hAnsi="Garamond"/>
          <w:sz w:val="24"/>
          <w:szCs w:val="24"/>
        </w:rPr>
        <w:t>’</w:t>
      </w:r>
      <w:r w:rsidR="00263D67" w:rsidRPr="00E47A79">
        <w:rPr>
          <w:rFonts w:ascii="Garamond" w:hAnsi="Garamond"/>
          <w:sz w:val="24"/>
          <w:szCs w:val="24"/>
        </w:rPr>
        <w:t xml:space="preserve"> </w:t>
      </w:r>
      <w:r w:rsidR="00A17C01" w:rsidRPr="00E47A79">
        <w:rPr>
          <w:rFonts w:ascii="Garamond" w:hAnsi="Garamond"/>
          <w:sz w:val="24"/>
          <w:szCs w:val="24"/>
        </w:rPr>
        <w:t xml:space="preserve">Yet </w:t>
      </w:r>
      <w:proofErr w:type="gramStart"/>
      <w:r w:rsidR="006600F8" w:rsidRPr="00E47A79">
        <w:rPr>
          <w:rFonts w:ascii="Garamond" w:hAnsi="Garamond"/>
          <w:sz w:val="24"/>
          <w:szCs w:val="24"/>
        </w:rPr>
        <w:t>it is clear that there</w:t>
      </w:r>
      <w:proofErr w:type="gramEnd"/>
      <w:r w:rsidR="006600F8" w:rsidRPr="00E47A79">
        <w:rPr>
          <w:rFonts w:ascii="Garamond" w:hAnsi="Garamond"/>
          <w:sz w:val="24"/>
          <w:szCs w:val="24"/>
        </w:rPr>
        <w:t xml:space="preserve"> are real and justifiable concerns with assuming that data generated by RCTs is supremely reliable</w:t>
      </w:r>
      <w:r w:rsidR="00AA298F" w:rsidRPr="00E47A79">
        <w:rPr>
          <w:rFonts w:ascii="Garamond" w:hAnsi="Garamond"/>
          <w:sz w:val="24"/>
          <w:szCs w:val="24"/>
        </w:rPr>
        <w:t xml:space="preserve"> and that prescribing decisions in the absence of positive RCT evidence cannot be made</w:t>
      </w:r>
      <w:r w:rsidR="006600F8" w:rsidRPr="00E47A79">
        <w:rPr>
          <w:rFonts w:ascii="Garamond" w:hAnsi="Garamond"/>
          <w:sz w:val="24"/>
          <w:szCs w:val="24"/>
        </w:rPr>
        <w:t xml:space="preserve">. For example, </w:t>
      </w:r>
      <w:r w:rsidR="00A17C01" w:rsidRPr="00E47A79">
        <w:rPr>
          <w:rFonts w:ascii="Garamond" w:hAnsi="Garamond"/>
          <w:sz w:val="24"/>
          <w:szCs w:val="24"/>
        </w:rPr>
        <w:t>t</w:t>
      </w:r>
      <w:r w:rsidR="00263D67" w:rsidRPr="00E47A79">
        <w:rPr>
          <w:rFonts w:ascii="Garamond" w:hAnsi="Garamond"/>
          <w:sz w:val="24"/>
          <w:szCs w:val="24"/>
        </w:rPr>
        <w:t>he</w:t>
      </w:r>
      <w:r w:rsidR="00CF661A" w:rsidRPr="00E47A79">
        <w:rPr>
          <w:rFonts w:ascii="Garamond" w:hAnsi="Garamond"/>
          <w:sz w:val="24"/>
          <w:szCs w:val="24"/>
        </w:rPr>
        <w:t>re are suggestions that the</w:t>
      </w:r>
      <w:r w:rsidR="00263D67" w:rsidRPr="00E47A79">
        <w:rPr>
          <w:rFonts w:ascii="Garamond" w:hAnsi="Garamond"/>
          <w:sz w:val="24"/>
          <w:szCs w:val="24"/>
        </w:rPr>
        <w:t xml:space="preserve"> coverage of </w:t>
      </w:r>
      <w:r w:rsidR="00CF661A" w:rsidRPr="00E47A79">
        <w:rPr>
          <w:rFonts w:ascii="Garamond" w:hAnsi="Garamond"/>
          <w:sz w:val="24"/>
          <w:szCs w:val="24"/>
        </w:rPr>
        <w:t xml:space="preserve">medicines by </w:t>
      </w:r>
      <w:r w:rsidR="00263D67" w:rsidRPr="00E47A79">
        <w:rPr>
          <w:rFonts w:ascii="Garamond" w:hAnsi="Garamond"/>
          <w:sz w:val="24"/>
          <w:szCs w:val="24"/>
        </w:rPr>
        <w:t>RCTs is</w:t>
      </w:r>
      <w:r w:rsidR="00774377" w:rsidRPr="00E47A79">
        <w:rPr>
          <w:rFonts w:ascii="Garamond" w:hAnsi="Garamond"/>
          <w:sz w:val="24"/>
          <w:szCs w:val="24"/>
        </w:rPr>
        <w:t xml:space="preserve"> </w:t>
      </w:r>
      <w:r w:rsidR="00263D67" w:rsidRPr="00E47A79">
        <w:rPr>
          <w:rFonts w:ascii="Garamond" w:hAnsi="Garamond"/>
          <w:sz w:val="24"/>
          <w:szCs w:val="24"/>
        </w:rPr>
        <w:t>‘lopsided’,</w:t>
      </w:r>
      <w:r w:rsidRPr="00E47A79">
        <w:rPr>
          <w:rFonts w:ascii="Garamond" w:hAnsi="Garamond"/>
          <w:sz w:val="24"/>
          <w:szCs w:val="24"/>
        </w:rPr>
        <w:t xml:space="preserve"> being</w:t>
      </w:r>
      <w:r w:rsidR="00263D67" w:rsidRPr="00E47A79">
        <w:rPr>
          <w:rFonts w:ascii="Garamond" w:hAnsi="Garamond"/>
          <w:sz w:val="24"/>
          <w:szCs w:val="24"/>
        </w:rPr>
        <w:t xml:space="preserve"> distorted by industry’s research agenda</w:t>
      </w:r>
      <w:r w:rsidR="000338C1" w:rsidRPr="00E47A79">
        <w:rPr>
          <w:rStyle w:val="FootnoteReference"/>
          <w:rFonts w:ascii="Garamond" w:hAnsi="Garamond"/>
          <w:sz w:val="24"/>
          <w:szCs w:val="24"/>
        </w:rPr>
        <w:footnoteReference w:id="179"/>
      </w:r>
      <w:r w:rsidR="008117EC" w:rsidRPr="00E47A79">
        <w:rPr>
          <w:rFonts w:ascii="Garamond" w:hAnsi="Garamond"/>
          <w:sz w:val="24"/>
          <w:szCs w:val="24"/>
        </w:rPr>
        <w:t xml:space="preserve"> and</w:t>
      </w:r>
      <w:r w:rsidR="00263D67" w:rsidRPr="00E47A79">
        <w:rPr>
          <w:rFonts w:ascii="Garamond" w:hAnsi="Garamond"/>
          <w:sz w:val="24"/>
          <w:szCs w:val="24"/>
        </w:rPr>
        <w:t xml:space="preserve"> </w:t>
      </w:r>
      <w:r w:rsidR="00AE66C1" w:rsidRPr="00E47A79">
        <w:rPr>
          <w:rFonts w:ascii="Garamond" w:hAnsi="Garamond"/>
          <w:sz w:val="24"/>
          <w:szCs w:val="24"/>
        </w:rPr>
        <w:t xml:space="preserve">that which medicines </w:t>
      </w:r>
      <w:r w:rsidR="00E24787" w:rsidRPr="00E47A79">
        <w:rPr>
          <w:rFonts w:ascii="Garamond" w:hAnsi="Garamond"/>
          <w:sz w:val="24"/>
          <w:szCs w:val="24"/>
        </w:rPr>
        <w:t>become</w:t>
      </w:r>
      <w:r w:rsidR="00AE66C1" w:rsidRPr="00E47A79">
        <w:rPr>
          <w:rFonts w:ascii="Garamond" w:hAnsi="Garamond"/>
          <w:sz w:val="24"/>
          <w:szCs w:val="24"/>
        </w:rPr>
        <w:t xml:space="preserve"> the subject of RCTs </w:t>
      </w:r>
      <w:r w:rsidR="008324C9" w:rsidRPr="00E47A79">
        <w:rPr>
          <w:rFonts w:ascii="Garamond" w:hAnsi="Garamond"/>
          <w:sz w:val="24"/>
          <w:szCs w:val="24"/>
        </w:rPr>
        <w:t xml:space="preserve">may </w:t>
      </w:r>
      <w:r w:rsidR="00263D67" w:rsidRPr="00E47A79">
        <w:rPr>
          <w:rFonts w:ascii="Garamond" w:hAnsi="Garamond"/>
          <w:sz w:val="24"/>
          <w:szCs w:val="24"/>
        </w:rPr>
        <w:t>serve</w:t>
      </w:r>
      <w:r w:rsidR="00AE66C1" w:rsidRPr="00E47A79">
        <w:rPr>
          <w:rFonts w:ascii="Garamond" w:hAnsi="Garamond"/>
          <w:sz w:val="24"/>
          <w:szCs w:val="24"/>
        </w:rPr>
        <w:t xml:space="preserve"> </w:t>
      </w:r>
      <w:r w:rsidR="00263D67" w:rsidRPr="00E47A79">
        <w:rPr>
          <w:rFonts w:ascii="Garamond" w:hAnsi="Garamond"/>
          <w:sz w:val="24"/>
          <w:szCs w:val="24"/>
        </w:rPr>
        <w:t>commercial interests rather than</w:t>
      </w:r>
      <w:r w:rsidR="00AE66C1" w:rsidRPr="00E47A79">
        <w:rPr>
          <w:rFonts w:ascii="Garamond" w:hAnsi="Garamond"/>
          <w:sz w:val="24"/>
          <w:szCs w:val="24"/>
        </w:rPr>
        <w:t xml:space="preserve"> the health and wellbeing of the population</w:t>
      </w:r>
      <w:r w:rsidR="00774377" w:rsidRPr="00E47A79">
        <w:rPr>
          <w:rFonts w:ascii="Garamond" w:hAnsi="Garamond"/>
          <w:sz w:val="24"/>
          <w:szCs w:val="24"/>
        </w:rPr>
        <w:t>.</w:t>
      </w:r>
      <w:r w:rsidR="00263D67" w:rsidRPr="00E47A79">
        <w:rPr>
          <w:rStyle w:val="FootnoteReference"/>
          <w:rFonts w:ascii="Garamond" w:hAnsi="Garamond"/>
          <w:sz w:val="24"/>
          <w:szCs w:val="24"/>
        </w:rPr>
        <w:footnoteReference w:id="180"/>
      </w:r>
      <w:r w:rsidR="00263D67" w:rsidRPr="00E47A79">
        <w:rPr>
          <w:rFonts w:ascii="Garamond" w:hAnsi="Garamond"/>
          <w:sz w:val="24"/>
          <w:szCs w:val="24"/>
        </w:rPr>
        <w:t xml:space="preserve"> </w:t>
      </w:r>
      <w:r w:rsidR="00EA6BCA" w:rsidRPr="00E47A79">
        <w:rPr>
          <w:rFonts w:ascii="Garamond" w:hAnsi="Garamond"/>
          <w:sz w:val="24"/>
          <w:szCs w:val="24"/>
        </w:rPr>
        <w:t xml:space="preserve">In some cases </w:t>
      </w:r>
      <w:r w:rsidRPr="00E47A79">
        <w:rPr>
          <w:rFonts w:ascii="Garamond" w:hAnsi="Garamond"/>
          <w:sz w:val="24"/>
          <w:szCs w:val="24"/>
        </w:rPr>
        <w:t>RCTs</w:t>
      </w:r>
      <w:r w:rsidR="009E1A6B" w:rsidRPr="00E47A79">
        <w:rPr>
          <w:rFonts w:ascii="Garamond" w:hAnsi="Garamond"/>
          <w:sz w:val="24"/>
          <w:szCs w:val="24"/>
        </w:rPr>
        <w:t xml:space="preserve"> </w:t>
      </w:r>
      <w:r w:rsidR="00EA6BCA" w:rsidRPr="00E47A79">
        <w:rPr>
          <w:rFonts w:ascii="Garamond" w:hAnsi="Garamond"/>
          <w:sz w:val="24"/>
          <w:szCs w:val="24"/>
        </w:rPr>
        <w:t xml:space="preserve">have </w:t>
      </w:r>
      <w:r w:rsidR="009E1A6B" w:rsidRPr="00E47A79">
        <w:rPr>
          <w:rFonts w:ascii="Garamond" w:hAnsi="Garamond"/>
          <w:sz w:val="24"/>
          <w:szCs w:val="24"/>
        </w:rPr>
        <w:t>compare</w:t>
      </w:r>
      <w:r w:rsidR="00EA6BCA" w:rsidRPr="00E47A79">
        <w:rPr>
          <w:rFonts w:ascii="Garamond" w:hAnsi="Garamond"/>
          <w:sz w:val="24"/>
          <w:szCs w:val="24"/>
        </w:rPr>
        <w:t>d</w:t>
      </w:r>
      <w:r w:rsidR="009E1A6B" w:rsidRPr="00E47A79">
        <w:rPr>
          <w:rFonts w:ascii="Garamond" w:hAnsi="Garamond"/>
          <w:sz w:val="24"/>
          <w:szCs w:val="24"/>
        </w:rPr>
        <w:t xml:space="preserve"> single drugs against </w:t>
      </w:r>
      <w:r w:rsidR="005D296E" w:rsidRPr="00E47A79">
        <w:rPr>
          <w:rFonts w:ascii="Garamond" w:hAnsi="Garamond"/>
          <w:sz w:val="24"/>
          <w:szCs w:val="24"/>
        </w:rPr>
        <w:t xml:space="preserve">a </w:t>
      </w:r>
      <w:r w:rsidR="009E1A6B" w:rsidRPr="00E47A79">
        <w:rPr>
          <w:rFonts w:ascii="Garamond" w:hAnsi="Garamond"/>
          <w:sz w:val="24"/>
          <w:szCs w:val="24"/>
        </w:rPr>
        <w:t>placebo or a ‘</w:t>
      </w:r>
      <w:r w:rsidR="00AA298F" w:rsidRPr="00E47A79">
        <w:rPr>
          <w:rFonts w:ascii="Garamond" w:hAnsi="Garamond"/>
          <w:sz w:val="24"/>
          <w:szCs w:val="24"/>
        </w:rPr>
        <w:t>poor</w:t>
      </w:r>
      <w:r w:rsidR="009E1A6B" w:rsidRPr="00E47A79">
        <w:rPr>
          <w:rFonts w:ascii="Garamond" w:hAnsi="Garamond"/>
          <w:sz w:val="24"/>
          <w:szCs w:val="24"/>
        </w:rPr>
        <w:t xml:space="preserve"> comparator’</w:t>
      </w:r>
      <w:r w:rsidR="00AA298F" w:rsidRPr="00E47A79">
        <w:rPr>
          <w:rStyle w:val="FootnoteReference"/>
          <w:rFonts w:ascii="Garamond" w:hAnsi="Garamond"/>
          <w:sz w:val="24"/>
          <w:szCs w:val="24"/>
        </w:rPr>
        <w:footnoteReference w:id="181"/>
      </w:r>
      <w:r w:rsidR="009E1A6B" w:rsidRPr="00E47A79">
        <w:rPr>
          <w:rFonts w:ascii="Garamond" w:hAnsi="Garamond"/>
          <w:sz w:val="24"/>
          <w:szCs w:val="24"/>
        </w:rPr>
        <w:t xml:space="preserve">, and </w:t>
      </w:r>
      <w:r w:rsidR="0008337D" w:rsidRPr="00E47A79">
        <w:rPr>
          <w:rFonts w:ascii="Garamond" w:hAnsi="Garamond"/>
          <w:sz w:val="24"/>
          <w:szCs w:val="24"/>
        </w:rPr>
        <w:t xml:space="preserve">may </w:t>
      </w:r>
      <w:r w:rsidR="009E1A6B" w:rsidRPr="00E47A79">
        <w:rPr>
          <w:rFonts w:ascii="Garamond" w:hAnsi="Garamond"/>
          <w:sz w:val="24"/>
          <w:szCs w:val="24"/>
        </w:rPr>
        <w:t xml:space="preserve">tell us little about how the drug performs </w:t>
      </w:r>
      <w:r w:rsidR="005510BE" w:rsidRPr="00E47A79">
        <w:rPr>
          <w:rFonts w:ascii="Garamond" w:hAnsi="Garamond"/>
          <w:sz w:val="24"/>
          <w:szCs w:val="24"/>
        </w:rPr>
        <w:t>in real-world settings</w:t>
      </w:r>
      <w:r w:rsidR="00774377" w:rsidRPr="00E47A79">
        <w:rPr>
          <w:rFonts w:ascii="Garamond" w:hAnsi="Garamond"/>
          <w:sz w:val="24"/>
          <w:szCs w:val="24"/>
        </w:rPr>
        <w:t>,</w:t>
      </w:r>
      <w:r w:rsidR="005510BE" w:rsidRPr="00E47A79">
        <w:rPr>
          <w:rStyle w:val="FootnoteReference"/>
          <w:rFonts w:ascii="Garamond" w:hAnsi="Garamond"/>
          <w:sz w:val="24"/>
          <w:szCs w:val="24"/>
        </w:rPr>
        <w:footnoteReference w:id="182"/>
      </w:r>
      <w:r w:rsidR="005510BE" w:rsidRPr="00E47A79">
        <w:rPr>
          <w:rFonts w:ascii="Garamond" w:hAnsi="Garamond"/>
          <w:sz w:val="24"/>
          <w:szCs w:val="24"/>
        </w:rPr>
        <w:t xml:space="preserve"> </w:t>
      </w:r>
      <w:r w:rsidR="00774377" w:rsidRPr="00E47A79">
        <w:rPr>
          <w:rFonts w:ascii="Garamond" w:hAnsi="Garamond"/>
          <w:sz w:val="24"/>
          <w:szCs w:val="24"/>
        </w:rPr>
        <w:t>where patients taking the medicine will often be suffering from co-morbidities and already be taking multiple other medications</w:t>
      </w:r>
      <w:r w:rsidR="009E1A6B" w:rsidRPr="00E47A79">
        <w:rPr>
          <w:rFonts w:ascii="Garamond" w:hAnsi="Garamond"/>
          <w:sz w:val="24"/>
          <w:szCs w:val="24"/>
        </w:rPr>
        <w:t xml:space="preserve">.  </w:t>
      </w:r>
      <w:r w:rsidR="005D296E" w:rsidRPr="00E47A79">
        <w:rPr>
          <w:rFonts w:ascii="Garamond" w:hAnsi="Garamond"/>
          <w:sz w:val="24"/>
          <w:szCs w:val="24"/>
        </w:rPr>
        <w:t>Moreover, insistence that RCT evidence is the only way of gauging safety and efficacy neglect</w:t>
      </w:r>
      <w:r w:rsidR="00504B93" w:rsidRPr="00E47A79">
        <w:rPr>
          <w:rFonts w:ascii="Garamond" w:hAnsi="Garamond"/>
          <w:sz w:val="24"/>
          <w:szCs w:val="24"/>
        </w:rPr>
        <w:t>s</w:t>
      </w:r>
      <w:r w:rsidR="005D296E" w:rsidRPr="00E47A79">
        <w:rPr>
          <w:rFonts w:ascii="Garamond" w:hAnsi="Garamond"/>
          <w:sz w:val="24"/>
          <w:szCs w:val="24"/>
        </w:rPr>
        <w:t xml:space="preserve"> the fact that modern medicine clearly </w:t>
      </w:r>
      <w:r w:rsidR="00504B93" w:rsidRPr="00E47A79">
        <w:rPr>
          <w:rFonts w:ascii="Garamond" w:hAnsi="Garamond"/>
          <w:sz w:val="24"/>
          <w:szCs w:val="24"/>
        </w:rPr>
        <w:t>embraces</w:t>
      </w:r>
      <w:r w:rsidR="005D296E" w:rsidRPr="00E47A79">
        <w:rPr>
          <w:rFonts w:ascii="Garamond" w:hAnsi="Garamond"/>
          <w:sz w:val="24"/>
          <w:szCs w:val="24"/>
        </w:rPr>
        <w:t xml:space="preserve"> practices which are not supported by RCT evidence, including</w:t>
      </w:r>
      <w:r w:rsidR="00BB25A5" w:rsidRPr="00E47A79">
        <w:rPr>
          <w:rFonts w:ascii="Garamond" w:hAnsi="Garamond"/>
          <w:sz w:val="24"/>
          <w:szCs w:val="24"/>
        </w:rPr>
        <w:t xml:space="preserve">; </w:t>
      </w:r>
      <w:r w:rsidR="009102D6" w:rsidRPr="00E47A79">
        <w:rPr>
          <w:rFonts w:ascii="Garamond" w:hAnsi="Garamond"/>
          <w:sz w:val="24"/>
          <w:szCs w:val="24"/>
        </w:rPr>
        <w:t xml:space="preserve">the number of </w:t>
      </w:r>
      <w:r w:rsidR="00BB25A5" w:rsidRPr="00E47A79">
        <w:rPr>
          <w:rFonts w:ascii="Garamond" w:hAnsi="Garamond"/>
          <w:sz w:val="24"/>
          <w:szCs w:val="24"/>
        </w:rPr>
        <w:t xml:space="preserve">drugs which have been licensed without </w:t>
      </w:r>
      <w:r w:rsidR="009102D6" w:rsidRPr="00E47A79">
        <w:rPr>
          <w:rFonts w:ascii="Garamond" w:hAnsi="Garamond"/>
          <w:sz w:val="24"/>
          <w:szCs w:val="24"/>
        </w:rPr>
        <w:t xml:space="preserve">positive </w:t>
      </w:r>
      <w:r w:rsidR="00BB25A5" w:rsidRPr="00E47A79">
        <w:rPr>
          <w:rFonts w:ascii="Garamond" w:hAnsi="Garamond"/>
          <w:sz w:val="24"/>
          <w:szCs w:val="24"/>
        </w:rPr>
        <w:t>RCT evidence</w:t>
      </w:r>
      <w:r w:rsidR="00BB25A5" w:rsidRPr="00E47A79">
        <w:rPr>
          <w:rStyle w:val="FootnoteReference"/>
          <w:rFonts w:ascii="Garamond" w:hAnsi="Garamond"/>
          <w:sz w:val="24"/>
          <w:szCs w:val="24"/>
        </w:rPr>
        <w:footnoteReference w:id="183"/>
      </w:r>
      <w:r w:rsidR="00BB25A5" w:rsidRPr="00E47A79">
        <w:rPr>
          <w:rFonts w:ascii="Garamond" w:hAnsi="Garamond"/>
          <w:sz w:val="24"/>
          <w:szCs w:val="24"/>
        </w:rPr>
        <w:t>,</w:t>
      </w:r>
      <w:r w:rsidR="005D296E" w:rsidRPr="00E47A79">
        <w:rPr>
          <w:rFonts w:ascii="Garamond" w:hAnsi="Garamond"/>
          <w:sz w:val="24"/>
          <w:szCs w:val="24"/>
        </w:rPr>
        <w:t xml:space="preserve"> ‘off licence’ prescribing of medicines for children,</w:t>
      </w:r>
      <w:r w:rsidR="00504B93" w:rsidRPr="00E47A79">
        <w:rPr>
          <w:rStyle w:val="FootnoteReference"/>
          <w:rFonts w:ascii="Garamond" w:hAnsi="Garamond"/>
          <w:sz w:val="24"/>
          <w:szCs w:val="24"/>
        </w:rPr>
        <w:footnoteReference w:id="184"/>
      </w:r>
      <w:r w:rsidR="005D296E" w:rsidRPr="00E47A79">
        <w:rPr>
          <w:rFonts w:ascii="Garamond" w:hAnsi="Garamond"/>
          <w:sz w:val="24"/>
          <w:szCs w:val="24"/>
        </w:rPr>
        <w:t xml:space="preserve"> administering multiple medications for co-morbidities or intractable conditions and surgery</w:t>
      </w:r>
      <w:r w:rsidR="00644B33">
        <w:rPr>
          <w:rFonts w:ascii="Garamond" w:hAnsi="Garamond"/>
          <w:sz w:val="24"/>
          <w:szCs w:val="24"/>
        </w:rPr>
        <w:t xml:space="preserve"> (</w:t>
      </w:r>
      <w:r w:rsidR="005D296E" w:rsidRPr="00E47A79">
        <w:rPr>
          <w:rFonts w:ascii="Garamond" w:hAnsi="Garamond"/>
          <w:sz w:val="24"/>
          <w:szCs w:val="24"/>
        </w:rPr>
        <w:t xml:space="preserve">where progress tends to be iterative, on a ‘trial and error’ basis with </w:t>
      </w:r>
      <w:r w:rsidR="00691475" w:rsidRPr="00E47A79">
        <w:rPr>
          <w:rFonts w:ascii="Garamond" w:hAnsi="Garamond"/>
          <w:sz w:val="24"/>
          <w:szCs w:val="24"/>
        </w:rPr>
        <w:t xml:space="preserve">only </w:t>
      </w:r>
      <w:r w:rsidR="005D296E" w:rsidRPr="00E47A79">
        <w:rPr>
          <w:rFonts w:ascii="Garamond" w:hAnsi="Garamond"/>
          <w:sz w:val="24"/>
          <w:szCs w:val="24"/>
        </w:rPr>
        <w:t xml:space="preserve">an estimated 24% of the currently used surgical therapies being supported by </w:t>
      </w:r>
      <w:r w:rsidR="0008337D" w:rsidRPr="00E47A79">
        <w:rPr>
          <w:rFonts w:ascii="Garamond" w:hAnsi="Garamond"/>
          <w:sz w:val="24"/>
          <w:szCs w:val="24"/>
        </w:rPr>
        <w:t xml:space="preserve">the </w:t>
      </w:r>
      <w:r w:rsidR="005D296E" w:rsidRPr="00E47A79">
        <w:rPr>
          <w:rFonts w:ascii="Garamond" w:hAnsi="Garamond"/>
          <w:sz w:val="24"/>
          <w:szCs w:val="24"/>
        </w:rPr>
        <w:t>results of RCTs</w:t>
      </w:r>
      <w:r w:rsidR="00644B33" w:rsidRPr="00E47A79">
        <w:rPr>
          <w:rFonts w:ascii="Garamond" w:hAnsi="Garamond"/>
          <w:sz w:val="24"/>
          <w:szCs w:val="24"/>
          <w:vertAlign w:val="superscript"/>
        </w:rPr>
        <w:footnoteReference w:id="185"/>
      </w:r>
      <w:r w:rsidR="00644B33">
        <w:rPr>
          <w:rFonts w:ascii="Garamond" w:hAnsi="Garamond"/>
          <w:sz w:val="24"/>
          <w:szCs w:val="24"/>
        </w:rPr>
        <w:t>)</w:t>
      </w:r>
      <w:r w:rsidR="005D296E" w:rsidRPr="00E47A79">
        <w:rPr>
          <w:rFonts w:ascii="Garamond" w:hAnsi="Garamond"/>
          <w:sz w:val="24"/>
          <w:szCs w:val="24"/>
        </w:rPr>
        <w:t xml:space="preserve">. </w:t>
      </w:r>
    </w:p>
    <w:p w14:paraId="72E5391F" w14:textId="0EAD9118" w:rsidR="005D296E" w:rsidRPr="00E47A79" w:rsidRDefault="00A17C01" w:rsidP="003A0C68">
      <w:pPr>
        <w:spacing w:line="360" w:lineRule="auto"/>
        <w:rPr>
          <w:rFonts w:ascii="Garamond" w:hAnsi="Garamond"/>
          <w:sz w:val="24"/>
          <w:szCs w:val="24"/>
        </w:rPr>
      </w:pPr>
      <w:r w:rsidRPr="00E47A79">
        <w:rPr>
          <w:rFonts w:ascii="Garamond" w:hAnsi="Garamond"/>
          <w:sz w:val="24"/>
          <w:szCs w:val="24"/>
        </w:rPr>
        <w:lastRenderedPageBreak/>
        <w:t xml:space="preserve">The emphasis of the unknown nature of </w:t>
      </w:r>
      <w:r w:rsidRPr="00E47A79">
        <w:rPr>
          <w:rFonts w:ascii="Garamond" w:hAnsi="Garamond"/>
          <w:i/>
          <w:iCs/>
          <w:sz w:val="24"/>
          <w:szCs w:val="24"/>
        </w:rPr>
        <w:t>long-term effects</w:t>
      </w:r>
      <w:r w:rsidRPr="00E47A79">
        <w:rPr>
          <w:rFonts w:ascii="Garamond" w:hAnsi="Garamond"/>
          <w:sz w:val="24"/>
          <w:szCs w:val="24"/>
        </w:rPr>
        <w:t xml:space="preserve"> of taking CBMPs risks eviden</w:t>
      </w:r>
      <w:r w:rsidR="003A0C68" w:rsidRPr="00E47A79">
        <w:rPr>
          <w:rFonts w:ascii="Garamond" w:hAnsi="Garamond"/>
          <w:sz w:val="24"/>
          <w:szCs w:val="24"/>
        </w:rPr>
        <w:t>t in interim guidan</w:t>
      </w:r>
      <w:r w:rsidRPr="00E47A79">
        <w:rPr>
          <w:rFonts w:ascii="Garamond" w:hAnsi="Garamond"/>
          <w:sz w:val="24"/>
          <w:szCs w:val="24"/>
        </w:rPr>
        <w:t>ce</w:t>
      </w:r>
      <w:r w:rsidR="003139CE" w:rsidRPr="00E47A79">
        <w:rPr>
          <w:rFonts w:ascii="Garamond" w:hAnsi="Garamond"/>
          <w:sz w:val="24"/>
          <w:szCs w:val="24"/>
        </w:rPr>
        <w:t xml:space="preserve"> also</w:t>
      </w:r>
      <w:r w:rsidRPr="00E47A79">
        <w:rPr>
          <w:rFonts w:ascii="Garamond" w:hAnsi="Garamond"/>
          <w:sz w:val="24"/>
          <w:szCs w:val="24"/>
        </w:rPr>
        <w:t xml:space="preserve"> risks applying a ‘double standard’.</w:t>
      </w:r>
      <w:r w:rsidRPr="00E47A79">
        <w:rPr>
          <w:rFonts w:ascii="Garamond" w:hAnsi="Garamond"/>
          <w:sz w:val="24"/>
          <w:szCs w:val="24"/>
          <w:vertAlign w:val="superscript"/>
        </w:rPr>
        <w:footnoteReference w:id="186"/>
      </w:r>
      <w:r w:rsidRPr="00E47A79">
        <w:rPr>
          <w:rFonts w:ascii="Garamond" w:hAnsi="Garamond"/>
          <w:sz w:val="24"/>
          <w:szCs w:val="24"/>
        </w:rPr>
        <w:t xml:space="preserve"> </w:t>
      </w:r>
      <w:r w:rsidR="003A0C68" w:rsidRPr="00E47A79">
        <w:rPr>
          <w:rFonts w:ascii="Garamond" w:hAnsi="Garamond"/>
          <w:sz w:val="24"/>
          <w:szCs w:val="24"/>
        </w:rPr>
        <w:t xml:space="preserve">Even where </w:t>
      </w:r>
      <w:r w:rsidRPr="00E47A79">
        <w:rPr>
          <w:rFonts w:ascii="Garamond" w:hAnsi="Garamond"/>
          <w:sz w:val="24"/>
          <w:szCs w:val="24"/>
        </w:rPr>
        <w:t>RCT</w:t>
      </w:r>
      <w:r w:rsidR="003A0C68" w:rsidRPr="00E47A79">
        <w:rPr>
          <w:rFonts w:ascii="Garamond" w:hAnsi="Garamond"/>
          <w:sz w:val="24"/>
          <w:szCs w:val="24"/>
        </w:rPr>
        <w:t xml:space="preserve"> evidence is available, trials</w:t>
      </w:r>
      <w:r w:rsidRPr="00E47A79">
        <w:rPr>
          <w:rFonts w:ascii="Garamond" w:hAnsi="Garamond"/>
          <w:sz w:val="24"/>
          <w:szCs w:val="24"/>
        </w:rPr>
        <w:t xml:space="preserve"> </w:t>
      </w:r>
      <w:r w:rsidR="0008337D" w:rsidRPr="00E47A79">
        <w:rPr>
          <w:rFonts w:ascii="Garamond" w:hAnsi="Garamond"/>
          <w:sz w:val="24"/>
          <w:szCs w:val="24"/>
        </w:rPr>
        <w:t>often</w:t>
      </w:r>
      <w:r w:rsidRPr="00E47A79">
        <w:rPr>
          <w:rFonts w:ascii="Garamond" w:hAnsi="Garamond"/>
          <w:sz w:val="24"/>
          <w:szCs w:val="24"/>
        </w:rPr>
        <w:t xml:space="preserve"> only </w:t>
      </w:r>
      <w:r w:rsidR="003A0C68" w:rsidRPr="00E47A79">
        <w:rPr>
          <w:rFonts w:ascii="Garamond" w:hAnsi="Garamond"/>
          <w:sz w:val="24"/>
          <w:szCs w:val="24"/>
        </w:rPr>
        <w:t>test</w:t>
      </w:r>
      <w:r w:rsidRPr="00E47A79">
        <w:rPr>
          <w:rFonts w:ascii="Garamond" w:hAnsi="Garamond"/>
          <w:sz w:val="24"/>
          <w:szCs w:val="24"/>
        </w:rPr>
        <w:t xml:space="preserve"> new</w:t>
      </w:r>
      <w:r w:rsidR="003A0C68" w:rsidRPr="00E47A79">
        <w:rPr>
          <w:rFonts w:ascii="Garamond" w:hAnsi="Garamond"/>
          <w:sz w:val="24"/>
          <w:szCs w:val="24"/>
        </w:rPr>
        <w:t xml:space="preserve"> medicines</w:t>
      </w:r>
      <w:r w:rsidRPr="00E47A79">
        <w:rPr>
          <w:rFonts w:ascii="Garamond" w:hAnsi="Garamond"/>
          <w:sz w:val="24"/>
          <w:szCs w:val="24"/>
        </w:rPr>
        <w:t xml:space="preserve"> for a relatively short period</w:t>
      </w:r>
      <w:r w:rsidR="003A0C68" w:rsidRPr="00E47A79">
        <w:rPr>
          <w:rFonts w:ascii="Garamond" w:hAnsi="Garamond"/>
          <w:sz w:val="24"/>
          <w:szCs w:val="24"/>
        </w:rPr>
        <w:t>,</w:t>
      </w:r>
      <w:r w:rsidRPr="00E47A79">
        <w:rPr>
          <w:rFonts w:ascii="Garamond" w:hAnsi="Garamond"/>
          <w:sz w:val="24"/>
          <w:szCs w:val="24"/>
          <w:vertAlign w:val="superscript"/>
        </w:rPr>
        <w:footnoteReference w:id="187"/>
      </w:r>
      <w:r w:rsidRPr="00E47A79">
        <w:rPr>
          <w:rFonts w:ascii="Garamond" w:hAnsi="Garamond"/>
          <w:sz w:val="24"/>
          <w:szCs w:val="24"/>
        </w:rPr>
        <w:t xml:space="preserve"> and licensing occurs well before data about long</w:t>
      </w:r>
      <w:r w:rsidR="003A0C68" w:rsidRPr="00E47A79">
        <w:rPr>
          <w:rFonts w:ascii="Garamond" w:hAnsi="Garamond"/>
          <w:sz w:val="24"/>
          <w:szCs w:val="24"/>
        </w:rPr>
        <w:t>-</w:t>
      </w:r>
      <w:r w:rsidRPr="00E47A79">
        <w:rPr>
          <w:rFonts w:ascii="Garamond" w:hAnsi="Garamond"/>
          <w:sz w:val="24"/>
          <w:szCs w:val="24"/>
        </w:rPr>
        <w:t xml:space="preserve">term use is available. For example, the RCTs which formed part of the evidence base for licensing </w:t>
      </w:r>
      <w:proofErr w:type="spellStart"/>
      <w:r w:rsidRPr="00E47A79">
        <w:rPr>
          <w:rFonts w:ascii="Garamond" w:hAnsi="Garamond"/>
          <w:sz w:val="24"/>
          <w:szCs w:val="24"/>
        </w:rPr>
        <w:t>Epidiolex</w:t>
      </w:r>
      <w:proofErr w:type="spellEnd"/>
      <w:r w:rsidRPr="00E47A79">
        <w:rPr>
          <w:rFonts w:ascii="Garamond" w:hAnsi="Garamond"/>
          <w:sz w:val="24"/>
          <w:szCs w:val="24"/>
        </w:rPr>
        <w:t xml:space="preserve"> featured a 14-week treatment period.</w:t>
      </w:r>
      <w:r w:rsidRPr="00E47A79">
        <w:rPr>
          <w:rFonts w:ascii="Garamond" w:hAnsi="Garamond"/>
          <w:sz w:val="24"/>
          <w:szCs w:val="24"/>
          <w:vertAlign w:val="superscript"/>
        </w:rPr>
        <w:footnoteReference w:id="188"/>
      </w:r>
      <w:r w:rsidRPr="00E47A79">
        <w:rPr>
          <w:rFonts w:ascii="Garamond" w:hAnsi="Garamond"/>
          <w:sz w:val="24"/>
          <w:szCs w:val="24"/>
        </w:rPr>
        <w:t xml:space="preserve"> Further, any evaluation of long</w:t>
      </w:r>
      <w:r w:rsidR="007F198F">
        <w:rPr>
          <w:rFonts w:ascii="Garamond" w:hAnsi="Garamond"/>
          <w:sz w:val="24"/>
          <w:szCs w:val="24"/>
        </w:rPr>
        <w:t>-</w:t>
      </w:r>
      <w:r w:rsidRPr="00E47A79">
        <w:rPr>
          <w:rFonts w:ascii="Garamond" w:hAnsi="Garamond"/>
          <w:sz w:val="24"/>
          <w:szCs w:val="24"/>
        </w:rPr>
        <w:t xml:space="preserve">term effects in RCTs tends to be based on ‘surrogate outcomes’ which </w:t>
      </w:r>
      <w:r w:rsidR="000E7A8D" w:rsidRPr="00E47A79">
        <w:rPr>
          <w:rFonts w:ascii="Garamond" w:hAnsi="Garamond"/>
          <w:sz w:val="24"/>
          <w:szCs w:val="24"/>
        </w:rPr>
        <w:t>can be un</w:t>
      </w:r>
      <w:r w:rsidRPr="00E47A79">
        <w:rPr>
          <w:rFonts w:ascii="Garamond" w:hAnsi="Garamond"/>
          <w:sz w:val="24"/>
          <w:szCs w:val="24"/>
        </w:rPr>
        <w:t>reliable for predicting long term risks.</w:t>
      </w:r>
      <w:r w:rsidRPr="00E47A79">
        <w:rPr>
          <w:rFonts w:ascii="Garamond" w:hAnsi="Garamond"/>
          <w:sz w:val="24"/>
          <w:szCs w:val="24"/>
          <w:vertAlign w:val="superscript"/>
        </w:rPr>
        <w:footnoteReference w:id="189"/>
      </w:r>
      <w:r w:rsidR="003139CE" w:rsidRPr="00E47A79">
        <w:rPr>
          <w:rFonts w:ascii="Garamond" w:hAnsi="Garamond"/>
          <w:sz w:val="24"/>
          <w:szCs w:val="24"/>
        </w:rPr>
        <w:t xml:space="preserve"> </w:t>
      </w:r>
    </w:p>
    <w:p w14:paraId="4EC66F0B" w14:textId="0A66BF00" w:rsidR="009D2DC6" w:rsidRPr="00E47A79" w:rsidRDefault="000E7A8D" w:rsidP="003A0C68">
      <w:pPr>
        <w:spacing w:line="360" w:lineRule="auto"/>
        <w:rPr>
          <w:rFonts w:ascii="Garamond" w:hAnsi="Garamond"/>
          <w:sz w:val="24"/>
          <w:szCs w:val="24"/>
        </w:rPr>
      </w:pPr>
      <w:r w:rsidRPr="00E47A79">
        <w:rPr>
          <w:rFonts w:ascii="Garamond" w:hAnsi="Garamond"/>
          <w:sz w:val="24"/>
          <w:szCs w:val="24"/>
        </w:rPr>
        <w:t xml:space="preserve">It should be stressed at this point that the author is not attempting to </w:t>
      </w:r>
      <w:r w:rsidR="001C4AA6" w:rsidRPr="00E47A79">
        <w:rPr>
          <w:rFonts w:ascii="Garamond" w:hAnsi="Garamond"/>
          <w:sz w:val="24"/>
          <w:szCs w:val="24"/>
        </w:rPr>
        <w:t xml:space="preserve">suggest that </w:t>
      </w:r>
      <w:r w:rsidRPr="00E47A79">
        <w:rPr>
          <w:rFonts w:ascii="Garamond" w:hAnsi="Garamond"/>
          <w:sz w:val="24"/>
          <w:szCs w:val="24"/>
        </w:rPr>
        <w:t>some</w:t>
      </w:r>
      <w:r w:rsidR="001C4AA6" w:rsidRPr="00E47A79">
        <w:rPr>
          <w:rFonts w:ascii="Garamond" w:hAnsi="Garamond"/>
          <w:sz w:val="24"/>
          <w:szCs w:val="24"/>
        </w:rPr>
        <w:t xml:space="preserve"> lesser evidentiary standard ought to be </w:t>
      </w:r>
      <w:r w:rsidRPr="00E47A79">
        <w:rPr>
          <w:rFonts w:ascii="Garamond" w:hAnsi="Garamond"/>
          <w:sz w:val="24"/>
          <w:szCs w:val="24"/>
        </w:rPr>
        <w:t xml:space="preserve">used for prescribing CBMPs, </w:t>
      </w:r>
      <w:r w:rsidR="001C4AA6" w:rsidRPr="00E47A79">
        <w:rPr>
          <w:rFonts w:ascii="Garamond" w:hAnsi="Garamond"/>
          <w:sz w:val="24"/>
          <w:szCs w:val="24"/>
        </w:rPr>
        <w:t>but rather</w:t>
      </w:r>
      <w:r w:rsidR="00AA298F" w:rsidRPr="00E47A79">
        <w:rPr>
          <w:rFonts w:ascii="Garamond" w:hAnsi="Garamond"/>
          <w:sz w:val="24"/>
          <w:szCs w:val="24"/>
        </w:rPr>
        <w:t xml:space="preserve"> that the </w:t>
      </w:r>
      <w:r w:rsidRPr="00E47A79">
        <w:rPr>
          <w:rFonts w:ascii="Garamond" w:hAnsi="Garamond"/>
          <w:sz w:val="24"/>
          <w:szCs w:val="24"/>
        </w:rPr>
        <w:t xml:space="preserve">relative </w:t>
      </w:r>
      <w:r w:rsidR="00AA298F" w:rsidRPr="00E47A79">
        <w:rPr>
          <w:rFonts w:ascii="Garamond" w:hAnsi="Garamond"/>
          <w:sz w:val="24"/>
          <w:szCs w:val="24"/>
        </w:rPr>
        <w:t xml:space="preserve">reliability of the evidence generated by RCTs is sometimes overstated, and that an approach which recognises the importance of RCTs whilst also drawing from other sources of good quality evidence may be preferable. </w:t>
      </w:r>
      <w:r w:rsidR="001C4AA6" w:rsidRPr="00E47A79">
        <w:rPr>
          <w:rFonts w:ascii="Garamond" w:hAnsi="Garamond"/>
          <w:sz w:val="24"/>
          <w:szCs w:val="24"/>
        </w:rPr>
        <w:t>As Nutt et al have recently suggested,</w:t>
      </w:r>
      <w:r w:rsidR="00770947" w:rsidRPr="00E47A79">
        <w:rPr>
          <w:rFonts w:ascii="Garamond" w:hAnsi="Garamond"/>
          <w:sz w:val="24"/>
          <w:szCs w:val="24"/>
        </w:rPr>
        <w:t xml:space="preserve"> </w:t>
      </w:r>
      <w:r w:rsidR="001C4AA6" w:rsidRPr="00E47A79">
        <w:rPr>
          <w:rFonts w:ascii="Garamond" w:hAnsi="Garamond"/>
          <w:sz w:val="24"/>
          <w:szCs w:val="24"/>
        </w:rPr>
        <w:t xml:space="preserve">‘patterns of evidence’ made up of </w:t>
      </w:r>
      <w:r w:rsidR="00770947" w:rsidRPr="00E47A79">
        <w:rPr>
          <w:rFonts w:ascii="Garamond" w:hAnsi="Garamond"/>
          <w:sz w:val="24"/>
          <w:szCs w:val="24"/>
        </w:rPr>
        <w:t xml:space="preserve">databases detailing patient reported outcomes, </w:t>
      </w:r>
      <w:r w:rsidR="009102D6" w:rsidRPr="00E47A79">
        <w:rPr>
          <w:rFonts w:ascii="Garamond" w:hAnsi="Garamond"/>
          <w:sz w:val="24"/>
          <w:szCs w:val="24"/>
        </w:rPr>
        <w:t xml:space="preserve">robust </w:t>
      </w:r>
      <w:r w:rsidR="00770947" w:rsidRPr="00E47A79">
        <w:rPr>
          <w:rFonts w:ascii="Garamond" w:hAnsi="Garamond"/>
          <w:sz w:val="24"/>
          <w:szCs w:val="24"/>
        </w:rPr>
        <w:t xml:space="preserve">observational studies, </w:t>
      </w:r>
      <w:r w:rsidR="00C664C9" w:rsidRPr="00E47A79">
        <w:rPr>
          <w:rFonts w:ascii="Garamond" w:hAnsi="Garamond"/>
          <w:sz w:val="24"/>
          <w:szCs w:val="24"/>
        </w:rPr>
        <w:t xml:space="preserve">‘N of 1’ </w:t>
      </w:r>
      <w:r w:rsidR="00770947" w:rsidRPr="00E47A79">
        <w:rPr>
          <w:rFonts w:ascii="Garamond" w:hAnsi="Garamond"/>
          <w:sz w:val="24"/>
          <w:szCs w:val="24"/>
        </w:rPr>
        <w:t xml:space="preserve">trials </w:t>
      </w:r>
      <w:r w:rsidR="001C4AA6" w:rsidRPr="00E47A79">
        <w:rPr>
          <w:rFonts w:ascii="Garamond" w:hAnsi="Garamond"/>
          <w:sz w:val="24"/>
          <w:szCs w:val="24"/>
        </w:rPr>
        <w:t>can be</w:t>
      </w:r>
      <w:r w:rsidR="00770947" w:rsidRPr="00E47A79">
        <w:rPr>
          <w:rFonts w:ascii="Garamond" w:hAnsi="Garamond"/>
          <w:sz w:val="24"/>
          <w:szCs w:val="24"/>
        </w:rPr>
        <w:t xml:space="preserve"> used to</w:t>
      </w:r>
      <w:r w:rsidR="006D4410" w:rsidRPr="00E47A79">
        <w:rPr>
          <w:rFonts w:ascii="Garamond" w:hAnsi="Garamond"/>
          <w:sz w:val="24"/>
          <w:szCs w:val="24"/>
        </w:rPr>
        <w:t xml:space="preserve"> build a picture of the relative safety and efficacy of medicinal cannabis for </w:t>
      </w:r>
      <w:r w:rsidRPr="00E47A79">
        <w:rPr>
          <w:rFonts w:ascii="Garamond" w:hAnsi="Garamond"/>
          <w:sz w:val="24"/>
          <w:szCs w:val="24"/>
        </w:rPr>
        <w:t xml:space="preserve">some </w:t>
      </w:r>
      <w:r w:rsidR="006D4410" w:rsidRPr="00E47A79">
        <w:rPr>
          <w:rFonts w:ascii="Garamond" w:hAnsi="Garamond"/>
          <w:sz w:val="24"/>
          <w:szCs w:val="24"/>
        </w:rPr>
        <w:t>condition</w:t>
      </w:r>
      <w:r w:rsidRPr="00E47A79">
        <w:rPr>
          <w:rFonts w:ascii="Garamond" w:hAnsi="Garamond"/>
          <w:sz w:val="24"/>
          <w:szCs w:val="24"/>
        </w:rPr>
        <w:t>s</w:t>
      </w:r>
      <w:r w:rsidR="00D77BEC" w:rsidRPr="00E47A79">
        <w:rPr>
          <w:rFonts w:ascii="Garamond" w:hAnsi="Garamond"/>
          <w:sz w:val="24"/>
          <w:szCs w:val="24"/>
        </w:rPr>
        <w:t>.</w:t>
      </w:r>
      <w:r w:rsidR="001C4AA6" w:rsidRPr="00E47A79">
        <w:rPr>
          <w:rStyle w:val="FootnoteReference"/>
          <w:rFonts w:ascii="Garamond" w:hAnsi="Garamond"/>
          <w:sz w:val="24"/>
          <w:szCs w:val="24"/>
        </w:rPr>
        <w:footnoteReference w:id="190"/>
      </w:r>
      <w:r w:rsidR="00770947" w:rsidRPr="00E47A79">
        <w:rPr>
          <w:rFonts w:ascii="Garamond" w:hAnsi="Garamond"/>
          <w:sz w:val="24"/>
          <w:szCs w:val="24"/>
        </w:rPr>
        <w:t xml:space="preserve"> </w:t>
      </w:r>
      <w:r w:rsidR="00D77BEC" w:rsidRPr="00E47A79">
        <w:rPr>
          <w:rFonts w:ascii="Garamond" w:hAnsi="Garamond"/>
          <w:sz w:val="24"/>
          <w:szCs w:val="24"/>
        </w:rPr>
        <w:t xml:space="preserve">Interim guidance and default GMC guidance endorse different routes to making these judgements on safety and efficacy. Given that RCT evidence is far from a perfect proxy for measuring safety and efficacy of medicines in individual cases, it is argued that the GMC’s </w:t>
      </w:r>
      <w:r w:rsidR="00FF1DFE" w:rsidRPr="00E47A79">
        <w:rPr>
          <w:rFonts w:ascii="Garamond" w:hAnsi="Garamond"/>
          <w:sz w:val="24"/>
          <w:szCs w:val="24"/>
        </w:rPr>
        <w:t xml:space="preserve">generic guidance may </w:t>
      </w:r>
      <w:r w:rsidR="00E24787" w:rsidRPr="00E47A79">
        <w:rPr>
          <w:rFonts w:ascii="Garamond" w:hAnsi="Garamond"/>
          <w:sz w:val="24"/>
          <w:szCs w:val="24"/>
        </w:rPr>
        <w:t xml:space="preserve">in some instances </w:t>
      </w:r>
      <w:r w:rsidR="00FF1DFE" w:rsidRPr="00E47A79">
        <w:rPr>
          <w:rFonts w:ascii="Garamond" w:hAnsi="Garamond"/>
          <w:sz w:val="24"/>
          <w:szCs w:val="24"/>
        </w:rPr>
        <w:t xml:space="preserve">be </w:t>
      </w:r>
      <w:r w:rsidR="00D77BEC" w:rsidRPr="00E47A79">
        <w:rPr>
          <w:rFonts w:ascii="Garamond" w:hAnsi="Garamond"/>
          <w:sz w:val="24"/>
          <w:szCs w:val="24"/>
        </w:rPr>
        <w:t>far more consistent with achieving a suitable balance between safety and access.</w:t>
      </w:r>
      <w:r w:rsidR="00770947" w:rsidRPr="00E47A79">
        <w:rPr>
          <w:rFonts w:ascii="Garamond" w:hAnsi="Garamond"/>
          <w:sz w:val="24"/>
          <w:szCs w:val="24"/>
        </w:rPr>
        <w:t xml:space="preserve"> </w:t>
      </w:r>
    </w:p>
    <w:p w14:paraId="05A85051" w14:textId="472DCB1F" w:rsidR="0050020E" w:rsidRPr="00E47A79" w:rsidRDefault="004D1917" w:rsidP="00A601B9">
      <w:pPr>
        <w:spacing w:line="360" w:lineRule="auto"/>
        <w:jc w:val="center"/>
        <w:rPr>
          <w:rFonts w:ascii="Garamond" w:hAnsi="Garamond"/>
          <w:b/>
          <w:bCs/>
          <w:sz w:val="24"/>
          <w:szCs w:val="24"/>
        </w:rPr>
      </w:pPr>
      <w:r w:rsidRPr="00E47A79">
        <w:rPr>
          <w:rFonts w:ascii="Garamond" w:hAnsi="Garamond"/>
          <w:b/>
          <w:bCs/>
          <w:sz w:val="24"/>
          <w:szCs w:val="24"/>
        </w:rPr>
        <w:t xml:space="preserve">IV. PROFESSIONAL GUIDANCE, THE STANDARD OF CARE AND MEDICO-LEGAL RISK IN </w:t>
      </w:r>
      <w:r w:rsidR="00906672" w:rsidRPr="00E47A79">
        <w:rPr>
          <w:rFonts w:ascii="Garamond" w:hAnsi="Garamond"/>
          <w:b/>
          <w:bCs/>
          <w:sz w:val="24"/>
          <w:szCs w:val="24"/>
        </w:rPr>
        <w:t>CBMP</w:t>
      </w:r>
      <w:r w:rsidRPr="00E47A79">
        <w:rPr>
          <w:rFonts w:ascii="Garamond" w:hAnsi="Garamond"/>
          <w:b/>
          <w:bCs/>
          <w:sz w:val="24"/>
          <w:szCs w:val="24"/>
        </w:rPr>
        <w:t xml:space="preserve"> PRESCRIBING</w:t>
      </w:r>
    </w:p>
    <w:p w14:paraId="25B43FEE" w14:textId="182A86CC" w:rsidR="00DC4F9C" w:rsidRPr="00E47A79" w:rsidRDefault="00DC4F9C" w:rsidP="00A601B9">
      <w:pPr>
        <w:spacing w:line="360" w:lineRule="auto"/>
        <w:rPr>
          <w:rFonts w:ascii="Garamond" w:hAnsi="Garamond"/>
          <w:sz w:val="24"/>
          <w:szCs w:val="24"/>
        </w:rPr>
      </w:pPr>
      <w:r w:rsidRPr="00E47A79">
        <w:rPr>
          <w:rFonts w:ascii="Garamond" w:hAnsi="Garamond"/>
          <w:sz w:val="24"/>
          <w:szCs w:val="24"/>
        </w:rPr>
        <w:t xml:space="preserve">There are </w:t>
      </w:r>
      <w:r w:rsidR="00683EE2" w:rsidRPr="00E47A79">
        <w:rPr>
          <w:rFonts w:ascii="Garamond" w:hAnsi="Garamond"/>
          <w:sz w:val="24"/>
          <w:szCs w:val="24"/>
        </w:rPr>
        <w:t xml:space="preserve">at least </w:t>
      </w:r>
      <w:r w:rsidRPr="00E47A79">
        <w:rPr>
          <w:rFonts w:ascii="Garamond" w:hAnsi="Garamond"/>
          <w:sz w:val="24"/>
          <w:szCs w:val="24"/>
        </w:rPr>
        <w:t>two</w:t>
      </w:r>
      <w:r w:rsidR="00E54AF1" w:rsidRPr="00E47A79">
        <w:rPr>
          <w:rFonts w:ascii="Garamond" w:hAnsi="Garamond"/>
          <w:sz w:val="24"/>
          <w:szCs w:val="24"/>
        </w:rPr>
        <w:t xml:space="preserve"> compelling</w:t>
      </w:r>
      <w:r w:rsidRPr="00E47A79">
        <w:rPr>
          <w:rFonts w:ascii="Garamond" w:hAnsi="Garamond"/>
          <w:sz w:val="24"/>
          <w:szCs w:val="24"/>
        </w:rPr>
        <w:t xml:space="preserve"> reasons for </w:t>
      </w:r>
      <w:r w:rsidR="00B81474" w:rsidRPr="00E47A79">
        <w:rPr>
          <w:rFonts w:ascii="Garamond" w:hAnsi="Garamond"/>
          <w:sz w:val="24"/>
          <w:szCs w:val="24"/>
        </w:rPr>
        <w:t xml:space="preserve">examining </w:t>
      </w:r>
      <w:r w:rsidRPr="00E47A79">
        <w:rPr>
          <w:rFonts w:ascii="Garamond" w:hAnsi="Garamond"/>
          <w:sz w:val="24"/>
          <w:szCs w:val="24"/>
        </w:rPr>
        <w:t xml:space="preserve">how </w:t>
      </w:r>
      <w:r w:rsidR="00B81474" w:rsidRPr="00E47A79">
        <w:rPr>
          <w:rFonts w:ascii="Garamond" w:hAnsi="Garamond"/>
          <w:sz w:val="24"/>
          <w:szCs w:val="24"/>
        </w:rPr>
        <w:t>prescribing unlicensed CBMPs might be received by the legal standard of care</w:t>
      </w:r>
      <w:r w:rsidR="00CF1948" w:rsidRPr="00E47A79">
        <w:rPr>
          <w:rFonts w:ascii="Garamond" w:hAnsi="Garamond"/>
          <w:sz w:val="24"/>
          <w:szCs w:val="24"/>
        </w:rPr>
        <w:t>, focusing on</w:t>
      </w:r>
      <w:r w:rsidR="00F31CF7" w:rsidRPr="00E47A79">
        <w:rPr>
          <w:rFonts w:ascii="Garamond" w:hAnsi="Garamond"/>
          <w:sz w:val="24"/>
          <w:szCs w:val="24"/>
        </w:rPr>
        <w:t xml:space="preserve"> hypothetical situations where a</w:t>
      </w:r>
      <w:r w:rsidR="0048456C" w:rsidRPr="00E47A79">
        <w:rPr>
          <w:rFonts w:ascii="Garamond" w:hAnsi="Garamond"/>
          <w:sz w:val="24"/>
          <w:szCs w:val="24"/>
        </w:rPr>
        <w:t>n adult</w:t>
      </w:r>
      <w:r w:rsidR="00F31CF7" w:rsidRPr="00E47A79">
        <w:rPr>
          <w:rFonts w:ascii="Garamond" w:hAnsi="Garamond"/>
          <w:sz w:val="24"/>
          <w:szCs w:val="24"/>
        </w:rPr>
        <w:t xml:space="preserve"> </w:t>
      </w:r>
      <w:r w:rsidR="00F31CF7" w:rsidRPr="00E47A79">
        <w:rPr>
          <w:rFonts w:ascii="Garamond" w:hAnsi="Garamond"/>
          <w:sz w:val="24"/>
          <w:szCs w:val="24"/>
        </w:rPr>
        <w:lastRenderedPageBreak/>
        <w:t>patient</w:t>
      </w:r>
      <w:r w:rsidR="00820752" w:rsidRPr="00E47A79">
        <w:rPr>
          <w:rStyle w:val="FootnoteReference"/>
          <w:rFonts w:ascii="Garamond" w:hAnsi="Garamond"/>
          <w:sz w:val="24"/>
          <w:szCs w:val="24"/>
        </w:rPr>
        <w:footnoteReference w:id="191"/>
      </w:r>
      <w:r w:rsidR="00F31CF7" w:rsidRPr="00E47A79">
        <w:rPr>
          <w:rFonts w:ascii="Garamond" w:hAnsi="Garamond"/>
          <w:sz w:val="24"/>
          <w:szCs w:val="24"/>
        </w:rPr>
        <w:t xml:space="preserve"> came to harm as a result of taking these medications</w:t>
      </w:r>
      <w:r w:rsidRPr="00E47A79">
        <w:rPr>
          <w:rFonts w:ascii="Garamond" w:hAnsi="Garamond"/>
          <w:sz w:val="24"/>
          <w:szCs w:val="24"/>
        </w:rPr>
        <w:t>.</w:t>
      </w:r>
      <w:r w:rsidR="00F31CF7" w:rsidRPr="00E47A79">
        <w:rPr>
          <w:rStyle w:val="FootnoteReference"/>
          <w:rFonts w:ascii="Garamond" w:hAnsi="Garamond"/>
          <w:sz w:val="24"/>
          <w:szCs w:val="24"/>
        </w:rPr>
        <w:footnoteReference w:id="192"/>
      </w:r>
      <w:r w:rsidRPr="00E47A79">
        <w:rPr>
          <w:rFonts w:ascii="Garamond" w:hAnsi="Garamond"/>
          <w:sz w:val="24"/>
          <w:szCs w:val="24"/>
        </w:rPr>
        <w:t xml:space="preserve"> First, the risk of being sued in negligence has been cited as a key factor in studies of why doctors do not feel confident to prescribe</w:t>
      </w:r>
      <w:r w:rsidR="008E7879" w:rsidRPr="00E47A79">
        <w:rPr>
          <w:rFonts w:ascii="Garamond" w:hAnsi="Garamond"/>
          <w:sz w:val="24"/>
          <w:szCs w:val="24"/>
        </w:rPr>
        <w:t>,</w:t>
      </w:r>
      <w:r w:rsidR="00961141" w:rsidRPr="00E47A79">
        <w:rPr>
          <w:rStyle w:val="FootnoteReference"/>
          <w:rFonts w:ascii="Garamond" w:hAnsi="Garamond"/>
          <w:sz w:val="24"/>
          <w:szCs w:val="24"/>
        </w:rPr>
        <w:footnoteReference w:id="193"/>
      </w:r>
      <w:r w:rsidR="008E7879" w:rsidRPr="00E47A79">
        <w:rPr>
          <w:rFonts w:ascii="Garamond" w:hAnsi="Garamond"/>
          <w:sz w:val="24"/>
          <w:szCs w:val="24"/>
        </w:rPr>
        <w:t xml:space="preserve"> and whilst professional guidance is visible and accessible to medical practitioners, standard of care jurisprudence is not.</w:t>
      </w:r>
      <w:r w:rsidRPr="00E47A79">
        <w:rPr>
          <w:rFonts w:ascii="Garamond" w:hAnsi="Garamond"/>
          <w:sz w:val="24"/>
          <w:szCs w:val="24"/>
        </w:rPr>
        <w:t xml:space="preserve"> </w:t>
      </w:r>
      <w:r w:rsidR="00CC479B" w:rsidRPr="00E47A79">
        <w:rPr>
          <w:rFonts w:ascii="Garamond" w:hAnsi="Garamond"/>
          <w:sz w:val="24"/>
          <w:szCs w:val="24"/>
        </w:rPr>
        <w:t>It is true</w:t>
      </w:r>
      <w:r w:rsidR="006E1B1F" w:rsidRPr="00E47A79">
        <w:rPr>
          <w:rFonts w:ascii="Garamond" w:hAnsi="Garamond"/>
          <w:sz w:val="24"/>
          <w:szCs w:val="24"/>
        </w:rPr>
        <w:t xml:space="preserve"> (albeit perhaps overstated</w:t>
      </w:r>
      <w:r w:rsidR="006E1B1F" w:rsidRPr="00E47A79">
        <w:rPr>
          <w:rFonts w:ascii="Garamond" w:hAnsi="Garamond"/>
          <w:sz w:val="24"/>
          <w:szCs w:val="24"/>
          <w:vertAlign w:val="superscript"/>
        </w:rPr>
        <w:footnoteReference w:id="194"/>
      </w:r>
      <w:r w:rsidR="006E1B1F" w:rsidRPr="00E47A79">
        <w:rPr>
          <w:rFonts w:ascii="Garamond" w:hAnsi="Garamond"/>
          <w:sz w:val="24"/>
          <w:szCs w:val="24"/>
        </w:rPr>
        <w:t>)</w:t>
      </w:r>
      <w:r w:rsidR="00CC479B" w:rsidRPr="00E47A79">
        <w:rPr>
          <w:rFonts w:ascii="Garamond" w:hAnsi="Garamond"/>
          <w:sz w:val="24"/>
          <w:szCs w:val="24"/>
        </w:rPr>
        <w:t xml:space="preserve"> that a failure to exercise reasonable care in prescribing work or in the aftercare of the patient can result in negligence liability</w:t>
      </w:r>
      <w:r w:rsidR="006E1B1F" w:rsidRPr="00E47A79">
        <w:rPr>
          <w:rFonts w:ascii="Garamond" w:hAnsi="Garamond"/>
          <w:sz w:val="24"/>
          <w:szCs w:val="24"/>
        </w:rPr>
        <w:t xml:space="preserve"> where recognised harm results</w:t>
      </w:r>
      <w:r w:rsidR="00D602AB" w:rsidRPr="00E47A79">
        <w:rPr>
          <w:rFonts w:ascii="Garamond" w:hAnsi="Garamond"/>
          <w:sz w:val="24"/>
          <w:szCs w:val="24"/>
          <w:vertAlign w:val="superscript"/>
        </w:rPr>
        <w:footnoteReference w:id="195"/>
      </w:r>
      <w:r w:rsidR="00CC479B" w:rsidRPr="00E47A79">
        <w:rPr>
          <w:rFonts w:ascii="Garamond" w:hAnsi="Garamond"/>
          <w:sz w:val="24"/>
          <w:szCs w:val="24"/>
        </w:rPr>
        <w:t xml:space="preserve"> or</w:t>
      </w:r>
      <w:r w:rsidR="00A00E2A" w:rsidRPr="00E47A79">
        <w:rPr>
          <w:rFonts w:ascii="Garamond" w:hAnsi="Garamond"/>
          <w:sz w:val="24"/>
          <w:szCs w:val="24"/>
        </w:rPr>
        <w:t xml:space="preserve"> </w:t>
      </w:r>
      <w:r w:rsidR="00EA24F5">
        <w:rPr>
          <w:rFonts w:ascii="Garamond" w:hAnsi="Garamond"/>
          <w:sz w:val="24"/>
          <w:szCs w:val="24"/>
        </w:rPr>
        <w:t>may trigger</w:t>
      </w:r>
      <w:r w:rsidR="00D602AB" w:rsidRPr="00E47A79">
        <w:rPr>
          <w:rFonts w:ascii="Garamond" w:hAnsi="Garamond"/>
          <w:sz w:val="24"/>
          <w:szCs w:val="24"/>
        </w:rPr>
        <w:t xml:space="preserve"> </w:t>
      </w:r>
      <w:r w:rsidR="00CC479B" w:rsidRPr="00E47A79">
        <w:rPr>
          <w:rFonts w:ascii="Garamond" w:hAnsi="Garamond"/>
          <w:sz w:val="24"/>
          <w:szCs w:val="24"/>
        </w:rPr>
        <w:t>fitness to practi</w:t>
      </w:r>
      <w:r w:rsidR="00D602AB" w:rsidRPr="00E47A79">
        <w:rPr>
          <w:rFonts w:ascii="Garamond" w:hAnsi="Garamond"/>
          <w:sz w:val="24"/>
          <w:szCs w:val="24"/>
        </w:rPr>
        <w:t>s</w:t>
      </w:r>
      <w:r w:rsidR="00CC479B" w:rsidRPr="00E47A79">
        <w:rPr>
          <w:rFonts w:ascii="Garamond" w:hAnsi="Garamond"/>
          <w:sz w:val="24"/>
          <w:szCs w:val="24"/>
        </w:rPr>
        <w:t>e concerns.</w:t>
      </w:r>
      <w:r w:rsidR="00CC479B" w:rsidRPr="00E47A79">
        <w:rPr>
          <w:rFonts w:ascii="Garamond" w:hAnsi="Garamond"/>
          <w:sz w:val="24"/>
          <w:szCs w:val="24"/>
          <w:vertAlign w:val="superscript"/>
        </w:rPr>
        <w:footnoteReference w:id="196"/>
      </w:r>
      <w:r w:rsidR="00CC479B" w:rsidRPr="00E47A79">
        <w:rPr>
          <w:rFonts w:ascii="Garamond" w:hAnsi="Garamond"/>
          <w:sz w:val="24"/>
          <w:szCs w:val="24"/>
        </w:rPr>
        <w:t xml:space="preserve"> </w:t>
      </w:r>
      <w:r w:rsidR="0048456C" w:rsidRPr="00E47A79">
        <w:rPr>
          <w:rFonts w:ascii="Garamond" w:hAnsi="Garamond"/>
          <w:sz w:val="24"/>
          <w:szCs w:val="24"/>
        </w:rPr>
        <w:t>W</w:t>
      </w:r>
      <w:r w:rsidR="004213B6" w:rsidRPr="00E47A79">
        <w:rPr>
          <w:rFonts w:ascii="Garamond" w:hAnsi="Garamond"/>
          <w:sz w:val="24"/>
          <w:szCs w:val="24"/>
        </w:rPr>
        <w:t xml:space="preserve">hilst fear of liability is far from being the only barrier to </w:t>
      </w:r>
      <w:r w:rsidR="00E54AF1" w:rsidRPr="00E47A79">
        <w:rPr>
          <w:rFonts w:ascii="Garamond" w:hAnsi="Garamond"/>
          <w:sz w:val="24"/>
          <w:szCs w:val="24"/>
        </w:rPr>
        <w:t>wider access to medicinal cannabis</w:t>
      </w:r>
      <w:r w:rsidR="004213B6" w:rsidRPr="00E47A79">
        <w:rPr>
          <w:rFonts w:ascii="Garamond" w:hAnsi="Garamond"/>
          <w:sz w:val="24"/>
          <w:szCs w:val="24"/>
        </w:rPr>
        <w:t>,</w:t>
      </w:r>
      <w:r w:rsidR="00CC479B" w:rsidRPr="00E47A79">
        <w:rPr>
          <w:rFonts w:ascii="Garamond" w:hAnsi="Garamond"/>
          <w:sz w:val="24"/>
          <w:szCs w:val="24"/>
        </w:rPr>
        <w:t xml:space="preserve"> </w:t>
      </w:r>
      <w:r w:rsidR="00AA15F5" w:rsidRPr="00E47A79">
        <w:rPr>
          <w:rFonts w:ascii="Garamond" w:hAnsi="Garamond"/>
          <w:sz w:val="24"/>
          <w:szCs w:val="24"/>
        </w:rPr>
        <w:t>there is value in examining</w:t>
      </w:r>
      <w:r w:rsidR="005E3258" w:rsidRPr="00E47A79">
        <w:rPr>
          <w:rFonts w:ascii="Garamond" w:hAnsi="Garamond"/>
          <w:sz w:val="24"/>
          <w:szCs w:val="24"/>
        </w:rPr>
        <w:t xml:space="preserve"> how the standard of care might respond to </w:t>
      </w:r>
      <w:r w:rsidR="005636C4" w:rsidRPr="00E47A79">
        <w:rPr>
          <w:rFonts w:ascii="Garamond" w:hAnsi="Garamond"/>
          <w:sz w:val="24"/>
          <w:szCs w:val="24"/>
        </w:rPr>
        <w:t>what</w:t>
      </w:r>
      <w:r w:rsidR="00B66447" w:rsidRPr="00E47A79">
        <w:rPr>
          <w:rFonts w:ascii="Garamond" w:hAnsi="Garamond"/>
          <w:sz w:val="24"/>
          <w:szCs w:val="24"/>
        </w:rPr>
        <w:t xml:space="preserve"> can</w:t>
      </w:r>
      <w:r w:rsidR="005636C4" w:rsidRPr="00E47A79">
        <w:rPr>
          <w:rFonts w:ascii="Garamond" w:hAnsi="Garamond"/>
          <w:sz w:val="24"/>
          <w:szCs w:val="24"/>
        </w:rPr>
        <w:t xml:space="preserve"> currently be regarded as ‘pioneering’ </w:t>
      </w:r>
      <w:r w:rsidR="00961141" w:rsidRPr="00E47A79">
        <w:rPr>
          <w:rFonts w:ascii="Garamond" w:hAnsi="Garamond"/>
          <w:sz w:val="24"/>
          <w:szCs w:val="24"/>
        </w:rPr>
        <w:t xml:space="preserve">prescribing </w:t>
      </w:r>
      <w:r w:rsidR="00644B33">
        <w:rPr>
          <w:rFonts w:ascii="Garamond" w:hAnsi="Garamond"/>
          <w:sz w:val="24"/>
          <w:szCs w:val="24"/>
        </w:rPr>
        <w:t>that</w:t>
      </w:r>
      <w:r w:rsidR="00961141" w:rsidRPr="00E47A79">
        <w:rPr>
          <w:rFonts w:ascii="Garamond" w:hAnsi="Garamond"/>
          <w:sz w:val="24"/>
          <w:szCs w:val="24"/>
        </w:rPr>
        <w:t xml:space="preserve"> goes against the weight of </w:t>
      </w:r>
      <w:r w:rsidR="00644B33">
        <w:rPr>
          <w:rFonts w:ascii="Garamond" w:hAnsi="Garamond"/>
          <w:sz w:val="24"/>
          <w:szCs w:val="24"/>
        </w:rPr>
        <w:t xml:space="preserve">the </w:t>
      </w:r>
      <w:r w:rsidR="00961141" w:rsidRPr="00E47A79">
        <w:rPr>
          <w:rFonts w:ascii="Garamond" w:hAnsi="Garamond"/>
          <w:sz w:val="24"/>
          <w:szCs w:val="24"/>
        </w:rPr>
        <w:t>interim guidance</w:t>
      </w:r>
      <w:r w:rsidR="00644B33">
        <w:rPr>
          <w:rFonts w:ascii="Garamond" w:hAnsi="Garamond"/>
          <w:sz w:val="24"/>
          <w:szCs w:val="24"/>
        </w:rPr>
        <w:t xml:space="preserve"> explored above</w:t>
      </w:r>
      <w:r w:rsidR="00961141" w:rsidRPr="00E47A79">
        <w:rPr>
          <w:rFonts w:ascii="Garamond" w:hAnsi="Garamond"/>
          <w:sz w:val="24"/>
          <w:szCs w:val="24"/>
        </w:rPr>
        <w:t xml:space="preserve">. </w:t>
      </w:r>
      <w:r w:rsidRPr="00E47A79">
        <w:rPr>
          <w:rFonts w:ascii="Garamond" w:hAnsi="Garamond"/>
          <w:sz w:val="24"/>
          <w:szCs w:val="24"/>
        </w:rPr>
        <w:t xml:space="preserve">Secondly, the ‘standard of care’ provides a space in which these ‘boundary sites’, particularly of judgements about the safety and efficacy of medicines </w:t>
      </w:r>
      <w:r w:rsidR="006B5965" w:rsidRPr="00E47A79">
        <w:rPr>
          <w:rFonts w:ascii="Garamond" w:hAnsi="Garamond"/>
          <w:sz w:val="24"/>
          <w:szCs w:val="24"/>
        </w:rPr>
        <w:t xml:space="preserve">and medical practices </w:t>
      </w:r>
      <w:r w:rsidR="00055639" w:rsidRPr="00E47A79">
        <w:rPr>
          <w:rFonts w:ascii="Garamond" w:hAnsi="Garamond"/>
          <w:sz w:val="24"/>
          <w:szCs w:val="24"/>
        </w:rPr>
        <w:t>can be</w:t>
      </w:r>
      <w:r w:rsidRPr="00E47A79">
        <w:rPr>
          <w:rFonts w:ascii="Garamond" w:hAnsi="Garamond"/>
          <w:sz w:val="24"/>
          <w:szCs w:val="24"/>
        </w:rPr>
        <w:t xml:space="preserve"> negotiated</w:t>
      </w:r>
      <w:r w:rsidR="00961141" w:rsidRPr="00E47A79">
        <w:rPr>
          <w:rFonts w:ascii="Garamond" w:hAnsi="Garamond"/>
          <w:sz w:val="24"/>
          <w:szCs w:val="24"/>
        </w:rPr>
        <w:t>, sustained, further embedded or sometimes</w:t>
      </w:r>
      <w:r w:rsidRPr="00E47A79">
        <w:rPr>
          <w:rFonts w:ascii="Garamond" w:hAnsi="Garamond"/>
          <w:sz w:val="24"/>
          <w:szCs w:val="24"/>
        </w:rPr>
        <w:t xml:space="preserve"> reframed</w:t>
      </w:r>
      <w:r w:rsidR="003A3172" w:rsidRPr="00E47A79">
        <w:rPr>
          <w:rFonts w:ascii="Garamond" w:hAnsi="Garamond"/>
          <w:sz w:val="24"/>
          <w:szCs w:val="24"/>
        </w:rPr>
        <w:t>, as the</w:t>
      </w:r>
      <w:r w:rsidR="006B5965" w:rsidRPr="00E47A79">
        <w:rPr>
          <w:rFonts w:ascii="Garamond" w:hAnsi="Garamond"/>
          <w:sz w:val="24"/>
          <w:szCs w:val="24"/>
        </w:rPr>
        <w:t xml:space="preserve"> key issue in standard of care adjudication is frequently, ‘the level of acceptable risk</w:t>
      </w:r>
      <w:r w:rsidR="00055639" w:rsidRPr="00E47A79">
        <w:rPr>
          <w:rFonts w:ascii="Garamond" w:hAnsi="Garamond"/>
          <w:sz w:val="24"/>
          <w:szCs w:val="24"/>
        </w:rPr>
        <w:t>.</w:t>
      </w:r>
      <w:r w:rsidR="006B5965" w:rsidRPr="00E47A79">
        <w:rPr>
          <w:rFonts w:ascii="Garamond" w:hAnsi="Garamond"/>
          <w:sz w:val="24"/>
          <w:szCs w:val="24"/>
        </w:rPr>
        <w:t>’</w:t>
      </w:r>
      <w:r w:rsidR="006B5965" w:rsidRPr="00E47A79">
        <w:rPr>
          <w:rStyle w:val="FootnoteReference"/>
          <w:rFonts w:ascii="Garamond" w:hAnsi="Garamond"/>
          <w:sz w:val="24"/>
          <w:szCs w:val="24"/>
        </w:rPr>
        <w:footnoteReference w:id="197"/>
      </w:r>
      <w:r w:rsidR="006B5965" w:rsidRPr="00E47A79">
        <w:rPr>
          <w:rFonts w:ascii="Garamond" w:hAnsi="Garamond"/>
          <w:sz w:val="24"/>
          <w:szCs w:val="24"/>
        </w:rPr>
        <w:t xml:space="preserve"> </w:t>
      </w:r>
      <w:r w:rsidR="0076030D" w:rsidRPr="00E47A79">
        <w:rPr>
          <w:rFonts w:ascii="Garamond" w:hAnsi="Garamond"/>
          <w:sz w:val="24"/>
          <w:szCs w:val="24"/>
        </w:rPr>
        <w:t xml:space="preserve">It is argued that despite the </w:t>
      </w:r>
      <w:r w:rsidR="006E1B1F" w:rsidRPr="00E47A79">
        <w:rPr>
          <w:rFonts w:ascii="Garamond" w:hAnsi="Garamond"/>
          <w:sz w:val="24"/>
          <w:szCs w:val="24"/>
        </w:rPr>
        <w:t xml:space="preserve">constructs </w:t>
      </w:r>
      <w:r w:rsidR="0076030D" w:rsidRPr="00E47A79">
        <w:rPr>
          <w:rFonts w:ascii="Garamond" w:hAnsi="Garamond"/>
          <w:sz w:val="24"/>
          <w:szCs w:val="24"/>
        </w:rPr>
        <w:t>of last resort, personal responsibility, safety/efficacy and the strong</w:t>
      </w:r>
      <w:r w:rsidR="00662981" w:rsidRPr="00E47A79">
        <w:rPr>
          <w:rFonts w:ascii="Garamond" w:hAnsi="Garamond"/>
          <w:sz w:val="24"/>
          <w:szCs w:val="24"/>
        </w:rPr>
        <w:t>ly</w:t>
      </w:r>
      <w:r w:rsidR="0076030D" w:rsidRPr="00E47A79">
        <w:rPr>
          <w:rFonts w:ascii="Garamond" w:hAnsi="Garamond"/>
          <w:sz w:val="24"/>
          <w:szCs w:val="24"/>
        </w:rPr>
        <w:t xml:space="preserve"> held preference for RCT evidence in the interim guidance, </w:t>
      </w:r>
      <w:r w:rsidR="00EA24F5">
        <w:rPr>
          <w:rFonts w:ascii="Garamond" w:hAnsi="Garamond"/>
          <w:sz w:val="24"/>
          <w:szCs w:val="24"/>
        </w:rPr>
        <w:t>standard of care jurisprudence creates a generous space for innovative prescribing. T</w:t>
      </w:r>
      <w:r w:rsidR="0076030D" w:rsidRPr="00E47A79">
        <w:rPr>
          <w:rFonts w:ascii="Garamond" w:hAnsi="Garamond"/>
          <w:sz w:val="24"/>
          <w:szCs w:val="24"/>
        </w:rPr>
        <w:t xml:space="preserve">he </w:t>
      </w:r>
      <w:proofErr w:type="spellStart"/>
      <w:r w:rsidR="006E1B1F" w:rsidRPr="00E47A79">
        <w:rPr>
          <w:rFonts w:ascii="Garamond" w:hAnsi="Garamond"/>
          <w:i/>
          <w:iCs/>
          <w:sz w:val="24"/>
          <w:szCs w:val="24"/>
        </w:rPr>
        <w:t>Bolam</w:t>
      </w:r>
      <w:proofErr w:type="spellEnd"/>
      <w:r w:rsidR="006E1B1F" w:rsidRPr="00E47A79">
        <w:rPr>
          <w:rFonts w:ascii="Garamond" w:hAnsi="Garamond"/>
          <w:i/>
          <w:iCs/>
          <w:sz w:val="24"/>
          <w:szCs w:val="24"/>
        </w:rPr>
        <w:t xml:space="preserve">-Bolitho </w:t>
      </w:r>
      <w:r w:rsidR="006E1B1F" w:rsidRPr="00E47A79">
        <w:rPr>
          <w:rFonts w:ascii="Garamond" w:hAnsi="Garamond"/>
          <w:sz w:val="24"/>
          <w:szCs w:val="24"/>
        </w:rPr>
        <w:t xml:space="preserve">formulation of the </w:t>
      </w:r>
      <w:r w:rsidR="0076030D" w:rsidRPr="00E47A79">
        <w:rPr>
          <w:rFonts w:ascii="Garamond" w:hAnsi="Garamond"/>
          <w:sz w:val="24"/>
          <w:szCs w:val="24"/>
        </w:rPr>
        <w:t xml:space="preserve">legal standard of care affords room for achieving a better balance between </w:t>
      </w:r>
      <w:r w:rsidR="00B81474" w:rsidRPr="00E47A79">
        <w:rPr>
          <w:rFonts w:ascii="Garamond" w:hAnsi="Garamond"/>
          <w:sz w:val="24"/>
          <w:szCs w:val="24"/>
        </w:rPr>
        <w:t xml:space="preserve">providing access to patients and </w:t>
      </w:r>
      <w:r w:rsidR="0076030D" w:rsidRPr="00E47A79">
        <w:rPr>
          <w:rFonts w:ascii="Garamond" w:hAnsi="Garamond"/>
          <w:sz w:val="24"/>
          <w:szCs w:val="24"/>
        </w:rPr>
        <w:t>maintaining patient safety than might otherwise be thought</w:t>
      </w:r>
      <w:r w:rsidR="00EA24F5">
        <w:rPr>
          <w:rFonts w:ascii="Garamond" w:hAnsi="Garamond"/>
          <w:sz w:val="24"/>
          <w:szCs w:val="24"/>
        </w:rPr>
        <w:t xml:space="preserve">, and the </w:t>
      </w:r>
      <w:r w:rsidR="00C164B0">
        <w:rPr>
          <w:rFonts w:ascii="Garamond" w:hAnsi="Garamond"/>
          <w:sz w:val="24"/>
          <w:szCs w:val="24"/>
        </w:rPr>
        <w:t xml:space="preserve">Supreme Court judgment in </w:t>
      </w:r>
      <w:r w:rsidR="006E1B1F" w:rsidRPr="00E47A79">
        <w:rPr>
          <w:rFonts w:ascii="Garamond" w:hAnsi="Garamond"/>
          <w:i/>
          <w:iCs/>
          <w:sz w:val="24"/>
          <w:szCs w:val="24"/>
        </w:rPr>
        <w:t xml:space="preserve">Montgomery v Lanarkshire Health Board </w:t>
      </w:r>
      <w:r w:rsidR="00EA24F5">
        <w:rPr>
          <w:rFonts w:ascii="Garamond" w:hAnsi="Garamond"/>
          <w:sz w:val="24"/>
          <w:szCs w:val="24"/>
        </w:rPr>
        <w:t>invite</w:t>
      </w:r>
      <w:r w:rsidR="00C164B0">
        <w:rPr>
          <w:rFonts w:ascii="Garamond" w:hAnsi="Garamond"/>
          <w:sz w:val="24"/>
          <w:szCs w:val="24"/>
        </w:rPr>
        <w:t>s</w:t>
      </w:r>
      <w:r w:rsidR="00EA24F5">
        <w:rPr>
          <w:rFonts w:ascii="Garamond" w:hAnsi="Garamond"/>
          <w:sz w:val="24"/>
          <w:szCs w:val="24"/>
        </w:rPr>
        <w:t xml:space="preserve"> consideration of the patient’s values when </w:t>
      </w:r>
      <w:r w:rsidR="00C164B0">
        <w:rPr>
          <w:rFonts w:ascii="Garamond" w:hAnsi="Garamond"/>
          <w:sz w:val="24"/>
          <w:szCs w:val="24"/>
        </w:rPr>
        <w:t>making treatment decisions</w:t>
      </w:r>
      <w:r w:rsidR="006E1B1F" w:rsidRPr="00E47A79">
        <w:rPr>
          <w:rFonts w:ascii="Garamond" w:hAnsi="Garamond"/>
          <w:sz w:val="24"/>
          <w:szCs w:val="24"/>
        </w:rPr>
        <w:t xml:space="preserve">. </w:t>
      </w:r>
    </w:p>
    <w:p w14:paraId="6C62231A" w14:textId="469B25D1" w:rsidR="00425666" w:rsidRPr="00E47A79" w:rsidRDefault="003A3172" w:rsidP="00A601B9">
      <w:pPr>
        <w:spacing w:line="360" w:lineRule="auto"/>
        <w:jc w:val="center"/>
        <w:rPr>
          <w:rFonts w:ascii="Garamond" w:hAnsi="Garamond"/>
          <w:i/>
          <w:iCs/>
          <w:sz w:val="24"/>
          <w:szCs w:val="24"/>
        </w:rPr>
      </w:pPr>
      <w:r w:rsidRPr="00E47A79">
        <w:rPr>
          <w:rFonts w:ascii="Garamond" w:hAnsi="Garamond"/>
          <w:i/>
          <w:iCs/>
          <w:sz w:val="24"/>
          <w:szCs w:val="24"/>
        </w:rPr>
        <w:lastRenderedPageBreak/>
        <w:t xml:space="preserve">Prescribing unlicensed CBMPs and the </w:t>
      </w:r>
      <w:r w:rsidR="00B81474" w:rsidRPr="00E47A79">
        <w:rPr>
          <w:rFonts w:ascii="Garamond" w:hAnsi="Garamond"/>
          <w:i/>
          <w:iCs/>
          <w:sz w:val="24"/>
          <w:szCs w:val="24"/>
        </w:rPr>
        <w:t>‘</w:t>
      </w:r>
      <w:proofErr w:type="spellStart"/>
      <w:r w:rsidR="00425666" w:rsidRPr="00E47A79">
        <w:rPr>
          <w:rFonts w:ascii="Garamond" w:hAnsi="Garamond"/>
          <w:i/>
          <w:iCs/>
          <w:sz w:val="24"/>
          <w:szCs w:val="24"/>
        </w:rPr>
        <w:t>Bolam</w:t>
      </w:r>
      <w:proofErr w:type="spellEnd"/>
      <w:r w:rsidR="00425666" w:rsidRPr="00E47A79">
        <w:rPr>
          <w:rFonts w:ascii="Garamond" w:hAnsi="Garamond"/>
          <w:i/>
          <w:iCs/>
          <w:sz w:val="24"/>
          <w:szCs w:val="24"/>
        </w:rPr>
        <w:t>-Bolitho</w:t>
      </w:r>
      <w:r w:rsidR="00B81474" w:rsidRPr="00E47A79">
        <w:rPr>
          <w:rFonts w:ascii="Garamond" w:hAnsi="Garamond"/>
          <w:i/>
          <w:iCs/>
          <w:sz w:val="24"/>
          <w:szCs w:val="24"/>
        </w:rPr>
        <w:t>’</w:t>
      </w:r>
      <w:r w:rsidR="007F26CA" w:rsidRPr="00E47A79">
        <w:rPr>
          <w:rFonts w:ascii="Garamond" w:hAnsi="Garamond"/>
          <w:i/>
          <w:iCs/>
          <w:sz w:val="24"/>
          <w:szCs w:val="24"/>
        </w:rPr>
        <w:t xml:space="preserve"> standard of care</w:t>
      </w:r>
    </w:p>
    <w:p w14:paraId="7A2D31AB" w14:textId="2098895F" w:rsidR="006D05F7" w:rsidRPr="00E47A79" w:rsidRDefault="00AE36A4" w:rsidP="00A601B9">
      <w:pPr>
        <w:spacing w:line="360" w:lineRule="auto"/>
        <w:rPr>
          <w:rFonts w:ascii="Garamond" w:hAnsi="Garamond"/>
          <w:sz w:val="24"/>
          <w:szCs w:val="24"/>
        </w:rPr>
      </w:pPr>
      <w:bookmarkStart w:id="10" w:name="_Hlk38904665"/>
      <w:r w:rsidRPr="00E47A79">
        <w:rPr>
          <w:rFonts w:ascii="Garamond" w:hAnsi="Garamond"/>
          <w:sz w:val="24"/>
          <w:szCs w:val="24"/>
        </w:rPr>
        <w:t xml:space="preserve">The </w:t>
      </w:r>
      <w:proofErr w:type="spellStart"/>
      <w:r w:rsidRPr="00E47A79">
        <w:rPr>
          <w:rFonts w:ascii="Garamond" w:hAnsi="Garamond"/>
          <w:i/>
          <w:iCs/>
          <w:sz w:val="24"/>
          <w:szCs w:val="24"/>
        </w:rPr>
        <w:t>Bolam</w:t>
      </w:r>
      <w:proofErr w:type="spellEnd"/>
      <w:r w:rsidRPr="00E47A79">
        <w:rPr>
          <w:rFonts w:ascii="Garamond" w:hAnsi="Garamond"/>
          <w:i/>
          <w:iCs/>
          <w:sz w:val="24"/>
          <w:szCs w:val="24"/>
        </w:rPr>
        <w:t xml:space="preserve"> </w:t>
      </w:r>
      <w:r w:rsidRPr="00E47A79">
        <w:rPr>
          <w:rFonts w:ascii="Garamond" w:hAnsi="Garamond"/>
          <w:sz w:val="24"/>
          <w:szCs w:val="24"/>
        </w:rPr>
        <w:t xml:space="preserve">test </w:t>
      </w:r>
      <w:r w:rsidR="00111C66" w:rsidRPr="00E47A79">
        <w:rPr>
          <w:rFonts w:ascii="Garamond" w:hAnsi="Garamond"/>
          <w:sz w:val="24"/>
          <w:szCs w:val="24"/>
        </w:rPr>
        <w:t>assures</w:t>
      </w:r>
      <w:r w:rsidRPr="00E47A79">
        <w:rPr>
          <w:rFonts w:ascii="Garamond" w:hAnsi="Garamond"/>
          <w:sz w:val="24"/>
          <w:szCs w:val="24"/>
        </w:rPr>
        <w:t xml:space="preserve"> d</w:t>
      </w:r>
      <w:r w:rsidR="008E35C1" w:rsidRPr="00E47A79">
        <w:rPr>
          <w:rFonts w:ascii="Garamond" w:hAnsi="Garamond"/>
          <w:sz w:val="24"/>
          <w:szCs w:val="24"/>
        </w:rPr>
        <w:t>octor</w:t>
      </w:r>
      <w:r w:rsidRPr="00E47A79">
        <w:rPr>
          <w:rFonts w:ascii="Garamond" w:hAnsi="Garamond"/>
          <w:sz w:val="24"/>
          <w:szCs w:val="24"/>
        </w:rPr>
        <w:t xml:space="preserve">s </w:t>
      </w:r>
      <w:r w:rsidR="00111C66" w:rsidRPr="00E47A79">
        <w:rPr>
          <w:rFonts w:ascii="Garamond" w:hAnsi="Garamond"/>
          <w:sz w:val="24"/>
          <w:szCs w:val="24"/>
        </w:rPr>
        <w:t>that their conduct is</w:t>
      </w:r>
      <w:r w:rsidR="008E35C1" w:rsidRPr="00E47A79">
        <w:rPr>
          <w:rFonts w:ascii="Garamond" w:hAnsi="Garamond"/>
          <w:sz w:val="24"/>
          <w:szCs w:val="24"/>
        </w:rPr>
        <w:t xml:space="preserve"> not negligent </w:t>
      </w:r>
      <w:r w:rsidR="0028091B" w:rsidRPr="00E47A79">
        <w:rPr>
          <w:rFonts w:ascii="Garamond" w:hAnsi="Garamond"/>
          <w:sz w:val="24"/>
          <w:szCs w:val="24"/>
        </w:rPr>
        <w:t>provided</w:t>
      </w:r>
      <w:r w:rsidR="008E35C1" w:rsidRPr="00E47A79">
        <w:rPr>
          <w:rFonts w:ascii="Garamond" w:hAnsi="Garamond"/>
          <w:sz w:val="24"/>
          <w:szCs w:val="24"/>
        </w:rPr>
        <w:t xml:space="preserve"> </w:t>
      </w:r>
      <w:r w:rsidR="00111C66" w:rsidRPr="00E47A79">
        <w:rPr>
          <w:rFonts w:ascii="Garamond" w:hAnsi="Garamond"/>
          <w:sz w:val="24"/>
          <w:szCs w:val="24"/>
        </w:rPr>
        <w:t xml:space="preserve">it is </w:t>
      </w:r>
      <w:r w:rsidR="008E35C1" w:rsidRPr="00E47A79">
        <w:rPr>
          <w:rFonts w:ascii="Garamond" w:hAnsi="Garamond"/>
          <w:sz w:val="24"/>
          <w:szCs w:val="24"/>
        </w:rPr>
        <w:t xml:space="preserve">accepted as proper by a </w:t>
      </w:r>
      <w:r w:rsidR="00DF0C32" w:rsidRPr="00E47A79">
        <w:rPr>
          <w:rFonts w:ascii="Garamond" w:hAnsi="Garamond"/>
          <w:sz w:val="24"/>
          <w:szCs w:val="24"/>
        </w:rPr>
        <w:t>‘</w:t>
      </w:r>
      <w:r w:rsidR="008E35C1" w:rsidRPr="00E47A79">
        <w:rPr>
          <w:rFonts w:ascii="Garamond" w:hAnsi="Garamond"/>
          <w:sz w:val="24"/>
          <w:szCs w:val="24"/>
        </w:rPr>
        <w:t>responsible body of medical opinion.</w:t>
      </w:r>
      <w:r w:rsidR="00DF0C32" w:rsidRPr="00E47A79">
        <w:rPr>
          <w:rFonts w:ascii="Garamond" w:hAnsi="Garamond"/>
          <w:sz w:val="24"/>
          <w:szCs w:val="24"/>
        </w:rPr>
        <w:t>’</w:t>
      </w:r>
      <w:r w:rsidR="0045445E" w:rsidRPr="00E47A79">
        <w:rPr>
          <w:rStyle w:val="FootnoteReference"/>
          <w:rFonts w:ascii="Garamond" w:hAnsi="Garamond"/>
          <w:sz w:val="24"/>
          <w:szCs w:val="24"/>
        </w:rPr>
        <w:footnoteReference w:id="198"/>
      </w:r>
      <w:bookmarkEnd w:id="10"/>
      <w:r w:rsidR="008E35C1" w:rsidRPr="00E47A79">
        <w:rPr>
          <w:rFonts w:ascii="Garamond" w:hAnsi="Garamond"/>
          <w:sz w:val="24"/>
          <w:szCs w:val="24"/>
        </w:rPr>
        <w:t xml:space="preserve"> </w:t>
      </w:r>
      <w:r w:rsidR="004213B6" w:rsidRPr="00E47A79">
        <w:rPr>
          <w:rFonts w:ascii="Garamond" w:hAnsi="Garamond"/>
          <w:sz w:val="24"/>
          <w:szCs w:val="24"/>
        </w:rPr>
        <w:t xml:space="preserve">As </w:t>
      </w:r>
      <w:r w:rsidR="0028091B" w:rsidRPr="00E47A79">
        <w:rPr>
          <w:rFonts w:ascii="Garamond" w:hAnsi="Garamond"/>
          <w:sz w:val="24"/>
          <w:szCs w:val="24"/>
        </w:rPr>
        <w:t xml:space="preserve">the </w:t>
      </w:r>
      <w:r w:rsidR="004213B6" w:rsidRPr="00E47A79">
        <w:rPr>
          <w:rFonts w:ascii="Garamond" w:hAnsi="Garamond"/>
          <w:sz w:val="24"/>
          <w:szCs w:val="24"/>
        </w:rPr>
        <w:t xml:space="preserve">prescribing of CBMPs on the NHS is virtually non-existent, doctors </w:t>
      </w:r>
      <w:r w:rsidR="009C70EE" w:rsidRPr="00E47A79">
        <w:rPr>
          <w:rFonts w:ascii="Garamond" w:hAnsi="Garamond"/>
          <w:sz w:val="24"/>
          <w:szCs w:val="24"/>
        </w:rPr>
        <w:t>may</w:t>
      </w:r>
      <w:r w:rsidR="004213B6" w:rsidRPr="00E47A79">
        <w:rPr>
          <w:rFonts w:ascii="Garamond" w:hAnsi="Garamond"/>
          <w:sz w:val="24"/>
          <w:szCs w:val="24"/>
        </w:rPr>
        <w:t xml:space="preserve"> feel confident that a decision to </w:t>
      </w:r>
      <w:r w:rsidR="004213B6" w:rsidRPr="00E47A79">
        <w:rPr>
          <w:rFonts w:ascii="Garamond" w:hAnsi="Garamond"/>
          <w:i/>
          <w:iCs/>
          <w:sz w:val="24"/>
          <w:szCs w:val="24"/>
        </w:rPr>
        <w:t>not</w:t>
      </w:r>
      <w:r w:rsidR="004213B6" w:rsidRPr="00E47A79">
        <w:rPr>
          <w:rFonts w:ascii="Garamond" w:hAnsi="Garamond"/>
          <w:sz w:val="24"/>
          <w:szCs w:val="24"/>
        </w:rPr>
        <w:t xml:space="preserve"> offer a prescription of a cannabis based medicine is </w:t>
      </w:r>
      <w:r w:rsidR="00D602AB" w:rsidRPr="00E47A79">
        <w:rPr>
          <w:rFonts w:ascii="Garamond" w:hAnsi="Garamond"/>
          <w:sz w:val="24"/>
          <w:szCs w:val="24"/>
        </w:rPr>
        <w:t xml:space="preserve">always </w:t>
      </w:r>
      <w:r w:rsidR="004213B6" w:rsidRPr="00E47A79">
        <w:rPr>
          <w:rFonts w:ascii="Garamond" w:hAnsi="Garamond"/>
          <w:sz w:val="24"/>
          <w:szCs w:val="24"/>
        </w:rPr>
        <w:t>legally safer than a decision to prescribe</w:t>
      </w:r>
      <w:r w:rsidR="00B81474" w:rsidRPr="00E47A79">
        <w:rPr>
          <w:rFonts w:ascii="Garamond" w:hAnsi="Garamond"/>
          <w:sz w:val="24"/>
          <w:szCs w:val="24"/>
        </w:rPr>
        <w:t>,</w:t>
      </w:r>
      <w:r w:rsidR="004213B6" w:rsidRPr="00E47A79">
        <w:rPr>
          <w:rFonts w:ascii="Garamond" w:hAnsi="Garamond"/>
          <w:sz w:val="24"/>
          <w:szCs w:val="24"/>
        </w:rPr>
        <w:t xml:space="preserve"> as it would appear to have the support of the majority of medical opinion in the UK.  </w:t>
      </w:r>
      <w:r w:rsidR="0028091B" w:rsidRPr="00E47A79">
        <w:rPr>
          <w:rFonts w:ascii="Garamond" w:hAnsi="Garamond"/>
          <w:sz w:val="24"/>
          <w:szCs w:val="24"/>
        </w:rPr>
        <w:t xml:space="preserve">However, </w:t>
      </w:r>
      <w:r w:rsidR="00D602AB" w:rsidRPr="00E47A79">
        <w:rPr>
          <w:rFonts w:ascii="Garamond" w:hAnsi="Garamond"/>
          <w:sz w:val="24"/>
          <w:szCs w:val="24"/>
        </w:rPr>
        <w:t xml:space="preserve">we know that </w:t>
      </w:r>
      <w:r w:rsidR="0028091B" w:rsidRPr="00E47A79">
        <w:rPr>
          <w:rFonts w:ascii="Garamond" w:hAnsi="Garamond"/>
          <w:sz w:val="24"/>
          <w:szCs w:val="24"/>
        </w:rPr>
        <w:t>t</w:t>
      </w:r>
      <w:r w:rsidR="004213B6" w:rsidRPr="00E47A79">
        <w:rPr>
          <w:rFonts w:ascii="Garamond" w:hAnsi="Garamond"/>
          <w:sz w:val="24"/>
          <w:szCs w:val="24"/>
        </w:rPr>
        <w:t>he</w:t>
      </w:r>
      <w:r w:rsidR="00D602AB" w:rsidRPr="00E47A79">
        <w:rPr>
          <w:rFonts w:ascii="Garamond" w:hAnsi="Garamond"/>
          <w:sz w:val="24"/>
          <w:szCs w:val="24"/>
        </w:rPr>
        <w:t xml:space="preserve"> parameters of the</w:t>
      </w:r>
      <w:r w:rsidR="004213B6" w:rsidRPr="00E47A79">
        <w:rPr>
          <w:rFonts w:ascii="Garamond" w:hAnsi="Garamond"/>
          <w:sz w:val="24"/>
          <w:szCs w:val="24"/>
        </w:rPr>
        <w:t xml:space="preserve"> standard of care</w:t>
      </w:r>
      <w:r w:rsidR="00B81474" w:rsidRPr="00E47A79">
        <w:rPr>
          <w:rFonts w:ascii="Garamond" w:hAnsi="Garamond"/>
          <w:sz w:val="24"/>
          <w:szCs w:val="24"/>
        </w:rPr>
        <w:t xml:space="preserve"> in relation to medical treatment </w:t>
      </w:r>
      <w:r w:rsidR="003A3172" w:rsidRPr="00E47A79">
        <w:rPr>
          <w:rFonts w:ascii="Garamond" w:hAnsi="Garamond"/>
          <w:sz w:val="24"/>
          <w:szCs w:val="24"/>
        </w:rPr>
        <w:t xml:space="preserve">can </w:t>
      </w:r>
      <w:r w:rsidR="004213B6" w:rsidRPr="00E47A79">
        <w:rPr>
          <w:rFonts w:ascii="Garamond" w:hAnsi="Garamond"/>
          <w:sz w:val="24"/>
          <w:szCs w:val="24"/>
        </w:rPr>
        <w:t xml:space="preserve">accommodate </w:t>
      </w:r>
      <w:r w:rsidR="00D602AB" w:rsidRPr="00E47A79">
        <w:rPr>
          <w:rFonts w:ascii="Garamond" w:hAnsi="Garamond"/>
          <w:sz w:val="24"/>
          <w:szCs w:val="24"/>
        </w:rPr>
        <w:t xml:space="preserve">substantial </w:t>
      </w:r>
      <w:r w:rsidR="003A3172" w:rsidRPr="00E47A79">
        <w:rPr>
          <w:rFonts w:ascii="Garamond" w:hAnsi="Garamond"/>
          <w:sz w:val="24"/>
          <w:szCs w:val="24"/>
        </w:rPr>
        <w:t>differences</w:t>
      </w:r>
      <w:r w:rsidR="00662981" w:rsidRPr="00E47A79">
        <w:rPr>
          <w:rFonts w:ascii="Garamond" w:hAnsi="Garamond"/>
          <w:sz w:val="24"/>
          <w:szCs w:val="24"/>
        </w:rPr>
        <w:t xml:space="preserve"> in</w:t>
      </w:r>
      <w:r w:rsidR="008939AF" w:rsidRPr="00E47A79">
        <w:rPr>
          <w:rFonts w:ascii="Garamond" w:hAnsi="Garamond"/>
          <w:sz w:val="24"/>
          <w:szCs w:val="24"/>
        </w:rPr>
        <w:t xml:space="preserve"> </w:t>
      </w:r>
      <w:r w:rsidR="00662981" w:rsidRPr="00E47A79">
        <w:rPr>
          <w:rFonts w:ascii="Garamond" w:hAnsi="Garamond"/>
          <w:sz w:val="24"/>
          <w:szCs w:val="24"/>
        </w:rPr>
        <w:t>clinical judgement</w:t>
      </w:r>
      <w:r w:rsidR="00C06F94" w:rsidRPr="00E47A79">
        <w:rPr>
          <w:rFonts w:ascii="Garamond" w:hAnsi="Garamond"/>
          <w:sz w:val="24"/>
          <w:szCs w:val="24"/>
        </w:rPr>
        <w:t>.</w:t>
      </w:r>
      <w:r w:rsidR="008939AF" w:rsidRPr="00E47A79">
        <w:rPr>
          <w:rFonts w:ascii="Garamond" w:hAnsi="Garamond"/>
          <w:sz w:val="24"/>
          <w:szCs w:val="24"/>
        </w:rPr>
        <w:t xml:space="preserve"> </w:t>
      </w:r>
      <w:r w:rsidR="00C06F94" w:rsidRPr="00E47A79">
        <w:rPr>
          <w:rFonts w:ascii="Garamond" w:hAnsi="Garamond"/>
          <w:sz w:val="24"/>
          <w:szCs w:val="24"/>
        </w:rPr>
        <w:t xml:space="preserve">A </w:t>
      </w:r>
      <w:r w:rsidR="0028091B" w:rsidRPr="00E47A79">
        <w:rPr>
          <w:rFonts w:ascii="Garamond" w:hAnsi="Garamond"/>
          <w:sz w:val="24"/>
          <w:szCs w:val="24"/>
        </w:rPr>
        <w:t>court presented with divergent expert opinions on whether prescribing was appropriate or inappropriate</w:t>
      </w:r>
      <w:r w:rsidR="0045445E" w:rsidRPr="00E47A79">
        <w:rPr>
          <w:rFonts w:ascii="Garamond" w:hAnsi="Garamond"/>
          <w:sz w:val="24"/>
          <w:szCs w:val="24"/>
        </w:rPr>
        <w:t xml:space="preserve"> may </w:t>
      </w:r>
      <w:r w:rsidR="0045445E" w:rsidRPr="00644B33">
        <w:rPr>
          <w:rFonts w:ascii="Garamond" w:hAnsi="Garamond"/>
          <w:i/>
          <w:iCs/>
          <w:sz w:val="24"/>
          <w:szCs w:val="24"/>
        </w:rPr>
        <w:t>prefer</w:t>
      </w:r>
      <w:r w:rsidR="0045445E" w:rsidRPr="00E47A79">
        <w:rPr>
          <w:rFonts w:ascii="Garamond" w:hAnsi="Garamond"/>
          <w:sz w:val="24"/>
          <w:szCs w:val="24"/>
        </w:rPr>
        <w:t xml:space="preserve"> </w:t>
      </w:r>
      <w:r w:rsidR="00D602AB" w:rsidRPr="00E47A79">
        <w:rPr>
          <w:rFonts w:ascii="Garamond" w:hAnsi="Garamond"/>
          <w:sz w:val="24"/>
          <w:szCs w:val="24"/>
        </w:rPr>
        <w:t>a</w:t>
      </w:r>
      <w:r w:rsidR="0045445E" w:rsidRPr="00E47A79">
        <w:rPr>
          <w:rFonts w:ascii="Garamond" w:hAnsi="Garamond"/>
          <w:sz w:val="24"/>
          <w:szCs w:val="24"/>
        </w:rPr>
        <w:t xml:space="preserve"> view</w:t>
      </w:r>
      <w:r w:rsidR="0028091B" w:rsidRPr="00E47A79">
        <w:rPr>
          <w:rFonts w:ascii="Garamond" w:hAnsi="Garamond"/>
          <w:sz w:val="24"/>
          <w:szCs w:val="24"/>
        </w:rPr>
        <w:t xml:space="preserve"> </w:t>
      </w:r>
      <w:r w:rsidR="00D602AB" w:rsidRPr="00E47A79">
        <w:rPr>
          <w:rFonts w:ascii="Garamond" w:hAnsi="Garamond"/>
          <w:sz w:val="24"/>
          <w:szCs w:val="24"/>
        </w:rPr>
        <w:t>which rules out prescribing CBMPs on the particular facts</w:t>
      </w:r>
      <w:r w:rsidR="008939AF" w:rsidRPr="00E47A79">
        <w:rPr>
          <w:rFonts w:ascii="Garamond" w:hAnsi="Garamond"/>
          <w:sz w:val="24"/>
          <w:szCs w:val="24"/>
        </w:rPr>
        <w:t>,</w:t>
      </w:r>
      <w:r w:rsidR="0045445E" w:rsidRPr="00E47A79">
        <w:rPr>
          <w:rFonts w:ascii="Garamond" w:hAnsi="Garamond"/>
          <w:sz w:val="24"/>
          <w:szCs w:val="24"/>
        </w:rPr>
        <w:t xml:space="preserve"> but th</w:t>
      </w:r>
      <w:r w:rsidR="00D602AB" w:rsidRPr="00E47A79">
        <w:rPr>
          <w:rFonts w:ascii="Garamond" w:hAnsi="Garamond"/>
          <w:sz w:val="24"/>
          <w:szCs w:val="24"/>
        </w:rPr>
        <w:t>e court’s</w:t>
      </w:r>
      <w:r w:rsidR="0045445E" w:rsidRPr="00E47A79">
        <w:rPr>
          <w:rFonts w:ascii="Garamond" w:hAnsi="Garamond"/>
          <w:sz w:val="24"/>
          <w:szCs w:val="24"/>
        </w:rPr>
        <w:t xml:space="preserve"> </w:t>
      </w:r>
      <w:r w:rsidR="00620B41" w:rsidRPr="00E47A79">
        <w:rPr>
          <w:rFonts w:ascii="Garamond" w:hAnsi="Garamond"/>
          <w:sz w:val="24"/>
          <w:szCs w:val="24"/>
        </w:rPr>
        <w:t>preference w</w:t>
      </w:r>
      <w:r w:rsidR="0028091B" w:rsidRPr="00E47A79">
        <w:rPr>
          <w:rFonts w:ascii="Garamond" w:hAnsi="Garamond"/>
          <w:sz w:val="24"/>
          <w:szCs w:val="24"/>
        </w:rPr>
        <w:t>ould</w:t>
      </w:r>
      <w:r w:rsidR="00620B41" w:rsidRPr="00E47A79">
        <w:rPr>
          <w:rFonts w:ascii="Garamond" w:hAnsi="Garamond"/>
          <w:sz w:val="24"/>
          <w:szCs w:val="24"/>
        </w:rPr>
        <w:t xml:space="preserve"> not suffice</w:t>
      </w:r>
      <w:r w:rsidR="0045445E" w:rsidRPr="00E47A79">
        <w:rPr>
          <w:rFonts w:ascii="Garamond" w:hAnsi="Garamond"/>
          <w:sz w:val="24"/>
          <w:szCs w:val="24"/>
        </w:rPr>
        <w:t xml:space="preserve"> for a finding of negligence.</w:t>
      </w:r>
      <w:r w:rsidR="0045445E" w:rsidRPr="00E47A79">
        <w:rPr>
          <w:rStyle w:val="FootnoteReference"/>
          <w:rFonts w:ascii="Garamond" w:hAnsi="Garamond"/>
          <w:sz w:val="24"/>
          <w:szCs w:val="24"/>
        </w:rPr>
        <w:footnoteReference w:id="199"/>
      </w:r>
      <w:r w:rsidR="0045445E" w:rsidRPr="00E47A79">
        <w:rPr>
          <w:rFonts w:ascii="Garamond" w:hAnsi="Garamond"/>
          <w:sz w:val="24"/>
          <w:szCs w:val="24"/>
        </w:rPr>
        <w:t xml:space="preserve"> </w:t>
      </w:r>
      <w:r w:rsidR="0028091B" w:rsidRPr="00E47A79">
        <w:rPr>
          <w:rFonts w:ascii="Garamond" w:hAnsi="Garamond"/>
          <w:sz w:val="24"/>
          <w:szCs w:val="24"/>
        </w:rPr>
        <w:t xml:space="preserve">Further, the fact that </w:t>
      </w:r>
      <w:r w:rsidR="005E3258" w:rsidRPr="00E47A79">
        <w:rPr>
          <w:rFonts w:ascii="Garamond" w:hAnsi="Garamond"/>
          <w:sz w:val="24"/>
          <w:szCs w:val="24"/>
        </w:rPr>
        <w:t xml:space="preserve">the practice of </w:t>
      </w:r>
      <w:r w:rsidR="002D15D1" w:rsidRPr="00E47A79">
        <w:rPr>
          <w:rFonts w:ascii="Garamond" w:hAnsi="Garamond"/>
          <w:sz w:val="24"/>
          <w:szCs w:val="24"/>
        </w:rPr>
        <w:t xml:space="preserve">CBMP prescribing </w:t>
      </w:r>
      <w:r w:rsidR="0028091B" w:rsidRPr="00E47A79">
        <w:rPr>
          <w:rFonts w:ascii="Garamond" w:hAnsi="Garamond"/>
          <w:sz w:val="24"/>
          <w:szCs w:val="24"/>
        </w:rPr>
        <w:t>represent</w:t>
      </w:r>
      <w:r w:rsidR="00CD4554" w:rsidRPr="00E47A79">
        <w:rPr>
          <w:rFonts w:ascii="Garamond" w:hAnsi="Garamond"/>
          <w:sz w:val="24"/>
          <w:szCs w:val="24"/>
        </w:rPr>
        <w:t>s</w:t>
      </w:r>
      <w:r w:rsidR="0028091B" w:rsidRPr="00E47A79">
        <w:rPr>
          <w:rFonts w:ascii="Garamond" w:hAnsi="Garamond"/>
          <w:sz w:val="24"/>
          <w:szCs w:val="24"/>
        </w:rPr>
        <w:t xml:space="preserve"> a </w:t>
      </w:r>
      <w:r w:rsidR="00D602AB" w:rsidRPr="00E47A79">
        <w:rPr>
          <w:rFonts w:ascii="Garamond" w:hAnsi="Garamond"/>
          <w:sz w:val="24"/>
          <w:szCs w:val="24"/>
        </w:rPr>
        <w:t>niche</w:t>
      </w:r>
      <w:r w:rsidR="0028091B" w:rsidRPr="00E47A79">
        <w:rPr>
          <w:rFonts w:ascii="Garamond" w:hAnsi="Garamond"/>
          <w:sz w:val="24"/>
          <w:szCs w:val="24"/>
        </w:rPr>
        <w:t xml:space="preserve"> minority</w:t>
      </w:r>
      <w:r w:rsidR="00D602AB" w:rsidRPr="00E47A79">
        <w:rPr>
          <w:rFonts w:ascii="Garamond" w:hAnsi="Garamond"/>
          <w:sz w:val="24"/>
          <w:szCs w:val="24"/>
        </w:rPr>
        <w:t xml:space="preserve"> amongst clinicians</w:t>
      </w:r>
      <w:r w:rsidR="0028091B" w:rsidRPr="00E47A79">
        <w:rPr>
          <w:rFonts w:ascii="Garamond" w:hAnsi="Garamond"/>
          <w:sz w:val="24"/>
          <w:szCs w:val="24"/>
        </w:rPr>
        <w:t xml:space="preserve"> is not</w:t>
      </w:r>
      <w:r w:rsidR="00D602AB" w:rsidRPr="00E47A79">
        <w:rPr>
          <w:rFonts w:ascii="Garamond" w:hAnsi="Garamond"/>
          <w:sz w:val="24"/>
          <w:szCs w:val="24"/>
        </w:rPr>
        <w:t xml:space="preserve"> treated as</w:t>
      </w:r>
      <w:r w:rsidR="0028091B" w:rsidRPr="00E47A79">
        <w:rPr>
          <w:rFonts w:ascii="Garamond" w:hAnsi="Garamond"/>
          <w:sz w:val="24"/>
          <w:szCs w:val="24"/>
        </w:rPr>
        <w:t xml:space="preserve"> an indicator </w:t>
      </w:r>
      <w:r w:rsidR="00327D0C" w:rsidRPr="00E47A79">
        <w:rPr>
          <w:rFonts w:ascii="Garamond" w:hAnsi="Garamond"/>
          <w:sz w:val="24"/>
          <w:szCs w:val="24"/>
        </w:rPr>
        <w:t>of negligence;</w:t>
      </w:r>
      <w:r w:rsidR="00CD4554" w:rsidRPr="00E47A79">
        <w:rPr>
          <w:rFonts w:ascii="Garamond" w:hAnsi="Garamond"/>
          <w:sz w:val="24"/>
          <w:szCs w:val="24"/>
        </w:rPr>
        <w:t xml:space="preserve"> even a </w:t>
      </w:r>
      <w:r w:rsidR="00B81474" w:rsidRPr="00E47A79">
        <w:rPr>
          <w:rFonts w:ascii="Garamond" w:hAnsi="Garamond"/>
          <w:sz w:val="24"/>
          <w:szCs w:val="24"/>
        </w:rPr>
        <w:t>very small proportion of the specialty concerned can constitute a responsible ‘body’ of medical opinion.</w:t>
      </w:r>
      <w:r w:rsidR="00B81474" w:rsidRPr="00E47A79">
        <w:rPr>
          <w:rFonts w:ascii="Garamond" w:hAnsi="Garamond"/>
          <w:sz w:val="24"/>
          <w:szCs w:val="24"/>
          <w:vertAlign w:val="superscript"/>
        </w:rPr>
        <w:footnoteReference w:id="200"/>
      </w:r>
      <w:r w:rsidR="0028091B" w:rsidRPr="00E47A79">
        <w:rPr>
          <w:rFonts w:ascii="Garamond" w:hAnsi="Garamond"/>
          <w:sz w:val="24"/>
          <w:szCs w:val="24"/>
        </w:rPr>
        <w:t xml:space="preserve"> </w:t>
      </w:r>
    </w:p>
    <w:p w14:paraId="023286B4" w14:textId="0A89D202" w:rsidR="001A7304" w:rsidRPr="00E47A79" w:rsidRDefault="00AE36A4" w:rsidP="00B45CEB">
      <w:pPr>
        <w:spacing w:line="360" w:lineRule="auto"/>
        <w:rPr>
          <w:rFonts w:ascii="Garamond" w:hAnsi="Garamond"/>
          <w:i/>
          <w:iCs/>
          <w:sz w:val="24"/>
          <w:szCs w:val="24"/>
        </w:rPr>
      </w:pPr>
      <w:r w:rsidRPr="00E47A79">
        <w:rPr>
          <w:rFonts w:ascii="Garamond" w:hAnsi="Garamond"/>
          <w:sz w:val="24"/>
          <w:szCs w:val="24"/>
        </w:rPr>
        <w:t>Th</w:t>
      </w:r>
      <w:r w:rsidR="002D15D1" w:rsidRPr="00E47A79">
        <w:rPr>
          <w:rFonts w:ascii="Garamond" w:hAnsi="Garamond"/>
          <w:sz w:val="24"/>
          <w:szCs w:val="24"/>
        </w:rPr>
        <w:t xml:space="preserve">e </w:t>
      </w:r>
      <w:proofErr w:type="spellStart"/>
      <w:r w:rsidR="002D15D1" w:rsidRPr="00E47A79">
        <w:rPr>
          <w:rFonts w:ascii="Garamond" w:hAnsi="Garamond"/>
          <w:i/>
          <w:iCs/>
          <w:sz w:val="24"/>
          <w:szCs w:val="24"/>
        </w:rPr>
        <w:t>Bolam</w:t>
      </w:r>
      <w:proofErr w:type="spellEnd"/>
      <w:r w:rsidRPr="00E47A79">
        <w:rPr>
          <w:rFonts w:ascii="Garamond" w:hAnsi="Garamond"/>
          <w:sz w:val="24"/>
          <w:szCs w:val="24"/>
        </w:rPr>
        <w:t xml:space="preserve"> approach to fixing the legal standard of care</w:t>
      </w:r>
      <w:r w:rsidR="00A934C7" w:rsidRPr="00E47A79">
        <w:rPr>
          <w:rFonts w:ascii="Garamond" w:hAnsi="Garamond"/>
          <w:sz w:val="24"/>
          <w:szCs w:val="24"/>
        </w:rPr>
        <w:t>,</w:t>
      </w:r>
      <w:r w:rsidR="002D15D1" w:rsidRPr="00E47A79">
        <w:rPr>
          <w:rFonts w:ascii="Garamond" w:hAnsi="Garamond"/>
          <w:sz w:val="24"/>
          <w:szCs w:val="24"/>
        </w:rPr>
        <w:t xml:space="preserve"> and its reliance on </w:t>
      </w:r>
      <w:r w:rsidR="003A3172" w:rsidRPr="00E47A79">
        <w:rPr>
          <w:rFonts w:ascii="Garamond" w:hAnsi="Garamond"/>
          <w:sz w:val="24"/>
          <w:szCs w:val="24"/>
        </w:rPr>
        <w:t xml:space="preserve">expert evidence from members of the </w:t>
      </w:r>
      <w:r w:rsidR="00662981" w:rsidRPr="00E47A79">
        <w:rPr>
          <w:rFonts w:ascii="Garamond" w:hAnsi="Garamond"/>
          <w:sz w:val="24"/>
          <w:szCs w:val="24"/>
        </w:rPr>
        <w:t xml:space="preserve">medical </w:t>
      </w:r>
      <w:r w:rsidR="002D15D1" w:rsidRPr="00E47A79">
        <w:rPr>
          <w:rFonts w:ascii="Garamond" w:hAnsi="Garamond"/>
          <w:sz w:val="24"/>
          <w:szCs w:val="24"/>
        </w:rPr>
        <w:t>profession,</w:t>
      </w:r>
      <w:r w:rsidRPr="00E47A79">
        <w:rPr>
          <w:rFonts w:ascii="Garamond" w:hAnsi="Garamond"/>
          <w:sz w:val="24"/>
          <w:szCs w:val="24"/>
        </w:rPr>
        <w:t xml:space="preserve"> famously led to a </w:t>
      </w:r>
      <w:proofErr w:type="gramStart"/>
      <w:r w:rsidRPr="00E47A79">
        <w:rPr>
          <w:rFonts w:ascii="Garamond" w:hAnsi="Garamond"/>
          <w:sz w:val="24"/>
          <w:szCs w:val="24"/>
        </w:rPr>
        <w:t>state of affairs</w:t>
      </w:r>
      <w:proofErr w:type="gramEnd"/>
      <w:r w:rsidRPr="00E47A79">
        <w:rPr>
          <w:rFonts w:ascii="Garamond" w:hAnsi="Garamond"/>
          <w:sz w:val="24"/>
          <w:szCs w:val="24"/>
        </w:rPr>
        <w:t xml:space="preserve"> in which doctors could too easily </w:t>
      </w:r>
      <w:r w:rsidR="00D602AB" w:rsidRPr="00E47A79">
        <w:rPr>
          <w:rFonts w:ascii="Garamond" w:hAnsi="Garamond"/>
          <w:sz w:val="24"/>
          <w:szCs w:val="24"/>
        </w:rPr>
        <w:t>call upon</w:t>
      </w:r>
      <w:r w:rsidRPr="00E47A79">
        <w:rPr>
          <w:rFonts w:ascii="Garamond" w:hAnsi="Garamond"/>
          <w:sz w:val="24"/>
          <w:szCs w:val="24"/>
        </w:rPr>
        <w:t xml:space="preserve"> the support of their peers as a means of escaping liability.</w:t>
      </w:r>
      <w:r w:rsidR="00A00E2A" w:rsidRPr="00E47A79">
        <w:rPr>
          <w:rStyle w:val="FootnoteReference"/>
          <w:rFonts w:ascii="Garamond" w:hAnsi="Garamond"/>
          <w:sz w:val="24"/>
          <w:szCs w:val="24"/>
        </w:rPr>
        <w:footnoteReference w:id="201"/>
      </w:r>
      <w:r w:rsidRPr="00E47A79">
        <w:rPr>
          <w:rFonts w:ascii="Garamond" w:hAnsi="Garamond"/>
          <w:sz w:val="24"/>
          <w:szCs w:val="24"/>
        </w:rPr>
        <w:t xml:space="preserve"> In </w:t>
      </w:r>
      <w:r w:rsidRPr="00E47A79">
        <w:rPr>
          <w:rFonts w:ascii="Garamond" w:hAnsi="Garamond"/>
          <w:i/>
          <w:iCs/>
          <w:sz w:val="24"/>
          <w:szCs w:val="24"/>
        </w:rPr>
        <w:t>Bolitho</w:t>
      </w:r>
      <w:r w:rsidR="00DF0C32" w:rsidRPr="00E47A79">
        <w:rPr>
          <w:rFonts w:ascii="Garamond" w:hAnsi="Garamond"/>
          <w:i/>
          <w:iCs/>
          <w:sz w:val="24"/>
          <w:szCs w:val="24"/>
        </w:rPr>
        <w:t>,</w:t>
      </w:r>
      <w:r w:rsidRPr="00E47A79">
        <w:rPr>
          <w:rFonts w:ascii="Garamond" w:hAnsi="Garamond"/>
          <w:i/>
          <w:iCs/>
          <w:sz w:val="24"/>
          <w:szCs w:val="24"/>
        </w:rPr>
        <w:t xml:space="preserve"> </w:t>
      </w:r>
      <w:r w:rsidR="00111C66" w:rsidRPr="00E47A79">
        <w:rPr>
          <w:rFonts w:ascii="Garamond" w:hAnsi="Garamond"/>
          <w:sz w:val="24"/>
          <w:szCs w:val="24"/>
        </w:rPr>
        <w:t xml:space="preserve">however, </w:t>
      </w:r>
      <w:r w:rsidRPr="00E47A79">
        <w:rPr>
          <w:rFonts w:ascii="Garamond" w:hAnsi="Garamond"/>
          <w:sz w:val="24"/>
          <w:szCs w:val="24"/>
        </w:rPr>
        <w:t>the scales were at least theoretically rebalanced</w:t>
      </w:r>
      <w:r w:rsidR="00CD35A9" w:rsidRPr="00E47A79">
        <w:rPr>
          <w:rFonts w:ascii="Garamond" w:hAnsi="Garamond"/>
          <w:sz w:val="24"/>
          <w:szCs w:val="24"/>
        </w:rPr>
        <w:t>. F</w:t>
      </w:r>
      <w:r w:rsidRPr="00E47A79">
        <w:rPr>
          <w:rFonts w:ascii="Garamond" w:hAnsi="Garamond"/>
          <w:sz w:val="24"/>
          <w:szCs w:val="24"/>
        </w:rPr>
        <w:t>or an expert’s view to satisfy the ‘responsible body of medical opinion’ threshold, it must be capable of withstanding the judge’s ‘logical analysis’</w:t>
      </w:r>
      <w:r w:rsidR="00D602AB" w:rsidRPr="00E47A79">
        <w:rPr>
          <w:rFonts w:ascii="Garamond" w:hAnsi="Garamond"/>
          <w:sz w:val="24"/>
          <w:szCs w:val="24"/>
        </w:rPr>
        <w:t>.</w:t>
      </w:r>
      <w:r w:rsidR="0045445E" w:rsidRPr="00E47A79">
        <w:rPr>
          <w:rFonts w:ascii="Garamond" w:hAnsi="Garamond"/>
          <w:sz w:val="24"/>
          <w:szCs w:val="24"/>
          <w:vertAlign w:val="superscript"/>
        </w:rPr>
        <w:footnoteReference w:id="202"/>
      </w:r>
      <w:r w:rsidR="0045445E" w:rsidRPr="00E47A79">
        <w:rPr>
          <w:rFonts w:ascii="Garamond" w:hAnsi="Garamond"/>
          <w:sz w:val="24"/>
          <w:szCs w:val="24"/>
        </w:rPr>
        <w:t xml:space="preserve"> </w:t>
      </w:r>
      <w:r w:rsidR="00D602AB" w:rsidRPr="00E47A79">
        <w:rPr>
          <w:rFonts w:ascii="Garamond" w:hAnsi="Garamond"/>
          <w:sz w:val="24"/>
          <w:szCs w:val="24"/>
        </w:rPr>
        <w:t>T</w:t>
      </w:r>
      <w:r w:rsidRPr="00E47A79">
        <w:rPr>
          <w:rFonts w:ascii="Garamond" w:hAnsi="Garamond"/>
          <w:sz w:val="24"/>
          <w:szCs w:val="24"/>
        </w:rPr>
        <w:t xml:space="preserve">he extent to which this has truly recalibrated the </w:t>
      </w:r>
      <w:r w:rsidR="00A00E2A" w:rsidRPr="00E47A79">
        <w:rPr>
          <w:rFonts w:ascii="Garamond" w:hAnsi="Garamond"/>
          <w:sz w:val="24"/>
          <w:szCs w:val="24"/>
        </w:rPr>
        <w:t xml:space="preserve">doctor’s </w:t>
      </w:r>
      <w:r w:rsidRPr="00E47A79">
        <w:rPr>
          <w:rFonts w:ascii="Garamond" w:hAnsi="Garamond"/>
          <w:sz w:val="24"/>
          <w:szCs w:val="24"/>
        </w:rPr>
        <w:t>legal standard of care remains a moot question.</w:t>
      </w:r>
      <w:r w:rsidRPr="00E47A79">
        <w:rPr>
          <w:rStyle w:val="FootnoteReference"/>
          <w:rFonts w:ascii="Garamond" w:hAnsi="Garamond"/>
          <w:sz w:val="24"/>
          <w:szCs w:val="24"/>
        </w:rPr>
        <w:footnoteReference w:id="203"/>
      </w:r>
      <w:r w:rsidRPr="00E47A79">
        <w:rPr>
          <w:rFonts w:ascii="Garamond" w:hAnsi="Garamond"/>
          <w:sz w:val="24"/>
          <w:szCs w:val="24"/>
        </w:rPr>
        <w:t xml:space="preserve"> </w:t>
      </w:r>
      <w:r w:rsidR="00FE59ED" w:rsidRPr="00E47A79">
        <w:rPr>
          <w:rFonts w:ascii="Garamond" w:hAnsi="Garamond"/>
          <w:sz w:val="24"/>
          <w:szCs w:val="24"/>
        </w:rPr>
        <w:t>Wh</w:t>
      </w:r>
      <w:r w:rsidR="00662981" w:rsidRPr="00E47A79">
        <w:rPr>
          <w:rFonts w:ascii="Garamond" w:hAnsi="Garamond"/>
          <w:sz w:val="24"/>
          <w:szCs w:val="24"/>
        </w:rPr>
        <w:t>at is clear</w:t>
      </w:r>
      <w:r w:rsidR="00D602AB" w:rsidRPr="00E47A79">
        <w:rPr>
          <w:rFonts w:ascii="Garamond" w:hAnsi="Garamond"/>
          <w:sz w:val="24"/>
          <w:szCs w:val="24"/>
        </w:rPr>
        <w:t>, however,</w:t>
      </w:r>
      <w:r w:rsidR="00662981" w:rsidRPr="00E47A79">
        <w:rPr>
          <w:rFonts w:ascii="Garamond" w:hAnsi="Garamond"/>
          <w:sz w:val="24"/>
          <w:szCs w:val="24"/>
        </w:rPr>
        <w:t xml:space="preserve"> is that wh</w:t>
      </w:r>
      <w:r w:rsidR="00FE59ED" w:rsidRPr="00E47A79">
        <w:rPr>
          <w:rFonts w:ascii="Garamond" w:hAnsi="Garamond"/>
          <w:sz w:val="24"/>
          <w:szCs w:val="24"/>
        </w:rPr>
        <w:t xml:space="preserve">ilst </w:t>
      </w:r>
      <w:r w:rsidR="00FE59ED" w:rsidRPr="00E47A79">
        <w:rPr>
          <w:rFonts w:ascii="Garamond" w:hAnsi="Garamond"/>
          <w:i/>
          <w:iCs/>
          <w:sz w:val="24"/>
          <w:szCs w:val="24"/>
        </w:rPr>
        <w:t>Bolitho</w:t>
      </w:r>
      <w:r w:rsidR="00FE59ED" w:rsidRPr="00E47A79">
        <w:rPr>
          <w:rFonts w:ascii="Garamond" w:hAnsi="Garamond"/>
          <w:sz w:val="24"/>
          <w:szCs w:val="24"/>
        </w:rPr>
        <w:t xml:space="preserve"> </w:t>
      </w:r>
      <w:r w:rsidR="005E3258" w:rsidRPr="00E47A79">
        <w:rPr>
          <w:rFonts w:ascii="Garamond" w:hAnsi="Garamond"/>
          <w:sz w:val="24"/>
          <w:szCs w:val="24"/>
        </w:rPr>
        <w:t>‘</w:t>
      </w:r>
      <w:r w:rsidR="00FE59ED" w:rsidRPr="00E47A79">
        <w:rPr>
          <w:rFonts w:ascii="Garamond" w:hAnsi="Garamond"/>
          <w:sz w:val="24"/>
          <w:szCs w:val="24"/>
        </w:rPr>
        <w:t>logicality</w:t>
      </w:r>
      <w:r w:rsidR="005E3258" w:rsidRPr="00E47A79">
        <w:rPr>
          <w:rFonts w:ascii="Garamond" w:hAnsi="Garamond"/>
          <w:sz w:val="24"/>
          <w:szCs w:val="24"/>
        </w:rPr>
        <w:t>’</w:t>
      </w:r>
      <w:r w:rsidR="00FE59ED" w:rsidRPr="00E47A79">
        <w:rPr>
          <w:rFonts w:ascii="Garamond" w:hAnsi="Garamond"/>
          <w:sz w:val="24"/>
          <w:szCs w:val="24"/>
        </w:rPr>
        <w:t xml:space="preserve"> </w:t>
      </w:r>
      <w:r w:rsidR="005E3258" w:rsidRPr="00E47A79">
        <w:rPr>
          <w:rFonts w:ascii="Garamond" w:hAnsi="Garamond"/>
          <w:sz w:val="24"/>
          <w:szCs w:val="24"/>
        </w:rPr>
        <w:t>was initially treated as</w:t>
      </w:r>
      <w:r w:rsidR="00FE59ED" w:rsidRPr="00E47A79">
        <w:rPr>
          <w:rFonts w:ascii="Garamond" w:hAnsi="Garamond"/>
          <w:sz w:val="24"/>
          <w:szCs w:val="24"/>
        </w:rPr>
        <w:t xml:space="preserve"> </w:t>
      </w:r>
      <w:r w:rsidR="005E3258" w:rsidRPr="00E47A79">
        <w:rPr>
          <w:rFonts w:ascii="Garamond" w:hAnsi="Garamond"/>
          <w:sz w:val="24"/>
          <w:szCs w:val="24"/>
        </w:rPr>
        <w:t xml:space="preserve">another way of asking whether the body of opinion supporting the defendant was </w:t>
      </w:r>
      <w:r w:rsidR="00FE59ED" w:rsidRPr="00E47A79">
        <w:rPr>
          <w:rFonts w:ascii="Garamond" w:hAnsi="Garamond"/>
          <w:sz w:val="24"/>
          <w:szCs w:val="24"/>
        </w:rPr>
        <w:t>‘responsible,’</w:t>
      </w:r>
      <w:r w:rsidR="001A7304" w:rsidRPr="00E47A79">
        <w:rPr>
          <w:rFonts w:ascii="Garamond" w:hAnsi="Garamond"/>
          <w:sz w:val="24"/>
          <w:szCs w:val="24"/>
        </w:rPr>
        <w:t xml:space="preserve"> </w:t>
      </w:r>
      <w:r w:rsidR="00B66447" w:rsidRPr="00E47A79">
        <w:rPr>
          <w:rFonts w:ascii="Garamond" w:hAnsi="Garamond"/>
          <w:sz w:val="24"/>
          <w:szCs w:val="24"/>
        </w:rPr>
        <w:t xml:space="preserve">recent </w:t>
      </w:r>
      <w:r w:rsidR="00FE59ED" w:rsidRPr="00E47A79">
        <w:rPr>
          <w:rFonts w:ascii="Garamond" w:hAnsi="Garamond"/>
          <w:sz w:val="24"/>
          <w:szCs w:val="24"/>
        </w:rPr>
        <w:t>post-</w:t>
      </w:r>
      <w:r w:rsidR="00FE59ED" w:rsidRPr="00E47A79">
        <w:rPr>
          <w:rFonts w:ascii="Garamond" w:hAnsi="Garamond"/>
          <w:i/>
          <w:iCs/>
          <w:sz w:val="24"/>
          <w:szCs w:val="24"/>
        </w:rPr>
        <w:t>Bolitho</w:t>
      </w:r>
      <w:r w:rsidR="00FE59ED" w:rsidRPr="00E47A79">
        <w:rPr>
          <w:rFonts w:ascii="Garamond" w:hAnsi="Garamond"/>
          <w:sz w:val="24"/>
          <w:szCs w:val="24"/>
        </w:rPr>
        <w:t xml:space="preserve"> jurisprudence appears to</w:t>
      </w:r>
      <w:r w:rsidR="005E3258" w:rsidRPr="00E47A79">
        <w:rPr>
          <w:rFonts w:ascii="Garamond" w:hAnsi="Garamond"/>
          <w:sz w:val="24"/>
          <w:szCs w:val="24"/>
        </w:rPr>
        <w:t xml:space="preserve"> </w:t>
      </w:r>
      <w:r w:rsidR="00FE59ED" w:rsidRPr="00E47A79">
        <w:rPr>
          <w:rFonts w:ascii="Garamond" w:hAnsi="Garamond"/>
          <w:sz w:val="24"/>
          <w:szCs w:val="24"/>
        </w:rPr>
        <w:t>separat</w:t>
      </w:r>
      <w:r w:rsidR="00B66447" w:rsidRPr="00E47A79">
        <w:rPr>
          <w:rFonts w:ascii="Garamond" w:hAnsi="Garamond"/>
          <w:sz w:val="24"/>
          <w:szCs w:val="24"/>
        </w:rPr>
        <w:t>e</w:t>
      </w:r>
      <w:r w:rsidR="00FE59ED" w:rsidRPr="00E47A79">
        <w:rPr>
          <w:rFonts w:ascii="Garamond" w:hAnsi="Garamond"/>
          <w:sz w:val="24"/>
          <w:szCs w:val="24"/>
        </w:rPr>
        <w:t xml:space="preserve"> out ‘responsibility’ and ‘logicality.’ </w:t>
      </w:r>
      <w:r w:rsidR="00E9656B">
        <w:rPr>
          <w:rFonts w:ascii="Garamond" w:hAnsi="Garamond"/>
          <w:sz w:val="24"/>
          <w:szCs w:val="24"/>
        </w:rPr>
        <w:t>I</w:t>
      </w:r>
      <w:r w:rsidR="00BA4968" w:rsidRPr="00E47A79">
        <w:rPr>
          <w:rFonts w:ascii="Garamond" w:hAnsi="Garamond"/>
          <w:sz w:val="24"/>
          <w:szCs w:val="24"/>
        </w:rPr>
        <w:t xml:space="preserve">n </w:t>
      </w:r>
      <w:r w:rsidR="00BA4968" w:rsidRPr="00E47A79">
        <w:rPr>
          <w:rFonts w:ascii="Garamond" w:hAnsi="Garamond"/>
          <w:i/>
          <w:iCs/>
          <w:sz w:val="24"/>
          <w:szCs w:val="24"/>
        </w:rPr>
        <w:t>C v North Cumbria</w:t>
      </w:r>
      <w:r w:rsidR="007B44F4" w:rsidRPr="00E47A79">
        <w:rPr>
          <w:rFonts w:ascii="Garamond" w:hAnsi="Garamond"/>
          <w:i/>
          <w:iCs/>
          <w:sz w:val="24"/>
          <w:szCs w:val="24"/>
        </w:rPr>
        <w:t xml:space="preserve"> University Hospitals NHS Trust</w:t>
      </w:r>
      <w:r w:rsidR="007B44F4" w:rsidRPr="00E47A79">
        <w:rPr>
          <w:rStyle w:val="FootnoteReference"/>
          <w:rFonts w:ascii="Garamond" w:hAnsi="Garamond"/>
          <w:i/>
          <w:iCs/>
          <w:sz w:val="24"/>
          <w:szCs w:val="24"/>
        </w:rPr>
        <w:footnoteReference w:id="204"/>
      </w:r>
      <w:r w:rsidR="00E9656B">
        <w:rPr>
          <w:rFonts w:ascii="Garamond" w:hAnsi="Garamond"/>
          <w:sz w:val="24"/>
          <w:szCs w:val="24"/>
        </w:rPr>
        <w:t xml:space="preserve"> </w:t>
      </w:r>
      <w:r w:rsidR="00610D8D">
        <w:rPr>
          <w:rFonts w:ascii="Garamond" w:hAnsi="Garamond"/>
          <w:sz w:val="24"/>
          <w:szCs w:val="24"/>
        </w:rPr>
        <w:t xml:space="preserve">Mr </w:t>
      </w:r>
      <w:r w:rsidR="00610D8D" w:rsidRPr="00E47A79">
        <w:rPr>
          <w:rFonts w:ascii="Garamond" w:hAnsi="Garamond"/>
          <w:sz w:val="24"/>
          <w:szCs w:val="24"/>
        </w:rPr>
        <w:t xml:space="preserve">Justice Green </w:t>
      </w:r>
      <w:r w:rsidR="00662981" w:rsidRPr="00E47A79">
        <w:rPr>
          <w:rFonts w:ascii="Garamond" w:hAnsi="Garamond"/>
          <w:sz w:val="24"/>
          <w:szCs w:val="24"/>
        </w:rPr>
        <w:t>sought</w:t>
      </w:r>
      <w:r w:rsidR="003F13EE" w:rsidRPr="00E47A79">
        <w:rPr>
          <w:rFonts w:ascii="Garamond" w:hAnsi="Garamond"/>
          <w:sz w:val="24"/>
          <w:szCs w:val="24"/>
        </w:rPr>
        <w:t xml:space="preserve"> </w:t>
      </w:r>
      <w:r w:rsidR="00662981" w:rsidRPr="00E47A79">
        <w:rPr>
          <w:rFonts w:ascii="Garamond" w:hAnsi="Garamond"/>
          <w:sz w:val="24"/>
          <w:szCs w:val="24"/>
        </w:rPr>
        <w:t>to</w:t>
      </w:r>
      <w:r w:rsidR="003F13EE" w:rsidRPr="00E47A79">
        <w:rPr>
          <w:rFonts w:ascii="Garamond" w:hAnsi="Garamond"/>
          <w:sz w:val="24"/>
          <w:szCs w:val="24"/>
        </w:rPr>
        <w:t xml:space="preserve"> clarify</w:t>
      </w:r>
      <w:r w:rsidR="00BA4968" w:rsidRPr="00E47A79">
        <w:rPr>
          <w:rFonts w:ascii="Garamond" w:hAnsi="Garamond"/>
          <w:sz w:val="24"/>
          <w:szCs w:val="24"/>
        </w:rPr>
        <w:t xml:space="preserve"> the methods by which courts must </w:t>
      </w:r>
      <w:r w:rsidR="00662981" w:rsidRPr="00E47A79">
        <w:rPr>
          <w:rFonts w:ascii="Garamond" w:hAnsi="Garamond"/>
          <w:sz w:val="24"/>
          <w:szCs w:val="24"/>
        </w:rPr>
        <w:t xml:space="preserve">now </w:t>
      </w:r>
      <w:r w:rsidR="00BA4968" w:rsidRPr="00E47A79">
        <w:rPr>
          <w:rFonts w:ascii="Garamond" w:hAnsi="Garamond"/>
          <w:sz w:val="24"/>
          <w:szCs w:val="24"/>
        </w:rPr>
        <w:t>assess expert evidence in clinical negligence cases</w:t>
      </w:r>
      <w:r w:rsidR="00282E80" w:rsidRPr="00E47A79">
        <w:rPr>
          <w:rFonts w:ascii="Garamond" w:hAnsi="Garamond"/>
          <w:sz w:val="24"/>
          <w:szCs w:val="24"/>
        </w:rPr>
        <w:t xml:space="preserve">. </w:t>
      </w:r>
      <w:r w:rsidR="00662981" w:rsidRPr="00E47A79">
        <w:rPr>
          <w:rFonts w:ascii="Garamond" w:hAnsi="Garamond"/>
          <w:sz w:val="24"/>
          <w:szCs w:val="24"/>
        </w:rPr>
        <w:t>His</w:t>
      </w:r>
      <w:r w:rsidR="00171662" w:rsidRPr="00E47A79">
        <w:rPr>
          <w:rFonts w:ascii="Garamond" w:hAnsi="Garamond"/>
          <w:sz w:val="24"/>
          <w:szCs w:val="24"/>
        </w:rPr>
        <w:t xml:space="preserve"> speech</w:t>
      </w:r>
      <w:r w:rsidR="00282E80" w:rsidRPr="00E47A79">
        <w:rPr>
          <w:rFonts w:ascii="Garamond" w:hAnsi="Garamond"/>
          <w:sz w:val="24"/>
          <w:szCs w:val="24"/>
        </w:rPr>
        <w:t>, now</w:t>
      </w:r>
      <w:r w:rsidR="00171662" w:rsidRPr="00E47A79">
        <w:rPr>
          <w:rFonts w:ascii="Garamond" w:hAnsi="Garamond"/>
          <w:sz w:val="24"/>
          <w:szCs w:val="24"/>
        </w:rPr>
        <w:t xml:space="preserve"> a mainstay</w:t>
      </w:r>
      <w:r w:rsidR="00282E80" w:rsidRPr="00E47A79">
        <w:rPr>
          <w:rFonts w:ascii="Garamond" w:hAnsi="Garamond"/>
          <w:sz w:val="24"/>
          <w:szCs w:val="24"/>
        </w:rPr>
        <w:t xml:space="preserve"> in </w:t>
      </w:r>
      <w:r w:rsidR="00D602AB" w:rsidRPr="00E47A79">
        <w:rPr>
          <w:rFonts w:ascii="Garamond" w:hAnsi="Garamond"/>
          <w:sz w:val="24"/>
          <w:szCs w:val="24"/>
        </w:rPr>
        <w:t>modern</w:t>
      </w:r>
      <w:r w:rsidR="00662981" w:rsidRPr="00E47A79">
        <w:rPr>
          <w:rFonts w:ascii="Garamond" w:hAnsi="Garamond"/>
          <w:sz w:val="24"/>
          <w:szCs w:val="24"/>
        </w:rPr>
        <w:t xml:space="preserve"> medical negligence</w:t>
      </w:r>
      <w:r w:rsidR="00282E80" w:rsidRPr="00E47A79">
        <w:rPr>
          <w:rFonts w:ascii="Garamond" w:hAnsi="Garamond"/>
          <w:sz w:val="24"/>
          <w:szCs w:val="24"/>
        </w:rPr>
        <w:t xml:space="preserve"> judgments</w:t>
      </w:r>
      <w:r w:rsidR="00D602AB" w:rsidRPr="00E47A79">
        <w:rPr>
          <w:rFonts w:ascii="Garamond" w:hAnsi="Garamond"/>
          <w:sz w:val="24"/>
          <w:szCs w:val="24"/>
        </w:rPr>
        <w:t>,</w:t>
      </w:r>
      <w:r w:rsidR="00B45CEB" w:rsidRPr="00E47A79">
        <w:rPr>
          <w:rStyle w:val="FootnoteReference"/>
          <w:rFonts w:ascii="Garamond" w:hAnsi="Garamond"/>
          <w:sz w:val="24"/>
          <w:szCs w:val="24"/>
        </w:rPr>
        <w:footnoteReference w:id="205"/>
      </w:r>
      <w:r w:rsidR="00282E80" w:rsidRPr="00E47A79">
        <w:rPr>
          <w:rFonts w:ascii="Garamond" w:hAnsi="Garamond"/>
          <w:sz w:val="24"/>
          <w:szCs w:val="24"/>
        </w:rPr>
        <w:t xml:space="preserve"> </w:t>
      </w:r>
      <w:r w:rsidR="00E51BEC" w:rsidRPr="00E47A79">
        <w:rPr>
          <w:rFonts w:ascii="Garamond" w:hAnsi="Garamond"/>
          <w:sz w:val="24"/>
          <w:szCs w:val="24"/>
        </w:rPr>
        <w:t xml:space="preserve">seems to </w:t>
      </w:r>
      <w:r w:rsidR="00282E80" w:rsidRPr="00E47A79">
        <w:rPr>
          <w:rFonts w:ascii="Garamond" w:hAnsi="Garamond"/>
          <w:sz w:val="24"/>
          <w:szCs w:val="24"/>
        </w:rPr>
        <w:t xml:space="preserve">envisage three </w:t>
      </w:r>
      <w:r w:rsidR="00282E80" w:rsidRPr="00E47A79">
        <w:rPr>
          <w:rFonts w:ascii="Garamond" w:hAnsi="Garamond"/>
          <w:sz w:val="24"/>
          <w:szCs w:val="24"/>
        </w:rPr>
        <w:lastRenderedPageBreak/>
        <w:t xml:space="preserve">components of </w:t>
      </w:r>
      <w:r w:rsidR="00282E80" w:rsidRPr="00E47A79">
        <w:rPr>
          <w:rFonts w:ascii="Garamond" w:hAnsi="Garamond"/>
          <w:i/>
          <w:iCs/>
          <w:sz w:val="24"/>
          <w:szCs w:val="24"/>
        </w:rPr>
        <w:t xml:space="preserve">Bolitho </w:t>
      </w:r>
      <w:r w:rsidR="00282E80" w:rsidRPr="00E47A79">
        <w:rPr>
          <w:rFonts w:ascii="Garamond" w:hAnsi="Garamond"/>
          <w:sz w:val="24"/>
          <w:szCs w:val="24"/>
        </w:rPr>
        <w:t xml:space="preserve">reasoning. </w:t>
      </w:r>
      <w:r w:rsidR="00F01AA1" w:rsidRPr="00E47A79">
        <w:rPr>
          <w:rFonts w:ascii="Garamond" w:hAnsi="Garamond"/>
          <w:sz w:val="24"/>
          <w:szCs w:val="24"/>
        </w:rPr>
        <w:t>I</w:t>
      </w:r>
      <w:r w:rsidR="00282E80" w:rsidRPr="00E47A79">
        <w:rPr>
          <w:rFonts w:ascii="Garamond" w:hAnsi="Garamond"/>
          <w:sz w:val="24"/>
          <w:szCs w:val="24"/>
        </w:rPr>
        <w:t xml:space="preserve">f </w:t>
      </w:r>
      <w:r w:rsidR="003A3172" w:rsidRPr="00E47A79">
        <w:rPr>
          <w:rFonts w:ascii="Garamond" w:hAnsi="Garamond"/>
          <w:sz w:val="24"/>
          <w:szCs w:val="24"/>
        </w:rPr>
        <w:t>the defendant</w:t>
      </w:r>
      <w:r w:rsidR="00BA4968" w:rsidRPr="00E47A79">
        <w:rPr>
          <w:rFonts w:ascii="Garamond" w:hAnsi="Garamond"/>
          <w:sz w:val="24"/>
          <w:szCs w:val="24"/>
        </w:rPr>
        <w:t xml:space="preserve">’s practice is </w:t>
      </w:r>
      <w:r w:rsidR="00F01AA1" w:rsidRPr="00E47A79">
        <w:rPr>
          <w:rFonts w:ascii="Garamond" w:hAnsi="Garamond"/>
          <w:sz w:val="24"/>
          <w:szCs w:val="24"/>
        </w:rPr>
        <w:t xml:space="preserve">a) </w:t>
      </w:r>
      <w:r w:rsidR="00BA4968" w:rsidRPr="00E47A79">
        <w:rPr>
          <w:rFonts w:ascii="Garamond" w:hAnsi="Garamond"/>
          <w:sz w:val="24"/>
          <w:szCs w:val="24"/>
        </w:rPr>
        <w:t>supported by a body of ‘</w:t>
      </w:r>
      <w:r w:rsidR="00BA4968" w:rsidRPr="00E47A79">
        <w:rPr>
          <w:rFonts w:ascii="Garamond" w:hAnsi="Garamond"/>
          <w:i/>
          <w:iCs/>
          <w:sz w:val="24"/>
          <w:szCs w:val="24"/>
        </w:rPr>
        <w:t>appropriate</w:t>
      </w:r>
      <w:r w:rsidR="00BA4968" w:rsidRPr="00E47A79">
        <w:rPr>
          <w:rFonts w:ascii="Garamond" w:hAnsi="Garamond"/>
          <w:sz w:val="24"/>
          <w:szCs w:val="24"/>
        </w:rPr>
        <w:t xml:space="preserve"> expert opinion,’ that opinion w</w:t>
      </w:r>
      <w:r w:rsidR="00D602AB" w:rsidRPr="00E47A79">
        <w:rPr>
          <w:rFonts w:ascii="Garamond" w:hAnsi="Garamond"/>
          <w:sz w:val="24"/>
          <w:szCs w:val="24"/>
        </w:rPr>
        <w:t>ill</w:t>
      </w:r>
      <w:r w:rsidR="00BA4968" w:rsidRPr="00E47A79">
        <w:rPr>
          <w:rFonts w:ascii="Garamond" w:hAnsi="Garamond"/>
          <w:sz w:val="24"/>
          <w:szCs w:val="24"/>
        </w:rPr>
        <w:t xml:space="preserve"> be given ‘substantial weight.’</w:t>
      </w:r>
      <w:r w:rsidR="00BA4968" w:rsidRPr="00E47A79">
        <w:rPr>
          <w:rFonts w:ascii="Garamond" w:hAnsi="Garamond"/>
          <w:sz w:val="24"/>
          <w:szCs w:val="24"/>
          <w:vertAlign w:val="superscript"/>
        </w:rPr>
        <w:footnoteReference w:id="206"/>
      </w:r>
      <w:r w:rsidR="00BA4968" w:rsidRPr="00E47A79">
        <w:rPr>
          <w:rFonts w:ascii="Garamond" w:hAnsi="Garamond"/>
          <w:sz w:val="24"/>
          <w:szCs w:val="24"/>
        </w:rPr>
        <w:t xml:space="preserve"> </w:t>
      </w:r>
      <w:r w:rsidR="00327D0C" w:rsidRPr="00E47A79">
        <w:rPr>
          <w:rFonts w:ascii="Garamond" w:hAnsi="Garamond"/>
          <w:sz w:val="24"/>
          <w:szCs w:val="24"/>
        </w:rPr>
        <w:t>C</w:t>
      </w:r>
      <w:r w:rsidR="00BA4968" w:rsidRPr="00E47A79">
        <w:rPr>
          <w:rFonts w:ascii="Garamond" w:hAnsi="Garamond"/>
          <w:sz w:val="24"/>
          <w:szCs w:val="24"/>
        </w:rPr>
        <w:t>ourt</w:t>
      </w:r>
      <w:r w:rsidR="00DF0C32" w:rsidRPr="00E47A79">
        <w:rPr>
          <w:rFonts w:ascii="Garamond" w:hAnsi="Garamond"/>
          <w:sz w:val="24"/>
          <w:szCs w:val="24"/>
        </w:rPr>
        <w:t>s</w:t>
      </w:r>
      <w:r w:rsidR="00BA4968" w:rsidRPr="00E47A79">
        <w:rPr>
          <w:rFonts w:ascii="Garamond" w:hAnsi="Garamond"/>
          <w:sz w:val="24"/>
          <w:szCs w:val="24"/>
        </w:rPr>
        <w:t xml:space="preserve"> </w:t>
      </w:r>
      <w:r w:rsidR="00DF0C32" w:rsidRPr="00E47A79">
        <w:rPr>
          <w:rFonts w:ascii="Garamond" w:hAnsi="Garamond"/>
          <w:sz w:val="24"/>
          <w:szCs w:val="24"/>
        </w:rPr>
        <w:t>should</w:t>
      </w:r>
      <w:r w:rsidR="00BA4968" w:rsidRPr="00E47A79">
        <w:rPr>
          <w:rFonts w:ascii="Garamond" w:hAnsi="Garamond"/>
          <w:sz w:val="24"/>
          <w:szCs w:val="24"/>
        </w:rPr>
        <w:t xml:space="preserve"> not delegate the decision to the</w:t>
      </w:r>
      <w:r w:rsidR="00DF0C32" w:rsidRPr="00E47A79">
        <w:rPr>
          <w:rFonts w:ascii="Garamond" w:hAnsi="Garamond"/>
          <w:sz w:val="24"/>
          <w:szCs w:val="24"/>
        </w:rPr>
        <w:t xml:space="preserve"> defendant’s</w:t>
      </w:r>
      <w:r w:rsidR="00BA4968" w:rsidRPr="00E47A79">
        <w:rPr>
          <w:rFonts w:ascii="Garamond" w:hAnsi="Garamond"/>
          <w:sz w:val="24"/>
          <w:szCs w:val="24"/>
        </w:rPr>
        <w:t xml:space="preserve"> expert</w:t>
      </w:r>
      <w:r w:rsidR="00327D0C" w:rsidRPr="00E47A79">
        <w:rPr>
          <w:rFonts w:ascii="Garamond" w:hAnsi="Garamond"/>
          <w:sz w:val="24"/>
          <w:szCs w:val="24"/>
        </w:rPr>
        <w:t>, however,</w:t>
      </w:r>
      <w:r w:rsidR="00BA4968" w:rsidRPr="00E47A79">
        <w:rPr>
          <w:rFonts w:ascii="Garamond" w:hAnsi="Garamond"/>
          <w:sz w:val="24"/>
          <w:szCs w:val="24"/>
        </w:rPr>
        <w:t xml:space="preserve"> and must assess whether th</w:t>
      </w:r>
      <w:r w:rsidR="00DF0C32" w:rsidRPr="00E47A79">
        <w:rPr>
          <w:rFonts w:ascii="Garamond" w:hAnsi="Garamond"/>
          <w:sz w:val="24"/>
          <w:szCs w:val="24"/>
        </w:rPr>
        <w:t>at</w:t>
      </w:r>
      <w:r w:rsidR="00BA4968" w:rsidRPr="00E47A79">
        <w:rPr>
          <w:rFonts w:ascii="Garamond" w:hAnsi="Garamond"/>
          <w:sz w:val="24"/>
          <w:szCs w:val="24"/>
        </w:rPr>
        <w:t xml:space="preserve"> evidence is </w:t>
      </w:r>
      <w:r w:rsidR="00F01AA1" w:rsidRPr="00E47A79">
        <w:rPr>
          <w:rFonts w:ascii="Garamond" w:hAnsi="Garamond"/>
          <w:sz w:val="24"/>
          <w:szCs w:val="24"/>
        </w:rPr>
        <w:t>b</w:t>
      </w:r>
      <w:r w:rsidR="00CE2C8E" w:rsidRPr="00E47A79">
        <w:rPr>
          <w:rFonts w:ascii="Garamond" w:hAnsi="Garamond"/>
          <w:sz w:val="24"/>
          <w:szCs w:val="24"/>
        </w:rPr>
        <w:t xml:space="preserve">) </w:t>
      </w:r>
      <w:r w:rsidR="00BA4968" w:rsidRPr="00E47A79">
        <w:rPr>
          <w:rFonts w:ascii="Garamond" w:hAnsi="Garamond"/>
          <w:sz w:val="24"/>
          <w:szCs w:val="24"/>
        </w:rPr>
        <w:t xml:space="preserve">given in good faith, is </w:t>
      </w:r>
      <w:r w:rsidR="00BA4968" w:rsidRPr="00E47A79">
        <w:rPr>
          <w:rFonts w:ascii="Garamond" w:hAnsi="Garamond"/>
          <w:i/>
          <w:iCs/>
          <w:sz w:val="24"/>
          <w:szCs w:val="24"/>
        </w:rPr>
        <w:t>‘responsible</w:t>
      </w:r>
      <w:r w:rsidR="00BA4968" w:rsidRPr="00E47A79">
        <w:rPr>
          <w:rFonts w:ascii="Garamond" w:hAnsi="Garamond"/>
          <w:sz w:val="24"/>
          <w:szCs w:val="24"/>
        </w:rPr>
        <w:t>,’ ‘competent’ and ‘respectable</w:t>
      </w:r>
      <w:r w:rsidR="00A00E2A" w:rsidRPr="00E47A79">
        <w:rPr>
          <w:rFonts w:ascii="Garamond" w:hAnsi="Garamond"/>
          <w:sz w:val="24"/>
          <w:szCs w:val="24"/>
        </w:rPr>
        <w:t>,</w:t>
      </w:r>
      <w:r w:rsidR="00BA4968" w:rsidRPr="00E47A79">
        <w:rPr>
          <w:rFonts w:ascii="Garamond" w:hAnsi="Garamond"/>
          <w:sz w:val="24"/>
          <w:szCs w:val="24"/>
        </w:rPr>
        <w:t>’</w:t>
      </w:r>
      <w:r w:rsidR="00BA4968" w:rsidRPr="00E47A79">
        <w:rPr>
          <w:rFonts w:ascii="Garamond" w:hAnsi="Garamond"/>
          <w:sz w:val="24"/>
          <w:szCs w:val="24"/>
          <w:vertAlign w:val="superscript"/>
        </w:rPr>
        <w:footnoteReference w:id="207"/>
      </w:r>
      <w:r w:rsidR="00BA4968" w:rsidRPr="00E47A79">
        <w:rPr>
          <w:rFonts w:ascii="Garamond" w:hAnsi="Garamond"/>
          <w:sz w:val="24"/>
          <w:szCs w:val="24"/>
        </w:rPr>
        <w:t xml:space="preserve"> and </w:t>
      </w:r>
      <w:r w:rsidR="00F01AA1" w:rsidRPr="00E47A79">
        <w:rPr>
          <w:rFonts w:ascii="Garamond" w:hAnsi="Garamond"/>
          <w:sz w:val="24"/>
          <w:szCs w:val="24"/>
        </w:rPr>
        <w:t>c</w:t>
      </w:r>
      <w:r w:rsidR="00CE2C8E" w:rsidRPr="00E47A79">
        <w:rPr>
          <w:rFonts w:ascii="Garamond" w:hAnsi="Garamond"/>
          <w:sz w:val="24"/>
          <w:szCs w:val="24"/>
        </w:rPr>
        <w:t xml:space="preserve">) </w:t>
      </w:r>
      <w:r w:rsidR="00BA4968" w:rsidRPr="00E47A79">
        <w:rPr>
          <w:rFonts w:ascii="Garamond" w:hAnsi="Garamond"/>
          <w:sz w:val="24"/>
          <w:szCs w:val="24"/>
        </w:rPr>
        <w:t xml:space="preserve">whether the opinion itself is reasonable and </w:t>
      </w:r>
      <w:r w:rsidR="00BA4968" w:rsidRPr="00E47A79">
        <w:rPr>
          <w:rFonts w:ascii="Garamond" w:hAnsi="Garamond"/>
          <w:i/>
          <w:iCs/>
          <w:sz w:val="24"/>
          <w:szCs w:val="24"/>
        </w:rPr>
        <w:t>logical</w:t>
      </w:r>
      <w:r w:rsidR="00BA4968" w:rsidRPr="00E47A79">
        <w:rPr>
          <w:rFonts w:ascii="Garamond" w:hAnsi="Garamond"/>
          <w:sz w:val="24"/>
          <w:szCs w:val="24"/>
        </w:rPr>
        <w:t>. In determining logic</w:t>
      </w:r>
      <w:r w:rsidR="00E51BEC" w:rsidRPr="00E47A79">
        <w:rPr>
          <w:rFonts w:ascii="Garamond" w:hAnsi="Garamond"/>
          <w:sz w:val="24"/>
          <w:szCs w:val="24"/>
        </w:rPr>
        <w:t>ality</w:t>
      </w:r>
      <w:r w:rsidR="00BA4968" w:rsidRPr="00E47A79">
        <w:rPr>
          <w:rFonts w:ascii="Garamond" w:hAnsi="Garamond"/>
          <w:sz w:val="24"/>
          <w:szCs w:val="24"/>
        </w:rPr>
        <w:t xml:space="preserve">, the court must assess </w:t>
      </w:r>
      <w:r w:rsidR="00644B33">
        <w:rPr>
          <w:rFonts w:ascii="Garamond" w:hAnsi="Garamond"/>
          <w:sz w:val="24"/>
          <w:szCs w:val="24"/>
        </w:rPr>
        <w:t>expert opinion</w:t>
      </w:r>
      <w:r w:rsidR="00BA4968" w:rsidRPr="00E47A79">
        <w:rPr>
          <w:rFonts w:ascii="Garamond" w:hAnsi="Garamond"/>
          <w:sz w:val="24"/>
          <w:szCs w:val="24"/>
        </w:rPr>
        <w:t xml:space="preserve"> against the other evidence presented in the case and check for internal consistency.</w:t>
      </w:r>
      <w:r w:rsidR="00BA4968" w:rsidRPr="00E47A79">
        <w:rPr>
          <w:rFonts w:ascii="Garamond" w:hAnsi="Garamond"/>
          <w:sz w:val="24"/>
          <w:szCs w:val="24"/>
          <w:vertAlign w:val="superscript"/>
        </w:rPr>
        <w:footnoteReference w:id="208"/>
      </w:r>
      <w:r w:rsidR="00BA4968" w:rsidRPr="00E47A79">
        <w:rPr>
          <w:rFonts w:ascii="Garamond" w:hAnsi="Garamond"/>
          <w:sz w:val="24"/>
          <w:szCs w:val="24"/>
        </w:rPr>
        <w:t xml:space="preserve"> </w:t>
      </w:r>
      <w:r w:rsidR="00CE2C8E" w:rsidRPr="00E47A79">
        <w:rPr>
          <w:rFonts w:ascii="Garamond" w:hAnsi="Garamond"/>
          <w:sz w:val="24"/>
          <w:szCs w:val="24"/>
        </w:rPr>
        <w:t>The</w:t>
      </w:r>
      <w:r w:rsidR="001A7304" w:rsidRPr="00E47A79">
        <w:rPr>
          <w:rFonts w:ascii="Garamond" w:hAnsi="Garamond"/>
          <w:sz w:val="24"/>
          <w:szCs w:val="24"/>
        </w:rPr>
        <w:t>se</w:t>
      </w:r>
      <w:r w:rsidR="00CE2C8E" w:rsidRPr="00E47A79">
        <w:rPr>
          <w:rFonts w:ascii="Garamond" w:hAnsi="Garamond"/>
          <w:sz w:val="24"/>
          <w:szCs w:val="24"/>
        </w:rPr>
        <w:t xml:space="preserve"> three components of ‘appropriateness, ‘responsibleness’ and ‘logicality’ </w:t>
      </w:r>
      <w:r w:rsidR="00C664C9" w:rsidRPr="00E47A79">
        <w:rPr>
          <w:rFonts w:ascii="Garamond" w:hAnsi="Garamond"/>
          <w:sz w:val="24"/>
          <w:szCs w:val="24"/>
        </w:rPr>
        <w:t xml:space="preserve">shape </w:t>
      </w:r>
      <w:r w:rsidR="00CE2C8E" w:rsidRPr="00E47A79">
        <w:rPr>
          <w:rFonts w:ascii="Garamond" w:hAnsi="Garamond"/>
          <w:sz w:val="24"/>
          <w:szCs w:val="24"/>
        </w:rPr>
        <w:t>th</w:t>
      </w:r>
      <w:r w:rsidR="00F01AA1" w:rsidRPr="00E47A79">
        <w:rPr>
          <w:rFonts w:ascii="Garamond" w:hAnsi="Garamond"/>
          <w:sz w:val="24"/>
          <w:szCs w:val="24"/>
        </w:rPr>
        <w:t>e following</w:t>
      </w:r>
      <w:r w:rsidR="00C06F94" w:rsidRPr="00E47A79">
        <w:rPr>
          <w:rFonts w:ascii="Garamond" w:hAnsi="Garamond"/>
          <w:sz w:val="24"/>
          <w:szCs w:val="24"/>
        </w:rPr>
        <w:t xml:space="preserve"> analysis of </w:t>
      </w:r>
      <w:r w:rsidR="00AC0D9B" w:rsidRPr="00E47A79">
        <w:rPr>
          <w:rFonts w:ascii="Garamond" w:hAnsi="Garamond"/>
          <w:sz w:val="24"/>
          <w:szCs w:val="24"/>
        </w:rPr>
        <w:t>how the standard of care might</w:t>
      </w:r>
      <w:r w:rsidR="003A3172" w:rsidRPr="00E47A79">
        <w:rPr>
          <w:rFonts w:ascii="Garamond" w:hAnsi="Garamond"/>
          <w:sz w:val="24"/>
          <w:szCs w:val="24"/>
        </w:rPr>
        <w:t xml:space="preserve"> be</w:t>
      </w:r>
      <w:r w:rsidR="00AC0D9B" w:rsidRPr="00E47A79">
        <w:rPr>
          <w:rFonts w:ascii="Garamond" w:hAnsi="Garamond"/>
          <w:sz w:val="24"/>
          <w:szCs w:val="24"/>
        </w:rPr>
        <w:t xml:space="preserve"> assessed for </w:t>
      </w:r>
      <w:r w:rsidR="00C06F94" w:rsidRPr="00E47A79">
        <w:rPr>
          <w:rFonts w:ascii="Garamond" w:hAnsi="Garamond"/>
          <w:sz w:val="24"/>
          <w:szCs w:val="24"/>
        </w:rPr>
        <w:t>pioneering prescribers</w:t>
      </w:r>
      <w:r w:rsidR="00CE2C8E" w:rsidRPr="00E47A79">
        <w:rPr>
          <w:rFonts w:ascii="Garamond" w:hAnsi="Garamond"/>
          <w:sz w:val="24"/>
          <w:szCs w:val="24"/>
        </w:rPr>
        <w:t xml:space="preserve">. </w:t>
      </w:r>
    </w:p>
    <w:p w14:paraId="67E1337B" w14:textId="3A7B3EC6" w:rsidR="00187BE4" w:rsidRPr="00E47A79" w:rsidRDefault="00E86A14" w:rsidP="00E86A14">
      <w:pPr>
        <w:spacing w:line="360" w:lineRule="auto"/>
        <w:jc w:val="center"/>
        <w:rPr>
          <w:rFonts w:ascii="Garamond" w:hAnsi="Garamond"/>
          <w:i/>
          <w:iCs/>
          <w:sz w:val="24"/>
          <w:szCs w:val="24"/>
        </w:rPr>
      </w:pPr>
      <w:r w:rsidRPr="00E47A79">
        <w:rPr>
          <w:rFonts w:ascii="Garamond" w:hAnsi="Garamond"/>
          <w:i/>
          <w:iCs/>
          <w:sz w:val="24"/>
          <w:szCs w:val="24"/>
        </w:rPr>
        <w:t xml:space="preserve">A. </w:t>
      </w:r>
      <w:r w:rsidR="00B52096" w:rsidRPr="00E47A79">
        <w:rPr>
          <w:rFonts w:ascii="Garamond" w:hAnsi="Garamond"/>
          <w:i/>
          <w:iCs/>
          <w:sz w:val="24"/>
          <w:szCs w:val="24"/>
        </w:rPr>
        <w:t>Identifying the support of</w:t>
      </w:r>
      <w:r w:rsidR="00187BE4" w:rsidRPr="00E47A79">
        <w:rPr>
          <w:rFonts w:ascii="Garamond" w:hAnsi="Garamond"/>
          <w:i/>
          <w:iCs/>
          <w:sz w:val="24"/>
          <w:szCs w:val="24"/>
        </w:rPr>
        <w:t xml:space="preserve"> a</w:t>
      </w:r>
      <w:r w:rsidR="00B33C8D" w:rsidRPr="00E47A79">
        <w:rPr>
          <w:rFonts w:ascii="Garamond" w:hAnsi="Garamond"/>
          <w:i/>
          <w:iCs/>
          <w:sz w:val="24"/>
          <w:szCs w:val="24"/>
        </w:rPr>
        <w:t>n ‘appropriate</w:t>
      </w:r>
      <w:r w:rsidR="00187BE4" w:rsidRPr="00E47A79">
        <w:rPr>
          <w:rFonts w:ascii="Garamond" w:hAnsi="Garamond"/>
          <w:i/>
          <w:iCs/>
          <w:sz w:val="24"/>
          <w:szCs w:val="24"/>
        </w:rPr>
        <w:t xml:space="preserve"> body’ of </w:t>
      </w:r>
      <w:proofErr w:type="gramStart"/>
      <w:r w:rsidR="00187BE4" w:rsidRPr="00E47A79">
        <w:rPr>
          <w:rFonts w:ascii="Garamond" w:hAnsi="Garamond"/>
          <w:i/>
          <w:iCs/>
          <w:sz w:val="24"/>
          <w:szCs w:val="24"/>
        </w:rPr>
        <w:t>opinion</w:t>
      </w:r>
      <w:proofErr w:type="gramEnd"/>
    </w:p>
    <w:p w14:paraId="247B1909" w14:textId="195BB02D" w:rsidR="00CF49FF" w:rsidRPr="00E47A79" w:rsidRDefault="00B66447" w:rsidP="00631A14">
      <w:pPr>
        <w:autoSpaceDE w:val="0"/>
        <w:autoSpaceDN w:val="0"/>
        <w:adjustRightInd w:val="0"/>
        <w:spacing w:after="0" w:line="360" w:lineRule="auto"/>
        <w:rPr>
          <w:rFonts w:ascii="Garamond" w:hAnsi="Garamond"/>
          <w:sz w:val="24"/>
          <w:szCs w:val="24"/>
        </w:rPr>
      </w:pPr>
      <w:r w:rsidRPr="00E47A79">
        <w:rPr>
          <w:rFonts w:ascii="Garamond" w:hAnsi="Garamond"/>
          <w:sz w:val="24"/>
          <w:szCs w:val="24"/>
        </w:rPr>
        <w:t>First, how easy would it be to find an ‘appropriate body’ of opinion to express support for prescribing unlicensed CBMPs without positive RCT evidence</w:t>
      </w:r>
      <w:r w:rsidR="00F01AA1" w:rsidRPr="00E47A79">
        <w:rPr>
          <w:rFonts w:ascii="Garamond" w:hAnsi="Garamond"/>
          <w:sz w:val="24"/>
          <w:szCs w:val="24"/>
        </w:rPr>
        <w:t>,</w:t>
      </w:r>
      <w:r w:rsidRPr="00E47A79">
        <w:rPr>
          <w:rFonts w:ascii="Garamond" w:hAnsi="Garamond"/>
          <w:sz w:val="24"/>
          <w:szCs w:val="24"/>
        </w:rPr>
        <w:t xml:space="preserve"> against </w:t>
      </w:r>
      <w:r w:rsidR="00F01AA1" w:rsidRPr="00E47A79">
        <w:rPr>
          <w:rFonts w:ascii="Garamond" w:hAnsi="Garamond"/>
          <w:sz w:val="24"/>
          <w:szCs w:val="24"/>
        </w:rPr>
        <w:t>the</w:t>
      </w:r>
      <w:r w:rsidRPr="00E47A79">
        <w:rPr>
          <w:rFonts w:ascii="Garamond" w:hAnsi="Garamond"/>
          <w:sz w:val="24"/>
          <w:szCs w:val="24"/>
        </w:rPr>
        <w:t xml:space="preserve"> backdrop of interim guidance</w:t>
      </w:r>
      <w:r w:rsidR="00F01AA1" w:rsidRPr="00E47A79">
        <w:rPr>
          <w:rFonts w:ascii="Garamond" w:hAnsi="Garamond"/>
          <w:sz w:val="24"/>
          <w:szCs w:val="24"/>
        </w:rPr>
        <w:t xml:space="preserve"> which is</w:t>
      </w:r>
      <w:r w:rsidRPr="00E47A79">
        <w:rPr>
          <w:rFonts w:ascii="Garamond" w:hAnsi="Garamond"/>
          <w:sz w:val="24"/>
          <w:szCs w:val="24"/>
        </w:rPr>
        <w:t xml:space="preserve"> steeped in </w:t>
      </w:r>
      <w:r w:rsidR="00941C11" w:rsidRPr="00E47A79">
        <w:rPr>
          <w:rFonts w:ascii="Garamond" w:hAnsi="Garamond"/>
          <w:sz w:val="24"/>
          <w:szCs w:val="24"/>
        </w:rPr>
        <w:t>the language</w:t>
      </w:r>
      <w:r w:rsidRPr="00E47A79">
        <w:rPr>
          <w:rFonts w:ascii="Garamond" w:hAnsi="Garamond"/>
          <w:sz w:val="24"/>
          <w:szCs w:val="24"/>
        </w:rPr>
        <w:t xml:space="preserve"> of ‘last resort’ and safety and efficacy concerns? </w:t>
      </w:r>
      <w:r w:rsidR="00CF49FF" w:rsidRPr="00E47A79">
        <w:rPr>
          <w:rFonts w:ascii="Garamond" w:hAnsi="Garamond"/>
          <w:sz w:val="24"/>
          <w:szCs w:val="24"/>
        </w:rPr>
        <w:t>As the standard of care is fixed according to the specialty being exercised at the time of the alleged negligence,</w:t>
      </w:r>
      <w:r w:rsidR="00CF49FF" w:rsidRPr="00E47A79">
        <w:rPr>
          <w:rStyle w:val="FootnoteReference"/>
          <w:rFonts w:ascii="Garamond" w:hAnsi="Garamond"/>
          <w:sz w:val="24"/>
          <w:szCs w:val="24"/>
        </w:rPr>
        <w:footnoteReference w:id="209"/>
      </w:r>
      <w:r w:rsidR="00CF49FF" w:rsidRPr="00E47A79">
        <w:rPr>
          <w:rFonts w:ascii="Garamond" w:hAnsi="Garamond"/>
          <w:sz w:val="24"/>
          <w:szCs w:val="24"/>
        </w:rPr>
        <w:t xml:space="preserve"> </w:t>
      </w:r>
      <w:r w:rsidR="00B51EE8" w:rsidRPr="00E47A79">
        <w:rPr>
          <w:rFonts w:ascii="Garamond" w:hAnsi="Garamond"/>
          <w:sz w:val="24"/>
          <w:szCs w:val="24"/>
        </w:rPr>
        <w:t xml:space="preserve">and </w:t>
      </w:r>
      <w:r w:rsidR="00CF49FF" w:rsidRPr="00E47A79">
        <w:rPr>
          <w:rFonts w:ascii="Garamond" w:hAnsi="Garamond"/>
          <w:sz w:val="24"/>
          <w:szCs w:val="24"/>
        </w:rPr>
        <w:t xml:space="preserve">prescribing is </w:t>
      </w:r>
      <w:r w:rsidR="005E3258" w:rsidRPr="00E47A79">
        <w:rPr>
          <w:rFonts w:ascii="Garamond" w:hAnsi="Garamond"/>
          <w:sz w:val="24"/>
          <w:szCs w:val="24"/>
        </w:rPr>
        <w:t xml:space="preserve">in the main </w:t>
      </w:r>
      <w:r w:rsidR="00CF49FF" w:rsidRPr="00E47A79">
        <w:rPr>
          <w:rFonts w:ascii="Garamond" w:hAnsi="Garamond"/>
          <w:sz w:val="24"/>
          <w:szCs w:val="24"/>
        </w:rPr>
        <w:t>restricted to consultants,</w:t>
      </w:r>
      <w:r w:rsidR="00E51BEC" w:rsidRPr="00E47A79">
        <w:rPr>
          <w:rStyle w:val="FootnoteReference"/>
          <w:rFonts w:ascii="Garamond" w:hAnsi="Garamond"/>
          <w:sz w:val="24"/>
          <w:szCs w:val="24"/>
        </w:rPr>
        <w:footnoteReference w:id="210"/>
      </w:r>
      <w:r w:rsidR="00CF49FF" w:rsidRPr="00E47A79">
        <w:rPr>
          <w:rFonts w:ascii="Garamond" w:hAnsi="Garamond"/>
          <w:sz w:val="24"/>
          <w:szCs w:val="24"/>
        </w:rPr>
        <w:t xml:space="preserve"> we would expect the ‘appropriate’ expertise to come from other consultants</w:t>
      </w:r>
      <w:r w:rsidR="00E55491" w:rsidRPr="00E47A79">
        <w:rPr>
          <w:rFonts w:ascii="Garamond" w:hAnsi="Garamond"/>
          <w:sz w:val="24"/>
          <w:szCs w:val="24"/>
        </w:rPr>
        <w:t xml:space="preserve"> </w:t>
      </w:r>
      <w:r w:rsidR="00CF49FF" w:rsidRPr="00E47A79">
        <w:rPr>
          <w:rFonts w:ascii="Garamond" w:hAnsi="Garamond"/>
          <w:sz w:val="24"/>
          <w:szCs w:val="24"/>
        </w:rPr>
        <w:t>in that field of medicine</w:t>
      </w:r>
      <w:r w:rsidR="00E55491" w:rsidRPr="00E47A79">
        <w:rPr>
          <w:rFonts w:ascii="Garamond" w:hAnsi="Garamond"/>
          <w:sz w:val="24"/>
          <w:szCs w:val="24"/>
        </w:rPr>
        <w:t xml:space="preserve"> who work with patients with similar conditions</w:t>
      </w:r>
      <w:r w:rsidR="00CF49FF" w:rsidRPr="00E47A79">
        <w:rPr>
          <w:rFonts w:ascii="Garamond" w:hAnsi="Garamond"/>
          <w:sz w:val="24"/>
          <w:szCs w:val="24"/>
        </w:rPr>
        <w:t>. However</w:t>
      </w:r>
      <w:r w:rsidR="005E3258" w:rsidRPr="00E47A79">
        <w:rPr>
          <w:rFonts w:ascii="Garamond" w:hAnsi="Garamond"/>
          <w:sz w:val="24"/>
          <w:szCs w:val="24"/>
        </w:rPr>
        <w:t>,</w:t>
      </w:r>
      <w:r w:rsidR="00CF49FF" w:rsidRPr="00E47A79">
        <w:rPr>
          <w:rFonts w:ascii="Garamond" w:hAnsi="Garamond"/>
          <w:sz w:val="24"/>
          <w:szCs w:val="24"/>
        </w:rPr>
        <w:t xml:space="preserve"> </w:t>
      </w:r>
      <w:r w:rsidR="00E76595" w:rsidRPr="00E47A79">
        <w:rPr>
          <w:rFonts w:ascii="Garamond" w:hAnsi="Garamond"/>
          <w:sz w:val="24"/>
          <w:szCs w:val="24"/>
        </w:rPr>
        <w:t xml:space="preserve">it can be argued that truly ‘appropriate’ expertise should also be sourced from those with expertise in </w:t>
      </w:r>
      <w:r w:rsidR="00CF49FF" w:rsidRPr="00E47A79">
        <w:rPr>
          <w:rFonts w:ascii="Garamond" w:hAnsi="Garamond"/>
          <w:sz w:val="24"/>
          <w:szCs w:val="24"/>
        </w:rPr>
        <w:t>medicinal cannabis prescribing</w:t>
      </w:r>
      <w:r w:rsidR="00E76595" w:rsidRPr="00E47A79">
        <w:rPr>
          <w:rFonts w:ascii="Garamond" w:hAnsi="Garamond"/>
          <w:sz w:val="24"/>
          <w:szCs w:val="24"/>
        </w:rPr>
        <w:t xml:space="preserve"> specifically.</w:t>
      </w:r>
      <w:r w:rsidR="00E55491" w:rsidRPr="00E47A79">
        <w:rPr>
          <w:rFonts w:ascii="Garamond" w:hAnsi="Garamond"/>
          <w:sz w:val="24"/>
          <w:szCs w:val="24"/>
        </w:rPr>
        <w:t xml:space="preserve"> </w:t>
      </w:r>
    </w:p>
    <w:p w14:paraId="3446B59E" w14:textId="77777777" w:rsidR="00CF49FF" w:rsidRPr="00E47A79" w:rsidRDefault="00CF49FF" w:rsidP="00631A14">
      <w:pPr>
        <w:autoSpaceDE w:val="0"/>
        <w:autoSpaceDN w:val="0"/>
        <w:adjustRightInd w:val="0"/>
        <w:spacing w:after="0" w:line="360" w:lineRule="auto"/>
        <w:rPr>
          <w:rFonts w:ascii="Garamond" w:hAnsi="Garamond"/>
          <w:sz w:val="24"/>
          <w:szCs w:val="24"/>
        </w:rPr>
      </w:pPr>
    </w:p>
    <w:p w14:paraId="3348B126" w14:textId="18AC06D1" w:rsidR="004C3F0A" w:rsidRPr="00E47A79" w:rsidRDefault="008073FB" w:rsidP="00631A14">
      <w:pPr>
        <w:autoSpaceDE w:val="0"/>
        <w:autoSpaceDN w:val="0"/>
        <w:adjustRightInd w:val="0"/>
        <w:spacing w:after="0" w:line="360" w:lineRule="auto"/>
        <w:rPr>
          <w:rFonts w:ascii="Garamond" w:hAnsi="Garamond"/>
          <w:sz w:val="24"/>
          <w:szCs w:val="24"/>
        </w:rPr>
      </w:pPr>
      <w:r w:rsidRPr="00E47A79">
        <w:rPr>
          <w:rFonts w:ascii="Garamond" w:hAnsi="Garamond"/>
          <w:sz w:val="24"/>
          <w:szCs w:val="24"/>
        </w:rPr>
        <w:t>Cannabis medicine</w:t>
      </w:r>
      <w:r w:rsidR="00A03C3A" w:rsidRPr="00E47A79">
        <w:rPr>
          <w:rFonts w:ascii="Garamond" w:hAnsi="Garamond"/>
          <w:sz w:val="24"/>
          <w:szCs w:val="24"/>
        </w:rPr>
        <w:t xml:space="preserve"> is a developing field and as the </w:t>
      </w:r>
      <w:r w:rsidR="00E51BEC" w:rsidRPr="00E47A79">
        <w:rPr>
          <w:rFonts w:ascii="Garamond" w:hAnsi="Garamond"/>
          <w:sz w:val="24"/>
          <w:szCs w:val="24"/>
        </w:rPr>
        <w:t>prescriber</w:t>
      </w:r>
      <w:r w:rsidR="00A03C3A" w:rsidRPr="00E47A79">
        <w:rPr>
          <w:rFonts w:ascii="Garamond" w:hAnsi="Garamond"/>
          <w:sz w:val="24"/>
          <w:szCs w:val="24"/>
        </w:rPr>
        <w:t xml:space="preserve"> is expected to be neither ‘polymath’ or ‘prophet’</w:t>
      </w:r>
      <w:r w:rsidR="00A03C3A" w:rsidRPr="00E47A79">
        <w:rPr>
          <w:rStyle w:val="FootnoteReference"/>
          <w:rFonts w:ascii="Garamond" w:hAnsi="Garamond"/>
          <w:sz w:val="24"/>
          <w:szCs w:val="24"/>
        </w:rPr>
        <w:footnoteReference w:id="211"/>
      </w:r>
      <w:r w:rsidR="00A03C3A" w:rsidRPr="00E47A79">
        <w:rPr>
          <w:rFonts w:ascii="Garamond" w:hAnsi="Garamond"/>
          <w:sz w:val="24"/>
          <w:szCs w:val="24"/>
        </w:rPr>
        <w:t>,</w:t>
      </w:r>
      <w:r w:rsidR="00716491" w:rsidRPr="00E47A79">
        <w:rPr>
          <w:rFonts w:ascii="Garamond" w:hAnsi="Garamond"/>
          <w:sz w:val="24"/>
          <w:szCs w:val="24"/>
        </w:rPr>
        <w:t xml:space="preserve"> </w:t>
      </w:r>
      <w:r w:rsidR="00A03C3A" w:rsidRPr="00E47A79">
        <w:rPr>
          <w:rFonts w:ascii="Garamond" w:hAnsi="Garamond"/>
          <w:sz w:val="24"/>
          <w:szCs w:val="24"/>
        </w:rPr>
        <w:t xml:space="preserve">hindsight bias </w:t>
      </w:r>
      <w:r w:rsidR="00716491" w:rsidRPr="00E47A79">
        <w:rPr>
          <w:rFonts w:ascii="Garamond" w:hAnsi="Garamond"/>
          <w:sz w:val="24"/>
          <w:szCs w:val="24"/>
        </w:rPr>
        <w:t>should</w:t>
      </w:r>
      <w:r w:rsidR="00A03C3A" w:rsidRPr="00E47A79">
        <w:rPr>
          <w:rFonts w:ascii="Garamond" w:hAnsi="Garamond"/>
          <w:sz w:val="24"/>
          <w:szCs w:val="24"/>
        </w:rPr>
        <w:t xml:space="preserve"> be avoided. </w:t>
      </w:r>
      <w:r w:rsidR="00187BE4" w:rsidRPr="00E47A79">
        <w:rPr>
          <w:rFonts w:ascii="Garamond" w:hAnsi="Garamond"/>
          <w:sz w:val="24"/>
          <w:szCs w:val="24"/>
        </w:rPr>
        <w:t xml:space="preserve">The past </w:t>
      </w:r>
      <w:r w:rsidR="00644B33">
        <w:rPr>
          <w:rFonts w:ascii="Garamond" w:hAnsi="Garamond"/>
          <w:sz w:val="24"/>
          <w:szCs w:val="24"/>
        </w:rPr>
        <w:t xml:space="preserve">two </w:t>
      </w:r>
      <w:r w:rsidR="00187BE4" w:rsidRPr="00E47A79">
        <w:rPr>
          <w:rFonts w:ascii="Garamond" w:hAnsi="Garamond"/>
          <w:sz w:val="24"/>
          <w:szCs w:val="24"/>
        </w:rPr>
        <w:t>year</w:t>
      </w:r>
      <w:r w:rsidR="00644B33">
        <w:rPr>
          <w:rFonts w:ascii="Garamond" w:hAnsi="Garamond"/>
          <w:sz w:val="24"/>
          <w:szCs w:val="24"/>
        </w:rPr>
        <w:t>s</w:t>
      </w:r>
      <w:r w:rsidR="00E86A14" w:rsidRPr="00E47A79">
        <w:rPr>
          <w:rFonts w:ascii="Garamond" w:hAnsi="Garamond"/>
          <w:sz w:val="24"/>
          <w:szCs w:val="24"/>
        </w:rPr>
        <w:t xml:space="preserve"> h</w:t>
      </w:r>
      <w:r w:rsidR="00187BE4" w:rsidRPr="00E47A79">
        <w:rPr>
          <w:rFonts w:ascii="Garamond" w:hAnsi="Garamond"/>
          <w:sz w:val="24"/>
          <w:szCs w:val="24"/>
        </w:rPr>
        <w:t xml:space="preserve">as seen </w:t>
      </w:r>
      <w:r w:rsidR="005E3258" w:rsidRPr="00E47A79">
        <w:rPr>
          <w:rFonts w:ascii="Garamond" w:hAnsi="Garamond"/>
          <w:sz w:val="24"/>
          <w:szCs w:val="24"/>
        </w:rPr>
        <w:t xml:space="preserve">the opening of </w:t>
      </w:r>
      <w:proofErr w:type="gramStart"/>
      <w:r w:rsidR="00187BE4" w:rsidRPr="00E47A79">
        <w:rPr>
          <w:rFonts w:ascii="Garamond" w:hAnsi="Garamond"/>
          <w:sz w:val="24"/>
          <w:szCs w:val="24"/>
        </w:rPr>
        <w:t>a number of</w:t>
      </w:r>
      <w:proofErr w:type="gramEnd"/>
      <w:r w:rsidR="00187BE4" w:rsidRPr="00E47A79">
        <w:rPr>
          <w:rFonts w:ascii="Garamond" w:hAnsi="Garamond"/>
          <w:sz w:val="24"/>
          <w:szCs w:val="24"/>
        </w:rPr>
        <w:t xml:space="preserve"> private clinics in the UK employ</w:t>
      </w:r>
      <w:r w:rsidRPr="00E47A79">
        <w:rPr>
          <w:rFonts w:ascii="Garamond" w:hAnsi="Garamond"/>
          <w:sz w:val="24"/>
          <w:szCs w:val="24"/>
        </w:rPr>
        <w:t>ing</w:t>
      </w:r>
      <w:r w:rsidR="00187BE4" w:rsidRPr="00E47A79">
        <w:rPr>
          <w:rFonts w:ascii="Garamond" w:hAnsi="Garamond"/>
          <w:sz w:val="24"/>
          <w:szCs w:val="24"/>
        </w:rPr>
        <w:t xml:space="preserve"> the services of consultants in rheumatology, chronic pain</w:t>
      </w:r>
      <w:r w:rsidR="00B15581" w:rsidRPr="00E47A79">
        <w:rPr>
          <w:rFonts w:ascii="Garamond" w:hAnsi="Garamond"/>
          <w:sz w:val="24"/>
          <w:szCs w:val="24"/>
        </w:rPr>
        <w:t xml:space="preserve"> and </w:t>
      </w:r>
      <w:r w:rsidR="00187BE4" w:rsidRPr="00E47A79">
        <w:rPr>
          <w:rFonts w:ascii="Garamond" w:hAnsi="Garamond"/>
          <w:sz w:val="24"/>
          <w:szCs w:val="24"/>
        </w:rPr>
        <w:t>neurology who are trained, experienced and willing to prescribe medicinal cannabis in appropriate cases.</w:t>
      </w:r>
      <w:r w:rsidR="00187BE4" w:rsidRPr="00E47A79">
        <w:rPr>
          <w:rFonts w:ascii="Garamond" w:hAnsi="Garamond"/>
          <w:sz w:val="24"/>
          <w:szCs w:val="24"/>
          <w:vertAlign w:val="superscript"/>
        </w:rPr>
        <w:footnoteReference w:id="212"/>
      </w:r>
      <w:r w:rsidR="00187BE4" w:rsidRPr="00E47A79">
        <w:rPr>
          <w:rFonts w:ascii="Garamond" w:hAnsi="Garamond"/>
          <w:sz w:val="24"/>
          <w:szCs w:val="24"/>
        </w:rPr>
        <w:t xml:space="preserve"> It therefore seems likely that consultants </w:t>
      </w:r>
      <w:r w:rsidR="00E8194D" w:rsidRPr="00E47A79">
        <w:rPr>
          <w:rFonts w:ascii="Garamond" w:hAnsi="Garamond"/>
          <w:sz w:val="24"/>
          <w:szCs w:val="24"/>
        </w:rPr>
        <w:t xml:space="preserve">could </w:t>
      </w:r>
      <w:r w:rsidR="00012F73" w:rsidRPr="00E47A79">
        <w:rPr>
          <w:rFonts w:ascii="Garamond" w:hAnsi="Garamond"/>
          <w:sz w:val="24"/>
          <w:szCs w:val="24"/>
        </w:rPr>
        <w:t xml:space="preserve">readily </w:t>
      </w:r>
      <w:r w:rsidR="00E8194D" w:rsidRPr="00E47A79">
        <w:rPr>
          <w:rFonts w:ascii="Garamond" w:hAnsi="Garamond"/>
          <w:sz w:val="24"/>
          <w:szCs w:val="24"/>
        </w:rPr>
        <w:t xml:space="preserve">be identified </w:t>
      </w:r>
      <w:r w:rsidR="00012F73" w:rsidRPr="00E47A79">
        <w:rPr>
          <w:rFonts w:ascii="Garamond" w:hAnsi="Garamond"/>
          <w:sz w:val="24"/>
          <w:szCs w:val="24"/>
        </w:rPr>
        <w:t xml:space="preserve">through clinic webpages </w:t>
      </w:r>
      <w:r w:rsidR="00187BE4" w:rsidRPr="00E47A79">
        <w:rPr>
          <w:rFonts w:ascii="Garamond" w:hAnsi="Garamond"/>
          <w:sz w:val="24"/>
          <w:szCs w:val="24"/>
        </w:rPr>
        <w:t>who would support its use</w:t>
      </w:r>
      <w:r w:rsidR="00E55491" w:rsidRPr="00E47A79">
        <w:rPr>
          <w:rFonts w:ascii="Garamond" w:hAnsi="Garamond"/>
          <w:sz w:val="24"/>
          <w:szCs w:val="24"/>
        </w:rPr>
        <w:t xml:space="preserve"> in a variety of conditions</w:t>
      </w:r>
      <w:r w:rsidR="00187BE4" w:rsidRPr="00E47A79">
        <w:rPr>
          <w:rFonts w:ascii="Garamond" w:hAnsi="Garamond"/>
          <w:sz w:val="24"/>
          <w:szCs w:val="24"/>
        </w:rPr>
        <w:t>.</w:t>
      </w:r>
      <w:r w:rsidR="004C3F0A" w:rsidRPr="00E47A79">
        <w:rPr>
          <w:rFonts w:ascii="Garamond" w:hAnsi="Garamond"/>
          <w:sz w:val="24"/>
          <w:szCs w:val="24"/>
        </w:rPr>
        <w:t xml:space="preserve"> </w:t>
      </w:r>
      <w:r w:rsidR="00E55491" w:rsidRPr="00E47A79">
        <w:rPr>
          <w:rFonts w:ascii="Garamond" w:hAnsi="Garamond"/>
          <w:sz w:val="24"/>
          <w:szCs w:val="24"/>
        </w:rPr>
        <w:t xml:space="preserve">A condition of clinics obtaining Care Quality Commission registration </w:t>
      </w:r>
      <w:r w:rsidR="00A00E2A" w:rsidRPr="00E47A79">
        <w:rPr>
          <w:rFonts w:ascii="Garamond" w:hAnsi="Garamond"/>
          <w:sz w:val="24"/>
          <w:szCs w:val="24"/>
        </w:rPr>
        <w:t>for providing access to medicinal cannabis</w:t>
      </w:r>
      <w:r w:rsidR="00504886" w:rsidRPr="00E47A79">
        <w:rPr>
          <w:rFonts w:ascii="Garamond" w:hAnsi="Garamond"/>
          <w:sz w:val="24"/>
          <w:szCs w:val="24"/>
        </w:rPr>
        <w:t>,</w:t>
      </w:r>
      <w:r w:rsidR="00A00E2A" w:rsidRPr="00E47A79">
        <w:rPr>
          <w:rStyle w:val="FootnoteReference"/>
          <w:rFonts w:ascii="Garamond" w:hAnsi="Garamond"/>
          <w:sz w:val="24"/>
          <w:szCs w:val="24"/>
        </w:rPr>
        <w:footnoteReference w:id="213"/>
      </w:r>
      <w:r w:rsidR="004C3F0A" w:rsidRPr="00E47A79">
        <w:rPr>
          <w:rFonts w:ascii="Garamond" w:hAnsi="Garamond"/>
          <w:sz w:val="24"/>
          <w:szCs w:val="24"/>
        </w:rPr>
        <w:t xml:space="preserve"> </w:t>
      </w:r>
      <w:r w:rsidR="00111C66" w:rsidRPr="00E47A79">
        <w:rPr>
          <w:rFonts w:ascii="Garamond" w:hAnsi="Garamond"/>
          <w:sz w:val="24"/>
          <w:szCs w:val="24"/>
        </w:rPr>
        <w:t>is that the</w:t>
      </w:r>
      <w:r w:rsidR="00E55491" w:rsidRPr="00E47A79">
        <w:rPr>
          <w:rFonts w:ascii="Garamond" w:hAnsi="Garamond"/>
          <w:sz w:val="24"/>
          <w:szCs w:val="24"/>
        </w:rPr>
        <w:t>y</w:t>
      </w:r>
      <w:r w:rsidR="00111C66" w:rsidRPr="00E47A79">
        <w:rPr>
          <w:rFonts w:ascii="Garamond" w:hAnsi="Garamond"/>
          <w:sz w:val="24"/>
          <w:szCs w:val="24"/>
        </w:rPr>
        <w:t xml:space="preserve"> use a</w:t>
      </w:r>
      <w:r w:rsidR="00816277" w:rsidRPr="00E47A79">
        <w:rPr>
          <w:rFonts w:ascii="Garamond" w:hAnsi="Garamond"/>
          <w:sz w:val="24"/>
          <w:szCs w:val="24"/>
        </w:rPr>
        <w:t xml:space="preserve"> governance mechanism equivalent to those in NHS </w:t>
      </w:r>
      <w:r w:rsidR="00816277" w:rsidRPr="00E47A79">
        <w:rPr>
          <w:rFonts w:ascii="Garamond" w:hAnsi="Garamond"/>
          <w:sz w:val="24"/>
          <w:szCs w:val="24"/>
        </w:rPr>
        <w:lastRenderedPageBreak/>
        <w:t>setting</w:t>
      </w:r>
      <w:r w:rsidR="00A73737" w:rsidRPr="00E47A79">
        <w:rPr>
          <w:rFonts w:ascii="Garamond" w:hAnsi="Garamond"/>
          <w:sz w:val="24"/>
          <w:szCs w:val="24"/>
        </w:rPr>
        <w:t>s</w:t>
      </w:r>
      <w:r w:rsidR="00816277" w:rsidRPr="00E47A79">
        <w:rPr>
          <w:rFonts w:ascii="Garamond" w:hAnsi="Garamond"/>
          <w:sz w:val="24"/>
          <w:szCs w:val="24"/>
        </w:rPr>
        <w:t>, for example</w:t>
      </w:r>
      <w:r w:rsidR="005E3258" w:rsidRPr="00E47A79">
        <w:rPr>
          <w:rFonts w:ascii="Garamond" w:hAnsi="Garamond"/>
          <w:sz w:val="24"/>
          <w:szCs w:val="24"/>
        </w:rPr>
        <w:t>,</w:t>
      </w:r>
      <w:r w:rsidR="00816277" w:rsidRPr="00E47A79">
        <w:rPr>
          <w:rFonts w:ascii="Garamond" w:hAnsi="Garamond"/>
          <w:sz w:val="24"/>
          <w:szCs w:val="24"/>
        </w:rPr>
        <w:t xml:space="preserve"> multidisciplinary committee</w:t>
      </w:r>
      <w:r w:rsidR="005E3258" w:rsidRPr="00E47A79">
        <w:rPr>
          <w:rFonts w:ascii="Garamond" w:hAnsi="Garamond"/>
          <w:sz w:val="24"/>
          <w:szCs w:val="24"/>
        </w:rPr>
        <w:t>s (MDCs)</w:t>
      </w:r>
      <w:r w:rsidR="00E55491" w:rsidRPr="00E47A79">
        <w:rPr>
          <w:rFonts w:ascii="Garamond" w:hAnsi="Garamond"/>
          <w:sz w:val="24"/>
          <w:szCs w:val="24"/>
        </w:rPr>
        <w:t>,</w:t>
      </w:r>
      <w:r w:rsidR="00816277" w:rsidRPr="00E47A79">
        <w:rPr>
          <w:rFonts w:ascii="Garamond" w:hAnsi="Garamond"/>
          <w:sz w:val="24"/>
          <w:szCs w:val="24"/>
        </w:rPr>
        <w:t xml:space="preserve"> to approve prescribing decisions.</w:t>
      </w:r>
      <w:r w:rsidR="00816277" w:rsidRPr="00E47A79">
        <w:rPr>
          <w:rStyle w:val="FootnoteReference"/>
          <w:rFonts w:ascii="Garamond" w:hAnsi="Garamond"/>
          <w:sz w:val="24"/>
          <w:szCs w:val="24"/>
        </w:rPr>
        <w:footnoteReference w:id="214"/>
      </w:r>
      <w:r w:rsidR="00631A14" w:rsidRPr="00E47A79">
        <w:rPr>
          <w:rFonts w:ascii="Garamond" w:hAnsi="Garamond"/>
          <w:sz w:val="24"/>
          <w:szCs w:val="24"/>
        </w:rPr>
        <w:t xml:space="preserve"> Given</w:t>
      </w:r>
      <w:r w:rsidR="00E55491" w:rsidRPr="00E47A79">
        <w:rPr>
          <w:rFonts w:ascii="Garamond" w:hAnsi="Garamond"/>
          <w:sz w:val="24"/>
          <w:szCs w:val="24"/>
        </w:rPr>
        <w:t xml:space="preserve"> therefore</w:t>
      </w:r>
      <w:r w:rsidR="00631A14" w:rsidRPr="00E47A79">
        <w:rPr>
          <w:rFonts w:ascii="Garamond" w:hAnsi="Garamond"/>
          <w:sz w:val="24"/>
          <w:szCs w:val="24"/>
        </w:rPr>
        <w:t xml:space="preserve"> that decision</w:t>
      </w:r>
      <w:r w:rsidR="00E55491" w:rsidRPr="00E47A79">
        <w:rPr>
          <w:rFonts w:ascii="Garamond" w:hAnsi="Garamond"/>
          <w:sz w:val="24"/>
          <w:szCs w:val="24"/>
        </w:rPr>
        <w:t xml:space="preserve">s to prescribe </w:t>
      </w:r>
      <w:r w:rsidR="00631A14" w:rsidRPr="00E47A79">
        <w:rPr>
          <w:rFonts w:ascii="Garamond" w:hAnsi="Garamond"/>
          <w:sz w:val="24"/>
          <w:szCs w:val="24"/>
        </w:rPr>
        <w:t xml:space="preserve">should already be approved by </w:t>
      </w:r>
      <w:r w:rsidR="005E3258" w:rsidRPr="00E47A79">
        <w:rPr>
          <w:rFonts w:ascii="Garamond" w:hAnsi="Garamond"/>
          <w:sz w:val="24"/>
          <w:szCs w:val="24"/>
        </w:rPr>
        <w:t>MDCs or similar</w:t>
      </w:r>
      <w:r w:rsidR="00631A14" w:rsidRPr="00E47A79">
        <w:rPr>
          <w:rFonts w:ascii="Garamond" w:hAnsi="Garamond"/>
          <w:sz w:val="24"/>
          <w:szCs w:val="24"/>
        </w:rPr>
        <w:t xml:space="preserve">, this may go some way towards providing </w:t>
      </w:r>
      <w:r w:rsidR="00E55491" w:rsidRPr="00E47A79">
        <w:rPr>
          <w:rFonts w:ascii="Garamond" w:hAnsi="Garamond"/>
          <w:sz w:val="24"/>
          <w:szCs w:val="24"/>
        </w:rPr>
        <w:t>the support of an ‘appropriate’ and ‘</w:t>
      </w:r>
      <w:r w:rsidR="00631A14" w:rsidRPr="00E47A79">
        <w:rPr>
          <w:rFonts w:ascii="Garamond" w:hAnsi="Garamond"/>
          <w:sz w:val="24"/>
          <w:szCs w:val="24"/>
        </w:rPr>
        <w:t>responsible</w:t>
      </w:r>
      <w:r w:rsidR="00E55491" w:rsidRPr="00E47A79">
        <w:rPr>
          <w:rFonts w:ascii="Garamond" w:hAnsi="Garamond"/>
          <w:sz w:val="24"/>
          <w:szCs w:val="24"/>
        </w:rPr>
        <w:t>’</w:t>
      </w:r>
      <w:r w:rsidR="00631A14" w:rsidRPr="00E47A79">
        <w:rPr>
          <w:rFonts w:ascii="Garamond" w:hAnsi="Garamond"/>
          <w:sz w:val="24"/>
          <w:szCs w:val="24"/>
        </w:rPr>
        <w:t xml:space="preserve"> body of medical opinion</w:t>
      </w:r>
      <w:r w:rsidR="006D05F7" w:rsidRPr="00E47A79">
        <w:rPr>
          <w:rFonts w:ascii="Garamond" w:hAnsi="Garamond"/>
          <w:sz w:val="24"/>
          <w:szCs w:val="24"/>
        </w:rPr>
        <w:t>.</w:t>
      </w:r>
      <w:r w:rsidR="00B32046" w:rsidRPr="00E47A79">
        <w:rPr>
          <w:rFonts w:ascii="Garamond" w:hAnsi="Garamond"/>
          <w:sz w:val="24"/>
          <w:szCs w:val="24"/>
        </w:rPr>
        <w:t xml:space="preserve"> </w:t>
      </w:r>
      <w:r w:rsidR="006D05F7" w:rsidRPr="00E47A79">
        <w:rPr>
          <w:rFonts w:ascii="Garamond" w:hAnsi="Garamond"/>
          <w:sz w:val="24"/>
          <w:szCs w:val="24"/>
        </w:rPr>
        <w:t xml:space="preserve">However, </w:t>
      </w:r>
      <w:r w:rsidR="00B32046" w:rsidRPr="00E47A79">
        <w:rPr>
          <w:rFonts w:ascii="Garamond" w:hAnsi="Garamond"/>
          <w:sz w:val="24"/>
          <w:szCs w:val="24"/>
        </w:rPr>
        <w:t xml:space="preserve">it is questionable whether doctors working for the same </w:t>
      </w:r>
      <w:r w:rsidR="00644B33">
        <w:rPr>
          <w:rFonts w:ascii="Garamond" w:hAnsi="Garamond"/>
          <w:sz w:val="24"/>
          <w:szCs w:val="24"/>
        </w:rPr>
        <w:t xml:space="preserve">clinic </w:t>
      </w:r>
      <w:r w:rsidR="00E8194D" w:rsidRPr="00E47A79">
        <w:rPr>
          <w:rFonts w:ascii="Garamond" w:hAnsi="Garamond"/>
          <w:sz w:val="24"/>
          <w:szCs w:val="24"/>
        </w:rPr>
        <w:t>w</w:t>
      </w:r>
      <w:r w:rsidR="00B32046" w:rsidRPr="00E47A79">
        <w:rPr>
          <w:rFonts w:ascii="Garamond" w:hAnsi="Garamond"/>
          <w:sz w:val="24"/>
          <w:szCs w:val="24"/>
        </w:rPr>
        <w:t xml:space="preserve">ould be capable of furnishing the court with the ‘support’ needed for </w:t>
      </w:r>
      <w:proofErr w:type="spellStart"/>
      <w:r w:rsidR="00B32046" w:rsidRPr="00E47A79">
        <w:rPr>
          <w:rFonts w:ascii="Garamond" w:hAnsi="Garamond"/>
          <w:i/>
          <w:iCs/>
          <w:sz w:val="24"/>
          <w:szCs w:val="24"/>
        </w:rPr>
        <w:t>Bolam</w:t>
      </w:r>
      <w:proofErr w:type="spellEnd"/>
      <w:r w:rsidR="00B32046" w:rsidRPr="00E47A79">
        <w:rPr>
          <w:rFonts w:ascii="Garamond" w:hAnsi="Garamond"/>
          <w:i/>
          <w:iCs/>
          <w:sz w:val="24"/>
          <w:szCs w:val="24"/>
        </w:rPr>
        <w:t xml:space="preserve"> </w:t>
      </w:r>
      <w:r w:rsidR="00B32046" w:rsidRPr="00E47A79">
        <w:rPr>
          <w:rFonts w:ascii="Garamond" w:hAnsi="Garamond"/>
          <w:sz w:val="24"/>
          <w:szCs w:val="24"/>
        </w:rPr>
        <w:t>purposes</w:t>
      </w:r>
      <w:r w:rsidR="00DB0B09" w:rsidRPr="00E47A79">
        <w:rPr>
          <w:rFonts w:ascii="Garamond" w:hAnsi="Garamond"/>
          <w:sz w:val="24"/>
          <w:szCs w:val="24"/>
        </w:rPr>
        <w:t xml:space="preserve">, </w:t>
      </w:r>
      <w:r w:rsidR="00A73737" w:rsidRPr="00E47A79">
        <w:rPr>
          <w:rFonts w:ascii="Garamond" w:hAnsi="Garamond"/>
          <w:sz w:val="24"/>
          <w:szCs w:val="24"/>
        </w:rPr>
        <w:t>given the potential for conflicts of interest.</w:t>
      </w:r>
      <w:r w:rsidR="00A0492E" w:rsidRPr="00E47A79">
        <w:rPr>
          <w:rFonts w:ascii="Garamond" w:hAnsi="Garamond"/>
          <w:sz w:val="24"/>
          <w:szCs w:val="24"/>
        </w:rPr>
        <w:t xml:space="preserve"> </w:t>
      </w:r>
      <w:r w:rsidR="003A3172" w:rsidRPr="00E47A79">
        <w:rPr>
          <w:rFonts w:ascii="Garamond" w:hAnsi="Garamond"/>
          <w:sz w:val="24"/>
          <w:szCs w:val="24"/>
        </w:rPr>
        <w:t xml:space="preserve">Nevertheless, </w:t>
      </w:r>
      <w:r w:rsidR="00A73737" w:rsidRPr="00E47A79">
        <w:rPr>
          <w:rFonts w:ascii="Garamond" w:hAnsi="Garamond"/>
          <w:sz w:val="24"/>
          <w:szCs w:val="24"/>
        </w:rPr>
        <w:t>the courts</w:t>
      </w:r>
      <w:r w:rsidR="001C1F8C" w:rsidRPr="00E47A79">
        <w:rPr>
          <w:rFonts w:ascii="Garamond" w:hAnsi="Garamond"/>
          <w:sz w:val="24"/>
          <w:szCs w:val="24"/>
        </w:rPr>
        <w:t xml:space="preserve"> may</w:t>
      </w:r>
      <w:r w:rsidR="00A73737" w:rsidRPr="00E47A79">
        <w:rPr>
          <w:rFonts w:ascii="Garamond" w:hAnsi="Garamond"/>
          <w:sz w:val="24"/>
          <w:szCs w:val="24"/>
        </w:rPr>
        <w:t xml:space="preserve"> place</w:t>
      </w:r>
      <w:r w:rsidR="001C1F8C" w:rsidRPr="00E47A79">
        <w:rPr>
          <w:rFonts w:ascii="Garamond" w:hAnsi="Garamond"/>
          <w:sz w:val="24"/>
          <w:szCs w:val="24"/>
        </w:rPr>
        <w:t xml:space="preserve"> some</w:t>
      </w:r>
      <w:r w:rsidR="00A73737" w:rsidRPr="00E47A79">
        <w:rPr>
          <w:rFonts w:ascii="Garamond" w:hAnsi="Garamond"/>
          <w:sz w:val="24"/>
          <w:szCs w:val="24"/>
        </w:rPr>
        <w:t xml:space="preserve"> secondary weight on the view of the multidisciplinary team working with the defendant when assessing whether the defendant’s conduct was ‘reasonable’.</w:t>
      </w:r>
      <w:r w:rsidR="00A73737" w:rsidRPr="00E47A79">
        <w:rPr>
          <w:rFonts w:ascii="Garamond" w:hAnsi="Garamond"/>
          <w:sz w:val="24"/>
          <w:szCs w:val="24"/>
          <w:vertAlign w:val="superscript"/>
        </w:rPr>
        <w:footnoteReference w:id="215"/>
      </w:r>
      <w:r w:rsidR="00A73737" w:rsidRPr="00E47A79">
        <w:rPr>
          <w:rFonts w:ascii="Garamond" w:hAnsi="Garamond"/>
          <w:sz w:val="24"/>
          <w:szCs w:val="24"/>
        </w:rPr>
        <w:t xml:space="preserve"> </w:t>
      </w:r>
      <w:r w:rsidR="00A03C3A" w:rsidRPr="00E47A79">
        <w:rPr>
          <w:rFonts w:ascii="Garamond" w:hAnsi="Garamond"/>
          <w:sz w:val="24"/>
          <w:szCs w:val="24"/>
        </w:rPr>
        <w:t>Given that practitioners will be judged on the basis of standards of care at the time of the alleged negligence and not with hindsight</w:t>
      </w:r>
      <w:r w:rsidR="00A03C3A" w:rsidRPr="00E47A79">
        <w:rPr>
          <w:rStyle w:val="FootnoteReference"/>
          <w:rFonts w:ascii="Garamond" w:hAnsi="Garamond"/>
          <w:sz w:val="24"/>
          <w:szCs w:val="24"/>
        </w:rPr>
        <w:footnoteReference w:id="216"/>
      </w:r>
      <w:r w:rsidR="00A03C3A" w:rsidRPr="00E47A79">
        <w:rPr>
          <w:rFonts w:ascii="Garamond" w:hAnsi="Garamond"/>
          <w:sz w:val="24"/>
          <w:szCs w:val="24"/>
        </w:rPr>
        <w:t xml:space="preserve">, the pool of experts who can give evidence on standards at this time is likely to be small, as legal provision for prescribing is still new. </w:t>
      </w:r>
      <w:r w:rsidR="00E8194D" w:rsidRPr="00E47A79">
        <w:rPr>
          <w:rFonts w:ascii="Garamond" w:hAnsi="Garamond"/>
          <w:sz w:val="24"/>
          <w:szCs w:val="24"/>
        </w:rPr>
        <w:t>A related difficulty</w:t>
      </w:r>
      <w:r w:rsidR="00A03C3A" w:rsidRPr="00E47A79">
        <w:rPr>
          <w:rFonts w:ascii="Garamond" w:hAnsi="Garamond"/>
          <w:sz w:val="24"/>
          <w:szCs w:val="24"/>
        </w:rPr>
        <w:t xml:space="preserve"> then</w:t>
      </w:r>
      <w:r w:rsidR="004C3F0A" w:rsidRPr="00E47A79">
        <w:rPr>
          <w:rFonts w:ascii="Garamond" w:hAnsi="Garamond"/>
          <w:sz w:val="24"/>
          <w:szCs w:val="24"/>
        </w:rPr>
        <w:t xml:space="preserve">, </w:t>
      </w:r>
      <w:r w:rsidR="00B15581" w:rsidRPr="00E47A79">
        <w:rPr>
          <w:rFonts w:ascii="Garamond" w:hAnsi="Garamond"/>
          <w:sz w:val="24"/>
          <w:szCs w:val="24"/>
        </w:rPr>
        <w:t xml:space="preserve">is that </w:t>
      </w:r>
      <w:r w:rsidR="004C3F0A" w:rsidRPr="00E47A79">
        <w:rPr>
          <w:rFonts w:ascii="Garamond" w:hAnsi="Garamond"/>
          <w:sz w:val="24"/>
          <w:szCs w:val="24"/>
        </w:rPr>
        <w:t>the community of prescribers</w:t>
      </w:r>
      <w:r w:rsidR="00A03C3A" w:rsidRPr="00E47A79">
        <w:rPr>
          <w:rFonts w:ascii="Garamond" w:hAnsi="Garamond"/>
          <w:sz w:val="24"/>
          <w:szCs w:val="24"/>
        </w:rPr>
        <w:t xml:space="preserve"> remains </w:t>
      </w:r>
      <w:r w:rsidR="001C1F8C" w:rsidRPr="00E47A79">
        <w:rPr>
          <w:rFonts w:ascii="Garamond" w:hAnsi="Garamond"/>
          <w:sz w:val="24"/>
          <w:szCs w:val="24"/>
        </w:rPr>
        <w:t>‘</w:t>
      </w:r>
      <w:r w:rsidR="00A03C3A" w:rsidRPr="00E47A79">
        <w:rPr>
          <w:rFonts w:ascii="Garamond" w:hAnsi="Garamond"/>
          <w:sz w:val="24"/>
          <w:szCs w:val="24"/>
        </w:rPr>
        <w:t>niche</w:t>
      </w:r>
      <w:r w:rsidR="001C1F8C" w:rsidRPr="00E47A79">
        <w:rPr>
          <w:rFonts w:ascii="Garamond" w:hAnsi="Garamond"/>
          <w:sz w:val="24"/>
          <w:szCs w:val="24"/>
        </w:rPr>
        <w:t>,’</w:t>
      </w:r>
      <w:r w:rsidR="00A03C3A" w:rsidRPr="00E47A79">
        <w:rPr>
          <w:rFonts w:ascii="Garamond" w:hAnsi="Garamond"/>
          <w:sz w:val="24"/>
          <w:szCs w:val="24"/>
        </w:rPr>
        <w:t xml:space="preserve"> and</w:t>
      </w:r>
      <w:r w:rsidR="004C3F0A" w:rsidRPr="00E47A79">
        <w:rPr>
          <w:rFonts w:ascii="Garamond" w:hAnsi="Garamond"/>
          <w:sz w:val="24"/>
          <w:szCs w:val="24"/>
        </w:rPr>
        <w:t xml:space="preserve"> the expert </w:t>
      </w:r>
      <w:r w:rsidR="00A03C3A" w:rsidRPr="00E47A79">
        <w:rPr>
          <w:rFonts w:ascii="Garamond" w:hAnsi="Garamond"/>
          <w:sz w:val="24"/>
          <w:szCs w:val="24"/>
        </w:rPr>
        <w:t>may be</w:t>
      </w:r>
      <w:r w:rsidR="004C3F0A" w:rsidRPr="00E47A79">
        <w:rPr>
          <w:rFonts w:ascii="Garamond" w:hAnsi="Garamond"/>
          <w:sz w:val="24"/>
          <w:szCs w:val="24"/>
        </w:rPr>
        <w:t xml:space="preserve"> known to the defendant through this community, </w:t>
      </w:r>
      <w:r w:rsidR="00E8194D" w:rsidRPr="00E47A79">
        <w:rPr>
          <w:rFonts w:ascii="Garamond" w:hAnsi="Garamond"/>
          <w:sz w:val="24"/>
          <w:szCs w:val="24"/>
        </w:rPr>
        <w:t>even though</w:t>
      </w:r>
      <w:r w:rsidR="00644B33">
        <w:rPr>
          <w:rFonts w:ascii="Garamond" w:hAnsi="Garamond"/>
          <w:sz w:val="24"/>
          <w:szCs w:val="24"/>
        </w:rPr>
        <w:t xml:space="preserve"> the expert is from</w:t>
      </w:r>
      <w:r w:rsidR="00E8194D" w:rsidRPr="00E47A79">
        <w:rPr>
          <w:rFonts w:ascii="Garamond" w:hAnsi="Garamond"/>
          <w:sz w:val="24"/>
          <w:szCs w:val="24"/>
        </w:rPr>
        <w:t xml:space="preserve"> outside the employing organisation</w:t>
      </w:r>
      <w:r w:rsidR="00A03C3A" w:rsidRPr="00E47A79">
        <w:rPr>
          <w:rFonts w:ascii="Garamond" w:hAnsi="Garamond"/>
          <w:sz w:val="24"/>
          <w:szCs w:val="24"/>
        </w:rPr>
        <w:t>.</w:t>
      </w:r>
      <w:r w:rsidR="00E8194D" w:rsidRPr="00E47A79">
        <w:rPr>
          <w:rFonts w:ascii="Garamond" w:hAnsi="Garamond"/>
          <w:sz w:val="24"/>
          <w:szCs w:val="24"/>
        </w:rPr>
        <w:t xml:space="preserve"> </w:t>
      </w:r>
      <w:r w:rsidR="00A03C3A" w:rsidRPr="00E47A79">
        <w:rPr>
          <w:rFonts w:ascii="Garamond" w:hAnsi="Garamond"/>
          <w:sz w:val="24"/>
          <w:szCs w:val="24"/>
        </w:rPr>
        <w:t>T</w:t>
      </w:r>
      <w:r w:rsidR="004C3F0A" w:rsidRPr="00E47A79">
        <w:rPr>
          <w:rFonts w:ascii="Garamond" w:hAnsi="Garamond"/>
          <w:sz w:val="24"/>
          <w:szCs w:val="24"/>
        </w:rPr>
        <w:t xml:space="preserve">his </w:t>
      </w:r>
      <w:r w:rsidR="00B15581" w:rsidRPr="00E47A79">
        <w:rPr>
          <w:rFonts w:ascii="Garamond" w:hAnsi="Garamond"/>
          <w:sz w:val="24"/>
          <w:szCs w:val="24"/>
        </w:rPr>
        <w:t>could</w:t>
      </w:r>
      <w:r w:rsidR="00A73737" w:rsidRPr="00E47A79">
        <w:rPr>
          <w:rFonts w:ascii="Garamond" w:hAnsi="Garamond"/>
          <w:sz w:val="24"/>
          <w:szCs w:val="24"/>
        </w:rPr>
        <w:t xml:space="preserve"> also</w:t>
      </w:r>
      <w:r w:rsidR="004C3F0A" w:rsidRPr="00E47A79">
        <w:rPr>
          <w:rFonts w:ascii="Garamond" w:hAnsi="Garamond"/>
          <w:sz w:val="24"/>
          <w:szCs w:val="24"/>
        </w:rPr>
        <w:t xml:space="preserve"> raise questions of conflict of interest</w:t>
      </w:r>
      <w:r w:rsidR="00B15581" w:rsidRPr="00E47A79">
        <w:rPr>
          <w:rFonts w:ascii="Garamond" w:hAnsi="Garamond"/>
          <w:sz w:val="24"/>
          <w:szCs w:val="24"/>
        </w:rPr>
        <w:t xml:space="preserve">, </w:t>
      </w:r>
      <w:r w:rsidR="004C3F0A" w:rsidRPr="00E47A79">
        <w:rPr>
          <w:rFonts w:ascii="Garamond" w:hAnsi="Garamond"/>
          <w:sz w:val="24"/>
          <w:szCs w:val="24"/>
        </w:rPr>
        <w:t>diminish</w:t>
      </w:r>
      <w:r w:rsidR="00B15581" w:rsidRPr="00E47A79">
        <w:rPr>
          <w:rFonts w:ascii="Garamond" w:hAnsi="Garamond"/>
          <w:sz w:val="24"/>
          <w:szCs w:val="24"/>
        </w:rPr>
        <w:t>ing</w:t>
      </w:r>
      <w:r w:rsidR="004C3F0A" w:rsidRPr="00E47A79">
        <w:rPr>
          <w:rFonts w:ascii="Garamond" w:hAnsi="Garamond"/>
          <w:sz w:val="24"/>
          <w:szCs w:val="24"/>
        </w:rPr>
        <w:t xml:space="preserve"> the weight to be attached to their evidence.</w:t>
      </w:r>
      <w:r w:rsidR="004C3F0A" w:rsidRPr="00E47A79">
        <w:rPr>
          <w:rStyle w:val="FootnoteReference"/>
          <w:rFonts w:ascii="Garamond" w:hAnsi="Garamond"/>
          <w:sz w:val="24"/>
          <w:szCs w:val="24"/>
        </w:rPr>
        <w:footnoteReference w:id="217"/>
      </w:r>
      <w:r w:rsidR="004C3F0A" w:rsidRPr="00E47A79">
        <w:rPr>
          <w:rFonts w:ascii="Garamond" w:hAnsi="Garamond"/>
          <w:sz w:val="24"/>
          <w:szCs w:val="24"/>
        </w:rPr>
        <w:t xml:space="preserve"> </w:t>
      </w:r>
    </w:p>
    <w:p w14:paraId="1177D31C" w14:textId="77777777" w:rsidR="00631A14" w:rsidRPr="00E47A79" w:rsidRDefault="00631A14" w:rsidP="00631A14">
      <w:pPr>
        <w:autoSpaceDE w:val="0"/>
        <w:autoSpaceDN w:val="0"/>
        <w:adjustRightInd w:val="0"/>
        <w:spacing w:after="0" w:line="240" w:lineRule="auto"/>
        <w:jc w:val="left"/>
        <w:rPr>
          <w:rFonts w:ascii="Garamond" w:hAnsi="Garamond"/>
          <w:sz w:val="24"/>
          <w:szCs w:val="24"/>
        </w:rPr>
      </w:pPr>
    </w:p>
    <w:p w14:paraId="63410984" w14:textId="1F701D92" w:rsidR="005658CD" w:rsidRPr="00E47A79" w:rsidRDefault="00F01AA1" w:rsidP="00A601B9">
      <w:pPr>
        <w:autoSpaceDE w:val="0"/>
        <w:autoSpaceDN w:val="0"/>
        <w:adjustRightInd w:val="0"/>
        <w:spacing w:line="360" w:lineRule="auto"/>
        <w:rPr>
          <w:rFonts w:ascii="Garamond" w:hAnsi="Garamond" w:cs="Arial"/>
          <w:sz w:val="24"/>
          <w:szCs w:val="24"/>
        </w:rPr>
      </w:pPr>
      <w:r w:rsidRPr="00E47A79">
        <w:rPr>
          <w:rFonts w:ascii="Garamond" w:hAnsi="Garamond"/>
          <w:sz w:val="24"/>
          <w:szCs w:val="24"/>
        </w:rPr>
        <w:t xml:space="preserve">In addition to the problems </w:t>
      </w:r>
      <w:r w:rsidR="003A3172" w:rsidRPr="00E47A79">
        <w:rPr>
          <w:rFonts w:ascii="Garamond" w:hAnsi="Garamond"/>
          <w:sz w:val="24"/>
          <w:szCs w:val="24"/>
        </w:rPr>
        <w:t xml:space="preserve">generated by prescribing being confined to a </w:t>
      </w:r>
      <w:r w:rsidRPr="00E47A79">
        <w:rPr>
          <w:rFonts w:ascii="Garamond" w:hAnsi="Garamond"/>
          <w:sz w:val="24"/>
          <w:szCs w:val="24"/>
        </w:rPr>
        <w:t>small, and possibly close-knit community of</w:t>
      </w:r>
      <w:r w:rsidR="003A3172" w:rsidRPr="00E47A79">
        <w:rPr>
          <w:rFonts w:ascii="Garamond" w:hAnsi="Garamond"/>
          <w:sz w:val="24"/>
          <w:szCs w:val="24"/>
        </w:rPr>
        <w:t xml:space="preserve"> specialists</w:t>
      </w:r>
      <w:r w:rsidRPr="00E47A79">
        <w:rPr>
          <w:rFonts w:ascii="Garamond" w:hAnsi="Garamond"/>
          <w:sz w:val="24"/>
          <w:szCs w:val="24"/>
        </w:rPr>
        <w:t>, the newness of the field will likely mean that a</w:t>
      </w:r>
      <w:r w:rsidR="00DA272D" w:rsidRPr="00E47A79">
        <w:rPr>
          <w:rFonts w:ascii="Garamond" w:hAnsi="Garamond"/>
          <w:sz w:val="24"/>
          <w:szCs w:val="24"/>
        </w:rPr>
        <w:t>t present many prescribers would have</w:t>
      </w:r>
      <w:r w:rsidR="004A2267" w:rsidRPr="00E47A79">
        <w:rPr>
          <w:rFonts w:ascii="Garamond" w:hAnsi="Garamond"/>
          <w:sz w:val="24"/>
          <w:szCs w:val="24"/>
        </w:rPr>
        <w:t xml:space="preserve"> had</w:t>
      </w:r>
      <w:r w:rsidR="00DA272D" w:rsidRPr="00E47A79">
        <w:rPr>
          <w:rFonts w:ascii="Garamond" w:hAnsi="Garamond"/>
          <w:sz w:val="24"/>
          <w:szCs w:val="24"/>
        </w:rPr>
        <w:t xml:space="preserve"> a fairly short period of time in which to have built up their expertise</w:t>
      </w:r>
      <w:r w:rsidR="003A3172" w:rsidRPr="00E47A79">
        <w:rPr>
          <w:rFonts w:ascii="Garamond" w:hAnsi="Garamond"/>
          <w:sz w:val="24"/>
          <w:szCs w:val="24"/>
        </w:rPr>
        <w:t>. I</w:t>
      </w:r>
      <w:r w:rsidRPr="00E47A79">
        <w:rPr>
          <w:rFonts w:ascii="Garamond" w:hAnsi="Garamond"/>
          <w:sz w:val="24"/>
          <w:szCs w:val="24"/>
        </w:rPr>
        <w:t>ndeed</w:t>
      </w:r>
      <w:r w:rsidR="003A3172" w:rsidRPr="00E47A79">
        <w:rPr>
          <w:rFonts w:ascii="Garamond" w:hAnsi="Garamond"/>
          <w:sz w:val="24"/>
          <w:szCs w:val="24"/>
        </w:rPr>
        <w:t>,</w:t>
      </w:r>
      <w:r w:rsidRPr="00E47A79">
        <w:rPr>
          <w:rFonts w:ascii="Garamond" w:hAnsi="Garamond"/>
          <w:sz w:val="24"/>
          <w:szCs w:val="24"/>
        </w:rPr>
        <w:t xml:space="preserve"> some</w:t>
      </w:r>
      <w:r w:rsidR="00DA272D" w:rsidRPr="00E47A79">
        <w:rPr>
          <w:rFonts w:ascii="Garamond" w:hAnsi="Garamond"/>
          <w:sz w:val="24"/>
          <w:szCs w:val="24"/>
        </w:rPr>
        <w:t xml:space="preserve"> refer to themselves as ‘self-taught’ or ‘self-proclaimed’ experts.</w:t>
      </w:r>
      <w:r w:rsidR="003A3172" w:rsidRPr="00E47A79">
        <w:rPr>
          <w:rStyle w:val="FootnoteReference"/>
          <w:rFonts w:ascii="Garamond" w:hAnsi="Garamond"/>
          <w:sz w:val="24"/>
          <w:szCs w:val="24"/>
        </w:rPr>
        <w:footnoteReference w:id="218"/>
      </w:r>
      <w:r w:rsidR="00DA272D" w:rsidRPr="00E47A79">
        <w:rPr>
          <w:rFonts w:ascii="Garamond" w:hAnsi="Garamond"/>
          <w:sz w:val="24"/>
          <w:szCs w:val="24"/>
        </w:rPr>
        <w:t xml:space="preserve"> </w:t>
      </w:r>
      <w:r w:rsidR="004D2214" w:rsidRPr="00E47A79">
        <w:rPr>
          <w:rFonts w:ascii="Garamond" w:hAnsi="Garamond"/>
          <w:sz w:val="24"/>
          <w:szCs w:val="24"/>
        </w:rPr>
        <w:t xml:space="preserve">These potential preliminary issues should not </w:t>
      </w:r>
      <w:r w:rsidR="00644B33">
        <w:rPr>
          <w:rFonts w:ascii="Garamond" w:hAnsi="Garamond"/>
          <w:sz w:val="24"/>
          <w:szCs w:val="24"/>
        </w:rPr>
        <w:t xml:space="preserve">however </w:t>
      </w:r>
      <w:r w:rsidR="004D2214" w:rsidRPr="00E47A79">
        <w:rPr>
          <w:rFonts w:ascii="Garamond" w:hAnsi="Garamond"/>
          <w:sz w:val="24"/>
          <w:szCs w:val="24"/>
        </w:rPr>
        <w:t xml:space="preserve">prevent </w:t>
      </w:r>
      <w:r w:rsidR="00644B33">
        <w:rPr>
          <w:rFonts w:ascii="Garamond" w:hAnsi="Garamond"/>
          <w:sz w:val="24"/>
          <w:szCs w:val="24"/>
        </w:rPr>
        <w:t xml:space="preserve">the identification </w:t>
      </w:r>
      <w:r w:rsidR="004D2214" w:rsidRPr="00E47A79">
        <w:rPr>
          <w:rFonts w:ascii="Garamond" w:hAnsi="Garamond"/>
          <w:sz w:val="24"/>
          <w:szCs w:val="24"/>
        </w:rPr>
        <w:t xml:space="preserve">of an </w:t>
      </w:r>
      <w:r w:rsidR="00CF3EC3" w:rsidRPr="00E47A79">
        <w:rPr>
          <w:rFonts w:ascii="Garamond" w:hAnsi="Garamond"/>
          <w:sz w:val="24"/>
          <w:szCs w:val="24"/>
        </w:rPr>
        <w:t>‘</w:t>
      </w:r>
      <w:r w:rsidR="004D2214" w:rsidRPr="00E47A79">
        <w:rPr>
          <w:rFonts w:ascii="Garamond" w:hAnsi="Garamond"/>
          <w:sz w:val="24"/>
          <w:szCs w:val="24"/>
        </w:rPr>
        <w:t>appropriate</w:t>
      </w:r>
      <w:r w:rsidR="00CF3EC3" w:rsidRPr="00E47A79">
        <w:rPr>
          <w:rFonts w:ascii="Garamond" w:hAnsi="Garamond"/>
          <w:sz w:val="24"/>
          <w:szCs w:val="24"/>
        </w:rPr>
        <w:t>’</w:t>
      </w:r>
      <w:r w:rsidR="004D2214" w:rsidRPr="00E47A79">
        <w:rPr>
          <w:rFonts w:ascii="Garamond" w:hAnsi="Garamond"/>
          <w:sz w:val="24"/>
          <w:szCs w:val="24"/>
        </w:rPr>
        <w:t xml:space="preserve"> body of opinion. L</w:t>
      </w:r>
      <w:r w:rsidR="004A2267" w:rsidRPr="00E47A79">
        <w:rPr>
          <w:rFonts w:ascii="Garamond" w:hAnsi="Garamond"/>
          <w:sz w:val="24"/>
          <w:szCs w:val="24"/>
        </w:rPr>
        <w:t>itiga</w:t>
      </w:r>
      <w:r w:rsidR="004D2214" w:rsidRPr="00E47A79">
        <w:rPr>
          <w:rFonts w:ascii="Garamond" w:hAnsi="Garamond"/>
          <w:sz w:val="24"/>
          <w:szCs w:val="24"/>
        </w:rPr>
        <w:t xml:space="preserve">nts could always </w:t>
      </w:r>
      <w:r w:rsidR="005658CD" w:rsidRPr="00E47A79">
        <w:rPr>
          <w:rFonts w:ascii="Garamond" w:hAnsi="Garamond"/>
          <w:sz w:val="24"/>
          <w:szCs w:val="24"/>
        </w:rPr>
        <w:t>turn to experts from</w:t>
      </w:r>
      <w:r w:rsidR="00B15581" w:rsidRPr="00E47A79">
        <w:rPr>
          <w:rFonts w:ascii="Garamond" w:hAnsi="Garamond"/>
          <w:sz w:val="24"/>
          <w:szCs w:val="24"/>
        </w:rPr>
        <w:t xml:space="preserve"> </w:t>
      </w:r>
      <w:r w:rsidR="005658CD" w:rsidRPr="00E47A79">
        <w:rPr>
          <w:rFonts w:ascii="Garamond" w:hAnsi="Garamond"/>
          <w:sz w:val="24"/>
          <w:szCs w:val="24"/>
        </w:rPr>
        <w:t>jurisdictions</w:t>
      </w:r>
      <w:r w:rsidR="00DA272D" w:rsidRPr="00E47A79">
        <w:rPr>
          <w:rFonts w:ascii="Garamond" w:hAnsi="Garamond"/>
          <w:sz w:val="24"/>
          <w:szCs w:val="24"/>
        </w:rPr>
        <w:t xml:space="preserve"> who can claim 10+ </w:t>
      </w:r>
      <w:proofErr w:type="spellStart"/>
      <w:r w:rsidR="00DA272D" w:rsidRPr="00E47A79">
        <w:rPr>
          <w:rFonts w:ascii="Garamond" w:hAnsi="Garamond"/>
          <w:sz w:val="24"/>
          <w:szCs w:val="24"/>
        </w:rPr>
        <w:t>years experience</w:t>
      </w:r>
      <w:proofErr w:type="spellEnd"/>
      <w:r w:rsidR="00DA272D" w:rsidRPr="00E47A79">
        <w:rPr>
          <w:rFonts w:ascii="Garamond" w:hAnsi="Garamond"/>
          <w:sz w:val="24"/>
          <w:szCs w:val="24"/>
        </w:rPr>
        <w:t>,</w:t>
      </w:r>
      <w:r w:rsidR="005658CD" w:rsidRPr="00E47A79">
        <w:rPr>
          <w:rFonts w:ascii="Garamond" w:hAnsi="Garamond"/>
          <w:sz w:val="24"/>
          <w:szCs w:val="24"/>
        </w:rPr>
        <w:t xml:space="preserve"> to seek their opinion on the relative safety and efficacy of these medicines. In </w:t>
      </w:r>
      <w:r w:rsidR="005658CD" w:rsidRPr="00E47A79">
        <w:rPr>
          <w:rFonts w:ascii="Garamond" w:hAnsi="Garamond"/>
          <w:i/>
          <w:iCs/>
          <w:sz w:val="24"/>
          <w:szCs w:val="24"/>
        </w:rPr>
        <w:t xml:space="preserve">R v </w:t>
      </w:r>
      <w:proofErr w:type="spellStart"/>
      <w:r w:rsidR="005658CD" w:rsidRPr="00E47A79">
        <w:rPr>
          <w:rFonts w:ascii="Garamond" w:hAnsi="Garamond"/>
          <w:i/>
          <w:iCs/>
          <w:sz w:val="24"/>
          <w:szCs w:val="24"/>
        </w:rPr>
        <w:t>Beren</w:t>
      </w:r>
      <w:proofErr w:type="spellEnd"/>
      <w:r w:rsidRPr="00E47A79">
        <w:rPr>
          <w:rFonts w:ascii="Garamond" w:hAnsi="Garamond"/>
          <w:i/>
          <w:iCs/>
          <w:sz w:val="24"/>
          <w:szCs w:val="24"/>
        </w:rPr>
        <w:t xml:space="preserve">, </w:t>
      </w:r>
      <w:r w:rsidRPr="00E47A79">
        <w:rPr>
          <w:rFonts w:ascii="Garamond" w:hAnsi="Garamond"/>
          <w:sz w:val="24"/>
          <w:szCs w:val="24"/>
        </w:rPr>
        <w:t>for example,</w:t>
      </w:r>
      <w:r w:rsidR="005658CD" w:rsidRPr="00E47A79">
        <w:rPr>
          <w:rFonts w:ascii="Garamond" w:hAnsi="Garamond"/>
          <w:sz w:val="24"/>
          <w:szCs w:val="24"/>
        </w:rPr>
        <w:t xml:space="preserve"> the Supreme Court of Canada was presented with an array of experts who were agreed ‘</w:t>
      </w:r>
      <w:r w:rsidR="005658CD" w:rsidRPr="00E47A79">
        <w:rPr>
          <w:rFonts w:ascii="Garamond" w:hAnsi="Garamond" w:cs="Arial"/>
          <w:sz w:val="24"/>
          <w:szCs w:val="24"/>
        </w:rPr>
        <w:t xml:space="preserve">that cannabis is safer than many existing prescription drugs and some over the counter </w:t>
      </w:r>
      <w:r w:rsidR="00B677DA" w:rsidRPr="00E47A79">
        <w:rPr>
          <w:rFonts w:ascii="Garamond" w:hAnsi="Garamond" w:cs="Arial"/>
          <w:sz w:val="24"/>
          <w:szCs w:val="24"/>
        </w:rPr>
        <w:t>m</w:t>
      </w:r>
      <w:r w:rsidR="005658CD" w:rsidRPr="00E47A79">
        <w:rPr>
          <w:rFonts w:ascii="Garamond" w:hAnsi="Garamond" w:cs="Arial"/>
          <w:sz w:val="24"/>
          <w:szCs w:val="24"/>
        </w:rPr>
        <w:t>edication.’</w:t>
      </w:r>
      <w:r w:rsidR="00B677DA" w:rsidRPr="00E47A79">
        <w:rPr>
          <w:rStyle w:val="FootnoteReference"/>
          <w:rFonts w:ascii="Garamond" w:hAnsi="Garamond" w:cs="Arial"/>
          <w:sz w:val="24"/>
          <w:szCs w:val="24"/>
        </w:rPr>
        <w:footnoteReference w:id="219"/>
      </w:r>
      <w:r w:rsidR="005658CD" w:rsidRPr="00E47A79">
        <w:rPr>
          <w:rFonts w:ascii="Garamond" w:hAnsi="Garamond" w:cs="Arial"/>
          <w:sz w:val="24"/>
          <w:szCs w:val="24"/>
        </w:rPr>
        <w:t xml:space="preserve"> Evidence from Health Canada </w:t>
      </w:r>
      <w:r w:rsidR="0036549B" w:rsidRPr="00E47A79">
        <w:rPr>
          <w:rFonts w:ascii="Garamond" w:hAnsi="Garamond" w:cs="Arial"/>
          <w:sz w:val="24"/>
          <w:szCs w:val="24"/>
        </w:rPr>
        <w:t xml:space="preserve">provided assurance </w:t>
      </w:r>
      <w:r w:rsidR="005658CD" w:rsidRPr="00E47A79">
        <w:rPr>
          <w:rFonts w:ascii="Garamond" w:hAnsi="Garamond" w:cs="Arial"/>
          <w:sz w:val="24"/>
          <w:szCs w:val="24"/>
        </w:rPr>
        <w:t>that</w:t>
      </w:r>
      <w:r w:rsidR="0036549B" w:rsidRPr="00E47A79">
        <w:rPr>
          <w:rFonts w:ascii="Garamond" w:hAnsi="Garamond" w:cs="Arial"/>
          <w:sz w:val="24"/>
          <w:szCs w:val="24"/>
        </w:rPr>
        <w:t xml:space="preserve"> whilst</w:t>
      </w:r>
      <w:r w:rsidR="005658CD" w:rsidRPr="00E47A79">
        <w:rPr>
          <w:rFonts w:ascii="Garamond" w:hAnsi="Garamond" w:cs="Arial"/>
          <w:sz w:val="24"/>
          <w:szCs w:val="24"/>
        </w:rPr>
        <w:t xml:space="preserve"> the risk profile of cannabis</w:t>
      </w:r>
      <w:r w:rsidR="0036549B" w:rsidRPr="00E47A79">
        <w:rPr>
          <w:rFonts w:ascii="Garamond" w:hAnsi="Garamond" w:cs="Arial"/>
          <w:sz w:val="24"/>
          <w:szCs w:val="24"/>
        </w:rPr>
        <w:t xml:space="preserve"> was</w:t>
      </w:r>
      <w:r w:rsidR="005658CD" w:rsidRPr="00E47A79">
        <w:rPr>
          <w:rFonts w:ascii="Garamond" w:hAnsi="Garamond" w:cs="Arial"/>
          <w:sz w:val="24"/>
          <w:szCs w:val="24"/>
        </w:rPr>
        <w:t xml:space="preserve"> not completely benign</w:t>
      </w:r>
      <w:r w:rsidR="00B677DA" w:rsidRPr="00E47A79">
        <w:rPr>
          <w:rFonts w:ascii="Garamond" w:hAnsi="Garamond" w:cs="Arial"/>
          <w:sz w:val="24"/>
          <w:szCs w:val="24"/>
        </w:rPr>
        <w:t>, the adverse effects were ‘</w:t>
      </w:r>
      <w:r w:rsidR="005658CD" w:rsidRPr="00E47A79">
        <w:rPr>
          <w:rFonts w:ascii="Garamond" w:hAnsi="Garamond" w:cs="Arial"/>
          <w:sz w:val="24"/>
          <w:szCs w:val="24"/>
        </w:rPr>
        <w:t>within the range tolerated for other medications’.</w:t>
      </w:r>
      <w:r w:rsidR="00B677DA" w:rsidRPr="00E47A79">
        <w:rPr>
          <w:rStyle w:val="FootnoteReference"/>
          <w:rFonts w:ascii="Garamond" w:hAnsi="Garamond" w:cs="Arial"/>
          <w:sz w:val="24"/>
          <w:szCs w:val="24"/>
        </w:rPr>
        <w:footnoteReference w:id="220"/>
      </w:r>
      <w:r w:rsidR="005658CD" w:rsidRPr="00E47A79">
        <w:rPr>
          <w:rFonts w:ascii="Garamond" w:hAnsi="Garamond" w:cs="Arial"/>
          <w:sz w:val="24"/>
          <w:szCs w:val="24"/>
        </w:rPr>
        <w:t xml:space="preserve"> </w:t>
      </w:r>
      <w:r w:rsidR="006C09E1" w:rsidRPr="00E47A79">
        <w:rPr>
          <w:rFonts w:ascii="Garamond" w:hAnsi="Garamond" w:cs="Arial"/>
          <w:sz w:val="24"/>
          <w:szCs w:val="24"/>
        </w:rPr>
        <w:t>There is perhaps doubt whether the evidence from an expert who practices o</w:t>
      </w:r>
      <w:r w:rsidR="00066120" w:rsidRPr="00E47A79">
        <w:rPr>
          <w:rFonts w:ascii="Garamond" w:hAnsi="Garamond" w:cs="Arial"/>
          <w:sz w:val="24"/>
          <w:szCs w:val="24"/>
        </w:rPr>
        <w:t>utside the UK</w:t>
      </w:r>
      <w:r w:rsidR="006C09E1" w:rsidRPr="00E47A79">
        <w:rPr>
          <w:rFonts w:ascii="Garamond" w:hAnsi="Garamond" w:cs="Arial"/>
          <w:sz w:val="24"/>
          <w:szCs w:val="24"/>
        </w:rPr>
        <w:t xml:space="preserve"> would have the same weight as an expert from the instant jurisdiction</w:t>
      </w:r>
      <w:r w:rsidR="00E8194D" w:rsidRPr="00E47A79">
        <w:rPr>
          <w:rFonts w:ascii="Garamond" w:hAnsi="Garamond" w:cs="Arial"/>
          <w:sz w:val="24"/>
          <w:szCs w:val="24"/>
        </w:rPr>
        <w:t>,</w:t>
      </w:r>
      <w:r w:rsidR="0076177D" w:rsidRPr="00E47A79">
        <w:rPr>
          <w:rFonts w:ascii="Garamond" w:hAnsi="Garamond" w:cs="Arial"/>
          <w:sz w:val="24"/>
          <w:szCs w:val="24"/>
        </w:rPr>
        <w:t xml:space="preserve"> but</w:t>
      </w:r>
      <w:r w:rsidR="00E70766" w:rsidRPr="00E47A79">
        <w:rPr>
          <w:rFonts w:ascii="Garamond" w:hAnsi="Garamond" w:cs="Arial"/>
          <w:sz w:val="24"/>
          <w:szCs w:val="24"/>
        </w:rPr>
        <w:t xml:space="preserve"> in areas where </w:t>
      </w:r>
      <w:r w:rsidR="00E70766" w:rsidRPr="00E47A79">
        <w:rPr>
          <w:rFonts w:ascii="Garamond" w:hAnsi="Garamond" w:cs="Arial"/>
          <w:sz w:val="24"/>
          <w:szCs w:val="24"/>
        </w:rPr>
        <w:lastRenderedPageBreak/>
        <w:t>little expertise exists there is certainly evidence to suggest that a court would not discount th</w:t>
      </w:r>
      <w:r w:rsidR="00066120" w:rsidRPr="00E47A79">
        <w:rPr>
          <w:rFonts w:ascii="Garamond" w:hAnsi="Garamond" w:cs="Arial"/>
          <w:sz w:val="24"/>
          <w:szCs w:val="24"/>
        </w:rPr>
        <w:t>e</w:t>
      </w:r>
      <w:r w:rsidR="00E70766" w:rsidRPr="00E47A79">
        <w:rPr>
          <w:rFonts w:ascii="Garamond" w:hAnsi="Garamond" w:cs="Arial"/>
          <w:sz w:val="24"/>
          <w:szCs w:val="24"/>
        </w:rPr>
        <w:t xml:space="preserve"> </w:t>
      </w:r>
      <w:r w:rsidR="00CF3EC3" w:rsidRPr="00E47A79">
        <w:rPr>
          <w:rFonts w:ascii="Garamond" w:hAnsi="Garamond" w:cs="Arial"/>
          <w:sz w:val="24"/>
          <w:szCs w:val="24"/>
        </w:rPr>
        <w:t>opinion</w:t>
      </w:r>
      <w:r w:rsidR="00066120" w:rsidRPr="00E47A79">
        <w:rPr>
          <w:rFonts w:ascii="Garamond" w:hAnsi="Garamond" w:cs="Arial"/>
          <w:sz w:val="24"/>
          <w:szCs w:val="24"/>
        </w:rPr>
        <w:t xml:space="preserve"> of an expert </w:t>
      </w:r>
      <w:r w:rsidR="00A73737" w:rsidRPr="00E47A79">
        <w:rPr>
          <w:rFonts w:ascii="Garamond" w:hAnsi="Garamond" w:cs="Arial"/>
          <w:sz w:val="24"/>
          <w:szCs w:val="24"/>
        </w:rPr>
        <w:t>who practices</w:t>
      </w:r>
      <w:r w:rsidR="00066120" w:rsidRPr="00E47A79">
        <w:rPr>
          <w:rFonts w:ascii="Garamond" w:hAnsi="Garamond" w:cs="Arial"/>
          <w:sz w:val="24"/>
          <w:szCs w:val="24"/>
        </w:rPr>
        <w:t xml:space="preserve"> overseas</w:t>
      </w:r>
      <w:r w:rsidR="00E70766" w:rsidRPr="00E47A79">
        <w:rPr>
          <w:rFonts w:ascii="Garamond" w:hAnsi="Garamond" w:cs="Arial"/>
          <w:sz w:val="24"/>
          <w:szCs w:val="24"/>
        </w:rPr>
        <w:t>.</w:t>
      </w:r>
      <w:r w:rsidR="00E70766" w:rsidRPr="00E47A79">
        <w:rPr>
          <w:rStyle w:val="FootnoteReference"/>
          <w:rFonts w:ascii="Garamond" w:hAnsi="Garamond" w:cs="Arial"/>
          <w:sz w:val="24"/>
          <w:szCs w:val="24"/>
        </w:rPr>
        <w:footnoteReference w:id="221"/>
      </w:r>
    </w:p>
    <w:p w14:paraId="7467669D" w14:textId="0BA139A7" w:rsidR="003374A9" w:rsidRPr="00E47A79" w:rsidRDefault="00D97B78" w:rsidP="00A601B9">
      <w:pPr>
        <w:spacing w:line="360" w:lineRule="auto"/>
        <w:jc w:val="center"/>
        <w:rPr>
          <w:rFonts w:ascii="Garamond" w:hAnsi="Garamond"/>
          <w:i/>
          <w:iCs/>
          <w:sz w:val="24"/>
          <w:szCs w:val="24"/>
        </w:rPr>
      </w:pPr>
      <w:r w:rsidRPr="00E47A79">
        <w:rPr>
          <w:rFonts w:ascii="Garamond" w:hAnsi="Garamond"/>
          <w:i/>
          <w:iCs/>
          <w:sz w:val="24"/>
          <w:szCs w:val="24"/>
        </w:rPr>
        <w:t>B.</w:t>
      </w:r>
      <w:r w:rsidR="003374A9" w:rsidRPr="00E47A79">
        <w:rPr>
          <w:rFonts w:ascii="Garamond" w:hAnsi="Garamond"/>
          <w:i/>
          <w:iCs/>
          <w:sz w:val="24"/>
          <w:szCs w:val="24"/>
        </w:rPr>
        <w:t xml:space="preserve"> </w:t>
      </w:r>
      <w:r w:rsidR="003952EE" w:rsidRPr="00E47A79">
        <w:rPr>
          <w:rFonts w:ascii="Garamond" w:hAnsi="Garamond"/>
          <w:i/>
          <w:iCs/>
          <w:sz w:val="24"/>
          <w:szCs w:val="24"/>
        </w:rPr>
        <w:t>‘</w:t>
      </w:r>
      <w:r w:rsidR="00E52618" w:rsidRPr="00E47A79">
        <w:rPr>
          <w:rFonts w:ascii="Garamond" w:hAnsi="Garamond"/>
          <w:i/>
          <w:iCs/>
          <w:sz w:val="24"/>
          <w:szCs w:val="24"/>
        </w:rPr>
        <w:t>Responsible</w:t>
      </w:r>
      <w:r w:rsidR="003952EE" w:rsidRPr="00E47A79">
        <w:rPr>
          <w:rFonts w:ascii="Garamond" w:hAnsi="Garamond"/>
          <w:i/>
          <w:iCs/>
          <w:sz w:val="24"/>
          <w:szCs w:val="24"/>
        </w:rPr>
        <w:t>’</w:t>
      </w:r>
      <w:r w:rsidR="005E606A" w:rsidRPr="00E47A79">
        <w:rPr>
          <w:rFonts w:ascii="Garamond" w:hAnsi="Garamond"/>
          <w:i/>
          <w:iCs/>
          <w:sz w:val="24"/>
          <w:szCs w:val="24"/>
        </w:rPr>
        <w:t xml:space="preserve"> </w:t>
      </w:r>
      <w:r w:rsidR="003952EE" w:rsidRPr="00E47A79">
        <w:rPr>
          <w:rFonts w:ascii="Garamond" w:hAnsi="Garamond"/>
          <w:i/>
          <w:iCs/>
          <w:sz w:val="24"/>
          <w:szCs w:val="24"/>
        </w:rPr>
        <w:t>e</w:t>
      </w:r>
      <w:r w:rsidR="005E606A" w:rsidRPr="00E47A79">
        <w:rPr>
          <w:rFonts w:ascii="Garamond" w:hAnsi="Garamond"/>
          <w:i/>
          <w:iCs/>
          <w:sz w:val="24"/>
          <w:szCs w:val="24"/>
        </w:rPr>
        <w:t>xperts &amp;</w:t>
      </w:r>
      <w:r w:rsidR="00E52618" w:rsidRPr="00E47A79">
        <w:rPr>
          <w:rFonts w:ascii="Garamond" w:hAnsi="Garamond"/>
          <w:i/>
          <w:iCs/>
          <w:sz w:val="24"/>
          <w:szCs w:val="24"/>
        </w:rPr>
        <w:t xml:space="preserve"> </w:t>
      </w:r>
      <w:r w:rsidR="003952EE" w:rsidRPr="00E47A79">
        <w:rPr>
          <w:rFonts w:ascii="Garamond" w:hAnsi="Garamond"/>
          <w:i/>
          <w:iCs/>
          <w:sz w:val="24"/>
          <w:szCs w:val="24"/>
        </w:rPr>
        <w:t>‘l</w:t>
      </w:r>
      <w:r w:rsidR="003374A9" w:rsidRPr="00E47A79">
        <w:rPr>
          <w:rFonts w:ascii="Garamond" w:hAnsi="Garamond"/>
          <w:i/>
          <w:iCs/>
          <w:sz w:val="24"/>
          <w:szCs w:val="24"/>
        </w:rPr>
        <w:t>ogicality</w:t>
      </w:r>
      <w:r w:rsidR="003952EE" w:rsidRPr="00E47A79">
        <w:rPr>
          <w:rFonts w:ascii="Garamond" w:hAnsi="Garamond"/>
          <w:i/>
          <w:iCs/>
          <w:sz w:val="24"/>
          <w:szCs w:val="24"/>
        </w:rPr>
        <w:t>’</w:t>
      </w:r>
      <w:r w:rsidR="005E606A" w:rsidRPr="00E47A79">
        <w:rPr>
          <w:rFonts w:ascii="Garamond" w:hAnsi="Garamond"/>
          <w:i/>
          <w:iCs/>
          <w:sz w:val="24"/>
          <w:szCs w:val="24"/>
        </w:rPr>
        <w:t>:</w:t>
      </w:r>
      <w:r w:rsidR="003374A9" w:rsidRPr="00E47A79">
        <w:rPr>
          <w:rFonts w:ascii="Garamond" w:hAnsi="Garamond"/>
          <w:i/>
          <w:iCs/>
          <w:sz w:val="24"/>
          <w:szCs w:val="24"/>
        </w:rPr>
        <w:t xml:space="preserve"> unlicensed status and the absence of positive RCT evidence</w:t>
      </w:r>
    </w:p>
    <w:p w14:paraId="53E0374E" w14:textId="6EFFE556" w:rsidR="005B2483" w:rsidRPr="00E47A79" w:rsidRDefault="00043C8B" w:rsidP="00156F07">
      <w:pPr>
        <w:spacing w:line="360" w:lineRule="auto"/>
        <w:rPr>
          <w:rFonts w:ascii="Garamond" w:hAnsi="Garamond"/>
          <w:sz w:val="24"/>
          <w:szCs w:val="24"/>
        </w:rPr>
      </w:pPr>
      <w:r w:rsidRPr="00E47A79">
        <w:rPr>
          <w:rFonts w:ascii="Garamond" w:hAnsi="Garamond"/>
          <w:sz w:val="24"/>
          <w:szCs w:val="24"/>
        </w:rPr>
        <w:t>One key question may be whether</w:t>
      </w:r>
      <w:r w:rsidR="00B66447" w:rsidRPr="00E47A79">
        <w:rPr>
          <w:rFonts w:ascii="Garamond" w:hAnsi="Garamond"/>
          <w:sz w:val="24"/>
          <w:szCs w:val="24"/>
        </w:rPr>
        <w:t xml:space="preserve"> </w:t>
      </w:r>
      <w:r w:rsidRPr="00E47A79">
        <w:rPr>
          <w:rFonts w:ascii="Garamond" w:hAnsi="Garamond"/>
          <w:sz w:val="24"/>
          <w:szCs w:val="24"/>
        </w:rPr>
        <w:t xml:space="preserve">expert </w:t>
      </w:r>
      <w:r w:rsidR="00B66447" w:rsidRPr="00E47A79">
        <w:rPr>
          <w:rFonts w:ascii="Garamond" w:hAnsi="Garamond"/>
          <w:sz w:val="24"/>
          <w:szCs w:val="24"/>
        </w:rPr>
        <w:t xml:space="preserve">evidence supporting the prescription of unlicensed CBMPs in the absence of positive RCT evidence </w:t>
      </w:r>
      <w:r w:rsidRPr="00E47A79">
        <w:rPr>
          <w:rFonts w:ascii="Garamond" w:hAnsi="Garamond"/>
          <w:sz w:val="24"/>
          <w:szCs w:val="24"/>
        </w:rPr>
        <w:t xml:space="preserve">can </w:t>
      </w:r>
      <w:r w:rsidR="00B66447" w:rsidRPr="00E47A79">
        <w:rPr>
          <w:rFonts w:ascii="Garamond" w:hAnsi="Garamond"/>
          <w:sz w:val="24"/>
          <w:szCs w:val="24"/>
        </w:rPr>
        <w:t xml:space="preserve">satisfy the ‘respectable’ and ‘logicality’ thresholds embedded in the </w:t>
      </w:r>
      <w:proofErr w:type="spellStart"/>
      <w:r w:rsidR="00B66447" w:rsidRPr="00E47A79">
        <w:rPr>
          <w:rFonts w:ascii="Garamond" w:hAnsi="Garamond"/>
          <w:i/>
          <w:iCs/>
          <w:sz w:val="24"/>
          <w:szCs w:val="24"/>
        </w:rPr>
        <w:t>Bolam</w:t>
      </w:r>
      <w:proofErr w:type="spellEnd"/>
      <w:r w:rsidR="00B66447" w:rsidRPr="00E47A79">
        <w:rPr>
          <w:rFonts w:ascii="Garamond" w:hAnsi="Garamond"/>
          <w:i/>
          <w:iCs/>
          <w:sz w:val="24"/>
          <w:szCs w:val="24"/>
        </w:rPr>
        <w:t xml:space="preserve">-Bolitho </w:t>
      </w:r>
      <w:r w:rsidR="00B66447" w:rsidRPr="00E47A79">
        <w:rPr>
          <w:rFonts w:ascii="Garamond" w:hAnsi="Garamond"/>
          <w:sz w:val="24"/>
          <w:szCs w:val="24"/>
        </w:rPr>
        <w:t>configuration of the standard of care</w:t>
      </w:r>
      <w:r w:rsidR="001A213D" w:rsidRPr="00E47A79">
        <w:rPr>
          <w:rFonts w:ascii="Garamond" w:hAnsi="Garamond"/>
          <w:sz w:val="24"/>
          <w:szCs w:val="24"/>
        </w:rPr>
        <w:t>.</w:t>
      </w:r>
      <w:r w:rsidR="00B66447" w:rsidRPr="00E47A79">
        <w:rPr>
          <w:rFonts w:ascii="Garamond" w:hAnsi="Garamond"/>
          <w:sz w:val="24"/>
          <w:szCs w:val="24"/>
        </w:rPr>
        <w:t xml:space="preserve"> </w:t>
      </w:r>
      <w:r w:rsidR="0020127A" w:rsidRPr="00E47A79">
        <w:rPr>
          <w:rFonts w:ascii="Garamond" w:hAnsi="Garamond"/>
          <w:sz w:val="24"/>
          <w:szCs w:val="24"/>
        </w:rPr>
        <w:t xml:space="preserve">Before a judge can accept expert opinion as being ‘responsible, reasonable or respectable’, they </w:t>
      </w:r>
      <w:r w:rsidR="00156F07" w:rsidRPr="00E47A79">
        <w:rPr>
          <w:rFonts w:ascii="Garamond" w:hAnsi="Garamond"/>
          <w:sz w:val="24"/>
          <w:szCs w:val="24"/>
        </w:rPr>
        <w:t>must</w:t>
      </w:r>
      <w:r w:rsidR="0020127A" w:rsidRPr="00E47A79">
        <w:rPr>
          <w:rFonts w:ascii="Garamond" w:hAnsi="Garamond"/>
          <w:sz w:val="24"/>
          <w:szCs w:val="24"/>
        </w:rPr>
        <w:t xml:space="preserve"> be satisfied that the experts have </w:t>
      </w:r>
      <w:r w:rsidR="000A547D" w:rsidRPr="00E47A79">
        <w:rPr>
          <w:rFonts w:ascii="Garamond" w:hAnsi="Garamond"/>
          <w:sz w:val="24"/>
          <w:szCs w:val="24"/>
        </w:rPr>
        <w:t>‘</w:t>
      </w:r>
      <w:r w:rsidR="0020127A" w:rsidRPr="00E47A79">
        <w:rPr>
          <w:rFonts w:ascii="Garamond" w:hAnsi="Garamond"/>
          <w:sz w:val="24"/>
          <w:szCs w:val="24"/>
        </w:rPr>
        <w:t>directed their minds to the question of comparative risks and benefits and have reached a defensible conclusion.’</w:t>
      </w:r>
      <w:r w:rsidR="000A547D" w:rsidRPr="00E47A79">
        <w:rPr>
          <w:rStyle w:val="FootnoteReference"/>
          <w:rFonts w:ascii="Garamond" w:hAnsi="Garamond"/>
          <w:sz w:val="24"/>
          <w:szCs w:val="24"/>
        </w:rPr>
        <w:footnoteReference w:id="222"/>
      </w:r>
      <w:r w:rsidR="0020127A" w:rsidRPr="00E47A79">
        <w:rPr>
          <w:rFonts w:ascii="Garamond" w:hAnsi="Garamond"/>
          <w:sz w:val="24"/>
          <w:szCs w:val="24"/>
        </w:rPr>
        <w:t xml:space="preserve"> </w:t>
      </w:r>
      <w:r w:rsidR="003804A1" w:rsidRPr="00E47A79">
        <w:rPr>
          <w:rFonts w:ascii="Garamond" w:hAnsi="Garamond"/>
          <w:sz w:val="24"/>
          <w:szCs w:val="24"/>
        </w:rPr>
        <w:t>‘Medical hubris’ must not overtake ‘clinical judgement’</w:t>
      </w:r>
      <w:r w:rsidR="003804A1" w:rsidRPr="00E47A79">
        <w:rPr>
          <w:rStyle w:val="FootnoteReference"/>
          <w:rFonts w:ascii="Garamond" w:hAnsi="Garamond"/>
          <w:sz w:val="24"/>
          <w:szCs w:val="24"/>
        </w:rPr>
        <w:footnoteReference w:id="223"/>
      </w:r>
      <w:r w:rsidR="003804A1" w:rsidRPr="00E47A79">
        <w:rPr>
          <w:rFonts w:ascii="Garamond" w:hAnsi="Garamond"/>
          <w:sz w:val="24"/>
          <w:szCs w:val="24"/>
        </w:rPr>
        <w:t xml:space="preserve">, and </w:t>
      </w:r>
      <w:r w:rsidR="00F268C0" w:rsidRPr="00E47A79">
        <w:rPr>
          <w:rFonts w:ascii="Garamond" w:hAnsi="Garamond"/>
          <w:sz w:val="24"/>
          <w:szCs w:val="24"/>
        </w:rPr>
        <w:t xml:space="preserve">for </w:t>
      </w:r>
      <w:r w:rsidR="00B45CEB" w:rsidRPr="00E47A79">
        <w:rPr>
          <w:rFonts w:ascii="Garamond" w:hAnsi="Garamond"/>
          <w:sz w:val="24"/>
          <w:szCs w:val="24"/>
        </w:rPr>
        <w:t xml:space="preserve">an </w:t>
      </w:r>
      <w:r w:rsidR="00F268C0" w:rsidRPr="00E47A79">
        <w:rPr>
          <w:rFonts w:ascii="Garamond" w:hAnsi="Garamond"/>
          <w:sz w:val="24"/>
          <w:szCs w:val="24"/>
        </w:rPr>
        <w:t>expert</w:t>
      </w:r>
      <w:r w:rsidR="00B45CEB" w:rsidRPr="00E47A79">
        <w:rPr>
          <w:rFonts w:ascii="Garamond" w:hAnsi="Garamond"/>
          <w:sz w:val="24"/>
          <w:szCs w:val="24"/>
        </w:rPr>
        <w:t xml:space="preserve"> giving</w:t>
      </w:r>
      <w:r w:rsidR="00F268C0" w:rsidRPr="00E47A79">
        <w:rPr>
          <w:rFonts w:ascii="Garamond" w:hAnsi="Garamond"/>
          <w:sz w:val="24"/>
          <w:szCs w:val="24"/>
        </w:rPr>
        <w:t xml:space="preserve"> evidence to satisfy a judge that </w:t>
      </w:r>
      <w:r w:rsidR="00B45CEB" w:rsidRPr="00E47A79">
        <w:rPr>
          <w:rFonts w:ascii="Garamond" w:hAnsi="Garamond"/>
          <w:sz w:val="24"/>
          <w:szCs w:val="24"/>
        </w:rPr>
        <w:t>they are</w:t>
      </w:r>
      <w:r w:rsidR="00F268C0" w:rsidRPr="00E47A79">
        <w:rPr>
          <w:rFonts w:ascii="Garamond" w:hAnsi="Garamond"/>
          <w:sz w:val="24"/>
          <w:szCs w:val="24"/>
        </w:rPr>
        <w:t xml:space="preserve"> ‘responsible</w:t>
      </w:r>
      <w:r w:rsidR="00B45CEB" w:rsidRPr="00E47A79">
        <w:rPr>
          <w:rFonts w:ascii="Garamond" w:hAnsi="Garamond"/>
          <w:sz w:val="24"/>
          <w:szCs w:val="24"/>
        </w:rPr>
        <w:t>,</w:t>
      </w:r>
      <w:r w:rsidR="00F268C0" w:rsidRPr="00E47A79">
        <w:rPr>
          <w:rFonts w:ascii="Garamond" w:hAnsi="Garamond"/>
          <w:sz w:val="24"/>
          <w:szCs w:val="24"/>
        </w:rPr>
        <w:t xml:space="preserve">’ </w:t>
      </w:r>
      <w:r w:rsidR="00B45CEB" w:rsidRPr="00E47A79">
        <w:rPr>
          <w:rFonts w:ascii="Garamond" w:hAnsi="Garamond"/>
          <w:sz w:val="24"/>
          <w:szCs w:val="24"/>
        </w:rPr>
        <w:t xml:space="preserve">they </w:t>
      </w:r>
      <w:r w:rsidR="00F268C0" w:rsidRPr="00E47A79">
        <w:rPr>
          <w:rFonts w:ascii="Garamond" w:hAnsi="Garamond"/>
          <w:sz w:val="24"/>
          <w:szCs w:val="24"/>
        </w:rPr>
        <w:t xml:space="preserve">should recognise the limitations of </w:t>
      </w:r>
      <w:r w:rsidR="00154126" w:rsidRPr="00E47A79">
        <w:rPr>
          <w:rFonts w:ascii="Garamond" w:hAnsi="Garamond"/>
          <w:sz w:val="24"/>
          <w:szCs w:val="24"/>
        </w:rPr>
        <w:t>the</w:t>
      </w:r>
      <w:r w:rsidR="00B45CEB" w:rsidRPr="00E47A79">
        <w:rPr>
          <w:rFonts w:ascii="Garamond" w:hAnsi="Garamond"/>
          <w:sz w:val="24"/>
          <w:szCs w:val="24"/>
        </w:rPr>
        <w:t>ir knowledge.</w:t>
      </w:r>
      <w:r w:rsidR="003804A1" w:rsidRPr="00E47A79">
        <w:rPr>
          <w:rFonts w:ascii="Garamond" w:hAnsi="Garamond"/>
          <w:sz w:val="24"/>
          <w:szCs w:val="24"/>
        </w:rPr>
        <w:t xml:space="preserve"> </w:t>
      </w:r>
      <w:r w:rsidR="00F268C0" w:rsidRPr="00E47A79">
        <w:rPr>
          <w:rFonts w:ascii="Garamond" w:hAnsi="Garamond"/>
          <w:sz w:val="24"/>
          <w:szCs w:val="24"/>
        </w:rPr>
        <w:t xml:space="preserve">These issues concern the framing of the expert opinion, </w:t>
      </w:r>
      <w:r w:rsidR="006C0D2B" w:rsidRPr="00E47A79">
        <w:rPr>
          <w:rFonts w:ascii="Garamond" w:hAnsi="Garamond"/>
          <w:sz w:val="24"/>
          <w:szCs w:val="24"/>
        </w:rPr>
        <w:t>whether it makes the necessary concessions</w:t>
      </w:r>
      <w:r w:rsidR="006C0D2B" w:rsidRPr="00E47A79">
        <w:rPr>
          <w:rStyle w:val="FootnoteReference"/>
          <w:rFonts w:ascii="Garamond" w:hAnsi="Garamond"/>
          <w:sz w:val="24"/>
          <w:szCs w:val="24"/>
        </w:rPr>
        <w:footnoteReference w:id="224"/>
      </w:r>
      <w:r w:rsidR="00541404" w:rsidRPr="00E47A79">
        <w:rPr>
          <w:rFonts w:ascii="Garamond" w:hAnsi="Garamond"/>
          <w:sz w:val="24"/>
          <w:szCs w:val="24"/>
        </w:rPr>
        <w:t xml:space="preserve">, </w:t>
      </w:r>
      <w:r w:rsidR="00F268C0" w:rsidRPr="00E47A79">
        <w:rPr>
          <w:rFonts w:ascii="Garamond" w:hAnsi="Garamond"/>
          <w:sz w:val="24"/>
          <w:szCs w:val="24"/>
        </w:rPr>
        <w:t>the source of expertise (</w:t>
      </w:r>
      <w:proofErr w:type="gramStart"/>
      <w:r w:rsidR="00F268C0" w:rsidRPr="00E47A79">
        <w:rPr>
          <w:rFonts w:ascii="Garamond" w:hAnsi="Garamond"/>
          <w:sz w:val="24"/>
          <w:szCs w:val="24"/>
        </w:rPr>
        <w:t>e</w:t>
      </w:r>
      <w:r w:rsidR="00B45CEB" w:rsidRPr="00E47A79">
        <w:rPr>
          <w:rFonts w:ascii="Garamond" w:hAnsi="Garamond"/>
          <w:sz w:val="24"/>
          <w:szCs w:val="24"/>
        </w:rPr>
        <w:t>.</w:t>
      </w:r>
      <w:r w:rsidR="00F268C0" w:rsidRPr="00E47A79">
        <w:rPr>
          <w:rFonts w:ascii="Garamond" w:hAnsi="Garamond"/>
          <w:sz w:val="24"/>
          <w:szCs w:val="24"/>
        </w:rPr>
        <w:t>g</w:t>
      </w:r>
      <w:r w:rsidR="00B45CEB" w:rsidRPr="00E47A79">
        <w:rPr>
          <w:rFonts w:ascii="Garamond" w:hAnsi="Garamond"/>
          <w:sz w:val="24"/>
          <w:szCs w:val="24"/>
        </w:rPr>
        <w:t>.</w:t>
      </w:r>
      <w:proofErr w:type="gramEnd"/>
      <w:r w:rsidR="00F268C0" w:rsidRPr="00E47A79">
        <w:rPr>
          <w:rFonts w:ascii="Garamond" w:hAnsi="Garamond"/>
          <w:sz w:val="24"/>
          <w:szCs w:val="24"/>
        </w:rPr>
        <w:t xml:space="preserve"> whether that expertise draws from years of relevant clinical experience and remains current</w:t>
      </w:r>
      <w:r w:rsidR="00E50606" w:rsidRPr="00E47A79">
        <w:rPr>
          <w:rFonts w:ascii="Garamond" w:hAnsi="Garamond"/>
          <w:sz w:val="24"/>
          <w:szCs w:val="24"/>
        </w:rPr>
        <w:t xml:space="preserve"> and whether it is </w:t>
      </w:r>
      <w:r w:rsidR="00CF3EC3" w:rsidRPr="00E47A79">
        <w:rPr>
          <w:rFonts w:ascii="Garamond" w:hAnsi="Garamond"/>
          <w:sz w:val="24"/>
          <w:szCs w:val="24"/>
        </w:rPr>
        <w:t xml:space="preserve">contextualised </w:t>
      </w:r>
      <w:r w:rsidR="00E50606" w:rsidRPr="00E47A79">
        <w:rPr>
          <w:rFonts w:ascii="Garamond" w:hAnsi="Garamond"/>
          <w:sz w:val="24"/>
          <w:szCs w:val="24"/>
        </w:rPr>
        <w:t>in terms of relevant professional guidance</w:t>
      </w:r>
      <w:r w:rsidR="00F268C0" w:rsidRPr="00E47A79">
        <w:rPr>
          <w:rFonts w:ascii="Garamond" w:hAnsi="Garamond"/>
          <w:sz w:val="24"/>
          <w:szCs w:val="24"/>
        </w:rPr>
        <w:t xml:space="preserve">). </w:t>
      </w:r>
      <w:r w:rsidR="00541404" w:rsidRPr="00E47A79">
        <w:rPr>
          <w:rFonts w:ascii="Garamond" w:hAnsi="Garamond"/>
          <w:sz w:val="24"/>
          <w:szCs w:val="24"/>
        </w:rPr>
        <w:t xml:space="preserve">The </w:t>
      </w:r>
      <w:r w:rsidR="00E50606" w:rsidRPr="00E47A79">
        <w:rPr>
          <w:rFonts w:ascii="Garamond" w:hAnsi="Garamond"/>
          <w:sz w:val="24"/>
          <w:szCs w:val="24"/>
        </w:rPr>
        <w:t>expert evidence</w:t>
      </w:r>
      <w:r w:rsidR="00CF3EC3" w:rsidRPr="00E47A79">
        <w:rPr>
          <w:rFonts w:ascii="Garamond" w:hAnsi="Garamond"/>
          <w:sz w:val="24"/>
          <w:szCs w:val="24"/>
        </w:rPr>
        <w:t>,</w:t>
      </w:r>
      <w:r w:rsidR="00E50606" w:rsidRPr="00E47A79">
        <w:rPr>
          <w:rFonts w:ascii="Garamond" w:hAnsi="Garamond"/>
          <w:sz w:val="24"/>
          <w:szCs w:val="24"/>
        </w:rPr>
        <w:t xml:space="preserve"> if departing</w:t>
      </w:r>
      <w:r w:rsidR="00541404" w:rsidRPr="00E47A79">
        <w:rPr>
          <w:rFonts w:ascii="Garamond" w:hAnsi="Garamond"/>
          <w:sz w:val="24"/>
          <w:szCs w:val="24"/>
        </w:rPr>
        <w:t xml:space="preserve"> from such guidance</w:t>
      </w:r>
      <w:r w:rsidR="00E50606" w:rsidRPr="00E47A79">
        <w:rPr>
          <w:rFonts w:ascii="Garamond" w:hAnsi="Garamond"/>
          <w:sz w:val="24"/>
          <w:szCs w:val="24"/>
        </w:rPr>
        <w:t xml:space="preserve">, </w:t>
      </w:r>
      <w:r w:rsidR="00B45CEB" w:rsidRPr="00E47A79">
        <w:rPr>
          <w:rFonts w:ascii="Garamond" w:hAnsi="Garamond"/>
          <w:sz w:val="24"/>
          <w:szCs w:val="24"/>
        </w:rPr>
        <w:t xml:space="preserve">must </w:t>
      </w:r>
      <w:r w:rsidR="00E50606" w:rsidRPr="00E47A79">
        <w:rPr>
          <w:rFonts w:ascii="Garamond" w:hAnsi="Garamond"/>
          <w:sz w:val="24"/>
          <w:szCs w:val="24"/>
        </w:rPr>
        <w:t>show carefully reasoned arguments for such departure (on which</w:t>
      </w:r>
      <w:r w:rsidR="001A213D" w:rsidRPr="00E47A79">
        <w:rPr>
          <w:rFonts w:ascii="Garamond" w:hAnsi="Garamond"/>
          <w:sz w:val="24"/>
          <w:szCs w:val="24"/>
        </w:rPr>
        <w:t>,</w:t>
      </w:r>
      <w:r w:rsidR="00E50606" w:rsidRPr="00E47A79">
        <w:rPr>
          <w:rFonts w:ascii="Garamond" w:hAnsi="Garamond"/>
          <w:sz w:val="24"/>
          <w:szCs w:val="24"/>
        </w:rPr>
        <w:t xml:space="preserve"> see section C below). </w:t>
      </w:r>
      <w:r w:rsidR="00F268C0" w:rsidRPr="00E47A79">
        <w:rPr>
          <w:rFonts w:ascii="Garamond" w:hAnsi="Garamond"/>
          <w:sz w:val="24"/>
          <w:szCs w:val="24"/>
        </w:rPr>
        <w:t xml:space="preserve"> </w:t>
      </w:r>
    </w:p>
    <w:p w14:paraId="2DFA7D8B" w14:textId="2A4BE0B9" w:rsidR="008B1FD0" w:rsidRPr="00E47A79" w:rsidRDefault="001A213D" w:rsidP="008B1FD0">
      <w:pPr>
        <w:spacing w:line="360" w:lineRule="auto"/>
        <w:rPr>
          <w:rFonts w:ascii="Garamond" w:hAnsi="Garamond"/>
          <w:sz w:val="24"/>
          <w:szCs w:val="24"/>
        </w:rPr>
      </w:pPr>
      <w:r w:rsidRPr="00E47A79">
        <w:rPr>
          <w:rFonts w:ascii="Garamond" w:hAnsi="Garamond"/>
          <w:sz w:val="24"/>
          <w:szCs w:val="24"/>
        </w:rPr>
        <w:t>On ‘</w:t>
      </w:r>
      <w:r w:rsidR="003374A9" w:rsidRPr="00E47A79">
        <w:rPr>
          <w:rFonts w:ascii="Garamond" w:hAnsi="Garamond"/>
          <w:sz w:val="24"/>
          <w:szCs w:val="24"/>
        </w:rPr>
        <w:t>withstand</w:t>
      </w:r>
      <w:r w:rsidRPr="00E47A79">
        <w:rPr>
          <w:rFonts w:ascii="Garamond" w:hAnsi="Garamond"/>
          <w:sz w:val="24"/>
          <w:szCs w:val="24"/>
        </w:rPr>
        <w:t>ing</w:t>
      </w:r>
      <w:r w:rsidR="003374A9" w:rsidRPr="00E47A79">
        <w:rPr>
          <w:rFonts w:ascii="Garamond" w:hAnsi="Garamond"/>
          <w:sz w:val="24"/>
          <w:szCs w:val="24"/>
        </w:rPr>
        <w:t xml:space="preserve"> logical analysis</w:t>
      </w:r>
      <w:r w:rsidRPr="00E47A79">
        <w:rPr>
          <w:rFonts w:ascii="Garamond" w:hAnsi="Garamond"/>
          <w:sz w:val="24"/>
          <w:szCs w:val="24"/>
        </w:rPr>
        <w:t>’</w:t>
      </w:r>
      <w:r w:rsidR="002D480C" w:rsidRPr="00E47A79">
        <w:rPr>
          <w:rFonts w:ascii="Garamond" w:hAnsi="Garamond"/>
          <w:sz w:val="24"/>
          <w:szCs w:val="24"/>
        </w:rPr>
        <w:t>, f</w:t>
      </w:r>
      <w:r w:rsidR="003374A9" w:rsidRPr="00E47A79">
        <w:rPr>
          <w:rFonts w:ascii="Garamond" w:hAnsi="Garamond"/>
          <w:sz w:val="24"/>
          <w:szCs w:val="24"/>
        </w:rPr>
        <w:t xml:space="preserve">irst, </w:t>
      </w:r>
      <w:proofErr w:type="gramStart"/>
      <w:r w:rsidR="003374A9" w:rsidRPr="00E47A79">
        <w:rPr>
          <w:rFonts w:ascii="Garamond" w:hAnsi="Garamond"/>
          <w:sz w:val="24"/>
          <w:szCs w:val="24"/>
        </w:rPr>
        <w:t>it is clear that</w:t>
      </w:r>
      <w:r w:rsidRPr="00E47A79">
        <w:rPr>
          <w:rFonts w:ascii="Garamond" w:hAnsi="Garamond"/>
          <w:sz w:val="24"/>
          <w:szCs w:val="24"/>
        </w:rPr>
        <w:t xml:space="preserve"> both</w:t>
      </w:r>
      <w:proofErr w:type="gramEnd"/>
      <w:r w:rsidR="003374A9" w:rsidRPr="00E47A79">
        <w:rPr>
          <w:rFonts w:ascii="Garamond" w:hAnsi="Garamond"/>
          <w:sz w:val="24"/>
          <w:szCs w:val="24"/>
        </w:rPr>
        <w:t xml:space="preserve"> the prescription of unlicensed medicines and the</w:t>
      </w:r>
      <w:r w:rsidR="00CF3EC3" w:rsidRPr="00E47A79">
        <w:rPr>
          <w:rFonts w:ascii="Garamond" w:hAnsi="Garamond"/>
          <w:sz w:val="24"/>
          <w:szCs w:val="24"/>
        </w:rPr>
        <w:t xml:space="preserve"> ‘off-label’</w:t>
      </w:r>
      <w:r w:rsidR="003374A9" w:rsidRPr="00E47A79">
        <w:rPr>
          <w:rFonts w:ascii="Garamond" w:hAnsi="Garamond"/>
          <w:sz w:val="24"/>
          <w:szCs w:val="24"/>
        </w:rPr>
        <w:t xml:space="preserve"> prescription of licensed medicines, </w:t>
      </w:r>
      <w:r w:rsidRPr="00E47A79">
        <w:rPr>
          <w:rFonts w:ascii="Garamond" w:hAnsi="Garamond"/>
          <w:sz w:val="24"/>
          <w:szCs w:val="24"/>
        </w:rPr>
        <w:t>are</w:t>
      </w:r>
      <w:r w:rsidR="003374A9" w:rsidRPr="00E47A79">
        <w:rPr>
          <w:rFonts w:ascii="Garamond" w:hAnsi="Garamond"/>
          <w:sz w:val="24"/>
          <w:szCs w:val="24"/>
        </w:rPr>
        <w:t xml:space="preserve"> </w:t>
      </w:r>
      <w:r w:rsidR="00B72893" w:rsidRPr="00E47A79">
        <w:rPr>
          <w:rFonts w:ascii="Garamond" w:hAnsi="Garamond"/>
          <w:sz w:val="24"/>
          <w:szCs w:val="24"/>
        </w:rPr>
        <w:t xml:space="preserve">accepted </w:t>
      </w:r>
      <w:r w:rsidRPr="00E47A79">
        <w:rPr>
          <w:rFonts w:ascii="Garamond" w:hAnsi="Garamond"/>
          <w:sz w:val="24"/>
          <w:szCs w:val="24"/>
        </w:rPr>
        <w:t>constituent</w:t>
      </w:r>
      <w:r w:rsidR="00AC0D9B" w:rsidRPr="00E47A79">
        <w:rPr>
          <w:rFonts w:ascii="Garamond" w:hAnsi="Garamond"/>
          <w:sz w:val="24"/>
          <w:szCs w:val="24"/>
        </w:rPr>
        <w:t>s</w:t>
      </w:r>
      <w:r w:rsidR="003374A9" w:rsidRPr="00E47A79">
        <w:rPr>
          <w:rFonts w:ascii="Garamond" w:hAnsi="Garamond"/>
          <w:sz w:val="24"/>
          <w:szCs w:val="24"/>
        </w:rPr>
        <w:t xml:space="preserve"> of modern medicine.</w:t>
      </w:r>
      <w:r w:rsidR="003374A9" w:rsidRPr="00E47A79">
        <w:rPr>
          <w:rFonts w:ascii="Garamond" w:hAnsi="Garamond"/>
          <w:sz w:val="24"/>
          <w:szCs w:val="24"/>
          <w:vertAlign w:val="superscript"/>
        </w:rPr>
        <w:footnoteReference w:id="225"/>
      </w:r>
      <w:r w:rsidR="003374A9" w:rsidRPr="00E47A79">
        <w:rPr>
          <w:rFonts w:ascii="Garamond" w:hAnsi="Garamond"/>
          <w:sz w:val="24"/>
          <w:szCs w:val="24"/>
        </w:rPr>
        <w:t xml:space="preserve"> Although the scale of these prescribing patterns is not known, doctors should be assured that prescribing an unlicensed medicine is not regarded as prime facie negligent. Indeed</w:t>
      </w:r>
      <w:r w:rsidRPr="00E47A79">
        <w:rPr>
          <w:rFonts w:ascii="Garamond" w:hAnsi="Garamond"/>
          <w:sz w:val="24"/>
          <w:szCs w:val="24"/>
        </w:rPr>
        <w:t>,</w:t>
      </w:r>
      <w:r w:rsidR="003374A9" w:rsidRPr="00E47A79">
        <w:rPr>
          <w:rFonts w:ascii="Garamond" w:hAnsi="Garamond"/>
          <w:sz w:val="24"/>
          <w:szCs w:val="24"/>
        </w:rPr>
        <w:t xml:space="preserve"> the </w:t>
      </w:r>
      <w:r w:rsidR="00D72468" w:rsidRPr="00E47A79">
        <w:rPr>
          <w:rFonts w:ascii="Garamond" w:hAnsi="Garamond"/>
          <w:sz w:val="24"/>
          <w:szCs w:val="24"/>
        </w:rPr>
        <w:t>existence</w:t>
      </w:r>
      <w:r w:rsidR="003374A9" w:rsidRPr="00E47A79">
        <w:rPr>
          <w:rFonts w:ascii="Garamond" w:hAnsi="Garamond"/>
          <w:sz w:val="24"/>
          <w:szCs w:val="24"/>
        </w:rPr>
        <w:t xml:space="preserve"> of the GMC’s guidance on this subject envisages that such prescribing </w:t>
      </w:r>
      <w:r w:rsidR="00AC0D9B" w:rsidRPr="00E47A79">
        <w:rPr>
          <w:rFonts w:ascii="Garamond" w:hAnsi="Garamond"/>
          <w:sz w:val="24"/>
          <w:szCs w:val="24"/>
        </w:rPr>
        <w:t>can</w:t>
      </w:r>
      <w:r w:rsidR="003374A9" w:rsidRPr="00E47A79">
        <w:rPr>
          <w:rFonts w:ascii="Garamond" w:hAnsi="Garamond"/>
          <w:sz w:val="24"/>
          <w:szCs w:val="24"/>
        </w:rPr>
        <w:t xml:space="preserve"> be entirely consistent with a doctor’s duties.</w:t>
      </w:r>
      <w:r w:rsidR="003374A9" w:rsidRPr="00E47A79">
        <w:rPr>
          <w:rFonts w:ascii="Garamond" w:hAnsi="Garamond"/>
          <w:sz w:val="24"/>
          <w:szCs w:val="24"/>
          <w:vertAlign w:val="superscript"/>
        </w:rPr>
        <w:footnoteReference w:id="226"/>
      </w:r>
      <w:r w:rsidR="003374A9" w:rsidRPr="00E47A79">
        <w:rPr>
          <w:rFonts w:ascii="Garamond" w:hAnsi="Garamond"/>
          <w:sz w:val="24"/>
          <w:szCs w:val="24"/>
        </w:rPr>
        <w:t xml:space="preserve"> Further support can be derived from </w:t>
      </w:r>
      <w:r w:rsidR="003374A9" w:rsidRPr="00E47A79">
        <w:rPr>
          <w:rFonts w:ascii="Garamond" w:hAnsi="Garamond"/>
          <w:i/>
          <w:iCs/>
          <w:sz w:val="24"/>
          <w:szCs w:val="24"/>
        </w:rPr>
        <w:t>Jones v Taunton &amp; Somerset NHS Foundation Trust</w:t>
      </w:r>
      <w:r w:rsidR="003374A9" w:rsidRPr="00E47A79">
        <w:rPr>
          <w:rFonts w:ascii="Garamond" w:hAnsi="Garamond"/>
          <w:i/>
          <w:iCs/>
          <w:sz w:val="24"/>
          <w:szCs w:val="24"/>
          <w:vertAlign w:val="superscript"/>
        </w:rPr>
        <w:footnoteReference w:id="227"/>
      </w:r>
      <w:r w:rsidR="003374A9" w:rsidRPr="00E47A79">
        <w:rPr>
          <w:rFonts w:ascii="Garamond" w:hAnsi="Garamond"/>
          <w:sz w:val="24"/>
          <w:szCs w:val="24"/>
        </w:rPr>
        <w:t xml:space="preserve"> where </w:t>
      </w:r>
      <w:r w:rsidR="00E9656B">
        <w:rPr>
          <w:rFonts w:ascii="Garamond" w:hAnsi="Garamond"/>
          <w:sz w:val="24"/>
          <w:szCs w:val="24"/>
        </w:rPr>
        <w:t xml:space="preserve">Mr </w:t>
      </w:r>
      <w:r w:rsidR="003374A9" w:rsidRPr="00E47A79">
        <w:rPr>
          <w:rFonts w:ascii="Garamond" w:hAnsi="Garamond"/>
          <w:sz w:val="24"/>
          <w:szCs w:val="24"/>
        </w:rPr>
        <w:t>Justice Stewart was tasked with deciding whether</w:t>
      </w:r>
      <w:r w:rsidR="0028439E" w:rsidRPr="00E47A79">
        <w:rPr>
          <w:rFonts w:ascii="Garamond" w:hAnsi="Garamond"/>
          <w:sz w:val="24"/>
          <w:szCs w:val="24"/>
        </w:rPr>
        <w:t>, in 1995,</w:t>
      </w:r>
      <w:r w:rsidR="003374A9" w:rsidRPr="00E47A79">
        <w:rPr>
          <w:rFonts w:ascii="Garamond" w:hAnsi="Garamond"/>
          <w:sz w:val="24"/>
          <w:szCs w:val="24"/>
        </w:rPr>
        <w:t xml:space="preserve"> the use of </w:t>
      </w:r>
      <w:proofErr w:type="spellStart"/>
      <w:r w:rsidR="003374A9" w:rsidRPr="00E47A79">
        <w:rPr>
          <w:rFonts w:ascii="Garamond" w:hAnsi="Garamond"/>
          <w:sz w:val="24"/>
          <w:szCs w:val="24"/>
        </w:rPr>
        <w:t>Nifepidine</w:t>
      </w:r>
      <w:proofErr w:type="spellEnd"/>
      <w:r w:rsidR="00D874C8" w:rsidRPr="00E47A79">
        <w:rPr>
          <w:rFonts w:ascii="Garamond" w:hAnsi="Garamond"/>
          <w:sz w:val="24"/>
          <w:szCs w:val="24"/>
        </w:rPr>
        <w:t xml:space="preserve"> (</w:t>
      </w:r>
      <w:r w:rsidR="00D72468" w:rsidRPr="00E47A79">
        <w:rPr>
          <w:rFonts w:ascii="Garamond" w:hAnsi="Garamond"/>
          <w:sz w:val="24"/>
          <w:szCs w:val="24"/>
        </w:rPr>
        <w:t>a drug used to avert pre-term labour</w:t>
      </w:r>
      <w:r w:rsidR="00D874C8" w:rsidRPr="00E47A79">
        <w:rPr>
          <w:rFonts w:ascii="Garamond" w:hAnsi="Garamond"/>
          <w:sz w:val="24"/>
          <w:szCs w:val="24"/>
        </w:rPr>
        <w:t>)</w:t>
      </w:r>
      <w:r w:rsidR="0028439E" w:rsidRPr="00E47A79">
        <w:rPr>
          <w:rFonts w:ascii="Garamond" w:hAnsi="Garamond"/>
          <w:sz w:val="24"/>
          <w:szCs w:val="24"/>
        </w:rPr>
        <w:t xml:space="preserve"> </w:t>
      </w:r>
      <w:r w:rsidR="003374A9" w:rsidRPr="00E47A79">
        <w:rPr>
          <w:rFonts w:ascii="Garamond" w:hAnsi="Garamond"/>
          <w:sz w:val="24"/>
          <w:szCs w:val="24"/>
        </w:rPr>
        <w:t xml:space="preserve">was to be regarded as </w:t>
      </w:r>
      <w:r w:rsidR="000A70A5" w:rsidRPr="00E47A79">
        <w:rPr>
          <w:rFonts w:ascii="Garamond" w:hAnsi="Garamond"/>
          <w:sz w:val="24"/>
          <w:szCs w:val="24"/>
        </w:rPr>
        <w:t>a</w:t>
      </w:r>
      <w:r w:rsidR="003374A9" w:rsidRPr="00E47A79">
        <w:rPr>
          <w:rFonts w:ascii="Garamond" w:hAnsi="Garamond"/>
          <w:sz w:val="24"/>
          <w:szCs w:val="24"/>
        </w:rPr>
        <w:t xml:space="preserve"> breach of duty</w:t>
      </w:r>
      <w:r w:rsidR="000A70A5" w:rsidRPr="00E47A79">
        <w:rPr>
          <w:rFonts w:ascii="Garamond" w:hAnsi="Garamond"/>
          <w:sz w:val="24"/>
          <w:szCs w:val="24"/>
        </w:rPr>
        <w:t xml:space="preserve"> to the patient</w:t>
      </w:r>
      <w:r w:rsidR="003374A9" w:rsidRPr="00E47A79">
        <w:rPr>
          <w:rFonts w:ascii="Garamond" w:hAnsi="Garamond"/>
          <w:sz w:val="24"/>
          <w:szCs w:val="24"/>
        </w:rPr>
        <w:t xml:space="preserve"> </w:t>
      </w:r>
      <w:r w:rsidR="00156F07" w:rsidRPr="00E47A79">
        <w:rPr>
          <w:rFonts w:ascii="Garamond" w:hAnsi="Garamond"/>
          <w:sz w:val="24"/>
          <w:szCs w:val="24"/>
        </w:rPr>
        <w:t xml:space="preserve">or whether it defied logical analysis </w:t>
      </w:r>
      <w:r w:rsidR="003374A9" w:rsidRPr="00E47A79">
        <w:rPr>
          <w:rFonts w:ascii="Garamond" w:hAnsi="Garamond"/>
          <w:sz w:val="24"/>
          <w:szCs w:val="24"/>
        </w:rPr>
        <w:t xml:space="preserve">given its unlicensed status. </w:t>
      </w:r>
      <w:r w:rsidR="008B1FD0" w:rsidRPr="00E47A79">
        <w:rPr>
          <w:rFonts w:ascii="Garamond" w:hAnsi="Garamond"/>
          <w:sz w:val="24"/>
          <w:szCs w:val="24"/>
        </w:rPr>
        <w:t xml:space="preserve">The judgment made it </w:t>
      </w:r>
      <w:r w:rsidR="008B1FD0" w:rsidRPr="00E47A79">
        <w:rPr>
          <w:rFonts w:ascii="Garamond" w:hAnsi="Garamond"/>
          <w:sz w:val="24"/>
          <w:szCs w:val="24"/>
        </w:rPr>
        <w:lastRenderedPageBreak/>
        <w:t xml:space="preserve">abundantly clear that use of a drug despite the absence of positive RCT evidence was not indicative of negligence. </w:t>
      </w:r>
    </w:p>
    <w:p w14:paraId="2CC2AA44" w14:textId="76FEEBF1" w:rsidR="001C1F8C" w:rsidRPr="00E47A79" w:rsidRDefault="00300EE8" w:rsidP="001C1F8C">
      <w:pPr>
        <w:spacing w:line="360" w:lineRule="auto"/>
        <w:rPr>
          <w:rFonts w:ascii="Garamond" w:hAnsi="Garamond"/>
          <w:sz w:val="24"/>
          <w:szCs w:val="24"/>
        </w:rPr>
      </w:pPr>
      <w:r w:rsidRPr="00E47A79">
        <w:rPr>
          <w:rFonts w:ascii="Garamond" w:hAnsi="Garamond"/>
          <w:sz w:val="24"/>
          <w:szCs w:val="24"/>
        </w:rPr>
        <w:t xml:space="preserve">Key to this discussion is the fact that in </w:t>
      </w:r>
      <w:r w:rsidRPr="00E47A79">
        <w:rPr>
          <w:rFonts w:ascii="Garamond" w:hAnsi="Garamond"/>
          <w:i/>
          <w:iCs/>
          <w:sz w:val="24"/>
          <w:szCs w:val="24"/>
        </w:rPr>
        <w:t xml:space="preserve">Jones </w:t>
      </w:r>
      <w:r w:rsidRPr="00E47A79">
        <w:rPr>
          <w:rFonts w:ascii="Garamond" w:hAnsi="Garamond"/>
          <w:sz w:val="24"/>
          <w:szCs w:val="24"/>
        </w:rPr>
        <w:t xml:space="preserve">the drug, although vindicated in later NICE guidance, had still not been the subject of RCTs </w:t>
      </w:r>
      <w:r w:rsidR="00CF3EC3" w:rsidRPr="00E47A79">
        <w:rPr>
          <w:rFonts w:ascii="Garamond" w:hAnsi="Garamond"/>
          <w:sz w:val="24"/>
          <w:szCs w:val="24"/>
        </w:rPr>
        <w:t>twenty</w:t>
      </w:r>
      <w:r w:rsidR="00E9656B">
        <w:rPr>
          <w:rFonts w:ascii="Garamond" w:hAnsi="Garamond"/>
          <w:sz w:val="24"/>
          <w:szCs w:val="24"/>
        </w:rPr>
        <w:t>-</w:t>
      </w:r>
      <w:r w:rsidR="00CF3EC3" w:rsidRPr="00E47A79">
        <w:rPr>
          <w:rFonts w:ascii="Garamond" w:hAnsi="Garamond"/>
          <w:sz w:val="24"/>
          <w:szCs w:val="24"/>
        </w:rPr>
        <w:t>five</w:t>
      </w:r>
      <w:r w:rsidRPr="00E47A79">
        <w:rPr>
          <w:rFonts w:ascii="Garamond" w:hAnsi="Garamond"/>
          <w:sz w:val="24"/>
          <w:szCs w:val="24"/>
        </w:rPr>
        <w:t xml:space="preserve"> years later. </w:t>
      </w:r>
      <w:r w:rsidR="003374A9" w:rsidRPr="00E47A79">
        <w:rPr>
          <w:rFonts w:ascii="Garamond" w:hAnsi="Garamond"/>
          <w:sz w:val="24"/>
          <w:szCs w:val="24"/>
        </w:rPr>
        <w:t xml:space="preserve">Referring to the GMC’s 2013 guidance, </w:t>
      </w:r>
      <w:r w:rsidR="00E9656B">
        <w:rPr>
          <w:rFonts w:ascii="Garamond" w:hAnsi="Garamond"/>
          <w:sz w:val="24"/>
          <w:szCs w:val="24"/>
        </w:rPr>
        <w:t xml:space="preserve">Mr </w:t>
      </w:r>
      <w:r w:rsidR="003374A9" w:rsidRPr="00E47A79">
        <w:rPr>
          <w:rFonts w:ascii="Garamond" w:hAnsi="Garamond"/>
          <w:sz w:val="24"/>
          <w:szCs w:val="24"/>
        </w:rPr>
        <w:t>Justice Stewart stated that the fact that a drug</w:t>
      </w:r>
      <w:r w:rsidR="00B84732" w:rsidRPr="00E47A79">
        <w:rPr>
          <w:rFonts w:ascii="Garamond" w:hAnsi="Garamond"/>
          <w:sz w:val="24"/>
          <w:szCs w:val="24"/>
        </w:rPr>
        <w:t xml:space="preserve"> was</w:t>
      </w:r>
      <w:r w:rsidR="003374A9" w:rsidRPr="00E47A79">
        <w:rPr>
          <w:rFonts w:ascii="Garamond" w:hAnsi="Garamond"/>
          <w:sz w:val="24"/>
          <w:szCs w:val="24"/>
        </w:rPr>
        <w:t xml:space="preserve"> unlicensed was merely one factor to consider, and not a strong factor in light of the other evidence</w:t>
      </w:r>
      <w:r w:rsidR="00156F07" w:rsidRPr="00E47A79">
        <w:rPr>
          <w:rFonts w:ascii="Garamond" w:hAnsi="Garamond"/>
          <w:sz w:val="24"/>
          <w:szCs w:val="24"/>
        </w:rPr>
        <w:t>, such as th</w:t>
      </w:r>
      <w:r w:rsidR="007166C9" w:rsidRPr="00E47A79">
        <w:rPr>
          <w:rFonts w:ascii="Garamond" w:hAnsi="Garamond"/>
          <w:sz w:val="24"/>
          <w:szCs w:val="24"/>
        </w:rPr>
        <w:t>e practices of</w:t>
      </w:r>
      <w:r w:rsidR="00156F07" w:rsidRPr="00E47A79">
        <w:rPr>
          <w:rFonts w:ascii="Garamond" w:hAnsi="Garamond"/>
          <w:sz w:val="24"/>
          <w:szCs w:val="24"/>
        </w:rPr>
        <w:t xml:space="preserve"> other units and </w:t>
      </w:r>
      <w:r w:rsidR="007166C9" w:rsidRPr="00E47A79">
        <w:rPr>
          <w:rFonts w:ascii="Garamond" w:hAnsi="Garamond"/>
          <w:sz w:val="24"/>
          <w:szCs w:val="24"/>
        </w:rPr>
        <w:t>medical literature</w:t>
      </w:r>
      <w:r w:rsidR="00367FED" w:rsidRPr="00E47A79">
        <w:rPr>
          <w:rFonts w:ascii="Garamond" w:hAnsi="Garamond"/>
          <w:sz w:val="24"/>
          <w:szCs w:val="24"/>
        </w:rPr>
        <w:t xml:space="preserve"> on the subject </w:t>
      </w:r>
      <w:r w:rsidR="00156F07" w:rsidRPr="00E47A79">
        <w:rPr>
          <w:rFonts w:ascii="Garamond" w:hAnsi="Garamond"/>
          <w:sz w:val="24"/>
          <w:szCs w:val="24"/>
        </w:rPr>
        <w:t>at the time of prescribing.</w:t>
      </w:r>
      <w:r w:rsidR="003374A9" w:rsidRPr="00E47A79">
        <w:rPr>
          <w:rFonts w:ascii="Garamond" w:hAnsi="Garamond"/>
          <w:sz w:val="24"/>
          <w:szCs w:val="24"/>
          <w:vertAlign w:val="superscript"/>
        </w:rPr>
        <w:footnoteReference w:id="228"/>
      </w:r>
      <w:r w:rsidR="003374A9" w:rsidRPr="00E47A79">
        <w:rPr>
          <w:rFonts w:ascii="Garamond" w:hAnsi="Garamond"/>
          <w:sz w:val="24"/>
          <w:szCs w:val="24"/>
        </w:rPr>
        <w:t xml:space="preserve"> </w:t>
      </w:r>
      <w:r w:rsidRPr="00E47A79">
        <w:rPr>
          <w:rFonts w:ascii="Garamond" w:hAnsi="Garamond"/>
          <w:sz w:val="24"/>
          <w:szCs w:val="24"/>
        </w:rPr>
        <w:t>In assessing the usefulness of published papers, the judge made reference to the reputability of the journal</w:t>
      </w:r>
      <w:r w:rsidR="00522EEC" w:rsidRPr="00E47A79">
        <w:rPr>
          <w:rFonts w:ascii="Garamond" w:hAnsi="Garamond"/>
          <w:sz w:val="24"/>
          <w:szCs w:val="24"/>
          <w:vertAlign w:val="superscript"/>
        </w:rPr>
        <w:footnoteReference w:id="229"/>
      </w:r>
      <w:r w:rsidR="00522EEC" w:rsidRPr="00E47A79">
        <w:rPr>
          <w:rFonts w:ascii="Garamond" w:hAnsi="Garamond"/>
          <w:sz w:val="24"/>
          <w:szCs w:val="24"/>
        </w:rPr>
        <w:t xml:space="preserve"> (although of course ‘reputability’ offers no guarantee of the reliability of published papers</w:t>
      </w:r>
      <w:r w:rsidR="00A57F0D" w:rsidRPr="00E47A79">
        <w:rPr>
          <w:rStyle w:val="FootnoteReference"/>
          <w:rFonts w:ascii="Garamond" w:hAnsi="Garamond"/>
          <w:sz w:val="24"/>
          <w:szCs w:val="24"/>
        </w:rPr>
        <w:footnoteReference w:id="230"/>
      </w:r>
      <w:r w:rsidR="00610D8D">
        <w:rPr>
          <w:rFonts w:ascii="Garamond" w:hAnsi="Garamond"/>
          <w:sz w:val="24"/>
          <w:szCs w:val="24"/>
        </w:rPr>
        <w:t>)</w:t>
      </w:r>
      <w:r w:rsidRPr="00E47A79">
        <w:rPr>
          <w:rFonts w:ascii="Garamond" w:hAnsi="Garamond"/>
          <w:sz w:val="24"/>
          <w:szCs w:val="24"/>
        </w:rPr>
        <w:t>.</w:t>
      </w:r>
      <w:r w:rsidR="00171CB5" w:rsidRPr="00E47A79">
        <w:rPr>
          <w:rFonts w:ascii="Garamond" w:hAnsi="Garamond"/>
          <w:sz w:val="24"/>
          <w:szCs w:val="24"/>
        </w:rPr>
        <w:t xml:space="preserve"> This would be consistent with court judgments which suggest that whilst a clinician’s view which is founded solely on clinical experience without regard to published research is unlikely to be regarded as ‘logical’,</w:t>
      </w:r>
      <w:r w:rsidR="00171CB5" w:rsidRPr="00E47A79">
        <w:rPr>
          <w:rFonts w:ascii="Garamond" w:hAnsi="Garamond"/>
          <w:sz w:val="24"/>
          <w:szCs w:val="24"/>
          <w:vertAlign w:val="superscript"/>
        </w:rPr>
        <w:footnoteReference w:id="231"/>
      </w:r>
      <w:r w:rsidR="00171CB5" w:rsidRPr="00E47A79">
        <w:rPr>
          <w:rFonts w:ascii="Garamond" w:hAnsi="Garamond"/>
          <w:sz w:val="24"/>
          <w:szCs w:val="24"/>
        </w:rPr>
        <w:t xml:space="preserve"> a commitment to evidence-based medicine does not preclude a role for clinical judgement and received wisdom.</w:t>
      </w:r>
      <w:r w:rsidR="00171CB5" w:rsidRPr="00E47A79">
        <w:rPr>
          <w:rFonts w:ascii="Garamond" w:hAnsi="Garamond"/>
          <w:sz w:val="24"/>
          <w:szCs w:val="24"/>
          <w:vertAlign w:val="superscript"/>
        </w:rPr>
        <w:footnoteReference w:id="232"/>
      </w:r>
      <w:r w:rsidR="000A70A5" w:rsidRPr="00E47A79">
        <w:rPr>
          <w:rFonts w:ascii="Garamond" w:hAnsi="Garamond"/>
          <w:sz w:val="24"/>
          <w:szCs w:val="24"/>
        </w:rPr>
        <w:t>A</w:t>
      </w:r>
      <w:r w:rsidR="00367FED" w:rsidRPr="00E47A79">
        <w:rPr>
          <w:rFonts w:ascii="Garamond" w:hAnsi="Garamond"/>
          <w:sz w:val="24"/>
          <w:szCs w:val="24"/>
        </w:rPr>
        <w:t xml:space="preserve">s </w:t>
      </w:r>
      <w:r w:rsidR="00772ABA" w:rsidRPr="00E47A79">
        <w:rPr>
          <w:rFonts w:ascii="Garamond" w:hAnsi="Garamond"/>
          <w:sz w:val="24"/>
          <w:szCs w:val="24"/>
        </w:rPr>
        <w:t xml:space="preserve">argued </w:t>
      </w:r>
      <w:r w:rsidR="00367FED" w:rsidRPr="00E47A79">
        <w:rPr>
          <w:rFonts w:ascii="Garamond" w:hAnsi="Garamond"/>
          <w:sz w:val="24"/>
          <w:szCs w:val="24"/>
        </w:rPr>
        <w:t xml:space="preserve">earlier, there are many reasons for </w:t>
      </w:r>
      <w:r w:rsidR="007166C9" w:rsidRPr="00E47A79">
        <w:rPr>
          <w:rFonts w:ascii="Garamond" w:hAnsi="Garamond"/>
          <w:sz w:val="24"/>
          <w:szCs w:val="24"/>
        </w:rPr>
        <w:t>disputing</w:t>
      </w:r>
      <w:r w:rsidR="00367FED" w:rsidRPr="00E47A79">
        <w:rPr>
          <w:rFonts w:ascii="Garamond" w:hAnsi="Garamond"/>
          <w:sz w:val="24"/>
          <w:szCs w:val="24"/>
        </w:rPr>
        <w:t xml:space="preserve"> a dogmatic insistence on RCT evidence for prescribing. </w:t>
      </w:r>
      <w:r w:rsidR="007166C9" w:rsidRPr="00E47A79">
        <w:rPr>
          <w:rFonts w:ascii="Garamond" w:hAnsi="Garamond"/>
          <w:sz w:val="24"/>
          <w:szCs w:val="24"/>
        </w:rPr>
        <w:t>T</w:t>
      </w:r>
      <w:r w:rsidR="008117EC" w:rsidRPr="00E47A79">
        <w:rPr>
          <w:rFonts w:ascii="Garamond" w:hAnsi="Garamond"/>
          <w:sz w:val="24"/>
          <w:szCs w:val="24"/>
        </w:rPr>
        <w:t>here are</w:t>
      </w:r>
      <w:r w:rsidR="00B70092" w:rsidRPr="00E47A79">
        <w:rPr>
          <w:rFonts w:ascii="Garamond" w:hAnsi="Garamond"/>
          <w:sz w:val="24"/>
          <w:szCs w:val="24"/>
        </w:rPr>
        <w:t xml:space="preserve"> plenty of studies </w:t>
      </w:r>
      <w:r w:rsidRPr="00E47A79">
        <w:rPr>
          <w:rFonts w:ascii="Garamond" w:hAnsi="Garamond"/>
          <w:sz w:val="24"/>
          <w:szCs w:val="24"/>
        </w:rPr>
        <w:t xml:space="preserve">and literature </w:t>
      </w:r>
      <w:r w:rsidR="00B70092" w:rsidRPr="00E47A79">
        <w:rPr>
          <w:rFonts w:ascii="Garamond" w:hAnsi="Garamond"/>
          <w:sz w:val="24"/>
          <w:szCs w:val="24"/>
        </w:rPr>
        <w:t xml:space="preserve">occupying the position between anecdote and double-blind RCT which could be relevant in informing opinion, including </w:t>
      </w:r>
      <w:r w:rsidR="00EC3162" w:rsidRPr="00E47A79">
        <w:rPr>
          <w:rFonts w:ascii="Garamond" w:hAnsi="Garamond"/>
          <w:sz w:val="24"/>
          <w:szCs w:val="24"/>
        </w:rPr>
        <w:t>‘</w:t>
      </w:r>
      <w:r w:rsidR="001D011B" w:rsidRPr="00E47A79">
        <w:rPr>
          <w:rFonts w:ascii="Garamond" w:hAnsi="Garamond"/>
          <w:sz w:val="24"/>
          <w:szCs w:val="24"/>
        </w:rPr>
        <w:t>N of 1</w:t>
      </w:r>
      <w:r w:rsidR="00EC3162" w:rsidRPr="00E47A79">
        <w:rPr>
          <w:rFonts w:ascii="Garamond" w:hAnsi="Garamond"/>
          <w:sz w:val="24"/>
          <w:szCs w:val="24"/>
        </w:rPr>
        <w:t>’</w:t>
      </w:r>
      <w:r w:rsidR="001D011B" w:rsidRPr="00E47A79">
        <w:rPr>
          <w:rFonts w:ascii="Garamond" w:hAnsi="Garamond"/>
          <w:sz w:val="24"/>
          <w:szCs w:val="24"/>
        </w:rPr>
        <w:t xml:space="preserve"> studies, registry data</w:t>
      </w:r>
      <w:r w:rsidR="005148EA" w:rsidRPr="00E47A79">
        <w:rPr>
          <w:rFonts w:ascii="Garamond" w:hAnsi="Garamond"/>
          <w:sz w:val="24"/>
          <w:szCs w:val="24"/>
        </w:rPr>
        <w:t xml:space="preserve">, </w:t>
      </w:r>
      <w:r w:rsidR="00B70092" w:rsidRPr="00E47A79">
        <w:rPr>
          <w:rFonts w:ascii="Garamond" w:hAnsi="Garamond"/>
          <w:sz w:val="24"/>
          <w:szCs w:val="24"/>
        </w:rPr>
        <w:t xml:space="preserve">case studies, observational </w:t>
      </w:r>
      <w:proofErr w:type="gramStart"/>
      <w:r w:rsidR="00B70092" w:rsidRPr="00E47A79">
        <w:rPr>
          <w:rFonts w:ascii="Garamond" w:hAnsi="Garamond"/>
          <w:sz w:val="24"/>
          <w:szCs w:val="24"/>
        </w:rPr>
        <w:t>studies</w:t>
      </w:r>
      <w:proofErr w:type="gramEnd"/>
      <w:r w:rsidR="00FB59E8" w:rsidRPr="00E47A79">
        <w:rPr>
          <w:rFonts w:ascii="Garamond" w:hAnsi="Garamond"/>
          <w:sz w:val="24"/>
          <w:szCs w:val="24"/>
        </w:rPr>
        <w:t xml:space="preserve"> and</w:t>
      </w:r>
      <w:r w:rsidR="00B70092" w:rsidRPr="00E47A79">
        <w:rPr>
          <w:rFonts w:ascii="Garamond" w:hAnsi="Garamond"/>
          <w:sz w:val="24"/>
          <w:szCs w:val="24"/>
        </w:rPr>
        <w:t xml:space="preserve"> </w:t>
      </w:r>
      <w:r w:rsidR="0011152B" w:rsidRPr="00E47A79">
        <w:rPr>
          <w:rFonts w:ascii="Garamond" w:hAnsi="Garamond"/>
          <w:sz w:val="24"/>
          <w:szCs w:val="24"/>
        </w:rPr>
        <w:t>cross-sectional studies</w:t>
      </w:r>
      <w:r w:rsidR="00B70092" w:rsidRPr="00E47A79">
        <w:rPr>
          <w:rFonts w:ascii="Garamond" w:hAnsi="Garamond"/>
          <w:sz w:val="24"/>
          <w:szCs w:val="24"/>
        </w:rPr>
        <w:t>.</w:t>
      </w:r>
      <w:r w:rsidR="00B32879" w:rsidRPr="00E47A79">
        <w:rPr>
          <w:rFonts w:ascii="Garamond" w:hAnsi="Garamond"/>
          <w:sz w:val="24"/>
          <w:szCs w:val="24"/>
        </w:rPr>
        <w:t xml:space="preserve"> </w:t>
      </w:r>
      <w:r w:rsidR="00171CB5" w:rsidRPr="00E47A79">
        <w:rPr>
          <w:rFonts w:ascii="Garamond" w:hAnsi="Garamond"/>
          <w:sz w:val="24"/>
          <w:szCs w:val="24"/>
        </w:rPr>
        <w:t xml:space="preserve">Whatever the shape of interim guidance, the standard of care clearly </w:t>
      </w:r>
      <w:r w:rsidR="00171CB5" w:rsidRPr="007D4EA2">
        <w:rPr>
          <w:rFonts w:ascii="Garamond" w:hAnsi="Garamond"/>
          <w:i/>
          <w:iCs/>
          <w:sz w:val="24"/>
          <w:szCs w:val="24"/>
        </w:rPr>
        <w:t>does not</w:t>
      </w:r>
      <w:r w:rsidR="00171CB5" w:rsidRPr="00E47A79">
        <w:rPr>
          <w:rFonts w:ascii="Garamond" w:hAnsi="Garamond"/>
          <w:sz w:val="24"/>
          <w:szCs w:val="24"/>
        </w:rPr>
        <w:t xml:space="preserve"> insist upon RCT evidence to support clinical decision making. </w:t>
      </w:r>
    </w:p>
    <w:p w14:paraId="16B79C09" w14:textId="17062788" w:rsidR="001A7304" w:rsidRPr="00E47A79" w:rsidRDefault="001A7304" w:rsidP="00A601B9">
      <w:pPr>
        <w:spacing w:line="360" w:lineRule="auto"/>
        <w:rPr>
          <w:rFonts w:ascii="Garamond" w:hAnsi="Garamond"/>
          <w:sz w:val="24"/>
          <w:szCs w:val="24"/>
        </w:rPr>
      </w:pPr>
      <w:r w:rsidRPr="00E47A79">
        <w:rPr>
          <w:rFonts w:ascii="Garamond" w:hAnsi="Garamond"/>
          <w:sz w:val="24"/>
          <w:szCs w:val="24"/>
        </w:rPr>
        <w:t xml:space="preserve">All of the above also raises questions about the liability of a GP who through ‘shared care’ arrangements </w:t>
      </w:r>
      <w:proofErr w:type="gramStart"/>
      <w:r w:rsidRPr="00E47A79">
        <w:rPr>
          <w:rFonts w:ascii="Garamond" w:hAnsi="Garamond"/>
          <w:sz w:val="24"/>
          <w:szCs w:val="24"/>
        </w:rPr>
        <w:t>undertakes</w:t>
      </w:r>
      <w:proofErr w:type="gramEnd"/>
      <w:r w:rsidRPr="00E47A79">
        <w:rPr>
          <w:rFonts w:ascii="Garamond" w:hAnsi="Garamond"/>
          <w:sz w:val="24"/>
          <w:szCs w:val="24"/>
        </w:rPr>
        <w:t xml:space="preserve"> to issue repeat prescriptions for the patient under the direction of the specialist. The standard of care already recognises that doctors </w:t>
      </w:r>
      <w:r w:rsidR="003900FB" w:rsidRPr="00E47A79">
        <w:rPr>
          <w:rFonts w:ascii="Garamond" w:hAnsi="Garamond"/>
          <w:sz w:val="24"/>
          <w:szCs w:val="24"/>
        </w:rPr>
        <w:t xml:space="preserve">may fall below the standard of care by failing to spot a ‘barn door’ error of another doctor, </w:t>
      </w:r>
      <w:r w:rsidR="006C0D2B" w:rsidRPr="00E47A79">
        <w:rPr>
          <w:rFonts w:ascii="Garamond" w:hAnsi="Garamond"/>
          <w:sz w:val="24"/>
          <w:szCs w:val="24"/>
        </w:rPr>
        <w:t xml:space="preserve">however, </w:t>
      </w:r>
      <w:r w:rsidR="003900FB" w:rsidRPr="00E47A79">
        <w:rPr>
          <w:rFonts w:ascii="Garamond" w:hAnsi="Garamond"/>
          <w:sz w:val="24"/>
          <w:szCs w:val="24"/>
        </w:rPr>
        <w:t xml:space="preserve">they </w:t>
      </w:r>
      <w:r w:rsidRPr="00E47A79">
        <w:rPr>
          <w:rFonts w:ascii="Garamond" w:hAnsi="Garamond"/>
          <w:sz w:val="24"/>
          <w:szCs w:val="24"/>
        </w:rPr>
        <w:t xml:space="preserve">are </w:t>
      </w:r>
      <w:r w:rsidRPr="00E47A79">
        <w:rPr>
          <w:rFonts w:ascii="Garamond" w:hAnsi="Garamond"/>
          <w:i/>
          <w:iCs/>
          <w:sz w:val="24"/>
          <w:szCs w:val="24"/>
        </w:rPr>
        <w:t>usually</w:t>
      </w:r>
      <w:r w:rsidRPr="00E47A79">
        <w:rPr>
          <w:rFonts w:ascii="Garamond" w:hAnsi="Garamond"/>
          <w:sz w:val="24"/>
          <w:szCs w:val="24"/>
        </w:rPr>
        <w:t xml:space="preserve"> entitled to assume that the decisions of other members of the medical team are non-negligent</w:t>
      </w:r>
      <w:r w:rsidR="003900FB" w:rsidRPr="00E47A79">
        <w:rPr>
          <w:rFonts w:ascii="Garamond" w:hAnsi="Garamond"/>
          <w:sz w:val="24"/>
          <w:szCs w:val="24"/>
        </w:rPr>
        <w:t>.</w:t>
      </w:r>
      <w:r w:rsidRPr="00E47A79">
        <w:rPr>
          <w:rStyle w:val="FootnoteReference"/>
          <w:rFonts w:ascii="Garamond" w:hAnsi="Garamond"/>
          <w:sz w:val="24"/>
          <w:szCs w:val="24"/>
        </w:rPr>
        <w:footnoteReference w:id="233"/>
      </w:r>
    </w:p>
    <w:p w14:paraId="3BFBF2C5" w14:textId="77777777" w:rsidR="008117EC" w:rsidRPr="00E47A79" w:rsidRDefault="008117EC" w:rsidP="00A601B9">
      <w:pPr>
        <w:spacing w:line="360" w:lineRule="auto"/>
        <w:jc w:val="center"/>
        <w:rPr>
          <w:rFonts w:ascii="Garamond" w:hAnsi="Garamond"/>
          <w:i/>
          <w:iCs/>
          <w:sz w:val="24"/>
          <w:szCs w:val="24"/>
        </w:rPr>
      </w:pPr>
    </w:p>
    <w:p w14:paraId="7EB683E4" w14:textId="2D5BF613" w:rsidR="00203E20" w:rsidRPr="00E47A79" w:rsidRDefault="00E86A14" w:rsidP="00A601B9">
      <w:pPr>
        <w:spacing w:line="360" w:lineRule="auto"/>
        <w:jc w:val="center"/>
        <w:rPr>
          <w:rFonts w:ascii="Garamond" w:hAnsi="Garamond"/>
          <w:i/>
          <w:iCs/>
          <w:sz w:val="24"/>
          <w:szCs w:val="24"/>
        </w:rPr>
      </w:pPr>
      <w:r w:rsidRPr="00E47A79">
        <w:rPr>
          <w:rFonts w:ascii="Garamond" w:hAnsi="Garamond"/>
          <w:i/>
          <w:iCs/>
          <w:sz w:val="24"/>
          <w:szCs w:val="24"/>
        </w:rPr>
        <w:lastRenderedPageBreak/>
        <w:t>C</w:t>
      </w:r>
      <w:r w:rsidR="00F72C71" w:rsidRPr="00E47A79">
        <w:rPr>
          <w:rFonts w:ascii="Garamond" w:hAnsi="Garamond"/>
          <w:i/>
          <w:iCs/>
          <w:sz w:val="24"/>
          <w:szCs w:val="24"/>
        </w:rPr>
        <w:t xml:space="preserve">. </w:t>
      </w:r>
      <w:r w:rsidR="00203E20" w:rsidRPr="00E47A79">
        <w:rPr>
          <w:rFonts w:ascii="Garamond" w:hAnsi="Garamond"/>
          <w:i/>
          <w:iCs/>
          <w:sz w:val="24"/>
          <w:szCs w:val="24"/>
        </w:rPr>
        <w:t xml:space="preserve">‘Guidelines not tramlines’: </w:t>
      </w:r>
      <w:r w:rsidR="00190AAC" w:rsidRPr="00E47A79">
        <w:rPr>
          <w:rFonts w:ascii="Garamond" w:hAnsi="Garamond"/>
          <w:i/>
          <w:iCs/>
          <w:sz w:val="24"/>
          <w:szCs w:val="24"/>
        </w:rPr>
        <w:t xml:space="preserve">deferring to guidance in the legal standard of </w:t>
      </w:r>
      <w:proofErr w:type="gramStart"/>
      <w:r w:rsidR="00190AAC" w:rsidRPr="00E47A79">
        <w:rPr>
          <w:rFonts w:ascii="Garamond" w:hAnsi="Garamond"/>
          <w:i/>
          <w:iCs/>
          <w:sz w:val="24"/>
          <w:szCs w:val="24"/>
        </w:rPr>
        <w:t>care</w:t>
      </w:r>
      <w:proofErr w:type="gramEnd"/>
    </w:p>
    <w:p w14:paraId="5302A3B7" w14:textId="505E7D73" w:rsidR="002D67EB" w:rsidRPr="00E47A79" w:rsidRDefault="00B66447" w:rsidP="00A601B9">
      <w:pPr>
        <w:spacing w:line="360" w:lineRule="auto"/>
        <w:rPr>
          <w:rFonts w:ascii="Garamond" w:hAnsi="Garamond"/>
          <w:sz w:val="24"/>
          <w:szCs w:val="24"/>
        </w:rPr>
      </w:pPr>
      <w:r w:rsidRPr="00E47A79">
        <w:rPr>
          <w:rFonts w:ascii="Garamond" w:hAnsi="Garamond"/>
          <w:sz w:val="24"/>
          <w:szCs w:val="24"/>
        </w:rPr>
        <w:t xml:space="preserve">A further pertinent question </w:t>
      </w:r>
      <w:r w:rsidR="00FA78CE" w:rsidRPr="00E47A79">
        <w:rPr>
          <w:rFonts w:ascii="Garamond" w:hAnsi="Garamond"/>
          <w:sz w:val="24"/>
          <w:szCs w:val="24"/>
        </w:rPr>
        <w:t xml:space="preserve">concerns the extent to which </w:t>
      </w:r>
      <w:r w:rsidRPr="00E47A79">
        <w:rPr>
          <w:rFonts w:ascii="Garamond" w:hAnsi="Garamond"/>
          <w:sz w:val="24"/>
          <w:szCs w:val="24"/>
        </w:rPr>
        <w:t xml:space="preserve">the </w:t>
      </w:r>
      <w:r w:rsidR="007D4EA2">
        <w:rPr>
          <w:rFonts w:ascii="Garamond" w:hAnsi="Garamond"/>
          <w:sz w:val="24"/>
          <w:szCs w:val="24"/>
        </w:rPr>
        <w:t xml:space="preserve">interim </w:t>
      </w:r>
      <w:r w:rsidR="00FA78CE" w:rsidRPr="00E47A79">
        <w:rPr>
          <w:rFonts w:ascii="Garamond" w:hAnsi="Garamond"/>
          <w:sz w:val="24"/>
          <w:szCs w:val="24"/>
        </w:rPr>
        <w:t xml:space="preserve">guidance </w:t>
      </w:r>
      <w:r w:rsidRPr="00E47A79">
        <w:rPr>
          <w:rFonts w:ascii="Garamond" w:hAnsi="Garamond"/>
          <w:sz w:val="24"/>
          <w:szCs w:val="24"/>
        </w:rPr>
        <w:t>discussed above determine</w:t>
      </w:r>
      <w:r w:rsidR="00FA78CE" w:rsidRPr="00E47A79">
        <w:rPr>
          <w:rFonts w:ascii="Garamond" w:hAnsi="Garamond"/>
          <w:sz w:val="24"/>
          <w:szCs w:val="24"/>
        </w:rPr>
        <w:t>s</w:t>
      </w:r>
      <w:r w:rsidRPr="00E47A79">
        <w:rPr>
          <w:rFonts w:ascii="Garamond" w:hAnsi="Garamond"/>
          <w:sz w:val="24"/>
          <w:szCs w:val="24"/>
        </w:rPr>
        <w:t xml:space="preserve"> the</w:t>
      </w:r>
      <w:r w:rsidR="00171CB5" w:rsidRPr="00E47A79">
        <w:rPr>
          <w:rFonts w:ascii="Garamond" w:hAnsi="Garamond"/>
          <w:sz w:val="24"/>
          <w:szCs w:val="24"/>
        </w:rPr>
        <w:t xml:space="preserve"> prescriber’s</w:t>
      </w:r>
      <w:r w:rsidRPr="00E47A79">
        <w:rPr>
          <w:rFonts w:ascii="Garamond" w:hAnsi="Garamond"/>
          <w:sz w:val="24"/>
          <w:szCs w:val="24"/>
        </w:rPr>
        <w:t xml:space="preserve"> standard of care. </w:t>
      </w:r>
      <w:r w:rsidR="006F2E53" w:rsidRPr="00E47A79">
        <w:rPr>
          <w:rFonts w:ascii="Garamond" w:hAnsi="Garamond"/>
          <w:sz w:val="24"/>
          <w:szCs w:val="24"/>
        </w:rPr>
        <w:t xml:space="preserve">In </w:t>
      </w:r>
      <w:r w:rsidR="006F2E53" w:rsidRPr="00E47A79">
        <w:rPr>
          <w:rFonts w:ascii="Garamond" w:hAnsi="Garamond"/>
          <w:i/>
          <w:iCs/>
          <w:sz w:val="24"/>
          <w:szCs w:val="24"/>
        </w:rPr>
        <w:t xml:space="preserve">C v North Cumbria </w:t>
      </w:r>
      <w:r w:rsidR="00610D8D">
        <w:rPr>
          <w:rFonts w:ascii="Garamond" w:hAnsi="Garamond"/>
          <w:sz w:val="24"/>
          <w:szCs w:val="24"/>
        </w:rPr>
        <w:t xml:space="preserve">Green J </w:t>
      </w:r>
      <w:r w:rsidR="006F2E53" w:rsidRPr="00E47A79">
        <w:rPr>
          <w:rFonts w:ascii="Garamond" w:hAnsi="Garamond"/>
          <w:sz w:val="24"/>
          <w:szCs w:val="24"/>
        </w:rPr>
        <w:t>indicated that when assessing expert evidence on whether the defendant’s practice was negligent, that evidence had to be tested against ‘other sources of evidence’, to include relevant</w:t>
      </w:r>
      <w:r w:rsidR="00190AAC" w:rsidRPr="00E47A79">
        <w:rPr>
          <w:rFonts w:ascii="Garamond" w:hAnsi="Garamond"/>
          <w:sz w:val="24"/>
          <w:szCs w:val="24"/>
        </w:rPr>
        <w:t xml:space="preserve"> professional</w:t>
      </w:r>
      <w:r w:rsidR="006F2E53" w:rsidRPr="00E47A79">
        <w:rPr>
          <w:rFonts w:ascii="Garamond" w:hAnsi="Garamond"/>
          <w:sz w:val="24"/>
          <w:szCs w:val="24"/>
        </w:rPr>
        <w:t xml:space="preserve"> guidance.</w:t>
      </w:r>
      <w:r w:rsidR="00F94FA2" w:rsidRPr="00E47A79">
        <w:rPr>
          <w:rStyle w:val="FootnoteReference"/>
          <w:rFonts w:ascii="Garamond" w:hAnsi="Garamond"/>
          <w:sz w:val="24"/>
          <w:szCs w:val="24"/>
        </w:rPr>
        <w:footnoteReference w:id="234"/>
      </w:r>
      <w:r w:rsidR="006F2E53" w:rsidRPr="00E47A79">
        <w:rPr>
          <w:rFonts w:ascii="Garamond" w:hAnsi="Garamond"/>
          <w:sz w:val="24"/>
          <w:szCs w:val="24"/>
        </w:rPr>
        <w:t xml:space="preserve"> </w:t>
      </w:r>
      <w:r w:rsidR="00F94FA2" w:rsidRPr="00E47A79">
        <w:rPr>
          <w:rFonts w:ascii="Garamond" w:hAnsi="Garamond"/>
          <w:sz w:val="24"/>
          <w:szCs w:val="24"/>
        </w:rPr>
        <w:t>We know that professional guidance is frequently heavily relied upon in fixing the standard of care</w:t>
      </w:r>
      <w:r w:rsidR="00055639" w:rsidRPr="00E47A79">
        <w:rPr>
          <w:rFonts w:ascii="Garamond" w:hAnsi="Garamond"/>
          <w:sz w:val="24"/>
          <w:szCs w:val="24"/>
        </w:rPr>
        <w:t>,</w:t>
      </w:r>
      <w:r w:rsidR="00F94FA2" w:rsidRPr="00E47A79">
        <w:rPr>
          <w:rFonts w:ascii="Garamond" w:hAnsi="Garamond"/>
          <w:sz w:val="24"/>
          <w:szCs w:val="24"/>
        </w:rPr>
        <w:t xml:space="preserve"> and indeed in </w:t>
      </w:r>
      <w:r w:rsidR="00F94FA2" w:rsidRPr="00E47A79">
        <w:rPr>
          <w:rFonts w:ascii="Garamond" w:hAnsi="Garamond"/>
          <w:i/>
          <w:iCs/>
          <w:sz w:val="24"/>
          <w:szCs w:val="24"/>
        </w:rPr>
        <w:t>Montgomery v Lanarkshire Health Board</w:t>
      </w:r>
      <w:r w:rsidR="007D4EA2">
        <w:rPr>
          <w:rFonts w:ascii="Garamond" w:hAnsi="Garamond"/>
          <w:i/>
          <w:iCs/>
          <w:sz w:val="24"/>
          <w:szCs w:val="24"/>
        </w:rPr>
        <w:t>,</w:t>
      </w:r>
      <w:r w:rsidR="00F94FA2" w:rsidRPr="00E47A79">
        <w:rPr>
          <w:rFonts w:ascii="Garamond" w:hAnsi="Garamond"/>
          <w:i/>
          <w:iCs/>
          <w:sz w:val="24"/>
          <w:szCs w:val="24"/>
        </w:rPr>
        <w:t xml:space="preserve"> </w:t>
      </w:r>
      <w:r w:rsidR="00F94FA2" w:rsidRPr="00E47A79">
        <w:rPr>
          <w:rFonts w:ascii="Garamond" w:hAnsi="Garamond"/>
          <w:sz w:val="24"/>
          <w:szCs w:val="24"/>
        </w:rPr>
        <w:t>the Supreme Court appeared to formally align the</w:t>
      </w:r>
      <w:r w:rsidR="00190AAC" w:rsidRPr="00E47A79">
        <w:rPr>
          <w:rFonts w:ascii="Garamond" w:hAnsi="Garamond"/>
          <w:sz w:val="24"/>
          <w:szCs w:val="24"/>
        </w:rPr>
        <w:t xml:space="preserve"> legal </w:t>
      </w:r>
      <w:r w:rsidR="00F94FA2" w:rsidRPr="00E47A79">
        <w:rPr>
          <w:rFonts w:ascii="Garamond" w:hAnsi="Garamond"/>
          <w:sz w:val="24"/>
          <w:szCs w:val="24"/>
        </w:rPr>
        <w:t>standard of care with current professional guidance (specifically GMC guidance)</w:t>
      </w:r>
      <w:r w:rsidR="00190AAC" w:rsidRPr="00E47A79">
        <w:rPr>
          <w:rFonts w:ascii="Garamond" w:hAnsi="Garamond"/>
          <w:sz w:val="24"/>
          <w:szCs w:val="24"/>
        </w:rPr>
        <w:t xml:space="preserve"> on what should be disclosed to a patient regarding proposed treatment</w:t>
      </w:r>
      <w:r w:rsidR="00F94FA2" w:rsidRPr="00E47A79">
        <w:rPr>
          <w:rFonts w:ascii="Garamond" w:hAnsi="Garamond"/>
          <w:sz w:val="24"/>
          <w:szCs w:val="24"/>
        </w:rPr>
        <w:t>.</w:t>
      </w:r>
      <w:r w:rsidR="00F94FA2" w:rsidRPr="00E47A79">
        <w:rPr>
          <w:rStyle w:val="FootnoteReference"/>
          <w:rFonts w:ascii="Garamond" w:hAnsi="Garamond"/>
          <w:sz w:val="24"/>
          <w:szCs w:val="24"/>
        </w:rPr>
        <w:footnoteReference w:id="235"/>
      </w:r>
      <w:r w:rsidR="00F94FA2" w:rsidRPr="00E47A79">
        <w:rPr>
          <w:rFonts w:ascii="Garamond" w:hAnsi="Garamond"/>
          <w:sz w:val="24"/>
          <w:szCs w:val="24"/>
        </w:rPr>
        <w:t xml:space="preserve"> </w:t>
      </w:r>
    </w:p>
    <w:p w14:paraId="30AD94FF" w14:textId="2BEAEE61" w:rsidR="006140CA" w:rsidRPr="00E47A79" w:rsidRDefault="00323761" w:rsidP="00A601B9">
      <w:pPr>
        <w:spacing w:line="360" w:lineRule="auto"/>
        <w:rPr>
          <w:rFonts w:ascii="Garamond" w:hAnsi="Garamond"/>
          <w:sz w:val="24"/>
          <w:szCs w:val="24"/>
        </w:rPr>
      </w:pPr>
      <w:r w:rsidRPr="00E47A79">
        <w:rPr>
          <w:rFonts w:ascii="Garamond" w:hAnsi="Garamond"/>
          <w:sz w:val="24"/>
          <w:szCs w:val="24"/>
        </w:rPr>
        <w:t xml:space="preserve">Closer examination </w:t>
      </w:r>
      <w:r w:rsidR="00FA78CE" w:rsidRPr="00E47A79">
        <w:rPr>
          <w:rFonts w:ascii="Garamond" w:hAnsi="Garamond"/>
          <w:sz w:val="24"/>
          <w:szCs w:val="24"/>
        </w:rPr>
        <w:t xml:space="preserve">of case law </w:t>
      </w:r>
      <w:r w:rsidRPr="00E47A79">
        <w:rPr>
          <w:rFonts w:ascii="Garamond" w:hAnsi="Garamond"/>
          <w:sz w:val="24"/>
          <w:szCs w:val="24"/>
        </w:rPr>
        <w:t xml:space="preserve">reveals </w:t>
      </w:r>
      <w:r w:rsidR="004C3F0A" w:rsidRPr="00E47A79">
        <w:rPr>
          <w:rFonts w:ascii="Garamond" w:hAnsi="Garamond"/>
          <w:sz w:val="24"/>
          <w:szCs w:val="24"/>
        </w:rPr>
        <w:t>that the standard of care affords</w:t>
      </w:r>
      <w:r w:rsidRPr="00E47A79">
        <w:rPr>
          <w:rFonts w:ascii="Garamond" w:hAnsi="Garamond"/>
          <w:sz w:val="24"/>
          <w:szCs w:val="24"/>
        </w:rPr>
        <w:t xml:space="preserve"> significant</w:t>
      </w:r>
      <w:r w:rsidR="004C3F0A" w:rsidRPr="00E47A79">
        <w:rPr>
          <w:rFonts w:ascii="Garamond" w:hAnsi="Garamond"/>
          <w:sz w:val="24"/>
          <w:szCs w:val="24"/>
        </w:rPr>
        <w:t xml:space="preserve"> </w:t>
      </w:r>
      <w:r w:rsidR="005148EA" w:rsidRPr="00E47A79">
        <w:rPr>
          <w:rFonts w:ascii="Garamond" w:hAnsi="Garamond"/>
          <w:sz w:val="24"/>
          <w:szCs w:val="24"/>
        </w:rPr>
        <w:t xml:space="preserve">latitude </w:t>
      </w:r>
      <w:r w:rsidR="004C3F0A" w:rsidRPr="00E47A79">
        <w:rPr>
          <w:rFonts w:ascii="Garamond" w:hAnsi="Garamond"/>
          <w:sz w:val="24"/>
          <w:szCs w:val="24"/>
        </w:rPr>
        <w:t>for the clinical judg</w:t>
      </w:r>
      <w:r w:rsidR="00AC0D9B" w:rsidRPr="00E47A79">
        <w:rPr>
          <w:rFonts w:ascii="Garamond" w:hAnsi="Garamond"/>
          <w:sz w:val="24"/>
          <w:szCs w:val="24"/>
        </w:rPr>
        <w:t>e</w:t>
      </w:r>
      <w:r w:rsidR="004C3F0A" w:rsidRPr="00E47A79">
        <w:rPr>
          <w:rFonts w:ascii="Garamond" w:hAnsi="Garamond"/>
          <w:sz w:val="24"/>
          <w:szCs w:val="24"/>
        </w:rPr>
        <w:t xml:space="preserve">ment of the doctor in the individual patient’s case. </w:t>
      </w:r>
      <w:r w:rsidR="007D4EA2">
        <w:rPr>
          <w:rFonts w:ascii="Garamond" w:hAnsi="Garamond"/>
          <w:sz w:val="24"/>
          <w:szCs w:val="24"/>
        </w:rPr>
        <w:t>First, t</w:t>
      </w:r>
      <w:r w:rsidR="004C3F0A" w:rsidRPr="00E47A79">
        <w:rPr>
          <w:rFonts w:ascii="Garamond" w:hAnsi="Garamond"/>
          <w:sz w:val="24"/>
          <w:szCs w:val="24"/>
        </w:rPr>
        <w:t>he courts refuse to equate the standard of care with the content of professional guidance and they leave considerable scope for professional autonomy of clinicians in the use of innovative treatments.</w:t>
      </w:r>
      <w:r w:rsidR="004C3F0A" w:rsidRPr="00E47A79">
        <w:rPr>
          <w:rFonts w:ascii="Garamond" w:hAnsi="Garamond"/>
          <w:sz w:val="24"/>
          <w:szCs w:val="24"/>
          <w:vertAlign w:val="superscript"/>
        </w:rPr>
        <w:footnoteReference w:id="236"/>
      </w:r>
      <w:r w:rsidR="004C3F0A" w:rsidRPr="00E47A79">
        <w:rPr>
          <w:rFonts w:ascii="Garamond" w:hAnsi="Garamond"/>
          <w:sz w:val="24"/>
          <w:szCs w:val="24"/>
        </w:rPr>
        <w:t xml:space="preserve"> </w:t>
      </w:r>
      <w:r w:rsidR="00731E12" w:rsidRPr="00E47A79">
        <w:rPr>
          <w:rFonts w:ascii="Garamond" w:hAnsi="Garamond"/>
          <w:sz w:val="24"/>
          <w:szCs w:val="24"/>
        </w:rPr>
        <w:t xml:space="preserve">In </w:t>
      </w:r>
      <w:r w:rsidR="00731E12" w:rsidRPr="00E47A79">
        <w:rPr>
          <w:rFonts w:ascii="Garamond" w:hAnsi="Garamond"/>
          <w:i/>
          <w:iCs/>
          <w:sz w:val="24"/>
          <w:szCs w:val="24"/>
        </w:rPr>
        <w:t xml:space="preserve">Price v Cwm </w:t>
      </w:r>
      <w:proofErr w:type="spellStart"/>
      <w:r w:rsidR="00731E12" w:rsidRPr="00E47A79">
        <w:rPr>
          <w:rFonts w:ascii="Garamond" w:hAnsi="Garamond"/>
          <w:i/>
          <w:iCs/>
          <w:sz w:val="24"/>
          <w:szCs w:val="24"/>
        </w:rPr>
        <w:t>Taf</w:t>
      </w:r>
      <w:proofErr w:type="spellEnd"/>
      <w:r w:rsidR="00731E12" w:rsidRPr="00E47A79">
        <w:rPr>
          <w:rFonts w:ascii="Garamond" w:hAnsi="Garamond"/>
          <w:i/>
          <w:iCs/>
          <w:sz w:val="24"/>
          <w:szCs w:val="24"/>
          <w:vertAlign w:val="superscript"/>
        </w:rPr>
        <w:footnoteReference w:id="237"/>
      </w:r>
      <w:r w:rsidR="00731E12" w:rsidRPr="00E47A79">
        <w:rPr>
          <w:rFonts w:ascii="Garamond" w:hAnsi="Garamond"/>
          <w:sz w:val="24"/>
          <w:szCs w:val="24"/>
        </w:rPr>
        <w:t xml:space="preserve">, the claimant failed to persuade the court to view a departure from NICE guidelines as ‘prima facie negligence,’ the judge preferring to say that: </w:t>
      </w:r>
      <w:bookmarkStart w:id="12" w:name="para22"/>
      <w:proofErr w:type="spellStart"/>
      <w:r w:rsidR="00731E12" w:rsidRPr="00E47A79">
        <w:rPr>
          <w:rFonts w:ascii="Garamond" w:hAnsi="Garamond"/>
          <w:sz w:val="24"/>
          <w:szCs w:val="24"/>
        </w:rPr>
        <w:t>‘a</w:t>
      </w:r>
      <w:proofErr w:type="spellEnd"/>
      <w:r w:rsidR="00731E12" w:rsidRPr="00E47A79">
        <w:rPr>
          <w:rFonts w:ascii="Garamond" w:hAnsi="Garamond"/>
          <w:sz w:val="24"/>
          <w:szCs w:val="24"/>
        </w:rPr>
        <w:t xml:space="preserve"> clinical decision which departs from the NICE Guidelines is likely to call for an explanation of some</w:t>
      </w:r>
      <w:bookmarkEnd w:id="12"/>
      <w:r w:rsidR="00731E12" w:rsidRPr="00E47A79">
        <w:rPr>
          <w:rFonts w:ascii="Garamond" w:hAnsi="Garamond"/>
          <w:sz w:val="24"/>
          <w:szCs w:val="24"/>
        </w:rPr>
        <w:t xml:space="preserve"> sort. The nature and degree of detail required will depend on all the circumstances.’</w:t>
      </w:r>
      <w:r w:rsidR="00731E12" w:rsidRPr="00E47A79">
        <w:rPr>
          <w:rFonts w:ascii="Garamond" w:hAnsi="Garamond"/>
          <w:sz w:val="24"/>
          <w:szCs w:val="24"/>
          <w:vertAlign w:val="superscript"/>
        </w:rPr>
        <w:footnoteReference w:id="238"/>
      </w:r>
      <w:r w:rsidR="005E606A" w:rsidRPr="00E47A79">
        <w:rPr>
          <w:rFonts w:ascii="Garamond" w:hAnsi="Garamond"/>
          <w:sz w:val="24"/>
          <w:szCs w:val="24"/>
        </w:rPr>
        <w:t xml:space="preserve"> </w:t>
      </w:r>
      <w:r w:rsidR="006140CA" w:rsidRPr="00E47A79">
        <w:rPr>
          <w:rFonts w:ascii="Garamond" w:hAnsi="Garamond"/>
          <w:sz w:val="24"/>
          <w:szCs w:val="24"/>
        </w:rPr>
        <w:t xml:space="preserve">In the context of NICE guidelines it should also be noted that these guidelines </w:t>
      </w:r>
      <w:r w:rsidR="003C62DC" w:rsidRPr="00E47A79">
        <w:rPr>
          <w:rFonts w:ascii="Garamond" w:hAnsi="Garamond"/>
          <w:sz w:val="24"/>
          <w:szCs w:val="24"/>
        </w:rPr>
        <w:t xml:space="preserve">relate not just to </w:t>
      </w:r>
      <w:r w:rsidR="006140CA" w:rsidRPr="00E47A79">
        <w:rPr>
          <w:rFonts w:ascii="Garamond" w:hAnsi="Garamond"/>
          <w:sz w:val="24"/>
          <w:szCs w:val="24"/>
        </w:rPr>
        <w:t>safety and eff</w:t>
      </w:r>
      <w:r w:rsidR="00711F0C" w:rsidRPr="00E47A79">
        <w:rPr>
          <w:rFonts w:ascii="Garamond" w:hAnsi="Garamond"/>
          <w:sz w:val="24"/>
          <w:szCs w:val="24"/>
        </w:rPr>
        <w:t>ectiveness</w:t>
      </w:r>
      <w:r w:rsidR="005148EA" w:rsidRPr="00E47A79">
        <w:rPr>
          <w:rFonts w:ascii="Garamond" w:hAnsi="Garamond"/>
          <w:sz w:val="24"/>
          <w:szCs w:val="24"/>
        </w:rPr>
        <w:t>,</w:t>
      </w:r>
      <w:r w:rsidR="006140CA" w:rsidRPr="00E47A79">
        <w:rPr>
          <w:rFonts w:ascii="Garamond" w:hAnsi="Garamond"/>
          <w:sz w:val="24"/>
          <w:szCs w:val="24"/>
        </w:rPr>
        <w:t xml:space="preserve"> but also </w:t>
      </w:r>
      <w:r w:rsidR="007D4EA2">
        <w:rPr>
          <w:rFonts w:ascii="Garamond" w:hAnsi="Garamond"/>
          <w:sz w:val="24"/>
          <w:szCs w:val="24"/>
        </w:rPr>
        <w:t xml:space="preserve">to </w:t>
      </w:r>
      <w:r w:rsidR="006140CA" w:rsidRPr="00E47A79">
        <w:rPr>
          <w:rFonts w:ascii="Garamond" w:hAnsi="Garamond"/>
          <w:sz w:val="24"/>
          <w:szCs w:val="24"/>
        </w:rPr>
        <w:t xml:space="preserve">cost. </w:t>
      </w:r>
      <w:r w:rsidR="003C62DC" w:rsidRPr="00E47A79">
        <w:rPr>
          <w:rFonts w:ascii="Garamond" w:hAnsi="Garamond"/>
          <w:sz w:val="24"/>
          <w:szCs w:val="24"/>
        </w:rPr>
        <w:t>The guideline which states that doctors should NOT offer cannabis-based products for chronic pain, for example, is largely based on cost and has little to do with safety and eff</w:t>
      </w:r>
      <w:r w:rsidR="00711F0C" w:rsidRPr="00E47A79">
        <w:rPr>
          <w:rFonts w:ascii="Garamond" w:hAnsi="Garamond"/>
          <w:sz w:val="24"/>
          <w:szCs w:val="24"/>
        </w:rPr>
        <w:t>ectiveness</w:t>
      </w:r>
      <w:r w:rsidR="003C62DC" w:rsidRPr="00E47A79">
        <w:rPr>
          <w:rFonts w:ascii="Garamond" w:hAnsi="Garamond"/>
          <w:sz w:val="24"/>
          <w:szCs w:val="24"/>
        </w:rPr>
        <w:t xml:space="preserve">. After an extensive review of the evidence, NICE conceded that there was ‘some evidence’ of ‘modest’ effectiveness for chronic </w:t>
      </w:r>
      <w:proofErr w:type="gramStart"/>
      <w:r w:rsidR="003C62DC" w:rsidRPr="00E47A79">
        <w:rPr>
          <w:rFonts w:ascii="Garamond" w:hAnsi="Garamond"/>
          <w:sz w:val="24"/>
          <w:szCs w:val="24"/>
        </w:rPr>
        <w:t>pain, but</w:t>
      </w:r>
      <w:proofErr w:type="gramEnd"/>
      <w:r w:rsidR="003C62DC" w:rsidRPr="00E47A79">
        <w:rPr>
          <w:rFonts w:ascii="Garamond" w:hAnsi="Garamond"/>
          <w:sz w:val="24"/>
          <w:szCs w:val="24"/>
        </w:rPr>
        <w:t xml:space="preserve"> given the </w:t>
      </w:r>
      <w:r w:rsidR="00CD2E35" w:rsidRPr="00E47A79">
        <w:rPr>
          <w:rFonts w:ascii="Garamond" w:hAnsi="Garamond"/>
          <w:sz w:val="24"/>
          <w:szCs w:val="24"/>
        </w:rPr>
        <w:t xml:space="preserve">limited effectiveness and potentially </w:t>
      </w:r>
      <w:r w:rsidR="003C62DC" w:rsidRPr="00E47A79">
        <w:rPr>
          <w:rFonts w:ascii="Garamond" w:hAnsi="Garamond"/>
          <w:sz w:val="24"/>
          <w:szCs w:val="24"/>
        </w:rPr>
        <w:t xml:space="preserve">large number of people who might benefit, medicinal cannabis was not </w:t>
      </w:r>
      <w:r w:rsidR="003C62DC" w:rsidRPr="00E47A79">
        <w:rPr>
          <w:rFonts w:ascii="Garamond" w:hAnsi="Garamond"/>
          <w:i/>
          <w:iCs/>
          <w:sz w:val="24"/>
          <w:szCs w:val="24"/>
        </w:rPr>
        <w:t>cost</w:t>
      </w:r>
      <w:r w:rsidR="003C62DC" w:rsidRPr="00E47A79">
        <w:rPr>
          <w:rFonts w:ascii="Garamond" w:hAnsi="Garamond"/>
          <w:sz w:val="24"/>
          <w:szCs w:val="24"/>
        </w:rPr>
        <w:t xml:space="preserve"> effective as a treatment option.</w:t>
      </w:r>
      <w:r w:rsidR="003C62DC" w:rsidRPr="00E47A79">
        <w:rPr>
          <w:rFonts w:ascii="Garamond" w:hAnsi="Garamond"/>
          <w:sz w:val="24"/>
          <w:szCs w:val="24"/>
          <w:vertAlign w:val="superscript"/>
        </w:rPr>
        <w:footnoteReference w:id="239"/>
      </w:r>
      <w:r w:rsidR="003C62DC" w:rsidRPr="00E47A79">
        <w:rPr>
          <w:rFonts w:ascii="Garamond" w:hAnsi="Garamond"/>
          <w:sz w:val="24"/>
          <w:szCs w:val="24"/>
        </w:rPr>
        <w:t xml:space="preserve"> This is clearly a rationing based decision and departure from this guideline should therefore not be cited as a reason for finding a doctor’s prescription to be negligent. </w:t>
      </w:r>
      <w:r w:rsidR="006140CA" w:rsidRPr="00E47A79">
        <w:rPr>
          <w:rFonts w:ascii="Garamond" w:hAnsi="Garamond"/>
          <w:sz w:val="24"/>
          <w:szCs w:val="24"/>
        </w:rPr>
        <w:t xml:space="preserve">This is another reason why great care is needed before branding a departure from NICE guidance ‘negligent’, as the standard of care vis a </w:t>
      </w:r>
      <w:proofErr w:type="gramStart"/>
      <w:r w:rsidR="006140CA" w:rsidRPr="00E47A79">
        <w:rPr>
          <w:rFonts w:ascii="Garamond" w:hAnsi="Garamond"/>
          <w:sz w:val="24"/>
          <w:szCs w:val="24"/>
        </w:rPr>
        <w:t xml:space="preserve">vis </w:t>
      </w:r>
      <w:r w:rsidR="006140CA" w:rsidRPr="00E47A79">
        <w:rPr>
          <w:rFonts w:ascii="Garamond" w:hAnsi="Garamond"/>
          <w:sz w:val="24"/>
          <w:szCs w:val="24"/>
        </w:rPr>
        <w:lastRenderedPageBreak/>
        <w:t>patients</w:t>
      </w:r>
      <w:proofErr w:type="gramEnd"/>
      <w:r w:rsidR="006140CA" w:rsidRPr="00E47A79">
        <w:rPr>
          <w:rFonts w:ascii="Garamond" w:hAnsi="Garamond"/>
          <w:sz w:val="24"/>
          <w:szCs w:val="24"/>
        </w:rPr>
        <w:t xml:space="preserve"> is largely concerned with safety and eff</w:t>
      </w:r>
      <w:r w:rsidR="00711F0C" w:rsidRPr="00E47A79">
        <w:rPr>
          <w:rFonts w:ascii="Garamond" w:hAnsi="Garamond"/>
          <w:sz w:val="24"/>
          <w:szCs w:val="24"/>
        </w:rPr>
        <w:t>ectiveness</w:t>
      </w:r>
      <w:r w:rsidR="00312F56" w:rsidRPr="00E47A79">
        <w:rPr>
          <w:rFonts w:ascii="Garamond" w:hAnsi="Garamond"/>
          <w:sz w:val="24"/>
          <w:szCs w:val="24"/>
        </w:rPr>
        <w:t xml:space="preserve"> compared to other available treatment options</w:t>
      </w:r>
      <w:r w:rsidR="006140CA" w:rsidRPr="00E47A79">
        <w:rPr>
          <w:rFonts w:ascii="Garamond" w:hAnsi="Garamond"/>
          <w:sz w:val="24"/>
          <w:szCs w:val="24"/>
        </w:rPr>
        <w:t xml:space="preserve"> and </w:t>
      </w:r>
      <w:r w:rsidR="003C62DC" w:rsidRPr="00E47A79">
        <w:rPr>
          <w:rFonts w:ascii="Garamond" w:hAnsi="Garamond"/>
          <w:sz w:val="24"/>
          <w:szCs w:val="24"/>
        </w:rPr>
        <w:t>cost</w:t>
      </w:r>
      <w:r w:rsidR="008D7232" w:rsidRPr="00E47A79">
        <w:rPr>
          <w:rFonts w:ascii="Garamond" w:hAnsi="Garamond"/>
          <w:sz w:val="24"/>
          <w:szCs w:val="24"/>
        </w:rPr>
        <w:t xml:space="preserve"> considerations are</w:t>
      </w:r>
      <w:r w:rsidR="003C62DC" w:rsidRPr="00E47A79">
        <w:rPr>
          <w:rFonts w:ascii="Garamond" w:hAnsi="Garamond"/>
          <w:sz w:val="24"/>
          <w:szCs w:val="24"/>
        </w:rPr>
        <w:t xml:space="preserve"> unlikely to be relevant</w:t>
      </w:r>
      <w:r w:rsidR="006140CA" w:rsidRPr="00E47A79">
        <w:rPr>
          <w:rFonts w:ascii="Garamond" w:hAnsi="Garamond"/>
          <w:sz w:val="24"/>
          <w:szCs w:val="24"/>
        </w:rPr>
        <w:t xml:space="preserve">. </w:t>
      </w:r>
    </w:p>
    <w:p w14:paraId="1ADD89A3" w14:textId="798DCB4C" w:rsidR="002D67EB" w:rsidRPr="00E47A79" w:rsidRDefault="002D67EB" w:rsidP="00A601B9">
      <w:pPr>
        <w:spacing w:line="360" w:lineRule="auto"/>
        <w:rPr>
          <w:rFonts w:ascii="Garamond" w:hAnsi="Garamond"/>
          <w:sz w:val="24"/>
          <w:szCs w:val="24"/>
        </w:rPr>
      </w:pPr>
      <w:r w:rsidRPr="00E47A79">
        <w:rPr>
          <w:rFonts w:ascii="Garamond" w:hAnsi="Garamond"/>
          <w:sz w:val="24"/>
          <w:szCs w:val="24"/>
        </w:rPr>
        <w:t xml:space="preserve">Secondly, </w:t>
      </w:r>
      <w:r w:rsidR="00323761" w:rsidRPr="00E47A79">
        <w:rPr>
          <w:rFonts w:ascii="Garamond" w:hAnsi="Garamond"/>
          <w:sz w:val="24"/>
          <w:szCs w:val="24"/>
        </w:rPr>
        <w:t xml:space="preserve">even </w:t>
      </w:r>
      <w:r w:rsidR="003C62DC" w:rsidRPr="00E47A79">
        <w:rPr>
          <w:rFonts w:ascii="Garamond" w:hAnsi="Garamond"/>
          <w:sz w:val="24"/>
          <w:szCs w:val="24"/>
        </w:rPr>
        <w:t>where</w:t>
      </w:r>
      <w:r w:rsidR="00323761" w:rsidRPr="00E47A79">
        <w:rPr>
          <w:rFonts w:ascii="Garamond" w:hAnsi="Garamond"/>
          <w:sz w:val="24"/>
          <w:szCs w:val="24"/>
        </w:rPr>
        <w:t xml:space="preserve"> there </w:t>
      </w:r>
      <w:r w:rsidR="003C62DC" w:rsidRPr="00E47A79">
        <w:rPr>
          <w:rFonts w:ascii="Garamond" w:hAnsi="Garamond"/>
          <w:sz w:val="24"/>
          <w:szCs w:val="24"/>
        </w:rPr>
        <w:t>seems</w:t>
      </w:r>
      <w:r w:rsidR="00323761" w:rsidRPr="00E47A79">
        <w:rPr>
          <w:rFonts w:ascii="Garamond" w:hAnsi="Garamond"/>
          <w:sz w:val="24"/>
          <w:szCs w:val="24"/>
        </w:rPr>
        <w:t xml:space="preserve"> little distinction between the legal standard of care and the contents of professional guidance, </w:t>
      </w:r>
      <w:r w:rsidR="004C3F0A" w:rsidRPr="00E47A79">
        <w:rPr>
          <w:rFonts w:ascii="Garamond" w:hAnsi="Garamond"/>
          <w:sz w:val="24"/>
          <w:szCs w:val="24"/>
        </w:rPr>
        <w:t xml:space="preserve">much of the guidance itself acknowledges a role for clinical </w:t>
      </w:r>
      <w:r w:rsidR="003952EE" w:rsidRPr="00E47A79">
        <w:rPr>
          <w:rFonts w:ascii="Garamond" w:hAnsi="Garamond"/>
          <w:sz w:val="24"/>
          <w:szCs w:val="24"/>
        </w:rPr>
        <w:t>judgement that the usual rule should be departed from</w:t>
      </w:r>
      <w:r w:rsidR="004C3F0A" w:rsidRPr="00E47A79">
        <w:rPr>
          <w:rFonts w:ascii="Garamond" w:hAnsi="Garamond"/>
          <w:sz w:val="24"/>
          <w:szCs w:val="24"/>
        </w:rPr>
        <w:t xml:space="preserve">. </w:t>
      </w:r>
      <w:r w:rsidR="00203E20" w:rsidRPr="00E47A79">
        <w:rPr>
          <w:rFonts w:ascii="Garamond" w:hAnsi="Garamond"/>
          <w:sz w:val="24"/>
          <w:szCs w:val="24"/>
        </w:rPr>
        <w:t>NICE guidance does not</w:t>
      </w:r>
      <w:r w:rsidR="004C3F0A" w:rsidRPr="00E47A79">
        <w:rPr>
          <w:rFonts w:ascii="Garamond" w:hAnsi="Garamond"/>
          <w:sz w:val="24"/>
          <w:szCs w:val="24"/>
        </w:rPr>
        <w:t xml:space="preserve"> profess to </w:t>
      </w:r>
      <w:r w:rsidR="00203E20" w:rsidRPr="00E47A79">
        <w:rPr>
          <w:rFonts w:ascii="Garamond" w:hAnsi="Garamond"/>
          <w:sz w:val="24"/>
          <w:szCs w:val="24"/>
        </w:rPr>
        <w:t>define the standard of care – its contents are ‘guidelines not tramlines’</w:t>
      </w:r>
      <w:r w:rsidR="003C62DC" w:rsidRPr="00E47A79">
        <w:rPr>
          <w:rFonts w:ascii="Garamond" w:hAnsi="Garamond"/>
          <w:sz w:val="24"/>
          <w:szCs w:val="24"/>
        </w:rPr>
        <w:t>,</w:t>
      </w:r>
      <w:r w:rsidR="00203E20" w:rsidRPr="00E47A79">
        <w:rPr>
          <w:rFonts w:ascii="Garamond" w:hAnsi="Garamond"/>
          <w:sz w:val="24"/>
          <w:szCs w:val="24"/>
          <w:vertAlign w:val="superscript"/>
        </w:rPr>
        <w:footnoteReference w:id="240"/>
      </w:r>
      <w:r w:rsidR="00203E20" w:rsidRPr="00E47A79">
        <w:rPr>
          <w:rFonts w:ascii="Garamond" w:hAnsi="Garamond"/>
          <w:sz w:val="24"/>
          <w:szCs w:val="24"/>
        </w:rPr>
        <w:t xml:space="preserve"> </w:t>
      </w:r>
      <w:r w:rsidR="003C62DC" w:rsidRPr="00E47A79">
        <w:rPr>
          <w:rFonts w:ascii="Garamond" w:hAnsi="Garamond"/>
          <w:sz w:val="24"/>
          <w:szCs w:val="24"/>
        </w:rPr>
        <w:t xml:space="preserve">and its </w:t>
      </w:r>
      <w:r w:rsidR="00203E20" w:rsidRPr="00E47A79">
        <w:rPr>
          <w:rFonts w:ascii="Garamond" w:hAnsi="Garamond"/>
          <w:sz w:val="24"/>
          <w:szCs w:val="24"/>
        </w:rPr>
        <w:t>recommendations do ‘not override the responsibility of healthcare professionals to make decisions appropriate to the circumstances of the individual patient’.</w:t>
      </w:r>
      <w:r w:rsidR="00203E20" w:rsidRPr="00E47A79">
        <w:rPr>
          <w:rFonts w:ascii="Garamond" w:hAnsi="Garamond"/>
          <w:sz w:val="24"/>
          <w:szCs w:val="24"/>
          <w:vertAlign w:val="superscript"/>
        </w:rPr>
        <w:footnoteReference w:id="241"/>
      </w:r>
      <w:r w:rsidRPr="00E47A79">
        <w:rPr>
          <w:rFonts w:ascii="Garamond" w:hAnsi="Garamond"/>
          <w:sz w:val="24"/>
          <w:szCs w:val="24"/>
        </w:rPr>
        <w:t>The House of Commons Select Committee report in 2019, underlined this saying: ‘If a clinician believes that prescribing a medicinal cannabis product will help their patient, they should not be discouraged by the guidance from doing so.’</w:t>
      </w:r>
      <w:r w:rsidRPr="00E47A79">
        <w:rPr>
          <w:rFonts w:ascii="Garamond" w:hAnsi="Garamond"/>
          <w:sz w:val="24"/>
          <w:szCs w:val="24"/>
          <w:vertAlign w:val="superscript"/>
        </w:rPr>
        <w:footnoteReference w:id="242"/>
      </w:r>
      <w:r w:rsidRPr="00E47A79">
        <w:rPr>
          <w:rFonts w:ascii="Garamond" w:hAnsi="Garamond"/>
          <w:sz w:val="24"/>
          <w:szCs w:val="24"/>
        </w:rPr>
        <w:t xml:space="preserve"> This is repeated by the BPNA which said of </w:t>
      </w:r>
      <w:r w:rsidR="003C62DC" w:rsidRPr="00E47A79">
        <w:rPr>
          <w:rFonts w:ascii="Garamond" w:hAnsi="Garamond"/>
          <w:sz w:val="24"/>
          <w:szCs w:val="24"/>
        </w:rPr>
        <w:t>its</w:t>
      </w:r>
      <w:r w:rsidRPr="00E47A79">
        <w:rPr>
          <w:rFonts w:ascii="Garamond" w:hAnsi="Garamond"/>
          <w:sz w:val="24"/>
          <w:szCs w:val="24"/>
        </w:rPr>
        <w:t xml:space="preserve"> guidance that it: ‘should not be a barrier to prescribing and is only advisory. Specialist clinicians </w:t>
      </w:r>
      <w:r w:rsidRPr="00E47A79">
        <w:rPr>
          <w:rFonts w:ascii="Garamond" w:hAnsi="Garamond"/>
          <w:i/>
          <w:iCs/>
          <w:sz w:val="24"/>
          <w:szCs w:val="24"/>
        </w:rPr>
        <w:t>should use their own judgment</w:t>
      </w:r>
      <w:r w:rsidRPr="00E47A79">
        <w:rPr>
          <w:rFonts w:ascii="Garamond" w:hAnsi="Garamond"/>
          <w:sz w:val="24"/>
          <w:szCs w:val="24"/>
        </w:rPr>
        <w:t xml:space="preserve">, along with the evidence, when judging whether prescribing CBPMs would be in the </w:t>
      </w:r>
      <w:r w:rsidRPr="00E47A79">
        <w:rPr>
          <w:rFonts w:ascii="Garamond" w:hAnsi="Garamond"/>
          <w:i/>
          <w:iCs/>
          <w:sz w:val="24"/>
          <w:szCs w:val="24"/>
        </w:rPr>
        <w:t>best interests</w:t>
      </w:r>
      <w:r w:rsidRPr="00E47A79">
        <w:rPr>
          <w:rFonts w:ascii="Garamond" w:hAnsi="Garamond"/>
          <w:sz w:val="24"/>
          <w:szCs w:val="24"/>
        </w:rPr>
        <w:t xml:space="preserve"> of their individual patients.’</w:t>
      </w:r>
      <w:r w:rsidRPr="00E47A79">
        <w:rPr>
          <w:rFonts w:ascii="Garamond" w:hAnsi="Garamond"/>
          <w:sz w:val="24"/>
          <w:szCs w:val="24"/>
          <w:vertAlign w:val="superscript"/>
        </w:rPr>
        <w:footnoteReference w:id="243"/>
      </w:r>
      <w:r w:rsidRPr="00E47A79">
        <w:rPr>
          <w:rFonts w:ascii="Garamond" w:hAnsi="Garamond"/>
          <w:sz w:val="24"/>
          <w:szCs w:val="24"/>
        </w:rPr>
        <w:t xml:space="preserve"> Further, a letter from the Department of Health and Social Care following the 2018 reforms clarified the status of interim professional guidance saying that the guidance ‘does not remove or replace the clinical discretion of the prescriber in accordance with their professional duties.’ Doctors are to work with their patients/carers to agree the best treatment for them, ‘in accordance with normal clinical practice.’</w:t>
      </w:r>
      <w:r w:rsidRPr="00E47A79">
        <w:rPr>
          <w:rFonts w:ascii="Garamond" w:hAnsi="Garamond"/>
          <w:sz w:val="24"/>
          <w:szCs w:val="24"/>
          <w:vertAlign w:val="superscript"/>
        </w:rPr>
        <w:footnoteReference w:id="244"/>
      </w:r>
    </w:p>
    <w:p w14:paraId="4B44AEAC" w14:textId="05A46380" w:rsidR="00654CEE" w:rsidRPr="00E47A79" w:rsidRDefault="00203E20" w:rsidP="00A601B9">
      <w:pPr>
        <w:spacing w:line="360" w:lineRule="auto"/>
        <w:rPr>
          <w:rFonts w:ascii="Garamond" w:hAnsi="Garamond"/>
          <w:sz w:val="24"/>
          <w:szCs w:val="24"/>
        </w:rPr>
      </w:pPr>
      <w:r w:rsidRPr="00E47A79">
        <w:rPr>
          <w:rFonts w:ascii="Garamond" w:hAnsi="Garamond"/>
          <w:sz w:val="24"/>
          <w:szCs w:val="24"/>
        </w:rPr>
        <w:t>The GMC’s guidance on prescribing unlicensed medicines</w:t>
      </w:r>
      <w:r w:rsidR="00F80B2D" w:rsidRPr="00E47A79">
        <w:rPr>
          <w:rFonts w:ascii="Garamond" w:hAnsi="Garamond"/>
          <w:sz w:val="24"/>
          <w:szCs w:val="24"/>
        </w:rPr>
        <w:t xml:space="preserve"> has already been noted as leaving more room for clinical autonomy.</w:t>
      </w:r>
      <w:r w:rsidRPr="00E47A79">
        <w:rPr>
          <w:rFonts w:ascii="Garamond" w:hAnsi="Garamond"/>
          <w:sz w:val="24"/>
          <w:szCs w:val="24"/>
          <w:vertAlign w:val="superscript"/>
        </w:rPr>
        <w:footnoteReference w:id="245"/>
      </w:r>
      <w:r w:rsidRPr="00E47A79">
        <w:rPr>
          <w:rFonts w:ascii="Garamond" w:hAnsi="Garamond"/>
          <w:sz w:val="24"/>
          <w:szCs w:val="24"/>
        </w:rPr>
        <w:t xml:space="preserve"> Whilst licenced products are usually to be preferred over unlicensed ones, this is not an absolute rule</w:t>
      </w:r>
      <w:r w:rsidR="00F80B2D" w:rsidRPr="00E47A79">
        <w:rPr>
          <w:rFonts w:ascii="Garamond" w:hAnsi="Garamond"/>
          <w:sz w:val="24"/>
          <w:szCs w:val="24"/>
        </w:rPr>
        <w:t xml:space="preserve"> and with reference to unlicensed medications, rather than insistence on RCT evidence found elsewhere, doctors should instead ‘be satisfied that there is sufficient evidence </w:t>
      </w:r>
      <w:r w:rsidR="00F80B2D" w:rsidRPr="00E47A79">
        <w:rPr>
          <w:rFonts w:ascii="Garamond" w:hAnsi="Garamond"/>
          <w:i/>
          <w:iCs/>
          <w:sz w:val="24"/>
          <w:szCs w:val="24"/>
        </w:rPr>
        <w:t>or experience</w:t>
      </w:r>
      <w:r w:rsidR="00F80B2D" w:rsidRPr="00E47A79">
        <w:rPr>
          <w:rFonts w:ascii="Garamond" w:hAnsi="Garamond"/>
          <w:sz w:val="24"/>
          <w:szCs w:val="24"/>
        </w:rPr>
        <w:t xml:space="preserve"> of using the medicine to demonstrate its safety and efficacy’.</w:t>
      </w:r>
      <w:r w:rsidR="00F80B2D" w:rsidRPr="00E47A79">
        <w:rPr>
          <w:rFonts w:ascii="Garamond" w:hAnsi="Garamond"/>
          <w:sz w:val="24"/>
          <w:szCs w:val="24"/>
          <w:vertAlign w:val="superscript"/>
        </w:rPr>
        <w:footnoteReference w:id="246"/>
      </w:r>
      <w:r w:rsidR="00B81014" w:rsidRPr="00E47A79">
        <w:rPr>
          <w:rFonts w:ascii="Garamond" w:hAnsi="Garamond"/>
          <w:sz w:val="24"/>
          <w:szCs w:val="24"/>
        </w:rPr>
        <w:t xml:space="preserve"> Similarly, in terms of eligibility</w:t>
      </w:r>
      <w:r w:rsidR="00154B7E" w:rsidRPr="00E47A79">
        <w:rPr>
          <w:rFonts w:ascii="Garamond" w:hAnsi="Garamond"/>
          <w:sz w:val="24"/>
          <w:szCs w:val="24"/>
        </w:rPr>
        <w:t>,</w:t>
      </w:r>
      <w:r w:rsidR="00B81014" w:rsidRPr="00E47A79">
        <w:rPr>
          <w:rFonts w:ascii="Garamond" w:hAnsi="Garamond"/>
          <w:sz w:val="24"/>
          <w:szCs w:val="24"/>
        </w:rPr>
        <w:t xml:space="preserve"> the GMC supports prescribing an unlicensed product on the basis that licensed medicines do not meet this patient’s ‘needs’ </w:t>
      </w:r>
      <w:r w:rsidR="00C7283F" w:rsidRPr="00E47A79">
        <w:rPr>
          <w:rFonts w:ascii="Garamond" w:hAnsi="Garamond"/>
          <w:sz w:val="24"/>
          <w:szCs w:val="24"/>
        </w:rPr>
        <w:t xml:space="preserve">or </w:t>
      </w:r>
      <w:r w:rsidR="00B81014" w:rsidRPr="00E47A79">
        <w:rPr>
          <w:rFonts w:ascii="Garamond" w:hAnsi="Garamond"/>
          <w:sz w:val="24"/>
          <w:szCs w:val="24"/>
        </w:rPr>
        <w:t xml:space="preserve">that it is otherwise considered ‘necessary’ in this </w:t>
      </w:r>
      <w:proofErr w:type="spellStart"/>
      <w:r w:rsidR="00B81014" w:rsidRPr="00E47A79">
        <w:rPr>
          <w:rFonts w:ascii="Garamond" w:hAnsi="Garamond"/>
          <w:sz w:val="24"/>
          <w:szCs w:val="24"/>
        </w:rPr>
        <w:t>case</w:t>
      </w:r>
      <w:r w:rsidR="00C7283F" w:rsidRPr="00E47A79">
        <w:rPr>
          <w:rFonts w:ascii="Garamond" w:hAnsi="Garamond"/>
          <w:sz w:val="24"/>
          <w:szCs w:val="24"/>
        </w:rPr>
        <w:t>,</w:t>
      </w:r>
      <w:proofErr w:type="spellEnd"/>
      <w:r w:rsidR="00C7283F" w:rsidRPr="00E47A79">
        <w:rPr>
          <w:rFonts w:ascii="Garamond" w:hAnsi="Garamond"/>
          <w:sz w:val="24"/>
          <w:szCs w:val="24"/>
        </w:rPr>
        <w:t xml:space="preserve"> both being open textured provisions allowing significant </w:t>
      </w:r>
      <w:r w:rsidR="005148EA" w:rsidRPr="00E47A79">
        <w:rPr>
          <w:rFonts w:ascii="Garamond" w:hAnsi="Garamond"/>
          <w:sz w:val="24"/>
          <w:szCs w:val="24"/>
        </w:rPr>
        <w:t>margin</w:t>
      </w:r>
      <w:r w:rsidR="00C7283F" w:rsidRPr="00E47A79">
        <w:rPr>
          <w:rFonts w:ascii="Garamond" w:hAnsi="Garamond"/>
          <w:sz w:val="24"/>
          <w:szCs w:val="24"/>
        </w:rPr>
        <w:t xml:space="preserve"> for discretion</w:t>
      </w:r>
      <w:r w:rsidR="00B81014" w:rsidRPr="00E47A79">
        <w:rPr>
          <w:rFonts w:ascii="Garamond" w:hAnsi="Garamond"/>
          <w:sz w:val="24"/>
          <w:szCs w:val="24"/>
        </w:rPr>
        <w:t>.</w:t>
      </w:r>
      <w:r w:rsidR="00C7283F" w:rsidRPr="00E47A79">
        <w:rPr>
          <w:rFonts w:ascii="Garamond" w:hAnsi="Garamond"/>
          <w:sz w:val="24"/>
          <w:szCs w:val="24"/>
        </w:rPr>
        <w:t xml:space="preserve"> These provisions</w:t>
      </w:r>
      <w:r w:rsidR="00CD41CC" w:rsidRPr="00E47A79">
        <w:rPr>
          <w:rFonts w:ascii="Garamond" w:hAnsi="Garamond"/>
          <w:sz w:val="24"/>
          <w:szCs w:val="24"/>
        </w:rPr>
        <w:t xml:space="preserve"> clearly envisage a balancing exercise to be undertaken when </w:t>
      </w:r>
      <w:r w:rsidR="00CD41CC" w:rsidRPr="00E47A79">
        <w:rPr>
          <w:rFonts w:ascii="Garamond" w:hAnsi="Garamond"/>
          <w:sz w:val="24"/>
          <w:szCs w:val="24"/>
        </w:rPr>
        <w:lastRenderedPageBreak/>
        <w:t>determining whether trying this medicine is ‘necessary.’ As long as the doctor has considered the guidance, has conducted the balancing exercise and reasonably concluded that such prescribing would address the patient’s need or was otherwise ‘necessary’, then such conduct will presumably not be regarded as negligent.</w:t>
      </w:r>
      <w:r w:rsidR="00CD41CC" w:rsidRPr="00E47A79">
        <w:rPr>
          <w:rFonts w:ascii="Garamond" w:hAnsi="Garamond"/>
          <w:sz w:val="24"/>
          <w:szCs w:val="24"/>
          <w:vertAlign w:val="superscript"/>
        </w:rPr>
        <w:footnoteReference w:id="247"/>
      </w:r>
      <w:r w:rsidR="00CD41CC" w:rsidRPr="00E47A79">
        <w:rPr>
          <w:rFonts w:ascii="Garamond" w:hAnsi="Garamond"/>
          <w:sz w:val="24"/>
          <w:szCs w:val="24"/>
        </w:rPr>
        <w:t xml:space="preserve"> </w:t>
      </w:r>
      <w:r w:rsidR="00154B7E" w:rsidRPr="00E47A79">
        <w:rPr>
          <w:rFonts w:ascii="Garamond" w:hAnsi="Garamond"/>
          <w:sz w:val="24"/>
          <w:szCs w:val="24"/>
        </w:rPr>
        <w:t>Aside from these gestures towards clinical judg</w:t>
      </w:r>
      <w:r w:rsidR="00487465" w:rsidRPr="00E47A79">
        <w:rPr>
          <w:rFonts w:ascii="Garamond" w:hAnsi="Garamond"/>
          <w:sz w:val="24"/>
          <w:szCs w:val="24"/>
        </w:rPr>
        <w:t>e</w:t>
      </w:r>
      <w:r w:rsidR="00154B7E" w:rsidRPr="00E47A79">
        <w:rPr>
          <w:rFonts w:ascii="Garamond" w:hAnsi="Garamond"/>
          <w:sz w:val="24"/>
          <w:szCs w:val="24"/>
        </w:rPr>
        <w:t xml:space="preserve">ment and a patient’s best interests as trumping the content of guidance in appropriate cases, a ‘logicality’ threshold would surely acknowledge that </w:t>
      </w:r>
      <w:r w:rsidRPr="00E47A79">
        <w:rPr>
          <w:rFonts w:ascii="Garamond" w:hAnsi="Garamond"/>
          <w:sz w:val="24"/>
          <w:szCs w:val="24"/>
        </w:rPr>
        <w:t>any guidance should be subject to qualification</w:t>
      </w:r>
      <w:r w:rsidR="00964B74" w:rsidRPr="00E47A79">
        <w:rPr>
          <w:rFonts w:ascii="Garamond" w:hAnsi="Garamond"/>
          <w:sz w:val="24"/>
          <w:szCs w:val="24"/>
        </w:rPr>
        <w:t xml:space="preserve"> and </w:t>
      </w:r>
      <w:r w:rsidRPr="00E47A79">
        <w:rPr>
          <w:rFonts w:ascii="Garamond" w:hAnsi="Garamond"/>
          <w:sz w:val="24"/>
          <w:szCs w:val="24"/>
        </w:rPr>
        <w:t xml:space="preserve">interpretation in light of the particular experiences and profiles of individual patients. </w:t>
      </w:r>
      <w:r w:rsidR="00487465" w:rsidRPr="00E47A79">
        <w:rPr>
          <w:rFonts w:ascii="Garamond" w:hAnsi="Garamond"/>
          <w:sz w:val="24"/>
          <w:szCs w:val="24"/>
        </w:rPr>
        <w:t>C</w:t>
      </w:r>
      <w:r w:rsidRPr="00E47A79">
        <w:rPr>
          <w:rFonts w:ascii="Garamond" w:hAnsi="Garamond"/>
          <w:sz w:val="24"/>
          <w:szCs w:val="24"/>
        </w:rPr>
        <w:t>o-morbidity</w:t>
      </w:r>
      <w:r w:rsidR="00487465" w:rsidRPr="00E47A79">
        <w:rPr>
          <w:rFonts w:ascii="Garamond" w:hAnsi="Garamond"/>
          <w:sz w:val="24"/>
          <w:szCs w:val="24"/>
        </w:rPr>
        <w:t xml:space="preserve"> and polypharmacy</w:t>
      </w:r>
      <w:r w:rsidRPr="00E47A79">
        <w:rPr>
          <w:rFonts w:ascii="Garamond" w:hAnsi="Garamond"/>
          <w:sz w:val="24"/>
          <w:szCs w:val="24"/>
        </w:rPr>
        <w:t xml:space="preserve"> </w:t>
      </w:r>
      <w:r w:rsidR="00487465" w:rsidRPr="00E47A79">
        <w:rPr>
          <w:rFonts w:ascii="Garamond" w:hAnsi="Garamond"/>
          <w:sz w:val="24"/>
          <w:szCs w:val="24"/>
        </w:rPr>
        <w:t>re</w:t>
      </w:r>
      <w:r w:rsidRPr="00E47A79">
        <w:rPr>
          <w:rFonts w:ascii="Garamond" w:hAnsi="Garamond"/>
          <w:sz w:val="24"/>
          <w:szCs w:val="24"/>
        </w:rPr>
        <w:t xml:space="preserve">present </w:t>
      </w:r>
      <w:r w:rsidR="00487465" w:rsidRPr="00E47A79">
        <w:rPr>
          <w:rFonts w:ascii="Garamond" w:hAnsi="Garamond"/>
          <w:sz w:val="24"/>
          <w:szCs w:val="24"/>
        </w:rPr>
        <w:t>growing</w:t>
      </w:r>
      <w:r w:rsidRPr="00E47A79">
        <w:rPr>
          <w:rFonts w:ascii="Garamond" w:hAnsi="Garamond"/>
          <w:sz w:val="24"/>
          <w:szCs w:val="24"/>
        </w:rPr>
        <w:t xml:space="preserve"> problem</w:t>
      </w:r>
      <w:r w:rsidR="00487465" w:rsidRPr="00E47A79">
        <w:rPr>
          <w:rFonts w:ascii="Garamond" w:hAnsi="Garamond"/>
          <w:sz w:val="24"/>
          <w:szCs w:val="24"/>
        </w:rPr>
        <w:t>s</w:t>
      </w:r>
      <w:r w:rsidRPr="00E47A79">
        <w:rPr>
          <w:rFonts w:ascii="Garamond" w:hAnsi="Garamond"/>
          <w:sz w:val="24"/>
          <w:szCs w:val="24"/>
        </w:rPr>
        <w:t xml:space="preserve"> in modern medicine</w:t>
      </w:r>
      <w:r w:rsidR="002D480C" w:rsidRPr="00E47A79">
        <w:rPr>
          <w:rFonts w:ascii="Garamond" w:hAnsi="Garamond"/>
          <w:sz w:val="24"/>
          <w:szCs w:val="24"/>
        </w:rPr>
        <w:t>,</w:t>
      </w:r>
      <w:r w:rsidRPr="00E47A79">
        <w:rPr>
          <w:rFonts w:ascii="Garamond" w:hAnsi="Garamond"/>
          <w:sz w:val="24"/>
          <w:szCs w:val="24"/>
          <w:vertAlign w:val="superscript"/>
        </w:rPr>
        <w:footnoteReference w:id="248"/>
      </w:r>
      <w:r w:rsidR="00487465" w:rsidRPr="00E47A79">
        <w:rPr>
          <w:rFonts w:ascii="Garamond" w:hAnsi="Garamond"/>
          <w:sz w:val="24"/>
          <w:szCs w:val="24"/>
        </w:rPr>
        <w:t xml:space="preserve"> whereas RCTs</w:t>
      </w:r>
      <w:r w:rsidRPr="00E47A79">
        <w:rPr>
          <w:rFonts w:ascii="Garamond" w:hAnsi="Garamond"/>
          <w:sz w:val="24"/>
          <w:szCs w:val="24"/>
        </w:rPr>
        <w:t xml:space="preserve"> and </w:t>
      </w:r>
      <w:r w:rsidR="00487465" w:rsidRPr="00E47A79">
        <w:rPr>
          <w:rFonts w:ascii="Garamond" w:hAnsi="Garamond"/>
          <w:sz w:val="24"/>
          <w:szCs w:val="24"/>
        </w:rPr>
        <w:t xml:space="preserve">professional </w:t>
      </w:r>
      <w:r w:rsidRPr="00E47A79">
        <w:rPr>
          <w:rFonts w:ascii="Garamond" w:hAnsi="Garamond"/>
          <w:sz w:val="24"/>
          <w:szCs w:val="24"/>
        </w:rPr>
        <w:t xml:space="preserve">guidance tend to </w:t>
      </w:r>
      <w:r w:rsidR="00487465" w:rsidRPr="00E47A79">
        <w:rPr>
          <w:rFonts w:ascii="Garamond" w:hAnsi="Garamond"/>
          <w:sz w:val="24"/>
          <w:szCs w:val="24"/>
        </w:rPr>
        <w:t>focus</w:t>
      </w:r>
      <w:r w:rsidRPr="00E47A79">
        <w:rPr>
          <w:rFonts w:ascii="Garamond" w:hAnsi="Garamond"/>
          <w:sz w:val="24"/>
          <w:szCs w:val="24"/>
        </w:rPr>
        <w:t xml:space="preserve"> on a single condition and/or treatment</w:t>
      </w:r>
      <w:r w:rsidR="002D480C" w:rsidRPr="00E47A79">
        <w:rPr>
          <w:rFonts w:ascii="Garamond" w:hAnsi="Garamond"/>
          <w:sz w:val="24"/>
          <w:szCs w:val="24"/>
        </w:rPr>
        <w:t>.</w:t>
      </w:r>
      <w:r w:rsidRPr="00E47A79">
        <w:rPr>
          <w:rFonts w:ascii="Garamond" w:hAnsi="Garamond"/>
          <w:sz w:val="24"/>
          <w:szCs w:val="24"/>
        </w:rPr>
        <w:t xml:space="preserve"> </w:t>
      </w:r>
      <w:r w:rsidR="002D480C" w:rsidRPr="00E47A79">
        <w:rPr>
          <w:rFonts w:ascii="Garamond" w:hAnsi="Garamond"/>
          <w:sz w:val="24"/>
          <w:szCs w:val="24"/>
        </w:rPr>
        <w:t>T</w:t>
      </w:r>
      <w:r w:rsidR="00487465" w:rsidRPr="00E47A79">
        <w:rPr>
          <w:rFonts w:ascii="Garamond" w:hAnsi="Garamond"/>
          <w:sz w:val="24"/>
          <w:szCs w:val="24"/>
        </w:rPr>
        <w:t xml:space="preserve">his </w:t>
      </w:r>
      <w:r w:rsidRPr="00E47A79">
        <w:rPr>
          <w:rFonts w:ascii="Garamond" w:hAnsi="Garamond"/>
          <w:sz w:val="24"/>
          <w:szCs w:val="24"/>
        </w:rPr>
        <w:t>leav</w:t>
      </w:r>
      <w:r w:rsidR="00487465" w:rsidRPr="00E47A79">
        <w:rPr>
          <w:rFonts w:ascii="Garamond" w:hAnsi="Garamond"/>
          <w:sz w:val="24"/>
          <w:szCs w:val="24"/>
        </w:rPr>
        <w:t>es</w:t>
      </w:r>
      <w:r w:rsidRPr="00E47A79">
        <w:rPr>
          <w:rFonts w:ascii="Garamond" w:hAnsi="Garamond"/>
          <w:sz w:val="24"/>
          <w:szCs w:val="24"/>
        </w:rPr>
        <w:t xml:space="preserve"> doctors to determine in many instances what is appropriate where the patient has multiple morbidities and requires a cocktail of medications.</w:t>
      </w:r>
      <w:r w:rsidRPr="00E47A79">
        <w:rPr>
          <w:rFonts w:ascii="Garamond" w:hAnsi="Garamond"/>
          <w:sz w:val="24"/>
          <w:szCs w:val="24"/>
          <w:vertAlign w:val="superscript"/>
        </w:rPr>
        <w:footnoteReference w:id="249"/>
      </w:r>
      <w:r w:rsidRPr="00E47A79">
        <w:rPr>
          <w:rFonts w:ascii="Garamond" w:hAnsi="Garamond"/>
          <w:sz w:val="24"/>
          <w:szCs w:val="24"/>
        </w:rPr>
        <w:t xml:space="preserve"> Thus it seems that there is some consensus that the available ‘guidance’ </w:t>
      </w:r>
      <w:r w:rsidR="00346428" w:rsidRPr="00E47A79">
        <w:rPr>
          <w:rFonts w:ascii="Garamond" w:hAnsi="Garamond"/>
          <w:sz w:val="24"/>
          <w:szCs w:val="24"/>
        </w:rPr>
        <w:t>will</w:t>
      </w:r>
      <w:r w:rsidRPr="00E47A79">
        <w:rPr>
          <w:rFonts w:ascii="Garamond" w:hAnsi="Garamond"/>
          <w:sz w:val="24"/>
          <w:szCs w:val="24"/>
        </w:rPr>
        <w:t xml:space="preserve"> always </w:t>
      </w:r>
      <w:r w:rsidR="00346428" w:rsidRPr="00E47A79">
        <w:rPr>
          <w:rFonts w:ascii="Garamond" w:hAnsi="Garamond"/>
          <w:sz w:val="24"/>
          <w:szCs w:val="24"/>
        </w:rPr>
        <w:t xml:space="preserve">necessarily be </w:t>
      </w:r>
      <w:r w:rsidRPr="00E47A79">
        <w:rPr>
          <w:rFonts w:ascii="Garamond" w:hAnsi="Garamond"/>
          <w:sz w:val="24"/>
          <w:szCs w:val="24"/>
        </w:rPr>
        <w:t xml:space="preserve">subject to </w:t>
      </w:r>
      <w:r w:rsidR="003952EE" w:rsidRPr="00E47A79">
        <w:rPr>
          <w:rFonts w:ascii="Garamond" w:hAnsi="Garamond"/>
          <w:sz w:val="24"/>
          <w:szCs w:val="24"/>
        </w:rPr>
        <w:t>prerogative</w:t>
      </w:r>
      <w:r w:rsidRPr="00E47A79">
        <w:rPr>
          <w:rFonts w:ascii="Garamond" w:hAnsi="Garamond"/>
          <w:sz w:val="24"/>
          <w:szCs w:val="24"/>
        </w:rPr>
        <w:t xml:space="preserve"> of the practitioner to act in what they reasonably regard as the patient’s best interests. </w:t>
      </w:r>
      <w:r w:rsidR="00654CEE" w:rsidRPr="00E47A79">
        <w:rPr>
          <w:rFonts w:ascii="Garamond" w:hAnsi="Garamond"/>
          <w:sz w:val="24"/>
          <w:szCs w:val="24"/>
        </w:rPr>
        <w:t>This is</w:t>
      </w:r>
      <w:r w:rsidR="00167992" w:rsidRPr="00E47A79">
        <w:rPr>
          <w:rFonts w:ascii="Garamond" w:hAnsi="Garamond"/>
          <w:sz w:val="24"/>
          <w:szCs w:val="24"/>
        </w:rPr>
        <w:t xml:space="preserve"> most clearly expressed in </w:t>
      </w:r>
      <w:r w:rsidR="00654CEE" w:rsidRPr="00E47A79">
        <w:rPr>
          <w:rFonts w:ascii="Garamond" w:hAnsi="Garamond"/>
          <w:sz w:val="24"/>
          <w:szCs w:val="24"/>
        </w:rPr>
        <w:t xml:space="preserve">the MCCS guidance which adopts the stance that the best </w:t>
      </w:r>
      <w:proofErr w:type="gramStart"/>
      <w:r w:rsidR="00654CEE" w:rsidRPr="00E47A79">
        <w:rPr>
          <w:rFonts w:ascii="Garamond" w:hAnsi="Garamond"/>
          <w:sz w:val="24"/>
          <w:szCs w:val="24"/>
        </w:rPr>
        <w:t>interests</w:t>
      </w:r>
      <w:proofErr w:type="gramEnd"/>
      <w:r w:rsidR="00654CEE" w:rsidRPr="00E47A79">
        <w:rPr>
          <w:rFonts w:ascii="Garamond" w:hAnsi="Garamond"/>
          <w:sz w:val="24"/>
          <w:szCs w:val="24"/>
        </w:rPr>
        <w:t xml:space="preserve"> standard is the ultimate </w:t>
      </w:r>
      <w:r w:rsidR="003952EE" w:rsidRPr="00E47A79">
        <w:rPr>
          <w:rFonts w:ascii="Garamond" w:hAnsi="Garamond"/>
          <w:sz w:val="24"/>
          <w:szCs w:val="24"/>
        </w:rPr>
        <w:t>guide to decision making</w:t>
      </w:r>
      <w:r w:rsidR="003C62DC" w:rsidRPr="00E47A79">
        <w:rPr>
          <w:rFonts w:ascii="Garamond" w:hAnsi="Garamond"/>
          <w:sz w:val="24"/>
          <w:szCs w:val="24"/>
        </w:rPr>
        <w:t xml:space="preserve"> after</w:t>
      </w:r>
      <w:r w:rsidR="00654CEE" w:rsidRPr="00E47A79">
        <w:rPr>
          <w:rFonts w:ascii="Garamond" w:hAnsi="Garamond"/>
          <w:sz w:val="24"/>
          <w:szCs w:val="24"/>
        </w:rPr>
        <w:t xml:space="preserve"> balancing the available evidence.</w:t>
      </w:r>
      <w:r w:rsidR="00654CEE" w:rsidRPr="00E47A79">
        <w:rPr>
          <w:rFonts w:ascii="Garamond" w:hAnsi="Garamond"/>
          <w:sz w:val="24"/>
          <w:szCs w:val="24"/>
          <w:vertAlign w:val="superscript"/>
        </w:rPr>
        <w:footnoteReference w:id="250"/>
      </w:r>
      <w:r w:rsidR="00654CEE" w:rsidRPr="00E47A79">
        <w:rPr>
          <w:rFonts w:ascii="Garamond" w:hAnsi="Garamond"/>
          <w:sz w:val="24"/>
          <w:szCs w:val="24"/>
        </w:rPr>
        <w:t xml:space="preserve"> </w:t>
      </w:r>
    </w:p>
    <w:p w14:paraId="7FC24F89" w14:textId="5474CC90" w:rsidR="00203E20" w:rsidRPr="00E47A79" w:rsidRDefault="00BA605B" w:rsidP="00A601B9">
      <w:pPr>
        <w:spacing w:line="360" w:lineRule="auto"/>
        <w:rPr>
          <w:rFonts w:ascii="Garamond" w:hAnsi="Garamond"/>
          <w:sz w:val="24"/>
          <w:szCs w:val="24"/>
        </w:rPr>
      </w:pPr>
      <w:proofErr w:type="gramStart"/>
      <w:r w:rsidRPr="00E47A79">
        <w:rPr>
          <w:rFonts w:ascii="Garamond" w:hAnsi="Garamond"/>
          <w:sz w:val="24"/>
          <w:szCs w:val="24"/>
        </w:rPr>
        <w:t>All of</w:t>
      </w:r>
      <w:proofErr w:type="gramEnd"/>
      <w:r w:rsidRPr="00E47A79">
        <w:rPr>
          <w:rFonts w:ascii="Garamond" w:hAnsi="Garamond"/>
          <w:sz w:val="24"/>
          <w:szCs w:val="24"/>
        </w:rPr>
        <w:t xml:space="preserve"> the above shines a very different light on professional guidance and speaks to a space for clinical judg</w:t>
      </w:r>
      <w:r w:rsidR="003952EE" w:rsidRPr="00E47A79">
        <w:rPr>
          <w:rFonts w:ascii="Garamond" w:hAnsi="Garamond"/>
          <w:sz w:val="24"/>
          <w:szCs w:val="24"/>
        </w:rPr>
        <w:t>e</w:t>
      </w:r>
      <w:r w:rsidRPr="00E47A79">
        <w:rPr>
          <w:rFonts w:ascii="Garamond" w:hAnsi="Garamond"/>
          <w:sz w:val="24"/>
          <w:szCs w:val="24"/>
        </w:rPr>
        <w:t>ment</w:t>
      </w:r>
      <w:r w:rsidR="003952EE" w:rsidRPr="00E47A79">
        <w:rPr>
          <w:rFonts w:ascii="Garamond" w:hAnsi="Garamond"/>
          <w:sz w:val="24"/>
          <w:szCs w:val="24"/>
        </w:rPr>
        <w:t xml:space="preserve">, albeit one </w:t>
      </w:r>
      <w:r w:rsidRPr="00E47A79">
        <w:rPr>
          <w:rFonts w:ascii="Garamond" w:hAnsi="Garamond"/>
          <w:sz w:val="24"/>
          <w:szCs w:val="24"/>
        </w:rPr>
        <w:t xml:space="preserve">which is rarely examined or tested in the courts. </w:t>
      </w:r>
      <w:r w:rsidR="00203E20" w:rsidRPr="00E47A79">
        <w:rPr>
          <w:rFonts w:ascii="Garamond" w:hAnsi="Garamond"/>
          <w:sz w:val="24"/>
          <w:szCs w:val="24"/>
        </w:rPr>
        <w:t>Doctors</w:t>
      </w:r>
      <w:r w:rsidR="00F714F8" w:rsidRPr="00E47A79">
        <w:rPr>
          <w:rFonts w:ascii="Garamond" w:hAnsi="Garamond"/>
          <w:sz w:val="24"/>
          <w:szCs w:val="24"/>
        </w:rPr>
        <w:t xml:space="preserve"> and experts called in their defence</w:t>
      </w:r>
      <w:r w:rsidR="00203E20" w:rsidRPr="00E47A79">
        <w:rPr>
          <w:rFonts w:ascii="Garamond" w:hAnsi="Garamond"/>
          <w:sz w:val="24"/>
          <w:szCs w:val="24"/>
        </w:rPr>
        <w:t xml:space="preserve"> must be able to justify decision</w:t>
      </w:r>
      <w:r w:rsidR="00F714F8" w:rsidRPr="00E47A79">
        <w:rPr>
          <w:rFonts w:ascii="Garamond" w:hAnsi="Garamond"/>
          <w:sz w:val="24"/>
          <w:szCs w:val="24"/>
        </w:rPr>
        <w:t>s</w:t>
      </w:r>
      <w:r w:rsidR="00203E20" w:rsidRPr="00E47A79">
        <w:rPr>
          <w:rFonts w:ascii="Garamond" w:hAnsi="Garamond"/>
          <w:sz w:val="24"/>
          <w:szCs w:val="24"/>
        </w:rPr>
        <w:t xml:space="preserve"> to prescribe with reference to the available guidance and </w:t>
      </w:r>
      <w:proofErr w:type="gramStart"/>
      <w:r w:rsidR="00203E20" w:rsidRPr="00E47A79">
        <w:rPr>
          <w:rFonts w:ascii="Garamond" w:hAnsi="Garamond"/>
          <w:sz w:val="24"/>
          <w:szCs w:val="24"/>
        </w:rPr>
        <w:t>evidence, but</w:t>
      </w:r>
      <w:proofErr w:type="gramEnd"/>
      <w:r w:rsidR="00203E20" w:rsidRPr="00E47A79">
        <w:rPr>
          <w:rFonts w:ascii="Garamond" w:hAnsi="Garamond"/>
          <w:sz w:val="24"/>
          <w:szCs w:val="24"/>
        </w:rPr>
        <w:t xml:space="preserve"> are free to come to a decision that their patient’s needs are best served by trying these unlicensed products.</w:t>
      </w:r>
      <w:r w:rsidR="00F714F8" w:rsidRPr="00E47A79">
        <w:rPr>
          <w:rStyle w:val="FootnoteReference"/>
          <w:rFonts w:ascii="Garamond" w:hAnsi="Garamond"/>
          <w:sz w:val="24"/>
          <w:szCs w:val="24"/>
        </w:rPr>
        <w:footnoteReference w:id="251"/>
      </w:r>
    </w:p>
    <w:p w14:paraId="632B636B" w14:textId="0AE414C7" w:rsidR="00D84399" w:rsidRPr="00E47A79" w:rsidRDefault="00D84399" w:rsidP="00A601B9">
      <w:pPr>
        <w:spacing w:line="360" w:lineRule="auto"/>
        <w:jc w:val="center"/>
        <w:rPr>
          <w:rFonts w:ascii="Garamond" w:hAnsi="Garamond"/>
          <w:i/>
          <w:iCs/>
          <w:sz w:val="24"/>
          <w:szCs w:val="24"/>
        </w:rPr>
      </w:pPr>
      <w:r w:rsidRPr="00E47A79">
        <w:rPr>
          <w:rFonts w:ascii="Garamond" w:hAnsi="Garamond"/>
          <w:i/>
          <w:iCs/>
          <w:sz w:val="24"/>
          <w:szCs w:val="24"/>
        </w:rPr>
        <w:t xml:space="preserve">How are </w:t>
      </w:r>
      <w:r w:rsidR="00BE4428" w:rsidRPr="00E47A79">
        <w:rPr>
          <w:rFonts w:ascii="Garamond" w:hAnsi="Garamond"/>
          <w:i/>
          <w:iCs/>
          <w:sz w:val="24"/>
          <w:szCs w:val="24"/>
        </w:rPr>
        <w:t>tensions</w:t>
      </w:r>
      <w:r w:rsidRPr="00E47A79">
        <w:rPr>
          <w:rFonts w:ascii="Garamond" w:hAnsi="Garamond"/>
          <w:i/>
          <w:iCs/>
          <w:sz w:val="24"/>
          <w:szCs w:val="24"/>
        </w:rPr>
        <w:t xml:space="preserve"> between GMC</w:t>
      </w:r>
      <w:r w:rsidR="001C1F8C" w:rsidRPr="00E47A79">
        <w:rPr>
          <w:rFonts w:ascii="Garamond" w:hAnsi="Garamond"/>
          <w:i/>
          <w:iCs/>
          <w:sz w:val="24"/>
          <w:szCs w:val="24"/>
        </w:rPr>
        <w:t xml:space="preserve"> default guidance</w:t>
      </w:r>
      <w:r w:rsidRPr="00E47A79">
        <w:rPr>
          <w:rFonts w:ascii="Garamond" w:hAnsi="Garamond"/>
          <w:i/>
          <w:iCs/>
          <w:sz w:val="24"/>
          <w:szCs w:val="24"/>
        </w:rPr>
        <w:t xml:space="preserve"> and interim guidance to be addressed?</w:t>
      </w:r>
    </w:p>
    <w:p w14:paraId="6F1C7CA2" w14:textId="6AFDCB31" w:rsidR="00D63926" w:rsidRPr="00E47A79" w:rsidRDefault="00055639" w:rsidP="008F30D3">
      <w:pPr>
        <w:spacing w:line="360" w:lineRule="auto"/>
        <w:rPr>
          <w:rFonts w:ascii="Garamond" w:hAnsi="Garamond"/>
          <w:i/>
          <w:iCs/>
          <w:sz w:val="24"/>
          <w:szCs w:val="24"/>
        </w:rPr>
      </w:pPr>
      <w:r w:rsidRPr="00E47A79">
        <w:rPr>
          <w:rFonts w:ascii="Garamond" w:hAnsi="Garamond"/>
          <w:sz w:val="24"/>
          <w:szCs w:val="24"/>
        </w:rPr>
        <w:t xml:space="preserve">One particularly thorny issue arises out of the fact noted above that the GMC’s 2013 guidance on prescribing medicines differs in </w:t>
      </w:r>
      <w:r w:rsidR="005148EA" w:rsidRPr="00E47A79">
        <w:rPr>
          <w:rFonts w:ascii="Garamond" w:hAnsi="Garamond"/>
          <w:sz w:val="24"/>
          <w:szCs w:val="24"/>
        </w:rPr>
        <w:t>key</w:t>
      </w:r>
      <w:r w:rsidRPr="00E47A79">
        <w:rPr>
          <w:rFonts w:ascii="Garamond" w:hAnsi="Garamond"/>
          <w:sz w:val="24"/>
          <w:szCs w:val="24"/>
        </w:rPr>
        <w:t xml:space="preserve"> respects from the interim guidance issued around </w:t>
      </w:r>
      <w:r w:rsidR="003952EE" w:rsidRPr="00E47A79">
        <w:rPr>
          <w:rFonts w:ascii="Garamond" w:hAnsi="Garamond"/>
          <w:sz w:val="24"/>
          <w:szCs w:val="24"/>
        </w:rPr>
        <w:t xml:space="preserve">CBMP </w:t>
      </w:r>
      <w:r w:rsidRPr="00E47A79">
        <w:rPr>
          <w:rFonts w:ascii="Garamond" w:hAnsi="Garamond"/>
          <w:sz w:val="24"/>
          <w:szCs w:val="24"/>
        </w:rPr>
        <w:t>prescribing. How would a court decide on the relative status of these two thresholds</w:t>
      </w:r>
      <w:r w:rsidR="003952EE" w:rsidRPr="00E47A79">
        <w:rPr>
          <w:rFonts w:ascii="Garamond" w:hAnsi="Garamond"/>
          <w:sz w:val="24"/>
          <w:szCs w:val="24"/>
        </w:rPr>
        <w:t xml:space="preserve"> f</w:t>
      </w:r>
      <w:r w:rsidRPr="00E47A79">
        <w:rPr>
          <w:rFonts w:ascii="Garamond" w:hAnsi="Garamond"/>
          <w:sz w:val="24"/>
          <w:szCs w:val="24"/>
        </w:rPr>
        <w:t>or the purposes of fixing the standard of care</w:t>
      </w:r>
      <w:r w:rsidR="005D2A26" w:rsidRPr="00E47A79">
        <w:rPr>
          <w:rFonts w:ascii="Garamond" w:hAnsi="Garamond"/>
          <w:sz w:val="24"/>
          <w:szCs w:val="24"/>
        </w:rPr>
        <w:t>, or</w:t>
      </w:r>
      <w:r w:rsidR="003952EE" w:rsidRPr="00E47A79">
        <w:rPr>
          <w:rFonts w:ascii="Garamond" w:hAnsi="Garamond"/>
          <w:sz w:val="24"/>
          <w:szCs w:val="24"/>
        </w:rPr>
        <w:t>,</w:t>
      </w:r>
      <w:r w:rsidR="005D2A26" w:rsidRPr="00E47A79">
        <w:rPr>
          <w:rFonts w:ascii="Garamond" w:hAnsi="Garamond"/>
          <w:sz w:val="24"/>
          <w:szCs w:val="24"/>
        </w:rPr>
        <w:t xml:space="preserve"> for that matter</w:t>
      </w:r>
      <w:r w:rsidR="003952EE" w:rsidRPr="00E47A79">
        <w:rPr>
          <w:rFonts w:ascii="Garamond" w:hAnsi="Garamond"/>
          <w:sz w:val="24"/>
          <w:szCs w:val="24"/>
        </w:rPr>
        <w:t>,</w:t>
      </w:r>
      <w:r w:rsidR="005D2A26" w:rsidRPr="00E47A79">
        <w:rPr>
          <w:rFonts w:ascii="Garamond" w:hAnsi="Garamond"/>
          <w:sz w:val="24"/>
          <w:szCs w:val="24"/>
        </w:rPr>
        <w:t xml:space="preserve"> if the court </w:t>
      </w:r>
      <w:r w:rsidR="003952EE" w:rsidRPr="00E47A79">
        <w:rPr>
          <w:rFonts w:ascii="Garamond" w:hAnsi="Garamond"/>
          <w:sz w:val="24"/>
          <w:szCs w:val="24"/>
        </w:rPr>
        <w:t>had to choose</w:t>
      </w:r>
      <w:r w:rsidR="005D2A26" w:rsidRPr="00E47A79">
        <w:rPr>
          <w:rFonts w:ascii="Garamond" w:hAnsi="Garamond"/>
          <w:sz w:val="24"/>
          <w:szCs w:val="24"/>
        </w:rPr>
        <w:t xml:space="preserve"> between the GMC’s guidance on prescribing unlicensed medications and the far less liberal interim guidance </w:t>
      </w:r>
      <w:r w:rsidR="005D2A26" w:rsidRPr="00E47A79">
        <w:rPr>
          <w:rFonts w:ascii="Garamond" w:hAnsi="Garamond"/>
          <w:sz w:val="24"/>
          <w:szCs w:val="24"/>
        </w:rPr>
        <w:lastRenderedPageBreak/>
        <w:t>of the BPNA</w:t>
      </w:r>
      <w:r w:rsidRPr="00E47A79">
        <w:rPr>
          <w:rFonts w:ascii="Garamond" w:hAnsi="Garamond"/>
          <w:sz w:val="24"/>
          <w:szCs w:val="24"/>
        </w:rPr>
        <w:t xml:space="preserve">? </w:t>
      </w:r>
      <w:r w:rsidR="00D84399" w:rsidRPr="00E47A79">
        <w:rPr>
          <w:rFonts w:ascii="Garamond" w:hAnsi="Garamond"/>
          <w:sz w:val="24"/>
          <w:szCs w:val="24"/>
        </w:rPr>
        <w:t>NHS England advice and the other interim guidance has been drafted specifically with reference to medicinal cannabis and therefore might be regarded as more ‘applicable,’ to the context of prescribing cannabis</w:t>
      </w:r>
      <w:r w:rsidR="002D480C" w:rsidRPr="00E47A79">
        <w:rPr>
          <w:rFonts w:ascii="Garamond" w:hAnsi="Garamond"/>
          <w:sz w:val="24"/>
          <w:szCs w:val="24"/>
        </w:rPr>
        <w:t>-</w:t>
      </w:r>
      <w:r w:rsidR="00D84399" w:rsidRPr="00E47A79">
        <w:rPr>
          <w:rFonts w:ascii="Garamond" w:hAnsi="Garamond"/>
          <w:sz w:val="24"/>
          <w:szCs w:val="24"/>
        </w:rPr>
        <w:t xml:space="preserve">based medicines than the GMC’s general prescribing advice. But there are reasons for thinking that </w:t>
      </w:r>
      <w:r w:rsidRPr="00E47A79">
        <w:rPr>
          <w:rFonts w:ascii="Garamond" w:hAnsi="Garamond"/>
          <w:sz w:val="24"/>
          <w:szCs w:val="24"/>
        </w:rPr>
        <w:t xml:space="preserve">GMC guidance </w:t>
      </w:r>
      <w:r w:rsidR="00675BAC" w:rsidRPr="00E47A79">
        <w:rPr>
          <w:rFonts w:ascii="Garamond" w:hAnsi="Garamond"/>
          <w:sz w:val="24"/>
          <w:szCs w:val="24"/>
        </w:rPr>
        <w:t xml:space="preserve">should be considered </w:t>
      </w:r>
      <w:r w:rsidRPr="00E47A79">
        <w:rPr>
          <w:rFonts w:ascii="Garamond" w:hAnsi="Garamond"/>
          <w:sz w:val="24"/>
          <w:szCs w:val="24"/>
        </w:rPr>
        <w:t>more authoritative – as mentioned above</w:t>
      </w:r>
      <w:r w:rsidR="00964B74" w:rsidRPr="00E47A79">
        <w:rPr>
          <w:rFonts w:ascii="Garamond" w:hAnsi="Garamond"/>
          <w:sz w:val="24"/>
          <w:szCs w:val="24"/>
        </w:rPr>
        <w:t>.</w:t>
      </w:r>
      <w:r w:rsidR="00D84399" w:rsidRPr="00E47A79">
        <w:rPr>
          <w:rStyle w:val="FootnoteReference"/>
          <w:rFonts w:ascii="Garamond" w:hAnsi="Garamond"/>
          <w:sz w:val="24"/>
          <w:szCs w:val="24"/>
        </w:rPr>
        <w:footnoteReference w:id="252"/>
      </w:r>
      <w:r w:rsidRPr="00E47A79">
        <w:rPr>
          <w:rFonts w:ascii="Garamond" w:hAnsi="Garamond"/>
          <w:sz w:val="24"/>
          <w:szCs w:val="24"/>
        </w:rPr>
        <w:t xml:space="preserve"> </w:t>
      </w:r>
      <w:r w:rsidR="005D2A26" w:rsidRPr="00E47A79">
        <w:rPr>
          <w:rFonts w:ascii="Garamond" w:hAnsi="Garamond"/>
          <w:sz w:val="24"/>
          <w:szCs w:val="24"/>
        </w:rPr>
        <w:t>I</w:t>
      </w:r>
      <w:r w:rsidRPr="00E47A79">
        <w:rPr>
          <w:rFonts w:ascii="Garamond" w:hAnsi="Garamond"/>
          <w:sz w:val="24"/>
          <w:szCs w:val="24"/>
        </w:rPr>
        <w:t>ts guidance has been highly influential in fixing the standard of care</w:t>
      </w:r>
      <w:r w:rsidR="00D40E98" w:rsidRPr="00E47A79">
        <w:rPr>
          <w:rFonts w:ascii="Garamond" w:hAnsi="Garamond"/>
          <w:sz w:val="24"/>
          <w:szCs w:val="24"/>
        </w:rPr>
        <w:t>,</w:t>
      </w:r>
      <w:r w:rsidRPr="00E47A79">
        <w:rPr>
          <w:rFonts w:ascii="Garamond" w:hAnsi="Garamond"/>
          <w:sz w:val="24"/>
          <w:szCs w:val="24"/>
          <w:vertAlign w:val="superscript"/>
        </w:rPr>
        <w:footnoteReference w:id="253"/>
      </w:r>
      <w:r w:rsidRPr="00E47A79">
        <w:rPr>
          <w:rFonts w:ascii="Garamond" w:hAnsi="Garamond"/>
          <w:sz w:val="24"/>
          <w:szCs w:val="24"/>
        </w:rPr>
        <w:t xml:space="preserve"> and it is widely regarded as the predominant source of ethical guidance</w:t>
      </w:r>
      <w:r w:rsidR="00BB79C1" w:rsidRPr="00E47A79">
        <w:rPr>
          <w:rFonts w:ascii="Garamond" w:hAnsi="Garamond"/>
          <w:sz w:val="24"/>
          <w:szCs w:val="24"/>
        </w:rPr>
        <w:t xml:space="preserve"> to the profession</w:t>
      </w:r>
      <w:r w:rsidRPr="00E47A79">
        <w:rPr>
          <w:rFonts w:ascii="Garamond" w:hAnsi="Garamond"/>
          <w:sz w:val="24"/>
          <w:szCs w:val="24"/>
        </w:rPr>
        <w:t>.</w:t>
      </w:r>
      <w:r w:rsidRPr="00E47A79">
        <w:rPr>
          <w:rFonts w:ascii="Garamond" w:hAnsi="Garamond"/>
          <w:sz w:val="24"/>
          <w:szCs w:val="24"/>
          <w:vertAlign w:val="superscript"/>
        </w:rPr>
        <w:footnoteReference w:id="254"/>
      </w:r>
      <w:r w:rsidRPr="00E47A79">
        <w:rPr>
          <w:rFonts w:ascii="Garamond" w:hAnsi="Garamond"/>
          <w:sz w:val="24"/>
          <w:szCs w:val="24"/>
        </w:rPr>
        <w:t xml:space="preserve"> </w:t>
      </w:r>
      <w:r w:rsidR="003952EE" w:rsidRPr="00E47A79">
        <w:rPr>
          <w:rFonts w:ascii="Garamond" w:hAnsi="Garamond"/>
          <w:sz w:val="24"/>
          <w:szCs w:val="24"/>
        </w:rPr>
        <w:t>For example, i</w:t>
      </w:r>
      <w:r w:rsidR="005D2A26" w:rsidRPr="00E47A79">
        <w:rPr>
          <w:rFonts w:ascii="Garamond" w:hAnsi="Garamond"/>
          <w:sz w:val="24"/>
          <w:szCs w:val="24"/>
        </w:rPr>
        <w:t xml:space="preserve">n </w:t>
      </w:r>
      <w:r w:rsidR="005D2A26" w:rsidRPr="00E47A79">
        <w:rPr>
          <w:rFonts w:ascii="Garamond" w:hAnsi="Garamond"/>
          <w:i/>
          <w:iCs/>
          <w:sz w:val="24"/>
          <w:szCs w:val="24"/>
        </w:rPr>
        <w:t>An NHS Trust v Y</w:t>
      </w:r>
      <w:r w:rsidR="005D2A26" w:rsidRPr="00E47A79">
        <w:rPr>
          <w:rFonts w:ascii="Garamond" w:hAnsi="Garamond"/>
          <w:sz w:val="24"/>
          <w:szCs w:val="24"/>
        </w:rPr>
        <w:t xml:space="preserve">, Lady Black noted that GMC guidance in particular </w:t>
      </w:r>
      <w:r w:rsidR="00BE4428" w:rsidRPr="00E47A79">
        <w:rPr>
          <w:rFonts w:ascii="Garamond" w:hAnsi="Garamond"/>
          <w:sz w:val="24"/>
          <w:szCs w:val="24"/>
        </w:rPr>
        <w:t xml:space="preserve">(as compared with, for example, RCP guidance) </w:t>
      </w:r>
      <w:r w:rsidR="005D2A26" w:rsidRPr="00E47A79">
        <w:rPr>
          <w:rFonts w:ascii="Garamond" w:hAnsi="Garamond"/>
          <w:sz w:val="24"/>
          <w:szCs w:val="24"/>
        </w:rPr>
        <w:t>had a very important part to play</w:t>
      </w:r>
      <w:r w:rsidR="002E6766" w:rsidRPr="00E47A79">
        <w:rPr>
          <w:rFonts w:ascii="Garamond" w:hAnsi="Garamond"/>
          <w:sz w:val="24"/>
          <w:szCs w:val="24"/>
        </w:rPr>
        <w:t xml:space="preserve"> given its </w:t>
      </w:r>
      <w:r w:rsidR="00D63926" w:rsidRPr="00E47A79">
        <w:rPr>
          <w:rFonts w:ascii="Garamond" w:hAnsi="Garamond"/>
          <w:sz w:val="24"/>
          <w:szCs w:val="24"/>
        </w:rPr>
        <w:t>‘</w:t>
      </w:r>
      <w:r w:rsidR="002E6766" w:rsidRPr="00E47A79">
        <w:rPr>
          <w:rFonts w:ascii="Garamond" w:hAnsi="Garamond"/>
          <w:sz w:val="24"/>
          <w:szCs w:val="24"/>
        </w:rPr>
        <w:t>special role in providing guidance for the medical profession.’</w:t>
      </w:r>
      <w:r w:rsidR="002E6766" w:rsidRPr="00E47A79">
        <w:rPr>
          <w:rFonts w:ascii="Garamond" w:hAnsi="Garamond"/>
          <w:sz w:val="24"/>
          <w:szCs w:val="24"/>
          <w:vertAlign w:val="superscript"/>
        </w:rPr>
        <w:t xml:space="preserve"> </w:t>
      </w:r>
      <w:r w:rsidR="002E6766" w:rsidRPr="00E47A79">
        <w:rPr>
          <w:rFonts w:ascii="Garamond" w:hAnsi="Garamond"/>
          <w:sz w:val="24"/>
          <w:szCs w:val="24"/>
          <w:vertAlign w:val="superscript"/>
        </w:rPr>
        <w:footnoteReference w:id="255"/>
      </w:r>
      <w:r w:rsidR="00D84399" w:rsidRPr="00E47A79">
        <w:rPr>
          <w:rFonts w:ascii="Garamond" w:hAnsi="Garamond"/>
          <w:i/>
          <w:iCs/>
          <w:sz w:val="24"/>
          <w:szCs w:val="24"/>
        </w:rPr>
        <w:t xml:space="preserve"> </w:t>
      </w:r>
      <w:r w:rsidR="00D63926" w:rsidRPr="00E47A79">
        <w:rPr>
          <w:rFonts w:ascii="Garamond" w:hAnsi="Garamond"/>
          <w:sz w:val="24"/>
          <w:szCs w:val="24"/>
        </w:rPr>
        <w:t>In fact she went further</w:t>
      </w:r>
      <w:r w:rsidR="00D84399" w:rsidRPr="00E47A79">
        <w:rPr>
          <w:rFonts w:ascii="Garamond" w:hAnsi="Garamond"/>
          <w:sz w:val="24"/>
          <w:szCs w:val="24"/>
        </w:rPr>
        <w:t>,</w:t>
      </w:r>
      <w:r w:rsidR="00D63926" w:rsidRPr="00E47A79">
        <w:rPr>
          <w:rFonts w:ascii="Garamond" w:hAnsi="Garamond"/>
          <w:sz w:val="24"/>
          <w:szCs w:val="24"/>
        </w:rPr>
        <w:t xml:space="preserve"> </w:t>
      </w:r>
      <w:r w:rsidR="00D84399" w:rsidRPr="00E47A79">
        <w:rPr>
          <w:rFonts w:ascii="Garamond" w:hAnsi="Garamond"/>
          <w:sz w:val="24"/>
          <w:szCs w:val="24"/>
        </w:rPr>
        <w:t xml:space="preserve">commenting that the statutory backdrop to the GMC’s </w:t>
      </w:r>
      <w:r w:rsidR="00675BAC" w:rsidRPr="00E47A79">
        <w:rPr>
          <w:rFonts w:ascii="Garamond" w:hAnsi="Garamond"/>
          <w:sz w:val="24"/>
          <w:szCs w:val="24"/>
        </w:rPr>
        <w:t>advic</w:t>
      </w:r>
      <w:r w:rsidR="00D84399" w:rsidRPr="00E47A79">
        <w:rPr>
          <w:rFonts w:ascii="Garamond" w:hAnsi="Garamond"/>
          <w:sz w:val="24"/>
          <w:szCs w:val="24"/>
        </w:rPr>
        <w:t>e giving role meant that the GMC’s guidance could be singled out</w:t>
      </w:r>
      <w:bookmarkStart w:id="13" w:name="para107"/>
      <w:r w:rsidR="00D63926" w:rsidRPr="00E47A79">
        <w:rPr>
          <w:rFonts w:ascii="Garamond" w:hAnsi="Garamond"/>
          <w:sz w:val="24"/>
          <w:szCs w:val="24"/>
        </w:rPr>
        <w:t xml:space="preserve"> as </w:t>
      </w:r>
      <w:r w:rsidR="00D84399" w:rsidRPr="00E47A79">
        <w:rPr>
          <w:rFonts w:ascii="Garamond" w:hAnsi="Garamond"/>
          <w:sz w:val="24"/>
          <w:szCs w:val="24"/>
        </w:rPr>
        <w:t>‘</w:t>
      </w:r>
      <w:r w:rsidR="00D63926" w:rsidRPr="00E47A79">
        <w:rPr>
          <w:rFonts w:ascii="Garamond" w:hAnsi="Garamond"/>
          <w:sz w:val="24"/>
          <w:szCs w:val="24"/>
        </w:rPr>
        <w:t>undeniably part of the established regulatory framework.</w:t>
      </w:r>
      <w:bookmarkEnd w:id="13"/>
      <w:r w:rsidR="00D63926" w:rsidRPr="00E47A79">
        <w:rPr>
          <w:rFonts w:ascii="Garamond" w:hAnsi="Garamond"/>
          <w:sz w:val="24"/>
          <w:szCs w:val="24"/>
        </w:rPr>
        <w:t>’</w:t>
      </w:r>
      <w:r w:rsidR="00BA459B" w:rsidRPr="00E47A79">
        <w:rPr>
          <w:rStyle w:val="FootnoteReference"/>
          <w:rFonts w:ascii="Garamond" w:hAnsi="Garamond"/>
          <w:sz w:val="24"/>
          <w:szCs w:val="24"/>
        </w:rPr>
        <w:footnoteReference w:id="256"/>
      </w:r>
      <w:r w:rsidR="00D63926" w:rsidRPr="00E47A79">
        <w:rPr>
          <w:rFonts w:ascii="Garamond" w:hAnsi="Garamond"/>
          <w:sz w:val="24"/>
          <w:szCs w:val="24"/>
        </w:rPr>
        <w:t xml:space="preserve"> </w:t>
      </w:r>
      <w:r w:rsidR="00675BAC" w:rsidRPr="00E47A79">
        <w:rPr>
          <w:rFonts w:ascii="Garamond" w:hAnsi="Garamond"/>
          <w:sz w:val="24"/>
          <w:szCs w:val="24"/>
        </w:rPr>
        <w:t xml:space="preserve">The positioning of GMC guidance as part of the regulatory framework provides strong support for saying that there should be a preference for GMC guidance </w:t>
      </w:r>
      <w:r w:rsidR="003952EE" w:rsidRPr="00E47A79">
        <w:rPr>
          <w:rFonts w:ascii="Garamond" w:hAnsi="Garamond"/>
          <w:sz w:val="24"/>
          <w:szCs w:val="24"/>
        </w:rPr>
        <w:t xml:space="preserve">for standard of care purposes </w:t>
      </w:r>
      <w:r w:rsidR="00675BAC" w:rsidRPr="00E47A79">
        <w:rPr>
          <w:rFonts w:ascii="Garamond" w:hAnsi="Garamond"/>
          <w:sz w:val="24"/>
          <w:szCs w:val="24"/>
        </w:rPr>
        <w:t xml:space="preserve">when there is </w:t>
      </w:r>
      <w:r w:rsidR="00D40E98" w:rsidRPr="00E47A79">
        <w:rPr>
          <w:rFonts w:ascii="Garamond" w:hAnsi="Garamond"/>
          <w:sz w:val="24"/>
          <w:szCs w:val="24"/>
        </w:rPr>
        <w:t xml:space="preserve">perceived to be a difference of approach </w:t>
      </w:r>
      <w:r w:rsidR="00675BAC" w:rsidRPr="00E47A79">
        <w:rPr>
          <w:rFonts w:ascii="Garamond" w:hAnsi="Garamond"/>
          <w:sz w:val="24"/>
          <w:szCs w:val="24"/>
        </w:rPr>
        <w:t xml:space="preserve">between its provisions and guidance from other sources. </w:t>
      </w:r>
    </w:p>
    <w:p w14:paraId="4BBA530E" w14:textId="2568F9C8" w:rsidR="00EE4E0A" w:rsidRPr="00E47A79" w:rsidRDefault="00D97B78" w:rsidP="00024245">
      <w:pPr>
        <w:spacing w:line="360" w:lineRule="auto"/>
        <w:jc w:val="center"/>
        <w:rPr>
          <w:rFonts w:ascii="Garamond" w:hAnsi="Garamond"/>
          <w:i/>
          <w:iCs/>
          <w:sz w:val="24"/>
          <w:szCs w:val="24"/>
        </w:rPr>
      </w:pPr>
      <w:r w:rsidRPr="00E47A79">
        <w:rPr>
          <w:rFonts w:ascii="Garamond" w:hAnsi="Garamond"/>
          <w:i/>
          <w:iCs/>
          <w:sz w:val="24"/>
          <w:szCs w:val="24"/>
        </w:rPr>
        <w:t>D</w:t>
      </w:r>
      <w:r w:rsidR="00BD0A23" w:rsidRPr="00E47A79">
        <w:rPr>
          <w:rFonts w:ascii="Garamond" w:hAnsi="Garamond"/>
          <w:i/>
          <w:iCs/>
          <w:sz w:val="24"/>
          <w:szCs w:val="24"/>
        </w:rPr>
        <w:t>.</w:t>
      </w:r>
      <w:r w:rsidR="00EE4E0A" w:rsidRPr="00E47A79">
        <w:rPr>
          <w:rFonts w:ascii="Garamond" w:hAnsi="Garamond"/>
          <w:i/>
          <w:iCs/>
          <w:sz w:val="24"/>
          <w:szCs w:val="24"/>
        </w:rPr>
        <w:t xml:space="preserve"> </w:t>
      </w:r>
      <w:r w:rsidR="00024245" w:rsidRPr="00E47A79">
        <w:rPr>
          <w:rFonts w:ascii="Garamond" w:hAnsi="Garamond"/>
          <w:i/>
          <w:iCs/>
          <w:sz w:val="24"/>
          <w:szCs w:val="24"/>
        </w:rPr>
        <w:t xml:space="preserve"> </w:t>
      </w:r>
      <w:r w:rsidR="007777BD" w:rsidRPr="00E47A79">
        <w:rPr>
          <w:rFonts w:ascii="Garamond" w:hAnsi="Garamond"/>
          <w:i/>
          <w:iCs/>
          <w:sz w:val="24"/>
          <w:szCs w:val="24"/>
        </w:rPr>
        <w:t>T</w:t>
      </w:r>
      <w:r w:rsidR="00024245" w:rsidRPr="00E47A79">
        <w:rPr>
          <w:rFonts w:ascii="Garamond" w:hAnsi="Garamond"/>
          <w:i/>
          <w:iCs/>
          <w:sz w:val="24"/>
          <w:szCs w:val="24"/>
        </w:rPr>
        <w:t>he ‘first wave patient’</w:t>
      </w:r>
      <w:r w:rsidR="008F30D3" w:rsidRPr="00E47A79">
        <w:rPr>
          <w:rFonts w:ascii="Garamond" w:hAnsi="Garamond"/>
          <w:i/>
          <w:iCs/>
          <w:sz w:val="24"/>
          <w:szCs w:val="24"/>
        </w:rPr>
        <w:t xml:space="preserve"> and calibrating risk </w:t>
      </w:r>
      <w:r w:rsidR="006E1B1F" w:rsidRPr="00E47A79">
        <w:rPr>
          <w:rFonts w:ascii="Garamond" w:hAnsi="Garamond"/>
          <w:i/>
          <w:iCs/>
          <w:sz w:val="24"/>
          <w:szCs w:val="24"/>
        </w:rPr>
        <w:t>to include</w:t>
      </w:r>
      <w:r w:rsidR="008F30D3" w:rsidRPr="00E47A79">
        <w:rPr>
          <w:rFonts w:ascii="Garamond" w:hAnsi="Garamond"/>
          <w:i/>
          <w:iCs/>
          <w:sz w:val="24"/>
          <w:szCs w:val="24"/>
        </w:rPr>
        <w:t xml:space="preserve"> reference to </w:t>
      </w:r>
      <w:r w:rsidR="00EE4E0A" w:rsidRPr="00E47A79">
        <w:rPr>
          <w:rFonts w:ascii="Garamond" w:hAnsi="Garamond"/>
          <w:i/>
          <w:iCs/>
          <w:sz w:val="24"/>
          <w:szCs w:val="24"/>
        </w:rPr>
        <w:t xml:space="preserve">patient </w:t>
      </w:r>
      <w:r w:rsidR="00460EE0" w:rsidRPr="00E47A79">
        <w:rPr>
          <w:rFonts w:ascii="Garamond" w:hAnsi="Garamond"/>
          <w:i/>
          <w:iCs/>
          <w:sz w:val="24"/>
          <w:szCs w:val="24"/>
        </w:rPr>
        <w:t>values</w:t>
      </w:r>
      <w:r w:rsidR="00EE4E0A" w:rsidRPr="00E47A79">
        <w:rPr>
          <w:rFonts w:ascii="Garamond" w:hAnsi="Garamond"/>
          <w:i/>
          <w:iCs/>
          <w:sz w:val="24"/>
          <w:szCs w:val="24"/>
        </w:rPr>
        <w:t xml:space="preserve"> </w:t>
      </w:r>
      <w:r w:rsidR="008F30D3" w:rsidRPr="00E47A79">
        <w:rPr>
          <w:rFonts w:ascii="Garamond" w:hAnsi="Garamond"/>
          <w:i/>
          <w:iCs/>
          <w:sz w:val="24"/>
          <w:szCs w:val="24"/>
        </w:rPr>
        <w:t xml:space="preserve">and </w:t>
      </w:r>
      <w:proofErr w:type="gramStart"/>
      <w:r w:rsidR="008F30D3" w:rsidRPr="00E47A79">
        <w:rPr>
          <w:rFonts w:ascii="Garamond" w:hAnsi="Garamond"/>
          <w:i/>
          <w:iCs/>
          <w:sz w:val="24"/>
          <w:szCs w:val="24"/>
        </w:rPr>
        <w:t>experience</w:t>
      </w:r>
      <w:proofErr w:type="gramEnd"/>
    </w:p>
    <w:p w14:paraId="6CF9D456" w14:textId="644A3FDC" w:rsidR="006558EB" w:rsidRPr="00E47A79" w:rsidRDefault="00B66447" w:rsidP="008F30D3">
      <w:pPr>
        <w:autoSpaceDE w:val="0"/>
        <w:autoSpaceDN w:val="0"/>
        <w:adjustRightInd w:val="0"/>
        <w:spacing w:after="0" w:line="360" w:lineRule="auto"/>
        <w:rPr>
          <w:rFonts w:ascii="Garamond" w:hAnsi="Garamond"/>
          <w:sz w:val="24"/>
          <w:szCs w:val="24"/>
        </w:rPr>
      </w:pPr>
      <w:r w:rsidRPr="00E47A79">
        <w:rPr>
          <w:rFonts w:ascii="Garamond" w:hAnsi="Garamond"/>
          <w:sz w:val="24"/>
          <w:szCs w:val="24"/>
        </w:rPr>
        <w:t xml:space="preserve">One final but </w:t>
      </w:r>
      <w:r w:rsidR="00D40E98" w:rsidRPr="00E47A79">
        <w:rPr>
          <w:rFonts w:ascii="Garamond" w:hAnsi="Garamond"/>
          <w:sz w:val="24"/>
          <w:szCs w:val="24"/>
        </w:rPr>
        <w:t xml:space="preserve">crucial </w:t>
      </w:r>
      <w:r w:rsidRPr="00E47A79">
        <w:rPr>
          <w:rFonts w:ascii="Garamond" w:hAnsi="Garamond"/>
          <w:sz w:val="24"/>
          <w:szCs w:val="24"/>
        </w:rPr>
        <w:t xml:space="preserve">question, particularly in the context of the </w:t>
      </w:r>
      <w:r w:rsidR="00CA3CF6">
        <w:rPr>
          <w:rFonts w:ascii="Garamond" w:hAnsi="Garamond"/>
          <w:sz w:val="24"/>
          <w:szCs w:val="24"/>
        </w:rPr>
        <w:t xml:space="preserve">first tranche </w:t>
      </w:r>
      <w:r w:rsidRPr="00E47A79">
        <w:rPr>
          <w:rFonts w:ascii="Garamond" w:hAnsi="Garamond"/>
          <w:sz w:val="24"/>
          <w:szCs w:val="24"/>
        </w:rPr>
        <w:t>of cannabis patients, is to what extent the standard of care allow</w:t>
      </w:r>
      <w:r w:rsidR="00A934C7" w:rsidRPr="00E47A79">
        <w:rPr>
          <w:rFonts w:ascii="Garamond" w:hAnsi="Garamond"/>
          <w:sz w:val="24"/>
          <w:szCs w:val="24"/>
        </w:rPr>
        <w:t>s</w:t>
      </w:r>
      <w:r w:rsidRPr="00E47A79">
        <w:rPr>
          <w:rFonts w:ascii="Garamond" w:hAnsi="Garamond"/>
          <w:sz w:val="24"/>
          <w:szCs w:val="24"/>
        </w:rPr>
        <w:t xml:space="preserve"> patient values and experience to legitimately inform the clinician’s calibration of acceptable risk? </w:t>
      </w:r>
      <w:r w:rsidR="006558EB" w:rsidRPr="00E47A79">
        <w:rPr>
          <w:rFonts w:ascii="Garamond" w:hAnsi="Garamond"/>
          <w:sz w:val="24"/>
          <w:szCs w:val="24"/>
        </w:rPr>
        <w:t xml:space="preserve">As </w:t>
      </w:r>
      <w:r w:rsidR="00A934C7" w:rsidRPr="00E47A79">
        <w:rPr>
          <w:rFonts w:ascii="Garamond" w:hAnsi="Garamond"/>
          <w:sz w:val="24"/>
          <w:szCs w:val="24"/>
        </w:rPr>
        <w:t>already intimated</w:t>
      </w:r>
      <w:r w:rsidR="006558EB" w:rsidRPr="00E47A79">
        <w:rPr>
          <w:rFonts w:ascii="Garamond" w:hAnsi="Garamond"/>
          <w:sz w:val="24"/>
          <w:szCs w:val="24"/>
        </w:rPr>
        <w:t xml:space="preserve">, </w:t>
      </w:r>
      <w:r w:rsidR="006C7AED" w:rsidRPr="00E47A79">
        <w:rPr>
          <w:rFonts w:ascii="Garamond" w:hAnsi="Garamond"/>
          <w:sz w:val="24"/>
          <w:szCs w:val="24"/>
        </w:rPr>
        <w:t>some</w:t>
      </w:r>
      <w:r w:rsidR="006558EB" w:rsidRPr="00E47A79">
        <w:rPr>
          <w:rFonts w:ascii="Garamond" w:hAnsi="Garamond"/>
          <w:sz w:val="24"/>
          <w:szCs w:val="24"/>
        </w:rPr>
        <w:t xml:space="preserve"> of the factors that marks out this newly legalised domain of prescribing as antagonising conventional medical norms </w:t>
      </w:r>
      <w:r w:rsidR="006C7AED" w:rsidRPr="00E47A79">
        <w:rPr>
          <w:rFonts w:ascii="Garamond" w:hAnsi="Garamond"/>
          <w:sz w:val="24"/>
          <w:szCs w:val="24"/>
        </w:rPr>
        <w:t>include</w:t>
      </w:r>
      <w:r w:rsidR="006558EB" w:rsidRPr="00E47A79">
        <w:rPr>
          <w:rFonts w:ascii="Garamond" w:hAnsi="Garamond"/>
          <w:sz w:val="24"/>
          <w:szCs w:val="24"/>
        </w:rPr>
        <w:t xml:space="preserve"> that ‘first wave patients’ are likely to self-identify as potential candidates for a prescription,</w:t>
      </w:r>
      <w:r w:rsidR="006558EB" w:rsidRPr="00E47A79">
        <w:rPr>
          <w:rFonts w:ascii="Garamond" w:hAnsi="Garamond"/>
          <w:sz w:val="24"/>
          <w:szCs w:val="24"/>
          <w:vertAlign w:val="superscript"/>
        </w:rPr>
        <w:footnoteReference w:id="257"/>
      </w:r>
      <w:r w:rsidR="006558EB" w:rsidRPr="00E47A79">
        <w:rPr>
          <w:rFonts w:ascii="Garamond" w:hAnsi="Garamond"/>
          <w:sz w:val="24"/>
          <w:szCs w:val="24"/>
        </w:rPr>
        <w:t xml:space="preserve"> will often have prior experience of cannabis used therapeutically and will have researched the application of CBPMs for their condition extensively.</w:t>
      </w:r>
      <w:r w:rsidR="006558EB" w:rsidRPr="00E47A79">
        <w:rPr>
          <w:rFonts w:ascii="Garamond" w:hAnsi="Garamond"/>
          <w:sz w:val="24"/>
          <w:szCs w:val="24"/>
          <w:vertAlign w:val="superscript"/>
        </w:rPr>
        <w:t xml:space="preserve"> </w:t>
      </w:r>
      <w:r w:rsidR="006558EB" w:rsidRPr="00E47A79">
        <w:rPr>
          <w:rFonts w:ascii="Garamond" w:hAnsi="Garamond"/>
          <w:sz w:val="24"/>
          <w:szCs w:val="24"/>
        </w:rPr>
        <w:t>In many instances they will be a</w:t>
      </w:r>
      <w:r w:rsidR="00834459" w:rsidRPr="00E47A79">
        <w:rPr>
          <w:rFonts w:ascii="Garamond" w:hAnsi="Garamond"/>
          <w:sz w:val="24"/>
          <w:szCs w:val="24"/>
        </w:rPr>
        <w:t xml:space="preserve">n embodiment </w:t>
      </w:r>
      <w:r w:rsidR="006558EB" w:rsidRPr="00E47A79">
        <w:rPr>
          <w:rFonts w:ascii="Garamond" w:hAnsi="Garamond"/>
          <w:sz w:val="24"/>
          <w:szCs w:val="24"/>
        </w:rPr>
        <w:t xml:space="preserve">of the patient envisaged by the Supreme Court in </w:t>
      </w:r>
      <w:r w:rsidR="006558EB" w:rsidRPr="00E47A79">
        <w:rPr>
          <w:rFonts w:ascii="Garamond" w:hAnsi="Garamond"/>
          <w:i/>
          <w:iCs/>
          <w:sz w:val="24"/>
          <w:szCs w:val="24"/>
        </w:rPr>
        <w:t>Montgomery v Lanarkshire,</w:t>
      </w:r>
      <w:r w:rsidR="006558EB" w:rsidRPr="00E47A79">
        <w:rPr>
          <w:rFonts w:ascii="Garamond" w:hAnsi="Garamond"/>
          <w:sz w:val="24"/>
          <w:szCs w:val="24"/>
        </w:rPr>
        <w:t xml:space="preserve"> who, rather than ‘placing themselves in the hands of their doctors (and then being prone to sue their doctors in the event of a disappointing outcome)’ </w:t>
      </w:r>
      <w:proofErr w:type="gramStart"/>
      <w:r w:rsidR="006558EB" w:rsidRPr="00E47A79">
        <w:rPr>
          <w:rFonts w:ascii="Garamond" w:hAnsi="Garamond"/>
          <w:sz w:val="24"/>
          <w:szCs w:val="24"/>
        </w:rPr>
        <w:t>are :</w:t>
      </w:r>
      <w:proofErr w:type="gramEnd"/>
    </w:p>
    <w:p w14:paraId="7792815D" w14:textId="77777777" w:rsidR="006558EB" w:rsidRPr="00E47A79" w:rsidRDefault="006558EB" w:rsidP="008F30D3">
      <w:pPr>
        <w:autoSpaceDE w:val="0"/>
        <w:autoSpaceDN w:val="0"/>
        <w:adjustRightInd w:val="0"/>
        <w:spacing w:after="0" w:line="360" w:lineRule="auto"/>
        <w:rPr>
          <w:rFonts w:ascii="Garamond" w:hAnsi="Garamond"/>
          <w:sz w:val="24"/>
          <w:szCs w:val="24"/>
        </w:rPr>
      </w:pPr>
    </w:p>
    <w:p w14:paraId="11125759" w14:textId="730E8330" w:rsidR="006558EB" w:rsidRPr="00E47A79" w:rsidRDefault="006558EB" w:rsidP="008F30D3">
      <w:pPr>
        <w:autoSpaceDE w:val="0"/>
        <w:autoSpaceDN w:val="0"/>
        <w:adjustRightInd w:val="0"/>
        <w:spacing w:after="0" w:line="360" w:lineRule="auto"/>
        <w:ind w:left="397" w:right="397"/>
        <w:rPr>
          <w:rFonts w:ascii="Garamond" w:hAnsi="Garamond"/>
          <w:sz w:val="24"/>
          <w:szCs w:val="24"/>
        </w:rPr>
      </w:pPr>
      <w:r w:rsidRPr="00E47A79">
        <w:rPr>
          <w:rFonts w:ascii="Garamond" w:hAnsi="Garamond"/>
          <w:sz w:val="24"/>
          <w:szCs w:val="24"/>
        </w:rPr>
        <w:lastRenderedPageBreak/>
        <w:t>‘</w:t>
      </w:r>
      <w:r w:rsidR="00D40E98" w:rsidRPr="00E47A79">
        <w:rPr>
          <w:rFonts w:ascii="Garamond" w:hAnsi="Garamond"/>
          <w:sz w:val="24"/>
          <w:szCs w:val="24"/>
        </w:rPr>
        <w:t>…</w:t>
      </w:r>
      <w:r w:rsidRPr="00E47A79">
        <w:rPr>
          <w:rFonts w:ascii="Garamond" w:hAnsi="Garamond"/>
          <w:sz w:val="24"/>
          <w:szCs w:val="24"/>
        </w:rPr>
        <w:t>capable of understanding that medical treatment is uncertain of success and may involve risks, accepting responsibility for the taking of risks affecting their own lives, and living with the consequences of their choices.’</w:t>
      </w:r>
      <w:r w:rsidRPr="00E47A79">
        <w:rPr>
          <w:rFonts w:ascii="Garamond" w:hAnsi="Garamond"/>
          <w:sz w:val="24"/>
          <w:szCs w:val="24"/>
          <w:vertAlign w:val="superscript"/>
        </w:rPr>
        <w:footnoteReference w:id="258"/>
      </w:r>
    </w:p>
    <w:p w14:paraId="07CF2224" w14:textId="77777777" w:rsidR="006558EB" w:rsidRPr="00E47A79" w:rsidRDefault="006558EB" w:rsidP="008F30D3">
      <w:pPr>
        <w:autoSpaceDE w:val="0"/>
        <w:autoSpaceDN w:val="0"/>
        <w:adjustRightInd w:val="0"/>
        <w:spacing w:after="0" w:line="360" w:lineRule="auto"/>
        <w:rPr>
          <w:rFonts w:ascii="Garamond" w:hAnsi="Garamond"/>
          <w:sz w:val="24"/>
          <w:szCs w:val="24"/>
        </w:rPr>
      </w:pPr>
    </w:p>
    <w:p w14:paraId="36BAD91C" w14:textId="005F8D6F" w:rsidR="006558EB" w:rsidRPr="00E47A79" w:rsidRDefault="007777BD" w:rsidP="008F30D3">
      <w:pPr>
        <w:autoSpaceDE w:val="0"/>
        <w:autoSpaceDN w:val="0"/>
        <w:adjustRightInd w:val="0"/>
        <w:spacing w:after="0" w:line="360" w:lineRule="auto"/>
        <w:rPr>
          <w:rFonts w:ascii="Garamond" w:hAnsi="Garamond"/>
          <w:sz w:val="24"/>
          <w:szCs w:val="24"/>
        </w:rPr>
      </w:pPr>
      <w:r w:rsidRPr="00E47A79">
        <w:rPr>
          <w:rFonts w:ascii="Garamond" w:hAnsi="Garamond"/>
          <w:sz w:val="24"/>
          <w:szCs w:val="24"/>
        </w:rPr>
        <w:t xml:space="preserve">Whilst setting the standard of care for risk disclosure, </w:t>
      </w:r>
      <w:r w:rsidRPr="00E47A79">
        <w:rPr>
          <w:rFonts w:ascii="Garamond" w:hAnsi="Garamond"/>
          <w:i/>
          <w:iCs/>
          <w:sz w:val="24"/>
          <w:szCs w:val="24"/>
        </w:rPr>
        <w:t>Montgomery</w:t>
      </w:r>
      <w:r w:rsidRPr="00E47A79">
        <w:rPr>
          <w:rFonts w:ascii="Garamond" w:hAnsi="Garamond"/>
          <w:sz w:val="24"/>
          <w:szCs w:val="24"/>
        </w:rPr>
        <w:t xml:space="preserve"> also specified that the patient’s consent should be made up of information about material risks, the benefits of the proposed treatment, the alternative treatments and meaningful dialogue regarding the same.</w:t>
      </w:r>
      <w:r w:rsidRPr="00E47A79">
        <w:rPr>
          <w:rFonts w:ascii="Garamond" w:hAnsi="Garamond"/>
          <w:sz w:val="24"/>
          <w:szCs w:val="24"/>
          <w:vertAlign w:val="superscript"/>
        </w:rPr>
        <w:footnoteReference w:id="259"/>
      </w:r>
      <w:r w:rsidRPr="00E47A79">
        <w:rPr>
          <w:rFonts w:ascii="Garamond" w:hAnsi="Garamond"/>
          <w:sz w:val="24"/>
          <w:szCs w:val="24"/>
        </w:rPr>
        <w:t xml:space="preserve"> These four facets of informed consent </w:t>
      </w:r>
      <w:r w:rsidRPr="00E47A79">
        <w:rPr>
          <w:rFonts w:ascii="Garamond" w:hAnsi="Garamond"/>
          <w:i/>
          <w:iCs/>
          <w:sz w:val="24"/>
          <w:szCs w:val="24"/>
        </w:rPr>
        <w:t xml:space="preserve">per Montgomery </w:t>
      </w:r>
      <w:r w:rsidRPr="00E47A79">
        <w:rPr>
          <w:rFonts w:ascii="Garamond" w:hAnsi="Garamond"/>
          <w:sz w:val="24"/>
          <w:szCs w:val="24"/>
        </w:rPr>
        <w:t xml:space="preserve">reflect a shift </w:t>
      </w:r>
      <w:r w:rsidR="006C7AED" w:rsidRPr="00E47A79">
        <w:rPr>
          <w:rFonts w:ascii="Garamond" w:hAnsi="Garamond"/>
          <w:sz w:val="24"/>
          <w:szCs w:val="24"/>
        </w:rPr>
        <w:t>in the</w:t>
      </w:r>
      <w:r w:rsidRPr="00E47A79">
        <w:rPr>
          <w:rFonts w:ascii="Garamond" w:hAnsi="Garamond"/>
          <w:sz w:val="24"/>
          <w:szCs w:val="24"/>
        </w:rPr>
        <w:t xml:space="preserve"> values driving clinical decision making from the clinician to the patient,</w:t>
      </w:r>
      <w:r w:rsidRPr="00E47A79">
        <w:rPr>
          <w:rFonts w:ascii="Garamond" w:hAnsi="Garamond"/>
          <w:sz w:val="24"/>
          <w:szCs w:val="24"/>
          <w:vertAlign w:val="superscript"/>
        </w:rPr>
        <w:footnoteReference w:id="260"/>
      </w:r>
      <w:r w:rsidRPr="00E47A79">
        <w:rPr>
          <w:rFonts w:ascii="Garamond" w:hAnsi="Garamond"/>
          <w:sz w:val="24"/>
          <w:szCs w:val="24"/>
        </w:rPr>
        <w:t xml:space="preserve">  with the role of patient values in decision making as a ‘connecting thread throughout the judgment</w:t>
      </w:r>
      <w:r w:rsidR="00487637" w:rsidRPr="00E47A79">
        <w:rPr>
          <w:rFonts w:ascii="Garamond" w:hAnsi="Garamond"/>
          <w:sz w:val="24"/>
          <w:szCs w:val="24"/>
        </w:rPr>
        <w:t>.</w:t>
      </w:r>
      <w:r w:rsidRPr="00E47A79">
        <w:rPr>
          <w:rFonts w:ascii="Garamond" w:hAnsi="Garamond"/>
          <w:sz w:val="24"/>
          <w:szCs w:val="24"/>
        </w:rPr>
        <w:t>’</w:t>
      </w:r>
      <w:r w:rsidRPr="00E47A79">
        <w:rPr>
          <w:rFonts w:ascii="Garamond" w:hAnsi="Garamond"/>
          <w:sz w:val="24"/>
          <w:szCs w:val="24"/>
          <w:vertAlign w:val="superscript"/>
        </w:rPr>
        <w:footnoteReference w:id="261"/>
      </w:r>
      <w:r w:rsidRPr="00E47A79">
        <w:rPr>
          <w:rFonts w:ascii="Garamond" w:hAnsi="Garamond"/>
          <w:sz w:val="24"/>
          <w:szCs w:val="24"/>
        </w:rPr>
        <w:t xml:space="preserve"> Herring goes further, suggesting that </w:t>
      </w:r>
      <w:r w:rsidRPr="00E47A79">
        <w:rPr>
          <w:rFonts w:ascii="Garamond" w:hAnsi="Garamond"/>
          <w:i/>
          <w:iCs/>
          <w:sz w:val="24"/>
          <w:szCs w:val="24"/>
        </w:rPr>
        <w:t xml:space="preserve">Montgomery’s </w:t>
      </w:r>
      <w:r w:rsidRPr="00E47A79">
        <w:rPr>
          <w:rFonts w:ascii="Garamond" w:hAnsi="Garamond"/>
          <w:sz w:val="24"/>
          <w:szCs w:val="24"/>
        </w:rPr>
        <w:t>move to a patient-centred test of wh</w:t>
      </w:r>
      <w:r w:rsidR="00A934C7" w:rsidRPr="00E47A79">
        <w:rPr>
          <w:rFonts w:ascii="Garamond" w:hAnsi="Garamond"/>
          <w:sz w:val="24"/>
          <w:szCs w:val="24"/>
        </w:rPr>
        <w:t>ich</w:t>
      </w:r>
      <w:r w:rsidRPr="00E47A79">
        <w:rPr>
          <w:rFonts w:ascii="Garamond" w:hAnsi="Garamond"/>
          <w:sz w:val="24"/>
          <w:szCs w:val="24"/>
        </w:rPr>
        <w:t xml:space="preserve"> risks are material for the purposes of disclosure ‘</w:t>
      </w:r>
      <w:proofErr w:type="spellStart"/>
      <w:r w:rsidRPr="00E47A79">
        <w:rPr>
          <w:rFonts w:ascii="Garamond" w:hAnsi="Garamond"/>
          <w:sz w:val="24"/>
          <w:szCs w:val="24"/>
        </w:rPr>
        <w:t>privileg</w:t>
      </w:r>
      <w:proofErr w:type="spellEnd"/>
      <w:r w:rsidRPr="00E47A79">
        <w:rPr>
          <w:rFonts w:ascii="Garamond" w:hAnsi="Garamond"/>
          <w:sz w:val="24"/>
          <w:szCs w:val="24"/>
        </w:rPr>
        <w:t>[es] patient assessments of how risks are to be valued over professional ones.’</w:t>
      </w:r>
      <w:r w:rsidRPr="00E47A79">
        <w:rPr>
          <w:rFonts w:ascii="Garamond" w:hAnsi="Garamond"/>
          <w:sz w:val="24"/>
          <w:szCs w:val="24"/>
          <w:vertAlign w:val="superscript"/>
        </w:rPr>
        <w:footnoteReference w:id="262"/>
      </w:r>
      <w:r w:rsidRPr="00E47A79">
        <w:rPr>
          <w:rFonts w:ascii="Garamond" w:hAnsi="Garamond"/>
          <w:sz w:val="24"/>
          <w:szCs w:val="24"/>
        </w:rPr>
        <w:t xml:space="preserve"> </w:t>
      </w:r>
      <w:r w:rsidR="0062233D" w:rsidRPr="00E47A79">
        <w:rPr>
          <w:rFonts w:ascii="Garamond" w:hAnsi="Garamond"/>
          <w:sz w:val="24"/>
          <w:szCs w:val="24"/>
        </w:rPr>
        <w:t xml:space="preserve">Whereas the interim guidance </w:t>
      </w:r>
      <w:r w:rsidR="00E372BB" w:rsidRPr="00E47A79">
        <w:rPr>
          <w:rFonts w:ascii="Garamond" w:hAnsi="Garamond"/>
          <w:sz w:val="24"/>
          <w:szCs w:val="24"/>
        </w:rPr>
        <w:t xml:space="preserve">analysed above </w:t>
      </w:r>
      <w:r w:rsidR="0062233D" w:rsidRPr="00E47A79">
        <w:rPr>
          <w:rFonts w:ascii="Garamond" w:hAnsi="Garamond"/>
          <w:sz w:val="24"/>
          <w:szCs w:val="24"/>
        </w:rPr>
        <w:t xml:space="preserve">makes little reference to such matters, it is argued here that informed consent and taking into account the values of the patient can </w:t>
      </w:r>
      <w:r w:rsidR="009473C3" w:rsidRPr="00E47A79">
        <w:rPr>
          <w:rFonts w:ascii="Garamond" w:hAnsi="Garamond"/>
          <w:sz w:val="24"/>
          <w:szCs w:val="24"/>
        </w:rPr>
        <w:t xml:space="preserve">legitimately be used by the clinician to </w:t>
      </w:r>
      <w:r w:rsidR="0062233D" w:rsidRPr="00E47A79">
        <w:rPr>
          <w:rFonts w:ascii="Garamond" w:hAnsi="Garamond"/>
          <w:sz w:val="24"/>
          <w:szCs w:val="24"/>
        </w:rPr>
        <w:t xml:space="preserve">calibrate the acceptability of risk. </w:t>
      </w:r>
      <w:bookmarkStart w:id="14" w:name="para82"/>
      <w:r w:rsidRPr="00E47A79">
        <w:rPr>
          <w:rFonts w:ascii="Garamond" w:hAnsi="Garamond"/>
          <w:sz w:val="24"/>
          <w:szCs w:val="24"/>
        </w:rPr>
        <w:t xml:space="preserve">On this, the </w:t>
      </w:r>
      <w:proofErr w:type="spellStart"/>
      <w:r w:rsidRPr="00E47A79">
        <w:rPr>
          <w:rFonts w:ascii="Garamond" w:hAnsi="Garamond"/>
          <w:i/>
          <w:iCs/>
          <w:sz w:val="24"/>
          <w:szCs w:val="24"/>
        </w:rPr>
        <w:t>Mongtomery</w:t>
      </w:r>
      <w:proofErr w:type="spellEnd"/>
      <w:r w:rsidRPr="00E47A79">
        <w:rPr>
          <w:rFonts w:ascii="Garamond" w:hAnsi="Garamond"/>
          <w:i/>
          <w:iCs/>
          <w:sz w:val="24"/>
          <w:szCs w:val="24"/>
        </w:rPr>
        <w:t xml:space="preserve"> </w:t>
      </w:r>
      <w:r w:rsidRPr="00E47A79">
        <w:rPr>
          <w:rFonts w:ascii="Garamond" w:hAnsi="Garamond"/>
          <w:sz w:val="24"/>
          <w:szCs w:val="24"/>
        </w:rPr>
        <w:t xml:space="preserve">judgment </w:t>
      </w:r>
      <w:proofErr w:type="gramStart"/>
      <w:r w:rsidRPr="00E47A79">
        <w:rPr>
          <w:rFonts w:ascii="Garamond" w:hAnsi="Garamond"/>
          <w:sz w:val="24"/>
          <w:szCs w:val="24"/>
        </w:rPr>
        <w:t>makes reference</w:t>
      </w:r>
      <w:proofErr w:type="gramEnd"/>
      <w:r w:rsidRPr="00E47A79">
        <w:rPr>
          <w:rFonts w:ascii="Garamond" w:hAnsi="Garamond"/>
          <w:sz w:val="24"/>
          <w:szCs w:val="24"/>
        </w:rPr>
        <w:t xml:space="preserve"> to:</w:t>
      </w:r>
    </w:p>
    <w:p w14:paraId="4A6B9C33" w14:textId="77777777" w:rsidR="006558EB" w:rsidRPr="00E47A79" w:rsidRDefault="006558EB" w:rsidP="008F30D3">
      <w:pPr>
        <w:autoSpaceDE w:val="0"/>
        <w:autoSpaceDN w:val="0"/>
        <w:adjustRightInd w:val="0"/>
        <w:spacing w:after="0" w:line="360" w:lineRule="auto"/>
        <w:rPr>
          <w:rFonts w:ascii="Garamond" w:hAnsi="Garamond"/>
          <w:sz w:val="24"/>
          <w:szCs w:val="24"/>
        </w:rPr>
      </w:pPr>
    </w:p>
    <w:p w14:paraId="43097161" w14:textId="543ED629" w:rsidR="006558EB" w:rsidRPr="00E47A79" w:rsidRDefault="0001195F" w:rsidP="008F30D3">
      <w:pPr>
        <w:autoSpaceDE w:val="0"/>
        <w:autoSpaceDN w:val="0"/>
        <w:adjustRightInd w:val="0"/>
        <w:spacing w:after="0" w:line="360" w:lineRule="auto"/>
        <w:ind w:left="397" w:right="397"/>
        <w:rPr>
          <w:rFonts w:ascii="Garamond" w:hAnsi="Garamond"/>
          <w:sz w:val="24"/>
          <w:szCs w:val="24"/>
        </w:rPr>
      </w:pPr>
      <w:proofErr w:type="spellStart"/>
      <w:r w:rsidRPr="00E47A79">
        <w:rPr>
          <w:rFonts w:ascii="Garamond" w:hAnsi="Garamond"/>
          <w:sz w:val="24"/>
          <w:szCs w:val="24"/>
        </w:rPr>
        <w:t>‘</w:t>
      </w:r>
      <w:r w:rsidR="009473C3" w:rsidRPr="00E47A79">
        <w:rPr>
          <w:rFonts w:ascii="Garamond" w:hAnsi="Garamond"/>
          <w:sz w:val="24"/>
          <w:szCs w:val="24"/>
        </w:rPr>
        <w:t>a</w:t>
      </w:r>
      <w:proofErr w:type="spellEnd"/>
      <w:r w:rsidR="009473C3" w:rsidRPr="00E47A79">
        <w:rPr>
          <w:rFonts w:ascii="Garamond" w:hAnsi="Garamond"/>
          <w:sz w:val="24"/>
          <w:szCs w:val="24"/>
        </w:rPr>
        <w:t xml:space="preserve"> fundamental distinction between, on the one hand, the doctor's role when considering possible investigatory or treatment options and, on the other, her role in discussing with the patient any recommended treatment and possible alternatives, and the risks of injury which may be involved.</w:t>
      </w:r>
      <w:bookmarkEnd w:id="14"/>
      <w:r w:rsidR="009473C3" w:rsidRPr="00E47A79">
        <w:rPr>
          <w:rFonts w:ascii="Garamond" w:hAnsi="Garamond"/>
          <w:sz w:val="24"/>
          <w:szCs w:val="24"/>
        </w:rPr>
        <w:t>’</w:t>
      </w:r>
      <w:r w:rsidR="008170D5" w:rsidRPr="00E47A79">
        <w:rPr>
          <w:rStyle w:val="FootnoteReference"/>
          <w:rFonts w:ascii="Garamond" w:hAnsi="Garamond"/>
          <w:sz w:val="24"/>
          <w:szCs w:val="24"/>
        </w:rPr>
        <w:footnoteReference w:id="263"/>
      </w:r>
      <w:r w:rsidR="008170D5" w:rsidRPr="00E47A79">
        <w:rPr>
          <w:rFonts w:ascii="Garamond" w:hAnsi="Garamond"/>
          <w:sz w:val="24"/>
          <w:szCs w:val="24"/>
        </w:rPr>
        <w:t xml:space="preserve"> </w:t>
      </w:r>
    </w:p>
    <w:p w14:paraId="6CBCB5C2" w14:textId="77777777" w:rsidR="006558EB" w:rsidRPr="00E47A79" w:rsidRDefault="006558EB" w:rsidP="008F30D3">
      <w:pPr>
        <w:autoSpaceDE w:val="0"/>
        <w:autoSpaceDN w:val="0"/>
        <w:adjustRightInd w:val="0"/>
        <w:spacing w:after="0" w:line="360" w:lineRule="auto"/>
        <w:rPr>
          <w:rFonts w:ascii="Garamond" w:hAnsi="Garamond"/>
          <w:sz w:val="24"/>
          <w:szCs w:val="24"/>
        </w:rPr>
      </w:pPr>
    </w:p>
    <w:p w14:paraId="262C46D0" w14:textId="0470AA72" w:rsidR="00415738" w:rsidRPr="00E47A79" w:rsidRDefault="00092585" w:rsidP="008F30D3">
      <w:pPr>
        <w:autoSpaceDE w:val="0"/>
        <w:autoSpaceDN w:val="0"/>
        <w:adjustRightInd w:val="0"/>
        <w:spacing w:after="0" w:line="360" w:lineRule="auto"/>
        <w:rPr>
          <w:rFonts w:ascii="Garamond" w:hAnsi="Garamond"/>
          <w:sz w:val="24"/>
          <w:szCs w:val="24"/>
        </w:rPr>
      </w:pPr>
      <w:r w:rsidRPr="00E47A79">
        <w:rPr>
          <w:rFonts w:ascii="Garamond" w:hAnsi="Garamond" w:cs="AdvOT2e364b11"/>
          <w:sz w:val="24"/>
          <w:szCs w:val="24"/>
        </w:rPr>
        <w:t>Th</w:t>
      </w:r>
      <w:r w:rsidR="0001195F" w:rsidRPr="00E47A79">
        <w:rPr>
          <w:rFonts w:ascii="Garamond" w:hAnsi="Garamond" w:cs="AdvOT2e364b11"/>
          <w:sz w:val="24"/>
          <w:szCs w:val="24"/>
        </w:rPr>
        <w:t>is</w:t>
      </w:r>
      <w:r w:rsidRPr="00E47A79">
        <w:rPr>
          <w:rFonts w:ascii="Garamond" w:hAnsi="Garamond" w:cs="AdvOT2e364b11"/>
          <w:sz w:val="24"/>
          <w:szCs w:val="24"/>
        </w:rPr>
        <w:t xml:space="preserve"> stratification of the doctor’s roles in </w:t>
      </w:r>
      <w:r w:rsidRPr="00E47A79">
        <w:rPr>
          <w:rFonts w:ascii="Garamond" w:hAnsi="Garamond" w:cs="AdvOT2e364b11"/>
          <w:i/>
          <w:iCs/>
          <w:sz w:val="24"/>
          <w:szCs w:val="24"/>
        </w:rPr>
        <w:t>Montgomery</w:t>
      </w:r>
      <w:r w:rsidR="0001195F" w:rsidRPr="00E47A79">
        <w:rPr>
          <w:rFonts w:ascii="Garamond" w:hAnsi="Garamond" w:cs="AdvOT2e364b11"/>
          <w:i/>
          <w:iCs/>
          <w:sz w:val="24"/>
          <w:szCs w:val="24"/>
        </w:rPr>
        <w:t xml:space="preserve"> </w:t>
      </w:r>
      <w:r w:rsidR="00995DDF" w:rsidRPr="00E47A79">
        <w:rPr>
          <w:rFonts w:ascii="Garamond" w:hAnsi="Garamond" w:cs="AdvOT2e364b11"/>
          <w:sz w:val="24"/>
          <w:szCs w:val="24"/>
        </w:rPr>
        <w:t>indicates</w:t>
      </w:r>
      <w:r w:rsidRPr="00E47A79">
        <w:rPr>
          <w:rFonts w:ascii="Garamond" w:hAnsi="Garamond" w:cs="AdvOT2e364b11"/>
          <w:sz w:val="24"/>
          <w:szCs w:val="24"/>
        </w:rPr>
        <w:t xml:space="preserve"> that</w:t>
      </w:r>
      <w:r w:rsidR="003E380C" w:rsidRPr="00E47A79">
        <w:rPr>
          <w:rFonts w:ascii="Garamond" w:hAnsi="Garamond" w:cs="AdvOT2e364b11"/>
          <w:sz w:val="24"/>
          <w:szCs w:val="24"/>
        </w:rPr>
        <w:t>, resources aside,</w:t>
      </w:r>
      <w:r w:rsidRPr="00E47A79">
        <w:rPr>
          <w:rFonts w:ascii="Garamond" w:hAnsi="Garamond" w:cs="AdvOT2e364b11"/>
          <w:sz w:val="24"/>
          <w:szCs w:val="24"/>
        </w:rPr>
        <w:t xml:space="preserve"> the patient’s </w:t>
      </w:r>
      <w:r w:rsidR="003D438E" w:rsidRPr="00E47A79">
        <w:rPr>
          <w:rFonts w:ascii="Garamond" w:hAnsi="Garamond" w:cs="AdvOT2e364b11"/>
          <w:sz w:val="24"/>
          <w:szCs w:val="24"/>
        </w:rPr>
        <w:t xml:space="preserve">autonomy </w:t>
      </w:r>
      <w:r w:rsidR="008170D5" w:rsidRPr="00E47A79">
        <w:rPr>
          <w:rFonts w:ascii="Garamond" w:hAnsi="Garamond"/>
          <w:sz w:val="24"/>
          <w:szCs w:val="24"/>
        </w:rPr>
        <w:t xml:space="preserve">is </w:t>
      </w:r>
      <w:r w:rsidR="003E380C" w:rsidRPr="00E47A79">
        <w:rPr>
          <w:rFonts w:ascii="Garamond" w:hAnsi="Garamond"/>
          <w:sz w:val="24"/>
          <w:szCs w:val="24"/>
        </w:rPr>
        <w:t>always</w:t>
      </w:r>
      <w:r w:rsidR="008170D5" w:rsidRPr="00E47A79">
        <w:rPr>
          <w:rFonts w:ascii="Garamond" w:hAnsi="Garamond"/>
          <w:sz w:val="24"/>
          <w:szCs w:val="24"/>
        </w:rPr>
        <w:t xml:space="preserve"> bounded by the doctor’s prior decision as to which treatments should be suggested for the patient to choose between. </w:t>
      </w:r>
      <w:r w:rsidR="007777BD" w:rsidRPr="00E47A79">
        <w:rPr>
          <w:rFonts w:ascii="Garamond" w:hAnsi="Garamond"/>
          <w:sz w:val="24"/>
          <w:szCs w:val="24"/>
        </w:rPr>
        <w:t>However, patient choice is illusory if ‘other actors control the parameters of the choice,’</w:t>
      </w:r>
      <w:r w:rsidR="007777BD" w:rsidRPr="00E47A79">
        <w:rPr>
          <w:rFonts w:ascii="Garamond" w:hAnsi="Garamond"/>
          <w:sz w:val="24"/>
          <w:szCs w:val="24"/>
          <w:vertAlign w:val="superscript"/>
        </w:rPr>
        <w:footnoteReference w:id="264"/>
      </w:r>
      <w:r w:rsidR="007777BD" w:rsidRPr="00E47A79">
        <w:rPr>
          <w:rFonts w:ascii="Garamond" w:hAnsi="Garamond"/>
          <w:sz w:val="24"/>
          <w:szCs w:val="24"/>
        </w:rPr>
        <w:t xml:space="preserve"> and whilst some control of available options is inevitable, it is argued that consideration of the patient’s values should not be confined to the doctor’s assessment of which risks are </w:t>
      </w:r>
      <w:r w:rsidR="006C7AED" w:rsidRPr="00E47A79">
        <w:rPr>
          <w:rFonts w:ascii="Garamond" w:hAnsi="Garamond"/>
          <w:sz w:val="24"/>
          <w:szCs w:val="24"/>
        </w:rPr>
        <w:t>‘</w:t>
      </w:r>
      <w:r w:rsidR="007777BD" w:rsidRPr="00E47A79">
        <w:rPr>
          <w:rFonts w:ascii="Garamond" w:hAnsi="Garamond"/>
          <w:sz w:val="24"/>
          <w:szCs w:val="24"/>
        </w:rPr>
        <w:t>material</w:t>
      </w:r>
      <w:r w:rsidR="006C7AED" w:rsidRPr="00E47A79">
        <w:rPr>
          <w:rFonts w:ascii="Garamond" w:hAnsi="Garamond"/>
          <w:sz w:val="24"/>
          <w:szCs w:val="24"/>
        </w:rPr>
        <w:t>’</w:t>
      </w:r>
      <w:r w:rsidR="007777BD" w:rsidRPr="00E47A79">
        <w:rPr>
          <w:rFonts w:ascii="Garamond" w:hAnsi="Garamond"/>
          <w:sz w:val="24"/>
          <w:szCs w:val="24"/>
        </w:rPr>
        <w:t xml:space="preserve"> when advising the patient of the risks associated with recommended treatment. </w:t>
      </w:r>
      <w:r w:rsidR="00A934C7" w:rsidRPr="00E47A79">
        <w:rPr>
          <w:rFonts w:ascii="Garamond" w:hAnsi="Garamond"/>
          <w:sz w:val="24"/>
          <w:szCs w:val="24"/>
        </w:rPr>
        <w:t>Patient values</w:t>
      </w:r>
      <w:r w:rsidR="007777BD" w:rsidRPr="00E47A79">
        <w:rPr>
          <w:rFonts w:ascii="Garamond" w:hAnsi="Garamond"/>
          <w:sz w:val="24"/>
          <w:szCs w:val="24"/>
        </w:rPr>
        <w:t xml:space="preserve"> should also be relevant at the stage of selecting treatment </w:t>
      </w:r>
      <w:r w:rsidR="007777BD" w:rsidRPr="00E47A79">
        <w:rPr>
          <w:rFonts w:ascii="Garamond" w:hAnsi="Garamond"/>
          <w:sz w:val="24"/>
          <w:szCs w:val="24"/>
        </w:rPr>
        <w:lastRenderedPageBreak/>
        <w:t xml:space="preserve">options for the patient to choose between. Whether a doctor follows </w:t>
      </w:r>
      <w:r w:rsidR="00A934C7" w:rsidRPr="00E47A79">
        <w:rPr>
          <w:rFonts w:ascii="Garamond" w:hAnsi="Garamond"/>
          <w:sz w:val="24"/>
          <w:szCs w:val="24"/>
        </w:rPr>
        <w:t>a strict application of the</w:t>
      </w:r>
      <w:r w:rsidR="007777BD" w:rsidRPr="00E47A79">
        <w:rPr>
          <w:rFonts w:ascii="Garamond" w:hAnsi="Garamond"/>
          <w:sz w:val="24"/>
          <w:szCs w:val="24"/>
        </w:rPr>
        <w:t xml:space="preserve"> ‘last resort’ policy may determine whether unlicensed cannabis medicines are selected as one of the options for discussion.</w:t>
      </w:r>
      <w:r w:rsidR="00B42493" w:rsidRPr="00E47A79">
        <w:rPr>
          <w:rFonts w:ascii="Garamond" w:hAnsi="Garamond"/>
          <w:sz w:val="24"/>
          <w:szCs w:val="24"/>
        </w:rPr>
        <w:t xml:space="preserve"> We should note</w:t>
      </w:r>
      <w:r w:rsidR="00A934C7" w:rsidRPr="00E47A79">
        <w:rPr>
          <w:rFonts w:ascii="Garamond" w:hAnsi="Garamond"/>
          <w:sz w:val="24"/>
          <w:szCs w:val="24"/>
        </w:rPr>
        <w:t>,</w:t>
      </w:r>
      <w:r w:rsidR="00B42493" w:rsidRPr="00E47A79">
        <w:rPr>
          <w:rFonts w:ascii="Garamond" w:hAnsi="Garamond"/>
          <w:sz w:val="24"/>
          <w:szCs w:val="24"/>
        </w:rPr>
        <w:t xml:space="preserve"> however</w:t>
      </w:r>
      <w:r w:rsidR="00A934C7" w:rsidRPr="00E47A79">
        <w:rPr>
          <w:rFonts w:ascii="Garamond" w:hAnsi="Garamond"/>
          <w:sz w:val="24"/>
          <w:szCs w:val="24"/>
        </w:rPr>
        <w:t>,</w:t>
      </w:r>
      <w:r w:rsidR="00B42493" w:rsidRPr="00E47A79">
        <w:rPr>
          <w:rFonts w:ascii="Garamond" w:hAnsi="Garamond"/>
          <w:sz w:val="24"/>
          <w:szCs w:val="24"/>
        </w:rPr>
        <w:t xml:space="preserve"> that </w:t>
      </w:r>
      <w:r w:rsidR="00B42493" w:rsidRPr="00E47A79">
        <w:rPr>
          <w:rFonts w:ascii="Garamond" w:hAnsi="Garamond"/>
          <w:i/>
          <w:iCs/>
          <w:sz w:val="24"/>
          <w:szCs w:val="24"/>
        </w:rPr>
        <w:t xml:space="preserve">Montgomery </w:t>
      </w:r>
      <w:r w:rsidR="00BA4AEC" w:rsidRPr="00E47A79">
        <w:rPr>
          <w:rFonts w:ascii="Garamond" w:hAnsi="Garamond"/>
          <w:sz w:val="24"/>
          <w:szCs w:val="24"/>
        </w:rPr>
        <w:t xml:space="preserve">does not </w:t>
      </w:r>
      <w:r w:rsidR="00995DDF" w:rsidRPr="00E47A79">
        <w:rPr>
          <w:rFonts w:ascii="Garamond" w:hAnsi="Garamond"/>
          <w:sz w:val="24"/>
          <w:szCs w:val="24"/>
        </w:rPr>
        <w:t>suggest</w:t>
      </w:r>
      <w:r w:rsidR="00BA4AEC" w:rsidRPr="00E47A79">
        <w:rPr>
          <w:rFonts w:ascii="Garamond" w:hAnsi="Garamond"/>
          <w:sz w:val="24"/>
          <w:szCs w:val="24"/>
        </w:rPr>
        <w:t xml:space="preserve"> that the </w:t>
      </w:r>
      <w:r w:rsidR="00E372BB" w:rsidRPr="00E47A79">
        <w:rPr>
          <w:rFonts w:ascii="Garamond" w:hAnsi="Garamond"/>
          <w:sz w:val="24"/>
          <w:szCs w:val="24"/>
        </w:rPr>
        <w:t>doctor’s</w:t>
      </w:r>
      <w:r w:rsidR="00BA4AEC" w:rsidRPr="00E47A79">
        <w:rPr>
          <w:rFonts w:ascii="Garamond" w:hAnsi="Garamond"/>
          <w:sz w:val="24"/>
          <w:szCs w:val="24"/>
        </w:rPr>
        <w:t xml:space="preserve"> role </w:t>
      </w:r>
      <w:r w:rsidR="00E372BB" w:rsidRPr="00E47A79">
        <w:rPr>
          <w:rFonts w:ascii="Garamond" w:hAnsi="Garamond"/>
          <w:sz w:val="24"/>
          <w:szCs w:val="24"/>
        </w:rPr>
        <w:t>in c</w:t>
      </w:r>
      <w:r w:rsidR="003E380C" w:rsidRPr="00E47A79">
        <w:rPr>
          <w:rFonts w:ascii="Garamond" w:hAnsi="Garamond"/>
          <w:sz w:val="24"/>
          <w:szCs w:val="24"/>
        </w:rPr>
        <w:t xml:space="preserve">hoosing acceptable treatments </w:t>
      </w:r>
      <w:r w:rsidR="00BA4AEC" w:rsidRPr="00E47A79">
        <w:rPr>
          <w:rFonts w:ascii="Garamond" w:hAnsi="Garamond"/>
          <w:sz w:val="24"/>
          <w:szCs w:val="24"/>
        </w:rPr>
        <w:t xml:space="preserve">is </w:t>
      </w:r>
      <w:r w:rsidR="00BA4AEC" w:rsidRPr="00E47A79">
        <w:rPr>
          <w:rFonts w:ascii="Garamond" w:hAnsi="Garamond"/>
          <w:i/>
          <w:iCs/>
          <w:sz w:val="24"/>
          <w:szCs w:val="24"/>
        </w:rPr>
        <w:t>limited to</w:t>
      </w:r>
      <w:r w:rsidR="00BA4AEC" w:rsidRPr="00E47A79">
        <w:rPr>
          <w:rFonts w:ascii="Garamond" w:hAnsi="Garamond"/>
          <w:sz w:val="24"/>
          <w:szCs w:val="24"/>
        </w:rPr>
        <w:t xml:space="preserve"> clinical considerations</w:t>
      </w:r>
      <w:r w:rsidR="003E380C" w:rsidRPr="00E47A79">
        <w:rPr>
          <w:rFonts w:ascii="Garamond" w:hAnsi="Garamond"/>
          <w:sz w:val="24"/>
          <w:szCs w:val="24"/>
        </w:rPr>
        <w:t>,</w:t>
      </w:r>
      <w:r w:rsidR="00BA4AEC" w:rsidRPr="00E47A79">
        <w:rPr>
          <w:rStyle w:val="FootnoteReference"/>
          <w:rFonts w:ascii="Garamond" w:hAnsi="Garamond"/>
          <w:sz w:val="24"/>
          <w:szCs w:val="24"/>
        </w:rPr>
        <w:footnoteReference w:id="265"/>
      </w:r>
      <w:r w:rsidR="00BA4AEC" w:rsidRPr="00E47A79">
        <w:rPr>
          <w:rFonts w:ascii="Garamond" w:hAnsi="Garamond"/>
          <w:sz w:val="24"/>
          <w:szCs w:val="24"/>
        </w:rPr>
        <w:t xml:space="preserve"> or that patient values cannot legitimately be </w:t>
      </w:r>
      <w:proofErr w:type="gramStart"/>
      <w:r w:rsidR="00BA4AEC" w:rsidRPr="00E47A79">
        <w:rPr>
          <w:rFonts w:ascii="Garamond" w:hAnsi="Garamond"/>
          <w:sz w:val="24"/>
          <w:szCs w:val="24"/>
        </w:rPr>
        <w:t>taken into account</w:t>
      </w:r>
      <w:proofErr w:type="gramEnd"/>
      <w:r w:rsidR="00BA4AEC" w:rsidRPr="00E47A79">
        <w:rPr>
          <w:rFonts w:ascii="Garamond" w:hAnsi="Garamond"/>
          <w:sz w:val="24"/>
          <w:szCs w:val="24"/>
        </w:rPr>
        <w:t xml:space="preserve"> in framing those choices. </w:t>
      </w:r>
    </w:p>
    <w:p w14:paraId="3E153519" w14:textId="4EA2E3E3" w:rsidR="00A7208C" w:rsidRPr="00E47A79" w:rsidRDefault="00A7208C" w:rsidP="008F30D3">
      <w:pPr>
        <w:autoSpaceDE w:val="0"/>
        <w:autoSpaceDN w:val="0"/>
        <w:adjustRightInd w:val="0"/>
        <w:spacing w:after="0" w:line="360" w:lineRule="auto"/>
        <w:rPr>
          <w:rFonts w:ascii="Garamond" w:hAnsi="Garamond"/>
          <w:sz w:val="24"/>
          <w:szCs w:val="24"/>
        </w:rPr>
      </w:pPr>
    </w:p>
    <w:p w14:paraId="4C3DE6A1" w14:textId="257F017E" w:rsidR="00A7208C" w:rsidRPr="00E47A79" w:rsidRDefault="00A7208C" w:rsidP="00A7208C">
      <w:pPr>
        <w:spacing w:line="360" w:lineRule="auto"/>
        <w:rPr>
          <w:rFonts w:ascii="Garamond" w:hAnsi="Garamond"/>
          <w:sz w:val="24"/>
          <w:szCs w:val="24"/>
        </w:rPr>
      </w:pPr>
      <w:r w:rsidRPr="00E47A79">
        <w:rPr>
          <w:rFonts w:ascii="Garamond" w:hAnsi="Garamond"/>
          <w:sz w:val="24"/>
          <w:szCs w:val="24"/>
        </w:rPr>
        <w:t>Of course, there are dangers in moving too far towards a ‘patient-led’ approach when calibrating the relative risks of available treatment options</w:t>
      </w:r>
      <w:r w:rsidR="007D4EA2">
        <w:rPr>
          <w:rFonts w:ascii="Garamond" w:hAnsi="Garamond"/>
          <w:sz w:val="24"/>
          <w:szCs w:val="24"/>
        </w:rPr>
        <w:t>, not least the dangers associated with the patient’s vulnerabilities</w:t>
      </w:r>
      <w:r w:rsidRPr="00E47A79">
        <w:rPr>
          <w:rFonts w:ascii="Garamond" w:hAnsi="Garamond"/>
          <w:sz w:val="24"/>
          <w:szCs w:val="24"/>
        </w:rPr>
        <w:t xml:space="preserve">. Patients with chronic conditions or diseases </w:t>
      </w:r>
      <w:r w:rsidR="00A934C7" w:rsidRPr="00E47A79">
        <w:rPr>
          <w:rFonts w:ascii="Garamond" w:hAnsi="Garamond"/>
          <w:sz w:val="24"/>
          <w:szCs w:val="24"/>
        </w:rPr>
        <w:t xml:space="preserve">may be </w:t>
      </w:r>
      <w:r w:rsidRPr="00E47A79">
        <w:rPr>
          <w:rFonts w:ascii="Garamond" w:hAnsi="Garamond"/>
          <w:sz w:val="24"/>
          <w:szCs w:val="24"/>
        </w:rPr>
        <w:t xml:space="preserve">physically and psychologically vulnerable. Simpson, who explored the relationship between hope and vulnerability in healthcare contexts, identifies hope as generating additional </w:t>
      </w:r>
      <w:r w:rsidR="007D4EA2">
        <w:rPr>
          <w:rFonts w:ascii="Garamond" w:hAnsi="Garamond"/>
          <w:sz w:val="24"/>
          <w:szCs w:val="24"/>
        </w:rPr>
        <w:t>hazards</w:t>
      </w:r>
      <w:r w:rsidRPr="00E47A79">
        <w:rPr>
          <w:rFonts w:ascii="Garamond" w:hAnsi="Garamond"/>
          <w:sz w:val="24"/>
          <w:szCs w:val="24"/>
        </w:rPr>
        <w:t xml:space="preserve"> (including of disappointment), and as creating sensitivity to information, both positive and negative, relating to what is hoped for.</w:t>
      </w:r>
      <w:r w:rsidRPr="00E47A79">
        <w:rPr>
          <w:rStyle w:val="FootnoteReference"/>
          <w:rFonts w:ascii="Garamond" w:hAnsi="Garamond"/>
          <w:sz w:val="24"/>
          <w:szCs w:val="24"/>
        </w:rPr>
        <w:footnoteReference w:id="266"/>
      </w:r>
      <w:r w:rsidRPr="00E47A79">
        <w:rPr>
          <w:rFonts w:ascii="Garamond" w:hAnsi="Garamond"/>
          <w:sz w:val="24"/>
          <w:szCs w:val="24"/>
        </w:rPr>
        <w:t xml:space="preserve"> Dresser agrees, noting the vulnerability that stems from a willingness to listen to stories or details that fuel hope and filtering out ‘cautionary tales’ and ‘negative results.’</w:t>
      </w:r>
      <w:r w:rsidRPr="00E47A79">
        <w:rPr>
          <w:rStyle w:val="FootnoteReference"/>
          <w:rFonts w:ascii="Garamond" w:hAnsi="Garamond"/>
          <w:sz w:val="24"/>
          <w:szCs w:val="24"/>
        </w:rPr>
        <w:footnoteReference w:id="267"/>
      </w:r>
      <w:r w:rsidRPr="00E47A79">
        <w:rPr>
          <w:rFonts w:ascii="Garamond" w:hAnsi="Garamond"/>
          <w:sz w:val="24"/>
          <w:szCs w:val="24"/>
        </w:rPr>
        <w:t xml:space="preserve"> This compounded vulnerability stemming from a patient’s condition and their hopes for better therapeutic options can also increase the risks of exploitation, and the possibility that promoting patient autonomy may be used as a screen for self-serving commercial interests</w:t>
      </w:r>
      <w:r w:rsidRPr="00E47A79">
        <w:rPr>
          <w:rStyle w:val="FootnoteReference"/>
          <w:rFonts w:ascii="Garamond" w:hAnsi="Garamond"/>
          <w:sz w:val="24"/>
          <w:szCs w:val="24"/>
        </w:rPr>
        <w:footnoteReference w:id="268"/>
      </w:r>
      <w:r w:rsidRPr="00E47A79">
        <w:rPr>
          <w:rFonts w:ascii="Garamond" w:hAnsi="Garamond"/>
          <w:sz w:val="24"/>
          <w:szCs w:val="24"/>
        </w:rPr>
        <w:t xml:space="preserve"> should not be overlooked. Private or consumer medicine can be ‘breeding grounds’ for false hopes,</w:t>
      </w:r>
      <w:r w:rsidRPr="00E47A79">
        <w:rPr>
          <w:rStyle w:val="FootnoteReference"/>
          <w:rFonts w:ascii="Garamond" w:hAnsi="Garamond"/>
          <w:sz w:val="24"/>
          <w:szCs w:val="24"/>
        </w:rPr>
        <w:footnoteReference w:id="269"/>
      </w:r>
      <w:r w:rsidRPr="00E47A79">
        <w:rPr>
          <w:rFonts w:ascii="Garamond" w:hAnsi="Garamond"/>
          <w:sz w:val="24"/>
          <w:szCs w:val="24"/>
        </w:rPr>
        <w:t xml:space="preserve"> and providers may consciously or unwittingly exacerbate those false hopes because of their fears of losing patients or of bad reviews</w:t>
      </w:r>
      <w:r w:rsidRPr="00E47A79">
        <w:rPr>
          <w:rStyle w:val="FootnoteReference"/>
          <w:rFonts w:ascii="Garamond" w:hAnsi="Garamond"/>
          <w:sz w:val="24"/>
          <w:szCs w:val="24"/>
        </w:rPr>
        <w:footnoteReference w:id="270"/>
      </w:r>
      <w:r w:rsidRPr="00E47A79">
        <w:rPr>
          <w:rFonts w:ascii="Garamond" w:hAnsi="Garamond"/>
          <w:sz w:val="24"/>
          <w:szCs w:val="24"/>
        </w:rPr>
        <w:t xml:space="preserve"> if they refuse access to the ‘hoped for’ medicine.</w:t>
      </w:r>
    </w:p>
    <w:p w14:paraId="646BB20C" w14:textId="00F72770" w:rsidR="00415738" w:rsidRPr="00E47A79" w:rsidRDefault="007D4EA2" w:rsidP="008F30D3">
      <w:pPr>
        <w:autoSpaceDE w:val="0"/>
        <w:autoSpaceDN w:val="0"/>
        <w:adjustRightInd w:val="0"/>
        <w:spacing w:after="0" w:line="360" w:lineRule="auto"/>
        <w:rPr>
          <w:rFonts w:ascii="Garamond" w:hAnsi="Garamond"/>
          <w:sz w:val="24"/>
          <w:szCs w:val="24"/>
        </w:rPr>
      </w:pPr>
      <w:r>
        <w:rPr>
          <w:rFonts w:ascii="Garamond" w:hAnsi="Garamond"/>
          <w:sz w:val="24"/>
          <w:szCs w:val="24"/>
        </w:rPr>
        <w:t>Aside from these vulnerabilities, there are other reasons to qualify a patient led approach to the calibration of risks when prescribing. P</w:t>
      </w:r>
      <w:r w:rsidR="00A934C7" w:rsidRPr="00E47A79">
        <w:rPr>
          <w:rFonts w:ascii="Garamond" w:hAnsi="Garamond"/>
          <w:sz w:val="24"/>
          <w:szCs w:val="24"/>
        </w:rPr>
        <w:t>atients</w:t>
      </w:r>
      <w:r>
        <w:rPr>
          <w:rFonts w:ascii="Garamond" w:hAnsi="Garamond"/>
          <w:sz w:val="24"/>
          <w:szCs w:val="24"/>
        </w:rPr>
        <w:t xml:space="preserve"> have no right to </w:t>
      </w:r>
      <w:r w:rsidR="00A934C7" w:rsidRPr="00E47A79">
        <w:rPr>
          <w:rFonts w:ascii="Garamond" w:hAnsi="Garamond"/>
          <w:sz w:val="24"/>
          <w:szCs w:val="24"/>
        </w:rPr>
        <w:t xml:space="preserve">demand </w:t>
      </w:r>
      <w:r>
        <w:rPr>
          <w:rFonts w:ascii="Garamond" w:hAnsi="Garamond"/>
          <w:sz w:val="24"/>
          <w:szCs w:val="24"/>
        </w:rPr>
        <w:t xml:space="preserve">specific </w:t>
      </w:r>
      <w:r w:rsidR="00A934C7" w:rsidRPr="00E47A79">
        <w:rPr>
          <w:rFonts w:ascii="Garamond" w:hAnsi="Garamond"/>
          <w:sz w:val="24"/>
          <w:szCs w:val="24"/>
        </w:rPr>
        <w:t>treatment,</w:t>
      </w:r>
      <w:r w:rsidR="00A934C7" w:rsidRPr="00E47A79">
        <w:rPr>
          <w:rFonts w:ascii="Garamond" w:hAnsi="Garamond"/>
          <w:sz w:val="24"/>
          <w:szCs w:val="24"/>
          <w:vertAlign w:val="superscript"/>
        </w:rPr>
        <w:footnoteReference w:id="271"/>
      </w:r>
      <w:r w:rsidR="00A934C7" w:rsidRPr="00E47A79">
        <w:rPr>
          <w:rFonts w:ascii="Garamond" w:hAnsi="Garamond"/>
          <w:sz w:val="24"/>
          <w:szCs w:val="24"/>
        </w:rPr>
        <w:t xml:space="preserve"> and doctors must not allow themselves to be led by their patients into prescribing medicine which goes against their own clinical judgement</w:t>
      </w:r>
      <w:r w:rsidR="00A934C7" w:rsidRPr="00E47A79">
        <w:rPr>
          <w:rFonts w:ascii="Garamond" w:hAnsi="Garamond"/>
          <w:sz w:val="24"/>
          <w:szCs w:val="24"/>
          <w:vertAlign w:val="superscript"/>
        </w:rPr>
        <w:footnoteReference w:id="272"/>
      </w:r>
      <w:r w:rsidR="00A934C7" w:rsidRPr="00E47A79">
        <w:rPr>
          <w:rFonts w:ascii="Garamond" w:hAnsi="Garamond"/>
          <w:sz w:val="24"/>
          <w:szCs w:val="24"/>
        </w:rPr>
        <w:t>, otherwise there is a risk that the doctor might be ‘duped’ or manipulated into a transaction which is</w:t>
      </w:r>
      <w:r w:rsidR="0010099E">
        <w:rPr>
          <w:rFonts w:ascii="Garamond" w:hAnsi="Garamond"/>
          <w:sz w:val="24"/>
          <w:szCs w:val="24"/>
        </w:rPr>
        <w:t xml:space="preserve"> either</w:t>
      </w:r>
      <w:r w:rsidR="00A934C7" w:rsidRPr="00E47A79">
        <w:rPr>
          <w:rFonts w:ascii="Garamond" w:hAnsi="Garamond"/>
          <w:sz w:val="24"/>
          <w:szCs w:val="24"/>
        </w:rPr>
        <w:t xml:space="preserve"> not in a patient’s best interests or which </w:t>
      </w:r>
      <w:r w:rsidR="0010099E">
        <w:rPr>
          <w:rFonts w:ascii="Garamond" w:hAnsi="Garamond"/>
          <w:sz w:val="24"/>
          <w:szCs w:val="24"/>
        </w:rPr>
        <w:t xml:space="preserve">creates </w:t>
      </w:r>
      <w:r w:rsidR="00A934C7" w:rsidRPr="00E47A79">
        <w:rPr>
          <w:rFonts w:ascii="Garamond" w:hAnsi="Garamond"/>
          <w:sz w:val="24"/>
          <w:szCs w:val="24"/>
        </w:rPr>
        <w:lastRenderedPageBreak/>
        <w:t xml:space="preserve">a risk of diversion.  </w:t>
      </w:r>
      <w:r w:rsidR="00A7208C" w:rsidRPr="00E47A79">
        <w:rPr>
          <w:rFonts w:ascii="Garamond" w:hAnsi="Garamond"/>
          <w:sz w:val="24"/>
          <w:szCs w:val="24"/>
        </w:rPr>
        <w:t>There may also be broader concerns</w:t>
      </w:r>
      <w:r w:rsidR="00F9301D" w:rsidRPr="00E47A79">
        <w:rPr>
          <w:rFonts w:ascii="Garamond" w:hAnsi="Garamond"/>
          <w:sz w:val="24"/>
          <w:szCs w:val="24"/>
        </w:rPr>
        <w:t xml:space="preserve"> which may go against giving patient preferences significant weight in this context</w:t>
      </w:r>
      <w:r w:rsidR="00A7208C" w:rsidRPr="00E47A79">
        <w:rPr>
          <w:rFonts w:ascii="Garamond" w:hAnsi="Garamond"/>
          <w:sz w:val="24"/>
          <w:szCs w:val="24"/>
        </w:rPr>
        <w:t>, such as, that increases in prescription of unlicensed medicinal cannabis products will undermine the very clinical trials that are so desperately needed</w:t>
      </w:r>
      <w:r w:rsidR="00A934C7" w:rsidRPr="00E47A79">
        <w:rPr>
          <w:rFonts w:ascii="Garamond" w:hAnsi="Garamond"/>
          <w:sz w:val="24"/>
          <w:szCs w:val="24"/>
        </w:rPr>
        <w:t xml:space="preserve"> in this field</w:t>
      </w:r>
      <w:r w:rsidR="00A7208C" w:rsidRPr="00E47A79">
        <w:rPr>
          <w:rFonts w:ascii="Garamond" w:hAnsi="Garamond"/>
          <w:sz w:val="24"/>
          <w:szCs w:val="24"/>
        </w:rPr>
        <w:t>. Understandably, many patients would rather be permitted to try a new medicine under their doctor’s supervision, than enrol in a trial where they may unknowingly be allocated to the control group. Consequently, the trials themselves may become unviable due to a shortage of willing volunteers, particularly where the unlicensed medicine is used for a very rare condition and the pool of potential volunteers is already small.</w:t>
      </w:r>
      <w:r w:rsidR="00A7208C" w:rsidRPr="00E47A79">
        <w:rPr>
          <w:rStyle w:val="FootnoteReference"/>
          <w:rFonts w:ascii="Garamond" w:hAnsi="Garamond"/>
          <w:sz w:val="24"/>
          <w:szCs w:val="24"/>
        </w:rPr>
        <w:footnoteReference w:id="273"/>
      </w:r>
      <w:r w:rsidR="00A7208C" w:rsidRPr="00E47A79">
        <w:rPr>
          <w:rFonts w:ascii="Garamond" w:hAnsi="Garamond"/>
          <w:sz w:val="24"/>
          <w:szCs w:val="24"/>
        </w:rPr>
        <w:t xml:space="preserve"> The potential impact of increased prescribing of unlicensed medicines on the feasibility of clinical trials is an important and sobering consideration</w:t>
      </w:r>
      <w:r w:rsidR="00D4464F" w:rsidRPr="00E47A79">
        <w:rPr>
          <w:rFonts w:ascii="Garamond" w:hAnsi="Garamond"/>
          <w:sz w:val="24"/>
          <w:szCs w:val="24"/>
        </w:rPr>
        <w:t>, but it is unfair to expect patients with chronic conditions to bear th</w:t>
      </w:r>
      <w:r w:rsidR="00600A8F" w:rsidRPr="00E47A79">
        <w:rPr>
          <w:rFonts w:ascii="Garamond" w:hAnsi="Garamond"/>
          <w:sz w:val="24"/>
          <w:szCs w:val="24"/>
        </w:rPr>
        <w:t>e</w:t>
      </w:r>
      <w:r w:rsidR="00D4464F" w:rsidRPr="00E47A79">
        <w:rPr>
          <w:rFonts w:ascii="Garamond" w:hAnsi="Garamond"/>
          <w:sz w:val="24"/>
          <w:szCs w:val="24"/>
        </w:rPr>
        <w:t xml:space="preserve"> burden of waiting for a suitable trial, rather than be able to access a treatment which is already legally available</w:t>
      </w:r>
      <w:r w:rsidR="0006583E" w:rsidRPr="00E47A79">
        <w:rPr>
          <w:rFonts w:ascii="Garamond" w:hAnsi="Garamond"/>
          <w:sz w:val="24"/>
          <w:szCs w:val="24"/>
        </w:rPr>
        <w:t xml:space="preserve">. With rigorous monitoring of outcomes in place, their treatment can still contribute to the data availability on the safety and efficacy of the medicine for their condition. </w:t>
      </w:r>
    </w:p>
    <w:p w14:paraId="14BFE169" w14:textId="0F811320" w:rsidR="006931E5" w:rsidRPr="00E47A79" w:rsidRDefault="006931E5" w:rsidP="00415738">
      <w:pPr>
        <w:autoSpaceDE w:val="0"/>
        <w:autoSpaceDN w:val="0"/>
        <w:adjustRightInd w:val="0"/>
        <w:spacing w:after="0" w:line="360" w:lineRule="auto"/>
        <w:rPr>
          <w:rFonts w:ascii="Garamond" w:hAnsi="Garamond"/>
          <w:sz w:val="24"/>
          <w:szCs w:val="24"/>
        </w:rPr>
      </w:pPr>
    </w:p>
    <w:p w14:paraId="412658F9" w14:textId="3FE024D9" w:rsidR="00415738" w:rsidRPr="00E47A79" w:rsidRDefault="006931E5" w:rsidP="00415738">
      <w:pPr>
        <w:autoSpaceDE w:val="0"/>
        <w:autoSpaceDN w:val="0"/>
        <w:adjustRightInd w:val="0"/>
        <w:spacing w:after="0" w:line="360" w:lineRule="auto"/>
        <w:rPr>
          <w:rFonts w:ascii="Garamond" w:hAnsi="Garamond"/>
          <w:sz w:val="24"/>
          <w:szCs w:val="24"/>
        </w:rPr>
      </w:pPr>
      <w:r w:rsidRPr="00E47A79">
        <w:rPr>
          <w:rFonts w:ascii="Garamond" w:hAnsi="Garamond"/>
          <w:sz w:val="24"/>
          <w:szCs w:val="24"/>
        </w:rPr>
        <w:t xml:space="preserve">In light of the above concerns, the </w:t>
      </w:r>
      <w:r w:rsidR="00BA4AEC" w:rsidRPr="00E47A79">
        <w:rPr>
          <w:rFonts w:ascii="Garamond" w:hAnsi="Garamond"/>
          <w:sz w:val="24"/>
          <w:szCs w:val="24"/>
        </w:rPr>
        <w:t>question then becomes whether an appropriate body of medical opinion</w:t>
      </w:r>
      <w:r w:rsidR="00834459" w:rsidRPr="00E47A79">
        <w:rPr>
          <w:rFonts w:ascii="Garamond" w:hAnsi="Garamond"/>
          <w:sz w:val="24"/>
          <w:szCs w:val="24"/>
        </w:rPr>
        <w:t xml:space="preserve">, </w:t>
      </w:r>
      <w:r w:rsidR="005124E4" w:rsidRPr="00E47A79">
        <w:rPr>
          <w:rFonts w:ascii="Garamond" w:hAnsi="Garamond"/>
          <w:sz w:val="24"/>
          <w:szCs w:val="24"/>
        </w:rPr>
        <w:t xml:space="preserve">would </w:t>
      </w:r>
      <w:r w:rsidR="007D4EA2">
        <w:rPr>
          <w:rFonts w:ascii="Garamond" w:hAnsi="Garamond"/>
          <w:sz w:val="24"/>
          <w:szCs w:val="24"/>
        </w:rPr>
        <w:t>‘</w:t>
      </w:r>
      <w:r w:rsidR="005124E4" w:rsidRPr="00E47A79">
        <w:rPr>
          <w:rFonts w:ascii="Garamond" w:hAnsi="Garamond"/>
          <w:sz w:val="24"/>
          <w:szCs w:val="24"/>
        </w:rPr>
        <w:t>responsibly</w:t>
      </w:r>
      <w:r w:rsidR="007D4EA2">
        <w:rPr>
          <w:rFonts w:ascii="Garamond" w:hAnsi="Garamond"/>
          <w:sz w:val="24"/>
          <w:szCs w:val="24"/>
        </w:rPr>
        <w:t>’</w:t>
      </w:r>
      <w:r w:rsidR="005124E4" w:rsidRPr="00E47A79">
        <w:rPr>
          <w:rFonts w:ascii="Garamond" w:hAnsi="Garamond"/>
          <w:sz w:val="24"/>
          <w:szCs w:val="24"/>
        </w:rPr>
        <w:t xml:space="preserve"> and </w:t>
      </w:r>
      <w:r w:rsidR="007D4EA2">
        <w:rPr>
          <w:rFonts w:ascii="Garamond" w:hAnsi="Garamond"/>
          <w:sz w:val="24"/>
          <w:szCs w:val="24"/>
        </w:rPr>
        <w:t>‘</w:t>
      </w:r>
      <w:r w:rsidR="005124E4" w:rsidRPr="00E47A79">
        <w:rPr>
          <w:rFonts w:ascii="Garamond" w:hAnsi="Garamond"/>
          <w:sz w:val="24"/>
          <w:szCs w:val="24"/>
        </w:rPr>
        <w:t>logically</w:t>
      </w:r>
      <w:r w:rsidR="007D4EA2">
        <w:rPr>
          <w:rFonts w:ascii="Garamond" w:hAnsi="Garamond"/>
          <w:sz w:val="24"/>
          <w:szCs w:val="24"/>
        </w:rPr>
        <w:t>’</w:t>
      </w:r>
      <w:r w:rsidR="005124E4" w:rsidRPr="00E47A79">
        <w:rPr>
          <w:rFonts w:ascii="Garamond" w:hAnsi="Garamond"/>
          <w:sz w:val="24"/>
          <w:szCs w:val="24"/>
        </w:rPr>
        <w:t xml:space="preserve"> support </w:t>
      </w:r>
      <w:proofErr w:type="gramStart"/>
      <w:r w:rsidR="005124E4" w:rsidRPr="00E47A79">
        <w:rPr>
          <w:rFonts w:ascii="Garamond" w:hAnsi="Garamond"/>
          <w:sz w:val="24"/>
          <w:szCs w:val="24"/>
        </w:rPr>
        <w:t>taking</w:t>
      </w:r>
      <w:proofErr w:type="gramEnd"/>
      <w:r w:rsidR="005124E4" w:rsidRPr="00E47A79">
        <w:rPr>
          <w:rFonts w:ascii="Garamond" w:hAnsi="Garamond"/>
          <w:sz w:val="24"/>
          <w:szCs w:val="24"/>
        </w:rPr>
        <w:t xml:space="preserve"> into </w:t>
      </w:r>
      <w:r w:rsidR="00834459" w:rsidRPr="00E47A79">
        <w:rPr>
          <w:rFonts w:ascii="Garamond" w:hAnsi="Garamond"/>
          <w:sz w:val="24"/>
          <w:szCs w:val="24"/>
        </w:rPr>
        <w:t>account the specific patient’s values when</w:t>
      </w:r>
      <w:r w:rsidR="005124E4" w:rsidRPr="00E47A79">
        <w:rPr>
          <w:rFonts w:ascii="Garamond" w:hAnsi="Garamond"/>
          <w:sz w:val="24"/>
          <w:szCs w:val="24"/>
        </w:rPr>
        <w:t xml:space="preserve"> </w:t>
      </w:r>
      <w:r w:rsidR="00834459" w:rsidRPr="00E47A79">
        <w:rPr>
          <w:rFonts w:ascii="Garamond" w:hAnsi="Garamond"/>
          <w:sz w:val="24"/>
          <w:szCs w:val="24"/>
        </w:rPr>
        <w:t>calibrat</w:t>
      </w:r>
      <w:r w:rsidR="00A1354B" w:rsidRPr="00E47A79">
        <w:rPr>
          <w:rFonts w:ascii="Garamond" w:hAnsi="Garamond"/>
          <w:sz w:val="24"/>
          <w:szCs w:val="24"/>
        </w:rPr>
        <w:t>ing</w:t>
      </w:r>
      <w:r w:rsidR="00834459" w:rsidRPr="00E47A79">
        <w:rPr>
          <w:rFonts w:ascii="Garamond" w:hAnsi="Garamond"/>
          <w:sz w:val="24"/>
          <w:szCs w:val="24"/>
        </w:rPr>
        <w:t xml:space="preserve"> the risk of using an unlicensed CBMP</w:t>
      </w:r>
      <w:r w:rsidR="007D4EA2">
        <w:rPr>
          <w:rFonts w:ascii="Garamond" w:hAnsi="Garamond"/>
          <w:sz w:val="24"/>
          <w:szCs w:val="24"/>
        </w:rPr>
        <w:t>?</w:t>
      </w:r>
      <w:r w:rsidR="00BA4AEC" w:rsidRPr="00E47A79">
        <w:rPr>
          <w:rFonts w:ascii="Garamond" w:hAnsi="Garamond"/>
          <w:sz w:val="24"/>
          <w:szCs w:val="24"/>
        </w:rPr>
        <w:t xml:space="preserve"> </w:t>
      </w:r>
      <w:r w:rsidR="00233794">
        <w:rPr>
          <w:rFonts w:ascii="Garamond" w:hAnsi="Garamond"/>
          <w:sz w:val="24"/>
          <w:szCs w:val="24"/>
        </w:rPr>
        <w:t xml:space="preserve">A key step </w:t>
      </w:r>
      <w:r w:rsidR="00415738" w:rsidRPr="00E47A79">
        <w:rPr>
          <w:rFonts w:ascii="Garamond" w:hAnsi="Garamond"/>
          <w:sz w:val="24"/>
          <w:szCs w:val="24"/>
        </w:rPr>
        <w:t>in safety netting against liability for a failure to disclose</w:t>
      </w:r>
      <w:r w:rsidR="00233794">
        <w:rPr>
          <w:rFonts w:ascii="Garamond" w:hAnsi="Garamond"/>
          <w:sz w:val="24"/>
          <w:szCs w:val="24"/>
        </w:rPr>
        <w:t xml:space="preserve"> </w:t>
      </w:r>
      <w:r w:rsidR="00415738" w:rsidRPr="00E47A79">
        <w:rPr>
          <w:rFonts w:ascii="Garamond" w:hAnsi="Garamond"/>
          <w:sz w:val="24"/>
          <w:szCs w:val="24"/>
        </w:rPr>
        <w:t>will therefore be advising the patient fully and candidly of known potential risks and benefits.</w:t>
      </w:r>
      <w:r w:rsidR="00415738" w:rsidRPr="00E47A79">
        <w:rPr>
          <w:rFonts w:ascii="Garamond" w:hAnsi="Garamond"/>
          <w:sz w:val="24"/>
          <w:szCs w:val="24"/>
          <w:vertAlign w:val="superscript"/>
        </w:rPr>
        <w:footnoteReference w:id="274"/>
      </w:r>
      <w:r w:rsidR="00415738" w:rsidRPr="00E47A79">
        <w:rPr>
          <w:rFonts w:ascii="Garamond" w:hAnsi="Garamond"/>
          <w:sz w:val="24"/>
          <w:szCs w:val="24"/>
        </w:rPr>
        <w:t xml:space="preserve"> Account needs to be taken, for example, of the fact that both prescriber and patient may be affected by optimism bias</w:t>
      </w:r>
      <w:r w:rsidR="00DC700F" w:rsidRPr="00E47A79">
        <w:rPr>
          <w:rFonts w:ascii="Garamond" w:hAnsi="Garamond"/>
          <w:sz w:val="24"/>
          <w:szCs w:val="24"/>
        </w:rPr>
        <w:t>.</w:t>
      </w:r>
      <w:r w:rsidR="00415738" w:rsidRPr="00E47A79">
        <w:rPr>
          <w:rFonts w:ascii="Garamond" w:hAnsi="Garamond"/>
          <w:sz w:val="24"/>
          <w:szCs w:val="24"/>
          <w:vertAlign w:val="superscript"/>
        </w:rPr>
        <w:footnoteReference w:id="275"/>
      </w:r>
      <w:r w:rsidR="007D4EA2">
        <w:rPr>
          <w:rFonts w:ascii="Garamond" w:hAnsi="Garamond"/>
          <w:sz w:val="24"/>
          <w:szCs w:val="24"/>
        </w:rPr>
        <w:t xml:space="preserve"> I</w:t>
      </w:r>
      <w:r w:rsidR="00415738" w:rsidRPr="00E47A79">
        <w:rPr>
          <w:rFonts w:ascii="Garamond" w:hAnsi="Garamond"/>
          <w:sz w:val="24"/>
          <w:szCs w:val="24"/>
        </w:rPr>
        <w:t xml:space="preserve">t is probably </w:t>
      </w:r>
      <w:r w:rsidR="007D4EA2">
        <w:rPr>
          <w:rFonts w:ascii="Garamond" w:hAnsi="Garamond"/>
          <w:sz w:val="24"/>
          <w:szCs w:val="24"/>
        </w:rPr>
        <w:t xml:space="preserve">advisable, therefore, </w:t>
      </w:r>
      <w:r w:rsidR="00415738" w:rsidRPr="00E47A79">
        <w:rPr>
          <w:rFonts w:ascii="Garamond" w:hAnsi="Garamond"/>
          <w:sz w:val="24"/>
          <w:szCs w:val="24"/>
        </w:rPr>
        <w:t>to ensure ‘that the patient realises s/he is effectively rolling the dice’ as the risks cannot be clearly defined</w:t>
      </w:r>
      <w:r w:rsidR="007D4EA2">
        <w:rPr>
          <w:rFonts w:ascii="Garamond" w:hAnsi="Garamond"/>
          <w:sz w:val="24"/>
          <w:szCs w:val="24"/>
        </w:rPr>
        <w:t>.</w:t>
      </w:r>
      <w:r w:rsidR="00415738" w:rsidRPr="00E47A79">
        <w:rPr>
          <w:rFonts w:ascii="Garamond" w:hAnsi="Garamond"/>
          <w:sz w:val="24"/>
          <w:szCs w:val="24"/>
          <w:vertAlign w:val="superscript"/>
        </w:rPr>
        <w:footnoteReference w:id="276"/>
      </w:r>
      <w:r w:rsidR="00B36A2A" w:rsidRPr="00E47A79">
        <w:rPr>
          <w:rFonts w:ascii="Garamond" w:hAnsi="Garamond"/>
          <w:sz w:val="24"/>
          <w:szCs w:val="24"/>
        </w:rPr>
        <w:t xml:space="preserve"> GMC guidance on ‘Consent’ requires that dialogue with the patient pursues </w:t>
      </w:r>
      <w:proofErr w:type="spellStart"/>
      <w:r w:rsidR="00B36A2A" w:rsidRPr="00E47A79">
        <w:rPr>
          <w:rFonts w:ascii="Garamond" w:hAnsi="Garamond"/>
          <w:sz w:val="24"/>
          <w:szCs w:val="24"/>
        </w:rPr>
        <w:t>‘a</w:t>
      </w:r>
      <w:proofErr w:type="spellEnd"/>
      <w:r w:rsidR="00B36A2A" w:rsidRPr="00E47A79">
        <w:rPr>
          <w:rFonts w:ascii="Garamond" w:hAnsi="Garamond"/>
          <w:sz w:val="24"/>
          <w:szCs w:val="24"/>
        </w:rPr>
        <w:t xml:space="preserve"> shared understanding of the expectations and limitations’ of the available treatment options.</w:t>
      </w:r>
      <w:r w:rsidR="00B36A2A" w:rsidRPr="00E47A79">
        <w:rPr>
          <w:rStyle w:val="FootnoteReference"/>
          <w:rFonts w:ascii="Garamond" w:hAnsi="Garamond"/>
          <w:sz w:val="24"/>
          <w:szCs w:val="24"/>
        </w:rPr>
        <w:footnoteReference w:id="277"/>
      </w:r>
      <w:r w:rsidR="00415738" w:rsidRPr="00E47A79">
        <w:rPr>
          <w:rFonts w:ascii="Garamond" w:hAnsi="Garamond"/>
          <w:sz w:val="24"/>
          <w:szCs w:val="24"/>
        </w:rPr>
        <w:t xml:space="preserve"> It will</w:t>
      </w:r>
      <w:r w:rsidR="00B36A2A" w:rsidRPr="00E47A79">
        <w:rPr>
          <w:rFonts w:ascii="Garamond" w:hAnsi="Garamond"/>
          <w:sz w:val="24"/>
          <w:szCs w:val="24"/>
        </w:rPr>
        <w:t xml:space="preserve"> therefore </w:t>
      </w:r>
      <w:r w:rsidR="00415738" w:rsidRPr="00E47A79">
        <w:rPr>
          <w:rFonts w:ascii="Garamond" w:hAnsi="Garamond"/>
          <w:sz w:val="24"/>
          <w:szCs w:val="24"/>
        </w:rPr>
        <w:t xml:space="preserve"> also be important to ensure that the patient knows that the drug may take some time to work, that these drugs are not a cure</w:t>
      </w:r>
      <w:r w:rsidR="007D4EA2">
        <w:rPr>
          <w:rFonts w:ascii="Garamond" w:hAnsi="Garamond"/>
          <w:sz w:val="24"/>
          <w:szCs w:val="24"/>
        </w:rPr>
        <w:t>,</w:t>
      </w:r>
      <w:r w:rsidR="00415738" w:rsidRPr="00E47A79">
        <w:rPr>
          <w:rFonts w:ascii="Garamond" w:hAnsi="Garamond"/>
          <w:sz w:val="24"/>
          <w:szCs w:val="24"/>
        </w:rPr>
        <w:t xml:space="preserve"> but may offer means for managing the symptoms of disease and disorder, that current supply chains may mean there could be a break in supply, that the drug may not work at all (so that the patient is prepared for disappointment), that the prescription is an innovative </w:t>
      </w:r>
      <w:r w:rsidR="00415738" w:rsidRPr="00E47A79">
        <w:rPr>
          <w:rFonts w:ascii="Garamond" w:hAnsi="Garamond"/>
          <w:sz w:val="24"/>
          <w:szCs w:val="24"/>
        </w:rPr>
        <w:lastRenderedPageBreak/>
        <w:t>treatment,</w:t>
      </w:r>
      <w:r w:rsidR="00415738" w:rsidRPr="00E47A79">
        <w:rPr>
          <w:rFonts w:ascii="Garamond" w:hAnsi="Garamond"/>
          <w:sz w:val="24"/>
          <w:szCs w:val="24"/>
          <w:vertAlign w:val="superscript"/>
        </w:rPr>
        <w:footnoteReference w:id="278"/>
      </w:r>
      <w:r w:rsidR="00415738" w:rsidRPr="00E47A79">
        <w:rPr>
          <w:rFonts w:ascii="Garamond" w:hAnsi="Garamond"/>
          <w:sz w:val="24"/>
          <w:szCs w:val="24"/>
        </w:rPr>
        <w:t xml:space="preserve"> that it is ‘unlicensed’</w:t>
      </w:r>
      <w:r w:rsidR="00415738" w:rsidRPr="00E47A79">
        <w:rPr>
          <w:rFonts w:ascii="Garamond" w:hAnsi="Garamond"/>
          <w:sz w:val="24"/>
          <w:szCs w:val="24"/>
          <w:vertAlign w:val="superscript"/>
        </w:rPr>
        <w:footnoteReference w:id="279"/>
      </w:r>
      <w:r w:rsidR="00415738" w:rsidRPr="00E47A79">
        <w:rPr>
          <w:rFonts w:ascii="Garamond" w:hAnsi="Garamond"/>
          <w:sz w:val="24"/>
          <w:szCs w:val="24"/>
        </w:rPr>
        <w:t xml:space="preserve"> and what that means,</w:t>
      </w:r>
      <w:r w:rsidR="00415738" w:rsidRPr="00E47A79">
        <w:rPr>
          <w:rFonts w:ascii="Garamond" w:hAnsi="Garamond"/>
          <w:sz w:val="24"/>
          <w:szCs w:val="24"/>
          <w:vertAlign w:val="superscript"/>
        </w:rPr>
        <w:footnoteReference w:id="280"/>
      </w:r>
      <w:r w:rsidR="00415738" w:rsidRPr="00E47A79">
        <w:rPr>
          <w:rFonts w:ascii="Garamond" w:hAnsi="Garamond"/>
          <w:sz w:val="24"/>
          <w:szCs w:val="24"/>
        </w:rPr>
        <w:t xml:space="preserve"> and that it is not supported by positive RCT evidence, that as with any new treatment the long term risks and benefits are not yet clear</w:t>
      </w:r>
      <w:r w:rsidR="00415738" w:rsidRPr="00E47A79">
        <w:rPr>
          <w:rFonts w:ascii="Garamond" w:hAnsi="Garamond"/>
          <w:sz w:val="24"/>
          <w:szCs w:val="24"/>
          <w:vertAlign w:val="superscript"/>
        </w:rPr>
        <w:footnoteReference w:id="281"/>
      </w:r>
      <w:r w:rsidR="00415738" w:rsidRPr="00E47A79">
        <w:rPr>
          <w:rFonts w:ascii="Garamond" w:hAnsi="Garamond"/>
          <w:sz w:val="24"/>
          <w:szCs w:val="24"/>
        </w:rPr>
        <w:t xml:space="preserve"> and, possibly even, that it departs from professional guidance. </w:t>
      </w:r>
    </w:p>
    <w:p w14:paraId="62310EED" w14:textId="77302A03" w:rsidR="0062233D" w:rsidRPr="00E47A79" w:rsidRDefault="0062233D" w:rsidP="008F30D3">
      <w:pPr>
        <w:autoSpaceDE w:val="0"/>
        <w:autoSpaceDN w:val="0"/>
        <w:adjustRightInd w:val="0"/>
        <w:spacing w:after="0" w:line="360" w:lineRule="auto"/>
        <w:rPr>
          <w:rFonts w:ascii="Garamond" w:hAnsi="Garamond"/>
          <w:sz w:val="24"/>
          <w:szCs w:val="24"/>
        </w:rPr>
      </w:pPr>
    </w:p>
    <w:p w14:paraId="53A4480A" w14:textId="507AE580" w:rsidR="00B57313" w:rsidRPr="00E47A79" w:rsidRDefault="007515BB" w:rsidP="008F30D3">
      <w:pPr>
        <w:spacing w:line="360" w:lineRule="auto"/>
        <w:rPr>
          <w:rFonts w:ascii="Garamond" w:hAnsi="Garamond"/>
          <w:sz w:val="24"/>
          <w:szCs w:val="24"/>
        </w:rPr>
      </w:pPr>
      <w:r w:rsidRPr="00E47A79">
        <w:rPr>
          <w:rFonts w:ascii="Garamond" w:hAnsi="Garamond"/>
          <w:sz w:val="24"/>
          <w:szCs w:val="24"/>
        </w:rPr>
        <w:t xml:space="preserve">In addition to patient values, </w:t>
      </w:r>
      <w:r w:rsidRPr="00E47A79">
        <w:rPr>
          <w:rFonts w:ascii="Garamond" w:hAnsi="Garamond"/>
          <w:i/>
          <w:iCs/>
          <w:sz w:val="24"/>
          <w:szCs w:val="24"/>
        </w:rPr>
        <w:t xml:space="preserve">patient experience </w:t>
      </w:r>
      <w:r w:rsidRPr="00E47A79">
        <w:rPr>
          <w:rFonts w:ascii="Garamond" w:hAnsi="Garamond"/>
          <w:sz w:val="24"/>
          <w:szCs w:val="24"/>
        </w:rPr>
        <w:t>also ha</w:t>
      </w:r>
      <w:r w:rsidR="003B0C39" w:rsidRPr="00E47A79">
        <w:rPr>
          <w:rFonts w:ascii="Garamond" w:hAnsi="Garamond"/>
          <w:sz w:val="24"/>
          <w:szCs w:val="24"/>
        </w:rPr>
        <w:t>s</w:t>
      </w:r>
      <w:r w:rsidRPr="00E47A79">
        <w:rPr>
          <w:rFonts w:ascii="Garamond" w:hAnsi="Garamond"/>
          <w:sz w:val="24"/>
          <w:szCs w:val="24"/>
        </w:rPr>
        <w:t xml:space="preserve"> an important place in this area of clinical decision making. </w:t>
      </w:r>
      <w:r w:rsidR="00240F1E" w:rsidRPr="00E47A79">
        <w:rPr>
          <w:rFonts w:ascii="Garamond" w:hAnsi="Garamond"/>
          <w:sz w:val="24"/>
          <w:szCs w:val="24"/>
        </w:rPr>
        <w:t>R</w:t>
      </w:r>
      <w:r w:rsidR="002B1B1E" w:rsidRPr="00E47A79">
        <w:rPr>
          <w:rFonts w:ascii="Garamond" w:hAnsi="Garamond"/>
          <w:sz w:val="24"/>
          <w:szCs w:val="24"/>
        </w:rPr>
        <w:t>eference to ‘experience’ in the GMC</w:t>
      </w:r>
      <w:r w:rsidR="001C1F8C" w:rsidRPr="00E47A79">
        <w:rPr>
          <w:rFonts w:ascii="Garamond" w:hAnsi="Garamond"/>
          <w:sz w:val="24"/>
          <w:szCs w:val="24"/>
        </w:rPr>
        <w:t>’s default</w:t>
      </w:r>
      <w:r w:rsidR="002B1B1E" w:rsidRPr="00E47A79">
        <w:rPr>
          <w:rFonts w:ascii="Garamond" w:hAnsi="Garamond"/>
          <w:sz w:val="24"/>
          <w:szCs w:val="24"/>
        </w:rPr>
        <w:t xml:space="preserve"> guidance </w:t>
      </w:r>
      <w:r w:rsidR="007219E9" w:rsidRPr="00E47A79">
        <w:rPr>
          <w:rFonts w:ascii="Garamond" w:hAnsi="Garamond"/>
          <w:sz w:val="24"/>
          <w:szCs w:val="24"/>
        </w:rPr>
        <w:t xml:space="preserve">could be interpreted as supporting a prescriber </w:t>
      </w:r>
      <w:r w:rsidR="001C1F8C" w:rsidRPr="00E47A79">
        <w:rPr>
          <w:rFonts w:ascii="Garamond" w:hAnsi="Garamond"/>
          <w:sz w:val="24"/>
          <w:szCs w:val="24"/>
        </w:rPr>
        <w:t xml:space="preserve">who </w:t>
      </w:r>
      <w:r w:rsidR="007219E9" w:rsidRPr="00E47A79">
        <w:rPr>
          <w:rFonts w:ascii="Garamond" w:hAnsi="Garamond"/>
          <w:sz w:val="24"/>
          <w:szCs w:val="24"/>
        </w:rPr>
        <w:t>rel</w:t>
      </w:r>
      <w:r w:rsidR="001C1F8C" w:rsidRPr="00E47A79">
        <w:rPr>
          <w:rFonts w:ascii="Garamond" w:hAnsi="Garamond"/>
          <w:sz w:val="24"/>
          <w:szCs w:val="24"/>
        </w:rPr>
        <w:t>ies in part</w:t>
      </w:r>
      <w:r w:rsidR="007219E9" w:rsidRPr="00E47A79">
        <w:rPr>
          <w:rFonts w:ascii="Garamond" w:hAnsi="Garamond"/>
          <w:sz w:val="24"/>
          <w:szCs w:val="24"/>
        </w:rPr>
        <w:t xml:space="preserve"> on a </w:t>
      </w:r>
      <w:r w:rsidR="002B1B1E" w:rsidRPr="00E47A79">
        <w:rPr>
          <w:rFonts w:ascii="Garamond" w:hAnsi="Garamond"/>
          <w:i/>
          <w:iCs/>
          <w:sz w:val="24"/>
          <w:szCs w:val="24"/>
        </w:rPr>
        <w:t>patient’s</w:t>
      </w:r>
      <w:r w:rsidR="002B1B1E" w:rsidRPr="00E47A79">
        <w:rPr>
          <w:rFonts w:ascii="Garamond" w:hAnsi="Garamond"/>
          <w:sz w:val="24"/>
          <w:szCs w:val="24"/>
        </w:rPr>
        <w:t xml:space="preserve"> experience (e.g.</w:t>
      </w:r>
      <w:r w:rsidR="001C1F8C" w:rsidRPr="00E47A79">
        <w:rPr>
          <w:rFonts w:ascii="Garamond" w:hAnsi="Garamond"/>
          <w:sz w:val="24"/>
          <w:szCs w:val="24"/>
        </w:rPr>
        <w:t>, in this context,</w:t>
      </w:r>
      <w:r w:rsidR="002B1B1E" w:rsidRPr="00E47A79">
        <w:rPr>
          <w:rFonts w:ascii="Garamond" w:hAnsi="Garamond"/>
          <w:sz w:val="24"/>
          <w:szCs w:val="24"/>
        </w:rPr>
        <w:t xml:space="preserve"> of using cannabi</w:t>
      </w:r>
      <w:r w:rsidR="00D42CF4" w:rsidRPr="00E47A79">
        <w:rPr>
          <w:rFonts w:ascii="Garamond" w:hAnsi="Garamond"/>
          <w:sz w:val="24"/>
          <w:szCs w:val="24"/>
        </w:rPr>
        <w:t>s</w:t>
      </w:r>
      <w:r w:rsidR="002B1B1E" w:rsidRPr="00E47A79">
        <w:rPr>
          <w:rFonts w:ascii="Garamond" w:hAnsi="Garamond"/>
          <w:sz w:val="24"/>
          <w:szCs w:val="24"/>
        </w:rPr>
        <w:t>)</w:t>
      </w:r>
      <w:r w:rsidR="007219E9" w:rsidRPr="00E47A79">
        <w:rPr>
          <w:rFonts w:ascii="Garamond" w:hAnsi="Garamond"/>
          <w:sz w:val="24"/>
          <w:szCs w:val="24"/>
        </w:rPr>
        <w:t xml:space="preserve"> to support their clinical judg</w:t>
      </w:r>
      <w:r w:rsidR="00D05151" w:rsidRPr="00E47A79">
        <w:rPr>
          <w:rFonts w:ascii="Garamond" w:hAnsi="Garamond"/>
          <w:sz w:val="24"/>
          <w:szCs w:val="24"/>
        </w:rPr>
        <w:t>e</w:t>
      </w:r>
      <w:r w:rsidR="007219E9" w:rsidRPr="00E47A79">
        <w:rPr>
          <w:rFonts w:ascii="Garamond" w:hAnsi="Garamond"/>
          <w:sz w:val="24"/>
          <w:szCs w:val="24"/>
        </w:rPr>
        <w:t>ment</w:t>
      </w:r>
      <w:r w:rsidR="009B47CB" w:rsidRPr="00E47A79">
        <w:rPr>
          <w:rFonts w:ascii="Garamond" w:hAnsi="Garamond"/>
          <w:sz w:val="24"/>
          <w:szCs w:val="24"/>
        </w:rPr>
        <w:t>, and there have been suggestions that some doctors would indeed consider this</w:t>
      </w:r>
      <w:r w:rsidR="007219E9" w:rsidRPr="00E47A79">
        <w:rPr>
          <w:rFonts w:ascii="Garamond" w:hAnsi="Garamond"/>
          <w:sz w:val="24"/>
          <w:szCs w:val="24"/>
        </w:rPr>
        <w:t>.</w:t>
      </w:r>
      <w:r w:rsidR="009B47CB" w:rsidRPr="00E47A79">
        <w:rPr>
          <w:rStyle w:val="FootnoteReference"/>
          <w:rFonts w:ascii="Garamond" w:hAnsi="Garamond"/>
          <w:sz w:val="24"/>
          <w:szCs w:val="24"/>
        </w:rPr>
        <w:footnoteReference w:id="282"/>
      </w:r>
      <w:r w:rsidR="009D3E8E" w:rsidRPr="00E47A79">
        <w:rPr>
          <w:rFonts w:ascii="Garamond" w:hAnsi="Garamond"/>
          <w:sz w:val="24"/>
          <w:szCs w:val="24"/>
        </w:rPr>
        <w:t xml:space="preserve"> </w:t>
      </w:r>
      <w:r w:rsidR="007932DC" w:rsidRPr="00E47A79">
        <w:rPr>
          <w:rFonts w:ascii="Garamond" w:hAnsi="Garamond"/>
          <w:sz w:val="24"/>
          <w:szCs w:val="24"/>
        </w:rPr>
        <w:t>The courts have recognised that evidence generated by scientific studies represents generalities, the average effect of a particular medicine, and that doctors must then apply their clinical judg</w:t>
      </w:r>
      <w:r w:rsidR="00D05151" w:rsidRPr="00E47A79">
        <w:rPr>
          <w:rFonts w:ascii="Garamond" w:hAnsi="Garamond"/>
          <w:sz w:val="24"/>
          <w:szCs w:val="24"/>
        </w:rPr>
        <w:t>e</w:t>
      </w:r>
      <w:r w:rsidR="007932DC" w:rsidRPr="00E47A79">
        <w:rPr>
          <w:rFonts w:ascii="Garamond" w:hAnsi="Garamond"/>
          <w:sz w:val="24"/>
          <w:szCs w:val="24"/>
        </w:rPr>
        <w:t>ment to transpose this into a decision which takes account of this specific patient’s circumstances.</w:t>
      </w:r>
      <w:r w:rsidR="007932DC" w:rsidRPr="00E47A79">
        <w:rPr>
          <w:rFonts w:ascii="Garamond" w:hAnsi="Garamond"/>
          <w:sz w:val="24"/>
          <w:szCs w:val="24"/>
          <w:vertAlign w:val="superscript"/>
        </w:rPr>
        <w:footnoteReference w:id="283"/>
      </w:r>
      <w:r w:rsidR="007932DC" w:rsidRPr="00E47A79">
        <w:rPr>
          <w:rFonts w:ascii="Garamond" w:hAnsi="Garamond"/>
          <w:sz w:val="24"/>
          <w:szCs w:val="24"/>
        </w:rPr>
        <w:t xml:space="preserve"> Those circumstances may, in this context, include the fact that the patient has taken cannabis based products in the past and it has </w:t>
      </w:r>
      <w:r w:rsidR="006D5B56" w:rsidRPr="00E47A79">
        <w:rPr>
          <w:rFonts w:ascii="Garamond" w:hAnsi="Garamond"/>
          <w:sz w:val="24"/>
          <w:szCs w:val="24"/>
        </w:rPr>
        <w:t xml:space="preserve">helped them to manage </w:t>
      </w:r>
      <w:r w:rsidR="00346428" w:rsidRPr="00E47A79">
        <w:rPr>
          <w:rFonts w:ascii="Garamond" w:hAnsi="Garamond"/>
          <w:sz w:val="24"/>
          <w:szCs w:val="24"/>
        </w:rPr>
        <w:t>their condition</w:t>
      </w:r>
      <w:r w:rsidR="007932DC" w:rsidRPr="00E47A79">
        <w:rPr>
          <w:rFonts w:ascii="Garamond" w:hAnsi="Garamond"/>
          <w:sz w:val="24"/>
          <w:szCs w:val="24"/>
        </w:rPr>
        <w:t xml:space="preserve">. If an NHS consultant knows her patient has been accessing a </w:t>
      </w:r>
      <w:r w:rsidR="00B57313" w:rsidRPr="00E47A79">
        <w:rPr>
          <w:rFonts w:ascii="Garamond" w:hAnsi="Garamond"/>
          <w:sz w:val="24"/>
          <w:szCs w:val="24"/>
        </w:rPr>
        <w:t xml:space="preserve">cannabis </w:t>
      </w:r>
      <w:r w:rsidR="007932DC" w:rsidRPr="00E47A79">
        <w:rPr>
          <w:rFonts w:ascii="Garamond" w:hAnsi="Garamond"/>
          <w:sz w:val="24"/>
          <w:szCs w:val="24"/>
        </w:rPr>
        <w:t>product privately, and it has had a marked reduction in symptoms of increased quality of life, there</w:t>
      </w:r>
      <w:r w:rsidR="00346428" w:rsidRPr="00E47A79">
        <w:rPr>
          <w:rFonts w:ascii="Garamond" w:hAnsi="Garamond"/>
          <w:sz w:val="24"/>
          <w:szCs w:val="24"/>
        </w:rPr>
        <w:t xml:space="preserve"> is surely</w:t>
      </w:r>
      <w:r w:rsidR="007932DC" w:rsidRPr="00E47A79">
        <w:rPr>
          <w:rFonts w:ascii="Garamond" w:hAnsi="Garamond"/>
          <w:sz w:val="24"/>
          <w:szCs w:val="24"/>
        </w:rPr>
        <w:t xml:space="preserve"> an argument for saying that the consultant should at least consider pursuing such a prescription on the NHS</w:t>
      </w:r>
      <w:r w:rsidR="006C7AED" w:rsidRPr="00E47A79">
        <w:rPr>
          <w:rFonts w:ascii="Garamond" w:hAnsi="Garamond"/>
          <w:sz w:val="24"/>
          <w:szCs w:val="24"/>
        </w:rPr>
        <w:t>.</w:t>
      </w:r>
      <w:r w:rsidR="007932DC" w:rsidRPr="00E47A79">
        <w:rPr>
          <w:rFonts w:ascii="Garamond" w:hAnsi="Garamond"/>
          <w:sz w:val="24"/>
          <w:szCs w:val="24"/>
          <w:vertAlign w:val="superscript"/>
        </w:rPr>
        <w:footnoteReference w:id="284"/>
      </w:r>
      <w:r w:rsidR="007932DC" w:rsidRPr="00E47A79">
        <w:rPr>
          <w:rFonts w:ascii="Garamond" w:hAnsi="Garamond"/>
          <w:sz w:val="24"/>
          <w:szCs w:val="24"/>
        </w:rPr>
        <w:t xml:space="preserve"> </w:t>
      </w:r>
    </w:p>
    <w:p w14:paraId="1806373D" w14:textId="231B99A1" w:rsidR="00DB7D1B" w:rsidRPr="00E47A79" w:rsidRDefault="00DB7D1B" w:rsidP="008F30D3">
      <w:pPr>
        <w:spacing w:line="360" w:lineRule="auto"/>
        <w:rPr>
          <w:rFonts w:ascii="Garamond" w:hAnsi="Garamond"/>
          <w:sz w:val="24"/>
          <w:szCs w:val="24"/>
        </w:rPr>
      </w:pPr>
      <w:r w:rsidRPr="00E47A79">
        <w:rPr>
          <w:rFonts w:ascii="Garamond" w:hAnsi="Garamond"/>
          <w:sz w:val="24"/>
          <w:szCs w:val="24"/>
        </w:rPr>
        <w:t>Thus far</w:t>
      </w:r>
      <w:r w:rsidR="006B286C" w:rsidRPr="00E47A79">
        <w:rPr>
          <w:rFonts w:ascii="Garamond" w:hAnsi="Garamond"/>
          <w:sz w:val="24"/>
          <w:szCs w:val="24"/>
        </w:rPr>
        <w:t>,</w:t>
      </w:r>
      <w:r w:rsidR="007D4EA2">
        <w:rPr>
          <w:rFonts w:ascii="Garamond" w:hAnsi="Garamond"/>
          <w:sz w:val="24"/>
          <w:szCs w:val="24"/>
        </w:rPr>
        <w:t xml:space="preserve"> however,</w:t>
      </w:r>
      <w:r w:rsidRPr="00E47A79">
        <w:rPr>
          <w:rFonts w:ascii="Garamond" w:hAnsi="Garamond"/>
          <w:sz w:val="24"/>
          <w:szCs w:val="24"/>
        </w:rPr>
        <w:t xml:space="preserve"> there is little sign that a path to NHS funding is opening. Even though a patient’s journey through private healthcare may have demonstrated evidence in their case that a form of medicinal cannabis is tolerably safe and effective, or at least relatively so when compared with other treatments, NHS prescriptions </w:t>
      </w:r>
      <w:r w:rsidR="00B42319" w:rsidRPr="00E47A79">
        <w:rPr>
          <w:rFonts w:ascii="Garamond" w:hAnsi="Garamond"/>
          <w:sz w:val="24"/>
          <w:szCs w:val="24"/>
        </w:rPr>
        <w:t>remain un</w:t>
      </w:r>
      <w:r w:rsidRPr="00E47A79">
        <w:rPr>
          <w:rFonts w:ascii="Garamond" w:hAnsi="Garamond"/>
          <w:sz w:val="24"/>
          <w:szCs w:val="24"/>
        </w:rPr>
        <w:t>available.</w:t>
      </w:r>
      <w:r w:rsidR="006B286C" w:rsidRPr="00E47A79">
        <w:rPr>
          <w:rStyle w:val="FootnoteReference"/>
          <w:rFonts w:ascii="Garamond" w:hAnsi="Garamond"/>
          <w:sz w:val="24"/>
          <w:szCs w:val="24"/>
        </w:rPr>
        <w:footnoteReference w:id="285"/>
      </w:r>
      <w:r w:rsidRPr="00E47A79">
        <w:rPr>
          <w:rFonts w:ascii="Garamond" w:hAnsi="Garamond"/>
          <w:sz w:val="24"/>
          <w:szCs w:val="24"/>
        </w:rPr>
        <w:t xml:space="preserve"> The Advisory Council </w:t>
      </w:r>
      <w:r w:rsidR="006B286C" w:rsidRPr="00E47A79">
        <w:rPr>
          <w:rFonts w:ascii="Garamond" w:hAnsi="Garamond"/>
          <w:sz w:val="24"/>
          <w:szCs w:val="24"/>
        </w:rPr>
        <w:t xml:space="preserve">on the Misuse of Drugs reported in late 2020 it was ‘strongly presumed’ that less than 5 NHS prescriptions </w:t>
      </w:r>
      <w:r w:rsidR="006B286C" w:rsidRPr="00E47A79">
        <w:rPr>
          <w:rFonts w:ascii="Garamond" w:hAnsi="Garamond"/>
          <w:sz w:val="24"/>
          <w:szCs w:val="24"/>
        </w:rPr>
        <w:lastRenderedPageBreak/>
        <w:t>had been issued for unlicensed CBMPs since the 2018 reforms.</w:t>
      </w:r>
      <w:r w:rsidR="006B286C" w:rsidRPr="00E47A79">
        <w:rPr>
          <w:rStyle w:val="FootnoteReference"/>
          <w:rFonts w:ascii="Garamond" w:hAnsi="Garamond"/>
          <w:sz w:val="24"/>
          <w:szCs w:val="24"/>
        </w:rPr>
        <w:footnoteReference w:id="286"/>
      </w:r>
      <w:r w:rsidR="006B286C" w:rsidRPr="00E47A79">
        <w:rPr>
          <w:rFonts w:ascii="Garamond" w:hAnsi="Garamond"/>
          <w:sz w:val="24"/>
          <w:szCs w:val="24"/>
        </w:rPr>
        <w:t xml:space="preserve"> Further research is needed into </w:t>
      </w:r>
      <w:r w:rsidR="002A2F47" w:rsidRPr="00E47A79">
        <w:rPr>
          <w:rFonts w:ascii="Garamond" w:hAnsi="Garamond"/>
          <w:sz w:val="24"/>
          <w:szCs w:val="24"/>
        </w:rPr>
        <w:t xml:space="preserve">how much </w:t>
      </w:r>
      <w:r w:rsidR="006B286C" w:rsidRPr="00E47A79">
        <w:rPr>
          <w:rFonts w:ascii="Garamond" w:hAnsi="Garamond"/>
          <w:sz w:val="24"/>
          <w:szCs w:val="24"/>
        </w:rPr>
        <w:t xml:space="preserve">concerns about opaque medico-legal risks </w:t>
      </w:r>
      <w:r w:rsidR="002A2F47" w:rsidRPr="00E47A79">
        <w:rPr>
          <w:rFonts w:ascii="Garamond" w:hAnsi="Garamond"/>
          <w:sz w:val="24"/>
          <w:szCs w:val="24"/>
        </w:rPr>
        <w:t xml:space="preserve">contribute to </w:t>
      </w:r>
      <w:r w:rsidR="006B286C" w:rsidRPr="00E47A79">
        <w:rPr>
          <w:rFonts w:ascii="Garamond" w:hAnsi="Garamond"/>
          <w:sz w:val="24"/>
          <w:szCs w:val="24"/>
        </w:rPr>
        <w:t>this picture.</w:t>
      </w:r>
    </w:p>
    <w:p w14:paraId="39CE763A" w14:textId="77777777" w:rsidR="0091505A" w:rsidRPr="00E47A79" w:rsidRDefault="0091505A" w:rsidP="00A601B9">
      <w:pPr>
        <w:spacing w:line="360" w:lineRule="auto"/>
        <w:rPr>
          <w:rFonts w:ascii="Garamond" w:hAnsi="Garamond"/>
          <w:sz w:val="24"/>
          <w:szCs w:val="24"/>
        </w:rPr>
      </w:pPr>
    </w:p>
    <w:p w14:paraId="37066A55" w14:textId="72824718" w:rsidR="005D0363" w:rsidRPr="00E47A79" w:rsidRDefault="00A601B9" w:rsidP="00A601B9">
      <w:pPr>
        <w:spacing w:line="360" w:lineRule="auto"/>
        <w:jc w:val="center"/>
        <w:rPr>
          <w:rFonts w:ascii="Garamond" w:hAnsi="Garamond"/>
          <w:b/>
          <w:bCs/>
          <w:sz w:val="24"/>
          <w:szCs w:val="24"/>
        </w:rPr>
      </w:pPr>
      <w:r w:rsidRPr="00E47A79">
        <w:rPr>
          <w:rFonts w:ascii="Garamond" w:hAnsi="Garamond"/>
          <w:b/>
          <w:bCs/>
          <w:sz w:val="24"/>
          <w:szCs w:val="24"/>
        </w:rPr>
        <w:t>CONCLUSION</w:t>
      </w:r>
    </w:p>
    <w:p w14:paraId="02F82750" w14:textId="34F668BE" w:rsidR="006B0F92" w:rsidRPr="00E47A79" w:rsidRDefault="003E503C" w:rsidP="003E503C">
      <w:pPr>
        <w:spacing w:line="360" w:lineRule="auto"/>
        <w:rPr>
          <w:rFonts w:ascii="Garamond" w:hAnsi="Garamond"/>
          <w:sz w:val="24"/>
          <w:szCs w:val="24"/>
        </w:rPr>
      </w:pPr>
      <w:bookmarkStart w:id="15" w:name="_Hlk43886250"/>
      <w:r w:rsidRPr="00E47A79">
        <w:rPr>
          <w:rFonts w:ascii="Garamond" w:hAnsi="Garamond"/>
          <w:sz w:val="24"/>
          <w:szCs w:val="24"/>
        </w:rPr>
        <w:t>In 1998 a Select Committee advised that i</w:t>
      </w:r>
      <w:r w:rsidR="005148EA" w:rsidRPr="00E47A79">
        <w:rPr>
          <w:rFonts w:ascii="Garamond" w:hAnsi="Garamond"/>
          <w:sz w:val="24"/>
          <w:szCs w:val="24"/>
        </w:rPr>
        <w:t>f</w:t>
      </w:r>
      <w:r w:rsidRPr="00E47A79">
        <w:rPr>
          <w:rFonts w:ascii="Garamond" w:hAnsi="Garamond"/>
          <w:sz w:val="24"/>
          <w:szCs w:val="24"/>
        </w:rPr>
        <w:t xml:space="preserve"> prescription of unlicensed medicinal cannabis was</w:t>
      </w:r>
      <w:r w:rsidR="00B54510" w:rsidRPr="00E47A79">
        <w:rPr>
          <w:rFonts w:ascii="Garamond" w:hAnsi="Garamond"/>
          <w:sz w:val="24"/>
          <w:szCs w:val="24"/>
        </w:rPr>
        <w:t xml:space="preserve"> to be</w:t>
      </w:r>
      <w:r w:rsidRPr="00E47A79">
        <w:rPr>
          <w:rFonts w:ascii="Garamond" w:hAnsi="Garamond"/>
          <w:sz w:val="24"/>
          <w:szCs w:val="24"/>
        </w:rPr>
        <w:t xml:space="preserve"> legalised, ‘professional bodies should provide firm guidance on how to do so responsibly.’</w:t>
      </w:r>
      <w:r w:rsidRPr="00E47A79">
        <w:rPr>
          <w:rFonts w:ascii="Garamond" w:hAnsi="Garamond"/>
          <w:sz w:val="24"/>
          <w:szCs w:val="24"/>
          <w:vertAlign w:val="superscript"/>
        </w:rPr>
        <w:footnoteReference w:id="287"/>
      </w:r>
      <w:r w:rsidRPr="00E47A79">
        <w:rPr>
          <w:rFonts w:ascii="Garamond" w:hAnsi="Garamond"/>
          <w:sz w:val="24"/>
          <w:szCs w:val="24"/>
        </w:rPr>
        <w:t xml:space="preserve"> The reforms which </w:t>
      </w:r>
      <w:r w:rsidR="00CB0A43" w:rsidRPr="00E47A79">
        <w:rPr>
          <w:rFonts w:ascii="Garamond" w:hAnsi="Garamond"/>
          <w:sz w:val="24"/>
          <w:szCs w:val="24"/>
        </w:rPr>
        <w:t>occurred</w:t>
      </w:r>
      <w:r w:rsidRPr="00E47A79">
        <w:rPr>
          <w:rFonts w:ascii="Garamond" w:hAnsi="Garamond"/>
          <w:sz w:val="24"/>
          <w:szCs w:val="24"/>
        </w:rPr>
        <w:t xml:space="preserve"> twenty years later, have been accompanied by a proliferation of guidance in which the emphasis is on </w:t>
      </w:r>
      <w:r w:rsidRPr="00E47A79">
        <w:rPr>
          <w:rFonts w:ascii="Garamond" w:hAnsi="Garamond"/>
          <w:i/>
          <w:iCs/>
          <w:sz w:val="24"/>
          <w:szCs w:val="24"/>
        </w:rPr>
        <w:t>avoiding</w:t>
      </w:r>
      <w:r w:rsidRPr="00E47A79">
        <w:rPr>
          <w:rFonts w:ascii="Garamond" w:hAnsi="Garamond"/>
          <w:sz w:val="24"/>
          <w:szCs w:val="24"/>
        </w:rPr>
        <w:t xml:space="preserve"> prescribing, </w:t>
      </w:r>
      <w:r w:rsidR="00B54510" w:rsidRPr="00E47A79">
        <w:rPr>
          <w:rFonts w:ascii="Garamond" w:hAnsi="Garamond"/>
          <w:sz w:val="24"/>
          <w:szCs w:val="24"/>
        </w:rPr>
        <w:t xml:space="preserve">rather than prescribing </w:t>
      </w:r>
      <w:r w:rsidRPr="00E47A79">
        <w:rPr>
          <w:rFonts w:ascii="Garamond" w:hAnsi="Garamond"/>
          <w:sz w:val="24"/>
          <w:szCs w:val="24"/>
        </w:rPr>
        <w:t>responsibly</w:t>
      </w:r>
      <w:r w:rsidR="00EE5689" w:rsidRPr="00E47A79">
        <w:rPr>
          <w:rFonts w:ascii="Garamond" w:hAnsi="Garamond"/>
          <w:sz w:val="24"/>
          <w:szCs w:val="24"/>
        </w:rPr>
        <w:t xml:space="preserve"> and which emphasise</w:t>
      </w:r>
      <w:r w:rsidR="008E7879" w:rsidRPr="00E47A79">
        <w:rPr>
          <w:rFonts w:ascii="Garamond" w:hAnsi="Garamond"/>
          <w:sz w:val="24"/>
          <w:szCs w:val="24"/>
        </w:rPr>
        <w:t>s</w:t>
      </w:r>
      <w:r w:rsidR="00EE5689" w:rsidRPr="00E47A79">
        <w:rPr>
          <w:rFonts w:ascii="Garamond" w:hAnsi="Garamond"/>
          <w:sz w:val="24"/>
          <w:szCs w:val="24"/>
        </w:rPr>
        <w:t xml:space="preserve"> risk </w:t>
      </w:r>
      <w:r w:rsidR="008E7879" w:rsidRPr="00E47A79">
        <w:rPr>
          <w:rFonts w:ascii="Garamond" w:hAnsi="Garamond"/>
          <w:sz w:val="24"/>
          <w:szCs w:val="24"/>
        </w:rPr>
        <w:t>but says little about patient</w:t>
      </w:r>
      <w:r w:rsidR="00EE5689" w:rsidRPr="00E47A79">
        <w:rPr>
          <w:rFonts w:ascii="Garamond" w:hAnsi="Garamond"/>
          <w:sz w:val="24"/>
          <w:szCs w:val="24"/>
        </w:rPr>
        <w:t xml:space="preserve"> access</w:t>
      </w:r>
      <w:r w:rsidRPr="00E47A79">
        <w:rPr>
          <w:rFonts w:ascii="Garamond" w:hAnsi="Garamond"/>
          <w:sz w:val="24"/>
          <w:szCs w:val="24"/>
        </w:rPr>
        <w:t xml:space="preserve">. The reforms themselves </w:t>
      </w:r>
      <w:r w:rsidR="006B0F92" w:rsidRPr="00E47A79">
        <w:rPr>
          <w:rFonts w:ascii="Garamond" w:hAnsi="Garamond"/>
          <w:sz w:val="24"/>
          <w:szCs w:val="24"/>
        </w:rPr>
        <w:t>challenged</w:t>
      </w:r>
      <w:r w:rsidR="00EE5689" w:rsidRPr="00E47A79">
        <w:rPr>
          <w:rFonts w:ascii="Garamond" w:hAnsi="Garamond"/>
          <w:sz w:val="24"/>
          <w:szCs w:val="24"/>
        </w:rPr>
        <w:t xml:space="preserve"> fundamental</w:t>
      </w:r>
      <w:r w:rsidR="006B0F92" w:rsidRPr="00E47A79">
        <w:rPr>
          <w:rFonts w:ascii="Garamond" w:hAnsi="Garamond"/>
          <w:sz w:val="24"/>
          <w:szCs w:val="24"/>
        </w:rPr>
        <w:t xml:space="preserve"> norms of </w:t>
      </w:r>
      <w:r w:rsidR="00EE5689" w:rsidRPr="00E47A79">
        <w:rPr>
          <w:rFonts w:ascii="Garamond" w:hAnsi="Garamond"/>
          <w:sz w:val="24"/>
          <w:szCs w:val="24"/>
        </w:rPr>
        <w:t xml:space="preserve">established </w:t>
      </w:r>
      <w:r w:rsidR="006B0F92" w:rsidRPr="00E47A79">
        <w:rPr>
          <w:rFonts w:ascii="Garamond" w:hAnsi="Garamond"/>
          <w:sz w:val="24"/>
          <w:szCs w:val="24"/>
        </w:rPr>
        <w:t>medical practice</w:t>
      </w:r>
      <w:r w:rsidR="00CB0A43" w:rsidRPr="00E47A79">
        <w:rPr>
          <w:rFonts w:ascii="Garamond" w:hAnsi="Garamond"/>
          <w:sz w:val="24"/>
          <w:szCs w:val="24"/>
        </w:rPr>
        <w:t>;</w:t>
      </w:r>
      <w:r w:rsidR="006B0F92" w:rsidRPr="00E47A79">
        <w:rPr>
          <w:rFonts w:ascii="Garamond" w:hAnsi="Garamond"/>
          <w:sz w:val="24"/>
          <w:szCs w:val="24"/>
        </w:rPr>
        <w:t xml:space="preserve"> they came at a time of educational and training </w:t>
      </w:r>
      <w:proofErr w:type="gramStart"/>
      <w:r w:rsidR="006B0F92" w:rsidRPr="00E47A79">
        <w:rPr>
          <w:rFonts w:ascii="Garamond" w:hAnsi="Garamond"/>
          <w:sz w:val="24"/>
          <w:szCs w:val="24"/>
        </w:rPr>
        <w:t>deficit,</w:t>
      </w:r>
      <w:proofErr w:type="gramEnd"/>
      <w:r w:rsidR="006B0F92" w:rsidRPr="00E47A79">
        <w:rPr>
          <w:rFonts w:ascii="Garamond" w:hAnsi="Garamond"/>
          <w:sz w:val="24"/>
          <w:szCs w:val="24"/>
        </w:rPr>
        <w:t xml:space="preserve"> the evidence base for these medicines did not conform to </w:t>
      </w:r>
      <w:r w:rsidR="007777BD" w:rsidRPr="00E47A79">
        <w:rPr>
          <w:rFonts w:ascii="Garamond" w:hAnsi="Garamond"/>
          <w:sz w:val="24"/>
          <w:szCs w:val="24"/>
        </w:rPr>
        <w:t>‘</w:t>
      </w:r>
      <w:r w:rsidR="006B0F92" w:rsidRPr="00E47A79">
        <w:rPr>
          <w:rFonts w:ascii="Garamond" w:hAnsi="Garamond"/>
          <w:sz w:val="24"/>
          <w:szCs w:val="24"/>
        </w:rPr>
        <w:t>gold standard</w:t>
      </w:r>
      <w:r w:rsidR="007777BD" w:rsidRPr="00E47A79">
        <w:rPr>
          <w:rFonts w:ascii="Garamond" w:hAnsi="Garamond"/>
          <w:sz w:val="24"/>
          <w:szCs w:val="24"/>
        </w:rPr>
        <w:t>’</w:t>
      </w:r>
      <w:r w:rsidR="006B0F92" w:rsidRPr="00E47A79">
        <w:rPr>
          <w:rFonts w:ascii="Garamond" w:hAnsi="Garamond"/>
          <w:sz w:val="24"/>
          <w:szCs w:val="24"/>
        </w:rPr>
        <w:t xml:space="preserve"> RCTs and the </w:t>
      </w:r>
      <w:r w:rsidR="00CA3CF6">
        <w:rPr>
          <w:rFonts w:ascii="Garamond" w:hAnsi="Garamond"/>
          <w:sz w:val="24"/>
          <w:szCs w:val="24"/>
        </w:rPr>
        <w:t xml:space="preserve">characteristics of the first medicinal cannabis patients </w:t>
      </w:r>
      <w:r w:rsidR="006B0F92" w:rsidRPr="00E47A79">
        <w:rPr>
          <w:rFonts w:ascii="Garamond" w:hAnsi="Garamond"/>
          <w:sz w:val="24"/>
          <w:szCs w:val="24"/>
        </w:rPr>
        <w:t xml:space="preserve">were likely to disrupt some of the usual structural inequality in doctor: patient relationships. The reforms were also characterised </w:t>
      </w:r>
      <w:r w:rsidR="007777BD" w:rsidRPr="00E47A79">
        <w:rPr>
          <w:rFonts w:ascii="Garamond" w:hAnsi="Garamond"/>
          <w:sz w:val="24"/>
          <w:szCs w:val="24"/>
        </w:rPr>
        <w:t xml:space="preserve">by </w:t>
      </w:r>
      <w:r w:rsidR="006B0F92" w:rsidRPr="00E47A79">
        <w:rPr>
          <w:rFonts w:ascii="Garamond" w:hAnsi="Garamond"/>
          <w:sz w:val="24"/>
          <w:szCs w:val="24"/>
        </w:rPr>
        <w:t xml:space="preserve">a delegation of the detail to professional bodies and regulators. This article has presented a boundary work analysis of the guidance generated by these reforms, </w:t>
      </w:r>
      <w:r w:rsidR="008E7879" w:rsidRPr="00E47A79">
        <w:rPr>
          <w:rFonts w:ascii="Garamond" w:hAnsi="Garamond"/>
          <w:sz w:val="24"/>
          <w:szCs w:val="24"/>
        </w:rPr>
        <w:t xml:space="preserve">highlighting </w:t>
      </w:r>
      <w:r w:rsidR="006B0F92" w:rsidRPr="00E47A79">
        <w:rPr>
          <w:rFonts w:ascii="Garamond" w:hAnsi="Garamond"/>
          <w:sz w:val="24"/>
          <w:szCs w:val="24"/>
        </w:rPr>
        <w:t xml:space="preserve">a repertoire of rhetorical devices which </w:t>
      </w:r>
      <w:r w:rsidR="00941C11" w:rsidRPr="00E47A79">
        <w:rPr>
          <w:rFonts w:ascii="Garamond" w:hAnsi="Garamond"/>
          <w:sz w:val="24"/>
          <w:szCs w:val="24"/>
        </w:rPr>
        <w:t xml:space="preserve">if taken </w:t>
      </w:r>
      <w:r w:rsidR="006B0F92" w:rsidRPr="00E47A79">
        <w:rPr>
          <w:rFonts w:ascii="Garamond" w:hAnsi="Garamond"/>
          <w:sz w:val="24"/>
          <w:szCs w:val="24"/>
        </w:rPr>
        <w:t xml:space="preserve">together </w:t>
      </w:r>
      <w:r w:rsidR="00941C11" w:rsidRPr="00E47A79">
        <w:rPr>
          <w:rFonts w:ascii="Garamond" w:hAnsi="Garamond"/>
          <w:sz w:val="24"/>
          <w:szCs w:val="24"/>
        </w:rPr>
        <w:t xml:space="preserve">appear to </w:t>
      </w:r>
      <w:r w:rsidR="006B0F92" w:rsidRPr="00E47A79">
        <w:rPr>
          <w:rFonts w:ascii="Garamond" w:hAnsi="Garamond"/>
          <w:sz w:val="24"/>
          <w:szCs w:val="24"/>
        </w:rPr>
        <w:t>underscore messaging of heightened medico-legal risk</w:t>
      </w:r>
      <w:r w:rsidR="00EE5689" w:rsidRPr="00E47A79">
        <w:rPr>
          <w:rFonts w:ascii="Garamond" w:hAnsi="Garamond"/>
          <w:sz w:val="24"/>
          <w:szCs w:val="24"/>
        </w:rPr>
        <w:t>.</w:t>
      </w:r>
      <w:r w:rsidR="006B0F92" w:rsidRPr="00E47A79">
        <w:rPr>
          <w:rFonts w:ascii="Garamond" w:hAnsi="Garamond"/>
          <w:sz w:val="24"/>
          <w:szCs w:val="24"/>
        </w:rPr>
        <w:t xml:space="preserve"> </w:t>
      </w:r>
      <w:r w:rsidR="00941C11" w:rsidRPr="00E47A79">
        <w:rPr>
          <w:rFonts w:ascii="Garamond" w:hAnsi="Garamond"/>
          <w:sz w:val="24"/>
          <w:szCs w:val="24"/>
        </w:rPr>
        <w:t xml:space="preserve">The prominence of the </w:t>
      </w:r>
      <w:r w:rsidR="006B0F92" w:rsidRPr="00E47A79">
        <w:rPr>
          <w:rFonts w:ascii="Garamond" w:hAnsi="Garamond"/>
          <w:sz w:val="24"/>
          <w:szCs w:val="24"/>
        </w:rPr>
        <w:t>‘</w:t>
      </w:r>
      <w:r w:rsidR="00941C11" w:rsidRPr="00E47A79">
        <w:rPr>
          <w:rFonts w:ascii="Garamond" w:hAnsi="Garamond"/>
          <w:sz w:val="24"/>
          <w:szCs w:val="24"/>
        </w:rPr>
        <w:t>l</w:t>
      </w:r>
      <w:r w:rsidR="006B0F92" w:rsidRPr="00E47A79">
        <w:rPr>
          <w:rFonts w:ascii="Garamond" w:hAnsi="Garamond"/>
          <w:sz w:val="24"/>
          <w:szCs w:val="24"/>
        </w:rPr>
        <w:t xml:space="preserve">ast resort’ </w:t>
      </w:r>
      <w:r w:rsidR="00941C11" w:rsidRPr="00E47A79">
        <w:rPr>
          <w:rFonts w:ascii="Garamond" w:hAnsi="Garamond"/>
          <w:sz w:val="24"/>
          <w:szCs w:val="24"/>
        </w:rPr>
        <w:t>position, particularly</w:t>
      </w:r>
      <w:r w:rsidR="006B0F92" w:rsidRPr="00E47A79">
        <w:rPr>
          <w:rFonts w:ascii="Garamond" w:hAnsi="Garamond"/>
          <w:sz w:val="24"/>
          <w:szCs w:val="24"/>
        </w:rPr>
        <w:t xml:space="preserve"> as endorsed by NHS England, </w:t>
      </w:r>
      <w:r w:rsidR="003B0C39" w:rsidRPr="00E47A79">
        <w:rPr>
          <w:rFonts w:ascii="Garamond" w:hAnsi="Garamond"/>
          <w:sz w:val="24"/>
          <w:szCs w:val="24"/>
        </w:rPr>
        <w:t>creates</w:t>
      </w:r>
      <w:r w:rsidR="006B0F92" w:rsidRPr="00E47A79">
        <w:rPr>
          <w:rFonts w:ascii="Garamond" w:hAnsi="Garamond"/>
          <w:sz w:val="24"/>
          <w:szCs w:val="24"/>
        </w:rPr>
        <w:t xml:space="preserve"> a formidable barrier to access, requiring other options to have been exhausted and privileging licenced products regardless of their benefit:</w:t>
      </w:r>
      <w:r w:rsidR="00B54510" w:rsidRPr="00E47A79">
        <w:rPr>
          <w:rFonts w:ascii="Garamond" w:hAnsi="Garamond"/>
          <w:sz w:val="24"/>
          <w:szCs w:val="24"/>
        </w:rPr>
        <w:t xml:space="preserve"> </w:t>
      </w:r>
      <w:r w:rsidR="006B0F92" w:rsidRPr="00E47A79">
        <w:rPr>
          <w:rFonts w:ascii="Garamond" w:hAnsi="Garamond"/>
          <w:sz w:val="24"/>
          <w:szCs w:val="24"/>
        </w:rPr>
        <w:t>harm ratios.  This messaging is accompanied by opaque hints of enhanced and unidentified liabilities which ‘remain with the prescriber’, despite a lack of evidence that the threat of personal responsibility for prescribing unlicensed medicines is a reality. Finally, interim guidance flags concerns about the absence of published double-blind RCT evidence on the safety and efficacy of these medicines and the effects of their long-term use. Yet</w:t>
      </w:r>
      <w:r w:rsidR="007777BD" w:rsidRPr="00E47A79">
        <w:rPr>
          <w:rFonts w:ascii="Garamond" w:hAnsi="Garamond"/>
          <w:sz w:val="24"/>
          <w:szCs w:val="24"/>
        </w:rPr>
        <w:t>,</w:t>
      </w:r>
      <w:r w:rsidR="006B0F92" w:rsidRPr="00E47A79">
        <w:rPr>
          <w:rFonts w:ascii="Garamond" w:hAnsi="Garamond"/>
          <w:sz w:val="24"/>
          <w:szCs w:val="24"/>
        </w:rPr>
        <w:t xml:space="preserve"> the evidence generated by RCTs is often a poor reflection of their performance when prescribed in real world settings and is inevitably weak on the evidence of long-term effects. On all three fronts this author has noted variance between the GMC’s default guidance </w:t>
      </w:r>
      <w:r w:rsidR="00FF5743" w:rsidRPr="00E47A79">
        <w:rPr>
          <w:rFonts w:ascii="Garamond" w:hAnsi="Garamond"/>
          <w:sz w:val="24"/>
          <w:szCs w:val="24"/>
        </w:rPr>
        <w:t xml:space="preserve">on prescribing unlicensed products </w:t>
      </w:r>
      <w:r w:rsidR="006B0F92" w:rsidRPr="00E47A79">
        <w:rPr>
          <w:rFonts w:ascii="Garamond" w:hAnsi="Garamond"/>
          <w:sz w:val="24"/>
          <w:szCs w:val="24"/>
        </w:rPr>
        <w:t xml:space="preserve">and the interim guidance on medicinal cannabis prescribing, creating further layers of uncertainty. Medico-legal uncertainty is a powerful device for constraining </w:t>
      </w:r>
      <w:proofErr w:type="gramStart"/>
      <w:r w:rsidR="00FF5743" w:rsidRPr="00E47A79">
        <w:rPr>
          <w:rFonts w:ascii="Garamond" w:hAnsi="Garamond"/>
          <w:sz w:val="24"/>
          <w:szCs w:val="24"/>
        </w:rPr>
        <w:t>practice,</w:t>
      </w:r>
      <w:r w:rsidR="006B0F92" w:rsidRPr="00E47A79">
        <w:rPr>
          <w:rFonts w:ascii="Garamond" w:hAnsi="Garamond"/>
          <w:sz w:val="24"/>
          <w:szCs w:val="24"/>
        </w:rPr>
        <w:t xml:space="preserve"> and</w:t>
      </w:r>
      <w:proofErr w:type="gramEnd"/>
      <w:r w:rsidR="006B0F92" w:rsidRPr="00E47A79">
        <w:rPr>
          <w:rFonts w:ascii="Garamond" w:hAnsi="Garamond"/>
          <w:sz w:val="24"/>
          <w:szCs w:val="24"/>
        </w:rPr>
        <w:t xml:space="preserve"> </w:t>
      </w:r>
      <w:r w:rsidR="006B0F92" w:rsidRPr="00E47A79">
        <w:rPr>
          <w:rFonts w:ascii="Garamond" w:hAnsi="Garamond"/>
          <w:sz w:val="24"/>
          <w:szCs w:val="24"/>
        </w:rPr>
        <w:lastRenderedPageBreak/>
        <w:t>serve</w:t>
      </w:r>
      <w:r w:rsidR="00FF5743" w:rsidRPr="00E47A79">
        <w:rPr>
          <w:rFonts w:ascii="Garamond" w:hAnsi="Garamond"/>
          <w:sz w:val="24"/>
          <w:szCs w:val="24"/>
        </w:rPr>
        <w:t>s</w:t>
      </w:r>
      <w:r w:rsidR="006B0F92" w:rsidRPr="00E47A79">
        <w:rPr>
          <w:rFonts w:ascii="Garamond" w:hAnsi="Garamond"/>
          <w:sz w:val="24"/>
          <w:szCs w:val="24"/>
        </w:rPr>
        <w:t xml:space="preserve"> in this instance to </w:t>
      </w:r>
      <w:r w:rsidR="00091621" w:rsidRPr="00E47A79">
        <w:rPr>
          <w:rFonts w:ascii="Garamond" w:hAnsi="Garamond"/>
          <w:sz w:val="24"/>
          <w:szCs w:val="24"/>
        </w:rPr>
        <w:t>exacerbate uncertainty as to whether and when prescribing might be consistent with a prescriber’s standard of care whilst also furthering a covert rationing agenda</w:t>
      </w:r>
      <w:r w:rsidR="006B0F92" w:rsidRPr="00E47A79">
        <w:rPr>
          <w:rFonts w:ascii="Garamond" w:hAnsi="Garamond"/>
          <w:sz w:val="24"/>
          <w:szCs w:val="24"/>
        </w:rPr>
        <w:t>.</w:t>
      </w:r>
    </w:p>
    <w:p w14:paraId="3C7A8A23" w14:textId="161A0E28" w:rsidR="002D2CDC" w:rsidRPr="0063560E" w:rsidRDefault="004D2A1F" w:rsidP="00A601B9">
      <w:pPr>
        <w:spacing w:line="360" w:lineRule="auto"/>
        <w:rPr>
          <w:rFonts w:ascii="Garamond" w:hAnsi="Garamond"/>
          <w:sz w:val="24"/>
          <w:szCs w:val="24"/>
        </w:rPr>
      </w:pPr>
      <w:r w:rsidRPr="00E47A79">
        <w:rPr>
          <w:rFonts w:ascii="Garamond" w:hAnsi="Garamond"/>
          <w:sz w:val="24"/>
          <w:szCs w:val="24"/>
        </w:rPr>
        <w:t>The second part of this paper examine</w:t>
      </w:r>
      <w:r w:rsidR="00C41448" w:rsidRPr="00E47A79">
        <w:rPr>
          <w:rFonts w:ascii="Garamond" w:hAnsi="Garamond"/>
          <w:sz w:val="24"/>
          <w:szCs w:val="24"/>
        </w:rPr>
        <w:t>d</w:t>
      </w:r>
      <w:r w:rsidRPr="00E47A79">
        <w:rPr>
          <w:rFonts w:ascii="Garamond" w:hAnsi="Garamond"/>
          <w:sz w:val="24"/>
          <w:szCs w:val="24"/>
        </w:rPr>
        <w:t xml:space="preserve"> how the standard of care might respond to prescribing of these newly available medicines</w:t>
      </w:r>
      <w:r w:rsidR="008E7879" w:rsidRPr="00E47A79">
        <w:rPr>
          <w:rFonts w:ascii="Garamond" w:hAnsi="Garamond"/>
          <w:sz w:val="24"/>
          <w:szCs w:val="24"/>
        </w:rPr>
        <w:t>, identifying significant room for innovative prescribing practices in contrast to the very restricted space for prescribing suggested by the interim guidance</w:t>
      </w:r>
      <w:r w:rsidRPr="00E47A79">
        <w:rPr>
          <w:rFonts w:ascii="Garamond" w:hAnsi="Garamond"/>
          <w:sz w:val="24"/>
          <w:szCs w:val="24"/>
        </w:rPr>
        <w:t>. Identifying an ‘appropriate’ body of medical opinion may present problems if prescribing remains niche and confined to a small community of clinics, but if problematic, expertise could reliably be sourced from overseas. Case law tell</w:t>
      </w:r>
      <w:r w:rsidR="004F35FD" w:rsidRPr="00E47A79">
        <w:rPr>
          <w:rFonts w:ascii="Garamond" w:hAnsi="Garamond"/>
          <w:sz w:val="24"/>
          <w:szCs w:val="24"/>
        </w:rPr>
        <w:t xml:space="preserve">s </w:t>
      </w:r>
      <w:r w:rsidRPr="00E47A79">
        <w:rPr>
          <w:rFonts w:ascii="Garamond" w:hAnsi="Garamond"/>
          <w:sz w:val="24"/>
          <w:szCs w:val="24"/>
        </w:rPr>
        <w:t xml:space="preserve">us that </w:t>
      </w:r>
      <w:r w:rsidR="004F35FD" w:rsidRPr="00E47A79">
        <w:rPr>
          <w:rFonts w:ascii="Garamond" w:hAnsi="Garamond"/>
          <w:sz w:val="24"/>
          <w:szCs w:val="24"/>
        </w:rPr>
        <w:t xml:space="preserve">the </w:t>
      </w:r>
      <w:r w:rsidRPr="00E47A79">
        <w:rPr>
          <w:rFonts w:ascii="Garamond" w:hAnsi="Garamond"/>
          <w:sz w:val="24"/>
          <w:szCs w:val="24"/>
        </w:rPr>
        <w:t>‘unlicensed’ status of a drug is one factor amongst many to consider when assessing the logicality of prescribing it</w:t>
      </w:r>
      <w:r w:rsidR="007777BD" w:rsidRPr="00E47A79">
        <w:rPr>
          <w:rFonts w:ascii="Garamond" w:hAnsi="Garamond"/>
          <w:sz w:val="24"/>
          <w:szCs w:val="24"/>
        </w:rPr>
        <w:t>, and t</w:t>
      </w:r>
      <w:r w:rsidRPr="00E47A79">
        <w:rPr>
          <w:rFonts w:ascii="Garamond" w:hAnsi="Garamond"/>
          <w:sz w:val="24"/>
          <w:szCs w:val="24"/>
        </w:rPr>
        <w:t xml:space="preserve">he standard of care is a long way from insisting on RCT evidence to justify a prescribing decision. Other factors against which </w:t>
      </w:r>
      <w:r w:rsidR="00C41448" w:rsidRPr="00E47A79">
        <w:rPr>
          <w:rFonts w:ascii="Garamond" w:hAnsi="Garamond"/>
          <w:sz w:val="24"/>
          <w:szCs w:val="24"/>
        </w:rPr>
        <w:t>‘</w:t>
      </w:r>
      <w:r w:rsidRPr="00E47A79">
        <w:rPr>
          <w:rFonts w:ascii="Garamond" w:hAnsi="Garamond"/>
          <w:sz w:val="24"/>
          <w:szCs w:val="24"/>
        </w:rPr>
        <w:t>logicality</w:t>
      </w:r>
      <w:r w:rsidR="00C41448" w:rsidRPr="00E47A79">
        <w:rPr>
          <w:rFonts w:ascii="Garamond" w:hAnsi="Garamond"/>
          <w:sz w:val="24"/>
          <w:szCs w:val="24"/>
        </w:rPr>
        <w:t>’</w:t>
      </w:r>
      <w:r w:rsidRPr="00E47A79">
        <w:rPr>
          <w:rFonts w:ascii="Garamond" w:hAnsi="Garamond"/>
          <w:sz w:val="24"/>
          <w:szCs w:val="24"/>
        </w:rPr>
        <w:t xml:space="preserve"> is judged include the professional guidance</w:t>
      </w:r>
      <w:r w:rsidR="007777BD" w:rsidRPr="00E47A79">
        <w:rPr>
          <w:rFonts w:ascii="Garamond" w:hAnsi="Garamond"/>
          <w:sz w:val="24"/>
          <w:szCs w:val="24"/>
        </w:rPr>
        <w:t xml:space="preserve"> itself</w:t>
      </w:r>
      <w:r w:rsidRPr="00E47A79">
        <w:rPr>
          <w:rFonts w:ascii="Garamond" w:hAnsi="Garamond"/>
          <w:sz w:val="24"/>
          <w:szCs w:val="24"/>
        </w:rPr>
        <w:t xml:space="preserve">, but despite the tone of extreme caution noted in this guidance, this still leaves </w:t>
      </w:r>
      <w:r w:rsidR="00C41448" w:rsidRPr="00E47A79">
        <w:rPr>
          <w:rFonts w:ascii="Garamond" w:hAnsi="Garamond"/>
          <w:sz w:val="24"/>
          <w:szCs w:val="24"/>
        </w:rPr>
        <w:t xml:space="preserve">significant </w:t>
      </w:r>
      <w:r w:rsidRPr="00E47A79">
        <w:rPr>
          <w:rFonts w:ascii="Garamond" w:hAnsi="Garamond"/>
          <w:sz w:val="24"/>
          <w:szCs w:val="24"/>
        </w:rPr>
        <w:t xml:space="preserve">room for prescribing </w:t>
      </w:r>
      <w:r w:rsidR="00C41448" w:rsidRPr="00E47A79">
        <w:rPr>
          <w:rFonts w:ascii="Garamond" w:hAnsi="Garamond"/>
          <w:sz w:val="24"/>
          <w:szCs w:val="24"/>
        </w:rPr>
        <w:t xml:space="preserve">consistently with </w:t>
      </w:r>
      <w:r w:rsidRPr="00E47A79">
        <w:rPr>
          <w:rFonts w:ascii="Garamond" w:hAnsi="Garamond"/>
          <w:sz w:val="24"/>
          <w:szCs w:val="24"/>
        </w:rPr>
        <w:t xml:space="preserve">the </w:t>
      </w:r>
      <w:r w:rsidR="00C41448" w:rsidRPr="00E47A79">
        <w:rPr>
          <w:rFonts w:ascii="Garamond" w:hAnsi="Garamond"/>
          <w:sz w:val="24"/>
          <w:szCs w:val="24"/>
        </w:rPr>
        <w:t xml:space="preserve">law’s </w:t>
      </w:r>
      <w:r w:rsidRPr="00E47A79">
        <w:rPr>
          <w:rFonts w:ascii="Garamond" w:hAnsi="Garamond"/>
          <w:sz w:val="24"/>
          <w:szCs w:val="24"/>
        </w:rPr>
        <w:t xml:space="preserve">standard of care. First, GMC guidance is markedly liberal in its stance on prescribing unlicensed </w:t>
      </w:r>
      <w:proofErr w:type="gramStart"/>
      <w:r w:rsidRPr="00E47A79">
        <w:rPr>
          <w:rFonts w:ascii="Garamond" w:hAnsi="Garamond"/>
          <w:sz w:val="24"/>
          <w:szCs w:val="24"/>
        </w:rPr>
        <w:t>medicines</w:t>
      </w:r>
      <w:proofErr w:type="gramEnd"/>
      <w:r w:rsidRPr="00E47A79">
        <w:rPr>
          <w:rFonts w:ascii="Garamond" w:hAnsi="Garamond"/>
          <w:sz w:val="24"/>
          <w:szCs w:val="24"/>
        </w:rPr>
        <w:t xml:space="preserve"> and it is GMC guidance which has traditionally been favoured by the courts because of its position as part of the regulatory framework. Secondly, standard of care jurisprudence leaves room for departure from applicable guidanc</w:t>
      </w:r>
      <w:r w:rsidR="00822783" w:rsidRPr="00E47A79">
        <w:rPr>
          <w:rFonts w:ascii="Garamond" w:hAnsi="Garamond"/>
          <w:sz w:val="24"/>
          <w:szCs w:val="24"/>
        </w:rPr>
        <w:t xml:space="preserve">e. </w:t>
      </w:r>
      <w:r w:rsidR="00FA78CE" w:rsidRPr="00E47A79">
        <w:rPr>
          <w:rFonts w:ascii="Garamond" w:hAnsi="Garamond"/>
          <w:sz w:val="24"/>
          <w:szCs w:val="24"/>
        </w:rPr>
        <w:t>Whilst departing from guidance is not to be equated with negligence, clinicians prescribing in situations not envisaged in the guidance should nevertheless be advised to document their rationale for prescribing in detail,</w:t>
      </w:r>
      <w:r w:rsidR="00FA78CE" w:rsidRPr="00E47A79">
        <w:rPr>
          <w:rFonts w:ascii="Garamond" w:hAnsi="Garamond"/>
          <w:sz w:val="24"/>
          <w:szCs w:val="24"/>
          <w:vertAlign w:val="superscript"/>
        </w:rPr>
        <w:t xml:space="preserve"> </w:t>
      </w:r>
      <w:r w:rsidR="00FA78CE" w:rsidRPr="00E47A79">
        <w:rPr>
          <w:rFonts w:ascii="Garamond" w:hAnsi="Garamond"/>
          <w:sz w:val="24"/>
          <w:szCs w:val="24"/>
          <w:vertAlign w:val="superscript"/>
        </w:rPr>
        <w:footnoteReference w:id="288"/>
      </w:r>
      <w:r w:rsidR="00FA78CE" w:rsidRPr="00E47A79">
        <w:rPr>
          <w:rFonts w:ascii="Garamond" w:hAnsi="Garamond"/>
          <w:sz w:val="24"/>
          <w:szCs w:val="24"/>
        </w:rPr>
        <w:t xml:space="preserve"> and generally ‘safety net’ even more assiduously than usual, including when researching possible contraindications, taking detailed histories from their patients, consulting and taking account of the views of other doctors</w:t>
      </w:r>
      <w:r w:rsidR="00FA78CE" w:rsidRPr="00E47A79">
        <w:rPr>
          <w:rFonts w:ascii="Garamond" w:hAnsi="Garamond"/>
          <w:sz w:val="24"/>
          <w:szCs w:val="24"/>
          <w:vertAlign w:val="superscript"/>
        </w:rPr>
        <w:footnoteReference w:id="289"/>
      </w:r>
      <w:r w:rsidR="00FA78CE" w:rsidRPr="00E47A79">
        <w:rPr>
          <w:rFonts w:ascii="Garamond" w:hAnsi="Garamond"/>
          <w:sz w:val="24"/>
          <w:szCs w:val="24"/>
        </w:rPr>
        <w:t xml:space="preserve"> and recording the results of this, and taking time over obtaining the informed consent of their patients, so as to be able to justify their decision on clinical grounds. </w:t>
      </w:r>
      <w:r w:rsidRPr="00E47A79">
        <w:rPr>
          <w:rFonts w:ascii="Garamond" w:hAnsi="Garamond"/>
          <w:sz w:val="24"/>
          <w:szCs w:val="24"/>
        </w:rPr>
        <w:t xml:space="preserve">Finally, in the context of the first wave of adult patients there is </w:t>
      </w:r>
      <w:r w:rsidR="00C41448" w:rsidRPr="00E47A79">
        <w:rPr>
          <w:rFonts w:ascii="Garamond" w:hAnsi="Garamond"/>
          <w:sz w:val="24"/>
          <w:szCs w:val="24"/>
        </w:rPr>
        <w:t xml:space="preserve">real </w:t>
      </w:r>
      <w:r w:rsidRPr="00E47A79">
        <w:rPr>
          <w:rFonts w:ascii="Garamond" w:hAnsi="Garamond"/>
          <w:sz w:val="24"/>
          <w:szCs w:val="24"/>
        </w:rPr>
        <w:t xml:space="preserve">scope for patient values and experience with cannabis </w:t>
      </w:r>
      <w:r w:rsidRPr="0063560E">
        <w:rPr>
          <w:rFonts w:ascii="Garamond" w:hAnsi="Garamond"/>
          <w:sz w:val="24"/>
          <w:szCs w:val="24"/>
        </w:rPr>
        <w:t xml:space="preserve">to be given weight in prescribing decisions. Nevertheless, </w:t>
      </w:r>
      <w:r w:rsidR="00F56092" w:rsidRPr="0063560E">
        <w:rPr>
          <w:rFonts w:ascii="Garamond" w:hAnsi="Garamond"/>
          <w:sz w:val="24"/>
          <w:szCs w:val="24"/>
        </w:rPr>
        <w:t>t</w:t>
      </w:r>
      <w:r w:rsidRPr="0063560E">
        <w:rPr>
          <w:rFonts w:ascii="Garamond" w:hAnsi="Garamond"/>
          <w:sz w:val="24"/>
          <w:szCs w:val="24"/>
        </w:rPr>
        <w:t xml:space="preserve">he apparent inconsistency between the BPNA and NHS England on the one hand and the GMC and MCC’s thresholds for prescribing these unlicensed products is troubling, as is the almost impossibly high threshold that prescribers would seemingly have to meet according to NHS England advice. </w:t>
      </w:r>
      <w:bookmarkEnd w:id="15"/>
      <w:r w:rsidR="00F56092" w:rsidRPr="0063560E">
        <w:rPr>
          <w:rFonts w:ascii="Garamond" w:hAnsi="Garamond"/>
          <w:sz w:val="24"/>
          <w:szCs w:val="24"/>
        </w:rPr>
        <w:t xml:space="preserve"> A clearer steer from the </w:t>
      </w:r>
      <w:r w:rsidR="002D2CDC" w:rsidRPr="0063560E">
        <w:rPr>
          <w:rFonts w:ascii="Garamond" w:hAnsi="Garamond"/>
          <w:sz w:val="24"/>
          <w:szCs w:val="24"/>
        </w:rPr>
        <w:t xml:space="preserve">GMC </w:t>
      </w:r>
      <w:r w:rsidR="00F56092" w:rsidRPr="0063560E">
        <w:rPr>
          <w:rFonts w:ascii="Garamond" w:hAnsi="Garamond"/>
          <w:sz w:val="24"/>
          <w:szCs w:val="24"/>
        </w:rPr>
        <w:t xml:space="preserve">could be a </w:t>
      </w:r>
      <w:r w:rsidR="00C41448">
        <w:rPr>
          <w:rFonts w:ascii="Garamond" w:hAnsi="Garamond"/>
          <w:sz w:val="24"/>
          <w:szCs w:val="24"/>
        </w:rPr>
        <w:t>welcome</w:t>
      </w:r>
      <w:r w:rsidR="00F56092" w:rsidRPr="0063560E">
        <w:rPr>
          <w:rFonts w:ascii="Garamond" w:hAnsi="Garamond"/>
          <w:sz w:val="24"/>
          <w:szCs w:val="24"/>
        </w:rPr>
        <w:t xml:space="preserve"> step towards facilitating </w:t>
      </w:r>
      <w:r w:rsidR="008E7879">
        <w:rPr>
          <w:rFonts w:ascii="Garamond" w:hAnsi="Garamond"/>
          <w:sz w:val="24"/>
          <w:szCs w:val="24"/>
        </w:rPr>
        <w:t>responsible</w:t>
      </w:r>
      <w:r w:rsidR="00F56092" w:rsidRPr="0063560E">
        <w:rPr>
          <w:rFonts w:ascii="Garamond" w:hAnsi="Garamond"/>
          <w:sz w:val="24"/>
          <w:szCs w:val="24"/>
        </w:rPr>
        <w:t xml:space="preserve"> access, as there are sufficiently</w:t>
      </w:r>
      <w:r w:rsidR="002D2CDC" w:rsidRPr="0063560E">
        <w:rPr>
          <w:rFonts w:ascii="Garamond" w:hAnsi="Garamond"/>
          <w:sz w:val="24"/>
          <w:szCs w:val="24"/>
        </w:rPr>
        <w:t xml:space="preserve"> unique characteristics</w:t>
      </w:r>
      <w:r w:rsidR="00F56092" w:rsidRPr="0063560E">
        <w:rPr>
          <w:rFonts w:ascii="Garamond" w:hAnsi="Garamond"/>
          <w:sz w:val="24"/>
          <w:szCs w:val="24"/>
        </w:rPr>
        <w:t xml:space="preserve"> in this </w:t>
      </w:r>
      <w:r w:rsidR="00C41448">
        <w:rPr>
          <w:rFonts w:ascii="Garamond" w:hAnsi="Garamond"/>
          <w:sz w:val="24"/>
          <w:szCs w:val="24"/>
        </w:rPr>
        <w:t>field</w:t>
      </w:r>
      <w:r w:rsidR="00F56092" w:rsidRPr="0063560E">
        <w:rPr>
          <w:rFonts w:ascii="Garamond" w:hAnsi="Garamond"/>
          <w:sz w:val="24"/>
          <w:szCs w:val="24"/>
        </w:rPr>
        <w:t xml:space="preserve"> of medicine </w:t>
      </w:r>
      <w:r w:rsidR="002D2CDC" w:rsidRPr="0063560E">
        <w:rPr>
          <w:rFonts w:ascii="Garamond" w:hAnsi="Garamond"/>
          <w:sz w:val="24"/>
          <w:szCs w:val="24"/>
        </w:rPr>
        <w:t xml:space="preserve">to make </w:t>
      </w:r>
      <w:r w:rsidR="00C41448">
        <w:rPr>
          <w:rFonts w:ascii="Garamond" w:hAnsi="Garamond"/>
          <w:sz w:val="24"/>
          <w:szCs w:val="24"/>
        </w:rPr>
        <w:t xml:space="preserve">it deserving </w:t>
      </w:r>
      <w:r w:rsidR="002D2CDC" w:rsidRPr="0063560E">
        <w:rPr>
          <w:rFonts w:ascii="Garamond" w:hAnsi="Garamond"/>
          <w:sz w:val="24"/>
          <w:szCs w:val="24"/>
        </w:rPr>
        <w:t>of a profession</w:t>
      </w:r>
      <w:r w:rsidR="00F56092" w:rsidRPr="0063560E">
        <w:rPr>
          <w:rFonts w:ascii="Garamond" w:hAnsi="Garamond"/>
          <w:sz w:val="24"/>
          <w:szCs w:val="24"/>
        </w:rPr>
        <w:t>-</w:t>
      </w:r>
      <w:r w:rsidR="002D2CDC" w:rsidRPr="0063560E">
        <w:rPr>
          <w:rFonts w:ascii="Garamond" w:hAnsi="Garamond"/>
          <w:sz w:val="24"/>
          <w:szCs w:val="24"/>
        </w:rPr>
        <w:t>wide set of guidance</w:t>
      </w:r>
      <w:r w:rsidR="00F56092" w:rsidRPr="0063560E">
        <w:rPr>
          <w:rFonts w:ascii="Garamond" w:hAnsi="Garamond"/>
          <w:sz w:val="24"/>
          <w:szCs w:val="24"/>
        </w:rPr>
        <w:t>.</w:t>
      </w:r>
    </w:p>
    <w:p w14:paraId="6D5E88C5" w14:textId="77777777" w:rsidR="009125C0" w:rsidRPr="009125C0" w:rsidRDefault="009125C0" w:rsidP="009125C0">
      <w:pPr>
        <w:spacing w:line="360" w:lineRule="auto"/>
        <w:rPr>
          <w:rFonts w:ascii="Garamond" w:hAnsi="Garamond"/>
          <w:sz w:val="24"/>
          <w:szCs w:val="24"/>
        </w:rPr>
      </w:pPr>
    </w:p>
    <w:sectPr w:rsidR="009125C0" w:rsidRPr="009125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365D9" w14:textId="77777777" w:rsidR="00CB6930" w:rsidRDefault="00CB6930" w:rsidP="00D63AF8">
      <w:pPr>
        <w:spacing w:after="0" w:line="240" w:lineRule="auto"/>
      </w:pPr>
      <w:r>
        <w:separator/>
      </w:r>
    </w:p>
  </w:endnote>
  <w:endnote w:type="continuationSeparator" w:id="0">
    <w:p w14:paraId="262D51BD" w14:textId="77777777" w:rsidR="00CB6930" w:rsidRDefault="00CB6930" w:rsidP="00D6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Omnes Medium">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vOT2e364b11">
    <w:altName w:val="Cambria"/>
    <w:panose1 w:val="00000000000000000000"/>
    <w:charset w:val="00"/>
    <w:family w:val="roman"/>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Omne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Italic">
    <w:altName w:val="Bembo"/>
    <w:panose1 w:val="00000000000000000000"/>
    <w:charset w:val="00"/>
    <w:family w:val="auto"/>
    <w:notTrueType/>
    <w:pitch w:val="default"/>
    <w:sig w:usb0="00000003" w:usb1="00000000" w:usb2="00000000" w:usb3="00000000" w:csb0="00000001" w:csb1="00000000"/>
  </w:font>
  <w:font w:name="Bembo-Roman">
    <w:altName w:val="Bembo"/>
    <w:panose1 w:val="00000000000000000000"/>
    <w:charset w:val="00"/>
    <w:family w:val="auto"/>
    <w:notTrueType/>
    <w:pitch w:val="default"/>
    <w:sig w:usb0="00000003" w:usb1="00000000" w:usb2="00000000" w:usb3="00000000" w:csb0="00000001" w:csb1="00000000"/>
  </w:font>
  <w:font w:name="AdvOT863180fb">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FrutigerLTPro-LightCn">
    <w:altName w:val="Calibri"/>
    <w:panose1 w:val="00000000000000000000"/>
    <w:charset w:val="00"/>
    <w:family w:val="swiss"/>
    <w:notTrueType/>
    <w:pitch w:val="default"/>
    <w:sig w:usb0="00000003" w:usb1="00000000" w:usb2="00000000" w:usb3="00000000" w:csb0="00000001" w:csb1="00000000"/>
  </w:font>
  <w:font w:name="Minion-Italic">
    <w:altName w:val="Cambria"/>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dvOT5fcf1b24">
    <w:altName w:val="Calibri"/>
    <w:panose1 w:val="00000000000000000000"/>
    <w:charset w:val="00"/>
    <w:family w:val="swiss"/>
    <w:notTrueType/>
    <w:pitch w:val="default"/>
    <w:sig w:usb0="00000003" w:usb1="00000000" w:usb2="00000000" w:usb3="00000000" w:csb0="00000001" w:csb1="00000000"/>
  </w:font>
  <w:font w:name="AdvOT5fcf1b24+20">
    <w:altName w:val="Calibri"/>
    <w:panose1 w:val="00000000000000000000"/>
    <w:charset w:val="00"/>
    <w:family w:val="swiss"/>
    <w:notTrueType/>
    <w:pitch w:val="default"/>
    <w:sig w:usb0="00000003" w:usb1="00000000" w:usb2="00000000" w:usb3="00000000" w:csb0="00000001" w:csb1="00000000"/>
  </w:font>
  <w:font w:name="AdvOT5c7b8c86.I">
    <w:altName w:val="Calibri"/>
    <w:panose1 w:val="00000000000000000000"/>
    <w:charset w:val="00"/>
    <w:family w:val="swiss"/>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42837"/>
      <w:docPartObj>
        <w:docPartGallery w:val="Page Numbers (Bottom of Page)"/>
        <w:docPartUnique/>
      </w:docPartObj>
    </w:sdtPr>
    <w:sdtEndPr>
      <w:rPr>
        <w:noProof/>
      </w:rPr>
    </w:sdtEndPr>
    <w:sdtContent>
      <w:p w14:paraId="2CF6D055" w14:textId="70DB4303" w:rsidR="00E21CD9" w:rsidRDefault="00E21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615D8" w14:textId="77777777" w:rsidR="00E21CD9" w:rsidRDefault="00E2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60434" w14:textId="77777777" w:rsidR="00CB6930" w:rsidRDefault="00CB6930" w:rsidP="00D63AF8">
      <w:pPr>
        <w:spacing w:after="0" w:line="240" w:lineRule="auto"/>
      </w:pPr>
      <w:r>
        <w:separator/>
      </w:r>
    </w:p>
  </w:footnote>
  <w:footnote w:type="continuationSeparator" w:id="0">
    <w:p w14:paraId="25FCFE6C" w14:textId="77777777" w:rsidR="00CB6930" w:rsidRDefault="00CB6930" w:rsidP="00D63AF8">
      <w:pPr>
        <w:spacing w:after="0" w:line="240" w:lineRule="auto"/>
      </w:pPr>
      <w:r>
        <w:continuationSeparator/>
      </w:r>
    </w:p>
  </w:footnote>
  <w:footnote w:id="1">
    <w:p w14:paraId="331EBEB9" w14:textId="77777777" w:rsidR="00E21CD9" w:rsidRPr="00012F74" w:rsidRDefault="00E21CD9" w:rsidP="00681D64">
      <w:pPr>
        <w:pStyle w:val="FootnoteText"/>
        <w:rPr>
          <w:rFonts w:ascii="Garamond" w:hAnsi="Garamond"/>
          <w:sz w:val="22"/>
          <w:szCs w:val="22"/>
        </w:rPr>
      </w:pPr>
      <w:r w:rsidRPr="00012F74">
        <w:rPr>
          <w:rStyle w:val="FootnoteReference"/>
          <w:rFonts w:ascii="Garamond" w:hAnsi="Garamond"/>
          <w:sz w:val="22"/>
          <w:szCs w:val="22"/>
        </w:rPr>
        <w:footnoteRef/>
      </w:r>
      <w:r w:rsidRPr="00012F74">
        <w:rPr>
          <w:rFonts w:ascii="Garamond" w:hAnsi="Garamond"/>
          <w:sz w:val="22"/>
          <w:szCs w:val="22"/>
        </w:rPr>
        <w:t xml:space="preserve"> This paper </w:t>
      </w:r>
      <w:proofErr w:type="gramStart"/>
      <w:r w:rsidRPr="00012F74">
        <w:rPr>
          <w:rFonts w:ascii="Garamond" w:hAnsi="Garamond"/>
          <w:sz w:val="22"/>
          <w:szCs w:val="22"/>
        </w:rPr>
        <w:t>is connected with</w:t>
      </w:r>
      <w:proofErr w:type="gramEnd"/>
      <w:r w:rsidRPr="00012F74">
        <w:rPr>
          <w:rFonts w:ascii="Garamond" w:hAnsi="Garamond"/>
          <w:sz w:val="22"/>
          <w:szCs w:val="22"/>
        </w:rPr>
        <w:t xml:space="preserve"> another project with University of Liverpool ethics approval to interview and survey medical practitioners on their experience and understandings of the legal requirements around medicinal cannabis prescribing (approval no 7495).</w:t>
      </w:r>
    </w:p>
  </w:footnote>
  <w:footnote w:id="2">
    <w:p w14:paraId="47B82F72" w14:textId="7CB5E1B9" w:rsidR="00E21CD9" w:rsidRPr="00012F74" w:rsidRDefault="00E21CD9">
      <w:pPr>
        <w:pStyle w:val="FootnoteText"/>
        <w:rPr>
          <w:rFonts w:ascii="Garamond" w:hAnsi="Garamond"/>
          <w:sz w:val="22"/>
          <w:szCs w:val="22"/>
        </w:rPr>
      </w:pPr>
      <w:r w:rsidRPr="00012F74">
        <w:rPr>
          <w:rStyle w:val="FootnoteReference"/>
          <w:rFonts w:ascii="Garamond" w:hAnsi="Garamond"/>
          <w:sz w:val="22"/>
          <w:szCs w:val="22"/>
        </w:rPr>
        <w:footnoteRef/>
      </w:r>
      <w:r w:rsidRPr="00012F74">
        <w:rPr>
          <w:rFonts w:ascii="Garamond" w:hAnsi="Garamond"/>
          <w:sz w:val="22"/>
          <w:szCs w:val="22"/>
        </w:rPr>
        <w:t xml:space="preserve"> A. </w:t>
      </w:r>
      <w:proofErr w:type="spellStart"/>
      <w:r w:rsidRPr="00012F74">
        <w:rPr>
          <w:rFonts w:ascii="Garamond" w:hAnsi="Garamond"/>
          <w:sz w:val="22"/>
          <w:szCs w:val="22"/>
        </w:rPr>
        <w:t>Schlag</w:t>
      </w:r>
      <w:proofErr w:type="spellEnd"/>
      <w:r w:rsidRPr="00012F74">
        <w:rPr>
          <w:rFonts w:ascii="Garamond" w:hAnsi="Garamond"/>
          <w:sz w:val="22"/>
          <w:szCs w:val="22"/>
        </w:rPr>
        <w:t xml:space="preserve"> et al, ‘Medical cannabis in the UK: From principle to practice’ (2020) </w:t>
      </w:r>
      <w:r w:rsidRPr="00012F74">
        <w:rPr>
          <w:rFonts w:ascii="Garamond" w:hAnsi="Garamond"/>
          <w:i/>
          <w:iCs/>
          <w:sz w:val="22"/>
          <w:szCs w:val="22"/>
        </w:rPr>
        <w:t>Journal of Psychopharmacology</w:t>
      </w:r>
      <w:r w:rsidRPr="00012F74">
        <w:rPr>
          <w:rFonts w:ascii="Garamond" w:hAnsi="Garamond"/>
          <w:sz w:val="22"/>
          <w:szCs w:val="22"/>
        </w:rPr>
        <w:t xml:space="preserve"> (online first), 1.</w:t>
      </w:r>
    </w:p>
  </w:footnote>
  <w:footnote w:id="3">
    <w:p w14:paraId="78784240" w14:textId="5CD74982" w:rsidR="00E21CD9" w:rsidRPr="00012F74" w:rsidRDefault="00E21CD9" w:rsidP="006B7619">
      <w:pPr>
        <w:pStyle w:val="FootnoteText"/>
        <w:rPr>
          <w:rFonts w:ascii="Garamond" w:hAnsi="Garamond"/>
          <w:sz w:val="22"/>
          <w:szCs w:val="22"/>
        </w:rPr>
      </w:pPr>
      <w:r w:rsidRPr="00012F74">
        <w:rPr>
          <w:rStyle w:val="FootnoteReference"/>
          <w:rFonts w:ascii="Garamond" w:hAnsi="Garamond"/>
          <w:sz w:val="22"/>
          <w:szCs w:val="22"/>
        </w:rPr>
        <w:footnoteRef/>
      </w:r>
      <w:r w:rsidRPr="00012F74">
        <w:rPr>
          <w:rFonts w:ascii="Garamond" w:hAnsi="Garamond"/>
          <w:sz w:val="22"/>
          <w:szCs w:val="22"/>
        </w:rPr>
        <w:t xml:space="preserve"> Alfie Dingley, who went from 150 seizures a week, to 300 days of being seizure free when using cannabis oil - (Health and Social Care Committee, </w:t>
      </w:r>
      <w:r w:rsidRPr="00012F74">
        <w:rPr>
          <w:rFonts w:ascii="Garamond" w:hAnsi="Garamond"/>
          <w:i/>
          <w:iCs/>
          <w:sz w:val="22"/>
          <w:szCs w:val="22"/>
        </w:rPr>
        <w:t xml:space="preserve">Drug Policy: Medicinal Cannabis </w:t>
      </w:r>
      <w:r w:rsidRPr="00012F74">
        <w:rPr>
          <w:rFonts w:ascii="Garamond" w:hAnsi="Garamond"/>
          <w:sz w:val="22"/>
          <w:szCs w:val="22"/>
        </w:rPr>
        <w:t xml:space="preserve">(2019) at [61]). </w:t>
      </w:r>
    </w:p>
  </w:footnote>
  <w:footnote w:id="4">
    <w:p w14:paraId="38928CBC" w14:textId="77777777" w:rsidR="00E21CD9" w:rsidRPr="002E2F4B" w:rsidRDefault="00E21CD9" w:rsidP="006B7619">
      <w:pPr>
        <w:pStyle w:val="FootnoteText"/>
        <w:rPr>
          <w:rFonts w:ascii="Garamond" w:hAnsi="Garamond"/>
          <w:sz w:val="22"/>
          <w:szCs w:val="22"/>
        </w:rPr>
      </w:pPr>
      <w:r w:rsidRPr="00012F74">
        <w:rPr>
          <w:rStyle w:val="FootnoteReference"/>
          <w:rFonts w:ascii="Garamond" w:hAnsi="Garamond"/>
          <w:sz w:val="22"/>
          <w:szCs w:val="22"/>
        </w:rPr>
        <w:footnoteRef/>
      </w:r>
      <w:r w:rsidRPr="00012F74">
        <w:rPr>
          <w:rFonts w:ascii="Garamond" w:hAnsi="Garamond"/>
          <w:sz w:val="22"/>
          <w:szCs w:val="22"/>
        </w:rPr>
        <w:t xml:space="preserve"> </w:t>
      </w:r>
      <w:proofErr w:type="gramStart"/>
      <w:r w:rsidRPr="00012F74">
        <w:rPr>
          <w:rFonts w:ascii="Garamond" w:hAnsi="Garamond"/>
          <w:sz w:val="22"/>
          <w:szCs w:val="22"/>
        </w:rPr>
        <w:t>E.g.</w:t>
      </w:r>
      <w:proofErr w:type="gramEnd"/>
      <w:r w:rsidRPr="00012F74">
        <w:rPr>
          <w:rFonts w:ascii="Garamond" w:hAnsi="Garamond"/>
          <w:sz w:val="22"/>
          <w:szCs w:val="22"/>
        </w:rPr>
        <w:t xml:space="preserve"> Sudden Unexpected Death in Epilepsy (‘SUDEP’). All epilepsies carry an increased risk of death. </w:t>
      </w:r>
      <w:proofErr w:type="spellStart"/>
      <w:r w:rsidRPr="00012F74">
        <w:rPr>
          <w:rFonts w:ascii="Garamond" w:hAnsi="Garamond"/>
          <w:sz w:val="22"/>
          <w:szCs w:val="22"/>
        </w:rPr>
        <w:t>Dravets</w:t>
      </w:r>
      <w:proofErr w:type="spellEnd"/>
      <w:r w:rsidRPr="00012F74">
        <w:rPr>
          <w:rFonts w:ascii="Garamond" w:hAnsi="Garamond"/>
          <w:sz w:val="22"/>
          <w:szCs w:val="22"/>
        </w:rPr>
        <w:t xml:space="preserve"> Syndrome, a rare intractable form of epilepsy carries a 10-15% chance of SUDEP before the age of 10: </w:t>
      </w:r>
      <w:hyperlink r:id="rId1" w:history="1">
        <w:r w:rsidRPr="002E2F4B">
          <w:rPr>
            <w:rStyle w:val="Hyperlink"/>
            <w:rFonts w:ascii="Garamond" w:hAnsi="Garamond"/>
            <w:sz w:val="22"/>
            <w:szCs w:val="22"/>
          </w:rPr>
          <w:t>www.dravet.org.uk</w:t>
        </w:r>
      </w:hyperlink>
      <w:r w:rsidRPr="002E2F4B">
        <w:rPr>
          <w:rFonts w:ascii="Garamond" w:hAnsi="Garamond"/>
          <w:sz w:val="22"/>
          <w:szCs w:val="22"/>
        </w:rPr>
        <w:t>.</w:t>
      </w:r>
    </w:p>
  </w:footnote>
  <w:footnote w:id="5">
    <w:p w14:paraId="0DEC11AE" w14:textId="6C8A7234"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n.2 and see Vera Twomey’s book, </w:t>
      </w:r>
      <w:r w:rsidRPr="002E2F4B">
        <w:rPr>
          <w:rFonts w:ascii="Garamond" w:hAnsi="Garamond"/>
          <w:i/>
          <w:iCs/>
          <w:sz w:val="22"/>
          <w:szCs w:val="22"/>
        </w:rPr>
        <w:t xml:space="preserve">For Ava </w:t>
      </w:r>
      <w:r w:rsidRPr="002E2F4B">
        <w:rPr>
          <w:rFonts w:ascii="Garamond" w:hAnsi="Garamond"/>
          <w:sz w:val="22"/>
          <w:szCs w:val="22"/>
        </w:rPr>
        <w:t xml:space="preserve">(Mercier Press, 2019). </w:t>
      </w:r>
    </w:p>
  </w:footnote>
  <w:footnote w:id="6">
    <w:p w14:paraId="6677E23D" w14:textId="3DF8F853" w:rsidR="00E21CD9" w:rsidRPr="002E2F4B" w:rsidRDefault="00E21CD9" w:rsidP="00F80695">
      <w:pPr>
        <w:spacing w:after="0" w:line="240" w:lineRule="auto"/>
        <w:rPr>
          <w:rFonts w:ascii="Garamond" w:hAnsi="Garamond"/>
          <w:color w:val="000000" w:themeColor="text1"/>
        </w:rPr>
      </w:pPr>
      <w:r w:rsidRPr="002E2F4B">
        <w:rPr>
          <w:rStyle w:val="FootnoteReference"/>
          <w:rFonts w:ascii="Garamond" w:hAnsi="Garamond"/>
        </w:rPr>
        <w:footnoteRef/>
      </w:r>
      <w:r w:rsidRPr="002E2F4B">
        <w:rPr>
          <w:rFonts w:ascii="Garamond" w:hAnsi="Garamond"/>
        </w:rPr>
        <w:t xml:space="preserve"> </w:t>
      </w:r>
      <w:proofErr w:type="gramStart"/>
      <w:r w:rsidRPr="002E2F4B">
        <w:rPr>
          <w:rFonts w:ascii="Garamond" w:hAnsi="Garamond"/>
        </w:rPr>
        <w:t>I.e.</w:t>
      </w:r>
      <w:proofErr w:type="gramEnd"/>
      <w:r w:rsidRPr="002E2F4B">
        <w:rPr>
          <w:rFonts w:ascii="Garamond" w:hAnsi="Garamond"/>
        </w:rPr>
        <w:t xml:space="preserve"> moving them from Schedule 1 (controlled drugs considered to have no medicinal value) to Schedule 2 (controlled drugs acknowledged to have medicinal benefits): </w:t>
      </w:r>
      <w:r w:rsidRPr="002E2F4B">
        <w:rPr>
          <w:rStyle w:val="Emphasis"/>
          <w:rFonts w:ascii="Garamond" w:hAnsi="Garamond"/>
        </w:rPr>
        <w:t xml:space="preserve">Misuse of Drugs (Amendments) (Cannabis and Licence Fees) (E.W.&amp;S) Regulations 2018 (SI 2018 No.1055) inserting a new Regulation 16A into the Misuse of Drugs Regulations 2001 (SI 2001/3998). </w:t>
      </w:r>
      <w:r w:rsidRPr="002E2F4B">
        <w:rPr>
          <w:rStyle w:val="Emphasis"/>
          <w:rFonts w:ascii="Garamond" w:hAnsi="Garamond"/>
          <w:i w:val="0"/>
          <w:iCs w:val="0"/>
        </w:rPr>
        <w:t xml:space="preserve">As health is a devolved matter, separate legislation was required in Northern Ireland: </w:t>
      </w:r>
      <w:r w:rsidRPr="002E2F4B">
        <w:rPr>
          <w:rStyle w:val="Emphasis"/>
          <w:rFonts w:ascii="Garamond" w:hAnsi="Garamond"/>
        </w:rPr>
        <w:t>The Misuse of Drugs (No.2) Regulations (Northern Ireland)</w:t>
      </w:r>
      <w:r w:rsidRPr="002E2F4B">
        <w:rPr>
          <w:rStyle w:val="Emphasis"/>
          <w:rFonts w:ascii="Garamond" w:hAnsi="Garamond"/>
          <w:i w:val="0"/>
          <w:iCs w:val="0"/>
        </w:rPr>
        <w:t xml:space="preserve"> </w:t>
      </w:r>
      <w:r w:rsidRPr="002E2F4B">
        <w:rPr>
          <w:rStyle w:val="Emphasis"/>
          <w:rFonts w:ascii="Garamond" w:hAnsi="Garamond"/>
        </w:rPr>
        <w:t xml:space="preserve">2018 </w:t>
      </w:r>
      <w:r w:rsidRPr="002E2F4B">
        <w:rPr>
          <w:rStyle w:val="Emphasis"/>
          <w:rFonts w:ascii="Garamond" w:hAnsi="Garamond"/>
          <w:i w:val="0"/>
          <w:iCs w:val="0"/>
        </w:rPr>
        <w:t>(2018/173)</w:t>
      </w:r>
      <w:r w:rsidRPr="002E2F4B">
        <w:rPr>
          <w:rStyle w:val="Emphasis"/>
          <w:rFonts w:ascii="Garamond" w:hAnsi="Garamond"/>
        </w:rPr>
        <w:t xml:space="preserve">. </w:t>
      </w:r>
    </w:p>
  </w:footnote>
  <w:footnote w:id="7">
    <w:p w14:paraId="6A085B03" w14:textId="66198211" w:rsidR="00E21CD9" w:rsidRPr="002E2F4B" w:rsidRDefault="00E21CD9" w:rsidP="00F806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regulation 4.</w:t>
      </w:r>
    </w:p>
  </w:footnote>
  <w:footnote w:id="8">
    <w:p w14:paraId="6BE1E78A" w14:textId="77777777" w:rsidR="00E21CD9" w:rsidRPr="002E2F4B" w:rsidRDefault="00E21CD9" w:rsidP="007E57F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Explanatory Memorandum to the Misuse of Drugs (Amendments) (Cannabis and Licence Fees) (England, </w:t>
      </w:r>
      <w:proofErr w:type="gramStart"/>
      <w:r w:rsidRPr="002E2F4B">
        <w:rPr>
          <w:rFonts w:ascii="Garamond" w:hAnsi="Garamond"/>
          <w:i/>
          <w:iCs/>
          <w:sz w:val="22"/>
          <w:szCs w:val="22"/>
        </w:rPr>
        <w:t>Wales</w:t>
      </w:r>
      <w:proofErr w:type="gramEnd"/>
      <w:r w:rsidRPr="002E2F4B">
        <w:rPr>
          <w:rFonts w:ascii="Garamond" w:hAnsi="Garamond"/>
          <w:i/>
          <w:iCs/>
          <w:sz w:val="22"/>
          <w:szCs w:val="22"/>
        </w:rPr>
        <w:t xml:space="preserve"> and Scotland) Regulations 2018</w:t>
      </w:r>
      <w:r w:rsidRPr="002E2F4B">
        <w:rPr>
          <w:rFonts w:ascii="Garamond" w:hAnsi="Garamond"/>
          <w:sz w:val="22"/>
          <w:szCs w:val="22"/>
        </w:rPr>
        <w:t xml:space="preserve"> at 3.2. </w:t>
      </w:r>
    </w:p>
  </w:footnote>
  <w:footnote w:id="9">
    <w:p w14:paraId="72276947" w14:textId="2556F8D5"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The regulations make no reference to specific conditions.</w:t>
      </w:r>
    </w:p>
  </w:footnote>
  <w:footnote w:id="10">
    <w:p w14:paraId="6D9584D0" w14:textId="28E73819" w:rsidR="00E21CD9" w:rsidRPr="009C60BA"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55569F">
        <w:rPr>
          <w:rFonts w:ascii="Garamond" w:hAnsi="Garamond"/>
          <w:sz w:val="22"/>
          <w:szCs w:val="22"/>
        </w:rPr>
        <w:t xml:space="preserve">In fact, twenty years earlier, a 1998 Select Committee had strongly recommended precisely the same reforms, having heard evidence of the relative safety and efficacy of cannabis as a treatment - in particular, but not exclusively, for patients suffering with pain and spasticity caused by multiple sclerosis (MS): </w:t>
      </w:r>
      <w:r w:rsidRPr="0055569F">
        <w:rPr>
          <w:rFonts w:ascii="Garamond" w:hAnsi="Garamond"/>
          <w:i/>
          <w:iCs/>
          <w:sz w:val="22"/>
          <w:szCs w:val="22"/>
        </w:rPr>
        <w:t xml:space="preserve">Cannabis </w:t>
      </w:r>
      <w:r w:rsidRPr="0055569F">
        <w:rPr>
          <w:rFonts w:ascii="Garamond" w:hAnsi="Garamond"/>
          <w:sz w:val="22"/>
          <w:szCs w:val="22"/>
        </w:rPr>
        <w:t>(</w:t>
      </w:r>
      <w:r w:rsidRPr="0055569F">
        <w:rPr>
          <w:rFonts w:ascii="Garamond" w:hAnsi="Garamond"/>
          <w:color w:val="000000"/>
          <w:sz w:val="22"/>
          <w:szCs w:val="22"/>
        </w:rPr>
        <w:t>House of Lords Science and Technology Select Committee (9</w:t>
      </w:r>
      <w:r w:rsidRPr="0055569F">
        <w:rPr>
          <w:rFonts w:ascii="Garamond" w:hAnsi="Garamond"/>
          <w:color w:val="000000"/>
          <w:sz w:val="22"/>
          <w:szCs w:val="22"/>
          <w:vertAlign w:val="superscript"/>
        </w:rPr>
        <w:t>th</w:t>
      </w:r>
      <w:r w:rsidRPr="0055569F">
        <w:rPr>
          <w:rFonts w:ascii="Garamond" w:hAnsi="Garamond"/>
          <w:color w:val="000000"/>
          <w:sz w:val="22"/>
          <w:szCs w:val="22"/>
        </w:rPr>
        <w:t xml:space="preserve"> Report)) (1997-98).</w:t>
      </w:r>
      <w:r w:rsidRPr="0055569F">
        <w:rPr>
          <w:rFonts w:ascii="Garamond" w:hAnsi="Garamond"/>
          <w:sz w:val="22"/>
          <w:szCs w:val="22"/>
        </w:rPr>
        <w:t xml:space="preserve"> For an insight into a range of adult patient experiences with medicinal cannabis in the patients’ own words, see</w:t>
      </w:r>
      <w:r>
        <w:rPr>
          <w:rFonts w:ascii="Garamond" w:hAnsi="Garamond"/>
          <w:sz w:val="22"/>
          <w:szCs w:val="22"/>
        </w:rPr>
        <w:t xml:space="preserve"> the podcasts and blogs on</w:t>
      </w:r>
      <w:r w:rsidRPr="009C60BA">
        <w:rPr>
          <w:rFonts w:ascii="Garamond" w:hAnsi="Garamond"/>
          <w:sz w:val="22"/>
          <w:szCs w:val="22"/>
        </w:rPr>
        <w:t xml:space="preserve"> pleacommunity.org.uk) and Mary Biles, </w:t>
      </w:r>
      <w:r w:rsidRPr="009C60BA">
        <w:rPr>
          <w:rFonts w:ascii="Garamond" w:hAnsi="Garamond"/>
          <w:i/>
          <w:iCs/>
          <w:sz w:val="22"/>
          <w:szCs w:val="22"/>
        </w:rPr>
        <w:t xml:space="preserve">Cannabis Voices </w:t>
      </w:r>
      <w:r w:rsidRPr="009C60BA">
        <w:rPr>
          <w:rFonts w:ascii="Garamond" w:hAnsi="Garamond"/>
          <w:sz w:val="22"/>
          <w:szCs w:val="22"/>
        </w:rPr>
        <w:t xml:space="preserve">at </w:t>
      </w:r>
      <w:hyperlink r:id="rId2" w:history="1">
        <w:r w:rsidRPr="009C60BA">
          <w:rPr>
            <w:rStyle w:val="Hyperlink"/>
            <w:rFonts w:ascii="Garamond" w:hAnsi="Garamond"/>
            <w:sz w:val="22"/>
            <w:szCs w:val="22"/>
          </w:rPr>
          <w:t>https://www.marybiles.com/podcast</w:t>
        </w:r>
      </w:hyperlink>
      <w:r w:rsidRPr="009C60BA">
        <w:rPr>
          <w:rFonts w:ascii="Garamond" w:hAnsi="Garamond"/>
          <w:sz w:val="22"/>
          <w:szCs w:val="22"/>
        </w:rPr>
        <w:t xml:space="preserve">,. </w:t>
      </w:r>
    </w:p>
  </w:footnote>
  <w:footnote w:id="11">
    <w:p w14:paraId="6B24FA86" w14:textId="51D105AC" w:rsidR="00236B6A" w:rsidRDefault="00236B6A">
      <w:pPr>
        <w:pStyle w:val="FootnoteText"/>
      </w:pPr>
      <w:r w:rsidRPr="009C60BA">
        <w:rPr>
          <w:rStyle w:val="FootnoteReference"/>
          <w:rFonts w:ascii="Garamond" w:hAnsi="Garamond"/>
          <w:sz w:val="22"/>
          <w:szCs w:val="22"/>
        </w:rPr>
        <w:footnoteRef/>
      </w:r>
      <w:r w:rsidRPr="009C60BA">
        <w:rPr>
          <w:rFonts w:ascii="Garamond" w:hAnsi="Garamond"/>
          <w:sz w:val="22"/>
          <w:szCs w:val="22"/>
        </w:rPr>
        <w:t xml:space="preserve"> </w:t>
      </w:r>
      <w:hyperlink r:id="rId3" w:history="1">
        <w:r w:rsidRPr="009C60BA">
          <w:rPr>
            <w:rStyle w:val="Hyperlink"/>
            <w:rFonts w:ascii="Garamond" w:hAnsi="Garamond"/>
            <w:sz w:val="22"/>
            <w:szCs w:val="22"/>
          </w:rPr>
          <w:t>https://www.crowdfunder.co.uk/united-patients-alliance</w:t>
        </w:r>
      </w:hyperlink>
      <w:r>
        <w:t xml:space="preserve">. </w:t>
      </w:r>
    </w:p>
  </w:footnote>
  <w:footnote w:id="12">
    <w:p w14:paraId="665DC96A" w14:textId="36424F41" w:rsidR="00E21CD9" w:rsidRPr="002E2F4B" w:rsidRDefault="00E21CD9" w:rsidP="00E9203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‘Families protest over NHS medical cannabis rules.’ </w:t>
      </w:r>
      <w:r w:rsidRPr="002E2F4B">
        <w:rPr>
          <w:rFonts w:ascii="Garamond" w:hAnsi="Garamond"/>
          <w:i/>
          <w:iCs/>
          <w:sz w:val="22"/>
          <w:szCs w:val="22"/>
        </w:rPr>
        <w:t>BBC News</w:t>
      </w:r>
      <w:r w:rsidRPr="002E2F4B">
        <w:rPr>
          <w:rFonts w:ascii="Garamond" w:hAnsi="Garamond"/>
          <w:sz w:val="22"/>
          <w:szCs w:val="22"/>
        </w:rPr>
        <w:t>, 5</w:t>
      </w:r>
      <w:r w:rsidRPr="002E2F4B">
        <w:rPr>
          <w:rFonts w:ascii="Garamond" w:hAnsi="Garamond"/>
          <w:sz w:val="22"/>
          <w:szCs w:val="22"/>
          <w:vertAlign w:val="superscript"/>
        </w:rPr>
        <w:t>th</w:t>
      </w:r>
      <w:r w:rsidRPr="002E2F4B">
        <w:rPr>
          <w:rFonts w:ascii="Garamond" w:hAnsi="Garamond"/>
          <w:sz w:val="22"/>
          <w:szCs w:val="22"/>
        </w:rPr>
        <w:t xml:space="preserve"> February 2020. Available at </w:t>
      </w:r>
      <w:hyperlink r:id="rId4" w:history="1">
        <w:r w:rsidRPr="002E2F4B">
          <w:rPr>
            <w:rStyle w:val="Hyperlink"/>
            <w:rFonts w:ascii="Garamond" w:hAnsi="Garamond"/>
            <w:sz w:val="22"/>
            <w:szCs w:val="22"/>
          </w:rPr>
          <w:t>https://www.bbc.co.uk/news/uk-england-51385994</w:t>
        </w:r>
      </w:hyperlink>
      <w:r w:rsidRPr="002E2F4B">
        <w:rPr>
          <w:rFonts w:ascii="Garamond" w:hAnsi="Garamond"/>
          <w:sz w:val="22"/>
          <w:szCs w:val="22"/>
        </w:rPr>
        <w:t>.</w:t>
      </w:r>
    </w:p>
  </w:footnote>
  <w:footnote w:id="13">
    <w:p w14:paraId="3704D85A" w14:textId="408770E0" w:rsidR="00E21CD9" w:rsidRPr="002E2F4B" w:rsidRDefault="00E21CD9" w:rsidP="00E9203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Charlotte Caldwell took the Health Board in Northern Ireland to court to provide a prescription for her son Billy whose epilepsy is substantially mitigated by medicinal cannabis:  </w:t>
      </w:r>
      <w:hyperlink r:id="rId5" w:history="1">
        <w:r w:rsidRPr="002E2F4B">
          <w:rPr>
            <w:rStyle w:val="Hyperlink"/>
            <w:rFonts w:ascii="Garamond" w:hAnsi="Garamond"/>
            <w:sz w:val="22"/>
            <w:szCs w:val="22"/>
          </w:rPr>
          <w:t>https://www.belfastlive.co.uk/news/health/billy-caldwell-medicinal-cannabis-battle-17749677</w:t>
        </w:r>
      </w:hyperlink>
      <w:r w:rsidRPr="002E2F4B">
        <w:rPr>
          <w:rFonts w:ascii="Garamond" w:hAnsi="Garamond"/>
          <w:sz w:val="22"/>
          <w:szCs w:val="22"/>
        </w:rPr>
        <w:t xml:space="preserve">. At the time of writing, the family of Charlie Hughes are bringing action against NICE and their local NHS Trust for refusing to prescribe for their </w:t>
      </w:r>
      <w:proofErr w:type="gramStart"/>
      <w:r w:rsidRPr="002E2F4B">
        <w:rPr>
          <w:rFonts w:ascii="Garamond" w:hAnsi="Garamond"/>
          <w:sz w:val="22"/>
          <w:szCs w:val="22"/>
        </w:rPr>
        <w:t>2 year old</w:t>
      </w:r>
      <w:proofErr w:type="gramEnd"/>
      <w:r w:rsidRPr="002E2F4B">
        <w:rPr>
          <w:rFonts w:ascii="Garamond" w:hAnsi="Garamond"/>
          <w:sz w:val="22"/>
          <w:szCs w:val="22"/>
        </w:rPr>
        <w:t xml:space="preserve"> son who suffers from West Syndrome – ‘Parents' NHS cannabis fight for toddler who suffers 100 epilepsy seizures a day’. </w:t>
      </w:r>
      <w:r w:rsidRPr="002E2F4B">
        <w:rPr>
          <w:rFonts w:ascii="Garamond" w:hAnsi="Garamond"/>
          <w:i/>
          <w:iCs/>
          <w:sz w:val="22"/>
          <w:szCs w:val="22"/>
        </w:rPr>
        <w:t xml:space="preserve">The Mirror, </w:t>
      </w:r>
      <w:r w:rsidRPr="002E2F4B">
        <w:rPr>
          <w:rFonts w:ascii="Garamond" w:hAnsi="Garamond"/>
          <w:sz w:val="22"/>
          <w:szCs w:val="22"/>
        </w:rPr>
        <w:t>20</w:t>
      </w:r>
      <w:r w:rsidRPr="002E2F4B">
        <w:rPr>
          <w:rFonts w:ascii="Garamond" w:hAnsi="Garamond"/>
          <w:sz w:val="22"/>
          <w:szCs w:val="22"/>
          <w:vertAlign w:val="superscript"/>
        </w:rPr>
        <w:t>th</w:t>
      </w:r>
      <w:r w:rsidRPr="002E2F4B">
        <w:rPr>
          <w:rFonts w:ascii="Garamond" w:hAnsi="Garamond"/>
          <w:sz w:val="22"/>
          <w:szCs w:val="22"/>
        </w:rPr>
        <w:t xml:space="preserve"> March 2020 at  </w:t>
      </w:r>
      <w:hyperlink r:id="rId6" w:history="1">
        <w:r w:rsidRPr="002E2F4B">
          <w:rPr>
            <w:rStyle w:val="Hyperlink"/>
            <w:rFonts w:ascii="Garamond" w:hAnsi="Garamond"/>
            <w:sz w:val="22"/>
            <w:szCs w:val="22"/>
          </w:rPr>
          <w:t>https://www.mirror.co.uk/news/uk-news/parents-nhs-cannabis-fight-toddler-21851951</w:t>
        </w:r>
      </w:hyperlink>
      <w:r w:rsidRPr="002E2F4B">
        <w:rPr>
          <w:rFonts w:ascii="Garamond" w:hAnsi="Garamond"/>
          <w:sz w:val="22"/>
          <w:szCs w:val="22"/>
        </w:rPr>
        <w:t xml:space="preserve">. </w:t>
      </w:r>
    </w:p>
  </w:footnote>
  <w:footnote w:id="14">
    <w:p w14:paraId="1A7273CA" w14:textId="048586C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hyperlink r:id="rId7" w:history="1">
        <w:r w:rsidRPr="002E2F4B">
          <w:rPr>
            <w:rStyle w:val="Hyperlink"/>
            <w:rFonts w:ascii="Garamond" w:hAnsi="Garamond"/>
            <w:sz w:val="22"/>
            <w:szCs w:val="22"/>
          </w:rPr>
          <w:t>https://www.kentonline.co.uk/canterbury/news/cannabis-plea-for-girl-in-intensive-care-227836/</w:t>
        </w:r>
      </w:hyperlink>
      <w:r w:rsidRPr="002E2F4B">
        <w:rPr>
          <w:rFonts w:ascii="Garamond" w:hAnsi="Garamond"/>
          <w:sz w:val="22"/>
          <w:szCs w:val="22"/>
        </w:rPr>
        <w:t xml:space="preserve">. </w:t>
      </w:r>
    </w:p>
  </w:footnote>
  <w:footnote w:id="15">
    <w:p w14:paraId="22BF3560" w14:textId="0DCDA146" w:rsidR="00E21CD9" w:rsidRPr="0055569F" w:rsidRDefault="00E21CD9" w:rsidP="0055569F">
      <w:pPr>
        <w:shd w:val="clear" w:color="auto" w:fill="FFFFFF"/>
        <w:spacing w:after="0" w:line="240" w:lineRule="auto"/>
        <w:textAlignment w:val="baseline"/>
        <w:outlineLvl w:val="0"/>
        <w:rPr>
          <w:rFonts w:ascii="Garamond" w:eastAsia="Times New Roman" w:hAnsi="Garamond" w:cs="Times New Roman"/>
          <w:color w:val="121212"/>
          <w:kern w:val="36"/>
          <w:lang w:eastAsia="en-GB"/>
        </w:rPr>
      </w:pPr>
      <w:r w:rsidRPr="0055569F">
        <w:rPr>
          <w:rStyle w:val="FootnoteReference"/>
          <w:rFonts w:ascii="Garamond" w:hAnsi="Garamond"/>
        </w:rPr>
        <w:footnoteRef/>
      </w:r>
      <w:r w:rsidRPr="0055569F">
        <w:rPr>
          <w:rFonts w:ascii="Garamond" w:hAnsi="Garamond"/>
        </w:rPr>
        <w:t xml:space="preserve"> </w:t>
      </w:r>
      <w:r w:rsidRPr="0055569F">
        <w:rPr>
          <w:rFonts w:ascii="Garamond" w:eastAsia="Times New Roman" w:hAnsi="Garamond" w:cs="Times New Roman"/>
          <w:color w:val="121212"/>
          <w:kern w:val="36"/>
          <w:lang w:eastAsia="en-GB"/>
        </w:rPr>
        <w:t xml:space="preserve">‘No new NHS patients prescribed cannabis oil since legalisation’ </w:t>
      </w:r>
      <w:r w:rsidRPr="00E51BDC">
        <w:rPr>
          <w:rFonts w:ascii="Garamond" w:eastAsia="Times New Roman" w:hAnsi="Garamond" w:cs="Times New Roman"/>
          <w:i/>
          <w:iCs/>
          <w:color w:val="121212"/>
          <w:kern w:val="36"/>
          <w:lang w:eastAsia="en-GB"/>
        </w:rPr>
        <w:t xml:space="preserve">The Guardian, </w:t>
      </w:r>
      <w:r w:rsidRPr="0055569F">
        <w:rPr>
          <w:rFonts w:ascii="Garamond" w:eastAsia="Times New Roman" w:hAnsi="Garamond" w:cs="Times New Roman"/>
          <w:color w:val="121212"/>
          <w:kern w:val="36"/>
          <w:lang w:eastAsia="en-GB"/>
        </w:rPr>
        <w:t>1</w:t>
      </w:r>
      <w:r w:rsidRPr="0055569F">
        <w:rPr>
          <w:rFonts w:ascii="Garamond" w:eastAsia="Times New Roman" w:hAnsi="Garamond" w:cs="Times New Roman"/>
          <w:color w:val="121212"/>
          <w:kern w:val="36"/>
          <w:vertAlign w:val="superscript"/>
          <w:lang w:eastAsia="en-GB"/>
        </w:rPr>
        <w:t>st</w:t>
      </w:r>
      <w:r w:rsidRPr="0055569F">
        <w:rPr>
          <w:rFonts w:ascii="Garamond" w:eastAsia="Times New Roman" w:hAnsi="Garamond" w:cs="Times New Roman"/>
          <w:color w:val="121212"/>
          <w:kern w:val="36"/>
          <w:lang w:eastAsia="en-GB"/>
        </w:rPr>
        <w:t xml:space="preserve"> July </w:t>
      </w:r>
      <w:proofErr w:type="gramStart"/>
      <w:r w:rsidRPr="0055569F">
        <w:rPr>
          <w:rFonts w:ascii="Garamond" w:eastAsia="Times New Roman" w:hAnsi="Garamond" w:cs="Times New Roman"/>
          <w:color w:val="121212"/>
          <w:kern w:val="36"/>
          <w:lang w:eastAsia="en-GB"/>
        </w:rPr>
        <w:t>2020</w:t>
      </w:r>
      <w:r w:rsidRPr="00E51BDC">
        <w:rPr>
          <w:rFonts w:ascii="Garamond" w:eastAsia="Times New Roman" w:hAnsi="Garamond" w:cs="Times New Roman"/>
          <w:color w:val="121212"/>
          <w:kern w:val="36"/>
          <w:lang w:eastAsia="en-GB"/>
        </w:rPr>
        <w:t xml:space="preserve">;  </w:t>
      </w:r>
      <w:r w:rsidRPr="0055569F">
        <w:rPr>
          <w:rFonts w:ascii="Garamond" w:eastAsia="Times New Roman" w:hAnsi="Garamond" w:cs="Times New Roman"/>
          <w:color w:val="121212"/>
          <w:kern w:val="36"/>
          <w:lang w:eastAsia="en-GB"/>
        </w:rPr>
        <w:t>‘</w:t>
      </w:r>
      <w:proofErr w:type="gramEnd"/>
      <w:r w:rsidRPr="0055569F">
        <w:rPr>
          <w:rFonts w:ascii="Garamond" w:eastAsia="Times New Roman" w:hAnsi="Garamond" w:cs="Times New Roman"/>
          <w:color w:val="121212"/>
          <w:kern w:val="36"/>
          <w:lang w:eastAsia="en-GB"/>
        </w:rPr>
        <w:t xml:space="preserve">Medicinal cannabis: why are doctors still not prescribing?’ </w:t>
      </w:r>
      <w:r w:rsidRPr="00E51BDC">
        <w:rPr>
          <w:rFonts w:ascii="Garamond" w:eastAsia="Times New Roman" w:hAnsi="Garamond" w:cs="Times New Roman"/>
          <w:i/>
          <w:iCs/>
          <w:color w:val="121212"/>
          <w:kern w:val="36"/>
          <w:lang w:eastAsia="en-GB"/>
        </w:rPr>
        <w:t xml:space="preserve">The Guardian, </w:t>
      </w:r>
      <w:r w:rsidRPr="0055569F">
        <w:rPr>
          <w:rFonts w:ascii="Garamond" w:eastAsia="Times New Roman" w:hAnsi="Garamond" w:cs="Times New Roman"/>
          <w:color w:val="121212"/>
          <w:kern w:val="36"/>
          <w:lang w:eastAsia="en-GB"/>
        </w:rPr>
        <w:t>3</w:t>
      </w:r>
      <w:r w:rsidRPr="0055569F">
        <w:rPr>
          <w:rFonts w:ascii="Garamond" w:eastAsia="Times New Roman" w:hAnsi="Garamond" w:cs="Times New Roman"/>
          <w:color w:val="121212"/>
          <w:kern w:val="36"/>
          <w:vertAlign w:val="superscript"/>
          <w:lang w:eastAsia="en-GB"/>
        </w:rPr>
        <w:t>rd</w:t>
      </w:r>
      <w:r w:rsidRPr="0055569F">
        <w:rPr>
          <w:rFonts w:ascii="Garamond" w:eastAsia="Times New Roman" w:hAnsi="Garamond" w:cs="Times New Roman"/>
          <w:color w:val="121212"/>
          <w:kern w:val="36"/>
          <w:lang w:eastAsia="en-GB"/>
        </w:rPr>
        <w:t xml:space="preserve"> November 2019</w:t>
      </w:r>
      <w:r w:rsidRPr="00E51BDC">
        <w:rPr>
          <w:rFonts w:ascii="Garamond" w:eastAsia="Times New Roman" w:hAnsi="Garamond" w:cs="Times New Roman"/>
          <w:color w:val="121212"/>
          <w:kern w:val="36"/>
          <w:lang w:eastAsia="en-GB"/>
        </w:rPr>
        <w:t>.</w:t>
      </w:r>
    </w:p>
  </w:footnote>
  <w:footnote w:id="16">
    <w:p w14:paraId="0F1B949B" w14:textId="52FE440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MCCS FAQs - </w:t>
      </w:r>
      <w:hyperlink r:id="rId8" w:history="1">
        <w:r w:rsidRPr="002E2F4B">
          <w:rPr>
            <w:rStyle w:val="Hyperlink"/>
            <w:rFonts w:ascii="Garamond" w:hAnsi="Garamond"/>
            <w:sz w:val="22"/>
            <w:szCs w:val="22"/>
          </w:rPr>
          <w:t>https://www.ukmccs.org/medical-cannabis/faqs/</w:t>
        </w:r>
      </w:hyperlink>
      <w:r w:rsidRPr="002E2F4B">
        <w:rPr>
          <w:rFonts w:ascii="Garamond" w:hAnsi="Garamond"/>
          <w:sz w:val="22"/>
          <w:szCs w:val="22"/>
        </w:rPr>
        <w:t xml:space="preserve"> section 7 – as of June 2020 the estimated average costs for most conditions </w:t>
      </w:r>
      <w:proofErr w:type="gramStart"/>
      <w:r w:rsidRPr="002E2F4B">
        <w:rPr>
          <w:rFonts w:ascii="Garamond" w:hAnsi="Garamond"/>
          <w:sz w:val="22"/>
          <w:szCs w:val="22"/>
        </w:rPr>
        <w:t>was</w:t>
      </w:r>
      <w:proofErr w:type="gramEnd"/>
      <w:r w:rsidRPr="002E2F4B">
        <w:rPr>
          <w:rFonts w:ascii="Garamond" w:hAnsi="Garamond"/>
          <w:sz w:val="22"/>
          <w:szCs w:val="22"/>
        </w:rPr>
        <w:t xml:space="preserve"> around £500 per month, but families of children with epilepsy were facing costs of £1,000+ per month.</w:t>
      </w:r>
    </w:p>
  </w:footnote>
  <w:footnote w:id="17">
    <w:p w14:paraId="6759165E" w14:textId="466D7CEC"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D. Nutt et al, ‘So Near and Yet So Far,’ (2020) 10 </w:t>
      </w:r>
      <w:r w:rsidRPr="0055569F">
        <w:rPr>
          <w:rFonts w:ascii="Garamond" w:hAnsi="Garamond"/>
          <w:i/>
          <w:iCs/>
          <w:sz w:val="22"/>
          <w:szCs w:val="22"/>
        </w:rPr>
        <w:t xml:space="preserve">BMJ Open </w:t>
      </w:r>
      <w:r w:rsidRPr="0055569F">
        <w:rPr>
          <w:rFonts w:ascii="Garamond" w:hAnsi="Garamond"/>
          <w:sz w:val="22"/>
          <w:szCs w:val="22"/>
        </w:rPr>
        <w:t>1 at 1.</w:t>
      </w:r>
    </w:p>
  </w:footnote>
  <w:footnote w:id="18">
    <w:p w14:paraId="23D49383" w14:textId="3187D699" w:rsidR="00E21CD9" w:rsidRPr="002E2F4B" w:rsidRDefault="00E21CD9" w:rsidP="002877E0">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There were around 30 NHS prescriptions for unlicensed medicinal cannabis products in the first year: </w:t>
      </w:r>
      <w:r w:rsidRPr="002E2F4B">
        <w:rPr>
          <w:rFonts w:ascii="Garamond" w:hAnsi="Garamond"/>
          <w:i/>
          <w:iCs/>
          <w:sz w:val="22"/>
          <w:szCs w:val="22"/>
        </w:rPr>
        <w:t>The UK Review of Medical Cannabis: the needs of a nation – Part A</w:t>
      </w:r>
      <w:r w:rsidRPr="002E2F4B">
        <w:rPr>
          <w:rFonts w:ascii="Garamond" w:hAnsi="Garamond"/>
          <w:sz w:val="22"/>
          <w:szCs w:val="22"/>
        </w:rPr>
        <w:t xml:space="preserve"> (Cross Party Parliamentary Group for Drug Policy Reform, 2020), pp5-6. Presumably, a number of these were repeat prescriptions. </w:t>
      </w:r>
    </w:p>
  </w:footnote>
  <w:footnote w:id="19">
    <w:p w14:paraId="32E78124" w14:textId="0391C820" w:rsidR="00E21CD9" w:rsidRPr="002E2F4B" w:rsidRDefault="00E21CD9" w:rsidP="0022552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‘It is a source of deep frustration to me that…, because </w:t>
      </w:r>
      <w:r w:rsidRPr="002E2F4B">
        <w:rPr>
          <w:rFonts w:ascii="Garamond" w:hAnsi="Garamond"/>
          <w:i/>
          <w:iCs/>
          <w:sz w:val="22"/>
          <w:szCs w:val="22"/>
        </w:rPr>
        <w:t xml:space="preserve">a clinical decision </w:t>
      </w:r>
      <w:r w:rsidRPr="002E2F4B">
        <w:rPr>
          <w:rFonts w:ascii="Garamond" w:hAnsi="Garamond"/>
          <w:sz w:val="22"/>
          <w:szCs w:val="22"/>
        </w:rPr>
        <w:t xml:space="preserve">is needed for a </w:t>
      </w:r>
      <w:proofErr w:type="gramStart"/>
      <w:r w:rsidRPr="002E2F4B">
        <w:rPr>
          <w:rFonts w:ascii="Garamond" w:hAnsi="Garamond"/>
          <w:sz w:val="22"/>
          <w:szCs w:val="22"/>
        </w:rPr>
        <w:t>prescription,</w:t>
      </w:r>
      <w:r>
        <w:rPr>
          <w:rFonts w:ascii="Garamond" w:hAnsi="Garamond"/>
          <w:sz w:val="22"/>
          <w:szCs w:val="22"/>
        </w:rPr>
        <w:t>…</w:t>
      </w:r>
      <w:proofErr w:type="gramEnd"/>
      <w:r w:rsidRPr="002E2F4B">
        <w:rPr>
          <w:rFonts w:ascii="Garamond" w:hAnsi="Garamond"/>
          <w:sz w:val="22"/>
          <w:szCs w:val="22"/>
        </w:rPr>
        <w:t xml:space="preserve"> many parents who entirely understandably think that their child would benefit from medicinal cannabis now find that they cannot get a clinician to sign it off.’ HC Deb vol.658, col.37 8</w:t>
      </w:r>
      <w:r w:rsidRPr="002E2F4B">
        <w:rPr>
          <w:rFonts w:ascii="Garamond" w:hAnsi="Garamond"/>
          <w:sz w:val="22"/>
          <w:szCs w:val="22"/>
          <w:vertAlign w:val="superscript"/>
        </w:rPr>
        <w:t>th</w:t>
      </w:r>
      <w:r w:rsidRPr="002E2F4B">
        <w:rPr>
          <w:rFonts w:ascii="Garamond" w:hAnsi="Garamond"/>
          <w:sz w:val="22"/>
          <w:szCs w:val="22"/>
        </w:rPr>
        <w:t xml:space="preserve"> April 2019 (emphasis added). </w:t>
      </w:r>
    </w:p>
  </w:footnote>
  <w:footnote w:id="20">
    <w:p w14:paraId="6140528D" w14:textId="2F5B428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Experiences of the legalisation of medicinal cannabis, followed by a longer-term struggle for patient access, is a story shared elsewhere. See e.g.: D. Nutt, ‘Why medical cannabis is still out of patients’ reach’ (2019) 365 BMJ 1903 and N. </w:t>
      </w:r>
      <w:proofErr w:type="spellStart"/>
      <w:r w:rsidRPr="002E2F4B">
        <w:rPr>
          <w:rFonts w:ascii="Garamond" w:hAnsi="Garamond"/>
          <w:sz w:val="22"/>
          <w:szCs w:val="22"/>
        </w:rPr>
        <w:t>Ries</w:t>
      </w:r>
      <w:proofErr w:type="spellEnd"/>
      <w:r w:rsidRPr="002E2F4B">
        <w:rPr>
          <w:rFonts w:ascii="Garamond" w:hAnsi="Garamond"/>
          <w:sz w:val="22"/>
          <w:szCs w:val="22"/>
        </w:rPr>
        <w:t xml:space="preserve">, 'Prescribe with Caution: The Response of Canada's Medical Regulatory Authorities to the Therapeutic Use of Cannabis' (2015-2016) 9 </w:t>
      </w:r>
      <w:r w:rsidRPr="002E2F4B">
        <w:rPr>
          <w:rFonts w:ascii="Garamond" w:hAnsi="Garamond"/>
          <w:i/>
          <w:iCs/>
          <w:sz w:val="22"/>
          <w:szCs w:val="22"/>
        </w:rPr>
        <w:t>McGill JL &amp; Health</w:t>
      </w:r>
      <w:r w:rsidRPr="002E2F4B">
        <w:rPr>
          <w:rFonts w:ascii="Garamond" w:hAnsi="Garamond"/>
          <w:sz w:val="22"/>
          <w:szCs w:val="22"/>
        </w:rPr>
        <w:t xml:space="preserve"> 215: recent research suggests that fewer than 10% of Canadian medical cannabis users obtain the drug solely from legal sources.’ At 241.</w:t>
      </w:r>
    </w:p>
  </w:footnote>
  <w:footnote w:id="21">
    <w:p w14:paraId="1E91B3D4" w14:textId="77777777" w:rsidR="00E21CD9" w:rsidRPr="002E2F4B" w:rsidRDefault="00E21CD9" w:rsidP="00A74BD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i/>
          <w:iCs/>
          <w:sz w:val="22"/>
          <w:szCs w:val="22"/>
        </w:rPr>
        <w:t xml:space="preserve">Barriers to accessing cannabis-based products for medicinal use on NHS prescription </w:t>
      </w:r>
      <w:r w:rsidRPr="002E2F4B">
        <w:rPr>
          <w:rFonts w:ascii="Garamond" w:hAnsi="Garamond"/>
          <w:sz w:val="22"/>
          <w:szCs w:val="22"/>
        </w:rPr>
        <w:t>(NHS England, 2019) at 34.</w:t>
      </w:r>
    </w:p>
  </w:footnote>
  <w:footnote w:id="22">
    <w:p w14:paraId="238AFBC0" w14:textId="371D2F1F" w:rsidR="00E21CD9" w:rsidRPr="002E2F4B" w:rsidRDefault="00E21CD9" w:rsidP="009D41E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Health and Social Care Committee, </w:t>
      </w:r>
      <w:r w:rsidRPr="002E2F4B">
        <w:rPr>
          <w:rFonts w:ascii="Garamond" w:hAnsi="Garamond"/>
          <w:i/>
          <w:iCs/>
          <w:sz w:val="22"/>
          <w:szCs w:val="22"/>
        </w:rPr>
        <w:t xml:space="preserve">Drug Policy: Medicinal Cannabis </w:t>
      </w:r>
      <w:r w:rsidRPr="002E2F4B">
        <w:rPr>
          <w:rFonts w:ascii="Garamond" w:hAnsi="Garamond"/>
          <w:sz w:val="22"/>
          <w:szCs w:val="22"/>
        </w:rPr>
        <w:t xml:space="preserve">(2019) at [21] (emphasis added). </w:t>
      </w:r>
    </w:p>
  </w:footnote>
  <w:footnote w:id="23">
    <w:p w14:paraId="28CBE002" w14:textId="77777777" w:rsidR="00E21CD9" w:rsidRPr="002E2F4B" w:rsidRDefault="00E21CD9" w:rsidP="00275FA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‘CBMPs’ for the purposes of the NICE Guideline are more broadly defined than CMPs in the 2018 regulations, as they include pure cannabidiol, licensed products (</w:t>
      </w:r>
      <w:proofErr w:type="gramStart"/>
      <w:r w:rsidRPr="002E2F4B">
        <w:rPr>
          <w:rFonts w:ascii="Garamond" w:hAnsi="Garamond"/>
          <w:sz w:val="22"/>
          <w:szCs w:val="22"/>
        </w:rPr>
        <w:t>i.e.</w:t>
      </w:r>
      <w:proofErr w:type="gramEnd"/>
      <w:r w:rsidRPr="002E2F4B">
        <w:rPr>
          <w:rFonts w:ascii="Garamond" w:hAnsi="Garamond"/>
          <w:sz w:val="22"/>
          <w:szCs w:val="22"/>
        </w:rPr>
        <w:t xml:space="preserve"> currently, Sativex, </w:t>
      </w:r>
      <w:proofErr w:type="spellStart"/>
      <w:r w:rsidRPr="002E2F4B">
        <w:rPr>
          <w:rFonts w:ascii="Garamond" w:hAnsi="Garamond"/>
          <w:sz w:val="22"/>
          <w:szCs w:val="22"/>
        </w:rPr>
        <w:t>Epidiolex</w:t>
      </w:r>
      <w:proofErr w:type="spellEnd"/>
      <w:r w:rsidRPr="002E2F4B">
        <w:rPr>
          <w:rFonts w:ascii="Garamond" w:hAnsi="Garamond"/>
          <w:sz w:val="22"/>
          <w:szCs w:val="22"/>
        </w:rPr>
        <w:t xml:space="preserve"> and nabilone) and synthetic cannabinoids.</w:t>
      </w:r>
    </w:p>
  </w:footnote>
  <w:footnote w:id="24">
    <w:p w14:paraId="6DE598D7" w14:textId="77777777" w:rsidR="00E21CD9" w:rsidRPr="002E2F4B" w:rsidRDefault="00E21CD9" w:rsidP="0031189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w:t>
      </w:r>
    </w:p>
  </w:footnote>
  <w:footnote w:id="25">
    <w:p w14:paraId="20ED7529" w14:textId="64EBED2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further below and P. Case, ‘The NICE Guideline on Medicinal Cannabis: Keeping Pandora’s Box Shut Tight?’ (2020) 28(2) Med L Rev 401.</w:t>
      </w:r>
    </w:p>
  </w:footnote>
  <w:footnote w:id="26">
    <w:p w14:paraId="56B0CBAB" w14:textId="3FE51AF7"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sources noted above at notes 2, 9, 11, 12, 13, 14, 16, 17.</w:t>
      </w:r>
    </w:p>
  </w:footnote>
  <w:footnote w:id="27">
    <w:p w14:paraId="091E5B69" w14:textId="13C560B1" w:rsidR="00E21CD9" w:rsidRPr="002E2F4B" w:rsidRDefault="00E21CD9" w:rsidP="00ED753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section I below.</w:t>
      </w:r>
    </w:p>
  </w:footnote>
  <w:footnote w:id="28">
    <w:p w14:paraId="75DB68C6" w14:textId="5B13349D" w:rsidR="00E21CD9" w:rsidRPr="002E2F4B" w:rsidRDefault="00E21CD9" w:rsidP="00D175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Cross Party Parliamentary Group for Drug Policy Reform, 2020, above at n.1</w:t>
      </w:r>
      <w:r>
        <w:rPr>
          <w:rFonts w:ascii="Garamond" w:hAnsi="Garamond"/>
          <w:sz w:val="22"/>
          <w:szCs w:val="22"/>
        </w:rPr>
        <w:t>8</w:t>
      </w:r>
      <w:r w:rsidRPr="002E2F4B">
        <w:rPr>
          <w:rFonts w:ascii="Garamond" w:hAnsi="Garamond"/>
          <w:sz w:val="22"/>
          <w:szCs w:val="22"/>
        </w:rPr>
        <w:t>, 48.</w:t>
      </w:r>
    </w:p>
  </w:footnote>
  <w:footnote w:id="29">
    <w:p w14:paraId="2241EB69" w14:textId="7C1A1BB4"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Although not always fulfilling</w:t>
      </w:r>
      <w:r>
        <w:rPr>
          <w:rFonts w:ascii="Garamond" w:hAnsi="Garamond"/>
          <w:sz w:val="22"/>
          <w:szCs w:val="22"/>
        </w:rPr>
        <w:t xml:space="preserve"> </w:t>
      </w:r>
      <w:r w:rsidRPr="002E2F4B">
        <w:rPr>
          <w:rFonts w:ascii="Garamond" w:hAnsi="Garamond"/>
          <w:sz w:val="22"/>
          <w:szCs w:val="22"/>
        </w:rPr>
        <w:t xml:space="preserve">its ‘gold standard’ reputation: see M. Kaplan, </w:t>
      </w:r>
      <w:proofErr w:type="gramStart"/>
      <w:r w:rsidRPr="002E2F4B">
        <w:rPr>
          <w:rFonts w:ascii="Garamond" w:hAnsi="Garamond"/>
          <w:i/>
          <w:iCs/>
          <w:sz w:val="22"/>
          <w:szCs w:val="22"/>
        </w:rPr>
        <w:t>The</w:t>
      </w:r>
      <w:proofErr w:type="gramEnd"/>
      <w:r w:rsidRPr="002E2F4B">
        <w:rPr>
          <w:rFonts w:ascii="Garamond" w:hAnsi="Garamond"/>
          <w:i/>
          <w:iCs/>
          <w:sz w:val="22"/>
          <w:szCs w:val="22"/>
        </w:rPr>
        <w:t xml:space="preserve"> role of RCT evidence in drug reimbursement decision making processes </w:t>
      </w:r>
      <w:r w:rsidRPr="002E2F4B">
        <w:rPr>
          <w:rFonts w:ascii="Garamond" w:hAnsi="Garamond"/>
          <w:sz w:val="22"/>
          <w:szCs w:val="22"/>
        </w:rPr>
        <w:t xml:space="preserve">(2019), particularly chapter 1; C. </w:t>
      </w:r>
      <w:proofErr w:type="spellStart"/>
      <w:r w:rsidRPr="002E2F4B">
        <w:rPr>
          <w:rFonts w:ascii="Garamond" w:hAnsi="Garamond"/>
          <w:sz w:val="22"/>
          <w:szCs w:val="22"/>
        </w:rPr>
        <w:t>Derkatch</w:t>
      </w:r>
      <w:proofErr w:type="spellEnd"/>
      <w:r w:rsidRPr="002E2F4B">
        <w:rPr>
          <w:rFonts w:ascii="Garamond" w:hAnsi="Garamond"/>
          <w:sz w:val="22"/>
          <w:szCs w:val="22"/>
        </w:rPr>
        <w:t>, ‘Method as argument: boundary work in evidence</w:t>
      </w:r>
      <w:r w:rsidRPr="0055569F">
        <w:rPr>
          <w:rFonts w:ascii="Times New Roman" w:hAnsi="Times New Roman" w:cs="Times New Roman"/>
          <w:sz w:val="22"/>
          <w:szCs w:val="22"/>
        </w:rPr>
        <w:t>‐</w:t>
      </w:r>
      <w:r w:rsidRPr="002E2F4B">
        <w:rPr>
          <w:rFonts w:ascii="Garamond" w:hAnsi="Garamond"/>
          <w:sz w:val="22"/>
          <w:szCs w:val="22"/>
        </w:rPr>
        <w:t xml:space="preserve">based medicine.’ (2008) 22(4) </w:t>
      </w:r>
      <w:r w:rsidRPr="002E2F4B">
        <w:rPr>
          <w:rFonts w:ascii="Garamond" w:hAnsi="Garamond"/>
          <w:i/>
          <w:iCs/>
          <w:sz w:val="22"/>
          <w:szCs w:val="22"/>
        </w:rPr>
        <w:t xml:space="preserve">Soc. </w:t>
      </w:r>
      <w:proofErr w:type="spellStart"/>
      <w:r w:rsidRPr="002E2F4B">
        <w:rPr>
          <w:rFonts w:ascii="Garamond" w:hAnsi="Garamond"/>
          <w:i/>
          <w:iCs/>
          <w:sz w:val="22"/>
          <w:szCs w:val="22"/>
        </w:rPr>
        <w:t>Epistemol</w:t>
      </w:r>
      <w:proofErr w:type="spellEnd"/>
      <w:r w:rsidRPr="002E2F4B">
        <w:rPr>
          <w:rFonts w:ascii="Garamond" w:hAnsi="Garamond"/>
          <w:i/>
          <w:iCs/>
          <w:sz w:val="22"/>
          <w:szCs w:val="22"/>
        </w:rPr>
        <w:t>.</w:t>
      </w:r>
      <w:r w:rsidRPr="002E2F4B">
        <w:rPr>
          <w:rFonts w:ascii="Garamond" w:hAnsi="Garamond"/>
          <w:sz w:val="22"/>
          <w:szCs w:val="22"/>
        </w:rPr>
        <w:t xml:space="preserve"> 371 at 376.</w:t>
      </w:r>
    </w:p>
  </w:footnote>
  <w:footnote w:id="30">
    <w:p w14:paraId="445608F0" w14:textId="73B5F77B"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bookmarkStart w:id="0" w:name="_Hlk34732325"/>
      <w:r w:rsidRPr="002E2F4B">
        <w:rPr>
          <w:rFonts w:ascii="Garamond" w:hAnsi="Garamond"/>
          <w:i/>
          <w:iCs/>
          <w:sz w:val="22"/>
          <w:szCs w:val="22"/>
        </w:rPr>
        <w:t>Barriers</w:t>
      </w:r>
      <w:r w:rsidRPr="0055569F">
        <w:rPr>
          <w:rFonts w:ascii="Garamond" w:hAnsi="Garamond"/>
          <w:sz w:val="22"/>
          <w:szCs w:val="22"/>
        </w:rPr>
        <w:t>, n.20</w:t>
      </w:r>
      <w:r>
        <w:rPr>
          <w:rFonts w:ascii="Garamond" w:hAnsi="Garamond"/>
          <w:sz w:val="22"/>
          <w:szCs w:val="22"/>
        </w:rPr>
        <w:t>,</w:t>
      </w:r>
      <w:r w:rsidRPr="002E2F4B">
        <w:rPr>
          <w:rFonts w:ascii="Garamond" w:hAnsi="Garamond"/>
          <w:i/>
          <w:iCs/>
          <w:sz w:val="22"/>
          <w:szCs w:val="22"/>
        </w:rPr>
        <w:t xml:space="preserve"> </w:t>
      </w:r>
      <w:bookmarkEnd w:id="0"/>
      <w:r w:rsidRPr="002E2F4B">
        <w:rPr>
          <w:rFonts w:ascii="Garamond" w:hAnsi="Garamond"/>
          <w:sz w:val="22"/>
          <w:szCs w:val="22"/>
        </w:rPr>
        <w:t>at p9.</w:t>
      </w:r>
    </w:p>
  </w:footnote>
  <w:footnote w:id="31">
    <w:p w14:paraId="088CB2FD" w14:textId="77777777" w:rsidR="00E21CD9" w:rsidRPr="002E2F4B" w:rsidRDefault="00E21CD9" w:rsidP="003B37C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the trepidation evident in E. Cannon, ‘Cannabis debate leaves GPs facing a prescribing conundrum’ </w:t>
      </w:r>
      <w:r w:rsidRPr="002E2F4B">
        <w:rPr>
          <w:rFonts w:ascii="Garamond" w:hAnsi="Garamond"/>
          <w:i/>
          <w:iCs/>
          <w:sz w:val="22"/>
          <w:szCs w:val="22"/>
        </w:rPr>
        <w:t xml:space="preserve">PULSE </w:t>
      </w:r>
      <w:r w:rsidRPr="002E2F4B">
        <w:rPr>
          <w:rFonts w:ascii="Garamond" w:hAnsi="Garamond"/>
          <w:sz w:val="22"/>
          <w:szCs w:val="22"/>
        </w:rPr>
        <w:t>(21</w:t>
      </w:r>
      <w:r w:rsidRPr="002E2F4B">
        <w:rPr>
          <w:rFonts w:ascii="Garamond" w:hAnsi="Garamond"/>
          <w:sz w:val="22"/>
          <w:szCs w:val="22"/>
          <w:vertAlign w:val="superscript"/>
        </w:rPr>
        <w:t>st</w:t>
      </w:r>
      <w:r w:rsidRPr="002E2F4B">
        <w:rPr>
          <w:rFonts w:ascii="Garamond" w:hAnsi="Garamond"/>
          <w:sz w:val="22"/>
          <w:szCs w:val="22"/>
        </w:rPr>
        <w:t xml:space="preserve"> </w:t>
      </w:r>
      <w:proofErr w:type="gramStart"/>
      <w:r w:rsidRPr="002E2F4B">
        <w:rPr>
          <w:rFonts w:ascii="Garamond" w:hAnsi="Garamond"/>
          <w:sz w:val="22"/>
          <w:szCs w:val="22"/>
        </w:rPr>
        <w:t>August,</w:t>
      </w:r>
      <w:proofErr w:type="gramEnd"/>
      <w:r w:rsidRPr="002E2F4B">
        <w:rPr>
          <w:rFonts w:ascii="Garamond" w:hAnsi="Garamond"/>
          <w:sz w:val="22"/>
          <w:szCs w:val="22"/>
        </w:rPr>
        <w:t xml:space="preserve"> 2018). </w:t>
      </w:r>
    </w:p>
  </w:footnote>
  <w:footnote w:id="32">
    <w:p w14:paraId="5DA5EE04" w14:textId="03EFA28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 Pederson and S. Sandberg, ‘The medicalisation of revolt: a sociological analysis of medical cannabis users’ (2013) 35(1) </w:t>
      </w:r>
      <w:r w:rsidRPr="002E2F4B">
        <w:rPr>
          <w:rFonts w:ascii="Garamond" w:hAnsi="Garamond"/>
          <w:i/>
          <w:iCs/>
          <w:sz w:val="22"/>
          <w:szCs w:val="22"/>
        </w:rPr>
        <w:t xml:space="preserve">Soc Health &amp; Illness </w:t>
      </w:r>
      <w:r w:rsidRPr="002E2F4B">
        <w:rPr>
          <w:rFonts w:ascii="Garamond" w:hAnsi="Garamond"/>
          <w:sz w:val="22"/>
          <w:szCs w:val="22"/>
        </w:rPr>
        <w:t>17 at 24.</w:t>
      </w:r>
    </w:p>
  </w:footnote>
  <w:footnote w:id="33">
    <w:p w14:paraId="7BBCA1B5" w14:textId="26E41429"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 </w:t>
      </w:r>
      <w:proofErr w:type="spellStart"/>
      <w:r w:rsidRPr="002E2F4B">
        <w:rPr>
          <w:rFonts w:ascii="Garamond" w:hAnsi="Garamond"/>
          <w:sz w:val="22"/>
          <w:szCs w:val="22"/>
        </w:rPr>
        <w:t>Freckleton</w:t>
      </w:r>
      <w:proofErr w:type="spellEnd"/>
      <w:r w:rsidRPr="002E2F4B">
        <w:rPr>
          <w:rFonts w:ascii="Garamond" w:hAnsi="Garamond"/>
          <w:sz w:val="22"/>
          <w:szCs w:val="22"/>
        </w:rPr>
        <w:t xml:space="preserve">, ‘Internet Disruptions in the Doctor Patient Relationship’ (2020) </w:t>
      </w:r>
      <w:r>
        <w:rPr>
          <w:rFonts w:ascii="Garamond" w:hAnsi="Garamond"/>
          <w:sz w:val="22"/>
          <w:szCs w:val="22"/>
        </w:rPr>
        <w:t xml:space="preserve">28(3) </w:t>
      </w:r>
      <w:r w:rsidRPr="002E2F4B">
        <w:rPr>
          <w:rFonts w:ascii="Garamond" w:hAnsi="Garamond"/>
          <w:sz w:val="22"/>
          <w:szCs w:val="22"/>
        </w:rPr>
        <w:t>Med L Rev</w:t>
      </w:r>
      <w:r>
        <w:rPr>
          <w:rFonts w:ascii="Garamond" w:hAnsi="Garamond"/>
          <w:sz w:val="22"/>
          <w:szCs w:val="22"/>
        </w:rPr>
        <w:t xml:space="preserve"> 502</w:t>
      </w:r>
      <w:r w:rsidRPr="002E2F4B">
        <w:rPr>
          <w:rFonts w:ascii="Garamond" w:hAnsi="Garamond"/>
          <w:sz w:val="22"/>
          <w:szCs w:val="22"/>
        </w:rPr>
        <w:t>.</w:t>
      </w:r>
    </w:p>
  </w:footnote>
  <w:footnote w:id="34">
    <w:p w14:paraId="4A4C5D0F" w14:textId="37898E1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This group might be contrasted with ‘second wave’ who have heard of medicinal cannabis and suggest to their doctor that it might help them and those in the ‘third wave’ whose doctor initiates a conversation about medicinal cannabis in the belief that it will help their patients. </w:t>
      </w:r>
    </w:p>
  </w:footnote>
  <w:footnote w:id="35">
    <w:p w14:paraId="70A1E1B0" w14:textId="6E9E716A" w:rsidR="00E21CD9" w:rsidRPr="002E2F4B" w:rsidRDefault="00E21CD9" w:rsidP="0056284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[2015] UKSC 11 at [76].</w:t>
      </w:r>
    </w:p>
  </w:footnote>
  <w:footnote w:id="36">
    <w:p w14:paraId="027FA218" w14:textId="69918C40" w:rsidR="00E21CD9" w:rsidRPr="002E2F4B" w:rsidRDefault="00E21CD9" w:rsidP="00EA192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proofErr w:type="gramStart"/>
      <w:r w:rsidRPr="002E2F4B">
        <w:rPr>
          <w:rFonts w:ascii="Garamond" w:hAnsi="Garamond"/>
          <w:sz w:val="22"/>
          <w:szCs w:val="22"/>
        </w:rPr>
        <w:t>e.g.</w:t>
      </w:r>
      <w:proofErr w:type="gramEnd"/>
      <w:r w:rsidRPr="002E2F4B">
        <w:rPr>
          <w:rFonts w:ascii="Garamond" w:hAnsi="Garamond"/>
          <w:sz w:val="22"/>
          <w:szCs w:val="22"/>
        </w:rPr>
        <w:t xml:space="preserve"> E. </w:t>
      </w:r>
      <w:proofErr w:type="spellStart"/>
      <w:r w:rsidRPr="002E2F4B">
        <w:rPr>
          <w:rFonts w:ascii="Garamond" w:hAnsi="Garamond"/>
          <w:sz w:val="22"/>
          <w:szCs w:val="22"/>
        </w:rPr>
        <w:t>Sobo</w:t>
      </w:r>
      <w:proofErr w:type="spellEnd"/>
      <w:r w:rsidRPr="002E2F4B">
        <w:rPr>
          <w:rFonts w:ascii="Garamond" w:hAnsi="Garamond"/>
          <w:sz w:val="22"/>
          <w:szCs w:val="22"/>
        </w:rPr>
        <w:t xml:space="preserve">, ‘Parent use of cannabis for intractable paediatric epilepsy: everyday empiricism and the boundaries of scientific medicine’ (2017) 190 </w:t>
      </w:r>
      <w:r w:rsidRPr="002E2F4B">
        <w:rPr>
          <w:rFonts w:ascii="Garamond" w:hAnsi="Garamond"/>
          <w:i/>
          <w:iCs/>
          <w:sz w:val="22"/>
          <w:szCs w:val="22"/>
        </w:rPr>
        <w:t xml:space="preserve">Social Science &amp; Medicine </w:t>
      </w:r>
      <w:r w:rsidRPr="002E2F4B">
        <w:rPr>
          <w:rFonts w:ascii="Garamond" w:hAnsi="Garamond"/>
          <w:sz w:val="22"/>
          <w:szCs w:val="22"/>
        </w:rPr>
        <w:t xml:space="preserve">190. </w:t>
      </w:r>
    </w:p>
  </w:footnote>
  <w:footnote w:id="37">
    <w:p w14:paraId="65BABD96" w14:textId="19794A2C" w:rsidR="00E21CD9" w:rsidRPr="002E2F4B" w:rsidRDefault="00E21CD9" w:rsidP="00881E8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 </w:t>
      </w:r>
      <w:proofErr w:type="spellStart"/>
      <w:r w:rsidRPr="002E2F4B">
        <w:rPr>
          <w:rFonts w:ascii="Garamond" w:hAnsi="Garamond"/>
          <w:sz w:val="22"/>
          <w:szCs w:val="22"/>
        </w:rPr>
        <w:t>Gieryn</w:t>
      </w:r>
      <w:proofErr w:type="spellEnd"/>
      <w:r w:rsidRPr="002E2F4B">
        <w:rPr>
          <w:rFonts w:ascii="Garamond" w:hAnsi="Garamond"/>
          <w:sz w:val="22"/>
          <w:szCs w:val="22"/>
        </w:rPr>
        <w:t xml:space="preserve">, </w:t>
      </w:r>
      <w:r w:rsidRPr="002E2F4B">
        <w:rPr>
          <w:rFonts w:ascii="Garamond" w:hAnsi="Garamond"/>
          <w:i/>
          <w:iCs/>
          <w:sz w:val="22"/>
          <w:szCs w:val="22"/>
        </w:rPr>
        <w:t>Cultural Boundaries of Science: Credibility on the Line</w:t>
      </w:r>
      <w:r w:rsidRPr="002E2F4B">
        <w:rPr>
          <w:rFonts w:ascii="Garamond" w:hAnsi="Garamond"/>
          <w:sz w:val="22"/>
          <w:szCs w:val="22"/>
        </w:rPr>
        <w:t xml:space="preserve"> (University of Chicago Press, 1999) at 16.</w:t>
      </w:r>
    </w:p>
  </w:footnote>
  <w:footnote w:id="38">
    <w:p w14:paraId="48081921" w14:textId="6D9B0EC9" w:rsidR="00E21CD9" w:rsidRPr="002E2F4B" w:rsidRDefault="00E21CD9" w:rsidP="00881E8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L. Frith et al, ‘Ethical boundary-work in the infertility clinic’ (2011) 33(4) </w:t>
      </w:r>
      <w:r w:rsidRPr="002E2F4B">
        <w:rPr>
          <w:rFonts w:ascii="Garamond" w:hAnsi="Garamond"/>
          <w:i/>
          <w:iCs/>
          <w:sz w:val="22"/>
          <w:szCs w:val="22"/>
        </w:rPr>
        <w:t>Soc Health &amp; Illness</w:t>
      </w:r>
      <w:r w:rsidRPr="002E2F4B">
        <w:rPr>
          <w:rFonts w:ascii="Garamond" w:hAnsi="Garamond"/>
          <w:sz w:val="22"/>
          <w:szCs w:val="22"/>
        </w:rPr>
        <w:t xml:space="preserve"> 570, 571.</w:t>
      </w:r>
    </w:p>
  </w:footnote>
  <w:footnote w:id="39">
    <w:p w14:paraId="2507DE3E" w14:textId="74D3EE2C"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 </w:t>
      </w:r>
      <w:proofErr w:type="spellStart"/>
      <w:r w:rsidRPr="002E2F4B">
        <w:rPr>
          <w:rFonts w:ascii="Garamond" w:hAnsi="Garamond"/>
          <w:sz w:val="22"/>
          <w:szCs w:val="22"/>
        </w:rPr>
        <w:t>Gieryn</w:t>
      </w:r>
      <w:proofErr w:type="spellEnd"/>
      <w:r w:rsidRPr="002E2F4B">
        <w:rPr>
          <w:rFonts w:ascii="Garamond" w:hAnsi="Garamond"/>
          <w:sz w:val="22"/>
          <w:szCs w:val="22"/>
        </w:rPr>
        <w:t>. ‘Boundary-Work and the Demarcation of Science from Non-Science: Strains and Interests in Professional Ideologies of Scientists’ (1983) 48(6)</w:t>
      </w:r>
      <w:r w:rsidRPr="002E2F4B">
        <w:rPr>
          <w:rFonts w:ascii="Garamond" w:hAnsi="Garamond"/>
          <w:i/>
          <w:iCs/>
          <w:sz w:val="22"/>
          <w:szCs w:val="22"/>
        </w:rPr>
        <w:t xml:space="preserve"> American Sociological Review</w:t>
      </w:r>
      <w:r w:rsidRPr="002E2F4B">
        <w:rPr>
          <w:rFonts w:ascii="Garamond" w:hAnsi="Garamond"/>
          <w:sz w:val="22"/>
          <w:szCs w:val="22"/>
        </w:rPr>
        <w:t xml:space="preserve"> 781.</w:t>
      </w:r>
    </w:p>
  </w:footnote>
  <w:footnote w:id="40">
    <w:p w14:paraId="6674A2A7" w14:textId="59721B3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K. Lancaster et al ‘Making medicine; producing pleasure: a critical examination of medicinal cannabis policy and law in Victoria, Australia. (2017) 49 Int. J. Drug Pol. 117.</w:t>
      </w:r>
    </w:p>
  </w:footnote>
  <w:footnote w:id="41">
    <w:p w14:paraId="4669C53F" w14:textId="0B6C7CA9"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Pr>
          <w:rFonts w:ascii="Garamond" w:hAnsi="Garamond"/>
          <w:sz w:val="22"/>
          <w:szCs w:val="22"/>
        </w:rPr>
        <w:t xml:space="preserve"> </w:t>
      </w:r>
      <w:r w:rsidRPr="002E2F4B">
        <w:rPr>
          <w:rFonts w:ascii="Garamond" w:hAnsi="Garamond"/>
          <w:sz w:val="22"/>
          <w:szCs w:val="22"/>
        </w:rPr>
        <w:t xml:space="preserve"> </w:t>
      </w:r>
      <w:bookmarkStart w:id="1" w:name="_Hlk37940343"/>
      <w:r w:rsidRPr="008F62B8">
        <w:rPr>
          <w:rFonts w:ascii="Garamond" w:hAnsi="Garamond"/>
          <w:sz w:val="22"/>
          <w:szCs w:val="22"/>
        </w:rPr>
        <w:t xml:space="preserve">Y. Zolotov et al, ‘Medical cannabis: an oxymoron? Physicians' perceptions of medical cannabis.’ (2018) 57 </w:t>
      </w:r>
      <w:r w:rsidRPr="008F62B8">
        <w:rPr>
          <w:rFonts w:ascii="Garamond" w:hAnsi="Garamond"/>
          <w:i/>
          <w:iCs/>
          <w:sz w:val="22"/>
          <w:szCs w:val="22"/>
        </w:rPr>
        <w:t>Int. J. Drug Pol</w:t>
      </w:r>
      <w:r w:rsidRPr="008F62B8">
        <w:rPr>
          <w:rFonts w:ascii="Garamond" w:hAnsi="Garamond"/>
          <w:sz w:val="22"/>
          <w:szCs w:val="22"/>
        </w:rPr>
        <w:t>. 4</w:t>
      </w:r>
      <w:bookmarkEnd w:id="1"/>
      <w:r w:rsidRPr="002E2F4B">
        <w:rPr>
          <w:rFonts w:ascii="Garamond" w:hAnsi="Garamond"/>
          <w:sz w:val="22"/>
          <w:szCs w:val="22"/>
        </w:rPr>
        <w:t>.</w:t>
      </w:r>
    </w:p>
  </w:footnote>
  <w:footnote w:id="42">
    <w:p w14:paraId="29923500" w14:textId="26474FF1"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eastAsia="AdvOT2e364b11" w:hAnsi="Garamond" w:cs="AdvOT2e364b11"/>
          <w:sz w:val="22"/>
          <w:szCs w:val="22"/>
        </w:rPr>
        <w:t xml:space="preserve">D. </w:t>
      </w:r>
      <w:proofErr w:type="spellStart"/>
      <w:r w:rsidRPr="002E2F4B">
        <w:rPr>
          <w:rFonts w:ascii="Garamond" w:eastAsia="AdvOT2e364b11" w:hAnsi="Garamond" w:cs="AdvOT2e364b11"/>
          <w:sz w:val="22"/>
          <w:szCs w:val="22"/>
        </w:rPr>
        <w:t>Zarhin</w:t>
      </w:r>
      <w:proofErr w:type="spellEnd"/>
      <w:r w:rsidRPr="002E2F4B">
        <w:rPr>
          <w:rFonts w:ascii="Garamond" w:eastAsia="AdvOT2e364b11" w:hAnsi="Garamond" w:cs="AdvOT2e364b11"/>
          <w:sz w:val="22"/>
          <w:szCs w:val="22"/>
        </w:rPr>
        <w:t xml:space="preserve"> et al, ‘Rhetorical and regulatory boundary-work: The case of medical cannabis’ (2018) 217 </w:t>
      </w:r>
      <w:r w:rsidRPr="002E2F4B">
        <w:rPr>
          <w:rFonts w:ascii="Garamond" w:eastAsia="AdvOT2e364b11" w:hAnsi="Garamond" w:cs="AdvOT2e364b11"/>
          <w:i/>
          <w:iCs/>
          <w:sz w:val="22"/>
          <w:szCs w:val="22"/>
        </w:rPr>
        <w:t xml:space="preserve">Soc Sci &amp; Med </w:t>
      </w:r>
      <w:r w:rsidRPr="002E2F4B">
        <w:rPr>
          <w:rFonts w:ascii="Garamond" w:eastAsia="AdvOT2e364b11" w:hAnsi="Garamond" w:cs="AdvOT2e364b11"/>
          <w:sz w:val="22"/>
          <w:szCs w:val="22"/>
        </w:rPr>
        <w:t>1.</w:t>
      </w:r>
    </w:p>
  </w:footnote>
  <w:footnote w:id="43">
    <w:p w14:paraId="325C2F33" w14:textId="50FD4528"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bookmarkStart w:id="2" w:name="_Hlk38615799"/>
      <w:r w:rsidRPr="002E2F4B">
        <w:rPr>
          <w:rFonts w:ascii="Garamond" w:hAnsi="Garamond"/>
          <w:sz w:val="22"/>
          <w:szCs w:val="22"/>
        </w:rPr>
        <w:t xml:space="preserve">E. </w:t>
      </w:r>
      <w:proofErr w:type="spellStart"/>
      <w:r w:rsidRPr="002E2F4B">
        <w:rPr>
          <w:rFonts w:ascii="Garamond" w:hAnsi="Garamond"/>
          <w:sz w:val="22"/>
          <w:szCs w:val="22"/>
        </w:rPr>
        <w:t>Sobo</w:t>
      </w:r>
      <w:proofErr w:type="spellEnd"/>
      <w:r w:rsidRPr="002E2F4B">
        <w:rPr>
          <w:rFonts w:ascii="Garamond" w:hAnsi="Garamond"/>
          <w:sz w:val="22"/>
          <w:szCs w:val="22"/>
        </w:rPr>
        <w:t>, ‘Parent use of cannabis</w:t>
      </w:r>
      <w:r>
        <w:rPr>
          <w:rFonts w:ascii="Garamond" w:hAnsi="Garamond"/>
          <w:sz w:val="22"/>
          <w:szCs w:val="22"/>
        </w:rPr>
        <w:t>’,</w:t>
      </w:r>
      <w:r w:rsidRPr="002E2F4B">
        <w:rPr>
          <w:rFonts w:ascii="Garamond" w:hAnsi="Garamond"/>
          <w:sz w:val="22"/>
          <w:szCs w:val="22"/>
        </w:rPr>
        <w:t xml:space="preserve"> above n.</w:t>
      </w:r>
      <w:bookmarkEnd w:id="2"/>
      <w:r w:rsidRPr="002E2F4B">
        <w:rPr>
          <w:rFonts w:ascii="Garamond" w:hAnsi="Garamond"/>
          <w:sz w:val="22"/>
          <w:szCs w:val="22"/>
        </w:rPr>
        <w:t>3</w:t>
      </w:r>
      <w:r>
        <w:rPr>
          <w:rFonts w:ascii="Garamond" w:hAnsi="Garamond"/>
          <w:sz w:val="22"/>
          <w:szCs w:val="22"/>
        </w:rPr>
        <w:t>6</w:t>
      </w:r>
      <w:r w:rsidRPr="002E2F4B">
        <w:rPr>
          <w:rFonts w:ascii="Garamond" w:hAnsi="Garamond"/>
          <w:sz w:val="22"/>
          <w:szCs w:val="22"/>
        </w:rPr>
        <w:t>.</w:t>
      </w:r>
    </w:p>
  </w:footnote>
  <w:footnote w:id="44">
    <w:p w14:paraId="5607AED5" w14:textId="1F52F67C"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n.3</w:t>
      </w:r>
      <w:r>
        <w:rPr>
          <w:rFonts w:ascii="Garamond" w:hAnsi="Garamond"/>
          <w:sz w:val="22"/>
          <w:szCs w:val="22"/>
        </w:rPr>
        <w:t>7</w:t>
      </w:r>
      <w:r w:rsidRPr="002E2F4B">
        <w:rPr>
          <w:rFonts w:ascii="Garamond" w:hAnsi="Garamond"/>
          <w:sz w:val="22"/>
          <w:szCs w:val="22"/>
        </w:rPr>
        <w:t>.</w:t>
      </w:r>
    </w:p>
  </w:footnote>
  <w:footnote w:id="45">
    <w:p w14:paraId="1E4D662A" w14:textId="4CC6BC8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Frith et al, n.3</w:t>
      </w:r>
      <w:r>
        <w:rPr>
          <w:rFonts w:ascii="Garamond" w:hAnsi="Garamond"/>
          <w:sz w:val="22"/>
          <w:szCs w:val="22"/>
        </w:rPr>
        <w:t>8</w:t>
      </w:r>
      <w:r w:rsidRPr="002E2F4B">
        <w:rPr>
          <w:rFonts w:ascii="Garamond" w:hAnsi="Garamond"/>
          <w:sz w:val="22"/>
          <w:szCs w:val="22"/>
        </w:rPr>
        <w:t xml:space="preserve"> at 571.</w:t>
      </w:r>
    </w:p>
  </w:footnote>
  <w:footnote w:id="46">
    <w:p w14:paraId="7D3612F0" w14:textId="039C990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M. Quigley and S. </w:t>
      </w:r>
      <w:proofErr w:type="spellStart"/>
      <w:r w:rsidRPr="002E2F4B">
        <w:rPr>
          <w:rFonts w:ascii="Garamond" w:hAnsi="Garamond"/>
          <w:sz w:val="22"/>
          <w:szCs w:val="22"/>
        </w:rPr>
        <w:t>Ayihongbe</w:t>
      </w:r>
      <w:proofErr w:type="spellEnd"/>
      <w:r w:rsidRPr="002E2F4B">
        <w:rPr>
          <w:rFonts w:ascii="Garamond" w:hAnsi="Garamond"/>
          <w:sz w:val="22"/>
          <w:szCs w:val="22"/>
        </w:rPr>
        <w:t>, ‘Everyday Cyborgs: On Integrated Persons and Integrated Goods’ Med L Rev (2019) 26(2) 276.</w:t>
      </w:r>
    </w:p>
  </w:footnote>
  <w:footnote w:id="47">
    <w:p w14:paraId="7D9238ED" w14:textId="7F3C4E54" w:rsidR="00E21CD9" w:rsidRPr="002E2F4B" w:rsidRDefault="00E21CD9" w:rsidP="00477AC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eastAsia="AdvOT2e364b11" w:hAnsi="Garamond" w:cs="AdvOT2e364b11"/>
          <w:sz w:val="22"/>
          <w:szCs w:val="22"/>
        </w:rPr>
        <w:t xml:space="preserve">D. </w:t>
      </w:r>
      <w:proofErr w:type="spellStart"/>
      <w:r w:rsidRPr="002E2F4B">
        <w:rPr>
          <w:rFonts w:ascii="Garamond" w:eastAsia="AdvOT2e364b11" w:hAnsi="Garamond" w:cs="AdvOT2e364b11"/>
          <w:sz w:val="22"/>
          <w:szCs w:val="22"/>
        </w:rPr>
        <w:t>Zarhin</w:t>
      </w:r>
      <w:proofErr w:type="spellEnd"/>
      <w:r w:rsidRPr="002E2F4B">
        <w:rPr>
          <w:rFonts w:ascii="Garamond" w:eastAsia="AdvOT2e364b11" w:hAnsi="Garamond" w:cs="AdvOT2e364b11"/>
          <w:sz w:val="22"/>
          <w:szCs w:val="22"/>
        </w:rPr>
        <w:t xml:space="preserve"> et al, ‘Rhetorical and regulatory boundary-work’ above n.</w:t>
      </w:r>
      <w:r>
        <w:rPr>
          <w:rFonts w:ascii="Garamond" w:eastAsia="AdvOT2e364b11" w:hAnsi="Garamond" w:cs="AdvOT2e364b11"/>
          <w:sz w:val="22"/>
          <w:szCs w:val="22"/>
        </w:rPr>
        <w:t>42</w:t>
      </w:r>
      <w:r w:rsidRPr="002E2F4B">
        <w:rPr>
          <w:rFonts w:ascii="Garamond" w:eastAsia="AdvOT2e364b11" w:hAnsi="Garamond" w:cs="AdvOT2e364b11"/>
          <w:sz w:val="22"/>
          <w:szCs w:val="22"/>
        </w:rPr>
        <w:t>.</w:t>
      </w:r>
    </w:p>
  </w:footnote>
  <w:footnote w:id="48">
    <w:p w14:paraId="1E1B4DB5" w14:textId="4795D5F1" w:rsidR="00E21CD9" w:rsidRPr="002E2F4B" w:rsidRDefault="00E21CD9" w:rsidP="004E7AD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S. Miner, ‘Demarcating the dirty work: Canadian Fertility professionals’ use of boundary-work in contentious egg donation’ (2019) 221 </w:t>
      </w:r>
      <w:r w:rsidRPr="002E2F4B">
        <w:rPr>
          <w:rFonts w:ascii="Garamond" w:hAnsi="Garamond"/>
          <w:i/>
          <w:iCs/>
          <w:sz w:val="22"/>
          <w:szCs w:val="22"/>
        </w:rPr>
        <w:t xml:space="preserve">Soc Sci and Med </w:t>
      </w:r>
      <w:r w:rsidRPr="002E2F4B">
        <w:rPr>
          <w:rFonts w:ascii="Garamond" w:hAnsi="Garamond"/>
          <w:sz w:val="22"/>
          <w:szCs w:val="22"/>
        </w:rPr>
        <w:t>19, Frith et al (above, n.3</w:t>
      </w:r>
      <w:r>
        <w:rPr>
          <w:rFonts w:ascii="Garamond" w:hAnsi="Garamond"/>
          <w:sz w:val="22"/>
          <w:szCs w:val="22"/>
        </w:rPr>
        <w:t>8</w:t>
      </w:r>
      <w:r w:rsidRPr="002E2F4B">
        <w:rPr>
          <w:rFonts w:ascii="Garamond" w:hAnsi="Garamond"/>
          <w:sz w:val="22"/>
          <w:szCs w:val="22"/>
        </w:rPr>
        <w:t>) and</w:t>
      </w:r>
      <w:r w:rsidRPr="002E2F4B">
        <w:rPr>
          <w:rFonts w:ascii="Garamond" w:hAnsi="Garamond" w:cs="AdvOT596495f2"/>
          <w:sz w:val="22"/>
          <w:szCs w:val="22"/>
        </w:rPr>
        <w:t xml:space="preserve"> </w:t>
      </w:r>
      <w:r w:rsidRPr="002E2F4B">
        <w:rPr>
          <w:rFonts w:ascii="Garamond" w:hAnsi="Garamond"/>
          <w:sz w:val="22"/>
          <w:szCs w:val="22"/>
        </w:rPr>
        <w:t xml:space="preserve">K. </w:t>
      </w:r>
      <w:proofErr w:type="spellStart"/>
      <w:r w:rsidRPr="002E2F4B">
        <w:rPr>
          <w:rFonts w:ascii="Garamond" w:hAnsi="Garamond"/>
          <w:sz w:val="22"/>
          <w:szCs w:val="22"/>
        </w:rPr>
        <w:t>Ehrich</w:t>
      </w:r>
      <w:proofErr w:type="spellEnd"/>
      <w:r w:rsidRPr="002E2F4B">
        <w:rPr>
          <w:rFonts w:ascii="Garamond" w:hAnsi="Garamond"/>
          <w:sz w:val="22"/>
          <w:szCs w:val="22"/>
        </w:rPr>
        <w:t xml:space="preserve">, et al, ’Social welfare, genetic welfare? Boundary-work in the IVF/PGD clinic’. (2006) 63 (5) </w:t>
      </w:r>
      <w:r w:rsidRPr="002E2F4B">
        <w:rPr>
          <w:rFonts w:ascii="Garamond" w:hAnsi="Garamond"/>
          <w:i/>
          <w:iCs/>
          <w:sz w:val="22"/>
          <w:szCs w:val="22"/>
        </w:rPr>
        <w:t>Soc. Sci. Med</w:t>
      </w:r>
      <w:r w:rsidRPr="002E2F4B">
        <w:rPr>
          <w:rFonts w:ascii="Garamond" w:hAnsi="Garamond"/>
          <w:sz w:val="22"/>
          <w:szCs w:val="22"/>
        </w:rPr>
        <w:t xml:space="preserve">. 1213 - all applying to actors’ operation of legislation in the field of fertility/reproductive services. </w:t>
      </w:r>
    </w:p>
  </w:footnote>
  <w:footnote w:id="49">
    <w:p w14:paraId="204E0816" w14:textId="5A3D47E8" w:rsidR="00E21CD9" w:rsidRPr="002E2F4B" w:rsidRDefault="00E21CD9" w:rsidP="00A40A54">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bookmarkStart w:id="4" w:name="_Hlk40431189"/>
      <w:r w:rsidRPr="002E2F4B">
        <w:rPr>
          <w:rFonts w:ascii="Garamond" w:eastAsia="AdvOT2e364b11" w:hAnsi="Garamond" w:cs="AdvOT2e364b11"/>
          <w:sz w:val="22"/>
          <w:szCs w:val="22"/>
        </w:rPr>
        <w:t xml:space="preserve">D. </w:t>
      </w:r>
      <w:proofErr w:type="spellStart"/>
      <w:r w:rsidRPr="002E2F4B">
        <w:rPr>
          <w:rFonts w:ascii="Garamond" w:eastAsia="AdvOT2e364b11" w:hAnsi="Garamond" w:cs="AdvOT2e364b11"/>
          <w:sz w:val="22"/>
          <w:szCs w:val="22"/>
        </w:rPr>
        <w:t>Zarhin</w:t>
      </w:r>
      <w:proofErr w:type="spellEnd"/>
      <w:r w:rsidRPr="002E2F4B">
        <w:rPr>
          <w:rFonts w:ascii="Garamond" w:eastAsia="AdvOT2e364b11" w:hAnsi="Garamond" w:cs="AdvOT2e364b11"/>
          <w:sz w:val="22"/>
          <w:szCs w:val="22"/>
        </w:rPr>
        <w:t xml:space="preserve"> et al, above, n.</w:t>
      </w:r>
      <w:bookmarkEnd w:id="4"/>
      <w:r>
        <w:rPr>
          <w:rFonts w:ascii="Garamond" w:eastAsia="AdvOT2e364b11" w:hAnsi="Garamond" w:cs="AdvOT2e364b11"/>
          <w:sz w:val="22"/>
          <w:szCs w:val="22"/>
        </w:rPr>
        <w:t>42</w:t>
      </w:r>
      <w:r w:rsidRPr="002E2F4B">
        <w:rPr>
          <w:rFonts w:ascii="Garamond" w:eastAsia="AdvOT2e364b11" w:hAnsi="Garamond" w:cs="AdvOT2e364b11"/>
          <w:sz w:val="22"/>
          <w:szCs w:val="22"/>
        </w:rPr>
        <w:t>.</w:t>
      </w:r>
    </w:p>
  </w:footnote>
  <w:footnote w:id="50">
    <w:p w14:paraId="74E0081B" w14:textId="05AE4B57" w:rsidR="00E21CD9" w:rsidRPr="002E2F4B" w:rsidRDefault="00E21CD9" w:rsidP="007420F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For example, there is no list of eligible indications or conditions as there has been in the legislation used in other jurisdictions. Cf </w:t>
      </w:r>
      <w:proofErr w:type="spellStart"/>
      <w:r w:rsidRPr="002E2F4B">
        <w:rPr>
          <w:rFonts w:ascii="Garamond" w:hAnsi="Garamond"/>
          <w:sz w:val="22"/>
          <w:szCs w:val="22"/>
        </w:rPr>
        <w:t>Zarhin</w:t>
      </w:r>
      <w:proofErr w:type="spellEnd"/>
      <w:r w:rsidRPr="002E2F4B">
        <w:rPr>
          <w:rFonts w:ascii="Garamond" w:hAnsi="Garamond"/>
          <w:sz w:val="22"/>
          <w:szCs w:val="22"/>
        </w:rPr>
        <w:t xml:space="preserve"> et </w:t>
      </w:r>
      <w:proofErr w:type="spellStart"/>
      <w:r w:rsidRPr="002E2F4B">
        <w:rPr>
          <w:rFonts w:ascii="Garamond" w:hAnsi="Garamond"/>
          <w:sz w:val="22"/>
          <w:szCs w:val="22"/>
        </w:rPr>
        <w:t>al’s</w:t>
      </w:r>
      <w:proofErr w:type="spellEnd"/>
      <w:r w:rsidRPr="002E2F4B">
        <w:rPr>
          <w:rFonts w:ascii="Garamond" w:hAnsi="Garamond"/>
          <w:sz w:val="22"/>
          <w:szCs w:val="22"/>
        </w:rPr>
        <w:t xml:space="preserve"> account of Israel’s scheme (n.42), where there is a list of indications and eligibility requirements, and in Canada, the </w:t>
      </w:r>
      <w:r w:rsidRPr="002E2F4B">
        <w:rPr>
          <w:rFonts w:ascii="Garamond" w:hAnsi="Garamond"/>
          <w:i/>
          <w:iCs/>
          <w:sz w:val="22"/>
          <w:szCs w:val="22"/>
        </w:rPr>
        <w:t>Medical Marijuana Access Regulations 2001</w:t>
      </w:r>
      <w:r w:rsidRPr="002E2F4B">
        <w:rPr>
          <w:rFonts w:ascii="Garamond" w:hAnsi="Garamond"/>
          <w:sz w:val="22"/>
          <w:szCs w:val="22"/>
        </w:rPr>
        <w:t xml:space="preserve"> as enacted, and as amended, set out a hierarchy of qualifying conditions which determined the eligibility criteria which were also stipulated in the regulations.</w:t>
      </w:r>
    </w:p>
  </w:footnote>
  <w:footnote w:id="51">
    <w:p w14:paraId="437148AE" w14:textId="77777777" w:rsidR="00E21CD9" w:rsidRPr="002E2F4B" w:rsidRDefault="00E21CD9" w:rsidP="007420F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Ss.2-3 Medical Act 1983.</w:t>
      </w:r>
    </w:p>
  </w:footnote>
  <w:footnote w:id="52">
    <w:p w14:paraId="439CA220" w14:textId="7BFC627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K. Lancaster et al ‘Making medicine; producing pleasure,’ above n.</w:t>
      </w:r>
      <w:r>
        <w:rPr>
          <w:rFonts w:ascii="Garamond" w:hAnsi="Garamond"/>
          <w:sz w:val="22"/>
          <w:szCs w:val="22"/>
        </w:rPr>
        <w:t>41</w:t>
      </w:r>
      <w:r w:rsidRPr="002E2F4B">
        <w:rPr>
          <w:rFonts w:ascii="Garamond" w:hAnsi="Garamond"/>
          <w:sz w:val="22"/>
          <w:szCs w:val="22"/>
        </w:rPr>
        <w:t>.</w:t>
      </w:r>
    </w:p>
  </w:footnote>
  <w:footnote w:id="53">
    <w:p w14:paraId="2FC3296C" w14:textId="0DDA832A"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 </w:t>
      </w:r>
      <w:proofErr w:type="spellStart"/>
      <w:r w:rsidRPr="002E2F4B">
        <w:rPr>
          <w:rFonts w:ascii="Garamond" w:hAnsi="Garamond"/>
          <w:sz w:val="22"/>
          <w:szCs w:val="22"/>
        </w:rPr>
        <w:t>Schlag</w:t>
      </w:r>
      <w:proofErr w:type="spellEnd"/>
      <w:r w:rsidRPr="002E2F4B">
        <w:rPr>
          <w:rFonts w:ascii="Garamond" w:hAnsi="Garamond"/>
          <w:sz w:val="22"/>
          <w:szCs w:val="22"/>
        </w:rPr>
        <w:t xml:space="preserve"> et al, ‘Medical cannabis in the UK’, above n.2.</w:t>
      </w:r>
    </w:p>
  </w:footnote>
  <w:footnote w:id="54">
    <w:p w14:paraId="132CB91F" w14:textId="213A525B"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Medical Cannabis: Recent Developments </w:t>
      </w:r>
      <w:r w:rsidRPr="002E2F4B">
        <w:rPr>
          <w:rFonts w:ascii="Garamond" w:hAnsi="Garamond"/>
          <w:sz w:val="22"/>
          <w:szCs w:val="22"/>
        </w:rPr>
        <w:t xml:space="preserve">(House of Lords, Library Briefings) (2020) p1. </w:t>
      </w:r>
    </w:p>
  </w:footnote>
  <w:footnote w:id="55">
    <w:p w14:paraId="181CFF43" w14:textId="79C2EED9" w:rsidR="00E21CD9" w:rsidRPr="002E2F4B" w:rsidRDefault="00E21CD9" w:rsidP="003F7F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Ibid at paras 5.1 to 9.1.</w:t>
      </w:r>
    </w:p>
  </w:footnote>
  <w:footnote w:id="56">
    <w:p w14:paraId="04D7E120" w14:textId="77777777" w:rsidR="00E21CD9" w:rsidRPr="008F62B8" w:rsidRDefault="00E21CD9" w:rsidP="00B112C2">
      <w:pPr>
        <w:pStyle w:val="FootnoteText"/>
        <w:rPr>
          <w:rFonts w:ascii="Garamond" w:hAnsi="Garamond"/>
          <w:sz w:val="22"/>
          <w:szCs w:val="22"/>
        </w:rPr>
      </w:pPr>
      <w:r w:rsidRPr="008F62B8">
        <w:rPr>
          <w:rStyle w:val="FootnoteReference"/>
          <w:rFonts w:ascii="Garamond" w:hAnsi="Garamond"/>
          <w:sz w:val="22"/>
          <w:szCs w:val="22"/>
        </w:rPr>
        <w:footnoteRef/>
      </w:r>
      <w:r w:rsidRPr="008F62B8">
        <w:rPr>
          <w:rFonts w:ascii="Garamond" w:hAnsi="Garamond"/>
          <w:sz w:val="22"/>
          <w:szCs w:val="22"/>
        </w:rPr>
        <w:t xml:space="preserve"> See </w:t>
      </w:r>
      <w:r w:rsidRPr="008F62B8">
        <w:rPr>
          <w:rFonts w:ascii="Garamond" w:hAnsi="Garamond"/>
          <w:i/>
          <w:sz w:val="22"/>
          <w:szCs w:val="22"/>
        </w:rPr>
        <w:t xml:space="preserve">The therapeutic and medicinal benefits of cannabis-based products – a review of recent evidence </w:t>
      </w:r>
      <w:r w:rsidRPr="008F62B8">
        <w:rPr>
          <w:rFonts w:ascii="Garamond" w:hAnsi="Garamond"/>
          <w:sz w:val="22"/>
          <w:szCs w:val="22"/>
        </w:rPr>
        <w:t>(</w:t>
      </w:r>
      <w:proofErr w:type="gramStart"/>
      <w:r w:rsidRPr="008F62B8">
        <w:rPr>
          <w:rFonts w:ascii="Garamond" w:hAnsi="Garamond"/>
          <w:sz w:val="22"/>
          <w:szCs w:val="22"/>
        </w:rPr>
        <w:t>June,</w:t>
      </w:r>
      <w:proofErr w:type="gramEnd"/>
      <w:r w:rsidRPr="008F62B8">
        <w:rPr>
          <w:rFonts w:ascii="Garamond" w:hAnsi="Garamond"/>
          <w:sz w:val="22"/>
          <w:szCs w:val="22"/>
        </w:rPr>
        <w:t xml:space="preserve"> 2018), at para 2.3. This was an evidence review based on ‘recently published good quality evidence reviews’ from the United States, Ireland, Australia and the World Health Organisation – see 4.5.</w:t>
      </w:r>
    </w:p>
  </w:footnote>
  <w:footnote w:id="57">
    <w:p w14:paraId="06C9DDB4" w14:textId="77777777" w:rsidR="00E21CD9" w:rsidRPr="002E2F4B" w:rsidRDefault="00E21CD9" w:rsidP="00D8500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 </w:t>
      </w:r>
      <w:proofErr w:type="spellStart"/>
      <w:r w:rsidRPr="002E2F4B">
        <w:rPr>
          <w:rFonts w:ascii="Garamond" w:hAnsi="Garamond"/>
          <w:sz w:val="22"/>
          <w:szCs w:val="22"/>
        </w:rPr>
        <w:t>Rippin</w:t>
      </w:r>
      <w:proofErr w:type="spellEnd"/>
      <w:r w:rsidRPr="002E2F4B">
        <w:rPr>
          <w:rFonts w:ascii="Garamond" w:hAnsi="Garamond"/>
          <w:sz w:val="22"/>
          <w:szCs w:val="22"/>
        </w:rPr>
        <w:t>, ‘Israeli scientists begin trials into the effectiveness of cannabis in treating Covid-19’</w:t>
      </w:r>
      <w:r w:rsidRPr="002E2F4B">
        <w:rPr>
          <w:rFonts w:ascii="Garamond" w:hAnsi="Garamond"/>
          <w:i/>
          <w:iCs/>
          <w:sz w:val="22"/>
          <w:szCs w:val="22"/>
        </w:rPr>
        <w:t xml:space="preserve"> </w:t>
      </w:r>
      <w:proofErr w:type="spellStart"/>
      <w:r w:rsidRPr="002E2F4B">
        <w:rPr>
          <w:rFonts w:ascii="Garamond" w:hAnsi="Garamond"/>
          <w:i/>
          <w:iCs/>
          <w:sz w:val="22"/>
          <w:szCs w:val="22"/>
        </w:rPr>
        <w:t>Euronews</w:t>
      </w:r>
      <w:proofErr w:type="spellEnd"/>
      <w:r w:rsidRPr="002E2F4B">
        <w:rPr>
          <w:rFonts w:ascii="Garamond" w:hAnsi="Garamond"/>
          <w:i/>
          <w:iCs/>
          <w:sz w:val="22"/>
          <w:szCs w:val="22"/>
        </w:rPr>
        <w:t xml:space="preserve"> </w:t>
      </w:r>
      <w:r w:rsidRPr="002E2F4B">
        <w:rPr>
          <w:rFonts w:ascii="Garamond" w:hAnsi="Garamond"/>
          <w:sz w:val="22"/>
          <w:szCs w:val="22"/>
        </w:rPr>
        <w:t>27</w:t>
      </w:r>
      <w:r w:rsidRPr="002E2F4B">
        <w:rPr>
          <w:rFonts w:ascii="Garamond" w:hAnsi="Garamond"/>
          <w:sz w:val="22"/>
          <w:szCs w:val="22"/>
          <w:vertAlign w:val="superscript"/>
        </w:rPr>
        <w:t>th</w:t>
      </w:r>
      <w:r w:rsidRPr="002E2F4B">
        <w:rPr>
          <w:rFonts w:ascii="Garamond" w:hAnsi="Garamond"/>
          <w:sz w:val="22"/>
          <w:szCs w:val="22"/>
        </w:rPr>
        <w:t xml:space="preserve"> April 2020 available at https://www.euroweeklynews.com/2020/04/27/israeli-scientists-begin-trials-into-the-effectiveness-of-cannabis-in-treating-covid-19/.</w:t>
      </w:r>
    </w:p>
  </w:footnote>
  <w:footnote w:id="58">
    <w:p w14:paraId="640310CB" w14:textId="56DDD3B3" w:rsidR="00E21CD9" w:rsidRPr="0055569F" w:rsidRDefault="00E21CD9" w:rsidP="0055569F">
      <w:pPr>
        <w:pStyle w:val="Default"/>
        <w:rPr>
          <w:rFonts w:ascii="Garamond" w:hAnsi="Garamond" w:cs="Omnes Medium"/>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the </w:t>
      </w:r>
      <w:r w:rsidRPr="0055569F">
        <w:rPr>
          <w:rFonts w:ascii="Garamond" w:hAnsi="Garamond" w:cs="Omnes Medium"/>
          <w:sz w:val="22"/>
          <w:szCs w:val="22"/>
        </w:rPr>
        <w:t xml:space="preserve">Medical Cannabis Clinicians Society </w:t>
      </w:r>
      <w:r w:rsidRPr="0055569F">
        <w:rPr>
          <w:rFonts w:ascii="Garamond" w:hAnsi="Garamond" w:cs="Omnes"/>
          <w:sz w:val="22"/>
          <w:szCs w:val="22"/>
        </w:rPr>
        <w:t>All-Party Parliamentary Group for Medical Cannabis under Prescription</w:t>
      </w:r>
      <w:r w:rsidRPr="00E51BDC">
        <w:rPr>
          <w:rFonts w:ascii="Garamond" w:hAnsi="Garamond" w:cs="Omnes"/>
          <w:sz w:val="22"/>
          <w:szCs w:val="22"/>
        </w:rPr>
        <w:t xml:space="preserve">, </w:t>
      </w:r>
      <w:r w:rsidRPr="0055569F">
        <w:rPr>
          <w:rFonts w:ascii="Garamond" w:hAnsi="Garamond"/>
          <w:i/>
          <w:iCs/>
          <w:sz w:val="22"/>
          <w:szCs w:val="22"/>
        </w:rPr>
        <w:t xml:space="preserve">Recommendations and Guidance on Medicinal Cannabis on Prescription </w:t>
      </w:r>
      <w:r w:rsidRPr="0055569F">
        <w:rPr>
          <w:rFonts w:ascii="Garamond" w:hAnsi="Garamond"/>
          <w:sz w:val="22"/>
          <w:szCs w:val="22"/>
        </w:rPr>
        <w:t>(2020)</w:t>
      </w:r>
      <w:r w:rsidRPr="00E51BDC">
        <w:rPr>
          <w:rFonts w:ascii="Garamond" w:hAnsi="Garamond"/>
          <w:sz w:val="22"/>
          <w:szCs w:val="22"/>
        </w:rPr>
        <w:t>.</w:t>
      </w:r>
    </w:p>
  </w:footnote>
  <w:footnote w:id="59">
    <w:p w14:paraId="0B6DF3FB" w14:textId="10C49BE1"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Recently moved to schedule 5. </w:t>
      </w:r>
    </w:p>
  </w:footnote>
  <w:footnote w:id="60">
    <w:p w14:paraId="61CB9716" w14:textId="6F4713F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Compassionate use and extended access programmes: </w:t>
      </w:r>
      <w:r w:rsidRPr="002E2F4B">
        <w:rPr>
          <w:rFonts w:ascii="Garamond" w:hAnsi="Garamond"/>
          <w:i/>
          <w:iCs/>
          <w:sz w:val="22"/>
          <w:szCs w:val="22"/>
        </w:rPr>
        <w:t xml:space="preserve">Barriers </w:t>
      </w:r>
      <w:r w:rsidRPr="002E2F4B">
        <w:rPr>
          <w:rFonts w:ascii="Garamond" w:hAnsi="Garamond"/>
          <w:sz w:val="22"/>
          <w:szCs w:val="22"/>
        </w:rPr>
        <w:t xml:space="preserve">(2019) above n.15, at p.6. </w:t>
      </w:r>
    </w:p>
  </w:footnote>
  <w:footnote w:id="61">
    <w:p w14:paraId="6943C7BA" w14:textId="0035DA7A"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w:t>
      </w:r>
      <w:proofErr w:type="spellStart"/>
      <w:r w:rsidRPr="002E2F4B">
        <w:rPr>
          <w:rFonts w:ascii="Garamond" w:hAnsi="Garamond"/>
          <w:sz w:val="22"/>
          <w:szCs w:val="22"/>
        </w:rPr>
        <w:t>Bedrocan</w:t>
      </w:r>
      <w:proofErr w:type="spellEnd"/>
      <w:r w:rsidRPr="002E2F4B">
        <w:rPr>
          <w:rFonts w:ascii="Garamond" w:hAnsi="Garamond"/>
          <w:sz w:val="22"/>
          <w:szCs w:val="22"/>
        </w:rPr>
        <w:t xml:space="preserve">, </w:t>
      </w:r>
      <w:proofErr w:type="spellStart"/>
      <w:r w:rsidRPr="002E2F4B">
        <w:rPr>
          <w:rFonts w:ascii="Garamond" w:hAnsi="Garamond"/>
          <w:sz w:val="22"/>
          <w:szCs w:val="22"/>
        </w:rPr>
        <w:t>Bedrolite</w:t>
      </w:r>
      <w:proofErr w:type="spellEnd"/>
      <w:r w:rsidRPr="002E2F4B">
        <w:rPr>
          <w:rFonts w:ascii="Garamond" w:hAnsi="Garamond"/>
          <w:sz w:val="22"/>
          <w:szCs w:val="22"/>
        </w:rPr>
        <w:t xml:space="preserve">, </w:t>
      </w:r>
      <w:proofErr w:type="spellStart"/>
      <w:r w:rsidRPr="002E2F4B">
        <w:rPr>
          <w:rFonts w:ascii="Garamond" w:hAnsi="Garamond"/>
          <w:sz w:val="22"/>
          <w:szCs w:val="22"/>
        </w:rPr>
        <w:t>Bediol</w:t>
      </w:r>
      <w:proofErr w:type="spellEnd"/>
      <w:r w:rsidRPr="002E2F4B">
        <w:rPr>
          <w:rFonts w:ascii="Garamond" w:hAnsi="Garamond"/>
          <w:sz w:val="22"/>
          <w:szCs w:val="22"/>
        </w:rPr>
        <w:t>.</w:t>
      </w:r>
    </w:p>
  </w:footnote>
  <w:footnote w:id="62">
    <w:p w14:paraId="48D88961" w14:textId="193C1B5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For details of and attempts to gauge the prevalence of self-medication using cannabis, see: the Centre for Medicinal Cannabis study published in 2020 leading to the hypothesis that there were around 1.4 million such users in the UK (available at </w:t>
      </w:r>
      <w:hyperlink r:id="rId9" w:history="1">
        <w:r w:rsidRPr="002E2F4B">
          <w:rPr>
            <w:rStyle w:val="Hyperlink"/>
            <w:rFonts w:ascii="Garamond" w:hAnsi="Garamond"/>
            <w:sz w:val="22"/>
            <w:szCs w:val="22"/>
          </w:rPr>
          <w:t>https://www.thecmcuk.org/1-4-million-uk-adults-self-medicating-with-illicit-cannabis</w:t>
        </w:r>
      </w:hyperlink>
      <w:r w:rsidRPr="002E2F4B">
        <w:rPr>
          <w:rFonts w:ascii="Garamond" w:hAnsi="Garamond"/>
          <w:sz w:val="22"/>
          <w:szCs w:val="22"/>
        </w:rPr>
        <w:t xml:space="preserve">). See also M. Ware, H. Adams and G. Guy, ‘The medicinal use of cannabis in the UK: Results of a nationwide study. (2005) 59 </w:t>
      </w:r>
      <w:r w:rsidRPr="002E2F4B">
        <w:rPr>
          <w:rFonts w:ascii="Garamond" w:hAnsi="Garamond"/>
          <w:i/>
          <w:iCs/>
          <w:sz w:val="22"/>
          <w:szCs w:val="22"/>
        </w:rPr>
        <w:t xml:space="preserve">International Journal of Clinical Practice </w:t>
      </w:r>
      <w:r w:rsidRPr="002E2F4B">
        <w:rPr>
          <w:rFonts w:ascii="Garamond" w:hAnsi="Garamond"/>
          <w:sz w:val="22"/>
          <w:szCs w:val="22"/>
        </w:rPr>
        <w:t xml:space="preserve">291; M. Sexton, C. Cuttler, J. </w:t>
      </w:r>
      <w:proofErr w:type="spellStart"/>
      <w:r w:rsidRPr="002E2F4B">
        <w:rPr>
          <w:rFonts w:ascii="Garamond" w:hAnsi="Garamond"/>
          <w:sz w:val="22"/>
          <w:szCs w:val="22"/>
        </w:rPr>
        <w:t>Finnell</w:t>
      </w:r>
      <w:proofErr w:type="spellEnd"/>
      <w:r w:rsidRPr="002E2F4B">
        <w:rPr>
          <w:rFonts w:ascii="Garamond" w:hAnsi="Garamond"/>
          <w:sz w:val="22"/>
          <w:szCs w:val="22"/>
        </w:rPr>
        <w:t xml:space="preserve">, et al. ‘A cross-sectional survey of medical cannabis users: Patterns of use and perceived efficacy.’ (2016) 1(1) </w:t>
      </w:r>
      <w:r w:rsidRPr="002E2F4B">
        <w:rPr>
          <w:rFonts w:ascii="Garamond" w:hAnsi="Garamond"/>
          <w:i/>
          <w:iCs/>
          <w:sz w:val="22"/>
          <w:szCs w:val="22"/>
        </w:rPr>
        <w:t xml:space="preserve">Cannabis and Cannabinoid Research </w:t>
      </w:r>
      <w:r w:rsidRPr="002E2F4B">
        <w:rPr>
          <w:rFonts w:ascii="Garamond" w:hAnsi="Garamond"/>
          <w:sz w:val="22"/>
          <w:szCs w:val="22"/>
        </w:rPr>
        <w:t xml:space="preserve">131; R. Coomber et al, ‘Using cannabis therapeutically in the UK: A qualitative analysis of how using an illicit drug therapeutically affects the life of users and their relationships with significant others, health care providers and the criminal justice system.’ (2003) 33(2) </w:t>
      </w:r>
      <w:r w:rsidRPr="002E2F4B">
        <w:rPr>
          <w:rFonts w:ascii="Garamond" w:hAnsi="Garamond"/>
          <w:i/>
          <w:iCs/>
          <w:sz w:val="22"/>
          <w:szCs w:val="22"/>
        </w:rPr>
        <w:t>Journal of Drug Issues</w:t>
      </w:r>
      <w:r w:rsidRPr="002E2F4B">
        <w:rPr>
          <w:rFonts w:ascii="Garamond" w:hAnsi="Garamond"/>
          <w:sz w:val="22"/>
          <w:szCs w:val="22"/>
        </w:rPr>
        <w:t xml:space="preserve"> 325.</w:t>
      </w:r>
    </w:p>
  </w:footnote>
  <w:footnote w:id="63">
    <w:p w14:paraId="7FBEEDC3" w14:textId="0DEEB65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Misuse of Drugs Act 1971.</w:t>
      </w:r>
    </w:p>
  </w:footnote>
  <w:footnote w:id="64">
    <w:p w14:paraId="68FCCF50" w14:textId="06667609"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Drugs and the Law </w:t>
      </w:r>
      <w:r w:rsidRPr="002E2F4B">
        <w:rPr>
          <w:rFonts w:ascii="Garamond" w:hAnsi="Garamond"/>
          <w:sz w:val="22"/>
          <w:szCs w:val="22"/>
        </w:rPr>
        <w:t>(the ‘Runciman report’) (2000) at para [38].</w:t>
      </w:r>
    </w:p>
  </w:footnote>
  <w:footnote w:id="65">
    <w:p w14:paraId="5670B66D" w14:textId="77777777" w:rsidR="00E21CD9" w:rsidRPr="002E2F4B" w:rsidRDefault="00E21CD9" w:rsidP="002127D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hyperlink r:id="rId10" w:history="1">
        <w:r w:rsidRPr="002E2F4B">
          <w:rPr>
            <w:rStyle w:val="Hyperlink"/>
            <w:rFonts w:ascii="Garamond" w:hAnsi="Garamond"/>
            <w:sz w:val="22"/>
            <w:szCs w:val="22"/>
          </w:rPr>
          <w:t>https://www.cps.gov.uk/legal-guidance/drug-offences</w:t>
        </w:r>
      </w:hyperlink>
      <w:r w:rsidRPr="002E2F4B">
        <w:rPr>
          <w:rFonts w:ascii="Garamond" w:hAnsi="Garamond"/>
          <w:sz w:val="22"/>
          <w:szCs w:val="22"/>
        </w:rPr>
        <w:t xml:space="preserve">. </w:t>
      </w:r>
    </w:p>
  </w:footnote>
  <w:footnote w:id="66">
    <w:p w14:paraId="6A5C901C" w14:textId="7B50C7F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E.g. ‘Arthritic plasterer who grew cannabis for pain relief is sentenced’ </w:t>
      </w:r>
      <w:r w:rsidRPr="002E2F4B">
        <w:rPr>
          <w:rFonts w:ascii="Garamond" w:hAnsi="Garamond"/>
          <w:i/>
          <w:iCs/>
          <w:sz w:val="22"/>
          <w:szCs w:val="22"/>
        </w:rPr>
        <w:t xml:space="preserve">Cornwall Live </w:t>
      </w:r>
      <w:r w:rsidRPr="002E2F4B">
        <w:rPr>
          <w:rFonts w:ascii="Garamond" w:hAnsi="Garamond"/>
          <w:sz w:val="22"/>
          <w:szCs w:val="22"/>
        </w:rPr>
        <w:t xml:space="preserve">May 2020 at  </w:t>
      </w:r>
      <w:hyperlink r:id="rId11" w:history="1">
        <w:r w:rsidRPr="002E2F4B">
          <w:rPr>
            <w:rStyle w:val="Hyperlink"/>
            <w:rFonts w:ascii="Garamond" w:hAnsi="Garamond"/>
            <w:sz w:val="22"/>
            <w:szCs w:val="22"/>
          </w:rPr>
          <w:t>https://www.cornwalllive.com/news/cornwall-news/arthritic-plasterer-grew-cannabis-pain-4152714</w:t>
        </w:r>
      </w:hyperlink>
      <w:r w:rsidRPr="002E2F4B">
        <w:rPr>
          <w:rFonts w:ascii="Garamond" w:hAnsi="Garamond"/>
          <w:sz w:val="22"/>
          <w:szCs w:val="22"/>
        </w:rPr>
        <w:t>. Judge Robert Linford remarked ‘I can see why you did it…</w:t>
      </w:r>
      <w:r w:rsidRPr="002E2F4B">
        <w:rPr>
          <w:rFonts w:ascii="Garamond" w:hAnsi="Garamond" w:cs="Arial"/>
          <w:color w:val="141414"/>
          <w:sz w:val="22"/>
          <w:szCs w:val="22"/>
          <w:shd w:val="clear" w:color="auto" w:fill="FFFFFF"/>
        </w:rPr>
        <w:t xml:space="preserve"> There are medicinal cannabis products available from doctors and this is the right way to do it. Growing </w:t>
      </w:r>
      <w:proofErr w:type="gramStart"/>
      <w:r w:rsidRPr="002E2F4B">
        <w:rPr>
          <w:rFonts w:ascii="Garamond" w:hAnsi="Garamond" w:cs="Arial"/>
          <w:color w:val="141414"/>
          <w:sz w:val="22"/>
          <w:szCs w:val="22"/>
          <w:shd w:val="clear" w:color="auto" w:fill="FFFFFF"/>
        </w:rPr>
        <w:t>it</w:t>
      </w:r>
      <w:proofErr w:type="gramEnd"/>
      <w:r w:rsidRPr="002E2F4B">
        <w:rPr>
          <w:rFonts w:ascii="Garamond" w:hAnsi="Garamond" w:cs="Arial"/>
          <w:color w:val="141414"/>
          <w:sz w:val="22"/>
          <w:szCs w:val="22"/>
          <w:shd w:val="clear" w:color="auto" w:fill="FFFFFF"/>
        </w:rPr>
        <w:t xml:space="preserve"> yourself is the wrong way.”</w:t>
      </w:r>
    </w:p>
  </w:footnote>
  <w:footnote w:id="67">
    <w:p w14:paraId="0CA56332" w14:textId="77777777"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 Cooper, ‘In praise of the prescription: The symbolic and boundary object value of the traditional prescription in the electronic age’ (2011) 20(4) </w:t>
      </w:r>
      <w:r w:rsidRPr="002E2F4B">
        <w:rPr>
          <w:rFonts w:ascii="Garamond" w:hAnsi="Garamond"/>
          <w:i/>
          <w:iCs/>
          <w:sz w:val="22"/>
          <w:szCs w:val="22"/>
        </w:rPr>
        <w:t>Health Sociology Review</w:t>
      </w:r>
      <w:r w:rsidRPr="002E2F4B">
        <w:rPr>
          <w:rFonts w:ascii="Garamond" w:hAnsi="Garamond"/>
          <w:sz w:val="22"/>
          <w:szCs w:val="22"/>
        </w:rPr>
        <w:t xml:space="preserve"> 462 at 468.</w:t>
      </w:r>
    </w:p>
  </w:footnote>
  <w:footnote w:id="68">
    <w:p w14:paraId="3FDB2E42" w14:textId="478C6CDE" w:rsidR="00E21CD9" w:rsidRPr="002E2F4B" w:rsidRDefault="00E21CD9" w:rsidP="004D5495">
      <w:pPr>
        <w:autoSpaceDE w:val="0"/>
        <w:autoSpaceDN w:val="0"/>
        <w:adjustRightInd w:val="0"/>
        <w:spacing w:after="0" w:line="240" w:lineRule="auto"/>
        <w:rPr>
          <w:rFonts w:ascii="Garamond" w:hAnsi="Garamond"/>
        </w:rPr>
      </w:pPr>
      <w:r w:rsidRPr="002E2F4B">
        <w:rPr>
          <w:rStyle w:val="FootnoteReference"/>
          <w:rFonts w:ascii="Garamond" w:hAnsi="Garamond"/>
        </w:rPr>
        <w:footnoteRef/>
      </w:r>
      <w:r w:rsidRPr="002E2F4B">
        <w:rPr>
          <w:rFonts w:ascii="Garamond" w:hAnsi="Garamond"/>
        </w:rPr>
        <w:t xml:space="preserve"> See M. Smith’s, ‘The relationship between pharmacy and medicine’ discussing manifest and latent functions of prescribing in R. Mapes (ed) </w:t>
      </w:r>
      <w:r w:rsidRPr="002E2F4B">
        <w:rPr>
          <w:rFonts w:ascii="Garamond" w:hAnsi="Garamond" w:cs="Bembo-Italic"/>
          <w:i/>
          <w:iCs/>
        </w:rPr>
        <w:t xml:space="preserve">Prescribing Practice and Drug Usage </w:t>
      </w:r>
      <w:r w:rsidRPr="002E2F4B">
        <w:rPr>
          <w:rFonts w:ascii="Garamond" w:hAnsi="Garamond" w:cs="Bembo-Roman"/>
        </w:rPr>
        <w:t xml:space="preserve">(CRC Press, 1980). </w:t>
      </w:r>
    </w:p>
  </w:footnote>
  <w:footnote w:id="69">
    <w:p w14:paraId="1AE58F71" w14:textId="76093F01"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E. Pellegrino, ‘Prescribing and Drug Ingestion Symbols and Substances’ (1976) 10 </w:t>
      </w:r>
      <w:r w:rsidRPr="002E2F4B">
        <w:rPr>
          <w:rFonts w:ascii="Garamond" w:hAnsi="Garamond"/>
          <w:i/>
          <w:iCs/>
          <w:sz w:val="22"/>
          <w:szCs w:val="22"/>
        </w:rPr>
        <w:t xml:space="preserve">Drug Intelligence </w:t>
      </w:r>
      <w:r w:rsidRPr="002E2F4B">
        <w:rPr>
          <w:rFonts w:ascii="Garamond" w:hAnsi="Garamond"/>
          <w:sz w:val="22"/>
          <w:szCs w:val="22"/>
        </w:rPr>
        <w:t xml:space="preserve">624, reprinted in (2006) </w:t>
      </w:r>
      <w:r w:rsidRPr="002E2F4B">
        <w:rPr>
          <w:rFonts w:ascii="Garamond" w:hAnsi="Garamond"/>
          <w:i/>
          <w:iCs/>
          <w:sz w:val="22"/>
          <w:szCs w:val="22"/>
        </w:rPr>
        <w:t xml:space="preserve">Pharmacology Annals </w:t>
      </w:r>
      <w:r w:rsidRPr="002E2F4B">
        <w:rPr>
          <w:rFonts w:ascii="Garamond" w:hAnsi="Garamond"/>
          <w:sz w:val="22"/>
          <w:szCs w:val="22"/>
        </w:rPr>
        <w:t>1658 at 1660.</w:t>
      </w:r>
    </w:p>
  </w:footnote>
  <w:footnote w:id="70">
    <w:p w14:paraId="73BCA602" w14:textId="77777777"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Avoiding the conclusion that ‘nothing can be done’: Pellegrino ibid at 1660.</w:t>
      </w:r>
    </w:p>
  </w:footnote>
  <w:footnote w:id="71">
    <w:p w14:paraId="27399144" w14:textId="77777777"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 Weiss and J. Sutton, ‘The changing nature of prescribing: pharmacists as prescribers and challenges to medical dominance’ (2009) 31(3) </w:t>
      </w:r>
      <w:r w:rsidRPr="002E2F4B">
        <w:rPr>
          <w:rFonts w:ascii="Garamond" w:hAnsi="Garamond"/>
          <w:i/>
          <w:iCs/>
          <w:sz w:val="22"/>
          <w:szCs w:val="22"/>
        </w:rPr>
        <w:t>Soc of Health &amp; Illness</w:t>
      </w:r>
      <w:r w:rsidRPr="002E2F4B">
        <w:rPr>
          <w:rFonts w:ascii="Garamond" w:hAnsi="Garamond"/>
          <w:sz w:val="22"/>
          <w:szCs w:val="22"/>
        </w:rPr>
        <w:t xml:space="preserve"> 406 at 406.</w:t>
      </w:r>
    </w:p>
  </w:footnote>
  <w:footnote w:id="72">
    <w:p w14:paraId="357530BF" w14:textId="3B45290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E. Pellegrino</w:t>
      </w:r>
      <w:r>
        <w:rPr>
          <w:rFonts w:ascii="Garamond" w:hAnsi="Garamond"/>
          <w:sz w:val="22"/>
          <w:szCs w:val="22"/>
        </w:rPr>
        <w:t>, n.70,</w:t>
      </w:r>
      <w:r w:rsidRPr="002E2F4B">
        <w:rPr>
          <w:rFonts w:ascii="Garamond" w:hAnsi="Garamond"/>
          <w:sz w:val="22"/>
          <w:szCs w:val="22"/>
        </w:rPr>
        <w:t xml:space="preserve"> 1660.</w:t>
      </w:r>
    </w:p>
  </w:footnote>
  <w:footnote w:id="73">
    <w:p w14:paraId="558D4B96" w14:textId="77777777"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w:t>
      </w:r>
      <w:proofErr w:type="spellStart"/>
      <w:r w:rsidRPr="002E2F4B">
        <w:rPr>
          <w:rFonts w:ascii="Garamond" w:hAnsi="Garamond"/>
          <w:sz w:val="22"/>
          <w:szCs w:val="22"/>
        </w:rPr>
        <w:t>Metzl</w:t>
      </w:r>
      <w:proofErr w:type="spellEnd"/>
      <w:r w:rsidRPr="002E2F4B">
        <w:rPr>
          <w:rFonts w:ascii="Garamond" w:hAnsi="Garamond"/>
          <w:sz w:val="22"/>
          <w:szCs w:val="22"/>
        </w:rPr>
        <w:t xml:space="preserve"> and M. </w:t>
      </w:r>
      <w:proofErr w:type="spellStart"/>
      <w:r w:rsidRPr="002E2F4B">
        <w:rPr>
          <w:rFonts w:ascii="Garamond" w:hAnsi="Garamond"/>
          <w:sz w:val="22"/>
          <w:szCs w:val="22"/>
        </w:rPr>
        <w:t>Riba</w:t>
      </w:r>
      <w:proofErr w:type="spellEnd"/>
      <w:r w:rsidRPr="002E2F4B">
        <w:rPr>
          <w:rFonts w:ascii="Garamond" w:hAnsi="Garamond"/>
          <w:sz w:val="22"/>
          <w:szCs w:val="22"/>
        </w:rPr>
        <w:t xml:space="preserve">, ‘Understanding the Symbolic Value of Medications: A Brief Review’ (2003) 10(7) </w:t>
      </w:r>
      <w:r w:rsidRPr="002E2F4B">
        <w:rPr>
          <w:rFonts w:ascii="Garamond" w:hAnsi="Garamond"/>
          <w:i/>
          <w:iCs/>
          <w:sz w:val="22"/>
          <w:szCs w:val="22"/>
        </w:rPr>
        <w:t xml:space="preserve">Primary Psychiatry </w:t>
      </w:r>
      <w:r w:rsidRPr="002E2F4B">
        <w:rPr>
          <w:rFonts w:ascii="Garamond" w:hAnsi="Garamond"/>
          <w:sz w:val="22"/>
          <w:szCs w:val="22"/>
        </w:rPr>
        <w:t>45.</w:t>
      </w:r>
    </w:p>
  </w:footnote>
  <w:footnote w:id="74">
    <w:p w14:paraId="28999BE0" w14:textId="66D78E46"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spellStart"/>
      <w:r w:rsidRPr="002E2F4B">
        <w:rPr>
          <w:rFonts w:ascii="Garamond" w:hAnsi="Garamond"/>
          <w:sz w:val="22"/>
          <w:szCs w:val="22"/>
        </w:rPr>
        <w:t>Metzl</w:t>
      </w:r>
      <w:proofErr w:type="spellEnd"/>
      <w:r w:rsidRPr="002E2F4B">
        <w:rPr>
          <w:rFonts w:ascii="Garamond" w:hAnsi="Garamond"/>
          <w:sz w:val="22"/>
          <w:szCs w:val="22"/>
        </w:rPr>
        <w:t xml:space="preserve"> and </w:t>
      </w:r>
      <w:proofErr w:type="spellStart"/>
      <w:r w:rsidRPr="002E2F4B">
        <w:rPr>
          <w:rFonts w:ascii="Garamond" w:hAnsi="Garamond"/>
          <w:sz w:val="22"/>
          <w:szCs w:val="22"/>
        </w:rPr>
        <w:t>Riba</w:t>
      </w:r>
      <w:proofErr w:type="spellEnd"/>
      <w:r w:rsidRPr="002E2F4B">
        <w:rPr>
          <w:rFonts w:ascii="Garamond" w:hAnsi="Garamond"/>
          <w:sz w:val="22"/>
          <w:szCs w:val="22"/>
        </w:rPr>
        <w:t xml:space="preserve"> above.</w:t>
      </w:r>
    </w:p>
  </w:footnote>
  <w:footnote w:id="75">
    <w:p w14:paraId="27FDA6CF" w14:textId="77777777"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And similar transitions for the carer who may be involved in procurement and supply of otherwise illicit substances.</w:t>
      </w:r>
    </w:p>
  </w:footnote>
  <w:footnote w:id="76">
    <w:p w14:paraId="48F52326" w14:textId="07DBF039" w:rsidR="00E21CD9" w:rsidRPr="002E2F4B" w:rsidRDefault="00E21CD9" w:rsidP="004D549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K. Lancaster</w:t>
      </w:r>
      <w:bookmarkStart w:id="5" w:name="_Hlk34398355"/>
      <w:r w:rsidRPr="002E2F4B">
        <w:rPr>
          <w:rFonts w:ascii="Garamond" w:hAnsi="Garamond"/>
          <w:sz w:val="22"/>
          <w:szCs w:val="22"/>
        </w:rPr>
        <w:t xml:space="preserve"> et al ‘Making medicine</w:t>
      </w:r>
      <w:r>
        <w:rPr>
          <w:rFonts w:ascii="Garamond" w:hAnsi="Garamond"/>
          <w:sz w:val="22"/>
          <w:szCs w:val="22"/>
        </w:rPr>
        <w:t>’</w:t>
      </w:r>
      <w:r w:rsidRPr="002E2F4B">
        <w:rPr>
          <w:rFonts w:ascii="Garamond" w:hAnsi="Garamond"/>
          <w:sz w:val="22"/>
          <w:szCs w:val="22"/>
        </w:rPr>
        <w:t xml:space="preserve"> above n.</w:t>
      </w:r>
      <w:r>
        <w:rPr>
          <w:rFonts w:ascii="Garamond" w:hAnsi="Garamond"/>
          <w:sz w:val="22"/>
          <w:szCs w:val="22"/>
        </w:rPr>
        <w:t>41</w:t>
      </w:r>
      <w:r w:rsidRPr="002E2F4B">
        <w:rPr>
          <w:rFonts w:ascii="Garamond" w:hAnsi="Garamond"/>
          <w:sz w:val="22"/>
          <w:szCs w:val="22"/>
        </w:rPr>
        <w:t xml:space="preserve"> </w:t>
      </w:r>
      <w:bookmarkEnd w:id="5"/>
      <w:r w:rsidRPr="002E2F4B">
        <w:rPr>
          <w:rFonts w:ascii="Garamond" w:hAnsi="Garamond"/>
          <w:sz w:val="22"/>
          <w:szCs w:val="22"/>
        </w:rPr>
        <w:t xml:space="preserve">at 120 and A. </w:t>
      </w:r>
      <w:proofErr w:type="spellStart"/>
      <w:r w:rsidRPr="002E2F4B">
        <w:rPr>
          <w:rFonts w:ascii="Garamond" w:hAnsi="Garamond"/>
          <w:sz w:val="22"/>
          <w:szCs w:val="22"/>
        </w:rPr>
        <w:t>Schlag</w:t>
      </w:r>
      <w:proofErr w:type="spellEnd"/>
      <w:r w:rsidRPr="002E2F4B">
        <w:rPr>
          <w:rFonts w:ascii="Garamond" w:hAnsi="Garamond"/>
          <w:sz w:val="22"/>
          <w:szCs w:val="22"/>
        </w:rPr>
        <w:t>, ‘An Evaluation of Regulatory Regimes of Medical Cannabis</w:t>
      </w:r>
      <w:r>
        <w:rPr>
          <w:rFonts w:ascii="Garamond" w:hAnsi="Garamond"/>
          <w:sz w:val="22"/>
          <w:szCs w:val="22"/>
        </w:rPr>
        <w:t>,’ n.2</w:t>
      </w:r>
      <w:r w:rsidRPr="002E2F4B">
        <w:rPr>
          <w:rFonts w:ascii="Garamond" w:hAnsi="Garamond"/>
          <w:sz w:val="22"/>
          <w:szCs w:val="22"/>
        </w:rPr>
        <w:t xml:space="preserve"> at 4. </w:t>
      </w:r>
    </w:p>
  </w:footnote>
  <w:footnote w:id="77">
    <w:p w14:paraId="532E41DB" w14:textId="1B9B697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Cross Party Parliamentary Group for Drug Policy Reform, 2020 (above n.1</w:t>
      </w:r>
      <w:r>
        <w:rPr>
          <w:rFonts w:ascii="Garamond" w:hAnsi="Garamond"/>
          <w:sz w:val="22"/>
          <w:szCs w:val="22"/>
        </w:rPr>
        <w:t>8</w:t>
      </w:r>
      <w:r w:rsidRPr="002E2F4B">
        <w:rPr>
          <w:rFonts w:ascii="Garamond" w:hAnsi="Garamond"/>
          <w:sz w:val="22"/>
          <w:szCs w:val="22"/>
        </w:rPr>
        <w:t xml:space="preserve">) at 92. </w:t>
      </w:r>
    </w:p>
  </w:footnote>
  <w:footnote w:id="78">
    <w:p w14:paraId="4BCED4D2" w14:textId="3429BAE5"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K. Lancaster et al ‘Making medicine; producing pleasure’, above n.</w:t>
      </w:r>
      <w:r>
        <w:rPr>
          <w:rFonts w:ascii="Garamond" w:hAnsi="Garamond"/>
          <w:sz w:val="22"/>
          <w:szCs w:val="22"/>
        </w:rPr>
        <w:t>41</w:t>
      </w:r>
      <w:r w:rsidRPr="002E2F4B">
        <w:rPr>
          <w:rFonts w:ascii="Garamond" w:hAnsi="Garamond"/>
          <w:sz w:val="22"/>
          <w:szCs w:val="22"/>
        </w:rPr>
        <w:t xml:space="preserve"> at 117.</w:t>
      </w:r>
    </w:p>
  </w:footnote>
  <w:footnote w:id="79">
    <w:p w14:paraId="58C75933" w14:textId="3FF3B3AA"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Based on Zolotov’s interviews with medical practitioners in Israel: above n.</w:t>
      </w:r>
      <w:r>
        <w:rPr>
          <w:rFonts w:ascii="Garamond" w:hAnsi="Garamond"/>
          <w:sz w:val="22"/>
          <w:szCs w:val="22"/>
        </w:rPr>
        <w:t>41</w:t>
      </w:r>
      <w:r w:rsidRPr="002E2F4B">
        <w:rPr>
          <w:rFonts w:ascii="Garamond" w:hAnsi="Garamond" w:cs="AdvOT863180fb"/>
          <w:sz w:val="22"/>
          <w:szCs w:val="22"/>
        </w:rPr>
        <w:t xml:space="preserve"> at 8.</w:t>
      </w:r>
    </w:p>
  </w:footnote>
  <w:footnote w:id="80">
    <w:p w14:paraId="72B5DC5B" w14:textId="0FD6C81C"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 </w:t>
      </w:r>
      <w:proofErr w:type="spellStart"/>
      <w:r w:rsidRPr="002E2F4B">
        <w:rPr>
          <w:rFonts w:ascii="Garamond" w:hAnsi="Garamond"/>
          <w:sz w:val="22"/>
          <w:szCs w:val="22"/>
        </w:rPr>
        <w:t>Schlag</w:t>
      </w:r>
      <w:proofErr w:type="spellEnd"/>
      <w:r w:rsidRPr="002E2F4B">
        <w:rPr>
          <w:rFonts w:ascii="Garamond" w:hAnsi="Garamond"/>
          <w:sz w:val="22"/>
          <w:szCs w:val="22"/>
        </w:rPr>
        <w:t>, ‘An Evaluation of Regulatory Regimes of Medical Cannabis</w:t>
      </w:r>
      <w:r>
        <w:rPr>
          <w:rFonts w:ascii="Garamond" w:hAnsi="Garamond"/>
          <w:sz w:val="22"/>
          <w:szCs w:val="22"/>
        </w:rPr>
        <w:t>’ n.2</w:t>
      </w:r>
    </w:p>
  </w:footnote>
  <w:footnote w:id="81">
    <w:p w14:paraId="45D37F4D" w14:textId="155E8AF6"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n.10 at 8.7. </w:t>
      </w:r>
    </w:p>
  </w:footnote>
  <w:footnote w:id="82">
    <w:p w14:paraId="5DC78AB5" w14:textId="313F08A2"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As above. See also recent concern expressed at the normalisation of medicinal cannabis being strategically pursued by those wanting to see reform of drug controls to enable recreational use:  J. Gornall, ‘Big cannabis in the UK: is industry support for wider patient access motivated by promises of recreational market worth billions?’ (2020) BMJ 368.</w:t>
      </w:r>
    </w:p>
  </w:footnote>
  <w:footnote w:id="83">
    <w:p w14:paraId="24FA8B11" w14:textId="77777777"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Limited ‘non-medical prescribing’ can also be performed by pharmacists, prescribing nurses, dentists: Misuse of Drugs Act 1971.</w:t>
      </w:r>
    </w:p>
  </w:footnote>
  <w:footnote w:id="84">
    <w:p w14:paraId="51827880" w14:textId="77777777" w:rsidR="00E21CD9" w:rsidRPr="002E2F4B" w:rsidRDefault="00E21CD9" w:rsidP="0059287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proofErr w:type="gramStart"/>
      <w:r w:rsidRPr="002E2F4B">
        <w:rPr>
          <w:rFonts w:ascii="Garamond" w:hAnsi="Garamond"/>
          <w:sz w:val="22"/>
          <w:szCs w:val="22"/>
        </w:rPr>
        <w:t>e.g.</w:t>
      </w:r>
      <w:proofErr w:type="gramEnd"/>
      <w:r w:rsidRPr="002E2F4B">
        <w:rPr>
          <w:rFonts w:ascii="Garamond" w:hAnsi="Garamond"/>
          <w:sz w:val="22"/>
          <w:szCs w:val="22"/>
        </w:rPr>
        <w:t xml:space="preserve"> Ian Shaw’s application of ‘dirty work’ theory to doctors’ management of ‘difficult patients’: ‘Doctors, “dirty work” patients and revolving doors.’ (2004) 14(8) </w:t>
      </w:r>
      <w:r w:rsidRPr="002E2F4B">
        <w:rPr>
          <w:rFonts w:ascii="Garamond" w:hAnsi="Garamond"/>
          <w:i/>
          <w:iCs/>
          <w:sz w:val="22"/>
          <w:szCs w:val="22"/>
        </w:rPr>
        <w:t xml:space="preserve">Qualitative Health Research </w:t>
      </w:r>
      <w:r w:rsidRPr="002E2F4B">
        <w:rPr>
          <w:rFonts w:ascii="Garamond" w:hAnsi="Garamond"/>
          <w:sz w:val="22"/>
          <w:szCs w:val="22"/>
        </w:rPr>
        <w:t>1032.</w:t>
      </w:r>
    </w:p>
  </w:footnote>
  <w:footnote w:id="85">
    <w:p w14:paraId="67C6E1A0" w14:textId="22B9650B"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The issue of whether and how doctors should navigate determining whether a patient’s use of medicinal cannabis is ‘medicinal’ or ‘recreational’ is not addressed by the guidance discussed </w:t>
      </w:r>
      <w:proofErr w:type="gramStart"/>
      <w:r w:rsidRPr="0055569F">
        <w:rPr>
          <w:rFonts w:ascii="Garamond" w:hAnsi="Garamond"/>
          <w:sz w:val="22"/>
          <w:szCs w:val="22"/>
        </w:rPr>
        <w:t>here, but</w:t>
      </w:r>
      <w:proofErr w:type="gramEnd"/>
      <w:r w:rsidRPr="0055569F">
        <w:rPr>
          <w:rFonts w:ascii="Garamond" w:hAnsi="Garamond"/>
          <w:sz w:val="22"/>
          <w:szCs w:val="22"/>
        </w:rPr>
        <w:t xml:space="preserve"> is a complex issue which the author has reserved for future work. </w:t>
      </w:r>
    </w:p>
  </w:footnote>
  <w:footnote w:id="86">
    <w:p w14:paraId="7F523B5F" w14:textId="77777777" w:rsidR="00E21CD9" w:rsidRPr="0055569F" w:rsidRDefault="00E21CD9" w:rsidP="004D5495">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r w:rsidRPr="0055569F">
        <w:rPr>
          <w:rFonts w:ascii="Garamond" w:hAnsi="Garamond"/>
          <w:i/>
          <w:iCs/>
          <w:sz w:val="22"/>
          <w:szCs w:val="22"/>
        </w:rPr>
        <w:t>Responsibility for prescribing between Primary &amp; Secondary/Tertiary Care</w:t>
      </w:r>
      <w:r w:rsidRPr="0055569F">
        <w:rPr>
          <w:rFonts w:ascii="Garamond" w:hAnsi="Garamond"/>
          <w:sz w:val="22"/>
          <w:szCs w:val="22"/>
        </w:rPr>
        <w:t xml:space="preserve"> (NHS England, 2018) at 4.1.6 (</w:t>
      </w:r>
      <w:hyperlink r:id="rId12" w:history="1">
        <w:r w:rsidRPr="0055569F">
          <w:rPr>
            <w:rStyle w:val="Hyperlink"/>
            <w:rFonts w:ascii="Garamond" w:hAnsi="Garamond"/>
            <w:sz w:val="22"/>
            <w:szCs w:val="22"/>
          </w:rPr>
          <w:t>https://www.england.nhs.uk/wp-content/uploads/2018/03/responsibility-prescribing-between-primary-secondary-care-v2.pdf</w:t>
        </w:r>
      </w:hyperlink>
      <w:r w:rsidRPr="0055569F">
        <w:rPr>
          <w:rFonts w:ascii="Garamond" w:hAnsi="Garamond"/>
          <w:sz w:val="22"/>
          <w:szCs w:val="22"/>
        </w:rPr>
        <w:t xml:space="preserve">). </w:t>
      </w:r>
    </w:p>
  </w:footnote>
  <w:footnote w:id="87">
    <w:p w14:paraId="10BCB229" w14:textId="7D6A8436" w:rsidR="00E21CD9" w:rsidRPr="0055569F" w:rsidRDefault="00E21CD9" w:rsidP="004D5495">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Ronnie Cowan, HC Deb vol. 660, 20</w:t>
      </w:r>
      <w:r w:rsidRPr="0055569F">
        <w:rPr>
          <w:rFonts w:ascii="Garamond" w:hAnsi="Garamond"/>
          <w:sz w:val="22"/>
          <w:szCs w:val="22"/>
          <w:vertAlign w:val="superscript"/>
        </w:rPr>
        <w:t>th</w:t>
      </w:r>
      <w:r w:rsidRPr="0055569F">
        <w:rPr>
          <w:rFonts w:ascii="Garamond" w:hAnsi="Garamond"/>
          <w:sz w:val="22"/>
          <w:szCs w:val="22"/>
        </w:rPr>
        <w:t xml:space="preserve"> May 2019.</w:t>
      </w:r>
    </w:p>
  </w:footnote>
  <w:footnote w:id="88">
    <w:p w14:paraId="320B921B" w14:textId="77777777" w:rsidR="00E21CD9" w:rsidRPr="0055569F" w:rsidRDefault="00E21CD9" w:rsidP="004D5495">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N. Britten,</w:t>
      </w:r>
      <w:r w:rsidRPr="0055569F">
        <w:rPr>
          <w:rFonts w:ascii="Garamond" w:hAnsi="Garamond"/>
          <w:b/>
          <w:bCs/>
          <w:sz w:val="22"/>
          <w:szCs w:val="22"/>
        </w:rPr>
        <w:t xml:space="preserve"> ‘</w:t>
      </w:r>
      <w:r w:rsidRPr="0055569F">
        <w:rPr>
          <w:rFonts w:ascii="Garamond" w:hAnsi="Garamond"/>
          <w:sz w:val="22"/>
          <w:szCs w:val="22"/>
        </w:rPr>
        <w:t xml:space="preserve">Prescribing and the defence of clinical autonomy’ (2001) 23(4) </w:t>
      </w:r>
      <w:r w:rsidRPr="0055569F">
        <w:rPr>
          <w:rFonts w:ascii="Garamond" w:hAnsi="Garamond"/>
          <w:i/>
          <w:iCs/>
          <w:sz w:val="22"/>
          <w:szCs w:val="22"/>
        </w:rPr>
        <w:t>Soc of Health &amp; Illness</w:t>
      </w:r>
      <w:r w:rsidRPr="0055569F">
        <w:rPr>
          <w:rFonts w:ascii="Garamond" w:hAnsi="Garamond"/>
          <w:sz w:val="22"/>
          <w:szCs w:val="22"/>
        </w:rPr>
        <w:t xml:space="preserve"> 478.</w:t>
      </w:r>
    </w:p>
  </w:footnote>
  <w:footnote w:id="89">
    <w:p w14:paraId="0FEAB0F3" w14:textId="1506E747"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above at n.20.</w:t>
      </w:r>
    </w:p>
  </w:footnote>
  <w:footnote w:id="90">
    <w:p w14:paraId="28409550" w14:textId="19458900" w:rsidR="00E21CD9" w:rsidRPr="002E2F4B" w:rsidRDefault="00E21CD9" w:rsidP="00EA5697">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Use of cannabis-based products in neurology - interim guidelines</w:t>
      </w:r>
      <w:r w:rsidRPr="002E2F4B">
        <w:rPr>
          <w:rFonts w:ascii="Garamond" w:hAnsi="Garamond"/>
          <w:sz w:val="22"/>
          <w:szCs w:val="22"/>
        </w:rPr>
        <w:t xml:space="preserve"> (Association of British Neurologists, 2018).</w:t>
      </w:r>
    </w:p>
  </w:footnote>
  <w:footnote w:id="91">
    <w:p w14:paraId="5A679CB6" w14:textId="1635C1B7" w:rsidR="00E21CD9" w:rsidRPr="002E2F4B" w:rsidRDefault="00E21CD9" w:rsidP="00AD132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Around 85% of prescribing of unlicensed products are in private settings: Cross Party Parliamentary Group for Drug Policy Reform report, 2020 (above n.16) at 5. Some of the remaining 15% are accessing via the NHS are not doing so by usual means but by </w:t>
      </w:r>
      <w:proofErr w:type="gramStart"/>
      <w:r w:rsidRPr="002E2F4B">
        <w:rPr>
          <w:rFonts w:ascii="Garamond" w:hAnsi="Garamond"/>
          <w:sz w:val="22"/>
          <w:szCs w:val="22"/>
        </w:rPr>
        <w:t>e.g.</w:t>
      </w:r>
      <w:proofErr w:type="gramEnd"/>
      <w:r w:rsidRPr="002E2F4B">
        <w:rPr>
          <w:rFonts w:ascii="Garamond" w:hAnsi="Garamond"/>
          <w:sz w:val="22"/>
          <w:szCs w:val="22"/>
        </w:rPr>
        <w:t xml:space="preserve"> producer sponsorship (Caldwell), compassionate or extended access programmes. </w:t>
      </w:r>
    </w:p>
  </w:footnote>
  <w:footnote w:id="92">
    <w:p w14:paraId="53F3E8A7" w14:textId="77777777" w:rsidR="00E21CD9" w:rsidRPr="002E2F4B" w:rsidRDefault="00E21CD9" w:rsidP="00AD132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Drug Policy </w:t>
      </w:r>
      <w:r w:rsidRPr="002E2F4B">
        <w:rPr>
          <w:rFonts w:ascii="Garamond" w:hAnsi="Garamond"/>
          <w:sz w:val="22"/>
          <w:szCs w:val="22"/>
        </w:rPr>
        <w:t>HC Health and Social Care Select Committee 2019 at 82.</w:t>
      </w:r>
    </w:p>
  </w:footnote>
  <w:footnote w:id="93">
    <w:p w14:paraId="17D198BA" w14:textId="3DC7A267" w:rsidR="00E21CD9" w:rsidRPr="002E2F4B" w:rsidRDefault="00E21CD9" w:rsidP="00244B8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P. Case, ‘The NICE Guideline</w:t>
      </w:r>
      <w:r>
        <w:rPr>
          <w:rFonts w:ascii="Garamond" w:hAnsi="Garamond"/>
          <w:sz w:val="22"/>
          <w:szCs w:val="22"/>
        </w:rPr>
        <w:t>’, n.24</w:t>
      </w:r>
      <w:r w:rsidRPr="002E2F4B">
        <w:rPr>
          <w:rFonts w:ascii="Garamond" w:hAnsi="Garamond"/>
          <w:sz w:val="22"/>
          <w:szCs w:val="22"/>
        </w:rPr>
        <w:t xml:space="preserve"> at 406.</w:t>
      </w:r>
    </w:p>
  </w:footnote>
  <w:footnote w:id="94">
    <w:p w14:paraId="148B826F" w14:textId="77777777"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Cannabis Based Medicinal Products</w:t>
      </w:r>
      <w:r w:rsidRPr="002E2F4B">
        <w:rPr>
          <w:rFonts w:ascii="Garamond" w:hAnsi="Garamond"/>
          <w:sz w:val="22"/>
          <w:szCs w:val="22"/>
        </w:rPr>
        <w:t xml:space="preserve">, NG144 (published November 2019). </w:t>
      </w:r>
    </w:p>
  </w:footnote>
  <w:footnote w:id="95">
    <w:p w14:paraId="60819BEC" w14:textId="2EAE2728"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and there is reportedly little confidence in one of these which has been superseded by newer treatments for that condition Nabilone – see Cross Party Parliamentary Group for Drug Policy Reform, 2020, above n.</w:t>
      </w:r>
      <w:r>
        <w:rPr>
          <w:rFonts w:ascii="Garamond" w:hAnsi="Garamond"/>
          <w:sz w:val="22"/>
          <w:szCs w:val="22"/>
        </w:rPr>
        <w:t>18</w:t>
      </w:r>
      <w:r w:rsidRPr="002E2F4B">
        <w:rPr>
          <w:rFonts w:ascii="Garamond" w:hAnsi="Garamond"/>
          <w:sz w:val="22"/>
          <w:szCs w:val="22"/>
        </w:rPr>
        <w:t xml:space="preserve"> at 48.</w:t>
      </w:r>
    </w:p>
  </w:footnote>
  <w:footnote w:id="96">
    <w:p w14:paraId="471787DC" w14:textId="77777777"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 1.3.</w:t>
      </w:r>
    </w:p>
  </w:footnote>
  <w:footnote w:id="97">
    <w:p w14:paraId="6CC3CADA" w14:textId="3E6A2426"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Lennox-</w:t>
      </w:r>
      <w:proofErr w:type="spellStart"/>
      <w:r w:rsidRPr="002E2F4B">
        <w:rPr>
          <w:rFonts w:ascii="Garamond" w:hAnsi="Garamond"/>
          <w:sz w:val="22"/>
          <w:szCs w:val="22"/>
        </w:rPr>
        <w:t>Gastaut</w:t>
      </w:r>
      <w:proofErr w:type="spellEnd"/>
      <w:r w:rsidRPr="002E2F4B">
        <w:rPr>
          <w:rFonts w:ascii="Garamond" w:hAnsi="Garamond"/>
          <w:sz w:val="22"/>
          <w:szCs w:val="22"/>
        </w:rPr>
        <w:t xml:space="preserve"> Syndrome and </w:t>
      </w:r>
      <w:proofErr w:type="spellStart"/>
      <w:r w:rsidRPr="002E2F4B">
        <w:rPr>
          <w:rFonts w:ascii="Garamond" w:hAnsi="Garamond"/>
          <w:sz w:val="22"/>
          <w:szCs w:val="22"/>
        </w:rPr>
        <w:t>Dravet’s</w:t>
      </w:r>
      <w:proofErr w:type="spellEnd"/>
      <w:r w:rsidRPr="002E2F4B">
        <w:rPr>
          <w:rFonts w:ascii="Garamond" w:hAnsi="Garamond"/>
          <w:sz w:val="22"/>
          <w:szCs w:val="22"/>
        </w:rPr>
        <w:t xml:space="preserve"> Syndrome only. This appraisal informed the anticipated Technology Appraisal Guideline published in December 2019: </w:t>
      </w:r>
      <w:hyperlink r:id="rId13" w:history="1">
        <w:r w:rsidRPr="002E2F4B">
          <w:rPr>
            <w:rStyle w:val="Hyperlink"/>
            <w:rFonts w:ascii="Garamond" w:hAnsi="Garamond"/>
            <w:sz w:val="22"/>
            <w:szCs w:val="22"/>
          </w:rPr>
          <w:t>https://www.nice.org.uk/guidance/indevelopment/gid-ta10410/documents</w:t>
        </w:r>
      </w:hyperlink>
      <w:r w:rsidRPr="002E2F4B">
        <w:rPr>
          <w:rFonts w:ascii="Garamond" w:hAnsi="Garamond"/>
          <w:sz w:val="22"/>
          <w:szCs w:val="22"/>
        </w:rPr>
        <w:t>.</w:t>
      </w:r>
    </w:p>
  </w:footnote>
  <w:footnote w:id="98">
    <w:p w14:paraId="2E49F56C" w14:textId="77777777"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Making Decisions Using NICE Guidelines </w:t>
      </w:r>
      <w:r w:rsidRPr="002E2F4B">
        <w:rPr>
          <w:rFonts w:ascii="Garamond" w:hAnsi="Garamond"/>
          <w:sz w:val="22"/>
          <w:szCs w:val="22"/>
        </w:rPr>
        <w:t xml:space="preserve">(accessible at </w:t>
      </w:r>
      <w:hyperlink r:id="rId14" w:history="1">
        <w:r w:rsidRPr="002E2F4B">
          <w:rPr>
            <w:rStyle w:val="Hyperlink"/>
            <w:rFonts w:ascii="Garamond" w:hAnsi="Garamond"/>
            <w:sz w:val="22"/>
            <w:szCs w:val="22"/>
          </w:rPr>
          <w:t>https://www.nice.org.uk/about/what-we-do/our-programmes/nice-guidance/nice-guidelines/making-decisions-using-nice-guidelines</w:t>
        </w:r>
      </w:hyperlink>
      <w:r w:rsidRPr="002E2F4B">
        <w:rPr>
          <w:rFonts w:ascii="Garamond" w:hAnsi="Garamond"/>
          <w:sz w:val="22"/>
          <w:szCs w:val="22"/>
        </w:rPr>
        <w:t xml:space="preserve">). </w:t>
      </w:r>
    </w:p>
  </w:footnote>
  <w:footnote w:id="99">
    <w:p w14:paraId="204B1260" w14:textId="77777777" w:rsidR="00E21CD9" w:rsidRPr="002E2F4B" w:rsidRDefault="00E21CD9" w:rsidP="005C400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See</w:t>
      </w:r>
      <w:r w:rsidRPr="002E2F4B">
        <w:rPr>
          <w:rFonts w:ascii="Garamond" w:hAnsi="Garamond"/>
          <w:i/>
          <w:iCs/>
          <w:sz w:val="22"/>
          <w:szCs w:val="22"/>
        </w:rPr>
        <w:t xml:space="preserve"> Guidance for the use of medicinal cannabis in the treatment of chronic non-cancer pain in Australia </w:t>
      </w:r>
      <w:r w:rsidRPr="002E2F4B">
        <w:rPr>
          <w:rFonts w:ascii="Garamond" w:hAnsi="Garamond"/>
          <w:sz w:val="22"/>
          <w:szCs w:val="22"/>
        </w:rPr>
        <w:t>(Australian Government, Department of Health, Therapeutic Goods Administration,</w:t>
      </w:r>
      <w:r w:rsidRPr="002E2F4B">
        <w:rPr>
          <w:rFonts w:ascii="Garamond" w:hAnsi="Garamond"/>
          <w:i/>
          <w:iCs/>
          <w:sz w:val="22"/>
          <w:szCs w:val="22"/>
        </w:rPr>
        <w:t xml:space="preserve"> </w:t>
      </w:r>
      <w:r w:rsidRPr="002E2F4B">
        <w:rPr>
          <w:rFonts w:ascii="Garamond" w:hAnsi="Garamond"/>
          <w:sz w:val="22"/>
          <w:szCs w:val="22"/>
        </w:rPr>
        <w:t>2017).</w:t>
      </w:r>
    </w:p>
  </w:footnote>
  <w:footnote w:id="100">
    <w:p w14:paraId="6658FD2F" w14:textId="77777777"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 1.2.1</w:t>
      </w:r>
    </w:p>
  </w:footnote>
  <w:footnote w:id="101">
    <w:p w14:paraId="7EF5E2D1" w14:textId="77777777"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 1.2.2.</w:t>
      </w:r>
    </w:p>
  </w:footnote>
  <w:footnote w:id="102">
    <w:p w14:paraId="71708D4F" w14:textId="5DD4BA0A"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C.f. the </w:t>
      </w:r>
      <w:r w:rsidRPr="002E2F4B">
        <w:rPr>
          <w:rFonts w:ascii="Garamond" w:hAnsi="Garamond"/>
          <w:i/>
          <w:iCs/>
          <w:sz w:val="22"/>
          <w:szCs w:val="22"/>
        </w:rPr>
        <w:t xml:space="preserve">Health Effects of Cannabis </w:t>
      </w:r>
      <w:r w:rsidRPr="002E2F4B">
        <w:rPr>
          <w:rFonts w:ascii="Garamond" w:hAnsi="Garamond"/>
          <w:sz w:val="22"/>
          <w:szCs w:val="22"/>
        </w:rPr>
        <w:t>report, which concluded that there was ‘substantial evidence’ that ‘cannabis is effective in controlling chronic pain in adults’ (National Academy of Science Engineering and Medicine, 2017) at 90.</w:t>
      </w:r>
    </w:p>
  </w:footnote>
  <w:footnote w:id="103">
    <w:p w14:paraId="602C632B" w14:textId="559CBF7A" w:rsidR="00E21CD9" w:rsidRPr="002E2F4B" w:rsidRDefault="00E21CD9" w:rsidP="00E5240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‘Rationale and Impact’ in NG-144.</w:t>
      </w:r>
    </w:p>
  </w:footnote>
  <w:footnote w:id="104">
    <w:p w14:paraId="7C0D4F5C" w14:textId="1E05C66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8F62B8">
        <w:rPr>
          <w:rFonts w:ascii="Garamond" w:hAnsi="Garamond"/>
          <w:i/>
          <w:iCs/>
          <w:sz w:val="22"/>
          <w:szCs w:val="22"/>
        </w:rPr>
        <w:t xml:space="preserve">Cannabis </w:t>
      </w:r>
      <w:r w:rsidRPr="008F62B8">
        <w:rPr>
          <w:rFonts w:ascii="Garamond" w:hAnsi="Garamond"/>
          <w:sz w:val="22"/>
          <w:szCs w:val="22"/>
        </w:rPr>
        <w:t>(</w:t>
      </w:r>
      <w:r w:rsidRPr="008F62B8">
        <w:rPr>
          <w:rFonts w:ascii="Garamond" w:hAnsi="Garamond"/>
          <w:color w:val="000000"/>
          <w:sz w:val="22"/>
          <w:szCs w:val="22"/>
        </w:rPr>
        <w:t>House of Lords Science and Technology Select Committee (9</w:t>
      </w:r>
      <w:r w:rsidRPr="008F62B8">
        <w:rPr>
          <w:rFonts w:ascii="Garamond" w:hAnsi="Garamond"/>
          <w:color w:val="000000"/>
          <w:sz w:val="22"/>
          <w:szCs w:val="22"/>
          <w:vertAlign w:val="superscript"/>
        </w:rPr>
        <w:t>th</w:t>
      </w:r>
      <w:r w:rsidRPr="008F62B8">
        <w:rPr>
          <w:rFonts w:ascii="Garamond" w:hAnsi="Garamond"/>
          <w:color w:val="000000"/>
          <w:sz w:val="22"/>
          <w:szCs w:val="22"/>
        </w:rPr>
        <w:t xml:space="preserve"> Report)) (1997-98)</w:t>
      </w:r>
      <w:r>
        <w:rPr>
          <w:rFonts w:ascii="Garamond" w:hAnsi="Garamond"/>
          <w:color w:val="000000"/>
          <w:sz w:val="22"/>
          <w:szCs w:val="22"/>
        </w:rPr>
        <w:t>,</w:t>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at 8.2. </w:t>
      </w:r>
    </w:p>
  </w:footnote>
  <w:footnote w:id="105">
    <w:p w14:paraId="40BAA1E3" w14:textId="0D2A8B5E" w:rsidR="00E21CD9" w:rsidRPr="002E2F4B" w:rsidRDefault="00E21CD9" w:rsidP="001A5B2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D. Oliver, ‘Private practice by NHS doctors – still controversial?’ (2018) BMJ 362.</w:t>
      </w:r>
    </w:p>
  </w:footnote>
  <w:footnote w:id="106">
    <w:p w14:paraId="52E15742" w14:textId="77777777" w:rsidR="00E21CD9" w:rsidRPr="002E2F4B" w:rsidRDefault="00E21CD9" w:rsidP="001A5B2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 at 1.5.</w:t>
      </w:r>
    </w:p>
  </w:footnote>
  <w:footnote w:id="107">
    <w:p w14:paraId="29DD57FE" w14:textId="6F44E935" w:rsidR="00E21CD9" w:rsidRPr="002E2F4B" w:rsidRDefault="00E21CD9" w:rsidP="001A5B2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As above. </w:t>
      </w:r>
    </w:p>
  </w:footnote>
  <w:footnote w:id="108">
    <w:p w14:paraId="65B543FC" w14:textId="6786D150"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sources at notes </w:t>
      </w:r>
      <w:r w:rsidR="00676D49">
        <w:rPr>
          <w:rFonts w:ascii="Garamond" w:hAnsi="Garamond"/>
          <w:sz w:val="22"/>
          <w:szCs w:val="22"/>
        </w:rPr>
        <w:t>12 to 18.</w:t>
      </w:r>
    </w:p>
  </w:footnote>
  <w:footnote w:id="109">
    <w:p w14:paraId="21B32303" w14:textId="614EE46E"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‘Interim’ indicating its temporary nature and that the relevant source awaited publication of the finalised NICE guideline which was published in November 2019.</w:t>
      </w:r>
    </w:p>
  </w:footnote>
  <w:footnote w:id="110">
    <w:p w14:paraId="7052FED5" w14:textId="130C543F"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Recommendations on cannabis-based products for medicinal use</w:t>
      </w:r>
      <w:r w:rsidRPr="002E2F4B">
        <w:rPr>
          <w:rFonts w:ascii="Garamond" w:hAnsi="Garamond"/>
          <w:sz w:val="22"/>
          <w:szCs w:val="22"/>
        </w:rPr>
        <w:t xml:space="preserve"> (RCP, 2018).</w:t>
      </w:r>
    </w:p>
  </w:footnote>
  <w:footnote w:id="111">
    <w:p w14:paraId="3B071BED" w14:textId="01DD75DE" w:rsidR="00E21CD9" w:rsidRPr="002E2F4B" w:rsidRDefault="00E21CD9" w:rsidP="00BF2F5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Guidance on the use of cannabis</w:t>
      </w:r>
      <w:r w:rsidRPr="0055569F">
        <w:rPr>
          <w:rFonts w:ascii="Times New Roman" w:hAnsi="Times New Roman" w:cs="Times New Roman"/>
          <w:i/>
          <w:iCs/>
          <w:sz w:val="22"/>
          <w:szCs w:val="22"/>
        </w:rPr>
        <w:t>‐</w:t>
      </w:r>
      <w:r w:rsidRPr="002E2F4B">
        <w:rPr>
          <w:rFonts w:ascii="Garamond" w:hAnsi="Garamond"/>
          <w:i/>
          <w:iCs/>
          <w:sz w:val="22"/>
          <w:szCs w:val="22"/>
        </w:rPr>
        <w:t xml:space="preserve">based products for medicinal use in children and young people with epilepsy </w:t>
      </w:r>
      <w:r w:rsidRPr="002E2F4B">
        <w:rPr>
          <w:rFonts w:ascii="Garamond" w:hAnsi="Garamond"/>
          <w:sz w:val="22"/>
          <w:szCs w:val="22"/>
        </w:rPr>
        <w:t>(BPNA, 2018).</w:t>
      </w:r>
    </w:p>
  </w:footnote>
  <w:footnote w:id="112">
    <w:p w14:paraId="1AC73854" w14:textId="3ED23E48" w:rsidR="00E21CD9" w:rsidRPr="002E2F4B" w:rsidRDefault="00E21CD9" w:rsidP="00D37AAB">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Cannabis-based medicines: a desktop guide </w:t>
      </w:r>
      <w:r w:rsidRPr="002E2F4B">
        <w:rPr>
          <w:rFonts w:ascii="Garamond" w:hAnsi="Garamond"/>
          <w:sz w:val="22"/>
          <w:szCs w:val="22"/>
        </w:rPr>
        <w:t>(RCGP, 2018)</w:t>
      </w:r>
      <w:r w:rsidRPr="002E2F4B">
        <w:rPr>
          <w:rFonts w:ascii="Garamond" w:hAnsi="Garamond"/>
          <w:i/>
          <w:iCs/>
          <w:sz w:val="22"/>
          <w:szCs w:val="22"/>
        </w:rPr>
        <w:t>.</w:t>
      </w:r>
    </w:p>
  </w:footnote>
  <w:footnote w:id="113">
    <w:p w14:paraId="67C8B133" w14:textId="14A1F008"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Use of cannabis-based products in neurology – interim guidelines </w:t>
      </w:r>
      <w:r w:rsidRPr="002E2F4B">
        <w:rPr>
          <w:rFonts w:ascii="Garamond" w:hAnsi="Garamond"/>
          <w:sz w:val="22"/>
          <w:szCs w:val="22"/>
        </w:rPr>
        <w:t>(ABN, 2018).</w:t>
      </w:r>
    </w:p>
  </w:footnote>
  <w:footnote w:id="114">
    <w:p w14:paraId="1942E4B2" w14:textId="0E8CD3A9" w:rsidR="00E21CD9" w:rsidRPr="002E2F4B" w:rsidRDefault="00E21CD9" w:rsidP="00D37AAB">
      <w:pPr>
        <w:autoSpaceDE w:val="0"/>
        <w:autoSpaceDN w:val="0"/>
        <w:adjustRightInd w:val="0"/>
        <w:spacing w:after="0" w:line="240" w:lineRule="auto"/>
        <w:jc w:val="left"/>
        <w:rPr>
          <w:rFonts w:ascii="Garamond" w:hAnsi="Garamond"/>
        </w:rPr>
      </w:pPr>
      <w:r w:rsidRPr="002E2F4B">
        <w:rPr>
          <w:rStyle w:val="FootnoteReference"/>
          <w:rFonts w:ascii="Garamond" w:hAnsi="Garamond"/>
        </w:rPr>
        <w:footnoteRef/>
      </w:r>
      <w:r w:rsidRPr="002E2F4B">
        <w:rPr>
          <w:rFonts w:ascii="Garamond" w:hAnsi="Garamond"/>
          <w:i/>
          <w:iCs/>
        </w:rPr>
        <w:t xml:space="preserve"> </w:t>
      </w:r>
      <w:r w:rsidRPr="002E2F4B">
        <w:rPr>
          <w:rFonts w:ascii="Garamond" w:hAnsi="Garamond" w:cs="Arial-BoldMT"/>
          <w:i/>
          <w:iCs/>
        </w:rPr>
        <w:t>Interim policy position on cannabis-based medicinal products</w:t>
      </w:r>
      <w:r w:rsidRPr="002E2F4B">
        <w:rPr>
          <w:rFonts w:ascii="Garamond" w:hAnsi="Garamond" w:cs="Arial-BoldMT"/>
        </w:rPr>
        <w:t xml:space="preserve"> (CQC, October 2019). </w:t>
      </w:r>
    </w:p>
  </w:footnote>
  <w:footnote w:id="115">
    <w:p w14:paraId="364C3B1C" w14:textId="77777777"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Cannabis based medicinal products PS05/19 </w:t>
      </w:r>
      <w:r w:rsidRPr="002E2F4B">
        <w:rPr>
          <w:rFonts w:ascii="Garamond" w:hAnsi="Garamond"/>
          <w:sz w:val="22"/>
          <w:szCs w:val="22"/>
        </w:rPr>
        <w:t>(RCP, 2019)</w:t>
      </w:r>
    </w:p>
  </w:footnote>
  <w:footnote w:id="116">
    <w:p w14:paraId="25846EB9" w14:textId="77777777"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i/>
          <w:iCs/>
          <w:sz w:val="22"/>
          <w:szCs w:val="22"/>
        </w:rPr>
        <w:t xml:space="preserve"> BPS Position Statement on the Medicinal Use of Cannabinoids in Pain Management </w:t>
      </w:r>
      <w:r w:rsidRPr="002E2F4B">
        <w:rPr>
          <w:rFonts w:ascii="Garamond" w:hAnsi="Garamond"/>
          <w:sz w:val="22"/>
          <w:szCs w:val="22"/>
        </w:rPr>
        <w:t>(2018).</w:t>
      </w:r>
    </w:p>
  </w:footnote>
  <w:footnote w:id="117">
    <w:p w14:paraId="649888F8" w14:textId="24AEA613" w:rsidR="00E21CD9" w:rsidRPr="002E2F4B" w:rsidRDefault="00E21CD9" w:rsidP="00D37AA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Accessible at </w:t>
      </w:r>
      <w:hyperlink r:id="rId15" w:history="1">
        <w:r w:rsidRPr="002E2F4B">
          <w:rPr>
            <w:rStyle w:val="Hyperlink"/>
            <w:rFonts w:ascii="Garamond" w:hAnsi="Garamond"/>
            <w:sz w:val="22"/>
            <w:szCs w:val="22"/>
          </w:rPr>
          <w:t>https://www.england.nhs.uk/medicines-2/support-for-prescribers/cannabis-based-products-for-medicinal-use/cannabis-based-products-for-medicinal-use-frequently-asked-questions/</w:t>
        </w:r>
      </w:hyperlink>
      <w:r w:rsidRPr="002E2F4B">
        <w:rPr>
          <w:rFonts w:ascii="Garamond" w:hAnsi="Garamond"/>
          <w:sz w:val="22"/>
          <w:szCs w:val="22"/>
        </w:rPr>
        <w:t xml:space="preserve">. The Royal College of Nurses took the lead amongst professional health care bodies, actively supporting a change in the law when reforms were being discussed and setting up a specialist support group for patients: Cannabis Patient Advocacy and Support Service (CPASS) – </w:t>
      </w:r>
      <w:hyperlink r:id="rId16" w:history="1">
        <w:r w:rsidRPr="002E2F4B">
          <w:rPr>
            <w:rStyle w:val="Hyperlink"/>
            <w:rFonts w:ascii="Garamond" w:hAnsi="Garamond"/>
            <w:sz w:val="22"/>
            <w:szCs w:val="22"/>
          </w:rPr>
          <w:t>www.cannpass.org</w:t>
        </w:r>
      </w:hyperlink>
      <w:r w:rsidRPr="002E2F4B">
        <w:rPr>
          <w:rFonts w:ascii="Garamond" w:hAnsi="Garamond"/>
          <w:sz w:val="22"/>
          <w:szCs w:val="22"/>
        </w:rPr>
        <w:t xml:space="preserve">. </w:t>
      </w:r>
    </w:p>
  </w:footnote>
  <w:footnote w:id="118">
    <w:p w14:paraId="6D931896" w14:textId="1C86E28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Ss.2-3 Medical Act 1983.</w:t>
      </w:r>
    </w:p>
  </w:footnote>
  <w:footnote w:id="119">
    <w:p w14:paraId="53A5F326" w14:textId="5A82D539" w:rsidR="00E21CD9" w:rsidRPr="002E2F4B" w:rsidRDefault="00E21CD9" w:rsidP="00AE574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Miola,</w:t>
      </w:r>
      <w:r w:rsidRPr="002E2F4B">
        <w:rPr>
          <w:rFonts w:ascii="Garamond" w:hAnsi="Garamond"/>
          <w:i/>
          <w:iCs/>
          <w:sz w:val="22"/>
          <w:szCs w:val="22"/>
        </w:rPr>
        <w:t xml:space="preserve"> Medical Ethics and Medical Law: A Symbiotic Relationship?</w:t>
      </w:r>
      <w:r w:rsidRPr="002E2F4B">
        <w:rPr>
          <w:rFonts w:ascii="Garamond" w:hAnsi="Garamond"/>
          <w:sz w:val="22"/>
          <w:szCs w:val="22"/>
        </w:rPr>
        <w:t xml:space="preserve"> (Hart Publishing, 2007) at 6.</w:t>
      </w:r>
    </w:p>
  </w:footnote>
  <w:footnote w:id="120">
    <w:p w14:paraId="7A923C1F" w14:textId="35C2E2B8"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Information for doctors on Cannabis-based products for medicinal use (CBPMs)</w:t>
      </w:r>
      <w:r w:rsidRPr="002E2F4B">
        <w:rPr>
          <w:rFonts w:ascii="Garamond" w:hAnsi="Garamond"/>
          <w:sz w:val="22"/>
          <w:szCs w:val="22"/>
        </w:rPr>
        <w:t xml:space="preserve"> (GMC, 2018) which merely provides links to other sources of guidance.</w:t>
      </w:r>
    </w:p>
  </w:footnote>
  <w:footnote w:id="121">
    <w:p w14:paraId="28277C9B" w14:textId="4AD1FAE4"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‘Supplementary Letter’ issued by the Department of Health and Social Care, NHS England, Welsh Government, etc. Tuesday 20th November 2018 - </w:t>
      </w:r>
      <w:hyperlink r:id="rId17" w:history="1">
        <w:r w:rsidRPr="002E2F4B">
          <w:rPr>
            <w:rStyle w:val="Hyperlink"/>
            <w:rFonts w:ascii="Garamond" w:hAnsi="Garamond"/>
            <w:sz w:val="22"/>
            <w:szCs w:val="22"/>
          </w:rPr>
          <w:t>http://www.hscbusiness.hscni.net/pdf/Cannabis%20Based%20Products%20for%20Medicinal%20Use%20Supplementary%20Letter%20FINAL.PDF</w:t>
        </w:r>
      </w:hyperlink>
      <w:r w:rsidRPr="002E2F4B">
        <w:rPr>
          <w:rFonts w:ascii="Garamond" w:hAnsi="Garamond"/>
          <w:sz w:val="22"/>
          <w:szCs w:val="22"/>
        </w:rPr>
        <w:t xml:space="preserve"> and also NHS England FAQs, ‘who can prescribe’. </w:t>
      </w:r>
    </w:p>
  </w:footnote>
  <w:footnote w:id="122">
    <w:p w14:paraId="46F2742C" w14:textId="5E9A64C4"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 xml:space="preserve"> </w:t>
      </w:r>
      <w:r w:rsidRPr="002E2F4B">
        <w:rPr>
          <w:rFonts w:ascii="Garamond" w:hAnsi="Garamond"/>
          <w:sz w:val="22"/>
          <w:szCs w:val="22"/>
        </w:rPr>
        <w:t>(GMC, 2013)</w:t>
      </w:r>
      <w:r>
        <w:rPr>
          <w:rFonts w:ascii="Garamond" w:hAnsi="Garamond"/>
          <w:sz w:val="22"/>
          <w:szCs w:val="22"/>
        </w:rPr>
        <w:t xml:space="preserve">, </w:t>
      </w:r>
      <w:r w:rsidRPr="008F62B8">
        <w:rPr>
          <w:rFonts w:ascii="Garamond" w:hAnsi="Garamond"/>
          <w:sz w:val="22"/>
          <w:szCs w:val="22"/>
        </w:rPr>
        <w:t>paras 67 to 70</w:t>
      </w:r>
      <w:r w:rsidRPr="002E2F4B">
        <w:rPr>
          <w:rFonts w:ascii="Garamond" w:hAnsi="Garamond"/>
          <w:sz w:val="22"/>
          <w:szCs w:val="22"/>
        </w:rPr>
        <w:t xml:space="preserve">. </w:t>
      </w:r>
    </w:p>
  </w:footnote>
  <w:footnote w:id="123">
    <w:p w14:paraId="5CF00A35" w14:textId="20FB21BA"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ibid</w:t>
      </w:r>
      <w:r w:rsidRPr="002E2F4B">
        <w:rPr>
          <w:rFonts w:ascii="Garamond" w:hAnsi="Garamond"/>
          <w:sz w:val="22"/>
          <w:szCs w:val="22"/>
        </w:rPr>
        <w:t xml:space="preserve"> at para 11.</w:t>
      </w:r>
    </w:p>
  </w:footnote>
  <w:footnote w:id="124">
    <w:p w14:paraId="24670F4D" w14:textId="45D40176" w:rsidR="00E21CD9" w:rsidRPr="002E2F4B" w:rsidRDefault="00E21CD9" w:rsidP="00D53CD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below in section III. </w:t>
      </w:r>
    </w:p>
  </w:footnote>
  <w:footnote w:id="125">
    <w:p w14:paraId="20C2BC5D" w14:textId="6A1F4E6B" w:rsidR="00E21CD9" w:rsidRPr="002E2F4B" w:rsidRDefault="00E21CD9" w:rsidP="00D53CD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Miola,</w:t>
      </w:r>
      <w:r w:rsidRPr="002E2F4B">
        <w:rPr>
          <w:rFonts w:ascii="Garamond" w:hAnsi="Garamond"/>
          <w:i/>
          <w:iCs/>
          <w:sz w:val="22"/>
          <w:szCs w:val="22"/>
        </w:rPr>
        <w:t xml:space="preserve"> Medical Ethics and Medical Law</w:t>
      </w:r>
      <w:r>
        <w:rPr>
          <w:rFonts w:ascii="Garamond" w:hAnsi="Garamond"/>
          <w:i/>
          <w:iCs/>
          <w:sz w:val="22"/>
          <w:szCs w:val="22"/>
        </w:rPr>
        <w:t xml:space="preserve">, </w:t>
      </w:r>
      <w:r>
        <w:rPr>
          <w:rFonts w:ascii="Garamond" w:hAnsi="Garamond"/>
          <w:sz w:val="22"/>
          <w:szCs w:val="22"/>
        </w:rPr>
        <w:t>n.120</w:t>
      </w:r>
      <w:r w:rsidRPr="002E2F4B">
        <w:rPr>
          <w:rFonts w:ascii="Garamond" w:hAnsi="Garamond"/>
          <w:sz w:val="22"/>
          <w:szCs w:val="22"/>
        </w:rPr>
        <w:t xml:space="preserve"> at 18.</w:t>
      </w:r>
    </w:p>
  </w:footnote>
  <w:footnote w:id="126">
    <w:p w14:paraId="69C108E2" w14:textId="5EA14683" w:rsidR="00E21CD9" w:rsidRPr="002E2F4B" w:rsidRDefault="00E21CD9" w:rsidP="00D53CD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Miola, above at 8.</w:t>
      </w:r>
    </w:p>
  </w:footnote>
  <w:footnote w:id="127">
    <w:p w14:paraId="22DFB45B" w14:textId="20CB6876"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J. Fuller, ‘Rhetoric and Argumentation: How Clinical Practice Guidelines Think’ (2013) </w:t>
      </w:r>
      <w:r w:rsidRPr="0055569F">
        <w:rPr>
          <w:rFonts w:ascii="Garamond" w:hAnsi="Garamond" w:cs="Univers-Light"/>
          <w:i/>
          <w:iCs/>
          <w:sz w:val="22"/>
          <w:szCs w:val="22"/>
        </w:rPr>
        <w:t>Journal of Evaluation in Clinical Practice</w:t>
      </w:r>
      <w:r w:rsidRPr="0055569F">
        <w:rPr>
          <w:rFonts w:ascii="Garamond" w:hAnsi="Garamond" w:cs="Univers-Light"/>
          <w:sz w:val="22"/>
          <w:szCs w:val="22"/>
        </w:rPr>
        <w:t xml:space="preserve"> (2013) 433 at 433.</w:t>
      </w:r>
      <w:r w:rsidRPr="0055569F">
        <w:rPr>
          <w:rFonts w:ascii="Garamond" w:hAnsi="Garamond"/>
          <w:sz w:val="22"/>
          <w:szCs w:val="22"/>
        </w:rPr>
        <w:t xml:space="preserve"> </w:t>
      </w:r>
    </w:p>
  </w:footnote>
  <w:footnote w:id="128">
    <w:p w14:paraId="0B3297D0" w14:textId="4E1044A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ABN (above n.1</w:t>
      </w:r>
      <w:r>
        <w:rPr>
          <w:rFonts w:ascii="Garamond" w:hAnsi="Garamond"/>
          <w:sz w:val="22"/>
          <w:szCs w:val="22"/>
        </w:rPr>
        <w:t>1</w:t>
      </w:r>
      <w:r w:rsidRPr="002E2F4B">
        <w:rPr>
          <w:rFonts w:ascii="Garamond" w:hAnsi="Garamond"/>
          <w:sz w:val="22"/>
          <w:szCs w:val="22"/>
        </w:rPr>
        <w:t>5) in connection with ‘other epilepsies,’ at p.2.</w:t>
      </w:r>
    </w:p>
  </w:footnote>
  <w:footnote w:id="129">
    <w:p w14:paraId="53AF75DC" w14:textId="75F5366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BPNA (n.1</w:t>
      </w:r>
      <w:r>
        <w:rPr>
          <w:rFonts w:ascii="Garamond" w:hAnsi="Garamond"/>
          <w:sz w:val="22"/>
          <w:szCs w:val="22"/>
        </w:rPr>
        <w:t>1</w:t>
      </w:r>
      <w:r w:rsidRPr="002E2F4B">
        <w:rPr>
          <w:rFonts w:ascii="Garamond" w:hAnsi="Garamond"/>
          <w:sz w:val="22"/>
          <w:szCs w:val="22"/>
        </w:rPr>
        <w:t>3) and NHS England FAQs (n.1</w:t>
      </w:r>
      <w:r>
        <w:rPr>
          <w:rFonts w:ascii="Garamond" w:hAnsi="Garamond"/>
          <w:sz w:val="22"/>
          <w:szCs w:val="22"/>
        </w:rPr>
        <w:t>1</w:t>
      </w:r>
      <w:r w:rsidRPr="002E2F4B">
        <w:rPr>
          <w:rFonts w:ascii="Garamond" w:hAnsi="Garamond"/>
          <w:sz w:val="22"/>
          <w:szCs w:val="22"/>
        </w:rPr>
        <w:t xml:space="preserve">9). The ‘last resort’ approach is not unique to the UK’s regulatory framework – in Canada, the ‘last resort’ policy, initially at least, represented the official position of the Canadian Medical Association: N. Jackson and O. Leung, ‘Health Care Practitioners and the Cannabis Industry: Ethical Issues of Legalizing and Prescribing Cannabis’ (2019) </w:t>
      </w:r>
      <w:r w:rsidRPr="002E2F4B">
        <w:rPr>
          <w:rFonts w:ascii="Garamond" w:hAnsi="Garamond"/>
          <w:i/>
          <w:iCs/>
          <w:sz w:val="22"/>
          <w:szCs w:val="22"/>
        </w:rPr>
        <w:t>Sage Business Cases</w:t>
      </w:r>
      <w:r w:rsidRPr="002E2F4B">
        <w:rPr>
          <w:rFonts w:ascii="Garamond" w:hAnsi="Garamond"/>
          <w:sz w:val="22"/>
          <w:szCs w:val="22"/>
        </w:rPr>
        <w:t xml:space="preserve"> at p.4. It also appeared in the medical declarations that doctors were asked to complete in Canada under the Medical Marijuana Access Regulations 2001 ((as amended), para 6(1)(e) ‘(e) …conventional treatments for the symptom have been tried or considered and have been found to be ineffective or medically inappropriate for the treatment of the applicant’ SOR/2005-177. A version of the last resort provision also applies in the ‘Special Access Scheme’ in Australia: </w:t>
      </w:r>
      <w:r w:rsidRPr="002E2F4B">
        <w:rPr>
          <w:rFonts w:ascii="Garamond" w:hAnsi="Garamond"/>
          <w:i/>
          <w:iCs/>
          <w:sz w:val="22"/>
          <w:szCs w:val="22"/>
        </w:rPr>
        <w:t xml:space="preserve">Special Access Scheme: Guidance for health practitioners and sponsors, </w:t>
      </w:r>
      <w:r w:rsidRPr="002E2F4B">
        <w:rPr>
          <w:rFonts w:ascii="Garamond" w:hAnsi="Garamond"/>
          <w:sz w:val="22"/>
          <w:szCs w:val="22"/>
        </w:rPr>
        <w:t>Version 1.1, September 2017, www.tga.gov.au/special-access-scheme-guidance-health-practitioners-and-sponsors.</w:t>
      </w:r>
    </w:p>
  </w:footnote>
  <w:footnote w:id="130">
    <w:p w14:paraId="36F13958" w14:textId="0F6AF1A1"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proofErr w:type="gramStart"/>
      <w:r w:rsidRPr="002E2F4B">
        <w:rPr>
          <w:rFonts w:ascii="Garamond" w:hAnsi="Garamond"/>
          <w:sz w:val="22"/>
          <w:szCs w:val="22"/>
        </w:rPr>
        <w:t>e.g.</w:t>
      </w:r>
      <w:proofErr w:type="gramEnd"/>
      <w:r w:rsidRPr="002E2F4B">
        <w:rPr>
          <w:rFonts w:ascii="Garamond" w:hAnsi="Garamond"/>
          <w:sz w:val="22"/>
          <w:szCs w:val="22"/>
        </w:rPr>
        <w:t xml:space="preserve"> Vera Twomey at n.2 above.</w:t>
      </w:r>
    </w:p>
  </w:footnote>
  <w:footnote w:id="131">
    <w:p w14:paraId="2737C465" w14:textId="5B345765" w:rsidR="00E21CD9" w:rsidRPr="002E2F4B" w:rsidRDefault="00E21CD9" w:rsidP="00193E5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1</w:t>
      </w:r>
      <w:r w:rsidRPr="002E2F4B">
        <w:rPr>
          <w:rFonts w:ascii="Garamond" w:hAnsi="Garamond"/>
          <w:sz w:val="22"/>
          <w:szCs w:val="22"/>
        </w:rPr>
        <w:t>3 at 5.2.</w:t>
      </w:r>
    </w:p>
  </w:footnote>
  <w:footnote w:id="132">
    <w:p w14:paraId="394D670C" w14:textId="22436CC2" w:rsidR="00E21CD9" w:rsidRPr="002E2F4B" w:rsidRDefault="00E21CD9" w:rsidP="00FA052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As above.</w:t>
      </w:r>
    </w:p>
  </w:footnote>
  <w:footnote w:id="133">
    <w:p w14:paraId="09B1A219" w14:textId="5BCCD582" w:rsidR="00E21CD9" w:rsidRPr="002E2F4B" w:rsidRDefault="00E21CD9" w:rsidP="009E4DD4">
      <w:pPr>
        <w:pStyle w:val="FootnoteText"/>
        <w:rPr>
          <w:rFonts w:ascii="Garamond" w:hAnsi="Garamond"/>
          <w:sz w:val="22"/>
          <w:szCs w:val="22"/>
        </w:rPr>
      </w:pPr>
      <w:r w:rsidRPr="002E2F4B">
        <w:rPr>
          <w:rStyle w:val="FootnoteReference"/>
          <w:rFonts w:ascii="Garamond" w:hAnsi="Garamond"/>
          <w:sz w:val="22"/>
          <w:szCs w:val="22"/>
        </w:rPr>
        <w:footnoteRef/>
      </w:r>
      <w:hyperlink r:id="rId18" w:history="1">
        <w:r w:rsidRPr="002E2F4B">
          <w:rPr>
            <w:rStyle w:val="Hyperlink"/>
            <w:rFonts w:ascii="Garamond" w:hAnsi="Garamond"/>
            <w:sz w:val="22"/>
            <w:szCs w:val="22"/>
          </w:rPr>
          <w:t>https://www.england.nhs.uk/wp-content/uploads/2018/10/letter-guidance-on-cannabis-based-products-for-medicinal-use..pdf</w:t>
        </w:r>
      </w:hyperlink>
      <w:r w:rsidRPr="002E2F4B">
        <w:rPr>
          <w:rFonts w:ascii="Garamond" w:hAnsi="Garamond"/>
          <w:sz w:val="22"/>
          <w:szCs w:val="22"/>
        </w:rPr>
        <w:t>. (emphasis added).</w:t>
      </w:r>
    </w:p>
  </w:footnote>
  <w:footnote w:id="134">
    <w:p w14:paraId="11E84544" w14:textId="77777777" w:rsidR="00E21CD9" w:rsidRPr="002E2F4B" w:rsidRDefault="00E21CD9" w:rsidP="002B4E3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https://www.kingsfund.org.uk/projects/positions/nhs-waiting-times?gclid=EAIaIQobChMIjcnngfLi6QIVCLLtCh3uoASxEAAYASAAEgIwUfD_BwE</w:t>
      </w:r>
    </w:p>
  </w:footnote>
  <w:footnote w:id="135">
    <w:p w14:paraId="7701EA21" w14:textId="758A2A3B" w:rsidR="00E21CD9" w:rsidRPr="002E2F4B" w:rsidRDefault="00E21CD9" w:rsidP="00640CF4">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Although NHS webpages list only the ‘common side effects’ (affecting more than 1 in 100 patients) of most medicines and not rarer but possibly more serious side effects. See however concerns expressed by GPs regarding the risk profiles of commonly prescribed non-steroidal anti-inflammatory drugs, a ‘high risk’ drug group with significant adverse events: J. McDonald et al, ‘GPs’ views and experiences of prescribing non-steroidal anti-inflammatory drugs: a qualitative study.’ (2017) BJGP. </w:t>
      </w:r>
    </w:p>
  </w:footnote>
  <w:footnote w:id="136">
    <w:p w14:paraId="0EF1527A" w14:textId="02099908"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w:t>
      </w:r>
    </w:p>
  </w:footnote>
  <w:footnote w:id="137">
    <w:p w14:paraId="5AF5C439" w14:textId="45408B7E"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 xml:space="preserve"> at para 67. See G. Donovan et al who report that such prescribing in the UK is in fact ‘widespread’ accounting for £75 million NHS spend in 2016: ‘Unlicensed medicines use: a UK guideline analysis using AGREE II’ (2018) 26(6) </w:t>
      </w:r>
      <w:r w:rsidRPr="002E2F4B">
        <w:rPr>
          <w:rFonts w:ascii="Garamond" w:hAnsi="Garamond"/>
          <w:i/>
          <w:iCs/>
          <w:sz w:val="22"/>
          <w:szCs w:val="22"/>
        </w:rPr>
        <w:t xml:space="preserve">Int J of Pharm </w:t>
      </w:r>
      <w:proofErr w:type="spellStart"/>
      <w:r w:rsidRPr="002E2F4B">
        <w:rPr>
          <w:rFonts w:ascii="Garamond" w:hAnsi="Garamond"/>
          <w:i/>
          <w:iCs/>
          <w:sz w:val="22"/>
          <w:szCs w:val="22"/>
        </w:rPr>
        <w:t>Prac</w:t>
      </w:r>
      <w:proofErr w:type="spellEnd"/>
      <w:r w:rsidRPr="002E2F4B">
        <w:rPr>
          <w:rFonts w:ascii="Garamond" w:hAnsi="Garamond"/>
          <w:sz w:val="22"/>
          <w:szCs w:val="22"/>
        </w:rPr>
        <w:t xml:space="preserve"> 515. </w:t>
      </w:r>
    </w:p>
  </w:footnote>
  <w:footnote w:id="138">
    <w:p w14:paraId="21759780" w14:textId="58343478"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 xml:space="preserve"> at para 69.</w:t>
      </w:r>
    </w:p>
  </w:footnote>
  <w:footnote w:id="139">
    <w:p w14:paraId="3741C658" w14:textId="65CDCC50" w:rsidR="00E21CD9" w:rsidRPr="002E2F4B" w:rsidRDefault="00E21CD9" w:rsidP="00064AB2">
      <w:pPr>
        <w:pStyle w:val="FootnoteText"/>
        <w:rPr>
          <w:rFonts w:ascii="Garamond" w:hAnsi="Garamond"/>
          <w:b/>
          <w:b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w:t>
      </w:r>
      <w:r w:rsidRPr="002E2F4B">
        <w:rPr>
          <w:rFonts w:ascii="Garamond" w:hAnsi="Garamond"/>
          <w:i/>
          <w:iCs/>
          <w:sz w:val="22"/>
          <w:szCs w:val="22"/>
        </w:rPr>
        <w:t xml:space="preserve">R v Quayle </w:t>
      </w:r>
      <w:r w:rsidRPr="002E2F4B">
        <w:rPr>
          <w:rFonts w:ascii="Garamond" w:hAnsi="Garamond"/>
          <w:sz w:val="22"/>
          <w:szCs w:val="22"/>
        </w:rPr>
        <w:t>(see below)</w:t>
      </w:r>
      <w:r w:rsidRPr="002E2F4B">
        <w:rPr>
          <w:rFonts w:ascii="Garamond" w:hAnsi="Garamond"/>
          <w:i/>
          <w:iCs/>
          <w:sz w:val="22"/>
          <w:szCs w:val="22"/>
        </w:rPr>
        <w:t xml:space="preserve">, Allard v Canada </w:t>
      </w:r>
      <w:r w:rsidRPr="002E2F4B">
        <w:rPr>
          <w:rFonts w:ascii="Garamond" w:hAnsi="Garamond"/>
          <w:sz w:val="22"/>
          <w:szCs w:val="22"/>
        </w:rPr>
        <w:t>2016 FC 236, 394 DLR (4</w:t>
      </w:r>
      <w:r w:rsidRPr="002E2F4B">
        <w:rPr>
          <w:rFonts w:ascii="Garamond" w:hAnsi="Garamond"/>
          <w:sz w:val="22"/>
          <w:szCs w:val="22"/>
          <w:vertAlign w:val="superscript"/>
        </w:rPr>
        <w:t>th</w:t>
      </w:r>
      <w:r w:rsidRPr="002E2F4B">
        <w:rPr>
          <w:rFonts w:ascii="Garamond" w:hAnsi="Garamond"/>
          <w:sz w:val="22"/>
          <w:szCs w:val="22"/>
        </w:rPr>
        <w:t xml:space="preserve">) at [135], </w:t>
      </w:r>
      <w:r w:rsidRPr="002E2F4B">
        <w:rPr>
          <w:rFonts w:ascii="Garamond" w:hAnsi="Garamond"/>
          <w:i/>
          <w:iCs/>
          <w:sz w:val="22"/>
          <w:szCs w:val="22"/>
        </w:rPr>
        <w:t xml:space="preserve">R v </w:t>
      </w:r>
      <w:proofErr w:type="spellStart"/>
      <w:r w:rsidRPr="002E2F4B">
        <w:rPr>
          <w:rFonts w:ascii="Garamond" w:hAnsi="Garamond"/>
          <w:i/>
          <w:iCs/>
          <w:sz w:val="22"/>
          <w:szCs w:val="22"/>
        </w:rPr>
        <w:t>Mernagh</w:t>
      </w:r>
      <w:proofErr w:type="spellEnd"/>
      <w:r w:rsidRPr="002E2F4B">
        <w:rPr>
          <w:rFonts w:ascii="Garamond" w:hAnsi="Garamond"/>
          <w:sz w:val="22"/>
          <w:szCs w:val="22"/>
        </w:rPr>
        <w:t xml:space="preserve"> [2013] ONCA 67 at [26], </w:t>
      </w:r>
      <w:r w:rsidRPr="002E2F4B">
        <w:rPr>
          <w:rFonts w:ascii="Garamond" w:hAnsi="Garamond"/>
          <w:i/>
          <w:iCs/>
          <w:sz w:val="22"/>
          <w:szCs w:val="22"/>
        </w:rPr>
        <w:t xml:space="preserve">R v </w:t>
      </w:r>
      <w:proofErr w:type="spellStart"/>
      <w:r w:rsidRPr="002E2F4B">
        <w:rPr>
          <w:rFonts w:ascii="Garamond" w:hAnsi="Garamond"/>
          <w:i/>
          <w:iCs/>
          <w:sz w:val="22"/>
          <w:szCs w:val="22"/>
        </w:rPr>
        <w:t>Beren</w:t>
      </w:r>
      <w:proofErr w:type="spellEnd"/>
      <w:r w:rsidRPr="002E2F4B">
        <w:rPr>
          <w:rFonts w:ascii="Garamond" w:hAnsi="Garamond"/>
          <w:i/>
          <w:iCs/>
          <w:sz w:val="22"/>
          <w:szCs w:val="22"/>
        </w:rPr>
        <w:t xml:space="preserve"> &amp; Swallow</w:t>
      </w:r>
      <w:r w:rsidRPr="002E2F4B">
        <w:rPr>
          <w:rFonts w:ascii="Garamond" w:hAnsi="Garamond"/>
          <w:sz w:val="22"/>
          <w:szCs w:val="22"/>
        </w:rPr>
        <w:t xml:space="preserve"> </w:t>
      </w:r>
      <w:bookmarkStart w:id="8" w:name="_Hlk39661423"/>
      <w:r w:rsidRPr="002E2F4B">
        <w:rPr>
          <w:rFonts w:ascii="Garamond" w:hAnsi="Garamond"/>
          <w:sz w:val="22"/>
          <w:szCs w:val="22"/>
        </w:rPr>
        <w:t>[2009] BCSC 429</w:t>
      </w:r>
      <w:bookmarkEnd w:id="8"/>
      <w:r w:rsidRPr="002E2F4B">
        <w:rPr>
          <w:rFonts w:ascii="Garamond" w:hAnsi="Garamond"/>
          <w:sz w:val="22"/>
          <w:szCs w:val="22"/>
        </w:rPr>
        <w:t xml:space="preserve"> at [41], </w:t>
      </w:r>
      <w:r w:rsidRPr="002E2F4B">
        <w:rPr>
          <w:rFonts w:ascii="Garamond" w:hAnsi="Garamond"/>
          <w:i/>
          <w:iCs/>
          <w:sz w:val="22"/>
          <w:szCs w:val="22"/>
        </w:rPr>
        <w:t xml:space="preserve">R v Parker </w:t>
      </w:r>
      <w:r w:rsidRPr="002E2F4B">
        <w:rPr>
          <w:rFonts w:ascii="Garamond" w:hAnsi="Garamond"/>
          <w:sz w:val="22"/>
          <w:szCs w:val="22"/>
        </w:rPr>
        <w:t>(2000)</w:t>
      </w:r>
      <w:r w:rsidRPr="002E2F4B">
        <w:rPr>
          <w:rFonts w:ascii="Garamond" w:hAnsi="Garamond" w:cs="Arial"/>
          <w:color w:val="4D5156"/>
          <w:sz w:val="22"/>
          <w:szCs w:val="22"/>
          <w:shd w:val="clear" w:color="auto" w:fill="FFFFFF"/>
        </w:rPr>
        <w:t xml:space="preserve"> 49 O.R. (3d) 481 at [25]</w:t>
      </w:r>
      <w:r w:rsidRPr="002E2F4B">
        <w:rPr>
          <w:rFonts w:ascii="Garamond" w:hAnsi="Garamond"/>
          <w:sz w:val="22"/>
          <w:szCs w:val="22"/>
        </w:rPr>
        <w:t>.</w:t>
      </w:r>
    </w:p>
  </w:footnote>
  <w:footnote w:id="140">
    <w:p w14:paraId="7162E453" w14:textId="77777777"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[2003] EWCA Crim 2637.</w:t>
      </w:r>
    </w:p>
  </w:footnote>
  <w:footnote w:id="141">
    <w:p w14:paraId="79DE337E" w14:textId="77777777"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the three ‘patient’ defendants in </w:t>
      </w:r>
      <w:r w:rsidRPr="002E2F4B">
        <w:rPr>
          <w:rFonts w:ascii="Garamond" w:hAnsi="Garamond"/>
          <w:i/>
          <w:iCs/>
          <w:sz w:val="22"/>
          <w:szCs w:val="22"/>
        </w:rPr>
        <w:t>R v Quayle</w:t>
      </w:r>
      <w:r w:rsidRPr="002E2F4B">
        <w:rPr>
          <w:rFonts w:ascii="Garamond" w:hAnsi="Garamond"/>
          <w:sz w:val="22"/>
          <w:szCs w:val="22"/>
        </w:rPr>
        <w:t xml:space="preserve"> argued their cannabis use was informed by the relatively low risk profile compared to opioids and one was using cannabis to wean himself off opioid dependency.</w:t>
      </w:r>
    </w:p>
  </w:footnote>
  <w:footnote w:id="142">
    <w:p w14:paraId="5C6A65FA" w14:textId="6F8FE088"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i/>
          <w:iCs/>
          <w:sz w:val="22"/>
          <w:szCs w:val="22"/>
        </w:rPr>
        <w:t xml:space="preserve"> </w:t>
      </w:r>
      <w:r w:rsidRPr="002E2F4B">
        <w:rPr>
          <w:rFonts w:ascii="Garamond" w:hAnsi="Garamond"/>
          <w:sz w:val="22"/>
          <w:szCs w:val="22"/>
        </w:rPr>
        <w:t xml:space="preserve">In another context, Whipple </w:t>
      </w:r>
      <w:r>
        <w:rPr>
          <w:rFonts w:ascii="Garamond" w:hAnsi="Garamond"/>
          <w:sz w:val="22"/>
          <w:szCs w:val="22"/>
        </w:rPr>
        <w:t xml:space="preserve">J </w:t>
      </w:r>
      <w:r w:rsidRPr="002E2F4B">
        <w:rPr>
          <w:rFonts w:ascii="Garamond" w:hAnsi="Garamond"/>
          <w:sz w:val="22"/>
          <w:szCs w:val="22"/>
        </w:rPr>
        <w:t>found that para 69 of the GMC’s guidance was not an exhaustive list of situations where unlicensed medicines could be prescribed and that the guidance did not ‘preclude the prescription of unlicensed medicines, simply because there is a licensed alternative available’:</w:t>
      </w:r>
      <w:r w:rsidRPr="002E2F4B">
        <w:rPr>
          <w:rFonts w:ascii="Garamond" w:hAnsi="Garamond"/>
          <w:i/>
          <w:iCs/>
          <w:sz w:val="22"/>
          <w:szCs w:val="22"/>
        </w:rPr>
        <w:t xml:space="preserve"> Bayer and Novartis v NHS Darlington CCG </w:t>
      </w:r>
      <w:r w:rsidRPr="002E2F4B">
        <w:rPr>
          <w:rFonts w:ascii="Garamond" w:hAnsi="Garamond"/>
          <w:sz w:val="22"/>
          <w:szCs w:val="22"/>
        </w:rPr>
        <w:t>[2018] EWHC 2465 at 148 – it was not unlawful for CCGs to prefer a cheaper drug, not licensed for the particular use over two medications licensed for that purpose which were recommended by NICE.</w:t>
      </w:r>
    </w:p>
  </w:footnote>
  <w:footnote w:id="143">
    <w:p w14:paraId="78D715BD" w14:textId="71F51CC2"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All cited as obvious problems of ‘black market’ supply by the judgment: [2003] 231 (4</w:t>
      </w:r>
      <w:r w:rsidRPr="002E2F4B">
        <w:rPr>
          <w:rFonts w:ascii="Garamond" w:hAnsi="Garamond"/>
          <w:sz w:val="22"/>
          <w:szCs w:val="22"/>
          <w:vertAlign w:val="superscript"/>
        </w:rPr>
        <w:t>th</w:t>
      </w:r>
      <w:r w:rsidRPr="002E2F4B">
        <w:rPr>
          <w:rFonts w:ascii="Garamond" w:hAnsi="Garamond"/>
          <w:sz w:val="22"/>
          <w:szCs w:val="22"/>
        </w:rPr>
        <w:t>) DLR 104 at [22].</w:t>
      </w:r>
    </w:p>
  </w:footnote>
  <w:footnote w:id="144">
    <w:p w14:paraId="6E69DF68" w14:textId="77777777"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Recommendations and Guidance on Medical Cannabis under Prescription </w:t>
      </w:r>
      <w:r w:rsidRPr="002E2F4B">
        <w:rPr>
          <w:rFonts w:ascii="Garamond" w:hAnsi="Garamond"/>
          <w:sz w:val="22"/>
          <w:szCs w:val="22"/>
        </w:rPr>
        <w:t>(2</w:t>
      </w:r>
      <w:r w:rsidRPr="002E2F4B">
        <w:rPr>
          <w:rFonts w:ascii="Garamond" w:hAnsi="Garamond"/>
          <w:sz w:val="22"/>
          <w:szCs w:val="22"/>
          <w:vertAlign w:val="superscript"/>
        </w:rPr>
        <w:t>nd</w:t>
      </w:r>
      <w:r w:rsidRPr="002E2F4B">
        <w:rPr>
          <w:rFonts w:ascii="Garamond" w:hAnsi="Garamond"/>
          <w:sz w:val="22"/>
          <w:szCs w:val="22"/>
        </w:rPr>
        <w:t xml:space="preserve"> Ed) (Medicinal Cannabis Clinicians Society) (2020).</w:t>
      </w:r>
    </w:p>
  </w:footnote>
  <w:footnote w:id="145">
    <w:p w14:paraId="6EAC7A69" w14:textId="11D2F1CB" w:rsidR="00E21CD9" w:rsidRPr="002E2F4B" w:rsidRDefault="00E21CD9" w:rsidP="00064AB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MCCS, above, at 2.3.</w:t>
      </w:r>
    </w:p>
  </w:footnote>
  <w:footnote w:id="146">
    <w:p w14:paraId="23C259CE" w14:textId="373D3D29"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With thanks to one of the reviewers for this</w:t>
      </w:r>
      <w:r>
        <w:rPr>
          <w:rFonts w:ascii="Garamond" w:hAnsi="Garamond"/>
          <w:sz w:val="22"/>
          <w:szCs w:val="22"/>
        </w:rPr>
        <w:t xml:space="preserve"> observation</w:t>
      </w:r>
      <w:r w:rsidRPr="0055569F">
        <w:rPr>
          <w:rFonts w:ascii="Garamond" w:hAnsi="Garamond"/>
          <w:sz w:val="22"/>
          <w:szCs w:val="22"/>
        </w:rPr>
        <w:t>.</w:t>
      </w:r>
    </w:p>
  </w:footnote>
  <w:footnote w:id="147">
    <w:p w14:paraId="5937C823" w14:textId="280F4C1C" w:rsidR="00E21CD9" w:rsidRPr="002E2F4B" w:rsidRDefault="00E21CD9" w:rsidP="00AB109F">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n.2.</w:t>
      </w:r>
    </w:p>
  </w:footnote>
  <w:footnote w:id="148">
    <w:p w14:paraId="4C05D8E8" w14:textId="74C54688" w:rsidR="00E21CD9" w:rsidRPr="002E2F4B" w:rsidRDefault="00E21CD9" w:rsidP="00AB109F">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NG-144.</w:t>
      </w:r>
    </w:p>
  </w:footnote>
  <w:footnote w:id="149">
    <w:p w14:paraId="175F0F3B" w14:textId="5C1C5E4E" w:rsidR="00E21CD9" w:rsidRPr="002E2F4B" w:rsidRDefault="00E21CD9" w:rsidP="00AB109F">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Govt advice on prescribing unlicensed medicines and off licence prescribing: published 2009 – https://www.gov.uk/drug-safety-update/off-label-or-unlicensed-use-of-medicines-prescribers-responsibilities.  </w:t>
      </w:r>
    </w:p>
  </w:footnote>
  <w:footnote w:id="150">
    <w:p w14:paraId="7C2964C9" w14:textId="05BEB9B4"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p>
  </w:footnote>
  <w:footnote w:id="151">
    <w:p w14:paraId="34D800D5" w14:textId="495FD57F" w:rsidR="00E21CD9" w:rsidRPr="002E2F4B" w:rsidRDefault="00E21CD9" w:rsidP="00AB109F">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There were 51,250 hospital consultants as of September 2017, but GPs represents an additional 34,534 prescribers, and all of these would be in the NHS: </w:t>
      </w:r>
      <w:r w:rsidRPr="002E2F4B">
        <w:rPr>
          <w:rFonts w:ascii="Garamond" w:hAnsi="Garamond"/>
          <w:i/>
          <w:iCs/>
          <w:sz w:val="22"/>
          <w:szCs w:val="22"/>
        </w:rPr>
        <w:t xml:space="preserve">The NHS Workforce in Numbers </w:t>
      </w:r>
      <w:r w:rsidRPr="002E2F4B">
        <w:rPr>
          <w:rFonts w:ascii="Garamond" w:hAnsi="Garamond"/>
          <w:sz w:val="22"/>
          <w:szCs w:val="22"/>
        </w:rPr>
        <w:t>(Nuffield Trust, 30</w:t>
      </w:r>
      <w:r w:rsidRPr="002E2F4B">
        <w:rPr>
          <w:rFonts w:ascii="Garamond" w:hAnsi="Garamond"/>
          <w:sz w:val="22"/>
          <w:szCs w:val="22"/>
          <w:vertAlign w:val="superscript"/>
        </w:rPr>
        <w:t>th</w:t>
      </w:r>
      <w:r w:rsidRPr="002E2F4B">
        <w:rPr>
          <w:rFonts w:ascii="Garamond" w:hAnsi="Garamond"/>
          <w:sz w:val="22"/>
          <w:szCs w:val="22"/>
        </w:rPr>
        <w:t xml:space="preserve"> May 2019), available at </w:t>
      </w:r>
      <w:hyperlink r:id="rId19" w:history="1">
        <w:r w:rsidRPr="002E2F4B">
          <w:rPr>
            <w:rStyle w:val="Hyperlink"/>
            <w:rFonts w:ascii="Garamond" w:hAnsi="Garamond"/>
            <w:sz w:val="22"/>
            <w:szCs w:val="22"/>
          </w:rPr>
          <w:t>https://www.nuffieldtrust.org.uk/resource/the-nhs-workforce-in-numbers</w:t>
        </w:r>
      </w:hyperlink>
      <w:r w:rsidRPr="002E2F4B">
        <w:rPr>
          <w:rFonts w:ascii="Garamond" w:hAnsi="Garamond"/>
          <w:sz w:val="22"/>
          <w:szCs w:val="22"/>
        </w:rPr>
        <w:t>.</w:t>
      </w:r>
    </w:p>
  </w:footnote>
  <w:footnote w:id="152">
    <w:p w14:paraId="14710F8E" w14:textId="4D287075" w:rsidR="00E21CD9" w:rsidRPr="002E2F4B" w:rsidRDefault="00E21CD9" w:rsidP="00AB109F">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w:t>
      </w:r>
      <w:proofErr w:type="spellStart"/>
      <w:r w:rsidRPr="002E2F4B">
        <w:rPr>
          <w:rFonts w:ascii="Garamond" w:hAnsi="Garamond"/>
          <w:sz w:val="22"/>
          <w:szCs w:val="22"/>
        </w:rPr>
        <w:t>Jorja</w:t>
      </w:r>
      <w:proofErr w:type="spellEnd"/>
      <w:r w:rsidRPr="002E2F4B">
        <w:rPr>
          <w:rFonts w:ascii="Garamond" w:hAnsi="Garamond"/>
          <w:sz w:val="22"/>
          <w:szCs w:val="22"/>
        </w:rPr>
        <w:t xml:space="preserve"> Emerson’s father who needed to travel from Northern Ireland each month to London to access a prescription: ‘Private firm to provide girl with medical cannabis after NHS ‘refuses to pay’ </w:t>
      </w:r>
      <w:r w:rsidRPr="002E2F4B">
        <w:rPr>
          <w:rFonts w:ascii="Garamond" w:hAnsi="Garamond"/>
          <w:i/>
          <w:iCs/>
          <w:sz w:val="22"/>
          <w:szCs w:val="22"/>
        </w:rPr>
        <w:t>Belfast Telegraph,</w:t>
      </w:r>
      <w:r w:rsidRPr="002E2F4B">
        <w:rPr>
          <w:rFonts w:ascii="Garamond" w:hAnsi="Garamond"/>
          <w:sz w:val="22"/>
          <w:szCs w:val="22"/>
        </w:rPr>
        <w:t xml:space="preserve"> 3rd April 2019.</w:t>
      </w:r>
    </w:p>
  </w:footnote>
  <w:footnote w:id="153">
    <w:p w14:paraId="49AEA048" w14:textId="606FE01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Regulation 167 of the </w:t>
      </w:r>
      <w:r w:rsidRPr="002E2F4B">
        <w:rPr>
          <w:rFonts w:ascii="Garamond" w:hAnsi="Garamond"/>
          <w:i/>
          <w:iCs/>
          <w:sz w:val="22"/>
          <w:szCs w:val="22"/>
        </w:rPr>
        <w:t>Human Medicines Regulations 2012</w:t>
      </w:r>
      <w:r w:rsidRPr="002E2F4B">
        <w:rPr>
          <w:rFonts w:ascii="Garamond" w:hAnsi="Garamond"/>
          <w:sz w:val="22"/>
          <w:szCs w:val="22"/>
        </w:rPr>
        <w:t xml:space="preserve"> (2012/1916). </w:t>
      </w:r>
    </w:p>
  </w:footnote>
  <w:footnote w:id="154">
    <w:p w14:paraId="573D073A" w14:textId="7420BC6C" w:rsidR="00E21CD9" w:rsidRPr="0055569F" w:rsidRDefault="00E21CD9">
      <w:pPr>
        <w:pStyle w:val="FootnoteText"/>
        <w:rPr>
          <w:rFonts w:ascii="Garamond" w:hAnsi="Garamond"/>
          <w:i/>
          <w:iCs/>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proofErr w:type="spellStart"/>
      <w:r w:rsidRPr="008F62B8">
        <w:rPr>
          <w:rFonts w:ascii="Garamond" w:hAnsi="Garamond"/>
          <w:i/>
          <w:iCs/>
          <w:sz w:val="22"/>
          <w:szCs w:val="22"/>
        </w:rPr>
        <w:t>Bolam</w:t>
      </w:r>
      <w:proofErr w:type="spellEnd"/>
      <w:r w:rsidRPr="008F62B8">
        <w:rPr>
          <w:rFonts w:ascii="Garamond" w:hAnsi="Garamond"/>
          <w:sz w:val="22"/>
          <w:szCs w:val="22"/>
        </w:rPr>
        <w:t xml:space="preserve"> </w:t>
      </w:r>
      <w:r w:rsidRPr="008F62B8">
        <w:rPr>
          <w:rFonts w:ascii="Garamond" w:hAnsi="Garamond"/>
          <w:i/>
          <w:iCs/>
          <w:sz w:val="22"/>
          <w:szCs w:val="22"/>
        </w:rPr>
        <w:t xml:space="preserve">v Friern Hospital Management Committee </w:t>
      </w:r>
      <w:r w:rsidRPr="008F62B8">
        <w:rPr>
          <w:rFonts w:ascii="Garamond" w:hAnsi="Garamond"/>
          <w:sz w:val="22"/>
          <w:szCs w:val="22"/>
        </w:rPr>
        <w:t>[1957] 1 WLR 583</w:t>
      </w:r>
      <w:r>
        <w:rPr>
          <w:rFonts w:ascii="Garamond" w:hAnsi="Garamond"/>
          <w:sz w:val="22"/>
          <w:szCs w:val="22"/>
        </w:rPr>
        <w:t xml:space="preserve">; </w:t>
      </w:r>
      <w:r w:rsidRPr="008F62B8">
        <w:rPr>
          <w:rFonts w:ascii="Garamond" w:hAnsi="Garamond"/>
          <w:i/>
          <w:iCs/>
          <w:sz w:val="22"/>
          <w:szCs w:val="22"/>
        </w:rPr>
        <w:t>Bolitho</w:t>
      </w:r>
      <w:r w:rsidRPr="008F62B8">
        <w:rPr>
          <w:rFonts w:ascii="Garamond" w:hAnsi="Garamond"/>
          <w:sz w:val="22"/>
          <w:szCs w:val="22"/>
        </w:rPr>
        <w:t xml:space="preserve"> </w:t>
      </w:r>
      <w:r w:rsidRPr="008F62B8">
        <w:rPr>
          <w:rFonts w:ascii="Garamond" w:hAnsi="Garamond"/>
          <w:i/>
          <w:iCs/>
          <w:sz w:val="22"/>
          <w:szCs w:val="22"/>
        </w:rPr>
        <w:t xml:space="preserve">v City and Hackney Health Authority </w:t>
      </w:r>
      <w:r w:rsidRPr="008F62B8">
        <w:rPr>
          <w:rFonts w:ascii="Garamond" w:hAnsi="Garamond"/>
          <w:sz w:val="22"/>
          <w:szCs w:val="22"/>
        </w:rPr>
        <w:t>[1998] AC 232</w:t>
      </w:r>
      <w:r>
        <w:rPr>
          <w:rFonts w:ascii="Garamond" w:hAnsi="Garamond"/>
          <w:sz w:val="22"/>
          <w:szCs w:val="22"/>
        </w:rPr>
        <w:t xml:space="preserve">; </w:t>
      </w:r>
      <w:r>
        <w:rPr>
          <w:rFonts w:ascii="Garamond" w:hAnsi="Garamond"/>
          <w:i/>
          <w:iCs/>
          <w:sz w:val="22"/>
          <w:szCs w:val="22"/>
        </w:rPr>
        <w:t xml:space="preserve">Montgomery v Lanarkshire Health Board </w:t>
      </w:r>
      <w:r w:rsidRPr="008F62B8">
        <w:rPr>
          <w:rFonts w:ascii="Garamond" w:hAnsi="Garamond"/>
          <w:sz w:val="22"/>
          <w:szCs w:val="22"/>
        </w:rPr>
        <w:t>[2015] UKSC 11</w:t>
      </w:r>
      <w:r>
        <w:rPr>
          <w:rFonts w:ascii="Garamond" w:hAnsi="Garamond"/>
          <w:sz w:val="22"/>
          <w:szCs w:val="22"/>
        </w:rPr>
        <w:t>.</w:t>
      </w:r>
    </w:p>
  </w:footnote>
  <w:footnote w:id="155">
    <w:p w14:paraId="0AB1B65D" w14:textId="23240868" w:rsidR="00E21CD9" w:rsidRPr="002E2F4B" w:rsidRDefault="00E21CD9" w:rsidP="002334E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 xml:space="preserve"> at para 70.</w:t>
      </w:r>
    </w:p>
  </w:footnote>
  <w:footnote w:id="156">
    <w:p w14:paraId="11F63EAB" w14:textId="178D49C6" w:rsidR="00E21CD9" w:rsidRPr="002E2F4B" w:rsidRDefault="00E21CD9" w:rsidP="00D36667">
      <w:pPr>
        <w:pStyle w:val="FootnoteText"/>
        <w:jc w:val="left"/>
        <w:rPr>
          <w:rFonts w:ascii="Garamond" w:hAnsi="Garamond"/>
          <w:b/>
          <w:b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‘The legal position is thus that any unlicensed use of a medicine makes the Trust liable for ‘product defect’:  </w:t>
      </w:r>
      <w:hyperlink r:id="rId20" w:history="1">
        <w:r w:rsidRPr="002E2F4B">
          <w:rPr>
            <w:rStyle w:val="Hyperlink"/>
            <w:rFonts w:ascii="Garamond" w:hAnsi="Garamond"/>
            <w:sz w:val="22"/>
            <w:szCs w:val="22"/>
          </w:rPr>
          <w:t>https://www.palliativedrugs.com/download/Unlicensed%20Medicines%20V4.pdf</w:t>
        </w:r>
      </w:hyperlink>
      <w:r w:rsidRPr="002E2F4B">
        <w:rPr>
          <w:rFonts w:ascii="Garamond" w:hAnsi="Garamond"/>
          <w:sz w:val="22"/>
          <w:szCs w:val="22"/>
        </w:rPr>
        <w:t xml:space="preserve"> and ‘‘The Medicines Act allows appropriate prescribers to prescribe medicines without a licence providing they are happy to assume full liability for the prescription’: </w:t>
      </w:r>
      <w:hyperlink r:id="rId21" w:history="1">
        <w:r w:rsidRPr="002E2F4B">
          <w:rPr>
            <w:rStyle w:val="Hyperlink"/>
            <w:rFonts w:ascii="Garamond" w:hAnsi="Garamond"/>
            <w:sz w:val="22"/>
            <w:szCs w:val="22"/>
          </w:rPr>
          <w:t>https://www.eoecph.nhs.uk/Pharmaceutical_specials.pdf</w:t>
        </w:r>
      </w:hyperlink>
      <w:r w:rsidRPr="002E2F4B">
        <w:rPr>
          <w:rFonts w:ascii="Garamond" w:hAnsi="Garamond"/>
          <w:sz w:val="22"/>
          <w:szCs w:val="22"/>
        </w:rPr>
        <w:t xml:space="preserve">. </w:t>
      </w:r>
    </w:p>
  </w:footnote>
  <w:footnote w:id="157">
    <w:p w14:paraId="1379593B" w14:textId="63E514BB"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Under the Consumer Protection Act 1987.</w:t>
      </w:r>
    </w:p>
  </w:footnote>
  <w:footnote w:id="158">
    <w:p w14:paraId="43E955AC" w14:textId="38635479" w:rsidR="00E21CD9" w:rsidRPr="002E2F4B" w:rsidRDefault="00E21CD9" w:rsidP="0001672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BPNA (n.1</w:t>
      </w:r>
      <w:r>
        <w:rPr>
          <w:rFonts w:ascii="Garamond" w:hAnsi="Garamond"/>
          <w:sz w:val="22"/>
          <w:szCs w:val="22"/>
        </w:rPr>
        <w:t>1</w:t>
      </w:r>
      <w:r w:rsidRPr="002E2F4B">
        <w:rPr>
          <w:rFonts w:ascii="Garamond" w:hAnsi="Garamond"/>
          <w:sz w:val="22"/>
          <w:szCs w:val="22"/>
        </w:rPr>
        <w:t xml:space="preserve">3) at 4.1. </w:t>
      </w:r>
    </w:p>
  </w:footnote>
  <w:footnote w:id="159">
    <w:p w14:paraId="466D6FF6" w14:textId="55AC85DD" w:rsidR="00E21CD9" w:rsidRPr="002E2F4B" w:rsidRDefault="00E21CD9" w:rsidP="00B062D7">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CQC (n.1</w:t>
      </w:r>
      <w:r>
        <w:rPr>
          <w:rFonts w:ascii="Garamond" w:hAnsi="Garamond"/>
          <w:sz w:val="22"/>
          <w:szCs w:val="22"/>
        </w:rPr>
        <w:t>1</w:t>
      </w:r>
      <w:r w:rsidRPr="002E2F4B">
        <w:rPr>
          <w:rFonts w:ascii="Garamond" w:hAnsi="Garamond"/>
          <w:sz w:val="22"/>
          <w:szCs w:val="22"/>
        </w:rPr>
        <w:t>6), p3.</w:t>
      </w:r>
    </w:p>
  </w:footnote>
  <w:footnote w:id="160">
    <w:p w14:paraId="51EB5809" w14:textId="4D782BC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color w:val="212529"/>
          <w:sz w:val="22"/>
          <w:szCs w:val="22"/>
        </w:rPr>
        <w:t xml:space="preserve">MCCS April article on insurance for prescribers available at </w:t>
      </w:r>
      <w:hyperlink r:id="rId22" w:history="1">
        <w:r w:rsidRPr="002E2F4B">
          <w:rPr>
            <w:rStyle w:val="Hyperlink"/>
            <w:rFonts w:ascii="Garamond" w:hAnsi="Garamond"/>
            <w:sz w:val="22"/>
            <w:szCs w:val="22"/>
          </w:rPr>
          <w:t>https://www.ukmccs.org/information/working-as-a-medical-cannabis-clinician-in-the-uk-finding-insurance/</w:t>
        </w:r>
      </w:hyperlink>
      <w:r w:rsidRPr="002E2F4B">
        <w:rPr>
          <w:rFonts w:ascii="Garamond" w:hAnsi="Garamond"/>
          <w:color w:val="212529"/>
          <w:sz w:val="22"/>
          <w:szCs w:val="22"/>
        </w:rPr>
        <w:t xml:space="preserve">. </w:t>
      </w:r>
      <w:r w:rsidRPr="002E2F4B">
        <w:rPr>
          <w:rFonts w:ascii="Garamond" w:hAnsi="Garamond"/>
          <w:sz w:val="22"/>
          <w:szCs w:val="22"/>
        </w:rPr>
        <w:t>Given the uncertainty regarding the meaning of ‘personal responsibility’ identified above, it is probably prudent for prescribers to check their insurance/indemnity arrangements before prescribing unlicensed CBMPs.</w:t>
      </w:r>
    </w:p>
  </w:footnote>
  <w:footnote w:id="161">
    <w:p w14:paraId="6E16892A" w14:textId="77777777" w:rsidR="00E21CD9" w:rsidRPr="002E2F4B" w:rsidRDefault="00E21CD9" w:rsidP="00804F8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Glaxo </w:t>
      </w:r>
      <w:proofErr w:type="spellStart"/>
      <w:r w:rsidRPr="002E2F4B">
        <w:rPr>
          <w:rFonts w:ascii="Garamond" w:hAnsi="Garamond"/>
          <w:i/>
          <w:iCs/>
          <w:sz w:val="22"/>
          <w:szCs w:val="22"/>
        </w:rPr>
        <w:t>Wellcome</w:t>
      </w:r>
      <w:proofErr w:type="spellEnd"/>
      <w:r w:rsidRPr="002E2F4B">
        <w:rPr>
          <w:rFonts w:ascii="Garamond" w:hAnsi="Garamond"/>
          <w:i/>
          <w:iCs/>
          <w:sz w:val="22"/>
          <w:szCs w:val="22"/>
        </w:rPr>
        <w:t xml:space="preserve"> UK v Sandoz Ltd</w:t>
      </w:r>
      <w:r w:rsidRPr="002E2F4B">
        <w:rPr>
          <w:rFonts w:ascii="Garamond" w:hAnsi="Garamond"/>
          <w:sz w:val="22"/>
          <w:szCs w:val="22"/>
        </w:rPr>
        <w:t xml:space="preserve"> [2019] EWHC 2545 at [40].</w:t>
      </w:r>
    </w:p>
  </w:footnote>
  <w:footnote w:id="162">
    <w:p w14:paraId="1EF4FB19" w14:textId="1D3C057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P. </w:t>
      </w:r>
      <w:proofErr w:type="spellStart"/>
      <w:r w:rsidRPr="002E2F4B">
        <w:rPr>
          <w:rFonts w:ascii="Garamond" w:hAnsi="Garamond"/>
          <w:sz w:val="22"/>
          <w:szCs w:val="22"/>
        </w:rPr>
        <w:t>L’Ecleuse</w:t>
      </w:r>
      <w:proofErr w:type="spellEnd"/>
      <w:r w:rsidRPr="002E2F4B">
        <w:rPr>
          <w:rFonts w:ascii="Garamond" w:hAnsi="Garamond"/>
          <w:sz w:val="22"/>
          <w:szCs w:val="22"/>
        </w:rPr>
        <w:t xml:space="preserve">, et al., ‘Off-label use and of medicinal products and product liability’ </w:t>
      </w:r>
      <w:r w:rsidRPr="002E2F4B">
        <w:rPr>
          <w:rFonts w:ascii="Garamond" w:hAnsi="Garamond"/>
          <w:i/>
          <w:iCs/>
          <w:sz w:val="22"/>
          <w:szCs w:val="22"/>
        </w:rPr>
        <w:t xml:space="preserve">Thomson Reuters Practical Law </w:t>
      </w:r>
      <w:r w:rsidRPr="002E2F4B">
        <w:rPr>
          <w:rFonts w:ascii="Garamond" w:hAnsi="Garamond"/>
          <w:sz w:val="22"/>
          <w:szCs w:val="22"/>
        </w:rPr>
        <w:t>(2013).</w:t>
      </w:r>
    </w:p>
  </w:footnote>
  <w:footnote w:id="163">
    <w:p w14:paraId="1D40239E" w14:textId="307F1DF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This seems to be suggested by O’Grady’s warning that doctors should be aware of the product liability implications of the wording ‘direct personal responsibility’: J. O’Grady et al (eds), </w:t>
      </w:r>
      <w:r w:rsidRPr="002E2F4B">
        <w:rPr>
          <w:rFonts w:ascii="Garamond" w:hAnsi="Garamond"/>
          <w:i/>
          <w:iCs/>
          <w:sz w:val="22"/>
          <w:szCs w:val="22"/>
        </w:rPr>
        <w:t xml:space="preserve">Medicines, Medical </w:t>
      </w:r>
      <w:proofErr w:type="gramStart"/>
      <w:r w:rsidRPr="002E2F4B">
        <w:rPr>
          <w:rFonts w:ascii="Garamond" w:hAnsi="Garamond"/>
          <w:i/>
          <w:iCs/>
          <w:sz w:val="22"/>
          <w:szCs w:val="22"/>
        </w:rPr>
        <w:t>Devices</w:t>
      </w:r>
      <w:proofErr w:type="gramEnd"/>
      <w:r w:rsidRPr="002E2F4B">
        <w:rPr>
          <w:rFonts w:ascii="Garamond" w:hAnsi="Garamond"/>
          <w:i/>
          <w:iCs/>
          <w:sz w:val="22"/>
          <w:szCs w:val="22"/>
        </w:rPr>
        <w:t xml:space="preserve"> and the Law</w:t>
      </w:r>
      <w:r w:rsidRPr="002E2F4B">
        <w:rPr>
          <w:rFonts w:ascii="Garamond" w:hAnsi="Garamond"/>
          <w:sz w:val="22"/>
          <w:szCs w:val="22"/>
        </w:rPr>
        <w:t xml:space="preserve"> (2011, CUP) – at 55.</w:t>
      </w:r>
    </w:p>
  </w:footnote>
  <w:footnote w:id="164">
    <w:p w14:paraId="4905BF2D" w14:textId="1DE70A59"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proofErr w:type="gramStart"/>
      <w:r w:rsidRPr="002E2F4B">
        <w:rPr>
          <w:rFonts w:ascii="Garamond" w:hAnsi="Garamond"/>
          <w:sz w:val="22"/>
          <w:szCs w:val="22"/>
        </w:rPr>
        <w:t>E.g.</w:t>
      </w:r>
      <w:proofErr w:type="gramEnd"/>
      <w:r w:rsidRPr="002E2F4B">
        <w:rPr>
          <w:rFonts w:ascii="Garamond" w:hAnsi="Garamond"/>
          <w:sz w:val="22"/>
          <w:szCs w:val="22"/>
        </w:rPr>
        <w:t xml:space="preserve"> </w:t>
      </w:r>
      <w:hyperlink r:id="rId23" w:history="1">
        <w:r w:rsidRPr="002E2F4B">
          <w:rPr>
            <w:rStyle w:val="Hyperlink"/>
            <w:rFonts w:ascii="Garamond" w:hAnsi="Garamond"/>
            <w:sz w:val="22"/>
            <w:szCs w:val="22"/>
          </w:rPr>
          <w:t>https://www.bcpft.nhs.uk/documents/policies/u/1135-unlicensed-medicines/file</w:t>
        </w:r>
      </w:hyperlink>
      <w:r w:rsidRPr="002E2F4B">
        <w:rPr>
          <w:rFonts w:ascii="Garamond" w:hAnsi="Garamond"/>
          <w:sz w:val="22"/>
          <w:szCs w:val="22"/>
        </w:rPr>
        <w:t xml:space="preserve"> (Black Country Partnership NHS Foundation Trust) at 4.2.</w:t>
      </w:r>
    </w:p>
  </w:footnote>
  <w:footnote w:id="165">
    <w:p w14:paraId="04069E77" w14:textId="56985C4E"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Donovan et al at n.1</w:t>
      </w:r>
      <w:r>
        <w:rPr>
          <w:rFonts w:ascii="Garamond" w:hAnsi="Garamond"/>
          <w:sz w:val="22"/>
          <w:szCs w:val="22"/>
        </w:rPr>
        <w:t>39</w:t>
      </w:r>
      <w:r w:rsidRPr="002E2F4B">
        <w:rPr>
          <w:rFonts w:ascii="Garamond" w:hAnsi="Garamond"/>
          <w:sz w:val="22"/>
          <w:szCs w:val="22"/>
        </w:rPr>
        <w:t xml:space="preserve"> above.</w:t>
      </w:r>
    </w:p>
  </w:footnote>
  <w:footnote w:id="166">
    <w:p w14:paraId="2A5DC675" w14:textId="229B03BC"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E.g. </w:t>
      </w:r>
      <w:r w:rsidRPr="002E2F4B">
        <w:rPr>
          <w:rFonts w:ascii="Garamond" w:hAnsi="Garamond"/>
          <w:i/>
          <w:iCs/>
          <w:sz w:val="22"/>
          <w:szCs w:val="22"/>
        </w:rPr>
        <w:t xml:space="preserve">Kennedy v Queens Medical Centre </w:t>
      </w:r>
      <w:r w:rsidRPr="002E2F4B">
        <w:rPr>
          <w:rFonts w:ascii="Garamond" w:hAnsi="Garamond"/>
          <w:sz w:val="22"/>
          <w:szCs w:val="22"/>
        </w:rPr>
        <w:t xml:space="preserve">(2001) (unreported), cited in I. </w:t>
      </w:r>
      <w:proofErr w:type="spellStart"/>
      <w:r w:rsidRPr="002E2F4B">
        <w:rPr>
          <w:rFonts w:ascii="Garamond" w:hAnsi="Garamond"/>
          <w:sz w:val="22"/>
          <w:szCs w:val="22"/>
        </w:rPr>
        <w:t>Dodds</w:t>
      </w:r>
      <w:proofErr w:type="spellEnd"/>
      <w:r w:rsidRPr="002E2F4B">
        <w:rPr>
          <w:rFonts w:ascii="Garamond" w:hAnsi="Garamond"/>
          <w:sz w:val="22"/>
          <w:szCs w:val="22"/>
        </w:rPr>
        <w:t xml:space="preserve">-Smith and E. Townsend, ‘The supply of unlicensed medicines for individual patient use’ in </w:t>
      </w:r>
      <w:proofErr w:type="spellStart"/>
      <w:proofErr w:type="gramStart"/>
      <w:r w:rsidRPr="002E2F4B">
        <w:rPr>
          <w:rFonts w:ascii="Garamond" w:hAnsi="Garamond"/>
          <w:sz w:val="22"/>
          <w:szCs w:val="22"/>
        </w:rPr>
        <w:t>J.Griffiths</w:t>
      </w:r>
      <w:proofErr w:type="spellEnd"/>
      <w:proofErr w:type="gramEnd"/>
      <w:r w:rsidRPr="002E2F4B">
        <w:rPr>
          <w:rFonts w:ascii="Garamond" w:hAnsi="Garamond"/>
          <w:sz w:val="22"/>
          <w:szCs w:val="22"/>
        </w:rPr>
        <w:t xml:space="preserve"> (eds) </w:t>
      </w:r>
      <w:r w:rsidRPr="002E2F4B">
        <w:rPr>
          <w:rFonts w:ascii="Garamond" w:hAnsi="Garamond"/>
          <w:i/>
          <w:iCs/>
          <w:sz w:val="22"/>
          <w:szCs w:val="22"/>
        </w:rPr>
        <w:t xml:space="preserve">Textbook of Pharmaceutical Medicine  </w:t>
      </w:r>
      <w:r w:rsidRPr="002E2F4B">
        <w:rPr>
          <w:rFonts w:ascii="Garamond" w:hAnsi="Garamond"/>
          <w:sz w:val="22"/>
          <w:szCs w:val="22"/>
        </w:rPr>
        <w:t>(7</w:t>
      </w:r>
      <w:r w:rsidRPr="002E2F4B">
        <w:rPr>
          <w:rFonts w:ascii="Garamond" w:hAnsi="Garamond"/>
          <w:sz w:val="22"/>
          <w:szCs w:val="22"/>
          <w:vertAlign w:val="superscript"/>
        </w:rPr>
        <w:t>th</w:t>
      </w:r>
      <w:r w:rsidRPr="002E2F4B">
        <w:rPr>
          <w:rFonts w:ascii="Garamond" w:hAnsi="Garamond"/>
          <w:sz w:val="22"/>
          <w:szCs w:val="22"/>
        </w:rPr>
        <w:t xml:space="preserve"> Ed) (BMJ Books, 2013) at 265. </w:t>
      </w:r>
    </w:p>
  </w:footnote>
  <w:footnote w:id="167">
    <w:p w14:paraId="2D9ED695" w14:textId="2E1A0131"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The use of the RCT in some instances as a rhetorical tool, apparently to tilt the argument against complementary medicines in the defence of medical boundaries, is systematically and convincingly posited by, Colleen </w:t>
      </w:r>
      <w:proofErr w:type="spellStart"/>
      <w:r w:rsidRPr="002E2F4B">
        <w:rPr>
          <w:rFonts w:ascii="Garamond" w:hAnsi="Garamond"/>
          <w:sz w:val="22"/>
          <w:szCs w:val="22"/>
        </w:rPr>
        <w:t>Derkatch</w:t>
      </w:r>
      <w:proofErr w:type="spellEnd"/>
      <w:r w:rsidRPr="002E2F4B">
        <w:rPr>
          <w:rFonts w:ascii="Garamond" w:hAnsi="Garamond"/>
          <w:sz w:val="22"/>
          <w:szCs w:val="22"/>
        </w:rPr>
        <w:t xml:space="preserve"> in </w:t>
      </w:r>
      <w:r w:rsidRPr="002E2F4B">
        <w:rPr>
          <w:rFonts w:ascii="Garamond" w:hAnsi="Garamond"/>
          <w:i/>
          <w:iCs/>
          <w:sz w:val="22"/>
          <w:szCs w:val="22"/>
        </w:rPr>
        <w:t>Bounding Biomedicine</w:t>
      </w:r>
      <w:r w:rsidRPr="002E2F4B">
        <w:rPr>
          <w:rFonts w:ascii="Garamond" w:hAnsi="Garamond"/>
          <w:sz w:val="22"/>
          <w:szCs w:val="22"/>
        </w:rPr>
        <w:t xml:space="preserve"> (Chicago University Press, 2016). </w:t>
      </w:r>
    </w:p>
  </w:footnote>
  <w:footnote w:id="168">
    <w:p w14:paraId="419AE6F3" w14:textId="32B1B916"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spellStart"/>
      <w:r w:rsidRPr="002E2F4B">
        <w:rPr>
          <w:rFonts w:ascii="Garamond" w:hAnsi="Garamond"/>
          <w:sz w:val="22"/>
          <w:szCs w:val="22"/>
        </w:rPr>
        <w:t>Derkatch</w:t>
      </w:r>
      <w:proofErr w:type="spellEnd"/>
      <w:r w:rsidRPr="002E2F4B">
        <w:rPr>
          <w:rFonts w:ascii="Garamond" w:hAnsi="Garamond"/>
          <w:sz w:val="22"/>
          <w:szCs w:val="22"/>
        </w:rPr>
        <w:t xml:space="preserve"> (2008) above at 380.</w:t>
      </w:r>
    </w:p>
  </w:footnote>
  <w:footnote w:id="169">
    <w:p w14:paraId="5C0B81F7" w14:textId="60AFE32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 </w:t>
      </w:r>
      <w:proofErr w:type="spellStart"/>
      <w:r w:rsidRPr="002E2F4B">
        <w:rPr>
          <w:rFonts w:ascii="Garamond" w:hAnsi="Garamond"/>
          <w:sz w:val="22"/>
          <w:szCs w:val="22"/>
        </w:rPr>
        <w:t>Nagington</w:t>
      </w:r>
      <w:proofErr w:type="spellEnd"/>
      <w:r w:rsidRPr="002E2F4B">
        <w:rPr>
          <w:rFonts w:ascii="Garamond" w:hAnsi="Garamond"/>
          <w:sz w:val="22"/>
          <w:szCs w:val="22"/>
        </w:rPr>
        <w:t xml:space="preserve"> and T. </w:t>
      </w:r>
      <w:proofErr w:type="spellStart"/>
      <w:r w:rsidRPr="002E2F4B">
        <w:rPr>
          <w:rFonts w:ascii="Garamond" w:hAnsi="Garamond"/>
          <w:sz w:val="22"/>
          <w:szCs w:val="22"/>
        </w:rPr>
        <w:t>Sandset</w:t>
      </w:r>
      <w:proofErr w:type="spellEnd"/>
      <w:r w:rsidRPr="002E2F4B">
        <w:rPr>
          <w:rFonts w:ascii="Garamond" w:hAnsi="Garamond"/>
          <w:sz w:val="22"/>
          <w:szCs w:val="22"/>
        </w:rPr>
        <w:t xml:space="preserve">, ‘Putting NHS England on trial: uncertainty-as-power, evidence and the controversy of </w:t>
      </w:r>
      <w:proofErr w:type="spellStart"/>
      <w:r w:rsidRPr="002E2F4B">
        <w:rPr>
          <w:rFonts w:ascii="Garamond" w:hAnsi="Garamond"/>
          <w:sz w:val="22"/>
          <w:szCs w:val="22"/>
        </w:rPr>
        <w:t>PrEP</w:t>
      </w:r>
      <w:proofErr w:type="spellEnd"/>
      <w:r w:rsidRPr="002E2F4B">
        <w:rPr>
          <w:rFonts w:ascii="Garamond" w:hAnsi="Garamond"/>
          <w:sz w:val="22"/>
          <w:szCs w:val="22"/>
        </w:rPr>
        <w:t xml:space="preserve"> in England’ </w:t>
      </w:r>
      <w:r w:rsidRPr="008F62B8">
        <w:rPr>
          <w:rFonts w:ascii="Garamond" w:hAnsi="Garamond"/>
          <w:sz w:val="22"/>
          <w:szCs w:val="22"/>
        </w:rPr>
        <w:t xml:space="preserve">(2020) </w:t>
      </w:r>
      <w:r>
        <w:rPr>
          <w:rFonts w:ascii="Garamond" w:hAnsi="Garamond"/>
          <w:sz w:val="22"/>
          <w:szCs w:val="22"/>
        </w:rPr>
        <w:t xml:space="preserve">46(3) </w:t>
      </w:r>
      <w:r w:rsidRPr="002E2F4B">
        <w:rPr>
          <w:rFonts w:ascii="Garamond" w:hAnsi="Garamond"/>
          <w:i/>
          <w:iCs/>
          <w:sz w:val="22"/>
          <w:szCs w:val="22"/>
        </w:rPr>
        <w:t xml:space="preserve">Medical </w:t>
      </w:r>
      <w:proofErr w:type="gramStart"/>
      <w:r w:rsidRPr="002E2F4B">
        <w:rPr>
          <w:rFonts w:ascii="Garamond" w:hAnsi="Garamond"/>
          <w:i/>
          <w:iCs/>
          <w:sz w:val="22"/>
          <w:szCs w:val="22"/>
        </w:rPr>
        <w:t xml:space="preserve">Humanities </w:t>
      </w:r>
      <w:r w:rsidRPr="002E2F4B">
        <w:rPr>
          <w:rFonts w:ascii="Garamond" w:hAnsi="Garamond"/>
          <w:sz w:val="22"/>
          <w:szCs w:val="22"/>
        </w:rPr>
        <w:t>.</w:t>
      </w:r>
      <w:proofErr w:type="gramEnd"/>
      <w:r w:rsidRPr="002E2F4B">
        <w:rPr>
          <w:rFonts w:ascii="Garamond" w:hAnsi="Garamond"/>
          <w:sz w:val="22"/>
          <w:szCs w:val="22"/>
        </w:rPr>
        <w:t xml:space="preserve"> </w:t>
      </w:r>
    </w:p>
  </w:footnote>
  <w:footnote w:id="170">
    <w:p w14:paraId="6E9AC36E" w14:textId="62B8B49E" w:rsidR="00E21CD9" w:rsidRPr="002E2F4B" w:rsidRDefault="00E21CD9" w:rsidP="00BC5BF0">
      <w:pPr>
        <w:autoSpaceDE w:val="0"/>
        <w:autoSpaceDN w:val="0"/>
        <w:adjustRightInd w:val="0"/>
        <w:spacing w:after="0" w:line="240" w:lineRule="auto"/>
        <w:jc w:val="left"/>
        <w:rPr>
          <w:rFonts w:ascii="Garamond" w:hAnsi="Garamond" w:cs="Minion-Italic"/>
          <w:color w:val="292526"/>
        </w:rPr>
      </w:pPr>
      <w:r w:rsidRPr="002E2F4B">
        <w:rPr>
          <w:rStyle w:val="FootnoteReference"/>
          <w:rFonts w:ascii="Garamond" w:hAnsi="Garamond"/>
        </w:rPr>
        <w:footnoteRef/>
      </w:r>
      <w:r w:rsidRPr="002E2F4B">
        <w:rPr>
          <w:rFonts w:ascii="Garamond" w:hAnsi="Garamond"/>
        </w:rPr>
        <w:t xml:space="preserve"> See suggestions that alternative medicines are required to meet a higher standard than conventional medicines, many of which have themselves not been the subject of positive RCT evidence:  </w:t>
      </w:r>
      <w:r w:rsidRPr="002E2F4B">
        <w:rPr>
          <w:rFonts w:ascii="Garamond" w:hAnsi="Garamond" w:cs="Minion-Regular"/>
        </w:rPr>
        <w:t xml:space="preserve">K. </w:t>
      </w:r>
      <w:proofErr w:type="spellStart"/>
      <w:r w:rsidRPr="002E2F4B">
        <w:rPr>
          <w:rFonts w:ascii="Garamond" w:hAnsi="Garamond" w:cs="Minion-Regular"/>
        </w:rPr>
        <w:t>Borgerson</w:t>
      </w:r>
      <w:proofErr w:type="spellEnd"/>
      <w:r w:rsidRPr="002E2F4B">
        <w:rPr>
          <w:rFonts w:ascii="Garamond" w:hAnsi="Garamond" w:cs="Minion-Regular"/>
        </w:rPr>
        <w:t>, ‘</w:t>
      </w:r>
      <w:r w:rsidRPr="002E2F4B">
        <w:rPr>
          <w:rFonts w:ascii="Garamond" w:hAnsi="Garamond" w:cs="Minion-Regular"/>
          <w:color w:val="292526"/>
        </w:rPr>
        <w:t xml:space="preserve">Evidence-based alternative medicine? (2005) 48(4) </w:t>
      </w:r>
      <w:r w:rsidRPr="002E2F4B">
        <w:rPr>
          <w:rFonts w:ascii="Garamond" w:hAnsi="Garamond" w:cs="Minion-Italic"/>
          <w:i/>
          <w:iCs/>
          <w:color w:val="292526"/>
        </w:rPr>
        <w:t xml:space="preserve">Perspectives in Biology and Medicine </w:t>
      </w:r>
      <w:r w:rsidRPr="002E2F4B">
        <w:rPr>
          <w:rFonts w:ascii="Garamond" w:hAnsi="Garamond" w:cs="Minion-Italic"/>
          <w:color w:val="292526"/>
        </w:rPr>
        <w:t>505.</w:t>
      </w:r>
    </w:p>
  </w:footnote>
  <w:footnote w:id="171">
    <w:p w14:paraId="424833EB" w14:textId="77777777"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Three </w:t>
      </w:r>
      <w:proofErr w:type="gramStart"/>
      <w:r w:rsidRPr="002E2F4B">
        <w:rPr>
          <w:rFonts w:ascii="Garamond" w:hAnsi="Garamond"/>
          <w:sz w:val="22"/>
          <w:szCs w:val="22"/>
        </w:rPr>
        <w:t>placebo</w:t>
      </w:r>
      <w:proofErr w:type="gramEnd"/>
      <w:r w:rsidRPr="002E2F4B">
        <w:rPr>
          <w:rFonts w:ascii="Garamond" w:hAnsi="Garamond"/>
          <w:sz w:val="22"/>
          <w:szCs w:val="22"/>
        </w:rPr>
        <w:t xml:space="preserve"> controlled RCTs of CBD as an adjunctive therapy for patients with Lennox-</w:t>
      </w:r>
      <w:proofErr w:type="spellStart"/>
      <w:r w:rsidRPr="002E2F4B">
        <w:rPr>
          <w:rFonts w:ascii="Garamond" w:hAnsi="Garamond"/>
          <w:sz w:val="22"/>
          <w:szCs w:val="22"/>
        </w:rPr>
        <w:t>Gastaut</w:t>
      </w:r>
      <w:proofErr w:type="spellEnd"/>
      <w:r w:rsidRPr="002E2F4B">
        <w:rPr>
          <w:rFonts w:ascii="Garamond" w:hAnsi="Garamond"/>
          <w:sz w:val="22"/>
          <w:szCs w:val="22"/>
        </w:rPr>
        <w:t xml:space="preserve"> syndrome and </w:t>
      </w:r>
      <w:proofErr w:type="spellStart"/>
      <w:r w:rsidRPr="002E2F4B">
        <w:rPr>
          <w:rFonts w:ascii="Garamond" w:hAnsi="Garamond"/>
          <w:sz w:val="22"/>
          <w:szCs w:val="22"/>
        </w:rPr>
        <w:t>Dravets</w:t>
      </w:r>
      <w:proofErr w:type="spellEnd"/>
      <w:r w:rsidRPr="002E2F4B">
        <w:rPr>
          <w:rFonts w:ascii="Garamond" w:hAnsi="Garamond"/>
          <w:sz w:val="22"/>
          <w:szCs w:val="22"/>
        </w:rPr>
        <w:t xml:space="preserve"> syndrome: E. </w:t>
      </w:r>
      <w:proofErr w:type="spellStart"/>
      <w:r w:rsidRPr="002E2F4B">
        <w:rPr>
          <w:rFonts w:ascii="Garamond" w:hAnsi="Garamond"/>
          <w:sz w:val="22"/>
          <w:szCs w:val="22"/>
        </w:rPr>
        <w:t>Perrucca</w:t>
      </w:r>
      <w:proofErr w:type="spellEnd"/>
      <w:r w:rsidRPr="002E2F4B">
        <w:rPr>
          <w:rFonts w:ascii="Garamond" w:hAnsi="Garamond"/>
          <w:sz w:val="22"/>
          <w:szCs w:val="22"/>
        </w:rPr>
        <w:t>, ‘Hard Evidence at Last?’ (2017) 7(2) J Epilepsy Research 61.</w:t>
      </w:r>
    </w:p>
  </w:footnote>
  <w:footnote w:id="172">
    <w:p w14:paraId="66FC9A02" w14:textId="56AA2D0D"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35</w:t>
      </w:r>
      <w:r w:rsidRPr="002E2F4B">
        <w:rPr>
          <w:rFonts w:ascii="Garamond" w:hAnsi="Garamond"/>
          <w:sz w:val="22"/>
          <w:szCs w:val="22"/>
        </w:rPr>
        <w:t xml:space="preserve">. </w:t>
      </w:r>
    </w:p>
  </w:footnote>
  <w:footnote w:id="173">
    <w:p w14:paraId="03AD1E30" w14:textId="598F3C6A"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ABN (n. 1</w:t>
      </w:r>
      <w:r>
        <w:rPr>
          <w:rFonts w:ascii="Garamond" w:hAnsi="Garamond"/>
          <w:sz w:val="22"/>
          <w:szCs w:val="22"/>
        </w:rPr>
        <w:t>15</w:t>
      </w:r>
      <w:r w:rsidRPr="002E2F4B">
        <w:rPr>
          <w:rFonts w:ascii="Garamond" w:hAnsi="Garamond"/>
          <w:sz w:val="22"/>
          <w:szCs w:val="22"/>
        </w:rPr>
        <w:t>) at p1.</w:t>
      </w:r>
    </w:p>
  </w:footnote>
  <w:footnote w:id="174">
    <w:p w14:paraId="236BDAA6" w14:textId="10DAF6FD"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proofErr w:type="gramStart"/>
      <w:r w:rsidRPr="002E2F4B">
        <w:rPr>
          <w:rFonts w:ascii="Garamond" w:hAnsi="Garamond"/>
          <w:sz w:val="22"/>
          <w:szCs w:val="22"/>
        </w:rPr>
        <w:t>e.g.</w:t>
      </w:r>
      <w:proofErr w:type="gramEnd"/>
      <w:r w:rsidRPr="002E2F4B">
        <w:rPr>
          <w:rFonts w:ascii="Garamond" w:hAnsi="Garamond"/>
          <w:sz w:val="22"/>
          <w:szCs w:val="22"/>
        </w:rPr>
        <w:t xml:space="preserve"> F. Galan and I. Miller</w:t>
      </w:r>
      <w:r w:rsidRPr="002E2F4B">
        <w:rPr>
          <w:rStyle w:val="A6"/>
          <w:rFonts w:ascii="Garamond" w:eastAsiaTheme="majorEastAsia" w:hAnsi="Garamond"/>
          <w:sz w:val="22"/>
          <w:szCs w:val="22"/>
        </w:rPr>
        <w:t xml:space="preserve"> ‘</w:t>
      </w:r>
      <w:r w:rsidRPr="002E2F4B">
        <w:rPr>
          <w:rStyle w:val="A6"/>
          <w:rFonts w:ascii="Garamond" w:hAnsi="Garamond"/>
          <w:sz w:val="22"/>
          <w:szCs w:val="22"/>
        </w:rPr>
        <w:t>Cannabinoids in treatment-resistant epilepsy: a review.</w:t>
      </w:r>
      <w:r w:rsidRPr="002E2F4B">
        <w:rPr>
          <w:rStyle w:val="A6"/>
          <w:rFonts w:ascii="Garamond" w:eastAsiaTheme="majorEastAsia" w:hAnsi="Garamond"/>
          <w:sz w:val="22"/>
          <w:szCs w:val="22"/>
        </w:rPr>
        <w:t xml:space="preserve">’ (2020) 14 </w:t>
      </w:r>
      <w:r w:rsidRPr="002E2F4B">
        <w:rPr>
          <w:rStyle w:val="A6"/>
          <w:rFonts w:ascii="Garamond" w:eastAsiaTheme="majorEastAsia" w:hAnsi="Garamond"/>
          <w:i/>
          <w:iCs/>
          <w:sz w:val="22"/>
          <w:szCs w:val="22"/>
        </w:rPr>
        <w:t>Current Treatment Options in Neurology</w:t>
      </w:r>
      <w:r w:rsidRPr="002E2F4B">
        <w:rPr>
          <w:rStyle w:val="A6"/>
          <w:rFonts w:ascii="Garamond" w:eastAsiaTheme="majorEastAsia" w:hAnsi="Garamond"/>
          <w:sz w:val="22"/>
          <w:szCs w:val="22"/>
        </w:rPr>
        <w:t xml:space="preserve"> 115 which provides an overview of relevant studies, </w:t>
      </w:r>
      <w:proofErr w:type="gramStart"/>
      <w:r w:rsidRPr="002E2F4B">
        <w:rPr>
          <w:rStyle w:val="A6"/>
          <w:rFonts w:ascii="Garamond" w:eastAsiaTheme="majorEastAsia" w:hAnsi="Garamond"/>
          <w:sz w:val="22"/>
          <w:szCs w:val="22"/>
        </w:rPr>
        <w:t>and also</w:t>
      </w:r>
      <w:proofErr w:type="gramEnd"/>
      <w:r w:rsidRPr="002E2F4B">
        <w:rPr>
          <w:rStyle w:val="A6"/>
          <w:rFonts w:ascii="Garamond" w:eastAsiaTheme="majorEastAsia" w:hAnsi="Garamond"/>
          <w:sz w:val="22"/>
          <w:szCs w:val="22"/>
        </w:rPr>
        <w:t xml:space="preserve"> now, since the interim guidance R. de Carvalho Reis et al, ‘</w:t>
      </w:r>
      <w:r w:rsidRPr="002E2F4B">
        <w:rPr>
          <w:rFonts w:ascii="Garamond" w:hAnsi="Garamond"/>
          <w:sz w:val="22"/>
          <w:szCs w:val="22"/>
        </w:rPr>
        <w:t xml:space="preserve">Efficacy and adverse event profile of cannabidiol and medicinal cannabis for treatment-resistant epilepsy: Systematic review and meta-analysis’ (2020) 102 </w:t>
      </w:r>
      <w:r w:rsidRPr="002E2F4B">
        <w:rPr>
          <w:rFonts w:ascii="Garamond" w:hAnsi="Garamond"/>
          <w:i/>
          <w:iCs/>
          <w:sz w:val="22"/>
          <w:szCs w:val="22"/>
        </w:rPr>
        <w:t>Epilepsy &amp; Behaviour</w:t>
      </w:r>
      <w:r w:rsidRPr="002E2F4B">
        <w:rPr>
          <w:rFonts w:ascii="Garamond" w:hAnsi="Garamond"/>
          <w:sz w:val="22"/>
          <w:szCs w:val="22"/>
        </w:rPr>
        <w:t xml:space="preserve"> 106635</w:t>
      </w:r>
      <w:r w:rsidRPr="002E2F4B">
        <w:rPr>
          <w:rStyle w:val="A6"/>
          <w:rFonts w:ascii="Garamond" w:eastAsiaTheme="majorEastAsia" w:hAnsi="Garamond"/>
          <w:sz w:val="22"/>
          <w:szCs w:val="22"/>
        </w:rPr>
        <w:t xml:space="preserve">. </w:t>
      </w:r>
    </w:p>
  </w:footnote>
  <w:footnote w:id="175">
    <w:p w14:paraId="7BAFE985" w14:textId="670D8F8A"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RCP, above at n.</w:t>
      </w:r>
      <w:r>
        <w:rPr>
          <w:rFonts w:ascii="Garamond" w:hAnsi="Garamond"/>
          <w:sz w:val="22"/>
          <w:szCs w:val="22"/>
        </w:rPr>
        <w:t>112</w:t>
      </w:r>
      <w:r w:rsidRPr="002E2F4B">
        <w:rPr>
          <w:rFonts w:ascii="Garamond" w:hAnsi="Garamond"/>
          <w:sz w:val="22"/>
          <w:szCs w:val="22"/>
        </w:rPr>
        <w:t>, 1.3.</w:t>
      </w:r>
    </w:p>
  </w:footnote>
  <w:footnote w:id="176">
    <w:p w14:paraId="2946CCD4" w14:textId="0E488398" w:rsidR="00E21CD9" w:rsidRPr="002E2F4B" w:rsidRDefault="00E21CD9" w:rsidP="009D2DC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n.1</w:t>
      </w:r>
      <w:r>
        <w:rPr>
          <w:rFonts w:ascii="Garamond" w:hAnsi="Garamond"/>
          <w:sz w:val="22"/>
          <w:szCs w:val="22"/>
        </w:rPr>
        <w:t>35</w:t>
      </w:r>
      <w:r w:rsidRPr="002E2F4B">
        <w:rPr>
          <w:rFonts w:ascii="Garamond" w:hAnsi="Garamond"/>
          <w:sz w:val="22"/>
          <w:szCs w:val="22"/>
        </w:rPr>
        <w:t>.</w:t>
      </w:r>
    </w:p>
  </w:footnote>
  <w:footnote w:id="177">
    <w:p w14:paraId="15C88C74" w14:textId="0EED0542" w:rsidR="00E21CD9" w:rsidRPr="002E2F4B" w:rsidRDefault="00E21CD9" w:rsidP="00A17C0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RCGP (above n.</w:t>
      </w:r>
      <w:r>
        <w:rPr>
          <w:rFonts w:ascii="Garamond" w:hAnsi="Garamond"/>
          <w:sz w:val="22"/>
          <w:szCs w:val="22"/>
        </w:rPr>
        <w:t>114</w:t>
      </w:r>
      <w:r w:rsidRPr="002E2F4B">
        <w:rPr>
          <w:rFonts w:ascii="Garamond" w:hAnsi="Garamond"/>
          <w:sz w:val="22"/>
          <w:szCs w:val="22"/>
        </w:rPr>
        <w:t xml:space="preserve">) at 1.5 (emphasis added) </w:t>
      </w:r>
      <w:proofErr w:type="gramStart"/>
      <w:r w:rsidRPr="002E2F4B">
        <w:rPr>
          <w:rFonts w:ascii="Garamond" w:hAnsi="Garamond"/>
          <w:sz w:val="22"/>
          <w:szCs w:val="22"/>
        </w:rPr>
        <w:t>and also</w:t>
      </w:r>
      <w:proofErr w:type="gramEnd"/>
      <w:r w:rsidRPr="002E2F4B">
        <w:rPr>
          <w:rFonts w:ascii="Garamond" w:hAnsi="Garamond"/>
          <w:sz w:val="22"/>
          <w:szCs w:val="22"/>
        </w:rPr>
        <w:t xml:space="preserve"> RCP</w:t>
      </w:r>
      <w:r>
        <w:rPr>
          <w:rFonts w:ascii="Garamond" w:hAnsi="Garamond"/>
          <w:sz w:val="22"/>
          <w:szCs w:val="22"/>
        </w:rPr>
        <w:t xml:space="preserve"> (n.112)</w:t>
      </w:r>
      <w:r w:rsidRPr="002E2F4B">
        <w:rPr>
          <w:rFonts w:ascii="Garamond" w:hAnsi="Garamond"/>
          <w:sz w:val="22"/>
          <w:szCs w:val="22"/>
        </w:rPr>
        <w:t>, particularly at section 5 an</w:t>
      </w:r>
      <w:r>
        <w:rPr>
          <w:rFonts w:ascii="Garamond" w:hAnsi="Garamond"/>
          <w:sz w:val="22"/>
          <w:szCs w:val="22"/>
        </w:rPr>
        <w:t>d</w:t>
      </w:r>
      <w:r w:rsidRPr="002E2F4B">
        <w:rPr>
          <w:rFonts w:ascii="Garamond" w:hAnsi="Garamond"/>
          <w:sz w:val="22"/>
          <w:szCs w:val="22"/>
        </w:rPr>
        <w:t xml:space="preserve"> CQC</w:t>
      </w:r>
      <w:r>
        <w:rPr>
          <w:rFonts w:ascii="Garamond" w:hAnsi="Garamond"/>
          <w:sz w:val="22"/>
          <w:szCs w:val="22"/>
        </w:rPr>
        <w:t xml:space="preserve"> (n.116)</w:t>
      </w:r>
      <w:r w:rsidRPr="002E2F4B">
        <w:rPr>
          <w:rFonts w:ascii="Garamond" w:hAnsi="Garamond"/>
          <w:sz w:val="22"/>
          <w:szCs w:val="22"/>
        </w:rPr>
        <w:t>, KLOE E6.</w:t>
      </w:r>
    </w:p>
  </w:footnote>
  <w:footnote w:id="178">
    <w:p w14:paraId="314F4C65" w14:textId="35EF80CE" w:rsidR="00E21CD9" w:rsidRPr="002E2F4B" w:rsidRDefault="00E21CD9" w:rsidP="004A545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 xml:space="preserve"> at para 70 (emphasis added).</w:t>
      </w:r>
    </w:p>
  </w:footnote>
  <w:footnote w:id="179">
    <w:p w14:paraId="4EA59519" w14:textId="2A69CD0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 De Vries &amp; T. </w:t>
      </w:r>
      <w:proofErr w:type="spellStart"/>
      <w:r w:rsidRPr="002E2F4B">
        <w:rPr>
          <w:rFonts w:ascii="Garamond" w:hAnsi="Garamond"/>
          <w:sz w:val="22"/>
          <w:szCs w:val="22"/>
        </w:rPr>
        <w:t>Lemmens</w:t>
      </w:r>
      <w:proofErr w:type="spellEnd"/>
      <w:r w:rsidRPr="002E2F4B">
        <w:rPr>
          <w:rFonts w:ascii="Garamond" w:hAnsi="Garamond"/>
          <w:sz w:val="22"/>
          <w:szCs w:val="22"/>
        </w:rPr>
        <w:t xml:space="preserve">, ‘The social and cultural shaping of medical evidence: case studies from pharmaceutical research and obstetric science.’ (2006) 62 </w:t>
      </w:r>
      <w:r w:rsidRPr="002E2F4B">
        <w:rPr>
          <w:rFonts w:ascii="Garamond" w:hAnsi="Garamond"/>
          <w:i/>
          <w:iCs/>
          <w:sz w:val="22"/>
          <w:szCs w:val="22"/>
        </w:rPr>
        <w:t>Soc. Sci &amp; Med</w:t>
      </w:r>
      <w:r w:rsidRPr="002E2F4B">
        <w:rPr>
          <w:rFonts w:ascii="Garamond" w:hAnsi="Garamond"/>
          <w:sz w:val="22"/>
          <w:szCs w:val="22"/>
        </w:rPr>
        <w:t xml:space="preserve"> 2694.</w:t>
      </w:r>
    </w:p>
  </w:footnote>
  <w:footnote w:id="180">
    <w:p w14:paraId="622BD5AF" w14:textId="183FF61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H. Naci and J. Ioannidis, ‘How good is "evidence" from clinical studies of drug effects and why might such evidence fail in the prediction of the clinical utility of drugs?’ (2015) 55 </w:t>
      </w:r>
      <w:r w:rsidRPr="002E2F4B">
        <w:rPr>
          <w:rFonts w:ascii="Garamond" w:hAnsi="Garamond"/>
          <w:i/>
          <w:iCs/>
          <w:sz w:val="22"/>
          <w:szCs w:val="22"/>
        </w:rPr>
        <w:t xml:space="preserve">Annual Rev of </w:t>
      </w:r>
      <w:proofErr w:type="spellStart"/>
      <w:r w:rsidRPr="002E2F4B">
        <w:rPr>
          <w:rFonts w:ascii="Garamond" w:hAnsi="Garamond"/>
          <w:i/>
          <w:iCs/>
          <w:sz w:val="22"/>
          <w:szCs w:val="22"/>
        </w:rPr>
        <w:t>Pharmacol</w:t>
      </w:r>
      <w:proofErr w:type="spellEnd"/>
      <w:r w:rsidRPr="002E2F4B">
        <w:rPr>
          <w:rFonts w:ascii="Garamond" w:hAnsi="Garamond"/>
          <w:i/>
          <w:iCs/>
          <w:sz w:val="22"/>
          <w:szCs w:val="22"/>
        </w:rPr>
        <w:t xml:space="preserve"> Toxicology</w:t>
      </w:r>
      <w:r w:rsidRPr="002E2F4B">
        <w:rPr>
          <w:rFonts w:ascii="Garamond" w:hAnsi="Garamond"/>
          <w:sz w:val="22"/>
          <w:szCs w:val="22"/>
        </w:rPr>
        <w:t xml:space="preserve"> 169.</w:t>
      </w:r>
    </w:p>
  </w:footnote>
  <w:footnote w:id="181">
    <w:p w14:paraId="025DCA7D" w14:textId="76853DCB"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 </w:t>
      </w:r>
      <w:proofErr w:type="spellStart"/>
      <w:r w:rsidRPr="0055569F">
        <w:rPr>
          <w:rFonts w:ascii="Garamond" w:hAnsi="Garamond"/>
          <w:sz w:val="22"/>
          <w:szCs w:val="22"/>
        </w:rPr>
        <w:t>Sismondo</w:t>
      </w:r>
      <w:proofErr w:type="spellEnd"/>
      <w:r w:rsidRPr="0055569F">
        <w:rPr>
          <w:rFonts w:ascii="Garamond" w:hAnsi="Garamond"/>
          <w:sz w:val="22"/>
          <w:szCs w:val="22"/>
        </w:rPr>
        <w:t xml:space="preserve">, ‘How </w:t>
      </w:r>
      <w:r w:rsidRPr="002E2F4B">
        <w:rPr>
          <w:rFonts w:ascii="Garamond" w:hAnsi="Garamond"/>
          <w:sz w:val="22"/>
          <w:szCs w:val="22"/>
        </w:rPr>
        <w:t>pharmaceutical industry</w:t>
      </w:r>
      <w:r w:rsidRPr="0055569F">
        <w:rPr>
          <w:rFonts w:ascii="Garamond" w:hAnsi="Garamond"/>
          <w:sz w:val="22"/>
          <w:szCs w:val="22"/>
        </w:rPr>
        <w:t xml:space="preserve"> funding affects trial outcomes’ (2008) 66 </w:t>
      </w:r>
      <w:r w:rsidRPr="0055569F">
        <w:rPr>
          <w:rFonts w:ascii="Garamond" w:hAnsi="Garamond"/>
          <w:i/>
          <w:iCs/>
          <w:sz w:val="22"/>
          <w:szCs w:val="22"/>
        </w:rPr>
        <w:t xml:space="preserve">Soc Sci &amp; Med </w:t>
      </w:r>
      <w:r w:rsidRPr="0055569F">
        <w:rPr>
          <w:rFonts w:ascii="Garamond" w:hAnsi="Garamond"/>
          <w:sz w:val="22"/>
          <w:szCs w:val="22"/>
        </w:rPr>
        <w:t>1909, 1911.</w:t>
      </w:r>
    </w:p>
  </w:footnote>
  <w:footnote w:id="182">
    <w:p w14:paraId="319E18A3" w14:textId="19C12786" w:rsidR="00E21CD9" w:rsidRPr="002E2F4B" w:rsidRDefault="00E21CD9">
      <w:pPr>
        <w:pStyle w:val="FootnoteText"/>
        <w:rPr>
          <w:rFonts w:ascii="Garamond" w:hAnsi="Garamond"/>
          <w:sz w:val="22"/>
          <w:szCs w:val="22"/>
          <w:highlight w:val="yellow"/>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M. Tonelli, ‘In </w:t>
      </w:r>
      <w:proofErr w:type="spellStart"/>
      <w:r w:rsidRPr="002E2F4B">
        <w:rPr>
          <w:rFonts w:ascii="Garamond" w:hAnsi="Garamond"/>
          <w:sz w:val="22"/>
          <w:szCs w:val="22"/>
        </w:rPr>
        <w:t>Defense</w:t>
      </w:r>
      <w:proofErr w:type="spellEnd"/>
      <w:r w:rsidRPr="002E2F4B">
        <w:rPr>
          <w:rFonts w:ascii="Garamond" w:hAnsi="Garamond"/>
          <w:sz w:val="22"/>
          <w:szCs w:val="22"/>
        </w:rPr>
        <w:t xml:space="preserve"> of Expert Opinion’ (1999) 74(11) </w:t>
      </w:r>
      <w:r w:rsidRPr="002E2F4B">
        <w:rPr>
          <w:rFonts w:ascii="Garamond" w:hAnsi="Garamond"/>
          <w:i/>
          <w:iCs/>
          <w:sz w:val="22"/>
          <w:szCs w:val="22"/>
        </w:rPr>
        <w:t xml:space="preserve">Academic Medicine </w:t>
      </w:r>
      <w:r w:rsidRPr="002E2F4B">
        <w:rPr>
          <w:rFonts w:ascii="Garamond" w:hAnsi="Garamond"/>
          <w:sz w:val="22"/>
          <w:szCs w:val="22"/>
        </w:rPr>
        <w:t>1187 recognised the ‘epistemic gap’ between research generated knowledge and the treatment of individual patients.</w:t>
      </w:r>
    </w:p>
  </w:footnote>
  <w:footnote w:id="183">
    <w:p w14:paraId="6C353001" w14:textId="44095DC1"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A. </w:t>
      </w:r>
      <w:proofErr w:type="spellStart"/>
      <w:r w:rsidRPr="0055569F">
        <w:rPr>
          <w:rFonts w:ascii="Garamond" w:hAnsi="Garamond"/>
          <w:sz w:val="22"/>
          <w:szCs w:val="22"/>
        </w:rPr>
        <w:t>Hatswell</w:t>
      </w:r>
      <w:proofErr w:type="spellEnd"/>
      <w:r w:rsidRPr="0055569F">
        <w:rPr>
          <w:rFonts w:ascii="Garamond" w:hAnsi="Garamond"/>
          <w:sz w:val="22"/>
          <w:szCs w:val="22"/>
        </w:rPr>
        <w:t xml:space="preserve"> et al, ‘Regulatory approval of pharmaceuticals without a randomised controlled study.’ (2016) </w:t>
      </w:r>
      <w:r w:rsidRPr="0055569F">
        <w:rPr>
          <w:rFonts w:ascii="Garamond" w:hAnsi="Garamond"/>
          <w:i/>
          <w:iCs/>
          <w:sz w:val="22"/>
          <w:szCs w:val="22"/>
        </w:rPr>
        <w:t xml:space="preserve">BMJ Open </w:t>
      </w:r>
      <w:r w:rsidRPr="0055569F">
        <w:rPr>
          <w:rFonts w:ascii="Garamond" w:hAnsi="Garamond"/>
          <w:sz w:val="22"/>
          <w:szCs w:val="22"/>
        </w:rPr>
        <w:t>6e011666.</w:t>
      </w:r>
    </w:p>
  </w:footnote>
  <w:footnote w:id="184">
    <w:p w14:paraId="03AC8C71" w14:textId="20DBA26B"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Many anti-epileptic drugs prescribed to children are ‘off licence’: A. Rosati, et al, ‘Antiepileptic Drug Treatment in Children with Epilepsy’ (2015) 29 </w:t>
      </w:r>
      <w:r w:rsidRPr="002E2F4B">
        <w:rPr>
          <w:rFonts w:ascii="Garamond" w:hAnsi="Garamond"/>
          <w:i/>
          <w:iCs/>
          <w:sz w:val="22"/>
          <w:szCs w:val="22"/>
        </w:rPr>
        <w:t>CNS Drugs</w:t>
      </w:r>
      <w:r w:rsidRPr="002E2F4B">
        <w:rPr>
          <w:rFonts w:ascii="Garamond" w:hAnsi="Garamond"/>
          <w:sz w:val="22"/>
          <w:szCs w:val="22"/>
        </w:rPr>
        <w:t xml:space="preserve"> 847.</w:t>
      </w:r>
    </w:p>
  </w:footnote>
  <w:footnote w:id="185">
    <w:p w14:paraId="0EA83677" w14:textId="77777777" w:rsidR="00644B33" w:rsidRPr="002E2F4B" w:rsidRDefault="00644B33" w:rsidP="00644B33">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kern w:val="36"/>
          <w:sz w:val="22"/>
          <w:szCs w:val="22"/>
        </w:rPr>
        <w:t xml:space="preserve">K. </w:t>
      </w:r>
      <w:proofErr w:type="spellStart"/>
      <w:r w:rsidRPr="002E2F4B">
        <w:rPr>
          <w:rFonts w:ascii="Garamond" w:hAnsi="Garamond"/>
          <w:kern w:val="36"/>
          <w:sz w:val="22"/>
          <w:szCs w:val="22"/>
        </w:rPr>
        <w:t>Wartolowska</w:t>
      </w:r>
      <w:proofErr w:type="spellEnd"/>
      <w:r w:rsidRPr="002E2F4B">
        <w:rPr>
          <w:rFonts w:ascii="Garamond" w:hAnsi="Garamond"/>
          <w:kern w:val="36"/>
          <w:sz w:val="22"/>
          <w:szCs w:val="22"/>
        </w:rPr>
        <w:t xml:space="preserve"> et al, ‘Feasibility of surgical randomised controlled trials with a placebo arm: a systematic review’ (2016) </w:t>
      </w:r>
      <w:r w:rsidRPr="002E2F4B">
        <w:rPr>
          <w:rFonts w:ascii="Garamond" w:hAnsi="Garamond"/>
          <w:i/>
          <w:iCs/>
          <w:kern w:val="36"/>
          <w:sz w:val="22"/>
          <w:szCs w:val="22"/>
        </w:rPr>
        <w:t>BMJ Open</w:t>
      </w:r>
      <w:r w:rsidRPr="002E2F4B">
        <w:rPr>
          <w:rFonts w:ascii="Garamond" w:hAnsi="Garamond"/>
          <w:kern w:val="36"/>
          <w:sz w:val="22"/>
          <w:szCs w:val="22"/>
        </w:rPr>
        <w:t xml:space="preserve">, </w:t>
      </w:r>
      <w:proofErr w:type="gramStart"/>
      <w:r w:rsidRPr="002E2F4B">
        <w:rPr>
          <w:rFonts w:ascii="Garamond" w:hAnsi="Garamond"/>
          <w:kern w:val="36"/>
          <w:sz w:val="22"/>
          <w:szCs w:val="22"/>
        </w:rPr>
        <w:t>6:e</w:t>
      </w:r>
      <w:proofErr w:type="gramEnd"/>
      <w:r w:rsidRPr="002E2F4B">
        <w:rPr>
          <w:rFonts w:ascii="Garamond" w:hAnsi="Garamond"/>
          <w:kern w:val="36"/>
          <w:sz w:val="22"/>
          <w:szCs w:val="22"/>
        </w:rPr>
        <w:t>010194. doi:10.1136 and see P. McCullough, ‘Randomised trials in surgery: problems and possible solutions’ (2002) BMJ 324: ‘Treatments in general surgery are half as likely to be based on RCT evidence as treatments in internal medicine’ at 324.</w:t>
      </w:r>
    </w:p>
  </w:footnote>
  <w:footnote w:id="186">
    <w:p w14:paraId="3E535570" w14:textId="77777777" w:rsidR="00E21CD9" w:rsidRPr="002E2F4B" w:rsidRDefault="00E21CD9" w:rsidP="00A17C0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cs="AdvOT863180fb"/>
          <w:sz w:val="22"/>
          <w:szCs w:val="22"/>
        </w:rPr>
        <w:t xml:space="preserve">C. </w:t>
      </w:r>
      <w:proofErr w:type="spellStart"/>
      <w:r w:rsidRPr="002E2F4B">
        <w:rPr>
          <w:rFonts w:ascii="Garamond" w:hAnsi="Garamond" w:cs="AdvOT863180fb"/>
          <w:sz w:val="22"/>
          <w:szCs w:val="22"/>
        </w:rPr>
        <w:t>Derkatch</w:t>
      </w:r>
      <w:proofErr w:type="spellEnd"/>
      <w:r w:rsidRPr="002E2F4B">
        <w:rPr>
          <w:rFonts w:ascii="Garamond" w:hAnsi="Garamond" w:cs="AdvOT863180fb"/>
          <w:sz w:val="22"/>
          <w:szCs w:val="22"/>
        </w:rPr>
        <w:t>, ‘Method as argument: boundary work in evidence</w:t>
      </w:r>
      <w:r w:rsidRPr="0055569F">
        <w:rPr>
          <w:rFonts w:ascii="Times New Roman" w:hAnsi="Times New Roman" w:cs="Times New Roman"/>
          <w:sz w:val="22"/>
          <w:szCs w:val="22"/>
        </w:rPr>
        <w:t>‐</w:t>
      </w:r>
      <w:r w:rsidRPr="002E2F4B">
        <w:rPr>
          <w:rFonts w:ascii="Garamond" w:hAnsi="Garamond" w:cs="AdvOT863180fb"/>
          <w:sz w:val="22"/>
          <w:szCs w:val="22"/>
        </w:rPr>
        <w:t xml:space="preserve">based medicine.’ (2008) 22(4) </w:t>
      </w:r>
      <w:r w:rsidRPr="002E2F4B">
        <w:rPr>
          <w:rFonts w:ascii="Garamond" w:hAnsi="Garamond" w:cs="AdvOT863180fb"/>
          <w:i/>
          <w:iCs/>
          <w:sz w:val="22"/>
          <w:szCs w:val="22"/>
        </w:rPr>
        <w:t xml:space="preserve">Soc. </w:t>
      </w:r>
      <w:proofErr w:type="spellStart"/>
      <w:r w:rsidRPr="002E2F4B">
        <w:rPr>
          <w:rFonts w:ascii="Garamond" w:hAnsi="Garamond" w:cs="AdvOT863180fb"/>
          <w:i/>
          <w:iCs/>
          <w:sz w:val="22"/>
          <w:szCs w:val="22"/>
        </w:rPr>
        <w:t>Epistemol</w:t>
      </w:r>
      <w:proofErr w:type="spellEnd"/>
      <w:r w:rsidRPr="002E2F4B">
        <w:rPr>
          <w:rFonts w:ascii="Garamond" w:hAnsi="Garamond" w:cs="AdvOT863180fb"/>
          <w:i/>
          <w:iCs/>
          <w:sz w:val="22"/>
          <w:szCs w:val="22"/>
        </w:rPr>
        <w:t xml:space="preserve"> </w:t>
      </w:r>
      <w:r w:rsidRPr="002E2F4B">
        <w:rPr>
          <w:rFonts w:ascii="Garamond" w:hAnsi="Garamond" w:cs="AdvOT863180fb"/>
          <w:sz w:val="22"/>
          <w:szCs w:val="22"/>
        </w:rPr>
        <w:t>371 at 382.</w:t>
      </w:r>
    </w:p>
  </w:footnote>
  <w:footnote w:id="187">
    <w:p w14:paraId="1E018960" w14:textId="77777777" w:rsidR="00E21CD9" w:rsidRPr="002E2F4B" w:rsidRDefault="00E21CD9" w:rsidP="00A17C0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H. Naci and J. Ioannidis, ‘How good is "evidence" from clinical studies of drug effects and why might such evidence fail in the prediction of the clinical utility of drugs?’ (2015) 55 </w:t>
      </w:r>
      <w:r w:rsidRPr="002E2F4B">
        <w:rPr>
          <w:rFonts w:ascii="Garamond" w:hAnsi="Garamond"/>
          <w:i/>
          <w:iCs/>
          <w:sz w:val="22"/>
          <w:szCs w:val="22"/>
        </w:rPr>
        <w:t xml:space="preserve">Annual Rev of </w:t>
      </w:r>
      <w:proofErr w:type="spellStart"/>
      <w:r w:rsidRPr="002E2F4B">
        <w:rPr>
          <w:rFonts w:ascii="Garamond" w:hAnsi="Garamond"/>
          <w:i/>
          <w:iCs/>
          <w:sz w:val="22"/>
          <w:szCs w:val="22"/>
        </w:rPr>
        <w:t>Pharmacol</w:t>
      </w:r>
      <w:proofErr w:type="spellEnd"/>
      <w:r w:rsidRPr="002E2F4B">
        <w:rPr>
          <w:rFonts w:ascii="Garamond" w:hAnsi="Garamond"/>
          <w:i/>
          <w:iCs/>
          <w:sz w:val="22"/>
          <w:szCs w:val="22"/>
        </w:rPr>
        <w:t xml:space="preserve"> Toxicology</w:t>
      </w:r>
      <w:r w:rsidRPr="002E2F4B">
        <w:rPr>
          <w:rFonts w:ascii="Garamond" w:hAnsi="Garamond"/>
          <w:sz w:val="22"/>
          <w:szCs w:val="22"/>
        </w:rPr>
        <w:t xml:space="preserve"> 169. </w:t>
      </w:r>
    </w:p>
  </w:footnote>
  <w:footnote w:id="188">
    <w:p w14:paraId="3BFFD9A1" w14:textId="00CEAB67" w:rsidR="00E21CD9" w:rsidRPr="002E2F4B" w:rsidRDefault="00E21CD9" w:rsidP="00A17C0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O. Devinsky, J.H. Cross, L. Laux, </w:t>
      </w:r>
      <w:r w:rsidRPr="002E2F4B">
        <w:rPr>
          <w:rFonts w:ascii="Garamond" w:hAnsi="Garamond"/>
          <w:i/>
          <w:iCs/>
          <w:sz w:val="22"/>
          <w:szCs w:val="22"/>
        </w:rPr>
        <w:t>et al. ‘</w:t>
      </w:r>
      <w:r w:rsidRPr="002E2F4B">
        <w:rPr>
          <w:rFonts w:ascii="Garamond" w:hAnsi="Garamond"/>
          <w:sz w:val="22"/>
          <w:szCs w:val="22"/>
        </w:rPr>
        <w:t xml:space="preserve">Trial of cannabidiol for drug-resistant seizures in the </w:t>
      </w:r>
      <w:proofErr w:type="spellStart"/>
      <w:r w:rsidRPr="002E2F4B">
        <w:rPr>
          <w:rFonts w:ascii="Garamond" w:hAnsi="Garamond"/>
          <w:sz w:val="22"/>
          <w:szCs w:val="22"/>
        </w:rPr>
        <w:t>Dravet</w:t>
      </w:r>
      <w:proofErr w:type="spellEnd"/>
      <w:r w:rsidRPr="002E2F4B">
        <w:rPr>
          <w:rFonts w:ascii="Garamond" w:hAnsi="Garamond"/>
          <w:sz w:val="22"/>
          <w:szCs w:val="22"/>
        </w:rPr>
        <w:t xml:space="preserve"> Syndrome’ 376 (21) (2017) NEJM 2011. Indeed, the RCP guidance notes that medicine fell into error by prescribing opiates with little evidence of their effects long term: </w:t>
      </w:r>
      <w:r w:rsidRPr="002E2F4B">
        <w:rPr>
          <w:rFonts w:ascii="Garamond" w:hAnsi="Garamond" w:cs="Arial"/>
          <w:sz w:val="22"/>
          <w:szCs w:val="22"/>
        </w:rPr>
        <w:t>RCP guidance</w:t>
      </w:r>
      <w:r>
        <w:rPr>
          <w:rFonts w:ascii="Garamond" w:hAnsi="Garamond" w:cs="Arial"/>
          <w:sz w:val="22"/>
          <w:szCs w:val="22"/>
        </w:rPr>
        <w:t xml:space="preserve"> (n.112)</w:t>
      </w:r>
      <w:r w:rsidRPr="002E2F4B">
        <w:rPr>
          <w:rFonts w:ascii="Garamond" w:hAnsi="Garamond" w:cs="Arial"/>
          <w:sz w:val="22"/>
          <w:szCs w:val="22"/>
        </w:rPr>
        <w:t xml:space="preserve"> at 4.</w:t>
      </w:r>
    </w:p>
  </w:footnote>
  <w:footnote w:id="189">
    <w:p w14:paraId="614CC057" w14:textId="77777777" w:rsidR="00E21CD9" w:rsidRPr="0055569F" w:rsidRDefault="00E21CD9" w:rsidP="00A17C01">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H. Naci and J. Ioannidis, ‘How good is "evidence" from clinical studies of drug effects and why might such evidence fail in the prediction of the clinical utility of drugs?’ (2015) 55 </w:t>
      </w:r>
      <w:r w:rsidRPr="002E2F4B">
        <w:rPr>
          <w:rFonts w:ascii="Garamond" w:hAnsi="Garamond"/>
          <w:i/>
          <w:iCs/>
          <w:sz w:val="22"/>
          <w:szCs w:val="22"/>
        </w:rPr>
        <w:t xml:space="preserve">Annual Rev of </w:t>
      </w:r>
      <w:proofErr w:type="spellStart"/>
      <w:r w:rsidRPr="002E2F4B">
        <w:rPr>
          <w:rFonts w:ascii="Garamond" w:hAnsi="Garamond"/>
          <w:i/>
          <w:iCs/>
          <w:sz w:val="22"/>
          <w:szCs w:val="22"/>
        </w:rPr>
        <w:t>Pharmacol</w:t>
      </w:r>
      <w:proofErr w:type="spellEnd"/>
      <w:r w:rsidRPr="002E2F4B">
        <w:rPr>
          <w:rFonts w:ascii="Garamond" w:hAnsi="Garamond"/>
          <w:i/>
          <w:iCs/>
          <w:sz w:val="22"/>
          <w:szCs w:val="22"/>
        </w:rPr>
        <w:t xml:space="preserve"> Toxicology</w:t>
      </w:r>
      <w:r w:rsidRPr="002E2F4B">
        <w:rPr>
          <w:rFonts w:ascii="Garamond" w:hAnsi="Garamond"/>
          <w:sz w:val="22"/>
          <w:szCs w:val="22"/>
        </w:rPr>
        <w:t xml:space="preserve"> 169. </w:t>
      </w:r>
    </w:p>
  </w:footnote>
  <w:footnote w:id="190">
    <w:p w14:paraId="26ED9D53" w14:textId="17C6920A"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D. Nutt et al, ‘So Near Yet So Far.’ (2020)</w:t>
      </w:r>
      <w:r w:rsidR="00644B33">
        <w:rPr>
          <w:rFonts w:ascii="Garamond" w:hAnsi="Garamond"/>
          <w:sz w:val="22"/>
          <w:szCs w:val="22"/>
        </w:rPr>
        <w:t>, at n.16</w:t>
      </w:r>
      <w:r w:rsidRPr="0055569F">
        <w:rPr>
          <w:rFonts w:ascii="Garamond" w:hAnsi="Garamond"/>
          <w:sz w:val="22"/>
          <w:szCs w:val="22"/>
        </w:rPr>
        <w:t>.</w:t>
      </w:r>
    </w:p>
  </w:footnote>
  <w:footnote w:id="191">
    <w:p w14:paraId="1A703316" w14:textId="24F2B7C4"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The emphasis in this paper is primarily on adult prescribing, with prescribing for children being reserved for another project.</w:t>
      </w:r>
    </w:p>
  </w:footnote>
  <w:footnote w:id="192">
    <w:p w14:paraId="34265C36" w14:textId="4AAEA6B9"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Negligent prescribing may on occasion give rise to harms to third parties, </w:t>
      </w:r>
      <w:proofErr w:type="gramStart"/>
      <w:r w:rsidRPr="0055569F">
        <w:rPr>
          <w:rFonts w:ascii="Garamond" w:hAnsi="Garamond"/>
          <w:sz w:val="22"/>
          <w:szCs w:val="22"/>
        </w:rPr>
        <w:t>e.g.</w:t>
      </w:r>
      <w:proofErr w:type="gramEnd"/>
      <w:r w:rsidRPr="0055569F">
        <w:rPr>
          <w:rFonts w:ascii="Garamond" w:hAnsi="Garamond"/>
          <w:sz w:val="22"/>
          <w:szCs w:val="22"/>
        </w:rPr>
        <w:t xml:space="preserve"> whilst driving under the influence of the medication, but the duty of care to third parties is an involved issue deserving a paper of its own. </w:t>
      </w:r>
    </w:p>
  </w:footnote>
  <w:footnote w:id="193">
    <w:p w14:paraId="01D31E3B" w14:textId="40422A39"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citing of ‘personal liability’ as a reason for reluctance to prescribe in: I. </w:t>
      </w:r>
      <w:proofErr w:type="spellStart"/>
      <w:r w:rsidRPr="0055569F">
        <w:rPr>
          <w:rFonts w:ascii="Garamond" w:hAnsi="Garamond"/>
          <w:sz w:val="22"/>
          <w:szCs w:val="22"/>
        </w:rPr>
        <w:t>Torjeson</w:t>
      </w:r>
      <w:proofErr w:type="spellEnd"/>
      <w:r w:rsidRPr="0055569F">
        <w:rPr>
          <w:rFonts w:ascii="Garamond" w:hAnsi="Garamond"/>
          <w:sz w:val="22"/>
          <w:szCs w:val="22"/>
        </w:rPr>
        <w:t>, ‘Cannabis based drugs: GPs should be able to prescribe to improve access, NICE says’ (2019) 366 BMJ l5107, M. Smith, ‘Medical Cannabis: we need a change in culture and far more government action.’ (2019) BMJ and K. Thorpe, ‘Working as a medical cannabis clinician in the UK: finding insurance’ 23</w:t>
      </w:r>
      <w:r w:rsidRPr="0055569F">
        <w:rPr>
          <w:rFonts w:ascii="Garamond" w:hAnsi="Garamond"/>
          <w:sz w:val="22"/>
          <w:szCs w:val="22"/>
          <w:vertAlign w:val="superscript"/>
        </w:rPr>
        <w:t>rd</w:t>
      </w:r>
      <w:r w:rsidRPr="0055569F">
        <w:rPr>
          <w:rFonts w:ascii="Garamond" w:hAnsi="Garamond"/>
          <w:sz w:val="22"/>
          <w:szCs w:val="22"/>
        </w:rPr>
        <w:t xml:space="preserve"> April 2020 accessible at </w:t>
      </w:r>
      <w:hyperlink r:id="rId24" w:history="1">
        <w:r w:rsidRPr="0055569F">
          <w:rPr>
            <w:rStyle w:val="Hyperlink"/>
            <w:rFonts w:ascii="Garamond" w:hAnsi="Garamond"/>
            <w:sz w:val="22"/>
            <w:szCs w:val="22"/>
          </w:rPr>
          <w:t>https://www.ukmccs.org</w:t>
        </w:r>
      </w:hyperlink>
      <w:r w:rsidRPr="0055569F">
        <w:rPr>
          <w:rFonts w:ascii="Garamond" w:hAnsi="Garamond"/>
          <w:sz w:val="22"/>
          <w:szCs w:val="22"/>
        </w:rPr>
        <w:t xml:space="preserve">. This concern is echoed more broadly for the prescription of unlicensed meds generally: A. Chisholm, ‘Exploring UK attitudes towards unlicensed medicines use: a questionnaire-based study of members of the </w:t>
      </w:r>
      <w:proofErr w:type="gramStart"/>
      <w:r w:rsidRPr="0055569F">
        <w:rPr>
          <w:rFonts w:ascii="Garamond" w:hAnsi="Garamond"/>
          <w:sz w:val="22"/>
          <w:szCs w:val="22"/>
        </w:rPr>
        <w:t>general public</w:t>
      </w:r>
      <w:proofErr w:type="gramEnd"/>
      <w:r w:rsidRPr="0055569F">
        <w:rPr>
          <w:rFonts w:ascii="Garamond" w:hAnsi="Garamond"/>
          <w:sz w:val="22"/>
          <w:szCs w:val="22"/>
        </w:rPr>
        <w:t xml:space="preserve"> and physicians’ (2012) 5 </w:t>
      </w:r>
      <w:r w:rsidRPr="0055569F">
        <w:rPr>
          <w:rFonts w:ascii="Garamond" w:hAnsi="Garamond"/>
          <w:i/>
          <w:iCs/>
          <w:sz w:val="22"/>
          <w:szCs w:val="22"/>
        </w:rPr>
        <w:t xml:space="preserve">International Journal of General Medicine </w:t>
      </w:r>
      <w:r w:rsidRPr="0055569F">
        <w:rPr>
          <w:rFonts w:ascii="Garamond" w:hAnsi="Garamond"/>
          <w:sz w:val="22"/>
          <w:szCs w:val="22"/>
        </w:rPr>
        <w:t>27.</w:t>
      </w:r>
    </w:p>
  </w:footnote>
  <w:footnote w:id="194">
    <w:p w14:paraId="5955104A" w14:textId="77777777" w:rsidR="00E21CD9" w:rsidRPr="0055569F" w:rsidRDefault="00E21CD9" w:rsidP="006E1B1F">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Searches of jurisdictions where medicinal cannabis prescribing has been in place for some </w:t>
      </w:r>
      <w:proofErr w:type="gramStart"/>
      <w:r w:rsidRPr="0055569F">
        <w:rPr>
          <w:rFonts w:ascii="Garamond" w:hAnsi="Garamond"/>
          <w:sz w:val="22"/>
          <w:szCs w:val="22"/>
        </w:rPr>
        <w:t>time</w:t>
      </w:r>
      <w:proofErr w:type="gramEnd"/>
      <w:r w:rsidRPr="0055569F">
        <w:rPr>
          <w:rFonts w:ascii="Garamond" w:hAnsi="Garamond"/>
          <w:sz w:val="22"/>
          <w:szCs w:val="22"/>
        </w:rPr>
        <w:t xml:space="preserve"> however, reveal little evidence that it is resulting in litigation against the doctor. See as an exception where negligence is in any event, </w:t>
      </w:r>
      <w:proofErr w:type="gramStart"/>
      <w:r w:rsidRPr="0055569F">
        <w:rPr>
          <w:rFonts w:ascii="Garamond" w:hAnsi="Garamond"/>
          <w:sz w:val="22"/>
          <w:szCs w:val="22"/>
        </w:rPr>
        <w:t>fairly obvious</w:t>
      </w:r>
      <w:proofErr w:type="gramEnd"/>
      <w:r w:rsidRPr="0055569F">
        <w:rPr>
          <w:rFonts w:ascii="Garamond" w:hAnsi="Garamond"/>
          <w:sz w:val="22"/>
          <w:szCs w:val="22"/>
        </w:rPr>
        <w:t>, the case of Hollywood doctor, Dr Eidelman, who recommended cannabis for a 4yr old who he improperly diagnosed as having ADHD: https://www.latimes.com/local/california/la-me-ln-doctor-marijuana-20190128-story.html.</w:t>
      </w:r>
    </w:p>
  </w:footnote>
  <w:footnote w:id="195">
    <w:p w14:paraId="7E25226F" w14:textId="6AAE6DC5" w:rsidR="00E21CD9" w:rsidRPr="0055569F" w:rsidRDefault="00E21CD9" w:rsidP="00D602AB">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proofErr w:type="gramStart"/>
      <w:r w:rsidRPr="0055569F">
        <w:rPr>
          <w:rFonts w:ascii="Garamond" w:hAnsi="Garamond"/>
          <w:sz w:val="22"/>
          <w:szCs w:val="22"/>
        </w:rPr>
        <w:t>E.g.</w:t>
      </w:r>
      <w:proofErr w:type="gramEnd"/>
      <w:r w:rsidRPr="0055569F">
        <w:rPr>
          <w:rFonts w:ascii="Garamond" w:hAnsi="Garamond"/>
          <w:sz w:val="22"/>
          <w:szCs w:val="22"/>
        </w:rPr>
        <w:t xml:space="preserve"> in </w:t>
      </w:r>
      <w:r w:rsidRPr="0055569F">
        <w:rPr>
          <w:rFonts w:ascii="Garamond" w:hAnsi="Garamond"/>
          <w:i/>
          <w:iCs/>
          <w:sz w:val="22"/>
          <w:szCs w:val="22"/>
        </w:rPr>
        <w:t>C v North Cumbria University Hospitals NHS Trust</w:t>
      </w:r>
      <w:r w:rsidRPr="0055569F">
        <w:rPr>
          <w:rFonts w:ascii="Garamond" w:hAnsi="Garamond"/>
          <w:sz w:val="22"/>
          <w:szCs w:val="22"/>
        </w:rPr>
        <w:t xml:space="preserve"> [2014] EWHC 61 – considering whether administering second dose of </w:t>
      </w:r>
      <w:proofErr w:type="spellStart"/>
      <w:r w:rsidRPr="0055569F">
        <w:rPr>
          <w:rFonts w:ascii="Garamond" w:hAnsi="Garamond"/>
          <w:sz w:val="22"/>
          <w:szCs w:val="22"/>
        </w:rPr>
        <w:t>Prostin</w:t>
      </w:r>
      <w:proofErr w:type="spellEnd"/>
      <w:r w:rsidRPr="0055569F">
        <w:rPr>
          <w:rFonts w:ascii="Garamond" w:hAnsi="Garamond"/>
          <w:sz w:val="22"/>
          <w:szCs w:val="22"/>
        </w:rPr>
        <w:t xml:space="preserve"> was negligent in light of the available medical literature; </w:t>
      </w:r>
      <w:r w:rsidRPr="0055569F">
        <w:rPr>
          <w:rFonts w:ascii="Garamond" w:hAnsi="Garamond"/>
          <w:i/>
          <w:iCs/>
          <w:sz w:val="22"/>
          <w:szCs w:val="22"/>
        </w:rPr>
        <w:t>Fraser v Bolt</w:t>
      </w:r>
      <w:r w:rsidRPr="0055569F">
        <w:rPr>
          <w:rFonts w:ascii="Garamond" w:hAnsi="Garamond"/>
          <w:sz w:val="22"/>
          <w:szCs w:val="22"/>
        </w:rPr>
        <w:t xml:space="preserve"> [2009]</w:t>
      </w:r>
      <w:r w:rsidRPr="0055569F">
        <w:rPr>
          <w:rFonts w:ascii="Garamond" w:hAnsi="Garamond"/>
          <w:color w:val="000000"/>
          <w:sz w:val="22"/>
          <w:szCs w:val="22"/>
        </w:rPr>
        <w:t xml:space="preserve"> EWHC 2906 – harm caused by over-prescription of </w:t>
      </w:r>
      <w:proofErr w:type="spellStart"/>
      <w:r w:rsidRPr="0055569F">
        <w:rPr>
          <w:rFonts w:ascii="Garamond" w:hAnsi="Garamond"/>
          <w:color w:val="000000"/>
          <w:sz w:val="22"/>
          <w:szCs w:val="22"/>
        </w:rPr>
        <w:t>benzodiazepenes</w:t>
      </w:r>
      <w:proofErr w:type="spellEnd"/>
      <w:r w:rsidRPr="0055569F">
        <w:rPr>
          <w:rFonts w:ascii="Garamond" w:hAnsi="Garamond"/>
          <w:color w:val="000000"/>
          <w:sz w:val="22"/>
          <w:szCs w:val="22"/>
        </w:rPr>
        <w:t>.</w:t>
      </w:r>
    </w:p>
  </w:footnote>
  <w:footnote w:id="196">
    <w:p w14:paraId="0BDEBF1A" w14:textId="2901EF10" w:rsidR="00E21CD9" w:rsidRPr="0055569F" w:rsidRDefault="00E21CD9" w:rsidP="00CC479B">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proofErr w:type="gramStart"/>
      <w:r w:rsidRPr="0055569F">
        <w:rPr>
          <w:rFonts w:ascii="Garamond" w:hAnsi="Garamond"/>
          <w:sz w:val="22"/>
          <w:szCs w:val="22"/>
        </w:rPr>
        <w:t>E.g.</w:t>
      </w:r>
      <w:proofErr w:type="gramEnd"/>
      <w:r w:rsidRPr="0055569F">
        <w:rPr>
          <w:rFonts w:ascii="Garamond" w:hAnsi="Garamond"/>
          <w:sz w:val="22"/>
          <w:szCs w:val="22"/>
        </w:rPr>
        <w:t xml:space="preserve"> </w:t>
      </w:r>
      <w:r w:rsidRPr="0055569F">
        <w:rPr>
          <w:rFonts w:ascii="Garamond" w:hAnsi="Garamond"/>
          <w:i/>
          <w:iCs/>
          <w:sz w:val="22"/>
          <w:szCs w:val="22"/>
        </w:rPr>
        <w:t>Holton v GMC</w:t>
      </w:r>
      <w:r w:rsidRPr="0055569F">
        <w:rPr>
          <w:rFonts w:ascii="Garamond" w:hAnsi="Garamond"/>
          <w:sz w:val="22"/>
          <w:szCs w:val="22"/>
        </w:rPr>
        <w:t xml:space="preserve"> [2006] EWHC 2960 – overdiagnosis of epilepsy in children and over-prescribing of aggressive medications resulting in fitness to practice proceedings. </w:t>
      </w:r>
    </w:p>
  </w:footnote>
  <w:footnote w:id="197">
    <w:p w14:paraId="5056C4EA" w14:textId="4016DDF4" w:rsidR="00E21CD9" w:rsidRPr="002E2F4B"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r w:rsidRPr="0055569F">
        <w:rPr>
          <w:rFonts w:ascii="Garamond" w:hAnsi="Garamond"/>
          <w:i/>
          <w:iCs/>
          <w:sz w:val="22"/>
          <w:szCs w:val="22"/>
        </w:rPr>
        <w:t>C v North Cumbria University Hospitals NHS Trust</w:t>
      </w:r>
      <w:r w:rsidRPr="0055569F">
        <w:rPr>
          <w:rFonts w:ascii="Garamond" w:hAnsi="Garamond"/>
          <w:sz w:val="22"/>
          <w:szCs w:val="22"/>
        </w:rPr>
        <w:t xml:space="preserve"> [2014] EWHC 61 at [71]. </w:t>
      </w:r>
    </w:p>
  </w:footnote>
  <w:footnote w:id="198">
    <w:p w14:paraId="2411E90F" w14:textId="7ABD512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Above, n.155.</w:t>
      </w:r>
    </w:p>
  </w:footnote>
  <w:footnote w:id="199">
    <w:p w14:paraId="1E757CEF" w14:textId="2456296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Lord Scarman in </w:t>
      </w:r>
      <w:r w:rsidRPr="002E2F4B">
        <w:rPr>
          <w:rFonts w:ascii="Garamond" w:hAnsi="Garamond"/>
          <w:i/>
          <w:iCs/>
          <w:sz w:val="22"/>
          <w:szCs w:val="22"/>
        </w:rPr>
        <w:t xml:space="preserve">Maynard v West Midland Area Health Authority </w:t>
      </w:r>
      <w:r w:rsidRPr="002E2F4B">
        <w:rPr>
          <w:rFonts w:ascii="Garamond" w:hAnsi="Garamond"/>
          <w:sz w:val="22"/>
          <w:szCs w:val="22"/>
        </w:rPr>
        <w:t>[1984] 1 WLR 634.</w:t>
      </w:r>
    </w:p>
  </w:footnote>
  <w:footnote w:id="200">
    <w:p w14:paraId="42EFBE8C" w14:textId="77777777" w:rsidR="00E21CD9" w:rsidRPr="002E2F4B" w:rsidRDefault="00E21CD9" w:rsidP="00B81474">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De Freitas v O’Brien </w:t>
      </w:r>
      <w:r w:rsidRPr="002E2F4B">
        <w:rPr>
          <w:rFonts w:ascii="Garamond" w:hAnsi="Garamond"/>
          <w:sz w:val="22"/>
          <w:szCs w:val="22"/>
        </w:rPr>
        <w:t>[1995] PIQR 281.</w:t>
      </w:r>
    </w:p>
  </w:footnote>
  <w:footnote w:id="201">
    <w:p w14:paraId="701E8F3F" w14:textId="0CD2CCD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 Brazier and J. Miola, ‘Bye-bye </w:t>
      </w:r>
      <w:proofErr w:type="spellStart"/>
      <w:r w:rsidRPr="002E2F4B">
        <w:rPr>
          <w:rFonts w:ascii="Garamond" w:hAnsi="Garamond"/>
          <w:i/>
          <w:iCs/>
          <w:sz w:val="22"/>
          <w:szCs w:val="22"/>
        </w:rPr>
        <w:t>Bolam</w:t>
      </w:r>
      <w:proofErr w:type="spellEnd"/>
      <w:r w:rsidRPr="002E2F4B">
        <w:rPr>
          <w:rFonts w:ascii="Garamond" w:hAnsi="Garamond"/>
          <w:i/>
          <w:iCs/>
          <w:sz w:val="22"/>
          <w:szCs w:val="22"/>
        </w:rPr>
        <w:t xml:space="preserve">: </w:t>
      </w:r>
      <w:r w:rsidRPr="002E2F4B">
        <w:rPr>
          <w:rFonts w:ascii="Garamond" w:hAnsi="Garamond"/>
          <w:sz w:val="22"/>
          <w:szCs w:val="22"/>
        </w:rPr>
        <w:t>A Medical Litigation Revolution’ (2000) 8 Med L Rev 85 at 85.</w:t>
      </w:r>
    </w:p>
  </w:footnote>
  <w:footnote w:id="202">
    <w:p w14:paraId="33154AFF" w14:textId="4BDE8BB3" w:rsidR="00E21CD9" w:rsidRPr="002E2F4B" w:rsidRDefault="00E21CD9" w:rsidP="0045445E">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Above, n.155</w:t>
      </w:r>
      <w:r w:rsidRPr="002E2F4B">
        <w:rPr>
          <w:rFonts w:ascii="Garamond" w:hAnsi="Garamond"/>
          <w:sz w:val="22"/>
          <w:szCs w:val="22"/>
        </w:rPr>
        <w:t xml:space="preserve">. </w:t>
      </w:r>
    </w:p>
  </w:footnote>
  <w:footnote w:id="203">
    <w:p w14:paraId="3D3D01D2" w14:textId="0B018851"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 Heywood, </w:t>
      </w:r>
      <w:proofErr w:type="gramStart"/>
      <w:r w:rsidRPr="002E2F4B">
        <w:rPr>
          <w:rFonts w:ascii="Garamond" w:hAnsi="Garamond"/>
          <w:sz w:val="22"/>
          <w:szCs w:val="22"/>
        </w:rPr>
        <w:t>‘”If</w:t>
      </w:r>
      <w:proofErr w:type="gramEnd"/>
      <w:r w:rsidRPr="002E2F4B">
        <w:rPr>
          <w:rFonts w:ascii="Garamond" w:hAnsi="Garamond"/>
          <w:sz w:val="22"/>
          <w:szCs w:val="22"/>
        </w:rPr>
        <w:t xml:space="preserve"> the problem persists, come back to see me…” – An empirical study of clinical negligence cases against General Practitioners.’ (2018) </w:t>
      </w:r>
      <w:r w:rsidRPr="002E2F4B">
        <w:rPr>
          <w:rFonts w:ascii="Garamond" w:hAnsi="Garamond"/>
          <w:i/>
          <w:sz w:val="22"/>
          <w:szCs w:val="22"/>
        </w:rPr>
        <w:t xml:space="preserve">Med L Rev </w:t>
      </w:r>
      <w:r w:rsidRPr="002E2F4B">
        <w:rPr>
          <w:rFonts w:ascii="Garamond" w:hAnsi="Garamond"/>
          <w:sz w:val="22"/>
          <w:szCs w:val="22"/>
        </w:rPr>
        <w:t>406 at 409.</w:t>
      </w:r>
    </w:p>
  </w:footnote>
  <w:footnote w:id="204">
    <w:p w14:paraId="28C8EA72" w14:textId="40EFFDA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[2014] EWHC 61 at [25].</w:t>
      </w:r>
    </w:p>
  </w:footnote>
  <w:footnote w:id="205">
    <w:p w14:paraId="13D4735B" w14:textId="7442DEA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i/>
          <w:iCs/>
          <w:sz w:val="22"/>
          <w:szCs w:val="22"/>
        </w:rPr>
        <w:t xml:space="preserve"> PXW v Kingston Hospital NHS Trust</w:t>
      </w:r>
      <w:r w:rsidRPr="002E2F4B">
        <w:rPr>
          <w:rFonts w:ascii="Garamond" w:hAnsi="Garamond"/>
          <w:sz w:val="22"/>
          <w:szCs w:val="22"/>
        </w:rPr>
        <w:t xml:space="preserve"> [2019] EWHC 840; </w:t>
      </w:r>
      <w:r w:rsidRPr="002E2F4B">
        <w:rPr>
          <w:rFonts w:ascii="Garamond" w:hAnsi="Garamond"/>
          <w:i/>
          <w:iCs/>
          <w:sz w:val="22"/>
          <w:szCs w:val="22"/>
        </w:rPr>
        <w:t xml:space="preserve">Shaw v South Tees Hospital NHS Trust </w:t>
      </w:r>
      <w:r w:rsidRPr="002E2F4B">
        <w:rPr>
          <w:rFonts w:ascii="Garamond" w:hAnsi="Garamond"/>
          <w:sz w:val="22"/>
          <w:szCs w:val="22"/>
        </w:rPr>
        <w:t xml:space="preserve">[2019] EWHC 2280; </w:t>
      </w:r>
      <w:r w:rsidRPr="002E2F4B">
        <w:rPr>
          <w:rFonts w:ascii="Garamond" w:hAnsi="Garamond"/>
          <w:i/>
          <w:iCs/>
          <w:sz w:val="22"/>
          <w:szCs w:val="22"/>
        </w:rPr>
        <w:t>Lane v Worcestershire Acute Hospital NHS Trust</w:t>
      </w:r>
      <w:r w:rsidRPr="002E2F4B">
        <w:rPr>
          <w:rFonts w:ascii="Garamond" w:hAnsi="Garamond"/>
          <w:sz w:val="22"/>
          <w:szCs w:val="22"/>
        </w:rPr>
        <w:t xml:space="preserve"> [2017] EWHC 1900. C.f. </w:t>
      </w:r>
      <w:r w:rsidRPr="002E2F4B">
        <w:rPr>
          <w:rFonts w:ascii="Garamond" w:hAnsi="Garamond"/>
          <w:i/>
          <w:iCs/>
          <w:sz w:val="22"/>
          <w:szCs w:val="22"/>
        </w:rPr>
        <w:t>ARB v IVF Hammersmith &amp; Anor</w:t>
      </w:r>
      <w:r w:rsidRPr="002E2F4B">
        <w:rPr>
          <w:rFonts w:ascii="Garamond" w:hAnsi="Garamond"/>
          <w:sz w:val="22"/>
          <w:szCs w:val="22"/>
        </w:rPr>
        <w:t xml:space="preserve"> [2018] EWCA </w:t>
      </w:r>
      <w:proofErr w:type="spellStart"/>
      <w:r w:rsidRPr="002E2F4B">
        <w:rPr>
          <w:rFonts w:ascii="Garamond" w:hAnsi="Garamond"/>
          <w:sz w:val="22"/>
          <w:szCs w:val="22"/>
        </w:rPr>
        <w:t>Civ</w:t>
      </w:r>
      <w:proofErr w:type="spellEnd"/>
      <w:r w:rsidRPr="002E2F4B">
        <w:rPr>
          <w:rFonts w:ascii="Garamond" w:hAnsi="Garamond"/>
          <w:sz w:val="22"/>
          <w:szCs w:val="22"/>
        </w:rPr>
        <w:t xml:space="preserve"> 2803 at [59] ‘</w:t>
      </w:r>
      <w:r w:rsidRPr="002E2F4B">
        <w:rPr>
          <w:rFonts w:ascii="Garamond" w:hAnsi="Garamond"/>
          <w:color w:val="000000"/>
          <w:sz w:val="22"/>
          <w:szCs w:val="22"/>
        </w:rPr>
        <w:t xml:space="preserve">The identified practice of this clinic was neither reasonable nor responsible’ (appearing to attribute the ‘responsible’ requirement to the conduct of the defendant rather than of the expert). </w:t>
      </w:r>
    </w:p>
  </w:footnote>
  <w:footnote w:id="206">
    <w:p w14:paraId="2C8BFD28" w14:textId="1F6B5069" w:rsidR="00E21CD9" w:rsidRPr="002E2F4B" w:rsidRDefault="00E21CD9" w:rsidP="00BA496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n.183.</w:t>
      </w:r>
    </w:p>
  </w:footnote>
  <w:footnote w:id="207">
    <w:p w14:paraId="117B9F95" w14:textId="6F8F2370" w:rsidR="00E21CD9" w:rsidRPr="002E2F4B" w:rsidRDefault="00E21CD9" w:rsidP="00BA4968">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All three terms being referred to in Lord Browne-Wilkinson’s judgment in </w:t>
      </w:r>
      <w:r w:rsidRPr="002E2F4B">
        <w:rPr>
          <w:rFonts w:ascii="Garamond" w:hAnsi="Garamond"/>
          <w:i/>
          <w:iCs/>
          <w:sz w:val="22"/>
          <w:szCs w:val="22"/>
        </w:rPr>
        <w:t xml:space="preserve">Bolitho. </w:t>
      </w:r>
    </w:p>
  </w:footnote>
  <w:footnote w:id="208">
    <w:p w14:paraId="4EA5C582" w14:textId="31E8385A" w:rsidR="00E21CD9" w:rsidRPr="002E2F4B" w:rsidRDefault="00E21CD9" w:rsidP="00BA496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Above at n.</w:t>
      </w:r>
      <w:r>
        <w:rPr>
          <w:rFonts w:ascii="Garamond" w:hAnsi="Garamond"/>
          <w:sz w:val="22"/>
          <w:szCs w:val="22"/>
        </w:rPr>
        <w:t>207</w:t>
      </w:r>
      <w:r w:rsidRPr="002E2F4B">
        <w:rPr>
          <w:rFonts w:ascii="Garamond" w:hAnsi="Garamond"/>
          <w:sz w:val="22"/>
          <w:szCs w:val="22"/>
        </w:rPr>
        <w:t>.</w:t>
      </w:r>
    </w:p>
  </w:footnote>
  <w:footnote w:id="209">
    <w:p w14:paraId="0EEF4997" w14:textId="1D8B5AE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spellStart"/>
      <w:r w:rsidRPr="002E2F4B">
        <w:rPr>
          <w:rFonts w:ascii="Garamond" w:hAnsi="Garamond"/>
          <w:i/>
          <w:iCs/>
          <w:sz w:val="22"/>
          <w:szCs w:val="22"/>
        </w:rPr>
        <w:t>Wilsher</w:t>
      </w:r>
      <w:proofErr w:type="spellEnd"/>
      <w:r w:rsidRPr="002E2F4B">
        <w:rPr>
          <w:rFonts w:ascii="Garamond" w:hAnsi="Garamond"/>
          <w:i/>
          <w:iCs/>
          <w:sz w:val="22"/>
          <w:szCs w:val="22"/>
        </w:rPr>
        <w:t xml:space="preserve"> v Essex AHA </w:t>
      </w:r>
      <w:r w:rsidRPr="002E2F4B">
        <w:rPr>
          <w:rFonts w:ascii="Garamond" w:hAnsi="Garamond"/>
          <w:sz w:val="22"/>
          <w:szCs w:val="22"/>
        </w:rPr>
        <w:t>[1988] 1 AC 1074.</w:t>
      </w:r>
    </w:p>
  </w:footnote>
  <w:footnote w:id="210">
    <w:p w14:paraId="4FCEEAE5" w14:textId="34C6989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n.1</w:t>
      </w:r>
      <w:r>
        <w:rPr>
          <w:rFonts w:ascii="Garamond" w:hAnsi="Garamond"/>
          <w:sz w:val="22"/>
          <w:szCs w:val="22"/>
        </w:rPr>
        <w:t>49</w:t>
      </w:r>
      <w:r w:rsidRPr="002E2F4B">
        <w:rPr>
          <w:rFonts w:ascii="Garamond" w:hAnsi="Garamond"/>
          <w:sz w:val="22"/>
          <w:szCs w:val="22"/>
        </w:rPr>
        <w:t>.</w:t>
      </w:r>
    </w:p>
  </w:footnote>
  <w:footnote w:id="211">
    <w:p w14:paraId="221910D3" w14:textId="1B59A2E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bookmarkStart w:id="11" w:name="para62"/>
      <w:r w:rsidRPr="002E2F4B">
        <w:rPr>
          <w:rFonts w:ascii="Garamond" w:hAnsi="Garamond"/>
          <w:i/>
          <w:iCs/>
          <w:color w:val="000000"/>
          <w:sz w:val="22"/>
          <w:szCs w:val="22"/>
        </w:rPr>
        <w:t>Eckersley v Binnie</w:t>
      </w:r>
      <w:r w:rsidRPr="002E2F4B">
        <w:rPr>
          <w:rFonts w:ascii="Garamond" w:hAnsi="Garamond"/>
          <w:color w:val="000000"/>
          <w:sz w:val="22"/>
          <w:szCs w:val="22"/>
        </w:rPr>
        <w:t> [1988] 18 Con LR 1, at 79-80</w:t>
      </w:r>
      <w:bookmarkEnd w:id="11"/>
      <w:r w:rsidRPr="002E2F4B">
        <w:rPr>
          <w:rFonts w:ascii="Garamond" w:hAnsi="Garamond"/>
          <w:sz w:val="22"/>
          <w:szCs w:val="22"/>
        </w:rPr>
        <w:t>.</w:t>
      </w:r>
    </w:p>
  </w:footnote>
  <w:footnote w:id="212">
    <w:p w14:paraId="5F0E4A6A" w14:textId="128CE439" w:rsidR="00E21CD9" w:rsidRPr="002E2F4B" w:rsidRDefault="00E21CD9" w:rsidP="00187BE4">
      <w:pPr>
        <w:pStyle w:val="FootnoteText"/>
        <w:rPr>
          <w:rFonts w:ascii="Garamond" w:hAnsi="Garamond"/>
          <w:b/>
          <w:b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Sapphire Clinics, The Medical Cannabis Clinics, MyAccess Clinics – all registered with the Care Quality Commission. </w:t>
      </w:r>
    </w:p>
  </w:footnote>
  <w:footnote w:id="213">
    <w:p w14:paraId="6E0B9A51" w14:textId="41D8555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CQC guidance (n.1</w:t>
      </w:r>
      <w:r>
        <w:rPr>
          <w:rFonts w:ascii="Garamond" w:hAnsi="Garamond"/>
          <w:sz w:val="22"/>
          <w:szCs w:val="22"/>
        </w:rPr>
        <w:t>16</w:t>
      </w:r>
      <w:r w:rsidRPr="002E2F4B">
        <w:rPr>
          <w:rFonts w:ascii="Garamond" w:hAnsi="Garamond"/>
          <w:sz w:val="22"/>
          <w:szCs w:val="22"/>
        </w:rPr>
        <w:t>).</w:t>
      </w:r>
    </w:p>
  </w:footnote>
  <w:footnote w:id="214">
    <w:p w14:paraId="63AB93EC" w14:textId="6A022E2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KLOE S4.</w:t>
      </w:r>
    </w:p>
  </w:footnote>
  <w:footnote w:id="215">
    <w:p w14:paraId="7859BD2B" w14:textId="77777777" w:rsidR="00E21CD9" w:rsidRPr="002E2F4B" w:rsidRDefault="00E21CD9" w:rsidP="00A73737">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Mills v Oxford University Hospitals NHS Trust </w:t>
      </w:r>
      <w:r w:rsidRPr="002E2F4B">
        <w:rPr>
          <w:rFonts w:ascii="Garamond" w:hAnsi="Garamond"/>
          <w:sz w:val="22"/>
          <w:szCs w:val="22"/>
        </w:rPr>
        <w:t>[2019] EWHC 936 at [118.]</w:t>
      </w:r>
    </w:p>
  </w:footnote>
  <w:footnote w:id="216">
    <w:p w14:paraId="7987A29C" w14:textId="732A56DE" w:rsidR="00E21CD9" w:rsidRPr="002E2F4B" w:rsidRDefault="00E21CD9">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Roe v Ministry of Health </w:t>
      </w:r>
      <w:r w:rsidRPr="002E2F4B">
        <w:rPr>
          <w:rFonts w:ascii="Garamond" w:hAnsi="Garamond"/>
          <w:sz w:val="22"/>
          <w:szCs w:val="22"/>
        </w:rPr>
        <w:t>[1954] 2 All ER 131</w:t>
      </w:r>
      <w:r w:rsidRPr="002E2F4B">
        <w:rPr>
          <w:rFonts w:ascii="Garamond" w:hAnsi="Garamond"/>
          <w:i/>
          <w:iCs/>
          <w:sz w:val="22"/>
          <w:szCs w:val="22"/>
        </w:rPr>
        <w:t xml:space="preserve">. </w:t>
      </w:r>
    </w:p>
  </w:footnote>
  <w:footnote w:id="217">
    <w:p w14:paraId="5C56A606" w14:textId="451A437E"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r w:rsidRPr="002E2F4B">
        <w:rPr>
          <w:rFonts w:ascii="Garamond" w:hAnsi="Garamond" w:cs="Arial"/>
          <w:i/>
          <w:iCs/>
          <w:color w:val="000000"/>
          <w:sz w:val="22"/>
          <w:szCs w:val="22"/>
        </w:rPr>
        <w:t xml:space="preserve">Giles v Chambers </w:t>
      </w:r>
      <w:r w:rsidRPr="002E2F4B">
        <w:rPr>
          <w:rFonts w:ascii="Garamond" w:hAnsi="Garamond" w:cs="Arial"/>
          <w:color w:val="000000"/>
          <w:sz w:val="22"/>
          <w:szCs w:val="22"/>
        </w:rPr>
        <w:t xml:space="preserve">[2017] EWHC 1661 at [125] to [126] although in the context of cosmetic surgery. </w:t>
      </w:r>
    </w:p>
  </w:footnote>
  <w:footnote w:id="218">
    <w:p w14:paraId="373A5AE8" w14:textId="3579981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Medicinal Cannabis: an Introduction </w:t>
      </w:r>
      <w:r w:rsidRPr="002E2F4B">
        <w:rPr>
          <w:rFonts w:ascii="Garamond" w:hAnsi="Garamond"/>
          <w:sz w:val="22"/>
          <w:szCs w:val="22"/>
        </w:rPr>
        <w:t xml:space="preserve">(Webinar with Dr </w:t>
      </w:r>
      <w:proofErr w:type="spellStart"/>
      <w:r w:rsidRPr="002E2F4B">
        <w:rPr>
          <w:rFonts w:ascii="Garamond" w:hAnsi="Garamond"/>
          <w:sz w:val="22"/>
          <w:szCs w:val="22"/>
        </w:rPr>
        <w:t>Kishan</w:t>
      </w:r>
      <w:proofErr w:type="spellEnd"/>
      <w:r w:rsidRPr="002E2F4B">
        <w:rPr>
          <w:rFonts w:ascii="Garamond" w:hAnsi="Garamond"/>
          <w:sz w:val="22"/>
          <w:szCs w:val="22"/>
        </w:rPr>
        <w:t xml:space="preserve"> </w:t>
      </w:r>
      <w:proofErr w:type="spellStart"/>
      <w:r w:rsidRPr="002E2F4B">
        <w:rPr>
          <w:rFonts w:ascii="Garamond" w:hAnsi="Garamond"/>
          <w:sz w:val="22"/>
          <w:szCs w:val="22"/>
        </w:rPr>
        <w:t>Mahabir</w:t>
      </w:r>
      <w:proofErr w:type="spellEnd"/>
      <w:r w:rsidRPr="002E2F4B">
        <w:rPr>
          <w:rFonts w:ascii="Garamond" w:hAnsi="Garamond"/>
          <w:sz w:val="22"/>
          <w:szCs w:val="22"/>
        </w:rPr>
        <w:t xml:space="preserve">, September 2019) hosted by  SMMGP (‘Substance Misuse Management in General Practice’, a GP led charity) – available at </w:t>
      </w:r>
      <w:hyperlink r:id="rId25" w:history="1">
        <w:r w:rsidRPr="002E2F4B">
          <w:rPr>
            <w:rStyle w:val="Hyperlink"/>
            <w:rFonts w:ascii="Garamond" w:hAnsi="Garamond"/>
            <w:sz w:val="22"/>
            <w:szCs w:val="22"/>
          </w:rPr>
          <w:t>https://www.smmgp-fdap.org.uk/news/medical-cannabis-a-series-of-free-webinars</w:t>
        </w:r>
      </w:hyperlink>
      <w:r w:rsidRPr="002E2F4B">
        <w:rPr>
          <w:rFonts w:ascii="Garamond" w:hAnsi="Garamond"/>
          <w:sz w:val="22"/>
          <w:szCs w:val="22"/>
        </w:rPr>
        <w:t xml:space="preserve">. </w:t>
      </w:r>
    </w:p>
  </w:footnote>
  <w:footnote w:id="219">
    <w:p w14:paraId="60969FC0" w14:textId="55D901E7"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[2009]</w:t>
      </w:r>
      <w:r w:rsidRPr="002E2F4B">
        <w:rPr>
          <w:rFonts w:ascii="Garamond" w:hAnsi="Garamond" w:cs="Arial"/>
          <w:sz w:val="22"/>
          <w:szCs w:val="22"/>
        </w:rPr>
        <w:t xml:space="preserve"> BCSC 429 </w:t>
      </w:r>
      <w:r w:rsidRPr="002E2F4B">
        <w:rPr>
          <w:rFonts w:ascii="Garamond" w:hAnsi="Garamond"/>
          <w:sz w:val="22"/>
          <w:szCs w:val="22"/>
        </w:rPr>
        <w:t>at [39].</w:t>
      </w:r>
    </w:p>
  </w:footnote>
  <w:footnote w:id="220">
    <w:p w14:paraId="237A01F1" w14:textId="3F26611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Ibid at [40].</w:t>
      </w:r>
    </w:p>
  </w:footnote>
  <w:footnote w:id="221">
    <w:p w14:paraId="56921C20" w14:textId="0370A81D"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the court’s grateful acceptance of a Japanese neurologist’s (Dr Doh-</w:t>
      </w:r>
      <w:proofErr w:type="spellStart"/>
      <w:r w:rsidRPr="002E2F4B">
        <w:rPr>
          <w:rFonts w:ascii="Garamond" w:hAnsi="Garamond"/>
          <w:sz w:val="22"/>
          <w:szCs w:val="22"/>
        </w:rPr>
        <w:t>Uhra</w:t>
      </w:r>
      <w:proofErr w:type="spellEnd"/>
      <w:r w:rsidRPr="002E2F4B">
        <w:rPr>
          <w:rFonts w:ascii="Garamond" w:hAnsi="Garamond"/>
          <w:sz w:val="22"/>
          <w:szCs w:val="22"/>
        </w:rPr>
        <w:t xml:space="preserve">) evidence for the purposes of fixing the standard of care in a case of experimental treatment (although corroborated by the evidence of three English expert witnesses): </w:t>
      </w:r>
      <w:r w:rsidRPr="002E2F4B">
        <w:rPr>
          <w:rFonts w:ascii="Garamond" w:hAnsi="Garamond"/>
          <w:i/>
          <w:iCs/>
          <w:sz w:val="22"/>
          <w:szCs w:val="22"/>
        </w:rPr>
        <w:t xml:space="preserve">An NHS Trust v Simms </w:t>
      </w:r>
      <w:r w:rsidRPr="002E2F4B">
        <w:rPr>
          <w:rFonts w:ascii="Garamond" w:hAnsi="Garamond"/>
          <w:sz w:val="22"/>
          <w:szCs w:val="22"/>
        </w:rPr>
        <w:t>[2002] EWHC 2734.</w:t>
      </w:r>
    </w:p>
  </w:footnote>
  <w:footnote w:id="222">
    <w:p w14:paraId="1DB665ED" w14:textId="52E37BA2"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Bolitho, </w:t>
      </w:r>
      <w:r w:rsidRPr="002E2F4B">
        <w:rPr>
          <w:rFonts w:ascii="Garamond" w:hAnsi="Garamond"/>
          <w:sz w:val="22"/>
          <w:szCs w:val="22"/>
        </w:rPr>
        <w:t>per Lord Browne-Wilkinson.</w:t>
      </w:r>
    </w:p>
  </w:footnote>
  <w:footnote w:id="223">
    <w:p w14:paraId="0031E970" w14:textId="5BB69DD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J. Montgomery, ’The tragedy of Charlie Gard: A case for the regulation of innovation’ (2019) 11(1)</w:t>
      </w:r>
      <w:r w:rsidRPr="002E2F4B">
        <w:rPr>
          <w:rFonts w:ascii="Garamond" w:hAnsi="Garamond"/>
          <w:i/>
          <w:iCs/>
          <w:sz w:val="22"/>
          <w:szCs w:val="22"/>
        </w:rPr>
        <w:t xml:space="preserve"> Law Innovation and Technology </w:t>
      </w:r>
      <w:r w:rsidRPr="002E2F4B">
        <w:rPr>
          <w:rFonts w:ascii="Garamond" w:hAnsi="Garamond"/>
          <w:sz w:val="22"/>
          <w:szCs w:val="22"/>
        </w:rPr>
        <w:t xml:space="preserve">155 at 171, commenting on Dr Hirano’s proposed treatment for Charlie Gard, based on theory and not having visited Charlie or having viewed his medical records. </w:t>
      </w:r>
    </w:p>
  </w:footnote>
  <w:footnote w:id="224">
    <w:p w14:paraId="16DFD412" w14:textId="66F616A1"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[2014] EWHC 61 at [25].</w:t>
      </w:r>
    </w:p>
  </w:footnote>
  <w:footnote w:id="225">
    <w:p w14:paraId="1B915EBC" w14:textId="234E897A" w:rsidR="00E21CD9" w:rsidRPr="002E2F4B" w:rsidRDefault="00E21CD9" w:rsidP="003374A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Donovan et al, n.1</w:t>
      </w:r>
      <w:r>
        <w:rPr>
          <w:rFonts w:ascii="Garamond" w:hAnsi="Garamond"/>
          <w:sz w:val="22"/>
          <w:szCs w:val="22"/>
        </w:rPr>
        <w:t>39</w:t>
      </w:r>
      <w:r w:rsidRPr="002E2F4B">
        <w:rPr>
          <w:rFonts w:ascii="Garamond" w:hAnsi="Garamond"/>
          <w:sz w:val="22"/>
          <w:szCs w:val="22"/>
        </w:rPr>
        <w:t xml:space="preserve">. </w:t>
      </w:r>
      <w:proofErr w:type="gramStart"/>
      <w:r w:rsidRPr="002E2F4B">
        <w:rPr>
          <w:rFonts w:ascii="Garamond" w:hAnsi="Garamond"/>
          <w:sz w:val="22"/>
          <w:szCs w:val="22"/>
        </w:rPr>
        <w:t>Indeed</w:t>
      </w:r>
      <w:proofErr w:type="gramEnd"/>
      <w:r w:rsidRPr="002E2F4B">
        <w:rPr>
          <w:rFonts w:ascii="Garamond" w:hAnsi="Garamond"/>
          <w:sz w:val="22"/>
          <w:szCs w:val="22"/>
        </w:rPr>
        <w:t xml:space="preserve"> both are mentioned in the GMC’s 2013 guidance.</w:t>
      </w:r>
    </w:p>
  </w:footnote>
  <w:footnote w:id="226">
    <w:p w14:paraId="32EC0CBE" w14:textId="16FCE0DE" w:rsidR="00E21CD9" w:rsidRPr="002E2F4B" w:rsidRDefault="00E21CD9" w:rsidP="003374A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w:t>
      </w:r>
      <w:r>
        <w:rPr>
          <w:rFonts w:ascii="Garamond" w:hAnsi="Garamond"/>
          <w:sz w:val="22"/>
          <w:szCs w:val="22"/>
        </w:rPr>
        <w:t>24</w:t>
      </w:r>
      <w:r w:rsidRPr="002E2F4B">
        <w:rPr>
          <w:rFonts w:ascii="Garamond" w:hAnsi="Garamond"/>
          <w:sz w:val="22"/>
          <w:szCs w:val="22"/>
        </w:rPr>
        <w:t>.</w:t>
      </w:r>
    </w:p>
  </w:footnote>
  <w:footnote w:id="227">
    <w:p w14:paraId="24B1A294" w14:textId="77777777" w:rsidR="00E21CD9" w:rsidRPr="002E2F4B" w:rsidRDefault="00E21CD9" w:rsidP="003374A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[2019] EWHC 1408. </w:t>
      </w:r>
    </w:p>
  </w:footnote>
  <w:footnote w:id="228">
    <w:p w14:paraId="4DB6BB2A" w14:textId="5BBE1CB3" w:rsidR="00E21CD9" w:rsidRPr="002E2F4B" w:rsidRDefault="00E21CD9" w:rsidP="003374A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[135]. </w:t>
      </w:r>
    </w:p>
  </w:footnote>
  <w:footnote w:id="229">
    <w:p w14:paraId="3FFEF3E3" w14:textId="77777777" w:rsidR="00E21CD9" w:rsidRPr="002E2F4B" w:rsidRDefault="00E21CD9" w:rsidP="00522EE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[107].</w:t>
      </w:r>
    </w:p>
  </w:footnote>
  <w:footnote w:id="230">
    <w:p w14:paraId="3B5BB759" w14:textId="47BD6FC9"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See, for example, ‘</w:t>
      </w:r>
      <w:proofErr w:type="spellStart"/>
      <w:r w:rsidRPr="0055569F">
        <w:rPr>
          <w:rFonts w:ascii="Garamond" w:hAnsi="Garamond"/>
          <w:sz w:val="22"/>
          <w:szCs w:val="22"/>
        </w:rPr>
        <w:t>Rajit</w:t>
      </w:r>
      <w:proofErr w:type="spellEnd"/>
      <w:r w:rsidRPr="0055569F">
        <w:rPr>
          <w:rFonts w:ascii="Garamond" w:hAnsi="Garamond"/>
          <w:sz w:val="22"/>
          <w:szCs w:val="22"/>
        </w:rPr>
        <w:t xml:space="preserve"> Chandra: How reputation bamboozled the scientific community’ (2015) BMJ 351.</w:t>
      </w:r>
    </w:p>
  </w:footnote>
  <w:footnote w:id="231">
    <w:p w14:paraId="0807D9B9" w14:textId="77777777" w:rsidR="00E21CD9" w:rsidRPr="002E2F4B" w:rsidRDefault="00E21CD9" w:rsidP="00171CB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In </w:t>
      </w:r>
      <w:r w:rsidRPr="002E2F4B">
        <w:rPr>
          <w:rFonts w:ascii="Garamond" w:hAnsi="Garamond"/>
          <w:i/>
          <w:iCs/>
          <w:sz w:val="22"/>
          <w:szCs w:val="22"/>
        </w:rPr>
        <w:t>Cooper v Royal Berkshire NHS Trust</w:t>
      </w:r>
      <w:r w:rsidRPr="002E2F4B">
        <w:rPr>
          <w:rFonts w:ascii="Garamond" w:hAnsi="Garamond"/>
          <w:sz w:val="22"/>
          <w:szCs w:val="22"/>
        </w:rPr>
        <w:t xml:space="preserve"> [2015] EWHC 644 – court expressed reservations about the logicality of an expert witness’s view on the likely cause of harm, being as it was, based on his clinical experience rather than academic papers.</w:t>
      </w:r>
    </w:p>
  </w:footnote>
  <w:footnote w:id="232">
    <w:p w14:paraId="30384521" w14:textId="77777777" w:rsidR="00E21CD9" w:rsidRPr="002E2F4B" w:rsidRDefault="00E21CD9" w:rsidP="00171CB5">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spellStart"/>
      <w:r w:rsidRPr="002E2F4B">
        <w:rPr>
          <w:rFonts w:ascii="Garamond" w:hAnsi="Garamond"/>
          <w:i/>
          <w:iCs/>
          <w:sz w:val="22"/>
          <w:szCs w:val="22"/>
        </w:rPr>
        <w:t>Stucken</w:t>
      </w:r>
      <w:proofErr w:type="spellEnd"/>
      <w:r w:rsidRPr="002E2F4B">
        <w:rPr>
          <w:rFonts w:ascii="Garamond" w:hAnsi="Garamond"/>
          <w:i/>
          <w:iCs/>
          <w:sz w:val="22"/>
          <w:szCs w:val="22"/>
        </w:rPr>
        <w:t xml:space="preserve"> v East Kent Hospitals </w:t>
      </w:r>
      <w:r w:rsidRPr="002E2F4B">
        <w:rPr>
          <w:rFonts w:ascii="Garamond" w:hAnsi="Garamond"/>
          <w:sz w:val="22"/>
          <w:szCs w:val="22"/>
        </w:rPr>
        <w:t>[2016] EWHC – at 117, ‘Even in the current era of evidence-based medicine, I do not accept that there is no room for clinical judgment and received wisdom, particularly in a domain where the evidence base is thin. Absence of evidence is not the same as evidence of absence.</w:t>
      </w:r>
    </w:p>
  </w:footnote>
  <w:footnote w:id="233">
    <w:p w14:paraId="741787A8" w14:textId="02B2E7BE"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Mulholland v Medway </w:t>
      </w:r>
      <w:r w:rsidRPr="002E2F4B">
        <w:rPr>
          <w:rFonts w:ascii="Garamond" w:hAnsi="Garamond" w:cs="Arial"/>
          <w:color w:val="000000"/>
          <w:sz w:val="22"/>
          <w:szCs w:val="22"/>
        </w:rPr>
        <w:t>NHS Foundation Trust [2015] EWHC 268</w:t>
      </w:r>
      <w:r w:rsidRPr="002E2F4B">
        <w:rPr>
          <w:rFonts w:ascii="Garamond" w:hAnsi="Garamond"/>
          <w:i/>
          <w:iCs/>
          <w:sz w:val="22"/>
          <w:szCs w:val="22"/>
        </w:rPr>
        <w:t xml:space="preserve"> </w:t>
      </w:r>
      <w:r w:rsidRPr="002E2F4B">
        <w:rPr>
          <w:rFonts w:ascii="Garamond" w:hAnsi="Garamond"/>
          <w:sz w:val="22"/>
          <w:szCs w:val="22"/>
        </w:rPr>
        <w:t xml:space="preserve">at [96]. </w:t>
      </w:r>
    </w:p>
  </w:footnote>
  <w:footnote w:id="234">
    <w:p w14:paraId="402B7483" w14:textId="2042A47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[2014] EWHC 61 at [25]. </w:t>
      </w:r>
    </w:p>
  </w:footnote>
  <w:footnote w:id="235">
    <w:p w14:paraId="2AD0F425" w14:textId="6FC8145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[2015] UKSC 11.</w:t>
      </w:r>
    </w:p>
  </w:footnote>
  <w:footnote w:id="236">
    <w:p w14:paraId="20A85B1E" w14:textId="77777777" w:rsidR="00E21CD9" w:rsidRPr="002E2F4B" w:rsidRDefault="00E21CD9" w:rsidP="004C3F0A">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McHale, ‘</w:t>
      </w:r>
      <w:hyperlink r:id="rId26" w:history="1">
        <w:r w:rsidRPr="002E2F4B">
          <w:rPr>
            <w:rStyle w:val="Hyperlink"/>
            <w:rFonts w:ascii="Garamond" w:hAnsi="Garamond"/>
            <w:color w:val="auto"/>
            <w:sz w:val="22"/>
            <w:szCs w:val="22"/>
            <w:u w:val="none"/>
          </w:rPr>
          <w:t>Falling between the gaps post the Declaration of Helsinki: innovative medical treatment in England – the case for comprehensive legal regulation</w:t>
        </w:r>
      </w:hyperlink>
      <w:r w:rsidRPr="002E2F4B">
        <w:rPr>
          <w:rFonts w:ascii="Garamond" w:hAnsi="Garamond"/>
          <w:sz w:val="22"/>
          <w:szCs w:val="22"/>
        </w:rPr>
        <w:t xml:space="preserve">’ (2019) 1 </w:t>
      </w:r>
      <w:r w:rsidRPr="002E2F4B">
        <w:rPr>
          <w:rFonts w:ascii="Garamond" w:hAnsi="Garamond"/>
          <w:i/>
          <w:iCs/>
          <w:sz w:val="22"/>
          <w:szCs w:val="22"/>
        </w:rPr>
        <w:t>Law Innovation and Technology</w:t>
      </w:r>
      <w:r w:rsidRPr="002E2F4B">
        <w:rPr>
          <w:rFonts w:ascii="Garamond" w:hAnsi="Garamond"/>
          <w:sz w:val="22"/>
          <w:szCs w:val="22"/>
        </w:rPr>
        <w:t xml:space="preserve"> 93 at 100.</w:t>
      </w:r>
    </w:p>
  </w:footnote>
  <w:footnote w:id="237">
    <w:p w14:paraId="39976B22" w14:textId="77777777" w:rsidR="00E21CD9" w:rsidRPr="002E2F4B" w:rsidRDefault="00E21CD9" w:rsidP="00731E12">
      <w:pPr>
        <w:pStyle w:val="FootnoteText"/>
        <w:rPr>
          <w:rFonts w:ascii="Garamond" w:hAnsi="Garamond"/>
          <w:color w:val="000000" w:themeColor="text1"/>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[2019] EWHC 938. A similar outcome can be observed in </w:t>
      </w:r>
      <w:proofErr w:type="spellStart"/>
      <w:r w:rsidRPr="002E2F4B">
        <w:rPr>
          <w:rFonts w:ascii="Garamond" w:hAnsi="Garamond"/>
          <w:i/>
          <w:iCs/>
          <w:sz w:val="22"/>
          <w:szCs w:val="22"/>
        </w:rPr>
        <w:t>Corke</w:t>
      </w:r>
      <w:proofErr w:type="spellEnd"/>
      <w:r w:rsidRPr="002E2F4B">
        <w:rPr>
          <w:rFonts w:ascii="Garamond" w:hAnsi="Garamond"/>
          <w:i/>
          <w:iCs/>
          <w:sz w:val="22"/>
          <w:szCs w:val="22"/>
        </w:rPr>
        <w:t xml:space="preserve"> v Princess Alexandra NHS Trust</w:t>
      </w:r>
      <w:r w:rsidRPr="002E2F4B">
        <w:rPr>
          <w:rFonts w:ascii="Garamond" w:hAnsi="Garamond"/>
          <w:sz w:val="22"/>
          <w:szCs w:val="22"/>
        </w:rPr>
        <w:t xml:space="preserve"> [2019] EWHC 487.</w:t>
      </w:r>
    </w:p>
  </w:footnote>
  <w:footnote w:id="238">
    <w:p w14:paraId="00F5DB03" w14:textId="77777777" w:rsidR="00E21CD9" w:rsidRPr="002E2F4B" w:rsidRDefault="00E21CD9" w:rsidP="00731E12">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Ibid at [22].</w:t>
      </w:r>
    </w:p>
  </w:footnote>
  <w:footnote w:id="239">
    <w:p w14:paraId="158B6E22" w14:textId="2B4AFC4D" w:rsidR="00E21CD9" w:rsidRPr="002E2F4B" w:rsidRDefault="00E21CD9" w:rsidP="003C62D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‘Rationale and Impact – Chronic Pain’ in NG-144 </w:t>
      </w:r>
      <w:r w:rsidRPr="002E2F4B">
        <w:rPr>
          <w:rFonts w:ascii="Garamond" w:hAnsi="Garamond"/>
          <w:color w:val="FF0000"/>
          <w:sz w:val="22"/>
          <w:szCs w:val="22"/>
        </w:rPr>
        <w:t>(emphasis added)</w:t>
      </w:r>
      <w:r w:rsidRPr="002E2F4B">
        <w:rPr>
          <w:rFonts w:ascii="Garamond" w:hAnsi="Garamond"/>
          <w:sz w:val="22"/>
          <w:szCs w:val="22"/>
        </w:rPr>
        <w:t>.</w:t>
      </w:r>
    </w:p>
  </w:footnote>
  <w:footnote w:id="240">
    <w:p w14:paraId="279D5991" w14:textId="77777777" w:rsidR="00E21CD9" w:rsidRPr="002E2F4B" w:rsidRDefault="00E21CD9" w:rsidP="00203E20">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Professor David Haslam </w:t>
      </w:r>
      <w:hyperlink r:id="rId27" w:history="1">
        <w:r w:rsidRPr="002E2F4B">
          <w:rPr>
            <w:rStyle w:val="Hyperlink"/>
            <w:rFonts w:ascii="Garamond" w:hAnsi="Garamond"/>
            <w:sz w:val="22"/>
            <w:szCs w:val="22"/>
          </w:rPr>
          <w:t>https://www.nice.org.uk/news/feature/david-haslam-getting-the-guidance-right</w:t>
        </w:r>
      </w:hyperlink>
      <w:r w:rsidRPr="002E2F4B">
        <w:rPr>
          <w:rFonts w:ascii="Garamond" w:hAnsi="Garamond"/>
          <w:sz w:val="22"/>
          <w:szCs w:val="22"/>
        </w:rPr>
        <w:t xml:space="preserve">. </w:t>
      </w:r>
    </w:p>
  </w:footnote>
  <w:footnote w:id="241">
    <w:p w14:paraId="5A81C4B9" w14:textId="12442850" w:rsidR="00E21CD9" w:rsidRPr="002E2F4B" w:rsidRDefault="00E21CD9" w:rsidP="00203E20">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i/>
          <w:iCs/>
          <w:sz w:val="22"/>
          <w:szCs w:val="22"/>
        </w:rPr>
        <w:t xml:space="preserve"> NICE: Evidence Reviews for Prescribing cannabis based medicinal products</w:t>
      </w:r>
      <w:r w:rsidRPr="002E2F4B">
        <w:rPr>
          <w:rFonts w:ascii="Garamond" w:hAnsi="Garamond"/>
          <w:sz w:val="22"/>
          <w:szCs w:val="22"/>
        </w:rPr>
        <w:t xml:space="preserve"> (published Nov 2019), at p.3.</w:t>
      </w:r>
    </w:p>
  </w:footnote>
  <w:footnote w:id="242">
    <w:p w14:paraId="3FF5E8EA" w14:textId="67314154" w:rsidR="00E21CD9" w:rsidRPr="002E2F4B" w:rsidRDefault="00E21CD9" w:rsidP="002D67E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n.2 at [75].</w:t>
      </w:r>
    </w:p>
  </w:footnote>
  <w:footnote w:id="243">
    <w:p w14:paraId="57F52369" w14:textId="7DA5BD09" w:rsidR="00E21CD9" w:rsidRPr="002E2F4B" w:rsidRDefault="00E21CD9" w:rsidP="002D67E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 xml:space="preserve">Ibid. </w:t>
      </w:r>
      <w:r w:rsidRPr="002E2F4B">
        <w:rPr>
          <w:rFonts w:ascii="Garamond" w:hAnsi="Garamond"/>
          <w:sz w:val="22"/>
          <w:szCs w:val="22"/>
        </w:rPr>
        <w:t xml:space="preserve">at [89]. This was reiterated in debates: ‘‘The guidance …is not a barrier to prescription’: Matt Hancock, HC Deb vol 658, </w:t>
      </w:r>
      <w:r w:rsidRPr="002E2F4B">
        <w:rPr>
          <w:rFonts w:ascii="Garamond" w:hAnsi="Garamond"/>
          <w:i/>
          <w:iCs/>
          <w:sz w:val="22"/>
          <w:szCs w:val="22"/>
        </w:rPr>
        <w:t xml:space="preserve">Access to Medicinal Cannabis, </w:t>
      </w:r>
      <w:r w:rsidRPr="002E2F4B">
        <w:rPr>
          <w:rFonts w:ascii="Garamond" w:hAnsi="Garamond"/>
          <w:sz w:val="22"/>
          <w:szCs w:val="22"/>
        </w:rPr>
        <w:t>8</w:t>
      </w:r>
      <w:r w:rsidRPr="002E2F4B">
        <w:rPr>
          <w:rFonts w:ascii="Garamond" w:hAnsi="Garamond"/>
          <w:sz w:val="22"/>
          <w:szCs w:val="22"/>
          <w:vertAlign w:val="superscript"/>
        </w:rPr>
        <w:t>th</w:t>
      </w:r>
      <w:r w:rsidRPr="002E2F4B">
        <w:rPr>
          <w:rFonts w:ascii="Garamond" w:hAnsi="Garamond"/>
          <w:sz w:val="22"/>
          <w:szCs w:val="22"/>
        </w:rPr>
        <w:t xml:space="preserve"> April 2019.</w:t>
      </w:r>
    </w:p>
  </w:footnote>
  <w:footnote w:id="244">
    <w:p w14:paraId="725C5B24" w14:textId="2E8B9240" w:rsidR="00E21CD9" w:rsidRPr="002E2F4B" w:rsidRDefault="00E21CD9" w:rsidP="002D67E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at n.1</w:t>
      </w:r>
      <w:r>
        <w:rPr>
          <w:rFonts w:ascii="Garamond" w:hAnsi="Garamond"/>
          <w:sz w:val="22"/>
          <w:szCs w:val="22"/>
        </w:rPr>
        <w:t>23</w:t>
      </w:r>
      <w:r w:rsidRPr="002E2F4B">
        <w:rPr>
          <w:rFonts w:ascii="Garamond" w:hAnsi="Garamond"/>
          <w:sz w:val="22"/>
          <w:szCs w:val="22"/>
        </w:rPr>
        <w:t xml:space="preserve">. </w:t>
      </w:r>
    </w:p>
  </w:footnote>
  <w:footnote w:id="245">
    <w:p w14:paraId="655AFD49" w14:textId="3B767672" w:rsidR="00E21CD9" w:rsidRPr="002E2F4B" w:rsidRDefault="00E21CD9" w:rsidP="00203E20">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text accompanying n.</w:t>
      </w:r>
      <w:r>
        <w:rPr>
          <w:rFonts w:ascii="Garamond" w:hAnsi="Garamond"/>
          <w:sz w:val="22"/>
          <w:szCs w:val="22"/>
        </w:rPr>
        <w:t>138-148.</w:t>
      </w:r>
    </w:p>
  </w:footnote>
  <w:footnote w:id="246">
    <w:p w14:paraId="7FAAB35D" w14:textId="77777777" w:rsidR="00E21CD9" w:rsidRPr="002E2F4B" w:rsidRDefault="00E21CD9" w:rsidP="00F80B2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Para 70 (emphasis added).</w:t>
      </w:r>
    </w:p>
  </w:footnote>
  <w:footnote w:id="247">
    <w:p w14:paraId="7125C2F8" w14:textId="77777777" w:rsidR="00E21CD9" w:rsidRPr="002E2F4B" w:rsidRDefault="00E21CD9" w:rsidP="00CD41C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proofErr w:type="gramStart"/>
      <w:r w:rsidRPr="002E2F4B">
        <w:rPr>
          <w:rFonts w:ascii="Garamond" w:hAnsi="Garamond"/>
          <w:sz w:val="22"/>
          <w:szCs w:val="22"/>
        </w:rPr>
        <w:t>e.g.</w:t>
      </w:r>
      <w:proofErr w:type="gramEnd"/>
      <w:r w:rsidRPr="002E2F4B">
        <w:rPr>
          <w:rFonts w:ascii="Garamond" w:hAnsi="Garamond"/>
          <w:sz w:val="22"/>
          <w:szCs w:val="22"/>
        </w:rPr>
        <w:t xml:space="preserve"> the use of guidance to this effect in the context of patient confidentiality in </w:t>
      </w:r>
      <w:r w:rsidRPr="002E2F4B">
        <w:rPr>
          <w:rFonts w:ascii="Garamond" w:hAnsi="Garamond"/>
          <w:i/>
          <w:iCs/>
          <w:sz w:val="22"/>
          <w:szCs w:val="22"/>
        </w:rPr>
        <w:t xml:space="preserve">ABC v St George’s Health Care NHS Trust </w:t>
      </w:r>
      <w:r w:rsidRPr="002E2F4B">
        <w:rPr>
          <w:rFonts w:ascii="Garamond" w:hAnsi="Garamond"/>
          <w:sz w:val="22"/>
          <w:szCs w:val="22"/>
        </w:rPr>
        <w:t>[2020] EWHC 455 at 192.</w:t>
      </w:r>
    </w:p>
  </w:footnote>
  <w:footnote w:id="248">
    <w:p w14:paraId="6EB3C125" w14:textId="191FF832" w:rsidR="00E21CD9" w:rsidRPr="002E2F4B" w:rsidRDefault="00E21CD9" w:rsidP="00203E20">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B. Guthrie et al, ‘The rising tide of polypharmacy and drug-drug interactions.’ (2015) 13(14) </w:t>
      </w:r>
      <w:r w:rsidRPr="002E2F4B">
        <w:rPr>
          <w:rFonts w:ascii="Garamond" w:hAnsi="Garamond"/>
          <w:i/>
          <w:iCs/>
          <w:sz w:val="22"/>
          <w:szCs w:val="22"/>
        </w:rPr>
        <w:t>BMC Medicine</w:t>
      </w:r>
      <w:r w:rsidRPr="002E2F4B">
        <w:rPr>
          <w:rFonts w:ascii="Garamond" w:hAnsi="Garamond"/>
          <w:sz w:val="22"/>
          <w:szCs w:val="22"/>
        </w:rPr>
        <w:t>. 74.</w:t>
      </w:r>
    </w:p>
  </w:footnote>
  <w:footnote w:id="249">
    <w:p w14:paraId="01058A4D" w14:textId="1F740C52" w:rsidR="00E21CD9" w:rsidRPr="002E2F4B" w:rsidRDefault="00E21CD9" w:rsidP="00203E20">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M. </w:t>
      </w:r>
      <w:proofErr w:type="spellStart"/>
      <w:r w:rsidRPr="002E2F4B">
        <w:rPr>
          <w:rFonts w:ascii="Garamond" w:hAnsi="Garamond"/>
          <w:sz w:val="22"/>
          <w:szCs w:val="22"/>
        </w:rPr>
        <w:t>Duerden</w:t>
      </w:r>
      <w:proofErr w:type="spellEnd"/>
      <w:r w:rsidRPr="002E2F4B">
        <w:rPr>
          <w:rFonts w:ascii="Garamond" w:hAnsi="Garamond"/>
          <w:sz w:val="22"/>
          <w:szCs w:val="22"/>
        </w:rPr>
        <w:t xml:space="preserve"> et al, </w:t>
      </w:r>
      <w:r w:rsidRPr="002E2F4B">
        <w:rPr>
          <w:rFonts w:ascii="Garamond" w:hAnsi="Garamond"/>
          <w:i/>
          <w:iCs/>
          <w:sz w:val="22"/>
          <w:szCs w:val="22"/>
        </w:rPr>
        <w:t xml:space="preserve">Polypharmacy and Medicines Optimisation </w:t>
      </w:r>
      <w:r w:rsidRPr="002E2F4B">
        <w:rPr>
          <w:rFonts w:ascii="Garamond" w:hAnsi="Garamond"/>
          <w:sz w:val="22"/>
          <w:szCs w:val="22"/>
        </w:rPr>
        <w:t>(Kings Fund, 2013).</w:t>
      </w:r>
    </w:p>
  </w:footnote>
  <w:footnote w:id="250">
    <w:p w14:paraId="52BFC5C6" w14:textId="77777777" w:rsidR="00E21CD9" w:rsidRPr="002E2F4B" w:rsidRDefault="00E21CD9" w:rsidP="00654CEE">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‘it is important for medical practitioners to be fully aware of the range of opinion and evidence on this matter </w:t>
      </w:r>
      <w:proofErr w:type="gramStart"/>
      <w:r w:rsidRPr="002E2F4B">
        <w:rPr>
          <w:rFonts w:ascii="Garamond" w:hAnsi="Garamond"/>
          <w:sz w:val="22"/>
          <w:szCs w:val="22"/>
        </w:rPr>
        <w:t>in order to</w:t>
      </w:r>
      <w:proofErr w:type="gramEnd"/>
      <w:r w:rsidRPr="002E2F4B">
        <w:rPr>
          <w:rFonts w:ascii="Garamond" w:hAnsi="Garamond"/>
          <w:sz w:val="22"/>
          <w:szCs w:val="22"/>
        </w:rPr>
        <w:t xml:space="preserve"> reach a balanced prescribing decision in the best interests of their patients.’ (MCCS 2020, guidance).</w:t>
      </w:r>
    </w:p>
  </w:footnote>
  <w:footnote w:id="251">
    <w:p w14:paraId="580BD280" w14:textId="45F2FE70"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Of course</w:t>
      </w:r>
      <w:proofErr w:type="gramEnd"/>
      <w:r w:rsidRPr="002E2F4B">
        <w:rPr>
          <w:rFonts w:ascii="Garamond" w:hAnsi="Garamond"/>
          <w:sz w:val="22"/>
          <w:szCs w:val="22"/>
        </w:rPr>
        <w:t xml:space="preserve"> this ‘freedom’ is largely confined to the private sector as NHS prescribing has so far been shackled by administrative hurdles.</w:t>
      </w:r>
    </w:p>
  </w:footnote>
  <w:footnote w:id="252">
    <w:p w14:paraId="0E16FB4F" w14:textId="4AAABB0C"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At n.</w:t>
      </w:r>
      <w:r>
        <w:rPr>
          <w:rFonts w:ascii="Garamond" w:hAnsi="Garamond"/>
          <w:sz w:val="22"/>
          <w:szCs w:val="22"/>
        </w:rPr>
        <w:t>52</w:t>
      </w:r>
      <w:r w:rsidRPr="002E2F4B">
        <w:rPr>
          <w:rFonts w:ascii="Garamond" w:hAnsi="Garamond"/>
          <w:sz w:val="22"/>
          <w:szCs w:val="22"/>
        </w:rPr>
        <w:t xml:space="preserve"> and with reference to s.35 Medical Act 1983. </w:t>
      </w:r>
    </w:p>
  </w:footnote>
  <w:footnote w:id="253">
    <w:p w14:paraId="3530EEEB" w14:textId="02BBA826" w:rsidR="00E21CD9" w:rsidRPr="002E2F4B" w:rsidRDefault="00E21CD9" w:rsidP="00055639">
      <w:pPr>
        <w:pStyle w:val="FootnoteText"/>
        <w:rPr>
          <w:rFonts w:ascii="Garamond" w:hAnsi="Garamond"/>
          <w:i/>
          <w:iCs/>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[2015] UKSC 11.</w:t>
      </w:r>
    </w:p>
  </w:footnote>
  <w:footnote w:id="254">
    <w:p w14:paraId="314A6F3C" w14:textId="12D687B7" w:rsidR="00E21CD9" w:rsidRPr="002E2F4B" w:rsidRDefault="00E21CD9" w:rsidP="0005563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Miola,</w:t>
      </w:r>
      <w:r w:rsidRPr="002E2F4B">
        <w:rPr>
          <w:rFonts w:ascii="Garamond" w:hAnsi="Garamond"/>
          <w:i/>
          <w:iCs/>
          <w:sz w:val="22"/>
          <w:szCs w:val="22"/>
        </w:rPr>
        <w:t xml:space="preserve"> Medical Ethics and Medical Law,</w:t>
      </w:r>
      <w:r w:rsidRPr="002E2F4B">
        <w:rPr>
          <w:rFonts w:ascii="Garamond" w:hAnsi="Garamond"/>
          <w:sz w:val="22"/>
          <w:szCs w:val="22"/>
        </w:rPr>
        <w:t xml:space="preserve"> above n.1</w:t>
      </w:r>
      <w:r>
        <w:rPr>
          <w:rFonts w:ascii="Garamond" w:hAnsi="Garamond"/>
          <w:sz w:val="22"/>
          <w:szCs w:val="22"/>
        </w:rPr>
        <w:t>20</w:t>
      </w:r>
      <w:r w:rsidRPr="002E2F4B">
        <w:rPr>
          <w:rFonts w:ascii="Garamond" w:hAnsi="Garamond"/>
          <w:sz w:val="22"/>
          <w:szCs w:val="22"/>
        </w:rPr>
        <w:t xml:space="preserve"> at 6.</w:t>
      </w:r>
    </w:p>
  </w:footnote>
  <w:footnote w:id="255">
    <w:p w14:paraId="4BE8F34D" w14:textId="2A1BFD60" w:rsidR="00E21CD9" w:rsidRPr="002E2F4B" w:rsidRDefault="00E21CD9" w:rsidP="002E6766">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cs="FrutigerLTPro-LightCn"/>
          <w:sz w:val="22"/>
          <w:szCs w:val="22"/>
        </w:rPr>
        <w:t>[2018] UKSC 46 at [77].</w:t>
      </w:r>
    </w:p>
  </w:footnote>
  <w:footnote w:id="256">
    <w:p w14:paraId="38C28935" w14:textId="0FDEA2A3"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At [109].</w:t>
      </w:r>
    </w:p>
  </w:footnote>
  <w:footnote w:id="257">
    <w:p w14:paraId="07ADA496" w14:textId="77777777" w:rsidR="00E21CD9" w:rsidRPr="002E2F4B" w:rsidRDefault="00E21CD9" w:rsidP="006558E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the trepidation evident in E. Cannon, ‘Cannabis debate leaves GPs facing a prescribing conundrum’ </w:t>
      </w:r>
      <w:r w:rsidRPr="002E2F4B">
        <w:rPr>
          <w:rFonts w:ascii="Garamond" w:hAnsi="Garamond"/>
          <w:i/>
          <w:iCs/>
          <w:sz w:val="22"/>
          <w:szCs w:val="22"/>
        </w:rPr>
        <w:t xml:space="preserve">PULSE </w:t>
      </w:r>
      <w:r w:rsidRPr="002E2F4B">
        <w:rPr>
          <w:rFonts w:ascii="Garamond" w:hAnsi="Garamond"/>
          <w:sz w:val="22"/>
          <w:szCs w:val="22"/>
        </w:rPr>
        <w:t>(21</w:t>
      </w:r>
      <w:r w:rsidRPr="002E2F4B">
        <w:rPr>
          <w:rFonts w:ascii="Garamond" w:hAnsi="Garamond"/>
          <w:sz w:val="22"/>
          <w:szCs w:val="22"/>
          <w:vertAlign w:val="superscript"/>
        </w:rPr>
        <w:t>st</w:t>
      </w:r>
      <w:r w:rsidRPr="002E2F4B">
        <w:rPr>
          <w:rFonts w:ascii="Garamond" w:hAnsi="Garamond"/>
          <w:sz w:val="22"/>
          <w:szCs w:val="22"/>
        </w:rPr>
        <w:t xml:space="preserve"> </w:t>
      </w:r>
      <w:proofErr w:type="gramStart"/>
      <w:r w:rsidRPr="002E2F4B">
        <w:rPr>
          <w:rFonts w:ascii="Garamond" w:hAnsi="Garamond"/>
          <w:sz w:val="22"/>
          <w:szCs w:val="22"/>
        </w:rPr>
        <w:t>August,</w:t>
      </w:r>
      <w:proofErr w:type="gramEnd"/>
      <w:r w:rsidRPr="002E2F4B">
        <w:rPr>
          <w:rFonts w:ascii="Garamond" w:hAnsi="Garamond"/>
          <w:sz w:val="22"/>
          <w:szCs w:val="22"/>
        </w:rPr>
        <w:t xml:space="preserve"> 2018). </w:t>
      </w:r>
    </w:p>
  </w:footnote>
  <w:footnote w:id="258">
    <w:p w14:paraId="2B8FCB43" w14:textId="4B212E7A" w:rsidR="00E21CD9" w:rsidRPr="002E2F4B" w:rsidRDefault="00E21CD9" w:rsidP="006558EB">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w:t>
      </w:r>
      <w:r>
        <w:rPr>
          <w:rFonts w:ascii="Garamond" w:hAnsi="Garamond"/>
          <w:sz w:val="22"/>
          <w:szCs w:val="22"/>
        </w:rPr>
        <w:t>36</w:t>
      </w:r>
      <w:r w:rsidRPr="002E2F4B">
        <w:rPr>
          <w:rFonts w:ascii="Garamond" w:hAnsi="Garamond"/>
          <w:sz w:val="22"/>
          <w:szCs w:val="22"/>
        </w:rPr>
        <w:t xml:space="preserve"> at [81]. </w:t>
      </w:r>
    </w:p>
  </w:footnote>
  <w:footnote w:id="259">
    <w:p w14:paraId="27B7A536" w14:textId="77777777" w:rsidR="00E21CD9" w:rsidRPr="002E2F4B" w:rsidRDefault="00E21CD9" w:rsidP="007777B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Herring et al, ‘</w:t>
      </w:r>
      <w:hyperlink r:id="rId28" w:history="1">
        <w:r w:rsidRPr="002E2F4B">
          <w:rPr>
            <w:rStyle w:val="Hyperlink"/>
            <w:rFonts w:ascii="Garamond" w:hAnsi="Garamond"/>
            <w:color w:val="auto"/>
            <w:sz w:val="22"/>
            <w:szCs w:val="22"/>
            <w:u w:val="none"/>
          </w:rPr>
          <w:t>Elbow Room for Best Practice? </w:t>
        </w:r>
        <w:r w:rsidRPr="002E2F4B">
          <w:rPr>
            <w:rStyle w:val="Hyperlink"/>
            <w:rFonts w:ascii="Garamond" w:hAnsi="Garamond"/>
            <w:i/>
            <w:iCs/>
            <w:color w:val="auto"/>
            <w:sz w:val="22"/>
            <w:szCs w:val="22"/>
            <w:u w:val="none"/>
          </w:rPr>
          <w:t>Montgomery,</w:t>
        </w:r>
        <w:r w:rsidRPr="002E2F4B">
          <w:rPr>
            <w:rStyle w:val="Hyperlink"/>
            <w:rFonts w:ascii="Garamond" w:hAnsi="Garamond"/>
            <w:color w:val="auto"/>
            <w:sz w:val="22"/>
            <w:szCs w:val="22"/>
            <w:u w:val="none"/>
          </w:rPr>
          <w:t> patients' values, and balanced decision- making in person-centred clinical care</w:t>
        </w:r>
      </w:hyperlink>
      <w:r w:rsidRPr="002E2F4B">
        <w:rPr>
          <w:rFonts w:ascii="Garamond" w:hAnsi="Garamond"/>
          <w:sz w:val="22"/>
          <w:szCs w:val="22"/>
        </w:rPr>
        <w:t>’ (2017) 25(4) Med L Rev 582 at 584.</w:t>
      </w:r>
    </w:p>
  </w:footnote>
  <w:footnote w:id="260">
    <w:p w14:paraId="4B49E17B" w14:textId="5300E499" w:rsidR="00E21CD9" w:rsidRPr="002E2F4B" w:rsidRDefault="00E21CD9" w:rsidP="007777B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 xml:space="preserve">Ibid. </w:t>
      </w:r>
      <w:r w:rsidRPr="002E2F4B">
        <w:rPr>
          <w:rFonts w:ascii="Garamond" w:hAnsi="Garamond"/>
          <w:sz w:val="22"/>
          <w:szCs w:val="22"/>
        </w:rPr>
        <w:t>at 584.</w:t>
      </w:r>
    </w:p>
  </w:footnote>
  <w:footnote w:id="261">
    <w:p w14:paraId="6C5C15DB" w14:textId="644E9919" w:rsidR="00E21CD9" w:rsidRPr="002E2F4B" w:rsidRDefault="00E21CD9" w:rsidP="007777B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Pr>
          <w:rFonts w:ascii="Garamond" w:hAnsi="Garamond"/>
          <w:sz w:val="22"/>
          <w:szCs w:val="22"/>
        </w:rPr>
        <w:t xml:space="preserve">Ibid. </w:t>
      </w:r>
      <w:r w:rsidRPr="002E2F4B">
        <w:rPr>
          <w:rFonts w:ascii="Garamond" w:hAnsi="Garamond"/>
          <w:sz w:val="22"/>
          <w:szCs w:val="22"/>
        </w:rPr>
        <w:t>at 589.</w:t>
      </w:r>
    </w:p>
  </w:footnote>
  <w:footnote w:id="262">
    <w:p w14:paraId="23BF5B29" w14:textId="1B0F916F" w:rsidR="00E21CD9" w:rsidRPr="002E2F4B" w:rsidRDefault="00E21CD9" w:rsidP="007777B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J. Montgomery, ’The tragedy of Charlie Gard</w:t>
      </w:r>
      <w:r>
        <w:rPr>
          <w:rFonts w:ascii="Garamond" w:hAnsi="Garamond"/>
          <w:sz w:val="22"/>
          <w:szCs w:val="22"/>
        </w:rPr>
        <w:t>’, n.225</w:t>
      </w:r>
      <w:r w:rsidRPr="002E2F4B">
        <w:rPr>
          <w:rFonts w:ascii="Garamond" w:hAnsi="Garamond"/>
          <w:sz w:val="22"/>
          <w:szCs w:val="22"/>
        </w:rPr>
        <w:t xml:space="preserve"> at 163.</w:t>
      </w:r>
    </w:p>
  </w:footnote>
  <w:footnote w:id="263">
    <w:p w14:paraId="487FD588" w14:textId="417350A6"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w:t>
      </w:r>
      <w:r>
        <w:rPr>
          <w:rFonts w:ascii="Garamond" w:hAnsi="Garamond"/>
          <w:sz w:val="22"/>
          <w:szCs w:val="22"/>
        </w:rPr>
        <w:t>,</w:t>
      </w:r>
      <w:r w:rsidRPr="002E2F4B">
        <w:rPr>
          <w:rFonts w:ascii="Garamond" w:hAnsi="Garamond"/>
          <w:sz w:val="22"/>
          <w:szCs w:val="22"/>
        </w:rPr>
        <w:t xml:space="preserve"> n.</w:t>
      </w:r>
      <w:r>
        <w:rPr>
          <w:rFonts w:ascii="Garamond" w:hAnsi="Garamond"/>
          <w:sz w:val="22"/>
          <w:szCs w:val="22"/>
        </w:rPr>
        <w:t xml:space="preserve">35 </w:t>
      </w:r>
      <w:r w:rsidRPr="002E2F4B">
        <w:rPr>
          <w:rFonts w:ascii="Garamond" w:hAnsi="Garamond"/>
          <w:sz w:val="22"/>
          <w:szCs w:val="22"/>
        </w:rPr>
        <w:t>at [82].</w:t>
      </w:r>
    </w:p>
  </w:footnote>
  <w:footnote w:id="264">
    <w:p w14:paraId="1CB55529" w14:textId="12A1B63C" w:rsidR="00E21CD9" w:rsidRPr="002E2F4B" w:rsidRDefault="00E21CD9" w:rsidP="007777BD">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 Devaney and S. Holm, The Transmutation of Deference in Medicine: An </w:t>
      </w:r>
      <w:proofErr w:type="spellStart"/>
      <w:r w:rsidRPr="002E2F4B">
        <w:rPr>
          <w:rFonts w:ascii="Garamond" w:hAnsi="Garamond"/>
          <w:sz w:val="22"/>
          <w:szCs w:val="22"/>
        </w:rPr>
        <w:t>Ethico</w:t>
      </w:r>
      <w:proofErr w:type="spellEnd"/>
      <w:r w:rsidR="00610D8D">
        <w:rPr>
          <w:rFonts w:ascii="Garamond" w:hAnsi="Garamond"/>
          <w:sz w:val="22"/>
          <w:szCs w:val="22"/>
        </w:rPr>
        <w:t xml:space="preserve"> </w:t>
      </w:r>
      <w:r w:rsidRPr="002E2F4B">
        <w:rPr>
          <w:rFonts w:ascii="Garamond" w:hAnsi="Garamond"/>
          <w:sz w:val="22"/>
          <w:szCs w:val="22"/>
        </w:rPr>
        <w:t>Legal Perspective.’ (2018) 26(2) Med L Rev 202 at 214.</w:t>
      </w:r>
    </w:p>
  </w:footnote>
  <w:footnote w:id="265">
    <w:p w14:paraId="1AD618BD" w14:textId="53A76585"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w:t>
      </w:r>
      <w:r>
        <w:rPr>
          <w:rFonts w:ascii="Garamond" w:hAnsi="Garamond"/>
          <w:sz w:val="22"/>
          <w:szCs w:val="22"/>
        </w:rPr>
        <w:t xml:space="preserve">[2015] UKSC 11, </w:t>
      </w:r>
      <w:r w:rsidRPr="002E2F4B">
        <w:rPr>
          <w:rFonts w:ascii="Garamond" w:hAnsi="Garamond"/>
          <w:sz w:val="22"/>
          <w:szCs w:val="22"/>
        </w:rPr>
        <w:t>para [83] which states that the former role ‘</w:t>
      </w:r>
      <w:r w:rsidRPr="002E2F4B">
        <w:rPr>
          <w:rFonts w:ascii="Garamond" w:hAnsi="Garamond"/>
          <w:color w:val="000000"/>
          <w:sz w:val="22"/>
          <w:szCs w:val="22"/>
        </w:rPr>
        <w:t xml:space="preserve">is an exercise of professional skill and judgement: what risks of injury are involved in an operation, </w:t>
      </w:r>
      <w:r w:rsidRPr="002E2F4B">
        <w:rPr>
          <w:rFonts w:ascii="Garamond" w:hAnsi="Garamond"/>
          <w:i/>
          <w:iCs/>
          <w:color w:val="000000"/>
          <w:sz w:val="22"/>
          <w:szCs w:val="22"/>
        </w:rPr>
        <w:t>for example,</w:t>
      </w:r>
      <w:r w:rsidRPr="002E2F4B">
        <w:rPr>
          <w:rFonts w:ascii="Garamond" w:hAnsi="Garamond"/>
          <w:color w:val="000000"/>
          <w:sz w:val="22"/>
          <w:szCs w:val="22"/>
        </w:rPr>
        <w:t xml:space="preserve"> is a matter falling within the expertise of members of the medical profession’ (emphasis added). </w:t>
      </w:r>
    </w:p>
  </w:footnote>
  <w:footnote w:id="266">
    <w:p w14:paraId="1E061073" w14:textId="77777777" w:rsidR="00E21CD9" w:rsidRPr="0055569F" w:rsidRDefault="00E21CD9" w:rsidP="00A7208C">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C. Simpson, ‘When hope makes us vulnerable’, (2004) 18(5) </w:t>
      </w:r>
      <w:r w:rsidRPr="0055569F">
        <w:rPr>
          <w:rFonts w:ascii="Garamond" w:hAnsi="Garamond"/>
          <w:i/>
          <w:iCs/>
          <w:sz w:val="22"/>
          <w:szCs w:val="22"/>
        </w:rPr>
        <w:t xml:space="preserve">Bioethics </w:t>
      </w:r>
      <w:r w:rsidRPr="0055569F">
        <w:rPr>
          <w:rFonts w:ascii="Garamond" w:hAnsi="Garamond"/>
          <w:sz w:val="22"/>
          <w:szCs w:val="22"/>
        </w:rPr>
        <w:t>428.</w:t>
      </w:r>
    </w:p>
  </w:footnote>
  <w:footnote w:id="267">
    <w:p w14:paraId="642DE4D5" w14:textId="528B15D1" w:rsidR="00E21CD9" w:rsidRPr="00B309A3" w:rsidRDefault="00E21CD9" w:rsidP="0055569F">
      <w:pPr>
        <w:autoSpaceDE w:val="0"/>
        <w:autoSpaceDN w:val="0"/>
        <w:adjustRightInd w:val="0"/>
        <w:spacing w:after="0" w:line="240" w:lineRule="auto"/>
        <w:jc w:val="left"/>
        <w:rPr>
          <w:rFonts w:ascii="Garamond" w:hAnsi="Garamond" w:cs="AdvOT5fcf1b24"/>
        </w:rPr>
      </w:pPr>
      <w:r w:rsidRPr="00E51BDC">
        <w:rPr>
          <w:rStyle w:val="FootnoteReference"/>
          <w:rFonts w:ascii="Garamond" w:hAnsi="Garamond"/>
        </w:rPr>
        <w:footnoteRef/>
      </w:r>
      <w:r w:rsidRPr="00EE0332">
        <w:rPr>
          <w:rFonts w:ascii="Garamond" w:hAnsi="Garamond"/>
        </w:rPr>
        <w:t xml:space="preserve"> R. Dresser, ‘</w:t>
      </w:r>
      <w:r w:rsidRPr="00B309A3">
        <w:rPr>
          <w:rFonts w:ascii="Garamond" w:hAnsi="Garamond" w:cs="AdvOT5fcf1b24+20"/>
        </w:rPr>
        <w:t>‘</w:t>
      </w:r>
      <w:r w:rsidRPr="0055569F">
        <w:rPr>
          <w:rFonts w:ascii="Garamond" w:hAnsi="Garamond" w:cs="AdvOT5fcf1b24"/>
        </w:rPr>
        <w:t xml:space="preserve">The </w:t>
      </w:r>
      <w:r w:rsidRPr="0055569F">
        <w:rPr>
          <w:rFonts w:ascii="Garamond" w:hAnsi="Garamond" w:cs="AdvOT5fcf1b24+20"/>
        </w:rPr>
        <w:t>“</w:t>
      </w:r>
      <w:r w:rsidRPr="0055569F">
        <w:rPr>
          <w:rFonts w:ascii="Garamond" w:hAnsi="Garamond" w:cs="AdvOT5fcf1b24"/>
        </w:rPr>
        <w:t>Right to Try</w:t>
      </w:r>
      <w:r w:rsidRPr="0055569F">
        <w:rPr>
          <w:rFonts w:ascii="Garamond" w:hAnsi="Garamond" w:cs="AdvOT5fcf1b24+20"/>
        </w:rPr>
        <w:t xml:space="preserve">” </w:t>
      </w:r>
      <w:r w:rsidRPr="0055569F">
        <w:rPr>
          <w:rFonts w:ascii="Garamond" w:hAnsi="Garamond" w:cs="AdvOT5fcf1b24"/>
        </w:rPr>
        <w:t>Investigational Drugs: Science and Stories in the Access Debate</w:t>
      </w:r>
      <w:r w:rsidRPr="0055569F">
        <w:rPr>
          <w:rFonts w:ascii="Garamond" w:hAnsi="Garamond" w:cs="AdvOT5fcf1b24+20"/>
        </w:rPr>
        <w:t xml:space="preserve">’ </w:t>
      </w:r>
      <w:r w:rsidRPr="0055569F">
        <w:rPr>
          <w:rFonts w:ascii="Garamond" w:hAnsi="Garamond" w:cs="AdvOT5fcf1b24"/>
        </w:rPr>
        <w:t>(2015) 93</w:t>
      </w:r>
      <w:r>
        <w:rPr>
          <w:rFonts w:ascii="Garamond" w:hAnsi="Garamond" w:cs="AdvOT5fcf1b24"/>
        </w:rPr>
        <w:t xml:space="preserve"> </w:t>
      </w:r>
      <w:r w:rsidRPr="0055569F">
        <w:rPr>
          <w:rFonts w:ascii="Garamond" w:hAnsi="Garamond" w:cs="AdvOT5c7b8c86.I"/>
          <w:i/>
          <w:iCs/>
        </w:rPr>
        <w:t>Texas Law Review</w:t>
      </w:r>
      <w:r w:rsidRPr="00E51BDC">
        <w:rPr>
          <w:rFonts w:ascii="Garamond" w:hAnsi="Garamond" w:cs="AdvOT5c7b8c86.I"/>
        </w:rPr>
        <w:t xml:space="preserve"> </w:t>
      </w:r>
      <w:r w:rsidRPr="00EE0332">
        <w:rPr>
          <w:rFonts w:ascii="Garamond" w:hAnsi="Garamond" w:cs="AdvOT5fcf1b24"/>
        </w:rPr>
        <w:t>1631.</w:t>
      </w:r>
    </w:p>
  </w:footnote>
  <w:footnote w:id="268">
    <w:p w14:paraId="4FB0B88A" w14:textId="54F86696" w:rsidR="00E21CD9" w:rsidRPr="0055569F" w:rsidRDefault="00E21CD9" w:rsidP="00A7208C">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Montgomery, ‘the tragedy of Charlie Gard’</w:t>
      </w:r>
      <w:r>
        <w:rPr>
          <w:rFonts w:ascii="Garamond" w:hAnsi="Garamond"/>
          <w:sz w:val="22"/>
          <w:szCs w:val="22"/>
        </w:rPr>
        <w:t>, n.225</w:t>
      </w:r>
      <w:r w:rsidRPr="0055569F">
        <w:rPr>
          <w:rFonts w:ascii="Garamond" w:hAnsi="Garamond"/>
          <w:sz w:val="22"/>
          <w:szCs w:val="22"/>
        </w:rPr>
        <w:t xml:space="preserve"> at 162. </w:t>
      </w:r>
    </w:p>
  </w:footnote>
  <w:footnote w:id="269">
    <w:p w14:paraId="49A454F5" w14:textId="77777777" w:rsidR="00E21CD9" w:rsidRPr="0055569F" w:rsidRDefault="00E21CD9" w:rsidP="00A7208C">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M. </w:t>
      </w:r>
      <w:proofErr w:type="spellStart"/>
      <w:r w:rsidRPr="0055569F">
        <w:rPr>
          <w:rFonts w:ascii="Garamond" w:hAnsi="Garamond"/>
          <w:sz w:val="22"/>
          <w:szCs w:val="22"/>
        </w:rPr>
        <w:t>Eijkerholt</w:t>
      </w:r>
      <w:proofErr w:type="spellEnd"/>
      <w:r w:rsidRPr="0055569F">
        <w:rPr>
          <w:rFonts w:ascii="Garamond" w:hAnsi="Garamond"/>
          <w:sz w:val="22"/>
          <w:szCs w:val="22"/>
        </w:rPr>
        <w:t xml:space="preserve">, ‘Medicine’s Collision with False Hopes’ (2020) 34(7) </w:t>
      </w:r>
      <w:r w:rsidRPr="0055569F">
        <w:rPr>
          <w:rFonts w:ascii="Garamond" w:hAnsi="Garamond"/>
          <w:i/>
          <w:iCs/>
          <w:sz w:val="22"/>
          <w:szCs w:val="22"/>
        </w:rPr>
        <w:t>Bioethics</w:t>
      </w:r>
      <w:r w:rsidRPr="0055569F">
        <w:rPr>
          <w:rFonts w:ascii="Garamond" w:hAnsi="Garamond"/>
          <w:sz w:val="22"/>
          <w:szCs w:val="22"/>
        </w:rPr>
        <w:t xml:space="preserve"> 703, 706.</w:t>
      </w:r>
    </w:p>
  </w:footnote>
  <w:footnote w:id="270">
    <w:p w14:paraId="405C1824" w14:textId="287699CC" w:rsidR="00E21CD9" w:rsidRPr="0055569F" w:rsidRDefault="00E21CD9" w:rsidP="00A7208C">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proofErr w:type="spellStart"/>
      <w:r w:rsidRPr="0055569F">
        <w:rPr>
          <w:rFonts w:ascii="Garamond" w:hAnsi="Garamond"/>
          <w:sz w:val="22"/>
          <w:szCs w:val="22"/>
        </w:rPr>
        <w:t>Eijk</w:t>
      </w:r>
      <w:r>
        <w:rPr>
          <w:rFonts w:ascii="Garamond" w:hAnsi="Garamond"/>
          <w:sz w:val="22"/>
          <w:szCs w:val="22"/>
        </w:rPr>
        <w:t>er</w:t>
      </w:r>
      <w:r w:rsidRPr="0055569F">
        <w:rPr>
          <w:rFonts w:ascii="Garamond" w:hAnsi="Garamond"/>
          <w:sz w:val="22"/>
          <w:szCs w:val="22"/>
        </w:rPr>
        <w:t>holt</w:t>
      </w:r>
      <w:proofErr w:type="spellEnd"/>
      <w:r w:rsidRPr="0055569F">
        <w:rPr>
          <w:rFonts w:ascii="Garamond" w:hAnsi="Garamond"/>
          <w:sz w:val="22"/>
          <w:szCs w:val="22"/>
        </w:rPr>
        <w:t xml:space="preserve"> at 706.</w:t>
      </w:r>
    </w:p>
  </w:footnote>
  <w:footnote w:id="271">
    <w:p w14:paraId="4159523F" w14:textId="77777777" w:rsidR="00E21CD9" w:rsidRPr="008F62B8" w:rsidRDefault="00E21CD9" w:rsidP="00A934C7">
      <w:pPr>
        <w:pStyle w:val="FootnoteText"/>
        <w:rPr>
          <w:rFonts w:ascii="Garamond" w:hAnsi="Garamond"/>
          <w:sz w:val="22"/>
          <w:szCs w:val="22"/>
        </w:rPr>
      </w:pPr>
      <w:r w:rsidRPr="008F62B8">
        <w:rPr>
          <w:rStyle w:val="FootnoteReference"/>
          <w:rFonts w:ascii="Garamond" w:hAnsi="Garamond"/>
          <w:sz w:val="22"/>
          <w:szCs w:val="22"/>
        </w:rPr>
        <w:footnoteRef/>
      </w:r>
      <w:r w:rsidRPr="008F62B8">
        <w:rPr>
          <w:rFonts w:ascii="Garamond" w:hAnsi="Garamond"/>
          <w:sz w:val="22"/>
          <w:szCs w:val="22"/>
        </w:rPr>
        <w:t xml:space="preserve"> </w:t>
      </w:r>
      <w:r w:rsidRPr="008F62B8">
        <w:rPr>
          <w:rFonts w:ascii="Garamond" w:hAnsi="Garamond"/>
          <w:i/>
          <w:iCs/>
          <w:sz w:val="22"/>
          <w:szCs w:val="22"/>
        </w:rPr>
        <w:t xml:space="preserve">Re J </w:t>
      </w:r>
      <w:r w:rsidRPr="008F62B8">
        <w:rPr>
          <w:rFonts w:ascii="Garamond" w:hAnsi="Garamond"/>
          <w:sz w:val="22"/>
          <w:szCs w:val="22"/>
        </w:rPr>
        <w:t xml:space="preserve">[1992] 4 All ER 614; </w:t>
      </w:r>
      <w:r w:rsidRPr="008F62B8">
        <w:rPr>
          <w:rFonts w:ascii="Garamond" w:hAnsi="Garamond"/>
          <w:i/>
          <w:iCs/>
          <w:sz w:val="22"/>
          <w:szCs w:val="22"/>
        </w:rPr>
        <w:t>Burke v GMC</w:t>
      </w:r>
      <w:r w:rsidRPr="008F62B8">
        <w:rPr>
          <w:rFonts w:ascii="Garamond" w:hAnsi="Garamond"/>
          <w:sz w:val="22"/>
          <w:szCs w:val="22"/>
        </w:rPr>
        <w:t xml:space="preserve"> [2005] EWCA </w:t>
      </w:r>
      <w:proofErr w:type="spellStart"/>
      <w:r w:rsidRPr="008F62B8">
        <w:rPr>
          <w:rFonts w:ascii="Garamond" w:hAnsi="Garamond"/>
          <w:sz w:val="22"/>
          <w:szCs w:val="22"/>
        </w:rPr>
        <w:t>Civ</w:t>
      </w:r>
      <w:proofErr w:type="spellEnd"/>
      <w:r w:rsidRPr="008F62B8">
        <w:rPr>
          <w:rFonts w:ascii="Garamond" w:hAnsi="Garamond"/>
          <w:sz w:val="22"/>
          <w:szCs w:val="22"/>
        </w:rPr>
        <w:t xml:space="preserve"> 1005. </w:t>
      </w:r>
    </w:p>
  </w:footnote>
  <w:footnote w:id="272">
    <w:p w14:paraId="1AB5231D" w14:textId="77777777" w:rsidR="00E21CD9" w:rsidRPr="008F62B8" w:rsidRDefault="00E21CD9" w:rsidP="00A934C7">
      <w:pPr>
        <w:pStyle w:val="FootnoteText"/>
        <w:rPr>
          <w:rFonts w:ascii="Garamond" w:hAnsi="Garamond"/>
          <w:sz w:val="22"/>
          <w:szCs w:val="22"/>
        </w:rPr>
      </w:pPr>
      <w:r w:rsidRPr="008F62B8">
        <w:rPr>
          <w:rStyle w:val="FootnoteReference"/>
          <w:rFonts w:ascii="Garamond" w:hAnsi="Garamond"/>
          <w:sz w:val="22"/>
          <w:szCs w:val="22"/>
        </w:rPr>
        <w:footnoteRef/>
      </w:r>
      <w:r w:rsidRPr="008F62B8">
        <w:rPr>
          <w:rFonts w:ascii="Garamond" w:hAnsi="Garamond"/>
          <w:sz w:val="22"/>
          <w:szCs w:val="22"/>
        </w:rPr>
        <w:t xml:space="preserve"> See </w:t>
      </w:r>
      <w:proofErr w:type="gramStart"/>
      <w:r w:rsidRPr="008F62B8">
        <w:rPr>
          <w:rFonts w:ascii="Garamond" w:hAnsi="Garamond"/>
          <w:sz w:val="22"/>
          <w:szCs w:val="22"/>
        </w:rPr>
        <w:t>e.g.</w:t>
      </w:r>
      <w:proofErr w:type="gramEnd"/>
      <w:r w:rsidRPr="008F62B8">
        <w:rPr>
          <w:rFonts w:ascii="Garamond" w:hAnsi="Garamond"/>
          <w:sz w:val="22"/>
          <w:szCs w:val="22"/>
        </w:rPr>
        <w:t xml:space="preserve"> article 5(1) of Directive 2001/83/EC which states that a ‘specials’ prescription for a named patient must not be ‘solicited’. </w:t>
      </w:r>
    </w:p>
  </w:footnote>
  <w:footnote w:id="273">
    <w:p w14:paraId="2816EE74" w14:textId="337A4335" w:rsidR="00E21CD9" w:rsidRPr="0055569F" w:rsidRDefault="00E21CD9" w:rsidP="0055569F">
      <w:pPr>
        <w:autoSpaceDE w:val="0"/>
        <w:autoSpaceDN w:val="0"/>
        <w:adjustRightInd w:val="0"/>
        <w:spacing w:after="0" w:line="240" w:lineRule="auto"/>
        <w:jc w:val="left"/>
        <w:rPr>
          <w:rFonts w:ascii="Garamond" w:hAnsi="Garamond" w:cs="AdvOTce3d9a73"/>
        </w:rPr>
      </w:pPr>
      <w:r w:rsidRPr="0055569F">
        <w:rPr>
          <w:rStyle w:val="FootnoteReference"/>
          <w:rFonts w:ascii="Garamond" w:hAnsi="Garamond"/>
        </w:rPr>
        <w:footnoteRef/>
      </w:r>
      <w:r w:rsidRPr="0055569F">
        <w:rPr>
          <w:rFonts w:ascii="Garamond" w:hAnsi="Garamond"/>
        </w:rPr>
        <w:t xml:space="preserve"> </w:t>
      </w:r>
      <w:r>
        <w:rPr>
          <w:rFonts w:ascii="Garamond" w:hAnsi="Garamond"/>
        </w:rPr>
        <w:t xml:space="preserve">J. </w:t>
      </w:r>
      <w:r w:rsidRPr="0055569F">
        <w:rPr>
          <w:rFonts w:ascii="Garamond" w:hAnsi="Garamond"/>
        </w:rPr>
        <w:t xml:space="preserve">Miola, </w:t>
      </w:r>
      <w:r w:rsidRPr="008B7E38">
        <w:rPr>
          <w:rFonts w:ascii="Garamond" w:hAnsi="Garamond"/>
        </w:rPr>
        <w:t>‘</w:t>
      </w:r>
      <w:r w:rsidRPr="0055569F">
        <w:rPr>
          <w:rFonts w:ascii="Garamond" w:hAnsi="Garamond" w:cs="AdvOTce3d9a73"/>
        </w:rPr>
        <w:t>Postscript to the Medical Innovation Bill: clearing u</w:t>
      </w:r>
      <w:r>
        <w:rPr>
          <w:rFonts w:ascii="Garamond" w:hAnsi="Garamond" w:cs="AdvOTce3d9a73"/>
        </w:rPr>
        <w:t xml:space="preserve">p </w:t>
      </w:r>
      <w:r w:rsidRPr="0055569F">
        <w:rPr>
          <w:rFonts w:ascii="Garamond" w:hAnsi="Garamond" w:cs="AdvOTce3d9a73"/>
        </w:rPr>
        <w:t xml:space="preserve">loose ends’ </w:t>
      </w:r>
      <w:r w:rsidRPr="0055569F">
        <w:rPr>
          <w:rFonts w:ascii="Garamond" w:hAnsi="Garamond" w:cs="AdvOTce3d9a73"/>
          <w:i/>
          <w:iCs/>
        </w:rPr>
        <w:t xml:space="preserve">ILT </w:t>
      </w:r>
      <w:r w:rsidRPr="0055569F">
        <w:rPr>
          <w:rFonts w:ascii="Garamond" w:hAnsi="Garamond" w:cs="AdvOTce3d9a73"/>
        </w:rPr>
        <w:t xml:space="preserve">(2019) </w:t>
      </w:r>
      <w:r>
        <w:rPr>
          <w:rFonts w:ascii="Garamond" w:hAnsi="Garamond"/>
        </w:rPr>
        <w:t xml:space="preserve">11(1) 17, </w:t>
      </w:r>
      <w:r w:rsidRPr="0055569F">
        <w:rPr>
          <w:rFonts w:ascii="Garamond" w:hAnsi="Garamond"/>
        </w:rPr>
        <w:t>referring generally to the impact of increased uptake of innovative treatments on clinical trials at 24.</w:t>
      </w:r>
    </w:p>
  </w:footnote>
  <w:footnote w:id="274">
    <w:p w14:paraId="0DC8A1F7" w14:textId="7FE9CF9C"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 useful summary of these for low</w:t>
      </w:r>
      <w:r>
        <w:rPr>
          <w:rFonts w:ascii="Garamond" w:hAnsi="Garamond"/>
          <w:sz w:val="22"/>
          <w:szCs w:val="22"/>
        </w:rPr>
        <w:t>-</w:t>
      </w:r>
      <w:r w:rsidRPr="002E2F4B">
        <w:rPr>
          <w:rFonts w:ascii="Garamond" w:hAnsi="Garamond"/>
          <w:sz w:val="22"/>
          <w:szCs w:val="22"/>
        </w:rPr>
        <w:t>risk use can be found in Fischer et al, ‘Lower Risk Cannabis Use Guidelines for Canada (LRCUG): A Narrative Review of Evidence and Recommendations’ (2011) 102(5) Can J Public Health 324.</w:t>
      </w:r>
    </w:p>
  </w:footnote>
  <w:footnote w:id="275">
    <w:p w14:paraId="64FA315B" w14:textId="0A26ECBF"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 Keren-Paz, ‘No-fault (strict) liability for injuries from innovative treatments: fairness or also efficiency?’ (2019) 11(1) </w:t>
      </w:r>
      <w:r w:rsidRPr="002E2F4B">
        <w:rPr>
          <w:rFonts w:ascii="Garamond" w:hAnsi="Garamond"/>
          <w:i/>
          <w:iCs/>
          <w:sz w:val="22"/>
          <w:szCs w:val="22"/>
        </w:rPr>
        <w:t xml:space="preserve">Law Innovation and Technology </w:t>
      </w:r>
      <w:r w:rsidRPr="002E2F4B">
        <w:rPr>
          <w:rFonts w:ascii="Garamond" w:hAnsi="Garamond"/>
          <w:sz w:val="22"/>
          <w:szCs w:val="22"/>
        </w:rPr>
        <w:t>55 at 62</w:t>
      </w:r>
    </w:p>
  </w:footnote>
  <w:footnote w:id="276">
    <w:p w14:paraId="6D446BD6" w14:textId="77777777" w:rsidR="00E21CD9" w:rsidRPr="002E2F4B" w:rsidRDefault="00E21CD9" w:rsidP="00415738">
      <w:pPr>
        <w:pStyle w:val="FootnoteText"/>
        <w:rPr>
          <w:rFonts w:ascii="Garamond" w:hAnsi="Garamond"/>
          <w:color w:val="000000" w:themeColor="text1"/>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T. Cockburn &amp; M. Fay, ‘Consent to Innovative Treatment’ (2019) 11 (1) </w:t>
      </w:r>
      <w:r w:rsidRPr="002E2F4B">
        <w:rPr>
          <w:rFonts w:ascii="Garamond" w:hAnsi="Garamond"/>
          <w:i/>
          <w:iCs/>
          <w:sz w:val="22"/>
          <w:szCs w:val="22"/>
        </w:rPr>
        <w:t>Law Innovation and Technology</w:t>
      </w:r>
      <w:r w:rsidRPr="002E2F4B">
        <w:rPr>
          <w:rFonts w:ascii="Garamond" w:hAnsi="Garamond"/>
          <w:sz w:val="22"/>
          <w:szCs w:val="22"/>
        </w:rPr>
        <w:t xml:space="preserve"> 34 at 46. </w:t>
      </w:r>
    </w:p>
  </w:footnote>
  <w:footnote w:id="277">
    <w:p w14:paraId="2BC68BAA" w14:textId="65C0D397" w:rsidR="00E21CD9" w:rsidRPr="0055569F" w:rsidRDefault="00E21CD9">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r w:rsidRPr="0055569F">
        <w:rPr>
          <w:rFonts w:ascii="Garamond" w:hAnsi="Garamond"/>
          <w:i/>
          <w:iCs/>
          <w:sz w:val="22"/>
          <w:szCs w:val="22"/>
        </w:rPr>
        <w:t>Decision Making and Consent</w:t>
      </w:r>
      <w:r w:rsidRPr="0055569F">
        <w:rPr>
          <w:rFonts w:ascii="Garamond" w:hAnsi="Garamond"/>
          <w:sz w:val="22"/>
          <w:szCs w:val="22"/>
        </w:rPr>
        <w:t xml:space="preserve"> (GMC, 2020) para 9.</w:t>
      </w:r>
    </w:p>
  </w:footnote>
  <w:footnote w:id="278">
    <w:p w14:paraId="74E9F3A4" w14:textId="77777777"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Hall v Petros</w:t>
      </w:r>
      <w:r w:rsidRPr="002E2F4B">
        <w:rPr>
          <w:rFonts w:ascii="Garamond" w:hAnsi="Garamond"/>
          <w:sz w:val="22"/>
          <w:szCs w:val="22"/>
        </w:rPr>
        <w:t xml:space="preserve"> [2004] WADC 87 at [348]. </w:t>
      </w:r>
    </w:p>
  </w:footnote>
  <w:footnote w:id="279">
    <w:p w14:paraId="4E34C101" w14:textId="47CE95AC"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GMC, above n.</w:t>
      </w:r>
      <w:r>
        <w:rPr>
          <w:rFonts w:ascii="Garamond" w:hAnsi="Garamond"/>
          <w:sz w:val="22"/>
          <w:szCs w:val="22"/>
        </w:rPr>
        <w:t>123</w:t>
      </w:r>
      <w:r w:rsidRPr="002E2F4B">
        <w:rPr>
          <w:rFonts w:ascii="Garamond" w:hAnsi="Garamond"/>
          <w:sz w:val="22"/>
          <w:szCs w:val="22"/>
        </w:rPr>
        <w:t xml:space="preserve"> at para [73].</w:t>
      </w:r>
    </w:p>
  </w:footnote>
  <w:footnote w:id="280">
    <w:p w14:paraId="58DD28E4" w14:textId="5B50C704"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Bearing in mind that a large proportion of the public may not know about the licensed/unlicensed distinction: A. Chisholm, ‘Exploring attitudes’ above n.1</w:t>
      </w:r>
      <w:r>
        <w:rPr>
          <w:rFonts w:ascii="Garamond" w:hAnsi="Garamond"/>
          <w:sz w:val="22"/>
          <w:szCs w:val="22"/>
        </w:rPr>
        <w:t>94</w:t>
      </w:r>
      <w:r w:rsidRPr="002E2F4B">
        <w:rPr>
          <w:rFonts w:ascii="Garamond" w:hAnsi="Garamond"/>
          <w:sz w:val="22"/>
          <w:szCs w:val="22"/>
        </w:rPr>
        <w:t xml:space="preserve">. </w:t>
      </w:r>
    </w:p>
  </w:footnote>
  <w:footnote w:id="281">
    <w:p w14:paraId="37769163" w14:textId="79378303" w:rsidR="00E21CD9" w:rsidRPr="002E2F4B" w:rsidRDefault="00E21CD9" w:rsidP="00415738">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Mills v Oxford University Hospitals NHS Trust </w:t>
      </w:r>
      <w:r w:rsidRPr="002E2F4B">
        <w:rPr>
          <w:rFonts w:ascii="Garamond" w:hAnsi="Garamond"/>
          <w:sz w:val="22"/>
          <w:szCs w:val="22"/>
        </w:rPr>
        <w:t>[2019] EWHC 936 at [204].</w:t>
      </w:r>
    </w:p>
  </w:footnote>
  <w:footnote w:id="282">
    <w:p w14:paraId="29F6ADA4" w14:textId="44EFD4FF" w:rsidR="00E21CD9" w:rsidRPr="002E2F4B" w:rsidRDefault="00E21CD9">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Cross Party Parliamentary Group for Drug Policy Reform report, 2020 (above n.1</w:t>
      </w:r>
      <w:r>
        <w:rPr>
          <w:rFonts w:ascii="Garamond" w:hAnsi="Garamond"/>
          <w:sz w:val="22"/>
          <w:szCs w:val="22"/>
        </w:rPr>
        <w:t>8</w:t>
      </w:r>
      <w:r w:rsidRPr="002E2F4B">
        <w:rPr>
          <w:rFonts w:ascii="Garamond" w:hAnsi="Garamond"/>
          <w:sz w:val="22"/>
          <w:szCs w:val="22"/>
        </w:rPr>
        <w:t xml:space="preserve">) at 46. </w:t>
      </w:r>
    </w:p>
  </w:footnote>
  <w:footnote w:id="283">
    <w:p w14:paraId="5C9FB488" w14:textId="77777777" w:rsidR="00E21CD9" w:rsidRPr="002E2F4B" w:rsidRDefault="00E21CD9" w:rsidP="007932D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r w:rsidRPr="002E2F4B">
        <w:rPr>
          <w:rFonts w:ascii="Garamond" w:hAnsi="Garamond"/>
          <w:i/>
          <w:iCs/>
          <w:sz w:val="22"/>
          <w:szCs w:val="22"/>
        </w:rPr>
        <w:t xml:space="preserve">Rich v Hull and East Yorkshire </w:t>
      </w:r>
      <w:r w:rsidRPr="002E2F4B">
        <w:rPr>
          <w:rFonts w:ascii="Garamond" w:hAnsi="Garamond"/>
          <w:sz w:val="22"/>
          <w:szCs w:val="22"/>
        </w:rPr>
        <w:t>[2015] EWHC 3395 – judge says this about expert’s evidence and makes interesting comparison between generalities narratives and the specific patient’s circumstances at [41].</w:t>
      </w:r>
    </w:p>
  </w:footnote>
  <w:footnote w:id="284">
    <w:p w14:paraId="75DDB39F" w14:textId="2E4C0271" w:rsidR="00E21CD9" w:rsidRPr="002E2F4B" w:rsidRDefault="00E21CD9" w:rsidP="007932D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Consider, for example, the case of patient advocate Lucy Stafford, who reports that the cost of her private prescriptions </w:t>
      </w:r>
      <w:proofErr w:type="gramStart"/>
      <w:r w:rsidRPr="002E2F4B">
        <w:rPr>
          <w:rFonts w:ascii="Garamond" w:hAnsi="Garamond"/>
          <w:sz w:val="22"/>
          <w:szCs w:val="22"/>
        </w:rPr>
        <w:t>are</w:t>
      </w:r>
      <w:proofErr w:type="gramEnd"/>
      <w:r w:rsidRPr="002E2F4B">
        <w:rPr>
          <w:rFonts w:ascii="Garamond" w:hAnsi="Garamond"/>
          <w:sz w:val="22"/>
          <w:szCs w:val="22"/>
        </w:rPr>
        <w:t xml:space="preserve"> saving the NHS money from reduced hospitalisation and reliance on other expensive medications: if the drugs appear to be cost effective in her </w:t>
      </w:r>
      <w:proofErr w:type="spellStart"/>
      <w:r w:rsidRPr="002E2F4B">
        <w:rPr>
          <w:rFonts w:ascii="Garamond" w:hAnsi="Garamond"/>
          <w:sz w:val="22"/>
          <w:szCs w:val="22"/>
        </w:rPr>
        <w:t>case,</w:t>
      </w:r>
      <w:proofErr w:type="spellEnd"/>
      <w:r w:rsidRPr="002E2F4B">
        <w:rPr>
          <w:rFonts w:ascii="Garamond" w:hAnsi="Garamond"/>
          <w:sz w:val="22"/>
          <w:szCs w:val="22"/>
        </w:rPr>
        <w:t xml:space="preserve"> on what basis is she not being prescribed these unlicensed products on the NHS: ‘Medical cannabis: Why are doctors still not prescribing it?’ </w:t>
      </w:r>
      <w:r w:rsidRPr="002E2F4B">
        <w:rPr>
          <w:rFonts w:ascii="Garamond" w:hAnsi="Garamond"/>
          <w:i/>
          <w:iCs/>
          <w:sz w:val="22"/>
          <w:szCs w:val="22"/>
        </w:rPr>
        <w:t xml:space="preserve">The Guardian, </w:t>
      </w:r>
      <w:r w:rsidRPr="002E2F4B">
        <w:rPr>
          <w:rFonts w:ascii="Garamond" w:hAnsi="Garamond"/>
          <w:sz w:val="22"/>
          <w:szCs w:val="22"/>
        </w:rPr>
        <w:t>3</w:t>
      </w:r>
      <w:r w:rsidRPr="002E2F4B">
        <w:rPr>
          <w:rFonts w:ascii="Garamond" w:hAnsi="Garamond"/>
          <w:sz w:val="22"/>
          <w:szCs w:val="22"/>
          <w:vertAlign w:val="superscript"/>
        </w:rPr>
        <w:t>rd</w:t>
      </w:r>
      <w:r w:rsidRPr="002E2F4B">
        <w:rPr>
          <w:rFonts w:ascii="Garamond" w:hAnsi="Garamond"/>
          <w:sz w:val="22"/>
          <w:szCs w:val="22"/>
        </w:rPr>
        <w:t xml:space="preserve"> November 2019. </w:t>
      </w:r>
      <w:r w:rsidRPr="002E2F4B">
        <w:rPr>
          <w:rFonts w:ascii="Garamond" w:hAnsi="Garamond"/>
          <w:b/>
          <w:bCs/>
          <w:i/>
          <w:iCs/>
          <w:sz w:val="22"/>
          <w:szCs w:val="22"/>
        </w:rPr>
        <w:t xml:space="preserve"> </w:t>
      </w:r>
      <w:r w:rsidRPr="002E2F4B">
        <w:rPr>
          <w:rFonts w:ascii="Garamond" w:hAnsi="Garamond"/>
          <w:sz w:val="22"/>
          <w:szCs w:val="22"/>
        </w:rPr>
        <w:t xml:space="preserve"> </w:t>
      </w:r>
    </w:p>
  </w:footnote>
  <w:footnote w:id="285">
    <w:p w14:paraId="5FDE5B75" w14:textId="0EADFA37" w:rsidR="00E21CD9" w:rsidRPr="0055569F" w:rsidRDefault="00E21CD9" w:rsidP="0055569F">
      <w:pPr>
        <w:pStyle w:val="Heading1"/>
        <w:shd w:val="clear" w:color="auto" w:fill="FFFFFF"/>
        <w:spacing w:before="0"/>
        <w:textAlignment w:val="baseline"/>
        <w:rPr>
          <w:rFonts w:ascii="Garamond" w:hAnsi="Garamond"/>
          <w:color w:val="121212"/>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Note the cases of families still pursuing NHS prescriptions:</w:t>
      </w:r>
      <w:r w:rsidRPr="00EE0332">
        <w:rPr>
          <w:rFonts w:ascii="Garamond" w:hAnsi="Garamond"/>
          <w:sz w:val="22"/>
          <w:szCs w:val="22"/>
        </w:rPr>
        <w:t xml:space="preserve"> see ‘</w:t>
      </w:r>
      <w:r w:rsidRPr="0055569F">
        <w:rPr>
          <w:rFonts w:ascii="Garamond" w:hAnsi="Garamond"/>
          <w:color w:val="121212"/>
          <w:sz w:val="22"/>
          <w:szCs w:val="22"/>
        </w:rPr>
        <w:t>Netherlands to supply medical cannabis until July despite Brexit ban</w:t>
      </w:r>
      <w:r>
        <w:rPr>
          <w:rFonts w:ascii="Garamond" w:hAnsi="Garamond"/>
          <w:sz w:val="22"/>
          <w:szCs w:val="22"/>
        </w:rPr>
        <w:t xml:space="preserve">’ </w:t>
      </w:r>
      <w:r>
        <w:rPr>
          <w:rFonts w:ascii="Garamond" w:hAnsi="Garamond"/>
          <w:i/>
          <w:iCs/>
          <w:sz w:val="22"/>
          <w:szCs w:val="22"/>
        </w:rPr>
        <w:t xml:space="preserve">The Guardian </w:t>
      </w:r>
      <w:r>
        <w:rPr>
          <w:rFonts w:ascii="Garamond" w:hAnsi="Garamond"/>
          <w:sz w:val="22"/>
          <w:szCs w:val="22"/>
        </w:rPr>
        <w:t>21</w:t>
      </w:r>
      <w:r w:rsidRPr="0055569F">
        <w:rPr>
          <w:rFonts w:ascii="Garamond" w:hAnsi="Garamond"/>
          <w:sz w:val="22"/>
          <w:szCs w:val="22"/>
          <w:vertAlign w:val="superscript"/>
        </w:rPr>
        <w:t>st</w:t>
      </w:r>
      <w:r>
        <w:rPr>
          <w:rFonts w:ascii="Garamond" w:hAnsi="Garamond"/>
          <w:sz w:val="22"/>
          <w:szCs w:val="22"/>
        </w:rPr>
        <w:t xml:space="preserve"> January 2021.</w:t>
      </w:r>
    </w:p>
  </w:footnote>
  <w:footnote w:id="286">
    <w:p w14:paraId="3A6FC3F1" w14:textId="77777777" w:rsidR="00E21CD9" w:rsidRPr="0055569F" w:rsidRDefault="00E21CD9" w:rsidP="006B286C">
      <w:pPr>
        <w:pStyle w:val="FootnoteText"/>
        <w:rPr>
          <w:rFonts w:ascii="Garamond" w:hAnsi="Garamond"/>
          <w:sz w:val="22"/>
          <w:szCs w:val="22"/>
        </w:rPr>
      </w:pPr>
      <w:r w:rsidRPr="0055569F">
        <w:rPr>
          <w:rStyle w:val="FootnoteReference"/>
          <w:rFonts w:ascii="Garamond" w:hAnsi="Garamond"/>
          <w:sz w:val="22"/>
          <w:szCs w:val="22"/>
        </w:rPr>
        <w:footnoteRef/>
      </w:r>
      <w:r w:rsidRPr="0055569F">
        <w:rPr>
          <w:rFonts w:ascii="Garamond" w:hAnsi="Garamond"/>
          <w:sz w:val="22"/>
          <w:szCs w:val="22"/>
        </w:rPr>
        <w:t xml:space="preserve"> </w:t>
      </w:r>
      <w:r w:rsidRPr="0055569F">
        <w:rPr>
          <w:rFonts w:ascii="Garamond" w:hAnsi="Garamond"/>
          <w:i/>
          <w:iCs/>
          <w:sz w:val="22"/>
          <w:szCs w:val="22"/>
        </w:rPr>
        <w:t xml:space="preserve">Cannabis-based products for medicinal use (CBPMs) in humans </w:t>
      </w:r>
      <w:r w:rsidRPr="0055569F">
        <w:rPr>
          <w:rFonts w:ascii="Garamond" w:hAnsi="Garamond"/>
          <w:sz w:val="22"/>
          <w:szCs w:val="22"/>
        </w:rPr>
        <w:t xml:space="preserve">(Advisory Council on the Misuse of Drugs, 2020). </w:t>
      </w:r>
    </w:p>
  </w:footnote>
  <w:footnote w:id="287">
    <w:p w14:paraId="1A95CF4C" w14:textId="4C95EA58" w:rsidR="00E21CD9" w:rsidRPr="002E2F4B" w:rsidRDefault="00E21CD9" w:rsidP="003E503C">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Above n.10 at 8.16. </w:t>
      </w:r>
    </w:p>
  </w:footnote>
  <w:footnote w:id="288">
    <w:p w14:paraId="024F1F0A" w14:textId="3FCB0DBC" w:rsidR="00E21CD9" w:rsidRPr="002E2F4B" w:rsidRDefault="00E21CD9" w:rsidP="00FA78CE">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See CQC above n.1</w:t>
      </w:r>
      <w:r>
        <w:rPr>
          <w:rFonts w:ascii="Garamond" w:hAnsi="Garamond"/>
          <w:sz w:val="22"/>
          <w:szCs w:val="22"/>
        </w:rPr>
        <w:t>1</w:t>
      </w:r>
      <w:r w:rsidRPr="002E2F4B">
        <w:rPr>
          <w:rFonts w:ascii="Garamond" w:hAnsi="Garamond"/>
          <w:sz w:val="22"/>
          <w:szCs w:val="22"/>
        </w:rPr>
        <w:t>6, KLOE E1.</w:t>
      </w:r>
    </w:p>
  </w:footnote>
  <w:footnote w:id="289">
    <w:p w14:paraId="306668EC" w14:textId="77777777" w:rsidR="00E21CD9" w:rsidRPr="002E2F4B" w:rsidRDefault="00E21CD9" w:rsidP="00FA78CE">
      <w:pPr>
        <w:pStyle w:val="FootnoteText"/>
        <w:rPr>
          <w:rFonts w:ascii="Garamond" w:hAnsi="Garamond"/>
          <w:sz w:val="22"/>
          <w:szCs w:val="22"/>
        </w:rPr>
      </w:pPr>
      <w:r w:rsidRPr="002E2F4B">
        <w:rPr>
          <w:rStyle w:val="FootnoteReference"/>
          <w:rFonts w:ascii="Garamond" w:hAnsi="Garamond"/>
          <w:sz w:val="22"/>
          <w:szCs w:val="22"/>
        </w:rPr>
        <w:footnoteRef/>
      </w:r>
      <w:r w:rsidRPr="002E2F4B">
        <w:rPr>
          <w:rFonts w:ascii="Garamond" w:hAnsi="Garamond"/>
          <w:sz w:val="22"/>
          <w:szCs w:val="22"/>
        </w:rPr>
        <w:t xml:space="preserve"> </w:t>
      </w:r>
      <w:proofErr w:type="gramStart"/>
      <w:r w:rsidRPr="002E2F4B">
        <w:rPr>
          <w:rFonts w:ascii="Garamond" w:hAnsi="Garamond"/>
          <w:sz w:val="22"/>
          <w:szCs w:val="22"/>
        </w:rPr>
        <w:t>E.g.</w:t>
      </w:r>
      <w:proofErr w:type="gramEnd"/>
      <w:r w:rsidRPr="002E2F4B">
        <w:rPr>
          <w:rFonts w:ascii="Garamond" w:hAnsi="Garamond"/>
          <w:sz w:val="22"/>
          <w:szCs w:val="22"/>
        </w:rPr>
        <w:t xml:space="preserve"> NHS England, </w:t>
      </w:r>
      <w:r w:rsidRPr="002E2F4B">
        <w:rPr>
          <w:rFonts w:ascii="Garamond" w:hAnsi="Garamond"/>
          <w:i/>
          <w:iCs/>
          <w:sz w:val="22"/>
          <w:szCs w:val="22"/>
        </w:rPr>
        <w:t xml:space="preserve">Letter: Guidance to Clinicians on Cannabis Based Products for Medicinal Use </w:t>
      </w:r>
      <w:r w:rsidRPr="002E2F4B">
        <w:rPr>
          <w:rFonts w:ascii="Garamond" w:hAnsi="Garamond"/>
          <w:sz w:val="22"/>
          <w:szCs w:val="22"/>
        </w:rPr>
        <w:t>(2018) referring to discussing with a peer clinician in the same specialism as good practice.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110"/>
    <w:multiLevelType w:val="hybridMultilevel"/>
    <w:tmpl w:val="97D42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83F09"/>
    <w:multiLevelType w:val="hybridMultilevel"/>
    <w:tmpl w:val="EAAA1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DF653B"/>
    <w:multiLevelType w:val="hybridMultilevel"/>
    <w:tmpl w:val="BEB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C67A4"/>
    <w:multiLevelType w:val="hybridMultilevel"/>
    <w:tmpl w:val="F2509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7796C"/>
    <w:multiLevelType w:val="multilevel"/>
    <w:tmpl w:val="FE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C0E45"/>
    <w:multiLevelType w:val="hybridMultilevel"/>
    <w:tmpl w:val="347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1642"/>
    <w:multiLevelType w:val="hybridMultilevel"/>
    <w:tmpl w:val="CE16B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B3D9A"/>
    <w:multiLevelType w:val="hybridMultilevel"/>
    <w:tmpl w:val="A9A2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957B7"/>
    <w:multiLevelType w:val="hybridMultilevel"/>
    <w:tmpl w:val="ADE4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04DDA"/>
    <w:multiLevelType w:val="hybridMultilevel"/>
    <w:tmpl w:val="E1AE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21EEF"/>
    <w:multiLevelType w:val="hybridMultilevel"/>
    <w:tmpl w:val="C0E47BA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85002B0"/>
    <w:multiLevelType w:val="hybridMultilevel"/>
    <w:tmpl w:val="A416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F6D32"/>
    <w:multiLevelType w:val="hybridMultilevel"/>
    <w:tmpl w:val="B17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679E5"/>
    <w:multiLevelType w:val="hybridMultilevel"/>
    <w:tmpl w:val="4D52C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8B09FE"/>
    <w:multiLevelType w:val="hybridMultilevel"/>
    <w:tmpl w:val="F272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3248D"/>
    <w:multiLevelType w:val="multilevel"/>
    <w:tmpl w:val="E262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133CD"/>
    <w:multiLevelType w:val="hybridMultilevel"/>
    <w:tmpl w:val="5AC6F600"/>
    <w:lvl w:ilvl="0" w:tplc="AA5042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10F93"/>
    <w:multiLevelType w:val="hybridMultilevel"/>
    <w:tmpl w:val="4E92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701C2"/>
    <w:multiLevelType w:val="multilevel"/>
    <w:tmpl w:val="4402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500D49"/>
    <w:multiLevelType w:val="hybridMultilevel"/>
    <w:tmpl w:val="C9D0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5006D"/>
    <w:multiLevelType w:val="hybridMultilevel"/>
    <w:tmpl w:val="2110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3733E"/>
    <w:multiLevelType w:val="hybridMultilevel"/>
    <w:tmpl w:val="CC5217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F4248"/>
    <w:multiLevelType w:val="hybridMultilevel"/>
    <w:tmpl w:val="C9961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D700A"/>
    <w:multiLevelType w:val="hybridMultilevel"/>
    <w:tmpl w:val="211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C1611"/>
    <w:multiLevelType w:val="hybridMultilevel"/>
    <w:tmpl w:val="CC461332"/>
    <w:lvl w:ilvl="0" w:tplc="939EA8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2069DF"/>
    <w:multiLevelType w:val="hybridMultilevel"/>
    <w:tmpl w:val="01AC86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5E0FE8"/>
    <w:multiLevelType w:val="hybridMultilevel"/>
    <w:tmpl w:val="B68A4DC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2655EFB"/>
    <w:multiLevelType w:val="hybridMultilevel"/>
    <w:tmpl w:val="87BC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7264A"/>
    <w:multiLevelType w:val="hybridMultilevel"/>
    <w:tmpl w:val="28CC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842F9"/>
    <w:multiLevelType w:val="hybridMultilevel"/>
    <w:tmpl w:val="2D8233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2"/>
  </w:num>
  <w:num w:numId="3">
    <w:abstractNumId w:val="5"/>
  </w:num>
  <w:num w:numId="4">
    <w:abstractNumId w:val="20"/>
  </w:num>
  <w:num w:numId="5">
    <w:abstractNumId w:val="28"/>
  </w:num>
  <w:num w:numId="6">
    <w:abstractNumId w:val="11"/>
  </w:num>
  <w:num w:numId="7">
    <w:abstractNumId w:val="27"/>
  </w:num>
  <w:num w:numId="8">
    <w:abstractNumId w:val="14"/>
  </w:num>
  <w:num w:numId="9">
    <w:abstractNumId w:val="18"/>
  </w:num>
  <w:num w:numId="10">
    <w:abstractNumId w:val="4"/>
  </w:num>
  <w:num w:numId="11">
    <w:abstractNumId w:val="12"/>
  </w:num>
  <w:num w:numId="12">
    <w:abstractNumId w:val="23"/>
  </w:num>
  <w:num w:numId="13">
    <w:abstractNumId w:val="6"/>
  </w:num>
  <w:num w:numId="14">
    <w:abstractNumId w:val="9"/>
  </w:num>
  <w:num w:numId="15">
    <w:abstractNumId w:val="21"/>
  </w:num>
  <w:num w:numId="16">
    <w:abstractNumId w:val="8"/>
  </w:num>
  <w:num w:numId="17">
    <w:abstractNumId w:val="1"/>
  </w:num>
  <w:num w:numId="18">
    <w:abstractNumId w:val="29"/>
  </w:num>
  <w:num w:numId="19">
    <w:abstractNumId w:val="22"/>
  </w:num>
  <w:num w:numId="20">
    <w:abstractNumId w:val="13"/>
  </w:num>
  <w:num w:numId="21">
    <w:abstractNumId w:val="10"/>
  </w:num>
  <w:num w:numId="22">
    <w:abstractNumId w:val="26"/>
  </w:num>
  <w:num w:numId="23">
    <w:abstractNumId w:val="24"/>
  </w:num>
  <w:num w:numId="24">
    <w:abstractNumId w:val="25"/>
  </w:num>
  <w:num w:numId="25">
    <w:abstractNumId w:val="15"/>
    <w:lvlOverride w:ilvl="0">
      <w:startOverride w:val="41"/>
    </w:lvlOverride>
  </w:num>
  <w:num w:numId="26">
    <w:abstractNumId w:val="7"/>
  </w:num>
  <w:num w:numId="27">
    <w:abstractNumId w:val="3"/>
  </w:num>
  <w:num w:numId="28">
    <w:abstractNumId w:val="0"/>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6"/>
    <w:rsid w:val="00000EA9"/>
    <w:rsid w:val="00002460"/>
    <w:rsid w:val="000025D8"/>
    <w:rsid w:val="00002E37"/>
    <w:rsid w:val="00003EE6"/>
    <w:rsid w:val="00004599"/>
    <w:rsid w:val="000070C1"/>
    <w:rsid w:val="00007503"/>
    <w:rsid w:val="0001195F"/>
    <w:rsid w:val="000121ED"/>
    <w:rsid w:val="00012F73"/>
    <w:rsid w:val="00012F74"/>
    <w:rsid w:val="00014C97"/>
    <w:rsid w:val="00014D7D"/>
    <w:rsid w:val="00015288"/>
    <w:rsid w:val="0001565B"/>
    <w:rsid w:val="00015838"/>
    <w:rsid w:val="000164A9"/>
    <w:rsid w:val="00016723"/>
    <w:rsid w:val="00020067"/>
    <w:rsid w:val="000231CA"/>
    <w:rsid w:val="00024245"/>
    <w:rsid w:val="00024D7A"/>
    <w:rsid w:val="00024E08"/>
    <w:rsid w:val="000255F7"/>
    <w:rsid w:val="00025E43"/>
    <w:rsid w:val="000265FD"/>
    <w:rsid w:val="00026A7E"/>
    <w:rsid w:val="00026D30"/>
    <w:rsid w:val="00027AA8"/>
    <w:rsid w:val="00030162"/>
    <w:rsid w:val="00030609"/>
    <w:rsid w:val="00032696"/>
    <w:rsid w:val="00032A7F"/>
    <w:rsid w:val="000338C1"/>
    <w:rsid w:val="00033A64"/>
    <w:rsid w:val="000377B5"/>
    <w:rsid w:val="000377B8"/>
    <w:rsid w:val="00043C8B"/>
    <w:rsid w:val="0004534A"/>
    <w:rsid w:val="00045B62"/>
    <w:rsid w:val="0004760D"/>
    <w:rsid w:val="00050E3C"/>
    <w:rsid w:val="000511C5"/>
    <w:rsid w:val="00051C9A"/>
    <w:rsid w:val="00053644"/>
    <w:rsid w:val="0005436A"/>
    <w:rsid w:val="00054B54"/>
    <w:rsid w:val="000551BA"/>
    <w:rsid w:val="00055639"/>
    <w:rsid w:val="00055B5B"/>
    <w:rsid w:val="00055F0E"/>
    <w:rsid w:val="000564CC"/>
    <w:rsid w:val="00057086"/>
    <w:rsid w:val="000634DF"/>
    <w:rsid w:val="000639EF"/>
    <w:rsid w:val="00064AB2"/>
    <w:rsid w:val="0006519B"/>
    <w:rsid w:val="00065548"/>
    <w:rsid w:val="0006583E"/>
    <w:rsid w:val="0006590E"/>
    <w:rsid w:val="00065A73"/>
    <w:rsid w:val="00065C36"/>
    <w:rsid w:val="00066120"/>
    <w:rsid w:val="0006708B"/>
    <w:rsid w:val="0007492F"/>
    <w:rsid w:val="00080DC4"/>
    <w:rsid w:val="00082358"/>
    <w:rsid w:val="000825CD"/>
    <w:rsid w:val="0008337D"/>
    <w:rsid w:val="000841F6"/>
    <w:rsid w:val="000843D3"/>
    <w:rsid w:val="00085560"/>
    <w:rsid w:val="00086CA4"/>
    <w:rsid w:val="00091621"/>
    <w:rsid w:val="00092585"/>
    <w:rsid w:val="000929E1"/>
    <w:rsid w:val="00093DE0"/>
    <w:rsid w:val="00093EEE"/>
    <w:rsid w:val="000958DD"/>
    <w:rsid w:val="000962C3"/>
    <w:rsid w:val="00096864"/>
    <w:rsid w:val="000A078A"/>
    <w:rsid w:val="000A183A"/>
    <w:rsid w:val="000A1F5F"/>
    <w:rsid w:val="000A43A0"/>
    <w:rsid w:val="000A5130"/>
    <w:rsid w:val="000A5374"/>
    <w:rsid w:val="000A547D"/>
    <w:rsid w:val="000A571D"/>
    <w:rsid w:val="000A5C24"/>
    <w:rsid w:val="000A6CCE"/>
    <w:rsid w:val="000A70A5"/>
    <w:rsid w:val="000A7111"/>
    <w:rsid w:val="000B08FF"/>
    <w:rsid w:val="000B3404"/>
    <w:rsid w:val="000B43BD"/>
    <w:rsid w:val="000B472E"/>
    <w:rsid w:val="000B4E88"/>
    <w:rsid w:val="000B4F3D"/>
    <w:rsid w:val="000B5C85"/>
    <w:rsid w:val="000C3DA5"/>
    <w:rsid w:val="000C554D"/>
    <w:rsid w:val="000C673C"/>
    <w:rsid w:val="000C7323"/>
    <w:rsid w:val="000C78F1"/>
    <w:rsid w:val="000D03ED"/>
    <w:rsid w:val="000D1861"/>
    <w:rsid w:val="000D5092"/>
    <w:rsid w:val="000D51A0"/>
    <w:rsid w:val="000D67DA"/>
    <w:rsid w:val="000D6DCA"/>
    <w:rsid w:val="000E0E51"/>
    <w:rsid w:val="000E3CE7"/>
    <w:rsid w:val="000E575C"/>
    <w:rsid w:val="000E5894"/>
    <w:rsid w:val="000E6AA3"/>
    <w:rsid w:val="000E713E"/>
    <w:rsid w:val="000E7A8D"/>
    <w:rsid w:val="000F0309"/>
    <w:rsid w:val="000F23F0"/>
    <w:rsid w:val="000F4F85"/>
    <w:rsid w:val="000F6A6E"/>
    <w:rsid w:val="000F6D8D"/>
    <w:rsid w:val="000F7D5A"/>
    <w:rsid w:val="0010099E"/>
    <w:rsid w:val="00103D7A"/>
    <w:rsid w:val="00103F1A"/>
    <w:rsid w:val="001058B6"/>
    <w:rsid w:val="00107026"/>
    <w:rsid w:val="00107856"/>
    <w:rsid w:val="00110930"/>
    <w:rsid w:val="00110A40"/>
    <w:rsid w:val="00110F99"/>
    <w:rsid w:val="001112F1"/>
    <w:rsid w:val="0011152B"/>
    <w:rsid w:val="00111530"/>
    <w:rsid w:val="00111C66"/>
    <w:rsid w:val="001141A0"/>
    <w:rsid w:val="00114F38"/>
    <w:rsid w:val="001165AA"/>
    <w:rsid w:val="00126966"/>
    <w:rsid w:val="00126FF8"/>
    <w:rsid w:val="001276E7"/>
    <w:rsid w:val="0012777C"/>
    <w:rsid w:val="00127D7D"/>
    <w:rsid w:val="00130F2F"/>
    <w:rsid w:val="00131C7A"/>
    <w:rsid w:val="00135F55"/>
    <w:rsid w:val="001361C0"/>
    <w:rsid w:val="00136A29"/>
    <w:rsid w:val="00137F53"/>
    <w:rsid w:val="0014130F"/>
    <w:rsid w:val="001434DF"/>
    <w:rsid w:val="00150E51"/>
    <w:rsid w:val="00154126"/>
    <w:rsid w:val="001549A7"/>
    <w:rsid w:val="00154B7E"/>
    <w:rsid w:val="00156F07"/>
    <w:rsid w:val="00161D06"/>
    <w:rsid w:val="00162DFB"/>
    <w:rsid w:val="001634C4"/>
    <w:rsid w:val="00165C6A"/>
    <w:rsid w:val="00167992"/>
    <w:rsid w:val="00171662"/>
    <w:rsid w:val="00171CB5"/>
    <w:rsid w:val="001732FA"/>
    <w:rsid w:val="00174439"/>
    <w:rsid w:val="00174F10"/>
    <w:rsid w:val="001769DE"/>
    <w:rsid w:val="001776F0"/>
    <w:rsid w:val="00177BCE"/>
    <w:rsid w:val="0018014E"/>
    <w:rsid w:val="00182D04"/>
    <w:rsid w:val="001835BC"/>
    <w:rsid w:val="001846DF"/>
    <w:rsid w:val="001858A0"/>
    <w:rsid w:val="0018605D"/>
    <w:rsid w:val="00187BE4"/>
    <w:rsid w:val="00190AAC"/>
    <w:rsid w:val="00192E52"/>
    <w:rsid w:val="00193E52"/>
    <w:rsid w:val="00194E2A"/>
    <w:rsid w:val="001957CF"/>
    <w:rsid w:val="00197F12"/>
    <w:rsid w:val="001A0F33"/>
    <w:rsid w:val="001A1D5D"/>
    <w:rsid w:val="001A213D"/>
    <w:rsid w:val="001A23F2"/>
    <w:rsid w:val="001A29B6"/>
    <w:rsid w:val="001A3608"/>
    <w:rsid w:val="001A3A39"/>
    <w:rsid w:val="001A3B09"/>
    <w:rsid w:val="001A499E"/>
    <w:rsid w:val="001A5B29"/>
    <w:rsid w:val="001A6CED"/>
    <w:rsid w:val="001A6E51"/>
    <w:rsid w:val="001A7304"/>
    <w:rsid w:val="001B23AF"/>
    <w:rsid w:val="001B2BB4"/>
    <w:rsid w:val="001B4703"/>
    <w:rsid w:val="001B5628"/>
    <w:rsid w:val="001B6895"/>
    <w:rsid w:val="001B6F4C"/>
    <w:rsid w:val="001B79E8"/>
    <w:rsid w:val="001C067C"/>
    <w:rsid w:val="001C1F8C"/>
    <w:rsid w:val="001C345B"/>
    <w:rsid w:val="001C4AA6"/>
    <w:rsid w:val="001C4D87"/>
    <w:rsid w:val="001C5081"/>
    <w:rsid w:val="001C6EE1"/>
    <w:rsid w:val="001C72DB"/>
    <w:rsid w:val="001C77C3"/>
    <w:rsid w:val="001D011B"/>
    <w:rsid w:val="001D25A3"/>
    <w:rsid w:val="001D34D8"/>
    <w:rsid w:val="001D3A07"/>
    <w:rsid w:val="001D77AE"/>
    <w:rsid w:val="001D7F41"/>
    <w:rsid w:val="001E05AB"/>
    <w:rsid w:val="001E69C5"/>
    <w:rsid w:val="001F29EC"/>
    <w:rsid w:val="001F5D49"/>
    <w:rsid w:val="001F5E10"/>
    <w:rsid w:val="001F73C7"/>
    <w:rsid w:val="001F7EC0"/>
    <w:rsid w:val="002003BA"/>
    <w:rsid w:val="00200872"/>
    <w:rsid w:val="00200FDA"/>
    <w:rsid w:val="0020127A"/>
    <w:rsid w:val="00201D66"/>
    <w:rsid w:val="002028FA"/>
    <w:rsid w:val="002039FE"/>
    <w:rsid w:val="00203E20"/>
    <w:rsid w:val="00204461"/>
    <w:rsid w:val="002045D7"/>
    <w:rsid w:val="002062E1"/>
    <w:rsid w:val="00210807"/>
    <w:rsid w:val="002127DA"/>
    <w:rsid w:val="00213364"/>
    <w:rsid w:val="00216F73"/>
    <w:rsid w:val="00220740"/>
    <w:rsid w:val="00221215"/>
    <w:rsid w:val="00222335"/>
    <w:rsid w:val="00222406"/>
    <w:rsid w:val="002224AD"/>
    <w:rsid w:val="00222926"/>
    <w:rsid w:val="00223075"/>
    <w:rsid w:val="002239EE"/>
    <w:rsid w:val="00225523"/>
    <w:rsid w:val="00226F8A"/>
    <w:rsid w:val="002311E3"/>
    <w:rsid w:val="002315F6"/>
    <w:rsid w:val="002334E2"/>
    <w:rsid w:val="00233794"/>
    <w:rsid w:val="00233AED"/>
    <w:rsid w:val="00236B6A"/>
    <w:rsid w:val="0023765A"/>
    <w:rsid w:val="00237FB5"/>
    <w:rsid w:val="00240C89"/>
    <w:rsid w:val="00240F1E"/>
    <w:rsid w:val="002417CD"/>
    <w:rsid w:val="00241D8E"/>
    <w:rsid w:val="0024239D"/>
    <w:rsid w:val="00242480"/>
    <w:rsid w:val="002424D6"/>
    <w:rsid w:val="0024299E"/>
    <w:rsid w:val="002445F1"/>
    <w:rsid w:val="00244B8D"/>
    <w:rsid w:val="00245DC4"/>
    <w:rsid w:val="0024626B"/>
    <w:rsid w:val="00246E3B"/>
    <w:rsid w:val="00250F2E"/>
    <w:rsid w:val="00254786"/>
    <w:rsid w:val="0025652C"/>
    <w:rsid w:val="002566FB"/>
    <w:rsid w:val="00257C22"/>
    <w:rsid w:val="00260192"/>
    <w:rsid w:val="002604F7"/>
    <w:rsid w:val="00260F0D"/>
    <w:rsid w:val="00261D0C"/>
    <w:rsid w:val="0026310E"/>
    <w:rsid w:val="00263D67"/>
    <w:rsid w:val="00265E9C"/>
    <w:rsid w:val="0026627C"/>
    <w:rsid w:val="00266446"/>
    <w:rsid w:val="00266D35"/>
    <w:rsid w:val="00267A9C"/>
    <w:rsid w:val="002715EC"/>
    <w:rsid w:val="00271746"/>
    <w:rsid w:val="00273A61"/>
    <w:rsid w:val="00274DBC"/>
    <w:rsid w:val="00275FA6"/>
    <w:rsid w:val="0028091B"/>
    <w:rsid w:val="00280B12"/>
    <w:rsid w:val="00281DCF"/>
    <w:rsid w:val="0028295B"/>
    <w:rsid w:val="00282E80"/>
    <w:rsid w:val="002834F5"/>
    <w:rsid w:val="0028439E"/>
    <w:rsid w:val="00287722"/>
    <w:rsid w:val="002877E0"/>
    <w:rsid w:val="00291154"/>
    <w:rsid w:val="002953A8"/>
    <w:rsid w:val="00295C04"/>
    <w:rsid w:val="00295EA7"/>
    <w:rsid w:val="00296DC0"/>
    <w:rsid w:val="002975C5"/>
    <w:rsid w:val="00297902"/>
    <w:rsid w:val="002A18F0"/>
    <w:rsid w:val="002A1AFF"/>
    <w:rsid w:val="002A1D59"/>
    <w:rsid w:val="002A23F0"/>
    <w:rsid w:val="002A2F47"/>
    <w:rsid w:val="002A4FE1"/>
    <w:rsid w:val="002A7A49"/>
    <w:rsid w:val="002A7CA4"/>
    <w:rsid w:val="002B0977"/>
    <w:rsid w:val="002B15E7"/>
    <w:rsid w:val="002B1B1E"/>
    <w:rsid w:val="002B228C"/>
    <w:rsid w:val="002B2CE1"/>
    <w:rsid w:val="002B4E33"/>
    <w:rsid w:val="002B65E3"/>
    <w:rsid w:val="002B68E8"/>
    <w:rsid w:val="002B7288"/>
    <w:rsid w:val="002C31B2"/>
    <w:rsid w:val="002C5777"/>
    <w:rsid w:val="002C63EB"/>
    <w:rsid w:val="002C75C9"/>
    <w:rsid w:val="002C75EB"/>
    <w:rsid w:val="002C7D03"/>
    <w:rsid w:val="002D0B40"/>
    <w:rsid w:val="002D15D1"/>
    <w:rsid w:val="002D1E76"/>
    <w:rsid w:val="002D21A3"/>
    <w:rsid w:val="002D2CDC"/>
    <w:rsid w:val="002D480C"/>
    <w:rsid w:val="002D670E"/>
    <w:rsid w:val="002D67EB"/>
    <w:rsid w:val="002D7991"/>
    <w:rsid w:val="002D7B7F"/>
    <w:rsid w:val="002E0065"/>
    <w:rsid w:val="002E0ADE"/>
    <w:rsid w:val="002E1CD4"/>
    <w:rsid w:val="002E2F4B"/>
    <w:rsid w:val="002E374D"/>
    <w:rsid w:val="002E4B22"/>
    <w:rsid w:val="002E4EE7"/>
    <w:rsid w:val="002E6766"/>
    <w:rsid w:val="002E72EF"/>
    <w:rsid w:val="002F00E6"/>
    <w:rsid w:val="002F0B17"/>
    <w:rsid w:val="002F12DF"/>
    <w:rsid w:val="002F1C57"/>
    <w:rsid w:val="002F1FBE"/>
    <w:rsid w:val="002F486F"/>
    <w:rsid w:val="002F4A96"/>
    <w:rsid w:val="00300EE8"/>
    <w:rsid w:val="003033CF"/>
    <w:rsid w:val="00303BE0"/>
    <w:rsid w:val="00304D50"/>
    <w:rsid w:val="003053E3"/>
    <w:rsid w:val="0030572F"/>
    <w:rsid w:val="00306933"/>
    <w:rsid w:val="003069FF"/>
    <w:rsid w:val="0031074D"/>
    <w:rsid w:val="003107E1"/>
    <w:rsid w:val="00311898"/>
    <w:rsid w:val="00311EFE"/>
    <w:rsid w:val="00312F56"/>
    <w:rsid w:val="003139CE"/>
    <w:rsid w:val="00313F4D"/>
    <w:rsid w:val="00314958"/>
    <w:rsid w:val="00317BDE"/>
    <w:rsid w:val="00317FF4"/>
    <w:rsid w:val="00323761"/>
    <w:rsid w:val="00323E5B"/>
    <w:rsid w:val="00325168"/>
    <w:rsid w:val="00325D00"/>
    <w:rsid w:val="00326FC2"/>
    <w:rsid w:val="00327D0C"/>
    <w:rsid w:val="003307BC"/>
    <w:rsid w:val="00330EF8"/>
    <w:rsid w:val="00335276"/>
    <w:rsid w:val="0033559D"/>
    <w:rsid w:val="003374A9"/>
    <w:rsid w:val="00337DE5"/>
    <w:rsid w:val="003419D4"/>
    <w:rsid w:val="00341EC1"/>
    <w:rsid w:val="00342E10"/>
    <w:rsid w:val="00343152"/>
    <w:rsid w:val="00343F28"/>
    <w:rsid w:val="00346428"/>
    <w:rsid w:val="00346F16"/>
    <w:rsid w:val="00347DF2"/>
    <w:rsid w:val="00350BC4"/>
    <w:rsid w:val="00350C03"/>
    <w:rsid w:val="00351312"/>
    <w:rsid w:val="00351865"/>
    <w:rsid w:val="00351B7D"/>
    <w:rsid w:val="00351FD1"/>
    <w:rsid w:val="003547AD"/>
    <w:rsid w:val="00354BB0"/>
    <w:rsid w:val="0035740A"/>
    <w:rsid w:val="00357BDF"/>
    <w:rsid w:val="00361563"/>
    <w:rsid w:val="00361744"/>
    <w:rsid w:val="00362765"/>
    <w:rsid w:val="00363CEB"/>
    <w:rsid w:val="0036549B"/>
    <w:rsid w:val="0036553F"/>
    <w:rsid w:val="00366937"/>
    <w:rsid w:val="00367FED"/>
    <w:rsid w:val="0037088E"/>
    <w:rsid w:val="00374239"/>
    <w:rsid w:val="00374869"/>
    <w:rsid w:val="00375D8C"/>
    <w:rsid w:val="00377B2B"/>
    <w:rsid w:val="003804A1"/>
    <w:rsid w:val="003804ED"/>
    <w:rsid w:val="0038217F"/>
    <w:rsid w:val="0038276B"/>
    <w:rsid w:val="00384071"/>
    <w:rsid w:val="00384A0C"/>
    <w:rsid w:val="003851CC"/>
    <w:rsid w:val="00387D2A"/>
    <w:rsid w:val="00387FA5"/>
    <w:rsid w:val="003900FB"/>
    <w:rsid w:val="00392E9A"/>
    <w:rsid w:val="00393DEA"/>
    <w:rsid w:val="00394A93"/>
    <w:rsid w:val="00394D8C"/>
    <w:rsid w:val="00395175"/>
    <w:rsid w:val="003952EE"/>
    <w:rsid w:val="003A0C68"/>
    <w:rsid w:val="003A0EC8"/>
    <w:rsid w:val="003A3172"/>
    <w:rsid w:val="003A454F"/>
    <w:rsid w:val="003A4B4E"/>
    <w:rsid w:val="003A504D"/>
    <w:rsid w:val="003A5D99"/>
    <w:rsid w:val="003A5E85"/>
    <w:rsid w:val="003A70FF"/>
    <w:rsid w:val="003A78B0"/>
    <w:rsid w:val="003B0475"/>
    <w:rsid w:val="003B097D"/>
    <w:rsid w:val="003B0C39"/>
    <w:rsid w:val="003B27B9"/>
    <w:rsid w:val="003B37C1"/>
    <w:rsid w:val="003B3E92"/>
    <w:rsid w:val="003B5EB7"/>
    <w:rsid w:val="003B6E0A"/>
    <w:rsid w:val="003B7559"/>
    <w:rsid w:val="003C0ECB"/>
    <w:rsid w:val="003C24F5"/>
    <w:rsid w:val="003C4112"/>
    <w:rsid w:val="003C4AEF"/>
    <w:rsid w:val="003C62DC"/>
    <w:rsid w:val="003C7233"/>
    <w:rsid w:val="003D188B"/>
    <w:rsid w:val="003D2757"/>
    <w:rsid w:val="003D2887"/>
    <w:rsid w:val="003D29F2"/>
    <w:rsid w:val="003D438E"/>
    <w:rsid w:val="003D4BFF"/>
    <w:rsid w:val="003D7C0E"/>
    <w:rsid w:val="003E096C"/>
    <w:rsid w:val="003E2CF3"/>
    <w:rsid w:val="003E380C"/>
    <w:rsid w:val="003E4190"/>
    <w:rsid w:val="003E503C"/>
    <w:rsid w:val="003E5552"/>
    <w:rsid w:val="003F0756"/>
    <w:rsid w:val="003F13EE"/>
    <w:rsid w:val="003F2298"/>
    <w:rsid w:val="003F2F5E"/>
    <w:rsid w:val="003F7E5C"/>
    <w:rsid w:val="003F7F7D"/>
    <w:rsid w:val="00401182"/>
    <w:rsid w:val="00402954"/>
    <w:rsid w:val="00403377"/>
    <w:rsid w:val="004033D2"/>
    <w:rsid w:val="0040469C"/>
    <w:rsid w:val="00404884"/>
    <w:rsid w:val="00404B92"/>
    <w:rsid w:val="00407691"/>
    <w:rsid w:val="00407AF8"/>
    <w:rsid w:val="00410244"/>
    <w:rsid w:val="00410676"/>
    <w:rsid w:val="004112EE"/>
    <w:rsid w:val="00415738"/>
    <w:rsid w:val="00417BDE"/>
    <w:rsid w:val="004213B6"/>
    <w:rsid w:val="00422890"/>
    <w:rsid w:val="004249AC"/>
    <w:rsid w:val="00425111"/>
    <w:rsid w:val="00425666"/>
    <w:rsid w:val="0042588B"/>
    <w:rsid w:val="00426243"/>
    <w:rsid w:val="004339FD"/>
    <w:rsid w:val="004368B7"/>
    <w:rsid w:val="004369CF"/>
    <w:rsid w:val="0043748A"/>
    <w:rsid w:val="00443CB4"/>
    <w:rsid w:val="00443FE3"/>
    <w:rsid w:val="004461ED"/>
    <w:rsid w:val="00450C0C"/>
    <w:rsid w:val="0045140C"/>
    <w:rsid w:val="00453B90"/>
    <w:rsid w:val="0045430F"/>
    <w:rsid w:val="0045445E"/>
    <w:rsid w:val="00454D55"/>
    <w:rsid w:val="00455CAA"/>
    <w:rsid w:val="00456001"/>
    <w:rsid w:val="00457F59"/>
    <w:rsid w:val="00460EE0"/>
    <w:rsid w:val="00461053"/>
    <w:rsid w:val="00461396"/>
    <w:rsid w:val="0046226E"/>
    <w:rsid w:val="00462FB3"/>
    <w:rsid w:val="00463BEB"/>
    <w:rsid w:val="0046765C"/>
    <w:rsid w:val="00471266"/>
    <w:rsid w:val="00472FA2"/>
    <w:rsid w:val="0047462B"/>
    <w:rsid w:val="00475D26"/>
    <w:rsid w:val="00476C48"/>
    <w:rsid w:val="004776AE"/>
    <w:rsid w:val="00477ACA"/>
    <w:rsid w:val="0048002C"/>
    <w:rsid w:val="004821BF"/>
    <w:rsid w:val="00483517"/>
    <w:rsid w:val="00483B55"/>
    <w:rsid w:val="00483FA7"/>
    <w:rsid w:val="0048456C"/>
    <w:rsid w:val="00487465"/>
    <w:rsid w:val="004874D8"/>
    <w:rsid w:val="00487637"/>
    <w:rsid w:val="004907D0"/>
    <w:rsid w:val="0049108D"/>
    <w:rsid w:val="004934DA"/>
    <w:rsid w:val="00494DB2"/>
    <w:rsid w:val="0049647B"/>
    <w:rsid w:val="00497342"/>
    <w:rsid w:val="004A0526"/>
    <w:rsid w:val="004A207B"/>
    <w:rsid w:val="004A2267"/>
    <w:rsid w:val="004A2FBF"/>
    <w:rsid w:val="004A3569"/>
    <w:rsid w:val="004A3F60"/>
    <w:rsid w:val="004A5459"/>
    <w:rsid w:val="004A627E"/>
    <w:rsid w:val="004A675E"/>
    <w:rsid w:val="004A775E"/>
    <w:rsid w:val="004B1273"/>
    <w:rsid w:val="004B244C"/>
    <w:rsid w:val="004B34F4"/>
    <w:rsid w:val="004B4EB0"/>
    <w:rsid w:val="004B6B85"/>
    <w:rsid w:val="004C1F5A"/>
    <w:rsid w:val="004C29B3"/>
    <w:rsid w:val="004C3F0A"/>
    <w:rsid w:val="004C7198"/>
    <w:rsid w:val="004D0079"/>
    <w:rsid w:val="004D1917"/>
    <w:rsid w:val="004D1C6B"/>
    <w:rsid w:val="004D2214"/>
    <w:rsid w:val="004D2958"/>
    <w:rsid w:val="004D2A1F"/>
    <w:rsid w:val="004D2A23"/>
    <w:rsid w:val="004D3F77"/>
    <w:rsid w:val="004D4639"/>
    <w:rsid w:val="004D5495"/>
    <w:rsid w:val="004D56F4"/>
    <w:rsid w:val="004D7550"/>
    <w:rsid w:val="004E043F"/>
    <w:rsid w:val="004E053A"/>
    <w:rsid w:val="004E0ED6"/>
    <w:rsid w:val="004E1161"/>
    <w:rsid w:val="004E37F1"/>
    <w:rsid w:val="004E3C7F"/>
    <w:rsid w:val="004E452F"/>
    <w:rsid w:val="004E5F49"/>
    <w:rsid w:val="004E6658"/>
    <w:rsid w:val="004E68E1"/>
    <w:rsid w:val="004E7ADD"/>
    <w:rsid w:val="004E7FCD"/>
    <w:rsid w:val="004F18D3"/>
    <w:rsid w:val="004F35FD"/>
    <w:rsid w:val="004F6CD7"/>
    <w:rsid w:val="0050020E"/>
    <w:rsid w:val="00500DA2"/>
    <w:rsid w:val="00503099"/>
    <w:rsid w:val="00503214"/>
    <w:rsid w:val="005046AF"/>
    <w:rsid w:val="00504886"/>
    <w:rsid w:val="00504B93"/>
    <w:rsid w:val="00504D52"/>
    <w:rsid w:val="00506A24"/>
    <w:rsid w:val="00506B47"/>
    <w:rsid w:val="005077C5"/>
    <w:rsid w:val="0050792D"/>
    <w:rsid w:val="00510099"/>
    <w:rsid w:val="005115C2"/>
    <w:rsid w:val="005124E4"/>
    <w:rsid w:val="005148EA"/>
    <w:rsid w:val="00515783"/>
    <w:rsid w:val="00516F53"/>
    <w:rsid w:val="005178F8"/>
    <w:rsid w:val="005206E0"/>
    <w:rsid w:val="005215C1"/>
    <w:rsid w:val="00522EEC"/>
    <w:rsid w:val="00524C17"/>
    <w:rsid w:val="00527911"/>
    <w:rsid w:val="00527D8F"/>
    <w:rsid w:val="00530B9B"/>
    <w:rsid w:val="0053113C"/>
    <w:rsid w:val="005323CE"/>
    <w:rsid w:val="005334D5"/>
    <w:rsid w:val="00535E00"/>
    <w:rsid w:val="00536375"/>
    <w:rsid w:val="00537F7C"/>
    <w:rsid w:val="00541404"/>
    <w:rsid w:val="00542833"/>
    <w:rsid w:val="00543CD2"/>
    <w:rsid w:val="0054515C"/>
    <w:rsid w:val="00546AE2"/>
    <w:rsid w:val="00550E21"/>
    <w:rsid w:val="005510BE"/>
    <w:rsid w:val="005514CD"/>
    <w:rsid w:val="00551D0A"/>
    <w:rsid w:val="005531B3"/>
    <w:rsid w:val="0055381D"/>
    <w:rsid w:val="00554C01"/>
    <w:rsid w:val="0055558C"/>
    <w:rsid w:val="0055569F"/>
    <w:rsid w:val="00556009"/>
    <w:rsid w:val="005578F0"/>
    <w:rsid w:val="0056027E"/>
    <w:rsid w:val="00562028"/>
    <w:rsid w:val="00562189"/>
    <w:rsid w:val="00562846"/>
    <w:rsid w:val="005636C4"/>
    <w:rsid w:val="0056533A"/>
    <w:rsid w:val="005658CD"/>
    <w:rsid w:val="005671BE"/>
    <w:rsid w:val="005715D4"/>
    <w:rsid w:val="00577ED4"/>
    <w:rsid w:val="00581FBA"/>
    <w:rsid w:val="005851C7"/>
    <w:rsid w:val="00585DE9"/>
    <w:rsid w:val="00585F60"/>
    <w:rsid w:val="00586203"/>
    <w:rsid w:val="0058690D"/>
    <w:rsid w:val="00587BB5"/>
    <w:rsid w:val="005921F0"/>
    <w:rsid w:val="0059287D"/>
    <w:rsid w:val="00593317"/>
    <w:rsid w:val="005940B5"/>
    <w:rsid w:val="005965A1"/>
    <w:rsid w:val="0059672A"/>
    <w:rsid w:val="00596C6B"/>
    <w:rsid w:val="00596D37"/>
    <w:rsid w:val="005A0FA3"/>
    <w:rsid w:val="005A4AA8"/>
    <w:rsid w:val="005A6595"/>
    <w:rsid w:val="005A778F"/>
    <w:rsid w:val="005B03EE"/>
    <w:rsid w:val="005B1D33"/>
    <w:rsid w:val="005B2483"/>
    <w:rsid w:val="005B4E8F"/>
    <w:rsid w:val="005B5353"/>
    <w:rsid w:val="005B5D2D"/>
    <w:rsid w:val="005B6104"/>
    <w:rsid w:val="005B6DE9"/>
    <w:rsid w:val="005B7757"/>
    <w:rsid w:val="005C2D53"/>
    <w:rsid w:val="005C3393"/>
    <w:rsid w:val="005C3C11"/>
    <w:rsid w:val="005C400B"/>
    <w:rsid w:val="005D0363"/>
    <w:rsid w:val="005D17A6"/>
    <w:rsid w:val="005D296E"/>
    <w:rsid w:val="005D2A26"/>
    <w:rsid w:val="005D2BF2"/>
    <w:rsid w:val="005D7759"/>
    <w:rsid w:val="005E0B36"/>
    <w:rsid w:val="005E13A5"/>
    <w:rsid w:val="005E26AD"/>
    <w:rsid w:val="005E2BA8"/>
    <w:rsid w:val="005E3258"/>
    <w:rsid w:val="005E3785"/>
    <w:rsid w:val="005E37D1"/>
    <w:rsid w:val="005E3B0D"/>
    <w:rsid w:val="005E3E5B"/>
    <w:rsid w:val="005E438C"/>
    <w:rsid w:val="005E606A"/>
    <w:rsid w:val="005E68D7"/>
    <w:rsid w:val="005E7038"/>
    <w:rsid w:val="005F06A6"/>
    <w:rsid w:val="005F1AD6"/>
    <w:rsid w:val="005F4196"/>
    <w:rsid w:val="005F561C"/>
    <w:rsid w:val="00600603"/>
    <w:rsid w:val="00600A8F"/>
    <w:rsid w:val="0060254E"/>
    <w:rsid w:val="006029E7"/>
    <w:rsid w:val="006041E2"/>
    <w:rsid w:val="00605B4D"/>
    <w:rsid w:val="00605EB8"/>
    <w:rsid w:val="0060744F"/>
    <w:rsid w:val="00607E90"/>
    <w:rsid w:val="00610D8D"/>
    <w:rsid w:val="00611096"/>
    <w:rsid w:val="0061265D"/>
    <w:rsid w:val="00612774"/>
    <w:rsid w:val="006127FA"/>
    <w:rsid w:val="00613497"/>
    <w:rsid w:val="00613DFD"/>
    <w:rsid w:val="006140CA"/>
    <w:rsid w:val="006143E4"/>
    <w:rsid w:val="00616547"/>
    <w:rsid w:val="00617253"/>
    <w:rsid w:val="00620B41"/>
    <w:rsid w:val="0062233D"/>
    <w:rsid w:val="0062264F"/>
    <w:rsid w:val="00623656"/>
    <w:rsid w:val="00625087"/>
    <w:rsid w:val="00625149"/>
    <w:rsid w:val="006251A1"/>
    <w:rsid w:val="0062538B"/>
    <w:rsid w:val="00627950"/>
    <w:rsid w:val="00627A74"/>
    <w:rsid w:val="006303EE"/>
    <w:rsid w:val="006308E1"/>
    <w:rsid w:val="00631A14"/>
    <w:rsid w:val="006321C9"/>
    <w:rsid w:val="00633A68"/>
    <w:rsid w:val="00634C98"/>
    <w:rsid w:val="0063560E"/>
    <w:rsid w:val="00636D8F"/>
    <w:rsid w:val="006375A3"/>
    <w:rsid w:val="00640BB9"/>
    <w:rsid w:val="00640C9A"/>
    <w:rsid w:val="00640CF4"/>
    <w:rsid w:val="006412AC"/>
    <w:rsid w:val="00641776"/>
    <w:rsid w:val="0064254E"/>
    <w:rsid w:val="006428F6"/>
    <w:rsid w:val="00643321"/>
    <w:rsid w:val="00644B33"/>
    <w:rsid w:val="00644E0C"/>
    <w:rsid w:val="00646B27"/>
    <w:rsid w:val="00647315"/>
    <w:rsid w:val="00647CBC"/>
    <w:rsid w:val="00651684"/>
    <w:rsid w:val="00651905"/>
    <w:rsid w:val="0065286A"/>
    <w:rsid w:val="006538A0"/>
    <w:rsid w:val="00654CEE"/>
    <w:rsid w:val="006558EB"/>
    <w:rsid w:val="00655A6E"/>
    <w:rsid w:val="00655A89"/>
    <w:rsid w:val="00656076"/>
    <w:rsid w:val="0065633B"/>
    <w:rsid w:val="006600F8"/>
    <w:rsid w:val="0066087C"/>
    <w:rsid w:val="00661571"/>
    <w:rsid w:val="00662981"/>
    <w:rsid w:val="00662CBD"/>
    <w:rsid w:val="006636D5"/>
    <w:rsid w:val="00663B5C"/>
    <w:rsid w:val="0067049D"/>
    <w:rsid w:val="006708A1"/>
    <w:rsid w:val="0067091C"/>
    <w:rsid w:val="006748B3"/>
    <w:rsid w:val="00674945"/>
    <w:rsid w:val="00674A40"/>
    <w:rsid w:val="00675493"/>
    <w:rsid w:val="00675681"/>
    <w:rsid w:val="00675BAC"/>
    <w:rsid w:val="00675D1B"/>
    <w:rsid w:val="00676039"/>
    <w:rsid w:val="00676343"/>
    <w:rsid w:val="006764C1"/>
    <w:rsid w:val="00676D49"/>
    <w:rsid w:val="0068075C"/>
    <w:rsid w:val="00681D64"/>
    <w:rsid w:val="00683EE2"/>
    <w:rsid w:val="0068695E"/>
    <w:rsid w:val="00691072"/>
    <w:rsid w:val="006912E1"/>
    <w:rsid w:val="00691475"/>
    <w:rsid w:val="0069188A"/>
    <w:rsid w:val="006931E5"/>
    <w:rsid w:val="0069376A"/>
    <w:rsid w:val="00694C90"/>
    <w:rsid w:val="00694CA6"/>
    <w:rsid w:val="006A035D"/>
    <w:rsid w:val="006A0510"/>
    <w:rsid w:val="006A2543"/>
    <w:rsid w:val="006A27C8"/>
    <w:rsid w:val="006A3D03"/>
    <w:rsid w:val="006A471C"/>
    <w:rsid w:val="006A69D6"/>
    <w:rsid w:val="006A6C78"/>
    <w:rsid w:val="006A7AF5"/>
    <w:rsid w:val="006B0F92"/>
    <w:rsid w:val="006B286C"/>
    <w:rsid w:val="006B293B"/>
    <w:rsid w:val="006B2A76"/>
    <w:rsid w:val="006B2E63"/>
    <w:rsid w:val="006B4BC1"/>
    <w:rsid w:val="006B5496"/>
    <w:rsid w:val="006B5965"/>
    <w:rsid w:val="006B6E43"/>
    <w:rsid w:val="006B7375"/>
    <w:rsid w:val="006B7619"/>
    <w:rsid w:val="006C09E1"/>
    <w:rsid w:val="006C0D2B"/>
    <w:rsid w:val="006C10CF"/>
    <w:rsid w:val="006C180C"/>
    <w:rsid w:val="006C3217"/>
    <w:rsid w:val="006C534D"/>
    <w:rsid w:val="006C57E2"/>
    <w:rsid w:val="006C7AED"/>
    <w:rsid w:val="006D05F7"/>
    <w:rsid w:val="006D0971"/>
    <w:rsid w:val="006D0A03"/>
    <w:rsid w:val="006D2223"/>
    <w:rsid w:val="006D2C6A"/>
    <w:rsid w:val="006D3470"/>
    <w:rsid w:val="006D4410"/>
    <w:rsid w:val="006D4C58"/>
    <w:rsid w:val="006D4CB2"/>
    <w:rsid w:val="006D5B56"/>
    <w:rsid w:val="006D5F4C"/>
    <w:rsid w:val="006D6549"/>
    <w:rsid w:val="006E1B1F"/>
    <w:rsid w:val="006E369B"/>
    <w:rsid w:val="006E6E84"/>
    <w:rsid w:val="006E71FC"/>
    <w:rsid w:val="006E76AE"/>
    <w:rsid w:val="006E7E73"/>
    <w:rsid w:val="006F135E"/>
    <w:rsid w:val="006F22EA"/>
    <w:rsid w:val="006F2E53"/>
    <w:rsid w:val="006F3E56"/>
    <w:rsid w:val="0070065A"/>
    <w:rsid w:val="0070117A"/>
    <w:rsid w:val="00704B43"/>
    <w:rsid w:val="00707C55"/>
    <w:rsid w:val="00707EC7"/>
    <w:rsid w:val="00710000"/>
    <w:rsid w:val="00710B67"/>
    <w:rsid w:val="00710C86"/>
    <w:rsid w:val="00710FC8"/>
    <w:rsid w:val="00711F0C"/>
    <w:rsid w:val="007133E4"/>
    <w:rsid w:val="00713536"/>
    <w:rsid w:val="00716491"/>
    <w:rsid w:val="007166C9"/>
    <w:rsid w:val="00716F93"/>
    <w:rsid w:val="007174C7"/>
    <w:rsid w:val="007178B7"/>
    <w:rsid w:val="00720A2B"/>
    <w:rsid w:val="007219E9"/>
    <w:rsid w:val="00723F88"/>
    <w:rsid w:val="00725E8F"/>
    <w:rsid w:val="00727AB4"/>
    <w:rsid w:val="00731E12"/>
    <w:rsid w:val="00732817"/>
    <w:rsid w:val="007339E7"/>
    <w:rsid w:val="0073435F"/>
    <w:rsid w:val="00736A52"/>
    <w:rsid w:val="00740116"/>
    <w:rsid w:val="007420F3"/>
    <w:rsid w:val="0074251A"/>
    <w:rsid w:val="00742CAB"/>
    <w:rsid w:val="00742DE9"/>
    <w:rsid w:val="0074354B"/>
    <w:rsid w:val="007450E9"/>
    <w:rsid w:val="007473DA"/>
    <w:rsid w:val="007479F5"/>
    <w:rsid w:val="00747C00"/>
    <w:rsid w:val="007515BB"/>
    <w:rsid w:val="00751627"/>
    <w:rsid w:val="007521F3"/>
    <w:rsid w:val="00752B19"/>
    <w:rsid w:val="007538EC"/>
    <w:rsid w:val="00754A1B"/>
    <w:rsid w:val="00755A37"/>
    <w:rsid w:val="00755B0A"/>
    <w:rsid w:val="00755C75"/>
    <w:rsid w:val="007569DB"/>
    <w:rsid w:val="0076022E"/>
    <w:rsid w:val="0076030D"/>
    <w:rsid w:val="00760E87"/>
    <w:rsid w:val="0076177D"/>
    <w:rsid w:val="00762837"/>
    <w:rsid w:val="00763531"/>
    <w:rsid w:val="00763598"/>
    <w:rsid w:val="00764019"/>
    <w:rsid w:val="00764073"/>
    <w:rsid w:val="007641AD"/>
    <w:rsid w:val="007669D0"/>
    <w:rsid w:val="00767E9D"/>
    <w:rsid w:val="00770947"/>
    <w:rsid w:val="00771367"/>
    <w:rsid w:val="007716EE"/>
    <w:rsid w:val="0077199D"/>
    <w:rsid w:val="00772ABA"/>
    <w:rsid w:val="00774377"/>
    <w:rsid w:val="007777BD"/>
    <w:rsid w:val="007820F2"/>
    <w:rsid w:val="0078381C"/>
    <w:rsid w:val="007844C8"/>
    <w:rsid w:val="00784B15"/>
    <w:rsid w:val="00785497"/>
    <w:rsid w:val="0078610C"/>
    <w:rsid w:val="00787B59"/>
    <w:rsid w:val="0079035D"/>
    <w:rsid w:val="007913EA"/>
    <w:rsid w:val="007916F7"/>
    <w:rsid w:val="007932DC"/>
    <w:rsid w:val="00793987"/>
    <w:rsid w:val="007955D0"/>
    <w:rsid w:val="00796A73"/>
    <w:rsid w:val="00796E4D"/>
    <w:rsid w:val="0079767E"/>
    <w:rsid w:val="00797742"/>
    <w:rsid w:val="007A0D07"/>
    <w:rsid w:val="007A2E87"/>
    <w:rsid w:val="007A44FA"/>
    <w:rsid w:val="007A4751"/>
    <w:rsid w:val="007B44F4"/>
    <w:rsid w:val="007B5A33"/>
    <w:rsid w:val="007B6597"/>
    <w:rsid w:val="007B692D"/>
    <w:rsid w:val="007B72C1"/>
    <w:rsid w:val="007C068D"/>
    <w:rsid w:val="007C0CAB"/>
    <w:rsid w:val="007C1B21"/>
    <w:rsid w:val="007C1BEE"/>
    <w:rsid w:val="007C1D90"/>
    <w:rsid w:val="007C20EE"/>
    <w:rsid w:val="007C569A"/>
    <w:rsid w:val="007C7A70"/>
    <w:rsid w:val="007D025D"/>
    <w:rsid w:val="007D0C38"/>
    <w:rsid w:val="007D1752"/>
    <w:rsid w:val="007D1B35"/>
    <w:rsid w:val="007D23A8"/>
    <w:rsid w:val="007D3149"/>
    <w:rsid w:val="007D4BD9"/>
    <w:rsid w:val="007D4EA2"/>
    <w:rsid w:val="007D5456"/>
    <w:rsid w:val="007D6D21"/>
    <w:rsid w:val="007D6F7D"/>
    <w:rsid w:val="007D7ED3"/>
    <w:rsid w:val="007E0140"/>
    <w:rsid w:val="007E01DB"/>
    <w:rsid w:val="007E2F0A"/>
    <w:rsid w:val="007E54F4"/>
    <w:rsid w:val="007E57FA"/>
    <w:rsid w:val="007E6196"/>
    <w:rsid w:val="007E74FF"/>
    <w:rsid w:val="007F03C3"/>
    <w:rsid w:val="007F198F"/>
    <w:rsid w:val="007F1D10"/>
    <w:rsid w:val="007F1D37"/>
    <w:rsid w:val="007F26CA"/>
    <w:rsid w:val="007F2F06"/>
    <w:rsid w:val="007F34E4"/>
    <w:rsid w:val="007F70CD"/>
    <w:rsid w:val="007F76EB"/>
    <w:rsid w:val="0080012F"/>
    <w:rsid w:val="0080093A"/>
    <w:rsid w:val="008043AC"/>
    <w:rsid w:val="00804F8C"/>
    <w:rsid w:val="00804F93"/>
    <w:rsid w:val="00806658"/>
    <w:rsid w:val="008073FB"/>
    <w:rsid w:val="008117EC"/>
    <w:rsid w:val="00811B74"/>
    <w:rsid w:val="00812844"/>
    <w:rsid w:val="00812BE0"/>
    <w:rsid w:val="00814BE2"/>
    <w:rsid w:val="008156CC"/>
    <w:rsid w:val="00815A41"/>
    <w:rsid w:val="00815BFE"/>
    <w:rsid w:val="00816277"/>
    <w:rsid w:val="008170D5"/>
    <w:rsid w:val="00820752"/>
    <w:rsid w:val="00822783"/>
    <w:rsid w:val="00823323"/>
    <w:rsid w:val="00824028"/>
    <w:rsid w:val="00824079"/>
    <w:rsid w:val="0082509D"/>
    <w:rsid w:val="00825D96"/>
    <w:rsid w:val="00825E14"/>
    <w:rsid w:val="00825F80"/>
    <w:rsid w:val="0083023B"/>
    <w:rsid w:val="00830DE8"/>
    <w:rsid w:val="00832328"/>
    <w:rsid w:val="00832457"/>
    <w:rsid w:val="008324C9"/>
    <w:rsid w:val="008325A7"/>
    <w:rsid w:val="008330D8"/>
    <w:rsid w:val="00834459"/>
    <w:rsid w:val="008346D5"/>
    <w:rsid w:val="0083505B"/>
    <w:rsid w:val="00841516"/>
    <w:rsid w:val="008431E0"/>
    <w:rsid w:val="008436BA"/>
    <w:rsid w:val="008446E5"/>
    <w:rsid w:val="00845CCF"/>
    <w:rsid w:val="008461C6"/>
    <w:rsid w:val="0084740B"/>
    <w:rsid w:val="00850295"/>
    <w:rsid w:val="008548BD"/>
    <w:rsid w:val="0085595A"/>
    <w:rsid w:val="00860764"/>
    <w:rsid w:val="00860AF1"/>
    <w:rsid w:val="00860C8D"/>
    <w:rsid w:val="00864C39"/>
    <w:rsid w:val="00865380"/>
    <w:rsid w:val="008656B6"/>
    <w:rsid w:val="00865AF7"/>
    <w:rsid w:val="00865B9C"/>
    <w:rsid w:val="00865BCA"/>
    <w:rsid w:val="00865E55"/>
    <w:rsid w:val="00866814"/>
    <w:rsid w:val="0086692D"/>
    <w:rsid w:val="008719FE"/>
    <w:rsid w:val="00873816"/>
    <w:rsid w:val="00873F76"/>
    <w:rsid w:val="00874981"/>
    <w:rsid w:val="00874CA6"/>
    <w:rsid w:val="008801FD"/>
    <w:rsid w:val="00881E82"/>
    <w:rsid w:val="00882522"/>
    <w:rsid w:val="00884425"/>
    <w:rsid w:val="00885B8E"/>
    <w:rsid w:val="00885FA6"/>
    <w:rsid w:val="00886378"/>
    <w:rsid w:val="00887292"/>
    <w:rsid w:val="008906CF"/>
    <w:rsid w:val="00890902"/>
    <w:rsid w:val="0089148B"/>
    <w:rsid w:val="0089197E"/>
    <w:rsid w:val="00892525"/>
    <w:rsid w:val="008937E5"/>
    <w:rsid w:val="008939AF"/>
    <w:rsid w:val="00894BEF"/>
    <w:rsid w:val="008A06BD"/>
    <w:rsid w:val="008A095F"/>
    <w:rsid w:val="008A18C2"/>
    <w:rsid w:val="008A1ED2"/>
    <w:rsid w:val="008A2BF8"/>
    <w:rsid w:val="008A3787"/>
    <w:rsid w:val="008A3D5F"/>
    <w:rsid w:val="008B09A5"/>
    <w:rsid w:val="008B1AE5"/>
    <w:rsid w:val="008B1FD0"/>
    <w:rsid w:val="008B4C7E"/>
    <w:rsid w:val="008B5D87"/>
    <w:rsid w:val="008B6B41"/>
    <w:rsid w:val="008B78B8"/>
    <w:rsid w:val="008B7E38"/>
    <w:rsid w:val="008C1BAC"/>
    <w:rsid w:val="008C26D8"/>
    <w:rsid w:val="008C29E7"/>
    <w:rsid w:val="008C3A0B"/>
    <w:rsid w:val="008C481E"/>
    <w:rsid w:val="008C4DE5"/>
    <w:rsid w:val="008C6451"/>
    <w:rsid w:val="008C6968"/>
    <w:rsid w:val="008C7EA1"/>
    <w:rsid w:val="008D0915"/>
    <w:rsid w:val="008D1FD4"/>
    <w:rsid w:val="008D6A73"/>
    <w:rsid w:val="008D7232"/>
    <w:rsid w:val="008E205A"/>
    <w:rsid w:val="008E2D24"/>
    <w:rsid w:val="008E2D64"/>
    <w:rsid w:val="008E30D9"/>
    <w:rsid w:val="008E35C1"/>
    <w:rsid w:val="008E5C4B"/>
    <w:rsid w:val="008E6670"/>
    <w:rsid w:val="008E7879"/>
    <w:rsid w:val="008F0118"/>
    <w:rsid w:val="008F030B"/>
    <w:rsid w:val="008F06AC"/>
    <w:rsid w:val="008F0BF0"/>
    <w:rsid w:val="008F30D3"/>
    <w:rsid w:val="008F38EF"/>
    <w:rsid w:val="008F4B05"/>
    <w:rsid w:val="008F550E"/>
    <w:rsid w:val="008F6B16"/>
    <w:rsid w:val="008F7629"/>
    <w:rsid w:val="008F7B85"/>
    <w:rsid w:val="008F7CC8"/>
    <w:rsid w:val="009017AC"/>
    <w:rsid w:val="00904060"/>
    <w:rsid w:val="00904507"/>
    <w:rsid w:val="00904E62"/>
    <w:rsid w:val="00906672"/>
    <w:rsid w:val="00906868"/>
    <w:rsid w:val="009068A0"/>
    <w:rsid w:val="00907C65"/>
    <w:rsid w:val="009102D6"/>
    <w:rsid w:val="009125C0"/>
    <w:rsid w:val="0091505A"/>
    <w:rsid w:val="00916096"/>
    <w:rsid w:val="009160D3"/>
    <w:rsid w:val="00917A9F"/>
    <w:rsid w:val="00920666"/>
    <w:rsid w:val="00921BA2"/>
    <w:rsid w:val="00921D9C"/>
    <w:rsid w:val="00923FC6"/>
    <w:rsid w:val="0092494C"/>
    <w:rsid w:val="0093034F"/>
    <w:rsid w:val="0093262D"/>
    <w:rsid w:val="00932BE8"/>
    <w:rsid w:val="0093365C"/>
    <w:rsid w:val="00933DF5"/>
    <w:rsid w:val="00933E26"/>
    <w:rsid w:val="0093456C"/>
    <w:rsid w:val="00935FCB"/>
    <w:rsid w:val="00936AA5"/>
    <w:rsid w:val="00941C11"/>
    <w:rsid w:val="00942097"/>
    <w:rsid w:val="00942D26"/>
    <w:rsid w:val="009450C8"/>
    <w:rsid w:val="009473C3"/>
    <w:rsid w:val="009479D7"/>
    <w:rsid w:val="00952EF6"/>
    <w:rsid w:val="009544A5"/>
    <w:rsid w:val="009609CC"/>
    <w:rsid w:val="00961141"/>
    <w:rsid w:val="009615AE"/>
    <w:rsid w:val="0096162A"/>
    <w:rsid w:val="0096362C"/>
    <w:rsid w:val="00963EBB"/>
    <w:rsid w:val="00964B74"/>
    <w:rsid w:val="00964DAF"/>
    <w:rsid w:val="009701C1"/>
    <w:rsid w:val="00970DDA"/>
    <w:rsid w:val="00972568"/>
    <w:rsid w:val="00973854"/>
    <w:rsid w:val="00974462"/>
    <w:rsid w:val="00974D4B"/>
    <w:rsid w:val="00975467"/>
    <w:rsid w:val="009809A7"/>
    <w:rsid w:val="00980FC4"/>
    <w:rsid w:val="0098155D"/>
    <w:rsid w:val="00983393"/>
    <w:rsid w:val="00983CAD"/>
    <w:rsid w:val="00986868"/>
    <w:rsid w:val="00986F76"/>
    <w:rsid w:val="00986F8C"/>
    <w:rsid w:val="00992218"/>
    <w:rsid w:val="00995DDF"/>
    <w:rsid w:val="00997BC4"/>
    <w:rsid w:val="009A01E5"/>
    <w:rsid w:val="009A1660"/>
    <w:rsid w:val="009A1CA3"/>
    <w:rsid w:val="009A223C"/>
    <w:rsid w:val="009A2E2D"/>
    <w:rsid w:val="009A3B02"/>
    <w:rsid w:val="009B0652"/>
    <w:rsid w:val="009B14E9"/>
    <w:rsid w:val="009B1835"/>
    <w:rsid w:val="009B2138"/>
    <w:rsid w:val="009B2311"/>
    <w:rsid w:val="009B2664"/>
    <w:rsid w:val="009B47CB"/>
    <w:rsid w:val="009C1FB1"/>
    <w:rsid w:val="009C44D0"/>
    <w:rsid w:val="009C4F1B"/>
    <w:rsid w:val="009C5EDB"/>
    <w:rsid w:val="009C60BA"/>
    <w:rsid w:val="009C6D15"/>
    <w:rsid w:val="009C70EE"/>
    <w:rsid w:val="009C7DB5"/>
    <w:rsid w:val="009D10F3"/>
    <w:rsid w:val="009D1B15"/>
    <w:rsid w:val="009D2585"/>
    <w:rsid w:val="009D2DC6"/>
    <w:rsid w:val="009D3BB1"/>
    <w:rsid w:val="009D3E8E"/>
    <w:rsid w:val="009D41E1"/>
    <w:rsid w:val="009D490A"/>
    <w:rsid w:val="009D5F91"/>
    <w:rsid w:val="009E004B"/>
    <w:rsid w:val="009E14AC"/>
    <w:rsid w:val="009E1A6B"/>
    <w:rsid w:val="009E1E11"/>
    <w:rsid w:val="009E1F58"/>
    <w:rsid w:val="009E3A6A"/>
    <w:rsid w:val="009E4DD4"/>
    <w:rsid w:val="009E6B08"/>
    <w:rsid w:val="009E6E6D"/>
    <w:rsid w:val="009E79C4"/>
    <w:rsid w:val="009F1F03"/>
    <w:rsid w:val="009F1FB3"/>
    <w:rsid w:val="009F3772"/>
    <w:rsid w:val="009F3861"/>
    <w:rsid w:val="009F41D3"/>
    <w:rsid w:val="009F5178"/>
    <w:rsid w:val="009F66E5"/>
    <w:rsid w:val="00A00166"/>
    <w:rsid w:val="00A00A9A"/>
    <w:rsid w:val="00A00AFD"/>
    <w:rsid w:val="00A00E2A"/>
    <w:rsid w:val="00A01064"/>
    <w:rsid w:val="00A03C3A"/>
    <w:rsid w:val="00A0492E"/>
    <w:rsid w:val="00A0673D"/>
    <w:rsid w:val="00A11969"/>
    <w:rsid w:val="00A11B6A"/>
    <w:rsid w:val="00A12ACE"/>
    <w:rsid w:val="00A12EEA"/>
    <w:rsid w:val="00A12F25"/>
    <w:rsid w:val="00A1354B"/>
    <w:rsid w:val="00A14C96"/>
    <w:rsid w:val="00A15251"/>
    <w:rsid w:val="00A17C01"/>
    <w:rsid w:val="00A22AE2"/>
    <w:rsid w:val="00A23AD9"/>
    <w:rsid w:val="00A2411A"/>
    <w:rsid w:val="00A266C5"/>
    <w:rsid w:val="00A27401"/>
    <w:rsid w:val="00A277D6"/>
    <w:rsid w:val="00A27961"/>
    <w:rsid w:val="00A30896"/>
    <w:rsid w:val="00A3104A"/>
    <w:rsid w:val="00A31C8E"/>
    <w:rsid w:val="00A352AA"/>
    <w:rsid w:val="00A37327"/>
    <w:rsid w:val="00A37BE3"/>
    <w:rsid w:val="00A40A54"/>
    <w:rsid w:val="00A41A09"/>
    <w:rsid w:val="00A41B90"/>
    <w:rsid w:val="00A435B6"/>
    <w:rsid w:val="00A44E1E"/>
    <w:rsid w:val="00A44E25"/>
    <w:rsid w:val="00A50D92"/>
    <w:rsid w:val="00A527F0"/>
    <w:rsid w:val="00A53A0A"/>
    <w:rsid w:val="00A54572"/>
    <w:rsid w:val="00A559E8"/>
    <w:rsid w:val="00A57F0D"/>
    <w:rsid w:val="00A601B9"/>
    <w:rsid w:val="00A60BE6"/>
    <w:rsid w:val="00A6390A"/>
    <w:rsid w:val="00A64A72"/>
    <w:rsid w:val="00A666D0"/>
    <w:rsid w:val="00A671B3"/>
    <w:rsid w:val="00A672C4"/>
    <w:rsid w:val="00A67C93"/>
    <w:rsid w:val="00A714A5"/>
    <w:rsid w:val="00A7208C"/>
    <w:rsid w:val="00A720E0"/>
    <w:rsid w:val="00A73737"/>
    <w:rsid w:val="00A74BDC"/>
    <w:rsid w:val="00A7541B"/>
    <w:rsid w:val="00A75F7F"/>
    <w:rsid w:val="00A77107"/>
    <w:rsid w:val="00A77BB0"/>
    <w:rsid w:val="00A802BF"/>
    <w:rsid w:val="00A80760"/>
    <w:rsid w:val="00A80EA7"/>
    <w:rsid w:val="00A81FBC"/>
    <w:rsid w:val="00A824ED"/>
    <w:rsid w:val="00A82669"/>
    <w:rsid w:val="00A8301C"/>
    <w:rsid w:val="00A8306F"/>
    <w:rsid w:val="00A83897"/>
    <w:rsid w:val="00A847C6"/>
    <w:rsid w:val="00A847D9"/>
    <w:rsid w:val="00A84A5A"/>
    <w:rsid w:val="00A8660A"/>
    <w:rsid w:val="00A86D62"/>
    <w:rsid w:val="00A87EE3"/>
    <w:rsid w:val="00A90406"/>
    <w:rsid w:val="00A90739"/>
    <w:rsid w:val="00A908BD"/>
    <w:rsid w:val="00A91B10"/>
    <w:rsid w:val="00A92925"/>
    <w:rsid w:val="00A9345C"/>
    <w:rsid w:val="00A934C7"/>
    <w:rsid w:val="00A9581B"/>
    <w:rsid w:val="00A95A62"/>
    <w:rsid w:val="00A95E0F"/>
    <w:rsid w:val="00A961BB"/>
    <w:rsid w:val="00A96BBC"/>
    <w:rsid w:val="00A96F43"/>
    <w:rsid w:val="00A9707B"/>
    <w:rsid w:val="00AA0286"/>
    <w:rsid w:val="00AA079C"/>
    <w:rsid w:val="00AA15F5"/>
    <w:rsid w:val="00AA1749"/>
    <w:rsid w:val="00AA19E1"/>
    <w:rsid w:val="00AA298F"/>
    <w:rsid w:val="00AA43B3"/>
    <w:rsid w:val="00AB0992"/>
    <w:rsid w:val="00AB109F"/>
    <w:rsid w:val="00AB33B2"/>
    <w:rsid w:val="00AB4300"/>
    <w:rsid w:val="00AB6CB9"/>
    <w:rsid w:val="00AB7CB0"/>
    <w:rsid w:val="00AC097D"/>
    <w:rsid w:val="00AC0C3D"/>
    <w:rsid w:val="00AC0D9B"/>
    <w:rsid w:val="00AC11A0"/>
    <w:rsid w:val="00AC12A4"/>
    <w:rsid w:val="00AC3331"/>
    <w:rsid w:val="00AC3F5C"/>
    <w:rsid w:val="00AD0A51"/>
    <w:rsid w:val="00AD1322"/>
    <w:rsid w:val="00AD1B5A"/>
    <w:rsid w:val="00AD213C"/>
    <w:rsid w:val="00AD41F5"/>
    <w:rsid w:val="00AD57E1"/>
    <w:rsid w:val="00AD5AB3"/>
    <w:rsid w:val="00AD5BA3"/>
    <w:rsid w:val="00AD629C"/>
    <w:rsid w:val="00AD6F75"/>
    <w:rsid w:val="00AD786A"/>
    <w:rsid w:val="00AE097A"/>
    <w:rsid w:val="00AE1B4D"/>
    <w:rsid w:val="00AE1D49"/>
    <w:rsid w:val="00AE2275"/>
    <w:rsid w:val="00AE2957"/>
    <w:rsid w:val="00AE36A4"/>
    <w:rsid w:val="00AE4AF9"/>
    <w:rsid w:val="00AE5748"/>
    <w:rsid w:val="00AE6690"/>
    <w:rsid w:val="00AE66C1"/>
    <w:rsid w:val="00AE6F31"/>
    <w:rsid w:val="00AE73D4"/>
    <w:rsid w:val="00AF3F2B"/>
    <w:rsid w:val="00AF53FC"/>
    <w:rsid w:val="00B0000E"/>
    <w:rsid w:val="00B017FB"/>
    <w:rsid w:val="00B01A0C"/>
    <w:rsid w:val="00B04828"/>
    <w:rsid w:val="00B0509A"/>
    <w:rsid w:val="00B051FC"/>
    <w:rsid w:val="00B0554C"/>
    <w:rsid w:val="00B05652"/>
    <w:rsid w:val="00B062D7"/>
    <w:rsid w:val="00B077F5"/>
    <w:rsid w:val="00B07DC2"/>
    <w:rsid w:val="00B100BC"/>
    <w:rsid w:val="00B112C2"/>
    <w:rsid w:val="00B11F70"/>
    <w:rsid w:val="00B13996"/>
    <w:rsid w:val="00B15581"/>
    <w:rsid w:val="00B158B3"/>
    <w:rsid w:val="00B16B8E"/>
    <w:rsid w:val="00B2123B"/>
    <w:rsid w:val="00B23C7D"/>
    <w:rsid w:val="00B24398"/>
    <w:rsid w:val="00B24665"/>
    <w:rsid w:val="00B261CC"/>
    <w:rsid w:val="00B261ED"/>
    <w:rsid w:val="00B26EA0"/>
    <w:rsid w:val="00B272CE"/>
    <w:rsid w:val="00B305B5"/>
    <w:rsid w:val="00B309A3"/>
    <w:rsid w:val="00B30F7D"/>
    <w:rsid w:val="00B32046"/>
    <w:rsid w:val="00B325E4"/>
    <w:rsid w:val="00B32879"/>
    <w:rsid w:val="00B33C8D"/>
    <w:rsid w:val="00B33FA4"/>
    <w:rsid w:val="00B36A2A"/>
    <w:rsid w:val="00B37563"/>
    <w:rsid w:val="00B40650"/>
    <w:rsid w:val="00B41854"/>
    <w:rsid w:val="00B42319"/>
    <w:rsid w:val="00B42493"/>
    <w:rsid w:val="00B4559F"/>
    <w:rsid w:val="00B455C0"/>
    <w:rsid w:val="00B45CEB"/>
    <w:rsid w:val="00B4691C"/>
    <w:rsid w:val="00B50235"/>
    <w:rsid w:val="00B50BA1"/>
    <w:rsid w:val="00B51832"/>
    <w:rsid w:val="00B51EE8"/>
    <w:rsid w:val="00B52096"/>
    <w:rsid w:val="00B53BFE"/>
    <w:rsid w:val="00B5416C"/>
    <w:rsid w:val="00B543E2"/>
    <w:rsid w:val="00B54510"/>
    <w:rsid w:val="00B565FC"/>
    <w:rsid w:val="00B56A6C"/>
    <w:rsid w:val="00B56B7A"/>
    <w:rsid w:val="00B57313"/>
    <w:rsid w:val="00B57C87"/>
    <w:rsid w:val="00B57EB5"/>
    <w:rsid w:val="00B60B38"/>
    <w:rsid w:val="00B6290F"/>
    <w:rsid w:val="00B63EE3"/>
    <w:rsid w:val="00B643A9"/>
    <w:rsid w:val="00B64C06"/>
    <w:rsid w:val="00B64E31"/>
    <w:rsid w:val="00B65CA7"/>
    <w:rsid w:val="00B66447"/>
    <w:rsid w:val="00B66744"/>
    <w:rsid w:val="00B67546"/>
    <w:rsid w:val="00B677DA"/>
    <w:rsid w:val="00B70092"/>
    <w:rsid w:val="00B70427"/>
    <w:rsid w:val="00B72255"/>
    <w:rsid w:val="00B72893"/>
    <w:rsid w:val="00B72B21"/>
    <w:rsid w:val="00B72C22"/>
    <w:rsid w:val="00B733B5"/>
    <w:rsid w:val="00B81014"/>
    <w:rsid w:val="00B81474"/>
    <w:rsid w:val="00B829F1"/>
    <w:rsid w:val="00B83878"/>
    <w:rsid w:val="00B84732"/>
    <w:rsid w:val="00B84772"/>
    <w:rsid w:val="00B86AF1"/>
    <w:rsid w:val="00B910BE"/>
    <w:rsid w:val="00B93A5C"/>
    <w:rsid w:val="00B93B45"/>
    <w:rsid w:val="00B94867"/>
    <w:rsid w:val="00B961BD"/>
    <w:rsid w:val="00B97223"/>
    <w:rsid w:val="00BA0B8E"/>
    <w:rsid w:val="00BA1CB4"/>
    <w:rsid w:val="00BA1E94"/>
    <w:rsid w:val="00BA288D"/>
    <w:rsid w:val="00BA459B"/>
    <w:rsid w:val="00BA4968"/>
    <w:rsid w:val="00BA4AEC"/>
    <w:rsid w:val="00BA5016"/>
    <w:rsid w:val="00BA605B"/>
    <w:rsid w:val="00BA6B65"/>
    <w:rsid w:val="00BB06F4"/>
    <w:rsid w:val="00BB070A"/>
    <w:rsid w:val="00BB1462"/>
    <w:rsid w:val="00BB25A5"/>
    <w:rsid w:val="00BB3031"/>
    <w:rsid w:val="00BB35F1"/>
    <w:rsid w:val="00BB4254"/>
    <w:rsid w:val="00BB79C1"/>
    <w:rsid w:val="00BB7BB5"/>
    <w:rsid w:val="00BB7CB9"/>
    <w:rsid w:val="00BC1812"/>
    <w:rsid w:val="00BC1D7C"/>
    <w:rsid w:val="00BC1E93"/>
    <w:rsid w:val="00BC20E4"/>
    <w:rsid w:val="00BC4766"/>
    <w:rsid w:val="00BC534D"/>
    <w:rsid w:val="00BC5BF0"/>
    <w:rsid w:val="00BC5CCB"/>
    <w:rsid w:val="00BC7639"/>
    <w:rsid w:val="00BD0704"/>
    <w:rsid w:val="00BD0A23"/>
    <w:rsid w:val="00BD1570"/>
    <w:rsid w:val="00BD3898"/>
    <w:rsid w:val="00BD4308"/>
    <w:rsid w:val="00BD678D"/>
    <w:rsid w:val="00BD7050"/>
    <w:rsid w:val="00BD72A5"/>
    <w:rsid w:val="00BD7422"/>
    <w:rsid w:val="00BE13BF"/>
    <w:rsid w:val="00BE1D3F"/>
    <w:rsid w:val="00BE269B"/>
    <w:rsid w:val="00BE3DD4"/>
    <w:rsid w:val="00BE3E43"/>
    <w:rsid w:val="00BE4428"/>
    <w:rsid w:val="00BE4773"/>
    <w:rsid w:val="00BE4A59"/>
    <w:rsid w:val="00BE64A6"/>
    <w:rsid w:val="00BE704C"/>
    <w:rsid w:val="00BF1995"/>
    <w:rsid w:val="00BF21FC"/>
    <w:rsid w:val="00BF2F59"/>
    <w:rsid w:val="00BF3485"/>
    <w:rsid w:val="00BF38E4"/>
    <w:rsid w:val="00BF3A8F"/>
    <w:rsid w:val="00BF5485"/>
    <w:rsid w:val="00BF5CC8"/>
    <w:rsid w:val="00BF6C9B"/>
    <w:rsid w:val="00C005B6"/>
    <w:rsid w:val="00C00794"/>
    <w:rsid w:val="00C016C6"/>
    <w:rsid w:val="00C019BB"/>
    <w:rsid w:val="00C02AA4"/>
    <w:rsid w:val="00C02E57"/>
    <w:rsid w:val="00C03074"/>
    <w:rsid w:val="00C0372A"/>
    <w:rsid w:val="00C06732"/>
    <w:rsid w:val="00C06E41"/>
    <w:rsid w:val="00C06F94"/>
    <w:rsid w:val="00C0773D"/>
    <w:rsid w:val="00C113DE"/>
    <w:rsid w:val="00C131BC"/>
    <w:rsid w:val="00C150EA"/>
    <w:rsid w:val="00C150F6"/>
    <w:rsid w:val="00C164B0"/>
    <w:rsid w:val="00C1668B"/>
    <w:rsid w:val="00C17A36"/>
    <w:rsid w:val="00C21906"/>
    <w:rsid w:val="00C22887"/>
    <w:rsid w:val="00C23F05"/>
    <w:rsid w:val="00C24008"/>
    <w:rsid w:val="00C2526B"/>
    <w:rsid w:val="00C259A5"/>
    <w:rsid w:val="00C27EFD"/>
    <w:rsid w:val="00C30CC6"/>
    <w:rsid w:val="00C310EE"/>
    <w:rsid w:val="00C3318C"/>
    <w:rsid w:val="00C352FA"/>
    <w:rsid w:val="00C35C72"/>
    <w:rsid w:val="00C36468"/>
    <w:rsid w:val="00C36D13"/>
    <w:rsid w:val="00C36F23"/>
    <w:rsid w:val="00C40418"/>
    <w:rsid w:val="00C40CD8"/>
    <w:rsid w:val="00C41448"/>
    <w:rsid w:val="00C417D6"/>
    <w:rsid w:val="00C41D2B"/>
    <w:rsid w:val="00C42221"/>
    <w:rsid w:val="00C42C57"/>
    <w:rsid w:val="00C432DA"/>
    <w:rsid w:val="00C43540"/>
    <w:rsid w:val="00C4643B"/>
    <w:rsid w:val="00C47DB5"/>
    <w:rsid w:val="00C47E16"/>
    <w:rsid w:val="00C527EE"/>
    <w:rsid w:val="00C53B17"/>
    <w:rsid w:val="00C55EE7"/>
    <w:rsid w:val="00C627CD"/>
    <w:rsid w:val="00C62FB3"/>
    <w:rsid w:val="00C62FB7"/>
    <w:rsid w:val="00C65F74"/>
    <w:rsid w:val="00C664C9"/>
    <w:rsid w:val="00C66512"/>
    <w:rsid w:val="00C67E54"/>
    <w:rsid w:val="00C71DDB"/>
    <w:rsid w:val="00C7283F"/>
    <w:rsid w:val="00C7348D"/>
    <w:rsid w:val="00C73EAE"/>
    <w:rsid w:val="00C76313"/>
    <w:rsid w:val="00C76637"/>
    <w:rsid w:val="00C76976"/>
    <w:rsid w:val="00C76C88"/>
    <w:rsid w:val="00C76F72"/>
    <w:rsid w:val="00C7761E"/>
    <w:rsid w:val="00C7788A"/>
    <w:rsid w:val="00C81B63"/>
    <w:rsid w:val="00C8671C"/>
    <w:rsid w:val="00C86A1B"/>
    <w:rsid w:val="00C86B7D"/>
    <w:rsid w:val="00C87ACC"/>
    <w:rsid w:val="00C92888"/>
    <w:rsid w:val="00C9362C"/>
    <w:rsid w:val="00C93CB3"/>
    <w:rsid w:val="00C94E57"/>
    <w:rsid w:val="00C94F23"/>
    <w:rsid w:val="00C95415"/>
    <w:rsid w:val="00C96C26"/>
    <w:rsid w:val="00C97D66"/>
    <w:rsid w:val="00CA15A1"/>
    <w:rsid w:val="00CA3484"/>
    <w:rsid w:val="00CA3CF6"/>
    <w:rsid w:val="00CA51E3"/>
    <w:rsid w:val="00CA7758"/>
    <w:rsid w:val="00CB0A43"/>
    <w:rsid w:val="00CB0CC2"/>
    <w:rsid w:val="00CB23DB"/>
    <w:rsid w:val="00CB38A3"/>
    <w:rsid w:val="00CB3F9C"/>
    <w:rsid w:val="00CB5ED9"/>
    <w:rsid w:val="00CB6930"/>
    <w:rsid w:val="00CB7807"/>
    <w:rsid w:val="00CB7A0F"/>
    <w:rsid w:val="00CC0251"/>
    <w:rsid w:val="00CC2363"/>
    <w:rsid w:val="00CC479B"/>
    <w:rsid w:val="00CC47BC"/>
    <w:rsid w:val="00CC5487"/>
    <w:rsid w:val="00CC6327"/>
    <w:rsid w:val="00CC72E3"/>
    <w:rsid w:val="00CC7568"/>
    <w:rsid w:val="00CC761A"/>
    <w:rsid w:val="00CC7D48"/>
    <w:rsid w:val="00CD2054"/>
    <w:rsid w:val="00CD2E35"/>
    <w:rsid w:val="00CD35A9"/>
    <w:rsid w:val="00CD3712"/>
    <w:rsid w:val="00CD41CC"/>
    <w:rsid w:val="00CD4554"/>
    <w:rsid w:val="00CE0D45"/>
    <w:rsid w:val="00CE0DAB"/>
    <w:rsid w:val="00CE2396"/>
    <w:rsid w:val="00CE2C8E"/>
    <w:rsid w:val="00CE2EEE"/>
    <w:rsid w:val="00CE320F"/>
    <w:rsid w:val="00CE4479"/>
    <w:rsid w:val="00CE63A5"/>
    <w:rsid w:val="00CE7298"/>
    <w:rsid w:val="00CE7E14"/>
    <w:rsid w:val="00CF0597"/>
    <w:rsid w:val="00CF0CC2"/>
    <w:rsid w:val="00CF0E0B"/>
    <w:rsid w:val="00CF1948"/>
    <w:rsid w:val="00CF2838"/>
    <w:rsid w:val="00CF2C23"/>
    <w:rsid w:val="00CF301F"/>
    <w:rsid w:val="00CF3EC3"/>
    <w:rsid w:val="00CF49FF"/>
    <w:rsid w:val="00CF5028"/>
    <w:rsid w:val="00CF5D83"/>
    <w:rsid w:val="00CF661A"/>
    <w:rsid w:val="00D00314"/>
    <w:rsid w:val="00D006A4"/>
    <w:rsid w:val="00D009A4"/>
    <w:rsid w:val="00D00E07"/>
    <w:rsid w:val="00D01504"/>
    <w:rsid w:val="00D03319"/>
    <w:rsid w:val="00D03A0D"/>
    <w:rsid w:val="00D03FDE"/>
    <w:rsid w:val="00D0428F"/>
    <w:rsid w:val="00D05151"/>
    <w:rsid w:val="00D062B8"/>
    <w:rsid w:val="00D071FB"/>
    <w:rsid w:val="00D074BB"/>
    <w:rsid w:val="00D077D6"/>
    <w:rsid w:val="00D11814"/>
    <w:rsid w:val="00D11B36"/>
    <w:rsid w:val="00D13FB0"/>
    <w:rsid w:val="00D141EB"/>
    <w:rsid w:val="00D15DEE"/>
    <w:rsid w:val="00D175C6"/>
    <w:rsid w:val="00D1779A"/>
    <w:rsid w:val="00D17DEA"/>
    <w:rsid w:val="00D20561"/>
    <w:rsid w:val="00D209AC"/>
    <w:rsid w:val="00D22364"/>
    <w:rsid w:val="00D27F79"/>
    <w:rsid w:val="00D307C1"/>
    <w:rsid w:val="00D3325D"/>
    <w:rsid w:val="00D35CDD"/>
    <w:rsid w:val="00D36667"/>
    <w:rsid w:val="00D36A82"/>
    <w:rsid w:val="00D37AAB"/>
    <w:rsid w:val="00D40E98"/>
    <w:rsid w:val="00D42385"/>
    <w:rsid w:val="00D426B6"/>
    <w:rsid w:val="00D42CF4"/>
    <w:rsid w:val="00D4464F"/>
    <w:rsid w:val="00D44FEC"/>
    <w:rsid w:val="00D45EC2"/>
    <w:rsid w:val="00D47161"/>
    <w:rsid w:val="00D4746E"/>
    <w:rsid w:val="00D47C75"/>
    <w:rsid w:val="00D52304"/>
    <w:rsid w:val="00D524BC"/>
    <w:rsid w:val="00D53541"/>
    <w:rsid w:val="00D538E6"/>
    <w:rsid w:val="00D53CD1"/>
    <w:rsid w:val="00D54BD2"/>
    <w:rsid w:val="00D555A1"/>
    <w:rsid w:val="00D55EF2"/>
    <w:rsid w:val="00D56950"/>
    <w:rsid w:val="00D574B1"/>
    <w:rsid w:val="00D60007"/>
    <w:rsid w:val="00D602AB"/>
    <w:rsid w:val="00D61659"/>
    <w:rsid w:val="00D61780"/>
    <w:rsid w:val="00D61DC9"/>
    <w:rsid w:val="00D6300E"/>
    <w:rsid w:val="00D63926"/>
    <w:rsid w:val="00D63AF8"/>
    <w:rsid w:val="00D64253"/>
    <w:rsid w:val="00D645F4"/>
    <w:rsid w:val="00D64738"/>
    <w:rsid w:val="00D64E16"/>
    <w:rsid w:val="00D6653B"/>
    <w:rsid w:val="00D72468"/>
    <w:rsid w:val="00D724D0"/>
    <w:rsid w:val="00D728DA"/>
    <w:rsid w:val="00D7301F"/>
    <w:rsid w:val="00D7345D"/>
    <w:rsid w:val="00D755F3"/>
    <w:rsid w:val="00D76BCE"/>
    <w:rsid w:val="00D770B4"/>
    <w:rsid w:val="00D777F2"/>
    <w:rsid w:val="00D77BEC"/>
    <w:rsid w:val="00D827F9"/>
    <w:rsid w:val="00D83E61"/>
    <w:rsid w:val="00D84399"/>
    <w:rsid w:val="00D8468B"/>
    <w:rsid w:val="00D84794"/>
    <w:rsid w:val="00D85009"/>
    <w:rsid w:val="00D8613C"/>
    <w:rsid w:val="00D874C8"/>
    <w:rsid w:val="00D87C63"/>
    <w:rsid w:val="00D932E6"/>
    <w:rsid w:val="00D942DC"/>
    <w:rsid w:val="00D94C1A"/>
    <w:rsid w:val="00D96C57"/>
    <w:rsid w:val="00D96ECF"/>
    <w:rsid w:val="00D97445"/>
    <w:rsid w:val="00D97B78"/>
    <w:rsid w:val="00D97DF0"/>
    <w:rsid w:val="00DA26F4"/>
    <w:rsid w:val="00DA272D"/>
    <w:rsid w:val="00DA4630"/>
    <w:rsid w:val="00DA5D4D"/>
    <w:rsid w:val="00DA62D3"/>
    <w:rsid w:val="00DA6D95"/>
    <w:rsid w:val="00DA7843"/>
    <w:rsid w:val="00DA7C23"/>
    <w:rsid w:val="00DB0745"/>
    <w:rsid w:val="00DB0B09"/>
    <w:rsid w:val="00DB1624"/>
    <w:rsid w:val="00DB363E"/>
    <w:rsid w:val="00DB513E"/>
    <w:rsid w:val="00DB7D1B"/>
    <w:rsid w:val="00DC3616"/>
    <w:rsid w:val="00DC4F9C"/>
    <w:rsid w:val="00DC5222"/>
    <w:rsid w:val="00DC640A"/>
    <w:rsid w:val="00DC6986"/>
    <w:rsid w:val="00DC69FB"/>
    <w:rsid w:val="00DC700F"/>
    <w:rsid w:val="00DC7993"/>
    <w:rsid w:val="00DD06E8"/>
    <w:rsid w:val="00DD0D24"/>
    <w:rsid w:val="00DD2075"/>
    <w:rsid w:val="00DD24C5"/>
    <w:rsid w:val="00DD5B28"/>
    <w:rsid w:val="00DE02F4"/>
    <w:rsid w:val="00DE13B4"/>
    <w:rsid w:val="00DE1BCB"/>
    <w:rsid w:val="00DE2165"/>
    <w:rsid w:val="00DE3EA6"/>
    <w:rsid w:val="00DE4462"/>
    <w:rsid w:val="00DE472D"/>
    <w:rsid w:val="00DE75C8"/>
    <w:rsid w:val="00DF00A4"/>
    <w:rsid w:val="00DF0C32"/>
    <w:rsid w:val="00DF3578"/>
    <w:rsid w:val="00DF4D99"/>
    <w:rsid w:val="00DF75CA"/>
    <w:rsid w:val="00DF7771"/>
    <w:rsid w:val="00DF787B"/>
    <w:rsid w:val="00E01CFA"/>
    <w:rsid w:val="00E054E9"/>
    <w:rsid w:val="00E05FEC"/>
    <w:rsid w:val="00E07B19"/>
    <w:rsid w:val="00E10B97"/>
    <w:rsid w:val="00E120AD"/>
    <w:rsid w:val="00E123E9"/>
    <w:rsid w:val="00E12A20"/>
    <w:rsid w:val="00E13B9C"/>
    <w:rsid w:val="00E144DD"/>
    <w:rsid w:val="00E1501F"/>
    <w:rsid w:val="00E15B0A"/>
    <w:rsid w:val="00E178AA"/>
    <w:rsid w:val="00E20792"/>
    <w:rsid w:val="00E20E33"/>
    <w:rsid w:val="00E21CD9"/>
    <w:rsid w:val="00E223EF"/>
    <w:rsid w:val="00E24787"/>
    <w:rsid w:val="00E26590"/>
    <w:rsid w:val="00E30DB7"/>
    <w:rsid w:val="00E30E69"/>
    <w:rsid w:val="00E3241D"/>
    <w:rsid w:val="00E3260A"/>
    <w:rsid w:val="00E3542B"/>
    <w:rsid w:val="00E36A30"/>
    <w:rsid w:val="00E372BB"/>
    <w:rsid w:val="00E40877"/>
    <w:rsid w:val="00E40F39"/>
    <w:rsid w:val="00E41B20"/>
    <w:rsid w:val="00E45E3E"/>
    <w:rsid w:val="00E47634"/>
    <w:rsid w:val="00E47A79"/>
    <w:rsid w:val="00E50606"/>
    <w:rsid w:val="00E5107D"/>
    <w:rsid w:val="00E51352"/>
    <w:rsid w:val="00E5186D"/>
    <w:rsid w:val="00E51BDC"/>
    <w:rsid w:val="00E51BEC"/>
    <w:rsid w:val="00E52403"/>
    <w:rsid w:val="00E52618"/>
    <w:rsid w:val="00E53734"/>
    <w:rsid w:val="00E549E1"/>
    <w:rsid w:val="00E54AF1"/>
    <w:rsid w:val="00E55491"/>
    <w:rsid w:val="00E55C69"/>
    <w:rsid w:val="00E56867"/>
    <w:rsid w:val="00E56C97"/>
    <w:rsid w:val="00E573F3"/>
    <w:rsid w:val="00E57C63"/>
    <w:rsid w:val="00E60310"/>
    <w:rsid w:val="00E61EB9"/>
    <w:rsid w:val="00E657E1"/>
    <w:rsid w:val="00E65B4D"/>
    <w:rsid w:val="00E6656E"/>
    <w:rsid w:val="00E70766"/>
    <w:rsid w:val="00E70960"/>
    <w:rsid w:val="00E7396E"/>
    <w:rsid w:val="00E74669"/>
    <w:rsid w:val="00E76595"/>
    <w:rsid w:val="00E775D3"/>
    <w:rsid w:val="00E800CB"/>
    <w:rsid w:val="00E814A1"/>
    <w:rsid w:val="00E8194D"/>
    <w:rsid w:val="00E81C86"/>
    <w:rsid w:val="00E823E5"/>
    <w:rsid w:val="00E84902"/>
    <w:rsid w:val="00E84EDF"/>
    <w:rsid w:val="00E866D6"/>
    <w:rsid w:val="00E86A14"/>
    <w:rsid w:val="00E9203A"/>
    <w:rsid w:val="00E9230F"/>
    <w:rsid w:val="00E92925"/>
    <w:rsid w:val="00E93B95"/>
    <w:rsid w:val="00E93FEC"/>
    <w:rsid w:val="00E9656B"/>
    <w:rsid w:val="00E970D4"/>
    <w:rsid w:val="00EA0993"/>
    <w:rsid w:val="00EA15E4"/>
    <w:rsid w:val="00EA1923"/>
    <w:rsid w:val="00EA2165"/>
    <w:rsid w:val="00EA24F5"/>
    <w:rsid w:val="00EA2535"/>
    <w:rsid w:val="00EA4006"/>
    <w:rsid w:val="00EA4D53"/>
    <w:rsid w:val="00EA5697"/>
    <w:rsid w:val="00EA57F1"/>
    <w:rsid w:val="00EA6BCA"/>
    <w:rsid w:val="00EB03C5"/>
    <w:rsid w:val="00EB1267"/>
    <w:rsid w:val="00EB158A"/>
    <w:rsid w:val="00EB245B"/>
    <w:rsid w:val="00EB307F"/>
    <w:rsid w:val="00EB3420"/>
    <w:rsid w:val="00EB4562"/>
    <w:rsid w:val="00EB4C52"/>
    <w:rsid w:val="00EB566F"/>
    <w:rsid w:val="00EB598D"/>
    <w:rsid w:val="00EC067C"/>
    <w:rsid w:val="00EC0843"/>
    <w:rsid w:val="00EC08EE"/>
    <w:rsid w:val="00EC0E86"/>
    <w:rsid w:val="00EC10C5"/>
    <w:rsid w:val="00EC3162"/>
    <w:rsid w:val="00EC31EF"/>
    <w:rsid w:val="00EC3318"/>
    <w:rsid w:val="00EC385E"/>
    <w:rsid w:val="00EC4F52"/>
    <w:rsid w:val="00EC4FE5"/>
    <w:rsid w:val="00EC7830"/>
    <w:rsid w:val="00EC7F29"/>
    <w:rsid w:val="00ED1C77"/>
    <w:rsid w:val="00ED3D29"/>
    <w:rsid w:val="00ED66CF"/>
    <w:rsid w:val="00ED6B48"/>
    <w:rsid w:val="00ED753A"/>
    <w:rsid w:val="00EE0332"/>
    <w:rsid w:val="00EE35BF"/>
    <w:rsid w:val="00EE4414"/>
    <w:rsid w:val="00EE4E0A"/>
    <w:rsid w:val="00EE5689"/>
    <w:rsid w:val="00EE5B9E"/>
    <w:rsid w:val="00EE672A"/>
    <w:rsid w:val="00EE67F8"/>
    <w:rsid w:val="00EF0337"/>
    <w:rsid w:val="00EF07FD"/>
    <w:rsid w:val="00EF45C5"/>
    <w:rsid w:val="00EF5287"/>
    <w:rsid w:val="00EF5C90"/>
    <w:rsid w:val="00EF63D8"/>
    <w:rsid w:val="00EF6931"/>
    <w:rsid w:val="00EF6BFC"/>
    <w:rsid w:val="00EF700F"/>
    <w:rsid w:val="00F00A98"/>
    <w:rsid w:val="00F01739"/>
    <w:rsid w:val="00F01AA1"/>
    <w:rsid w:val="00F02529"/>
    <w:rsid w:val="00F03326"/>
    <w:rsid w:val="00F047FA"/>
    <w:rsid w:val="00F05658"/>
    <w:rsid w:val="00F06706"/>
    <w:rsid w:val="00F11844"/>
    <w:rsid w:val="00F136B6"/>
    <w:rsid w:val="00F14644"/>
    <w:rsid w:val="00F17067"/>
    <w:rsid w:val="00F17407"/>
    <w:rsid w:val="00F200E8"/>
    <w:rsid w:val="00F20379"/>
    <w:rsid w:val="00F20667"/>
    <w:rsid w:val="00F211B7"/>
    <w:rsid w:val="00F21B4D"/>
    <w:rsid w:val="00F21EA1"/>
    <w:rsid w:val="00F229B1"/>
    <w:rsid w:val="00F23AAE"/>
    <w:rsid w:val="00F23D19"/>
    <w:rsid w:val="00F24536"/>
    <w:rsid w:val="00F247AA"/>
    <w:rsid w:val="00F25C99"/>
    <w:rsid w:val="00F268C0"/>
    <w:rsid w:val="00F27773"/>
    <w:rsid w:val="00F31CF7"/>
    <w:rsid w:val="00F32AAE"/>
    <w:rsid w:val="00F34F9B"/>
    <w:rsid w:val="00F36313"/>
    <w:rsid w:val="00F37058"/>
    <w:rsid w:val="00F40340"/>
    <w:rsid w:val="00F42F8E"/>
    <w:rsid w:val="00F436ED"/>
    <w:rsid w:val="00F445FF"/>
    <w:rsid w:val="00F51498"/>
    <w:rsid w:val="00F518DA"/>
    <w:rsid w:val="00F5214A"/>
    <w:rsid w:val="00F521CD"/>
    <w:rsid w:val="00F522B7"/>
    <w:rsid w:val="00F54230"/>
    <w:rsid w:val="00F54266"/>
    <w:rsid w:val="00F54FFA"/>
    <w:rsid w:val="00F56092"/>
    <w:rsid w:val="00F568FE"/>
    <w:rsid w:val="00F579CC"/>
    <w:rsid w:val="00F57B58"/>
    <w:rsid w:val="00F6053C"/>
    <w:rsid w:val="00F6077B"/>
    <w:rsid w:val="00F60986"/>
    <w:rsid w:val="00F6140B"/>
    <w:rsid w:val="00F616CE"/>
    <w:rsid w:val="00F6244B"/>
    <w:rsid w:val="00F63AB8"/>
    <w:rsid w:val="00F64979"/>
    <w:rsid w:val="00F66134"/>
    <w:rsid w:val="00F670E4"/>
    <w:rsid w:val="00F708BD"/>
    <w:rsid w:val="00F714F8"/>
    <w:rsid w:val="00F71A6B"/>
    <w:rsid w:val="00F71FEF"/>
    <w:rsid w:val="00F72A06"/>
    <w:rsid w:val="00F72C71"/>
    <w:rsid w:val="00F7311F"/>
    <w:rsid w:val="00F759B2"/>
    <w:rsid w:val="00F77F23"/>
    <w:rsid w:val="00F80695"/>
    <w:rsid w:val="00F80B2D"/>
    <w:rsid w:val="00F817BE"/>
    <w:rsid w:val="00F83D02"/>
    <w:rsid w:val="00F84EA2"/>
    <w:rsid w:val="00F85669"/>
    <w:rsid w:val="00F85A16"/>
    <w:rsid w:val="00F85A69"/>
    <w:rsid w:val="00F870ED"/>
    <w:rsid w:val="00F87333"/>
    <w:rsid w:val="00F905C9"/>
    <w:rsid w:val="00F906BE"/>
    <w:rsid w:val="00F90D02"/>
    <w:rsid w:val="00F92F7B"/>
    <w:rsid w:val="00F9301D"/>
    <w:rsid w:val="00F93F5A"/>
    <w:rsid w:val="00F94FA2"/>
    <w:rsid w:val="00F96D72"/>
    <w:rsid w:val="00F97043"/>
    <w:rsid w:val="00FA052A"/>
    <w:rsid w:val="00FA3721"/>
    <w:rsid w:val="00FA43BB"/>
    <w:rsid w:val="00FA48BA"/>
    <w:rsid w:val="00FA4906"/>
    <w:rsid w:val="00FA511B"/>
    <w:rsid w:val="00FA5720"/>
    <w:rsid w:val="00FA78CE"/>
    <w:rsid w:val="00FB08A5"/>
    <w:rsid w:val="00FB189D"/>
    <w:rsid w:val="00FB33D4"/>
    <w:rsid w:val="00FB58CA"/>
    <w:rsid w:val="00FB59E8"/>
    <w:rsid w:val="00FC122C"/>
    <w:rsid w:val="00FC2213"/>
    <w:rsid w:val="00FC2530"/>
    <w:rsid w:val="00FC7093"/>
    <w:rsid w:val="00FD1A0A"/>
    <w:rsid w:val="00FD229E"/>
    <w:rsid w:val="00FD6F61"/>
    <w:rsid w:val="00FD7B74"/>
    <w:rsid w:val="00FE0A96"/>
    <w:rsid w:val="00FE0F2B"/>
    <w:rsid w:val="00FE27E8"/>
    <w:rsid w:val="00FE3308"/>
    <w:rsid w:val="00FE59ED"/>
    <w:rsid w:val="00FE62C2"/>
    <w:rsid w:val="00FE6A18"/>
    <w:rsid w:val="00FF1DFE"/>
    <w:rsid w:val="00FF31D3"/>
    <w:rsid w:val="00FF3CF1"/>
    <w:rsid w:val="00FF3EE7"/>
    <w:rsid w:val="00FF52B9"/>
    <w:rsid w:val="00FF5743"/>
    <w:rsid w:val="00FF5F76"/>
    <w:rsid w:val="00FF627A"/>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D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3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627CD"/>
    <w:pPr>
      <w:keepNext/>
      <w:keepLines/>
      <w:spacing w:before="40" w:after="0" w:line="240" w:lineRule="auto"/>
      <w:jc w:val="left"/>
      <w:outlineLvl w:val="2"/>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3AF8"/>
    <w:pPr>
      <w:spacing w:after="0" w:line="240" w:lineRule="auto"/>
    </w:pPr>
    <w:rPr>
      <w:sz w:val="20"/>
      <w:szCs w:val="20"/>
    </w:rPr>
  </w:style>
  <w:style w:type="character" w:customStyle="1" w:styleId="FootnoteTextChar">
    <w:name w:val="Footnote Text Char"/>
    <w:basedOn w:val="DefaultParagraphFont"/>
    <w:link w:val="FootnoteText"/>
    <w:uiPriority w:val="99"/>
    <w:rsid w:val="00D63AF8"/>
    <w:rPr>
      <w:sz w:val="20"/>
      <w:szCs w:val="20"/>
    </w:rPr>
  </w:style>
  <w:style w:type="character" w:styleId="FootnoteReference">
    <w:name w:val="footnote reference"/>
    <w:basedOn w:val="DefaultParagraphFont"/>
    <w:uiPriority w:val="99"/>
    <w:semiHidden/>
    <w:unhideWhenUsed/>
    <w:rsid w:val="00D63AF8"/>
    <w:rPr>
      <w:vertAlign w:val="superscript"/>
    </w:rPr>
  </w:style>
  <w:style w:type="character" w:customStyle="1" w:styleId="Heading1Char">
    <w:name w:val="Heading 1 Char"/>
    <w:basedOn w:val="DefaultParagraphFont"/>
    <w:link w:val="Heading1"/>
    <w:uiPriority w:val="9"/>
    <w:rsid w:val="005B53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9035D"/>
    <w:rPr>
      <w:color w:val="0000FF" w:themeColor="hyperlink"/>
      <w:u w:val="single"/>
    </w:rPr>
  </w:style>
  <w:style w:type="character" w:styleId="UnresolvedMention">
    <w:name w:val="Unresolved Mention"/>
    <w:basedOn w:val="DefaultParagraphFont"/>
    <w:uiPriority w:val="99"/>
    <w:semiHidden/>
    <w:unhideWhenUsed/>
    <w:rsid w:val="0079035D"/>
    <w:rPr>
      <w:color w:val="605E5C"/>
      <w:shd w:val="clear" w:color="auto" w:fill="E1DFDD"/>
    </w:rPr>
  </w:style>
  <w:style w:type="paragraph" w:styleId="BalloonText">
    <w:name w:val="Balloon Text"/>
    <w:basedOn w:val="Normal"/>
    <w:link w:val="BalloonTextChar"/>
    <w:uiPriority w:val="99"/>
    <w:semiHidden/>
    <w:unhideWhenUsed/>
    <w:rsid w:val="00F63AB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63AB8"/>
    <w:rPr>
      <w:rFonts w:ascii="Segoe UI" w:hAnsi="Segoe UI"/>
      <w:sz w:val="18"/>
      <w:szCs w:val="18"/>
    </w:rPr>
  </w:style>
  <w:style w:type="paragraph" w:styleId="ListParagraph">
    <w:name w:val="List Paragraph"/>
    <w:basedOn w:val="Normal"/>
    <w:uiPriority w:val="34"/>
    <w:qFormat/>
    <w:rsid w:val="00EA57F1"/>
    <w:pPr>
      <w:ind w:left="720"/>
      <w:contextualSpacing/>
    </w:pPr>
  </w:style>
  <w:style w:type="paragraph" w:customStyle="1" w:styleId="Default">
    <w:name w:val="Default"/>
    <w:rsid w:val="008D6A73"/>
    <w:pPr>
      <w:autoSpaceDE w:val="0"/>
      <w:autoSpaceDN w:val="0"/>
      <w:adjustRightInd w:val="0"/>
      <w:spacing w:after="0" w:line="240" w:lineRule="auto"/>
    </w:pPr>
    <w:rPr>
      <w:rFonts w:ascii="Minion Pro" w:hAnsi="Minion Pro" w:cs="Minion Pro"/>
      <w:color w:val="000000"/>
      <w:sz w:val="24"/>
      <w:szCs w:val="24"/>
    </w:rPr>
  </w:style>
  <w:style w:type="paragraph" w:styleId="NormalWeb">
    <w:name w:val="Normal (Web)"/>
    <w:basedOn w:val="Normal"/>
    <w:uiPriority w:val="99"/>
    <w:unhideWhenUsed/>
    <w:rsid w:val="00D97445"/>
    <w:rPr>
      <w:rFonts w:ascii="Times New Roman" w:hAnsi="Times New Roman" w:cs="Times New Roman"/>
      <w:sz w:val="24"/>
      <w:szCs w:val="24"/>
    </w:rPr>
  </w:style>
  <w:style w:type="character" w:customStyle="1" w:styleId="css-901oao">
    <w:name w:val="css-901oao"/>
    <w:basedOn w:val="DefaultParagraphFont"/>
    <w:rsid w:val="00AC11A0"/>
  </w:style>
  <w:style w:type="paragraph" w:customStyle="1" w:styleId="numbered-paragraph">
    <w:name w:val="numbered-paragraph"/>
    <w:basedOn w:val="Normal"/>
    <w:rsid w:val="00C4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C40418"/>
  </w:style>
  <w:style w:type="character" w:customStyle="1" w:styleId="A6">
    <w:name w:val="A6"/>
    <w:uiPriority w:val="99"/>
    <w:rsid w:val="004B6B85"/>
    <w:rPr>
      <w:rFonts w:cs="Roboto"/>
      <w:color w:val="000000"/>
      <w:sz w:val="16"/>
      <w:szCs w:val="16"/>
    </w:rPr>
  </w:style>
  <w:style w:type="paragraph" w:styleId="Header">
    <w:name w:val="header"/>
    <w:basedOn w:val="Normal"/>
    <w:link w:val="HeaderChar"/>
    <w:uiPriority w:val="99"/>
    <w:unhideWhenUsed/>
    <w:rsid w:val="00833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0D8"/>
  </w:style>
  <w:style w:type="paragraph" w:styleId="Footer">
    <w:name w:val="footer"/>
    <w:basedOn w:val="Normal"/>
    <w:link w:val="FooterChar"/>
    <w:uiPriority w:val="99"/>
    <w:unhideWhenUsed/>
    <w:rsid w:val="00833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0D8"/>
  </w:style>
  <w:style w:type="character" w:styleId="Emphasis">
    <w:name w:val="Emphasis"/>
    <w:basedOn w:val="DefaultParagraphFont"/>
    <w:uiPriority w:val="20"/>
    <w:qFormat/>
    <w:rsid w:val="004776AE"/>
    <w:rPr>
      <w:i/>
      <w:iCs/>
    </w:rPr>
  </w:style>
  <w:style w:type="paragraph" w:customStyle="1" w:styleId="legclearfix">
    <w:name w:val="legclearfix"/>
    <w:basedOn w:val="Normal"/>
    <w:rsid w:val="00263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23075"/>
    <w:rPr>
      <w:color w:val="800080" w:themeColor="followedHyperlink"/>
      <w:u w:val="single"/>
    </w:rPr>
  </w:style>
  <w:style w:type="character" w:styleId="CommentReference">
    <w:name w:val="annotation reference"/>
    <w:basedOn w:val="DefaultParagraphFont"/>
    <w:uiPriority w:val="99"/>
    <w:semiHidden/>
    <w:unhideWhenUsed/>
    <w:rsid w:val="00EA1923"/>
    <w:rPr>
      <w:sz w:val="16"/>
      <w:szCs w:val="16"/>
    </w:rPr>
  </w:style>
  <w:style w:type="paragraph" w:styleId="CommentText">
    <w:name w:val="annotation text"/>
    <w:basedOn w:val="Normal"/>
    <w:link w:val="CommentTextChar"/>
    <w:uiPriority w:val="99"/>
    <w:semiHidden/>
    <w:unhideWhenUsed/>
    <w:rsid w:val="00EA1923"/>
    <w:pPr>
      <w:spacing w:line="240" w:lineRule="auto"/>
    </w:pPr>
    <w:rPr>
      <w:sz w:val="20"/>
      <w:szCs w:val="20"/>
    </w:rPr>
  </w:style>
  <w:style w:type="character" w:customStyle="1" w:styleId="CommentTextChar">
    <w:name w:val="Comment Text Char"/>
    <w:basedOn w:val="DefaultParagraphFont"/>
    <w:link w:val="CommentText"/>
    <w:uiPriority w:val="99"/>
    <w:semiHidden/>
    <w:rsid w:val="00EA1923"/>
    <w:rPr>
      <w:sz w:val="20"/>
      <w:szCs w:val="20"/>
    </w:rPr>
  </w:style>
  <w:style w:type="paragraph" w:styleId="CommentSubject">
    <w:name w:val="annotation subject"/>
    <w:basedOn w:val="CommentText"/>
    <w:next w:val="CommentText"/>
    <w:link w:val="CommentSubjectChar"/>
    <w:uiPriority w:val="99"/>
    <w:semiHidden/>
    <w:unhideWhenUsed/>
    <w:rsid w:val="00EA1923"/>
    <w:rPr>
      <w:b/>
      <w:bCs/>
    </w:rPr>
  </w:style>
  <w:style w:type="character" w:customStyle="1" w:styleId="CommentSubjectChar">
    <w:name w:val="Comment Subject Char"/>
    <w:basedOn w:val="CommentTextChar"/>
    <w:link w:val="CommentSubject"/>
    <w:uiPriority w:val="99"/>
    <w:semiHidden/>
    <w:rsid w:val="00EA1923"/>
    <w:rPr>
      <w:b/>
      <w:bCs/>
      <w:sz w:val="20"/>
      <w:szCs w:val="20"/>
    </w:rPr>
  </w:style>
  <w:style w:type="character" w:customStyle="1" w:styleId="Heading3Char">
    <w:name w:val="Heading 3 Char"/>
    <w:basedOn w:val="DefaultParagraphFont"/>
    <w:link w:val="Heading3"/>
    <w:uiPriority w:val="9"/>
    <w:rsid w:val="00C627CD"/>
    <w:rPr>
      <w:rFonts w:asciiTheme="majorHAnsi" w:eastAsiaTheme="majorEastAsia" w:hAnsiTheme="majorHAnsi" w:cstheme="majorBidi"/>
      <w:color w:val="243F60" w:themeColor="accent1" w:themeShade="7F"/>
      <w:sz w:val="24"/>
      <w:szCs w:val="24"/>
      <w:lang w:eastAsia="en-GB"/>
    </w:rPr>
  </w:style>
  <w:style w:type="paragraph" w:customStyle="1" w:styleId="Pa0">
    <w:name w:val="Pa0"/>
    <w:basedOn w:val="Default"/>
    <w:next w:val="Default"/>
    <w:uiPriority w:val="99"/>
    <w:rsid w:val="00AA079C"/>
    <w:pPr>
      <w:spacing w:line="241" w:lineRule="atLeast"/>
      <w:jc w:val="left"/>
    </w:pPr>
    <w:rPr>
      <w:rFonts w:ascii="Omnes Medium" w:hAnsi="Omnes Medium" w:cstheme="minorBidi"/>
      <w:color w:val="auto"/>
    </w:rPr>
  </w:style>
  <w:style w:type="character" w:customStyle="1" w:styleId="A3">
    <w:name w:val="A3"/>
    <w:uiPriority w:val="99"/>
    <w:rsid w:val="00AA079C"/>
    <w:rPr>
      <w:rFonts w:cs="Omnes Medium"/>
      <w:color w:val="000000"/>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132">
      <w:bodyDiv w:val="1"/>
      <w:marLeft w:val="0"/>
      <w:marRight w:val="0"/>
      <w:marTop w:val="0"/>
      <w:marBottom w:val="0"/>
      <w:divBdr>
        <w:top w:val="none" w:sz="0" w:space="0" w:color="auto"/>
        <w:left w:val="none" w:sz="0" w:space="0" w:color="auto"/>
        <w:bottom w:val="none" w:sz="0" w:space="0" w:color="auto"/>
        <w:right w:val="none" w:sz="0" w:space="0" w:color="auto"/>
      </w:divBdr>
    </w:div>
    <w:div w:id="96877999">
      <w:bodyDiv w:val="1"/>
      <w:marLeft w:val="0"/>
      <w:marRight w:val="0"/>
      <w:marTop w:val="0"/>
      <w:marBottom w:val="0"/>
      <w:divBdr>
        <w:top w:val="none" w:sz="0" w:space="0" w:color="auto"/>
        <w:left w:val="none" w:sz="0" w:space="0" w:color="auto"/>
        <w:bottom w:val="none" w:sz="0" w:space="0" w:color="auto"/>
        <w:right w:val="none" w:sz="0" w:space="0" w:color="auto"/>
      </w:divBdr>
      <w:divsChild>
        <w:div w:id="1351570888">
          <w:marLeft w:val="960"/>
          <w:marRight w:val="0"/>
          <w:marTop w:val="0"/>
          <w:marBottom w:val="0"/>
          <w:divBdr>
            <w:top w:val="none" w:sz="0" w:space="0" w:color="auto"/>
            <w:left w:val="none" w:sz="0" w:space="0" w:color="auto"/>
            <w:bottom w:val="none" w:sz="0" w:space="0" w:color="auto"/>
            <w:right w:val="none" w:sz="0" w:space="0" w:color="auto"/>
          </w:divBdr>
        </w:div>
      </w:divsChild>
    </w:div>
    <w:div w:id="108742639">
      <w:bodyDiv w:val="1"/>
      <w:marLeft w:val="0"/>
      <w:marRight w:val="0"/>
      <w:marTop w:val="0"/>
      <w:marBottom w:val="0"/>
      <w:divBdr>
        <w:top w:val="none" w:sz="0" w:space="0" w:color="auto"/>
        <w:left w:val="none" w:sz="0" w:space="0" w:color="auto"/>
        <w:bottom w:val="none" w:sz="0" w:space="0" w:color="auto"/>
        <w:right w:val="none" w:sz="0" w:space="0" w:color="auto"/>
      </w:divBdr>
      <w:divsChild>
        <w:div w:id="1592930060">
          <w:marLeft w:val="0"/>
          <w:marRight w:val="0"/>
          <w:marTop w:val="0"/>
          <w:marBottom w:val="0"/>
          <w:divBdr>
            <w:top w:val="single" w:sz="2" w:space="8" w:color="000000"/>
            <w:left w:val="single" w:sz="2" w:space="8" w:color="000000"/>
            <w:bottom w:val="single" w:sz="2" w:space="8" w:color="000000"/>
            <w:right w:val="single" w:sz="2" w:space="8" w:color="000000"/>
          </w:divBdr>
          <w:divsChild>
            <w:div w:id="108359430">
              <w:marLeft w:val="0"/>
              <w:marRight w:val="0"/>
              <w:marTop w:val="0"/>
              <w:marBottom w:val="30"/>
              <w:divBdr>
                <w:top w:val="single" w:sz="2" w:space="0" w:color="000000"/>
                <w:left w:val="single" w:sz="2" w:space="0" w:color="000000"/>
                <w:bottom w:val="single" w:sz="2" w:space="0" w:color="000000"/>
                <w:right w:val="single" w:sz="2" w:space="0" w:color="000000"/>
              </w:divBdr>
              <w:divsChild>
                <w:div w:id="20260583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0849590">
      <w:bodyDiv w:val="1"/>
      <w:marLeft w:val="0"/>
      <w:marRight w:val="0"/>
      <w:marTop w:val="0"/>
      <w:marBottom w:val="0"/>
      <w:divBdr>
        <w:top w:val="none" w:sz="0" w:space="0" w:color="auto"/>
        <w:left w:val="none" w:sz="0" w:space="0" w:color="auto"/>
        <w:bottom w:val="none" w:sz="0" w:space="0" w:color="auto"/>
        <w:right w:val="none" w:sz="0" w:space="0" w:color="auto"/>
      </w:divBdr>
    </w:div>
    <w:div w:id="189689671">
      <w:bodyDiv w:val="1"/>
      <w:marLeft w:val="0"/>
      <w:marRight w:val="0"/>
      <w:marTop w:val="0"/>
      <w:marBottom w:val="0"/>
      <w:divBdr>
        <w:top w:val="none" w:sz="0" w:space="0" w:color="auto"/>
        <w:left w:val="none" w:sz="0" w:space="0" w:color="auto"/>
        <w:bottom w:val="none" w:sz="0" w:space="0" w:color="auto"/>
        <w:right w:val="none" w:sz="0" w:space="0" w:color="auto"/>
      </w:divBdr>
    </w:div>
    <w:div w:id="214048030">
      <w:bodyDiv w:val="1"/>
      <w:marLeft w:val="0"/>
      <w:marRight w:val="0"/>
      <w:marTop w:val="0"/>
      <w:marBottom w:val="0"/>
      <w:divBdr>
        <w:top w:val="none" w:sz="0" w:space="0" w:color="auto"/>
        <w:left w:val="none" w:sz="0" w:space="0" w:color="auto"/>
        <w:bottom w:val="none" w:sz="0" w:space="0" w:color="auto"/>
        <w:right w:val="none" w:sz="0" w:space="0" w:color="auto"/>
      </w:divBdr>
      <w:divsChild>
        <w:div w:id="1490056781">
          <w:marLeft w:val="0"/>
          <w:marRight w:val="0"/>
          <w:marTop w:val="0"/>
          <w:marBottom w:val="0"/>
          <w:divBdr>
            <w:top w:val="none" w:sz="0" w:space="0" w:color="auto"/>
            <w:left w:val="none" w:sz="0" w:space="0" w:color="auto"/>
            <w:bottom w:val="none" w:sz="0" w:space="0" w:color="auto"/>
            <w:right w:val="none" w:sz="0" w:space="0" w:color="auto"/>
          </w:divBdr>
          <w:divsChild>
            <w:div w:id="19432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3936">
      <w:bodyDiv w:val="1"/>
      <w:marLeft w:val="0"/>
      <w:marRight w:val="0"/>
      <w:marTop w:val="0"/>
      <w:marBottom w:val="0"/>
      <w:divBdr>
        <w:top w:val="none" w:sz="0" w:space="0" w:color="auto"/>
        <w:left w:val="none" w:sz="0" w:space="0" w:color="auto"/>
        <w:bottom w:val="none" w:sz="0" w:space="0" w:color="auto"/>
        <w:right w:val="none" w:sz="0" w:space="0" w:color="auto"/>
      </w:divBdr>
    </w:div>
    <w:div w:id="406348870">
      <w:bodyDiv w:val="1"/>
      <w:marLeft w:val="0"/>
      <w:marRight w:val="0"/>
      <w:marTop w:val="0"/>
      <w:marBottom w:val="0"/>
      <w:divBdr>
        <w:top w:val="none" w:sz="0" w:space="0" w:color="auto"/>
        <w:left w:val="none" w:sz="0" w:space="0" w:color="auto"/>
        <w:bottom w:val="none" w:sz="0" w:space="0" w:color="auto"/>
        <w:right w:val="none" w:sz="0" w:space="0" w:color="auto"/>
      </w:divBdr>
    </w:div>
    <w:div w:id="510335670">
      <w:bodyDiv w:val="1"/>
      <w:marLeft w:val="0"/>
      <w:marRight w:val="0"/>
      <w:marTop w:val="0"/>
      <w:marBottom w:val="0"/>
      <w:divBdr>
        <w:top w:val="none" w:sz="0" w:space="0" w:color="auto"/>
        <w:left w:val="none" w:sz="0" w:space="0" w:color="auto"/>
        <w:bottom w:val="none" w:sz="0" w:space="0" w:color="auto"/>
        <w:right w:val="none" w:sz="0" w:space="0" w:color="auto"/>
      </w:divBdr>
      <w:divsChild>
        <w:div w:id="104532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37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88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465390">
      <w:bodyDiv w:val="1"/>
      <w:marLeft w:val="0"/>
      <w:marRight w:val="0"/>
      <w:marTop w:val="0"/>
      <w:marBottom w:val="0"/>
      <w:divBdr>
        <w:top w:val="none" w:sz="0" w:space="0" w:color="auto"/>
        <w:left w:val="none" w:sz="0" w:space="0" w:color="auto"/>
        <w:bottom w:val="none" w:sz="0" w:space="0" w:color="auto"/>
        <w:right w:val="none" w:sz="0" w:space="0" w:color="auto"/>
      </w:divBdr>
    </w:div>
    <w:div w:id="611204371">
      <w:bodyDiv w:val="1"/>
      <w:marLeft w:val="0"/>
      <w:marRight w:val="0"/>
      <w:marTop w:val="0"/>
      <w:marBottom w:val="0"/>
      <w:divBdr>
        <w:top w:val="none" w:sz="0" w:space="0" w:color="auto"/>
        <w:left w:val="none" w:sz="0" w:space="0" w:color="auto"/>
        <w:bottom w:val="none" w:sz="0" w:space="0" w:color="auto"/>
        <w:right w:val="none" w:sz="0" w:space="0" w:color="auto"/>
      </w:divBdr>
    </w:div>
    <w:div w:id="614753241">
      <w:bodyDiv w:val="1"/>
      <w:marLeft w:val="0"/>
      <w:marRight w:val="0"/>
      <w:marTop w:val="0"/>
      <w:marBottom w:val="0"/>
      <w:divBdr>
        <w:top w:val="none" w:sz="0" w:space="0" w:color="auto"/>
        <w:left w:val="none" w:sz="0" w:space="0" w:color="auto"/>
        <w:bottom w:val="none" w:sz="0" w:space="0" w:color="auto"/>
        <w:right w:val="none" w:sz="0" w:space="0" w:color="auto"/>
      </w:divBdr>
    </w:div>
    <w:div w:id="616563980">
      <w:bodyDiv w:val="1"/>
      <w:marLeft w:val="0"/>
      <w:marRight w:val="0"/>
      <w:marTop w:val="0"/>
      <w:marBottom w:val="0"/>
      <w:divBdr>
        <w:top w:val="none" w:sz="0" w:space="0" w:color="auto"/>
        <w:left w:val="none" w:sz="0" w:space="0" w:color="auto"/>
        <w:bottom w:val="none" w:sz="0" w:space="0" w:color="auto"/>
        <w:right w:val="none" w:sz="0" w:space="0" w:color="auto"/>
      </w:divBdr>
    </w:div>
    <w:div w:id="641737441">
      <w:bodyDiv w:val="1"/>
      <w:marLeft w:val="0"/>
      <w:marRight w:val="0"/>
      <w:marTop w:val="0"/>
      <w:marBottom w:val="0"/>
      <w:divBdr>
        <w:top w:val="none" w:sz="0" w:space="0" w:color="auto"/>
        <w:left w:val="none" w:sz="0" w:space="0" w:color="auto"/>
        <w:bottom w:val="none" w:sz="0" w:space="0" w:color="auto"/>
        <w:right w:val="none" w:sz="0" w:space="0" w:color="auto"/>
      </w:divBdr>
    </w:div>
    <w:div w:id="669676049">
      <w:bodyDiv w:val="1"/>
      <w:marLeft w:val="0"/>
      <w:marRight w:val="0"/>
      <w:marTop w:val="0"/>
      <w:marBottom w:val="0"/>
      <w:divBdr>
        <w:top w:val="none" w:sz="0" w:space="0" w:color="auto"/>
        <w:left w:val="none" w:sz="0" w:space="0" w:color="auto"/>
        <w:bottom w:val="none" w:sz="0" w:space="0" w:color="auto"/>
        <w:right w:val="none" w:sz="0" w:space="0" w:color="auto"/>
      </w:divBdr>
    </w:div>
    <w:div w:id="734741963">
      <w:bodyDiv w:val="1"/>
      <w:marLeft w:val="0"/>
      <w:marRight w:val="0"/>
      <w:marTop w:val="0"/>
      <w:marBottom w:val="0"/>
      <w:divBdr>
        <w:top w:val="none" w:sz="0" w:space="0" w:color="auto"/>
        <w:left w:val="none" w:sz="0" w:space="0" w:color="auto"/>
        <w:bottom w:val="none" w:sz="0" w:space="0" w:color="auto"/>
        <w:right w:val="none" w:sz="0" w:space="0" w:color="auto"/>
      </w:divBdr>
    </w:div>
    <w:div w:id="818112632">
      <w:bodyDiv w:val="1"/>
      <w:marLeft w:val="0"/>
      <w:marRight w:val="0"/>
      <w:marTop w:val="0"/>
      <w:marBottom w:val="0"/>
      <w:divBdr>
        <w:top w:val="none" w:sz="0" w:space="0" w:color="auto"/>
        <w:left w:val="none" w:sz="0" w:space="0" w:color="auto"/>
        <w:bottom w:val="none" w:sz="0" w:space="0" w:color="auto"/>
        <w:right w:val="none" w:sz="0" w:space="0" w:color="auto"/>
      </w:divBdr>
    </w:div>
    <w:div w:id="854271137">
      <w:bodyDiv w:val="1"/>
      <w:marLeft w:val="0"/>
      <w:marRight w:val="0"/>
      <w:marTop w:val="0"/>
      <w:marBottom w:val="0"/>
      <w:divBdr>
        <w:top w:val="none" w:sz="0" w:space="0" w:color="auto"/>
        <w:left w:val="none" w:sz="0" w:space="0" w:color="auto"/>
        <w:bottom w:val="none" w:sz="0" w:space="0" w:color="auto"/>
        <w:right w:val="none" w:sz="0" w:space="0" w:color="auto"/>
      </w:divBdr>
    </w:div>
    <w:div w:id="951590797">
      <w:bodyDiv w:val="1"/>
      <w:marLeft w:val="0"/>
      <w:marRight w:val="0"/>
      <w:marTop w:val="0"/>
      <w:marBottom w:val="0"/>
      <w:divBdr>
        <w:top w:val="none" w:sz="0" w:space="0" w:color="auto"/>
        <w:left w:val="none" w:sz="0" w:space="0" w:color="auto"/>
        <w:bottom w:val="none" w:sz="0" w:space="0" w:color="auto"/>
        <w:right w:val="none" w:sz="0" w:space="0" w:color="auto"/>
      </w:divBdr>
    </w:div>
    <w:div w:id="963653794">
      <w:bodyDiv w:val="1"/>
      <w:marLeft w:val="0"/>
      <w:marRight w:val="0"/>
      <w:marTop w:val="0"/>
      <w:marBottom w:val="0"/>
      <w:divBdr>
        <w:top w:val="none" w:sz="0" w:space="0" w:color="auto"/>
        <w:left w:val="none" w:sz="0" w:space="0" w:color="auto"/>
        <w:bottom w:val="none" w:sz="0" w:space="0" w:color="auto"/>
        <w:right w:val="none" w:sz="0" w:space="0" w:color="auto"/>
      </w:divBdr>
    </w:div>
    <w:div w:id="982348224">
      <w:bodyDiv w:val="1"/>
      <w:marLeft w:val="0"/>
      <w:marRight w:val="0"/>
      <w:marTop w:val="0"/>
      <w:marBottom w:val="0"/>
      <w:divBdr>
        <w:top w:val="none" w:sz="0" w:space="0" w:color="auto"/>
        <w:left w:val="none" w:sz="0" w:space="0" w:color="auto"/>
        <w:bottom w:val="none" w:sz="0" w:space="0" w:color="auto"/>
        <w:right w:val="none" w:sz="0" w:space="0" w:color="auto"/>
      </w:divBdr>
    </w:div>
    <w:div w:id="1212419099">
      <w:bodyDiv w:val="1"/>
      <w:marLeft w:val="0"/>
      <w:marRight w:val="0"/>
      <w:marTop w:val="0"/>
      <w:marBottom w:val="0"/>
      <w:divBdr>
        <w:top w:val="none" w:sz="0" w:space="0" w:color="auto"/>
        <w:left w:val="none" w:sz="0" w:space="0" w:color="auto"/>
        <w:bottom w:val="none" w:sz="0" w:space="0" w:color="auto"/>
        <w:right w:val="none" w:sz="0" w:space="0" w:color="auto"/>
      </w:divBdr>
    </w:div>
    <w:div w:id="1311135245">
      <w:bodyDiv w:val="1"/>
      <w:marLeft w:val="0"/>
      <w:marRight w:val="0"/>
      <w:marTop w:val="0"/>
      <w:marBottom w:val="0"/>
      <w:divBdr>
        <w:top w:val="none" w:sz="0" w:space="0" w:color="auto"/>
        <w:left w:val="none" w:sz="0" w:space="0" w:color="auto"/>
        <w:bottom w:val="none" w:sz="0" w:space="0" w:color="auto"/>
        <w:right w:val="none" w:sz="0" w:space="0" w:color="auto"/>
      </w:divBdr>
    </w:div>
    <w:div w:id="1389258932">
      <w:bodyDiv w:val="1"/>
      <w:marLeft w:val="0"/>
      <w:marRight w:val="0"/>
      <w:marTop w:val="0"/>
      <w:marBottom w:val="0"/>
      <w:divBdr>
        <w:top w:val="none" w:sz="0" w:space="0" w:color="auto"/>
        <w:left w:val="none" w:sz="0" w:space="0" w:color="auto"/>
        <w:bottom w:val="none" w:sz="0" w:space="0" w:color="auto"/>
        <w:right w:val="none" w:sz="0" w:space="0" w:color="auto"/>
      </w:divBdr>
    </w:div>
    <w:div w:id="1417357167">
      <w:bodyDiv w:val="1"/>
      <w:marLeft w:val="0"/>
      <w:marRight w:val="0"/>
      <w:marTop w:val="0"/>
      <w:marBottom w:val="0"/>
      <w:divBdr>
        <w:top w:val="none" w:sz="0" w:space="0" w:color="auto"/>
        <w:left w:val="none" w:sz="0" w:space="0" w:color="auto"/>
        <w:bottom w:val="none" w:sz="0" w:space="0" w:color="auto"/>
        <w:right w:val="none" w:sz="0" w:space="0" w:color="auto"/>
      </w:divBdr>
    </w:div>
    <w:div w:id="1447499463">
      <w:bodyDiv w:val="1"/>
      <w:marLeft w:val="0"/>
      <w:marRight w:val="0"/>
      <w:marTop w:val="0"/>
      <w:marBottom w:val="0"/>
      <w:divBdr>
        <w:top w:val="none" w:sz="0" w:space="0" w:color="auto"/>
        <w:left w:val="none" w:sz="0" w:space="0" w:color="auto"/>
        <w:bottom w:val="none" w:sz="0" w:space="0" w:color="auto"/>
        <w:right w:val="none" w:sz="0" w:space="0" w:color="auto"/>
      </w:divBdr>
    </w:div>
    <w:div w:id="1464081805">
      <w:bodyDiv w:val="1"/>
      <w:marLeft w:val="0"/>
      <w:marRight w:val="0"/>
      <w:marTop w:val="0"/>
      <w:marBottom w:val="0"/>
      <w:divBdr>
        <w:top w:val="none" w:sz="0" w:space="0" w:color="auto"/>
        <w:left w:val="none" w:sz="0" w:space="0" w:color="auto"/>
        <w:bottom w:val="none" w:sz="0" w:space="0" w:color="auto"/>
        <w:right w:val="none" w:sz="0" w:space="0" w:color="auto"/>
      </w:divBdr>
    </w:div>
    <w:div w:id="1541092537">
      <w:bodyDiv w:val="1"/>
      <w:marLeft w:val="0"/>
      <w:marRight w:val="0"/>
      <w:marTop w:val="0"/>
      <w:marBottom w:val="0"/>
      <w:divBdr>
        <w:top w:val="none" w:sz="0" w:space="0" w:color="auto"/>
        <w:left w:val="none" w:sz="0" w:space="0" w:color="auto"/>
        <w:bottom w:val="none" w:sz="0" w:space="0" w:color="auto"/>
        <w:right w:val="none" w:sz="0" w:space="0" w:color="auto"/>
      </w:divBdr>
    </w:div>
    <w:div w:id="1735348812">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9">
          <w:marLeft w:val="0"/>
          <w:marRight w:val="0"/>
          <w:marTop w:val="0"/>
          <w:marBottom w:val="0"/>
          <w:divBdr>
            <w:top w:val="none" w:sz="0" w:space="0" w:color="auto"/>
            <w:left w:val="none" w:sz="0" w:space="0" w:color="auto"/>
            <w:bottom w:val="none" w:sz="0" w:space="0" w:color="auto"/>
            <w:right w:val="none" w:sz="0" w:space="0" w:color="auto"/>
          </w:divBdr>
          <w:divsChild>
            <w:div w:id="18956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713">
      <w:bodyDiv w:val="1"/>
      <w:marLeft w:val="0"/>
      <w:marRight w:val="0"/>
      <w:marTop w:val="0"/>
      <w:marBottom w:val="0"/>
      <w:divBdr>
        <w:top w:val="none" w:sz="0" w:space="0" w:color="auto"/>
        <w:left w:val="none" w:sz="0" w:space="0" w:color="auto"/>
        <w:bottom w:val="none" w:sz="0" w:space="0" w:color="auto"/>
        <w:right w:val="none" w:sz="0" w:space="0" w:color="auto"/>
      </w:divBdr>
    </w:div>
    <w:div w:id="1800143533">
      <w:bodyDiv w:val="1"/>
      <w:marLeft w:val="0"/>
      <w:marRight w:val="0"/>
      <w:marTop w:val="0"/>
      <w:marBottom w:val="0"/>
      <w:divBdr>
        <w:top w:val="none" w:sz="0" w:space="0" w:color="auto"/>
        <w:left w:val="none" w:sz="0" w:space="0" w:color="auto"/>
        <w:bottom w:val="none" w:sz="0" w:space="0" w:color="auto"/>
        <w:right w:val="none" w:sz="0" w:space="0" w:color="auto"/>
      </w:divBdr>
    </w:div>
    <w:div w:id="1893612578">
      <w:bodyDiv w:val="1"/>
      <w:marLeft w:val="0"/>
      <w:marRight w:val="0"/>
      <w:marTop w:val="0"/>
      <w:marBottom w:val="0"/>
      <w:divBdr>
        <w:top w:val="none" w:sz="0" w:space="0" w:color="auto"/>
        <w:left w:val="none" w:sz="0" w:space="0" w:color="auto"/>
        <w:bottom w:val="none" w:sz="0" w:space="0" w:color="auto"/>
        <w:right w:val="none" w:sz="0" w:space="0" w:color="auto"/>
      </w:divBdr>
      <w:divsChild>
        <w:div w:id="24983755">
          <w:marLeft w:val="0"/>
          <w:marRight w:val="0"/>
          <w:marTop w:val="0"/>
          <w:marBottom w:val="0"/>
          <w:divBdr>
            <w:top w:val="none" w:sz="0" w:space="0" w:color="auto"/>
            <w:left w:val="none" w:sz="0" w:space="0" w:color="auto"/>
            <w:bottom w:val="none" w:sz="0" w:space="0" w:color="auto"/>
            <w:right w:val="none" w:sz="0" w:space="0" w:color="auto"/>
          </w:divBdr>
          <w:divsChild>
            <w:div w:id="6680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5089">
      <w:bodyDiv w:val="1"/>
      <w:marLeft w:val="0"/>
      <w:marRight w:val="0"/>
      <w:marTop w:val="0"/>
      <w:marBottom w:val="0"/>
      <w:divBdr>
        <w:top w:val="none" w:sz="0" w:space="0" w:color="auto"/>
        <w:left w:val="none" w:sz="0" w:space="0" w:color="auto"/>
        <w:bottom w:val="none" w:sz="0" w:space="0" w:color="auto"/>
        <w:right w:val="none" w:sz="0" w:space="0" w:color="auto"/>
      </w:divBdr>
    </w:div>
    <w:div w:id="1937515508">
      <w:bodyDiv w:val="1"/>
      <w:marLeft w:val="0"/>
      <w:marRight w:val="0"/>
      <w:marTop w:val="0"/>
      <w:marBottom w:val="0"/>
      <w:divBdr>
        <w:top w:val="none" w:sz="0" w:space="0" w:color="auto"/>
        <w:left w:val="none" w:sz="0" w:space="0" w:color="auto"/>
        <w:bottom w:val="none" w:sz="0" w:space="0" w:color="auto"/>
        <w:right w:val="none" w:sz="0" w:space="0" w:color="auto"/>
      </w:divBdr>
    </w:div>
    <w:div w:id="1950774563">
      <w:bodyDiv w:val="1"/>
      <w:marLeft w:val="0"/>
      <w:marRight w:val="0"/>
      <w:marTop w:val="0"/>
      <w:marBottom w:val="0"/>
      <w:divBdr>
        <w:top w:val="none" w:sz="0" w:space="0" w:color="auto"/>
        <w:left w:val="none" w:sz="0" w:space="0" w:color="auto"/>
        <w:bottom w:val="none" w:sz="0" w:space="0" w:color="auto"/>
        <w:right w:val="none" w:sz="0" w:space="0" w:color="auto"/>
      </w:divBdr>
    </w:div>
    <w:div w:id="1984239423">
      <w:bodyDiv w:val="1"/>
      <w:marLeft w:val="0"/>
      <w:marRight w:val="0"/>
      <w:marTop w:val="0"/>
      <w:marBottom w:val="0"/>
      <w:divBdr>
        <w:top w:val="none" w:sz="0" w:space="0" w:color="auto"/>
        <w:left w:val="none" w:sz="0" w:space="0" w:color="auto"/>
        <w:bottom w:val="none" w:sz="0" w:space="0" w:color="auto"/>
        <w:right w:val="none" w:sz="0" w:space="0" w:color="auto"/>
      </w:divBdr>
    </w:div>
    <w:div w:id="2017464409">
      <w:bodyDiv w:val="1"/>
      <w:marLeft w:val="0"/>
      <w:marRight w:val="0"/>
      <w:marTop w:val="0"/>
      <w:marBottom w:val="0"/>
      <w:divBdr>
        <w:top w:val="none" w:sz="0" w:space="0" w:color="auto"/>
        <w:left w:val="none" w:sz="0" w:space="0" w:color="auto"/>
        <w:bottom w:val="none" w:sz="0" w:space="0" w:color="auto"/>
        <w:right w:val="none" w:sz="0" w:space="0" w:color="auto"/>
      </w:divBdr>
    </w:div>
    <w:div w:id="2059619756">
      <w:bodyDiv w:val="1"/>
      <w:marLeft w:val="0"/>
      <w:marRight w:val="0"/>
      <w:marTop w:val="0"/>
      <w:marBottom w:val="0"/>
      <w:divBdr>
        <w:top w:val="none" w:sz="0" w:space="0" w:color="auto"/>
        <w:left w:val="none" w:sz="0" w:space="0" w:color="auto"/>
        <w:bottom w:val="none" w:sz="0" w:space="0" w:color="auto"/>
        <w:right w:val="none" w:sz="0" w:space="0" w:color="auto"/>
      </w:divBdr>
    </w:div>
    <w:div w:id="2133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case@liv.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kmccs.org/medical-cannabis/faqs/" TargetMode="External"/><Relationship Id="rId13" Type="http://schemas.openxmlformats.org/officeDocument/2006/relationships/hyperlink" Target="https://www.nice.org.uk/guidance/indevelopment/gid-ta10410/documents" TargetMode="External"/><Relationship Id="rId18" Type="http://schemas.openxmlformats.org/officeDocument/2006/relationships/hyperlink" Target="https://www.england.nhs.uk/wp-content/uploads/2018/10/letter-guidance-on-cannabis-based-products-for-medicinal-use..pdf" TargetMode="External"/><Relationship Id="rId26" Type="http://schemas.openxmlformats.org/officeDocument/2006/relationships/hyperlink" Target="https://www.tandfonline.com/doi/full/10.1080/17579961.2019.1573399" TargetMode="External"/><Relationship Id="rId3" Type="http://schemas.openxmlformats.org/officeDocument/2006/relationships/hyperlink" Target="https://www.crowdfunder.co.uk/united-patients-alliance" TargetMode="External"/><Relationship Id="rId21" Type="http://schemas.openxmlformats.org/officeDocument/2006/relationships/hyperlink" Target="https://www.eoecph.nhs.uk/Pharmaceutical_specials.pdf" TargetMode="External"/><Relationship Id="rId7" Type="http://schemas.openxmlformats.org/officeDocument/2006/relationships/hyperlink" Target="https://www.kentonline.co.uk/canterbury/news/cannabis-plea-for-girl-in-intensive-care-227836/" TargetMode="External"/><Relationship Id="rId12" Type="http://schemas.openxmlformats.org/officeDocument/2006/relationships/hyperlink" Target="https://www.england.nhs.uk/wp-content/uploads/2018/03/responsibility-prescribing-between-primary-secondary-care-v2.pdf" TargetMode="External"/><Relationship Id="rId17" Type="http://schemas.openxmlformats.org/officeDocument/2006/relationships/hyperlink" Target="http://www.hscbusiness.hscni.net/pdf/Cannabis%20Based%20Products%20for%20Medicinal%20Use%20Supplementary%20Letter%20FINAL.PDF" TargetMode="External"/><Relationship Id="rId25" Type="http://schemas.openxmlformats.org/officeDocument/2006/relationships/hyperlink" Target="https://www.smmgp-fdap.org.uk/news/medical-cannabis-a-series-of-free-webinars" TargetMode="External"/><Relationship Id="rId2" Type="http://schemas.openxmlformats.org/officeDocument/2006/relationships/hyperlink" Target="https://www.marybiles.com/podcast" TargetMode="External"/><Relationship Id="rId16" Type="http://schemas.openxmlformats.org/officeDocument/2006/relationships/hyperlink" Target="http://www.cannpass.org" TargetMode="External"/><Relationship Id="rId20" Type="http://schemas.openxmlformats.org/officeDocument/2006/relationships/hyperlink" Target="https://www.palliativedrugs.com/download/Unlicensed%20Medicines%20V4.pdf" TargetMode="External"/><Relationship Id="rId1" Type="http://schemas.openxmlformats.org/officeDocument/2006/relationships/hyperlink" Target="http://www.dravet.org.uk" TargetMode="External"/><Relationship Id="rId6" Type="http://schemas.openxmlformats.org/officeDocument/2006/relationships/hyperlink" Target="https://www.mirror.co.uk/news/uk-news/parents-nhs-cannabis-fight-toddler-21851951" TargetMode="External"/><Relationship Id="rId11" Type="http://schemas.openxmlformats.org/officeDocument/2006/relationships/hyperlink" Target="https://www.cornwalllive.com/news/cornwall-news/arthritic-plasterer-grew-cannabis-pain-4152714" TargetMode="External"/><Relationship Id="rId24" Type="http://schemas.openxmlformats.org/officeDocument/2006/relationships/hyperlink" Target="https://www.ukmccs.org" TargetMode="External"/><Relationship Id="rId5" Type="http://schemas.openxmlformats.org/officeDocument/2006/relationships/hyperlink" Target="https://www.belfastlive.co.uk/news/health/billy-caldwell-medicinal-cannabis-battle-17749677" TargetMode="External"/><Relationship Id="rId15" Type="http://schemas.openxmlformats.org/officeDocument/2006/relationships/hyperlink" Target="https://www.england.nhs.uk/medicines-2/support-for-prescribers/cannabis-based-products-for-medicinal-use/cannabis-based-products-for-medicinal-use-frequently-asked-questions/" TargetMode="External"/><Relationship Id="rId23" Type="http://schemas.openxmlformats.org/officeDocument/2006/relationships/hyperlink" Target="https://www.bcpft.nhs.uk/documents/policies/u/1135-unlicensed-medicines/file" TargetMode="External"/><Relationship Id="rId28" Type="http://schemas.openxmlformats.org/officeDocument/2006/relationships/hyperlink" Target="https://academic.oup.com/medlaw/article-abstract/25/4/582/3979483" TargetMode="External"/><Relationship Id="rId10" Type="http://schemas.openxmlformats.org/officeDocument/2006/relationships/hyperlink" Target="https://www.cps.gov.uk/legal-guidance/drug-offences" TargetMode="External"/><Relationship Id="rId19" Type="http://schemas.openxmlformats.org/officeDocument/2006/relationships/hyperlink" Target="https://www.nuffieldtrust.org.uk/resource/the-nhs-workforce-in-numbers" TargetMode="External"/><Relationship Id="rId4" Type="http://schemas.openxmlformats.org/officeDocument/2006/relationships/hyperlink" Target="https://www.bbc.co.uk/news/uk-england-51385994" TargetMode="External"/><Relationship Id="rId9" Type="http://schemas.openxmlformats.org/officeDocument/2006/relationships/hyperlink" Target="https://www.thecmcuk.org/1-4-million-uk-adults-self-medicating-with-illicit-cannabis" TargetMode="External"/><Relationship Id="rId14" Type="http://schemas.openxmlformats.org/officeDocument/2006/relationships/hyperlink" Target="https://www.nice.org.uk/about/what-we-do/our-programmes/nice-guidance/nice-guidelines/making-decisions-using-nice-guidelines" TargetMode="External"/><Relationship Id="rId22" Type="http://schemas.openxmlformats.org/officeDocument/2006/relationships/hyperlink" Target="https://www.ukmccs.org/information/working-as-a-medical-cannabis-clinician-in-the-uk-finding-insurance/" TargetMode="External"/><Relationship Id="rId27" Type="http://schemas.openxmlformats.org/officeDocument/2006/relationships/hyperlink" Target="https://www.nice.org.uk/news/feature/david-haslam-getting-the-guidance-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1A13D-221E-4B37-91F0-5F5B0F90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13252</Words>
  <Characters>74214</Characters>
  <Application>Microsoft Office Word</Application>
  <DocSecurity>0</DocSecurity>
  <Lines>1002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2021-04-16T20:51:00Z</dcterms:created>
  <dcterms:modified xsi:type="dcterms:W3CDTF">2021-04-20T09:52:00Z</dcterms:modified>
</cp:coreProperties>
</file>