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212D" w14:textId="77777777" w:rsidR="006E5FD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6071803a.B" w:hAnsi="AdvTT6071803a.B" w:cs="AdvTT6071803a.B"/>
          <w:sz w:val="24"/>
          <w:szCs w:val="24"/>
        </w:rPr>
      </w:pPr>
      <w:r>
        <w:rPr>
          <w:rFonts w:ascii="AdvTT6071803a.B" w:hAnsi="AdvTT6071803a.B" w:cs="AdvTT6071803a.B"/>
          <w:sz w:val="24"/>
          <w:szCs w:val="24"/>
        </w:rPr>
        <w:t>The safety of hydroxychloroquine in</w:t>
      </w:r>
      <w:r>
        <w:rPr>
          <w:rFonts w:ascii="AdvTT6071803a.B" w:hAnsi="AdvTT6071803a.B" w:cs="AdvTT6071803a.B"/>
          <w:sz w:val="24"/>
          <w:szCs w:val="24"/>
        </w:rPr>
        <w:t xml:space="preserve"> </w:t>
      </w:r>
      <w:r>
        <w:rPr>
          <w:rFonts w:ascii="AdvTT6071803a.B" w:hAnsi="AdvTT6071803a.B" w:cs="AdvTT6071803a.B"/>
          <w:sz w:val="24"/>
          <w:szCs w:val="24"/>
        </w:rPr>
        <w:t>paediatric populations: Analysis of worldwide</w:t>
      </w:r>
      <w:r>
        <w:rPr>
          <w:rFonts w:ascii="AdvTT6071803a.B" w:hAnsi="AdvTT6071803a.B" w:cs="AdvTT6071803a.B"/>
          <w:sz w:val="24"/>
          <w:szCs w:val="24"/>
        </w:rPr>
        <w:t xml:space="preserve"> </w:t>
      </w:r>
      <w:r>
        <w:rPr>
          <w:rFonts w:ascii="AdvTT6071803a.B" w:hAnsi="AdvTT6071803a.B" w:cs="AdvTT6071803a.B"/>
          <w:sz w:val="24"/>
          <w:szCs w:val="24"/>
        </w:rPr>
        <w:t>pharmacovigilance reports</w:t>
      </w:r>
    </w:p>
    <w:p w14:paraId="290F8EF8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6071803a.B" w:hAnsi="AdvTT6071803a.B" w:cs="AdvTT6071803a.B"/>
          <w:sz w:val="24"/>
          <w:szCs w:val="24"/>
        </w:rPr>
      </w:pPr>
    </w:p>
    <w:p w14:paraId="54EC8ED8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  <w:r>
        <w:rPr>
          <w:rFonts w:ascii="AdvTT6071803a.B" w:hAnsi="AdvTT6071803a.B" w:cs="AdvTT6071803a.B"/>
          <w:sz w:val="16"/>
          <w:szCs w:val="16"/>
        </w:rPr>
        <w:t xml:space="preserve">Introduction/background &amp; aims: </w:t>
      </w:r>
      <w:r>
        <w:rPr>
          <w:rFonts w:ascii="AdvTTa9c1b374" w:hAnsi="AdvTTa9c1b374" w:cs="AdvTTa9c1b374"/>
          <w:sz w:val="16"/>
          <w:szCs w:val="16"/>
        </w:rPr>
        <w:t>Hydroxychloroquine was widely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promoted as a treatment for COVID-19. Although its use for treatment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of COVID-19 is not supported by the evidence from randomised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clinical trials</w:t>
      </w:r>
      <w:proofErr w:type="gramStart"/>
      <w:r>
        <w:rPr>
          <w:rFonts w:ascii="AdvTTa9c1b374" w:hAnsi="AdvTTa9c1b374" w:cs="AdvTTa9c1b374"/>
          <w:sz w:val="16"/>
          <w:szCs w:val="16"/>
        </w:rPr>
        <w:t>,</w:t>
      </w:r>
      <w:r>
        <w:rPr>
          <w:rFonts w:ascii="AdvTTa9c1b374" w:hAnsi="AdvTTa9c1b374" w:cs="AdvTTa9c1b374"/>
          <w:sz w:val="11"/>
          <w:szCs w:val="11"/>
        </w:rPr>
        <w:t>1</w:t>
      </w:r>
      <w:proofErr w:type="gramEnd"/>
      <w:r>
        <w:rPr>
          <w:rFonts w:ascii="AdvTTa9c1b374" w:hAnsi="AdvTTa9c1b374" w:cs="AdvTTa9c1b374"/>
          <w:sz w:val="11"/>
          <w:szCs w:val="11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there are ongoing studies considering its use for prophylaxis.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Paediatric patients experience a generally milder disease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phenotype than older adults, and the risks of this treatment need to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be considered specifically in this population. This study set out to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 xml:space="preserve">detail adverse effect reports </w:t>
      </w:r>
      <w:proofErr w:type="gramStart"/>
      <w:r>
        <w:rPr>
          <w:rFonts w:ascii="AdvTTa9c1b374" w:hAnsi="AdvTTa9c1b374" w:cs="AdvTTa9c1b374"/>
          <w:sz w:val="16"/>
          <w:szCs w:val="16"/>
        </w:rPr>
        <w:t xml:space="preserve">of </w:t>
      </w:r>
      <w:r>
        <w:rPr>
          <w:rFonts w:ascii="AdvTTa9c1b374" w:hAnsi="AdvTTa9c1b374" w:cs="AdvTTa9c1b374"/>
          <w:sz w:val="16"/>
          <w:szCs w:val="16"/>
        </w:rPr>
        <w:t xml:space="preserve"> h</w:t>
      </w:r>
      <w:r>
        <w:rPr>
          <w:rFonts w:ascii="AdvTTa9c1b374" w:hAnsi="AdvTTa9c1b374" w:cs="AdvTTa9c1b374"/>
          <w:sz w:val="16"/>
          <w:szCs w:val="16"/>
        </w:rPr>
        <w:t>ydro</w:t>
      </w:r>
      <w:r>
        <w:rPr>
          <w:rFonts w:ascii="AdvTTa9c1b374" w:hAnsi="AdvTTa9c1b374" w:cs="AdvTTa9c1b374"/>
          <w:sz w:val="16"/>
          <w:szCs w:val="16"/>
        </w:rPr>
        <w:t>xychloroquine</w:t>
      </w:r>
      <w:proofErr w:type="gramEnd"/>
      <w:r>
        <w:rPr>
          <w:rFonts w:ascii="AdvTTa9c1b374" w:hAnsi="AdvTTa9c1b374" w:cs="AdvTTa9c1b374"/>
          <w:sz w:val="16"/>
          <w:szCs w:val="16"/>
        </w:rPr>
        <w:t xml:space="preserve"> use in paediatric </w:t>
      </w:r>
      <w:r>
        <w:rPr>
          <w:rFonts w:ascii="AdvTTa9c1b374" w:hAnsi="AdvTTa9c1b374" w:cs="AdvTTa9c1b374"/>
          <w:sz w:val="16"/>
          <w:szCs w:val="16"/>
        </w:rPr>
        <w:t>patients.</w:t>
      </w:r>
    </w:p>
    <w:p w14:paraId="1230CAA4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</w:p>
    <w:p w14:paraId="74DAA4B5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  <w:r>
        <w:rPr>
          <w:rFonts w:ascii="AdvTT6071803a.B" w:hAnsi="AdvTT6071803a.B" w:cs="AdvTT6071803a.B"/>
          <w:sz w:val="16"/>
          <w:szCs w:val="16"/>
        </w:rPr>
        <w:t xml:space="preserve">Method/summary of work: </w:t>
      </w:r>
      <w:r>
        <w:rPr>
          <w:rFonts w:ascii="AdvTTa9c1b374" w:hAnsi="AdvTTa9c1b374" w:cs="AdvTTa9c1b374"/>
          <w:sz w:val="16"/>
          <w:szCs w:val="16"/>
        </w:rPr>
        <w:t>The study entailed a search of VigiBase,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the World Health Organisation's (WHO) global database of individual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case safety reports (ISCRs) received from &gt;130 countries worldwide.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Included ISCRs were from patients &lt;19 years of age at the time of the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adverse event, listing hydroxychloroquine as the suspect drug. Outcomes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were the types, and severity, of the adverse events reported.</w:t>
      </w:r>
    </w:p>
    <w:p w14:paraId="02ED9743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</w:p>
    <w:p w14:paraId="6FD0A134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  <w:r>
        <w:rPr>
          <w:rFonts w:ascii="AdvTT6071803a.B" w:hAnsi="AdvTT6071803a.B" w:cs="AdvTT6071803a.B"/>
          <w:sz w:val="16"/>
          <w:szCs w:val="16"/>
        </w:rPr>
        <w:t xml:space="preserve">Results/discussion: </w:t>
      </w:r>
      <w:r>
        <w:rPr>
          <w:rFonts w:ascii="AdvTTa9c1b374" w:hAnsi="AdvTTa9c1b374" w:cs="AdvTTa9c1b374"/>
          <w:sz w:val="16"/>
          <w:szCs w:val="16"/>
        </w:rPr>
        <w:t>VigiBase contained 536 reports of adverse events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to hydroxychloroquine in patients &lt;19 years from 1971 to 2020. Gender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was predominantly female (377, 70.3%), and median age 14 years.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ISCRs originated most frequently from Europe (204 reports, 38.1%),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least frequently Africa (2, 0.4%).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There were 547 different reasons for using hydroxychloroquine,</w:t>
      </w:r>
    </w:p>
    <w:p w14:paraId="31C54D1E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  <w:proofErr w:type="gramStart"/>
      <w:r>
        <w:rPr>
          <w:rFonts w:ascii="AdvTTa9c1b374" w:hAnsi="AdvTTa9c1b374" w:cs="AdvTTa9c1b374"/>
          <w:sz w:val="16"/>
          <w:szCs w:val="16"/>
        </w:rPr>
        <w:t>the</w:t>
      </w:r>
      <w:proofErr w:type="gramEnd"/>
      <w:r>
        <w:rPr>
          <w:rFonts w:ascii="AdvTTa9c1b374" w:hAnsi="AdvTTa9c1b374" w:cs="AdvTTa9c1b374"/>
          <w:sz w:val="16"/>
          <w:szCs w:val="16"/>
        </w:rPr>
        <w:t xml:space="preserve"> five most common reasons were </w:t>
      </w:r>
      <w:r>
        <w:rPr>
          <w:rFonts w:ascii="AdvOT8608a8d1+20" w:hAnsi="AdvOT8608a8d1+20" w:cs="AdvOT8608a8d1+20"/>
          <w:sz w:val="16"/>
          <w:szCs w:val="16"/>
        </w:rPr>
        <w:t>“</w:t>
      </w:r>
      <w:r>
        <w:rPr>
          <w:rFonts w:ascii="AdvTTa9c1b374" w:hAnsi="AdvTTa9c1b374" w:cs="AdvTTa9c1b374"/>
          <w:sz w:val="16"/>
          <w:szCs w:val="16"/>
        </w:rPr>
        <w:t>unknown reason</w:t>
      </w:r>
      <w:r>
        <w:rPr>
          <w:rFonts w:ascii="AdvOT8608a8d1+20" w:hAnsi="AdvOT8608a8d1+20" w:cs="AdvOT8608a8d1+20"/>
          <w:sz w:val="16"/>
          <w:szCs w:val="16"/>
        </w:rPr>
        <w:t xml:space="preserve">” </w:t>
      </w:r>
      <w:r>
        <w:rPr>
          <w:rFonts w:ascii="AdvTTa9c1b374" w:hAnsi="AdvTTa9c1b374" w:cs="AdvTTa9c1b374"/>
          <w:sz w:val="16"/>
          <w:szCs w:val="16"/>
        </w:rPr>
        <w:t>(221, 40.4%),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systemic lupus erythematosus (112, 20.5%), rheumatoid arthritis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(27, 4.9%), juvenile idiopathic arthritis, (20, 3.7%) and lupus nephritis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(9, 1.6%). For adverse events, a total of 1707 were reported, with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555 different ones specified. The most commonly reported adverse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 xml:space="preserve">effects for hydroxychloroquine were </w:t>
      </w:r>
      <w:r>
        <w:rPr>
          <w:rFonts w:ascii="AdvOT8608a8d1+20" w:hAnsi="AdvOT8608a8d1+20" w:cs="AdvOT8608a8d1+20"/>
          <w:sz w:val="16"/>
          <w:szCs w:val="16"/>
        </w:rPr>
        <w:t>“</w:t>
      </w:r>
      <w:r>
        <w:rPr>
          <w:rFonts w:ascii="AdvTTa9c1b374" w:hAnsi="AdvTTa9c1b374" w:cs="AdvTTa9c1b374"/>
          <w:sz w:val="16"/>
          <w:szCs w:val="16"/>
        </w:rPr>
        <w:t>Drug ineffective</w:t>
      </w:r>
      <w:r>
        <w:rPr>
          <w:rFonts w:ascii="AdvOT8608a8d1+20" w:hAnsi="AdvOT8608a8d1+20" w:cs="AdvOT8608a8d1+20"/>
          <w:sz w:val="16"/>
          <w:szCs w:val="16"/>
        </w:rPr>
        <w:t xml:space="preserve">” </w:t>
      </w:r>
      <w:r>
        <w:rPr>
          <w:rFonts w:ascii="AdvTTa9c1b374" w:hAnsi="AdvTTa9c1b374" w:cs="AdvTTa9c1b374"/>
          <w:sz w:val="16"/>
          <w:szCs w:val="16"/>
        </w:rPr>
        <w:t>(51, 9.5%),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nausea (29, 5.4%), diarrhoea (28, 5.2%), rash (28, 5.2%), vomiting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(27, 5.0%).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 xml:space="preserve">Reporters classified 292 (54.5%) of ISCR as </w:t>
      </w:r>
      <w:r>
        <w:rPr>
          <w:rFonts w:ascii="AdvOT8608a8d1+20" w:hAnsi="AdvOT8608a8d1+20" w:cs="AdvOT8608a8d1+20"/>
          <w:sz w:val="16"/>
          <w:szCs w:val="16"/>
        </w:rPr>
        <w:t>“</w:t>
      </w:r>
      <w:r>
        <w:rPr>
          <w:rFonts w:ascii="AdvTTa9c1b374" w:hAnsi="AdvTTa9c1b374" w:cs="AdvTTa9c1b374"/>
          <w:sz w:val="16"/>
          <w:szCs w:val="16"/>
        </w:rPr>
        <w:t>serious.</w:t>
      </w:r>
      <w:r>
        <w:rPr>
          <w:rFonts w:ascii="AdvOT8608a8d1+20" w:hAnsi="AdvOT8608a8d1+20" w:cs="AdvOT8608a8d1+20"/>
          <w:sz w:val="16"/>
          <w:szCs w:val="16"/>
        </w:rPr>
        <w:t xml:space="preserve">” </w:t>
      </w:r>
      <w:r>
        <w:rPr>
          <w:rFonts w:ascii="AdvTTa9c1b374" w:hAnsi="AdvTTa9c1b374" w:cs="AdvTTa9c1b374"/>
          <w:sz w:val="16"/>
          <w:szCs w:val="16"/>
        </w:rPr>
        <w:t>Overall,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there were 42 (7.8%) deaths associated with reported adverse events.</w:t>
      </w:r>
    </w:p>
    <w:p w14:paraId="792C40CD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  <w:r>
        <w:rPr>
          <w:rFonts w:ascii="AdvTTa9c1b374" w:hAnsi="AdvTTa9c1b374" w:cs="AdvTTa9c1b374"/>
          <w:sz w:val="16"/>
          <w:szCs w:val="16"/>
        </w:rPr>
        <w:t xml:space="preserve">In deaths, where a reason for use was provided, </w:t>
      </w:r>
      <w:r>
        <w:rPr>
          <w:rFonts w:ascii="AdvOT8608a8d1+20" w:hAnsi="AdvOT8608a8d1+20" w:cs="AdvOT8608a8d1+20"/>
          <w:sz w:val="16"/>
          <w:szCs w:val="16"/>
        </w:rPr>
        <w:t>“</w:t>
      </w:r>
      <w:r>
        <w:rPr>
          <w:rFonts w:ascii="AdvTTa9c1b374" w:hAnsi="AdvTTa9c1b374" w:cs="AdvTTa9c1b374"/>
          <w:sz w:val="16"/>
          <w:szCs w:val="16"/>
        </w:rPr>
        <w:t>Intentional Overdose</w:t>
      </w:r>
      <w:r>
        <w:rPr>
          <w:rFonts w:ascii="AdvOT8608a8d1+20" w:hAnsi="AdvOT8608a8d1+20" w:cs="AdvOT8608a8d1+20"/>
          <w:sz w:val="16"/>
          <w:szCs w:val="16"/>
        </w:rPr>
        <w:t>”</w:t>
      </w:r>
      <w:r>
        <w:rPr>
          <w:rFonts w:ascii="AdvOT8608a8d1+20" w:hAnsi="AdvOT8608a8d1+20" w:cs="AdvOT8608a8d1+20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was the most commonly recorded (nine reports, 6.9%). The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most common adverse events noted in the fatal reports were completed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suicide (n = 13), toxicity to various agents (n = 11), intentional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overdose (n = 9), cardiac arrest (n = 9), pulmonary oedema (n = 8),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renal failure (n = 8) and metabolic acidosis (n = 6).</w:t>
      </w:r>
    </w:p>
    <w:p w14:paraId="31BEEE90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  <w:rPr>
          <w:rFonts w:ascii="AdvTTa9c1b374" w:hAnsi="AdvTTa9c1b374" w:cs="AdvTTa9c1b374"/>
          <w:sz w:val="16"/>
          <w:szCs w:val="16"/>
        </w:rPr>
      </w:pPr>
    </w:p>
    <w:p w14:paraId="04D2C7FC" w14:textId="77777777" w:rsidR="00D5492F" w:rsidRDefault="00D5492F" w:rsidP="00D5492F">
      <w:pPr>
        <w:autoSpaceDE w:val="0"/>
        <w:autoSpaceDN w:val="0"/>
        <w:adjustRightInd w:val="0"/>
        <w:spacing w:after="0" w:line="240" w:lineRule="auto"/>
      </w:pPr>
      <w:r>
        <w:rPr>
          <w:rFonts w:ascii="AdvTT6071803a.B" w:hAnsi="AdvTT6071803a.B" w:cs="AdvTT6071803a.B"/>
          <w:sz w:val="16"/>
          <w:szCs w:val="16"/>
        </w:rPr>
        <w:t xml:space="preserve">Conclusion(s): </w:t>
      </w:r>
      <w:r>
        <w:rPr>
          <w:rFonts w:ascii="AdvTTa9c1b374" w:hAnsi="AdvTTa9c1b374" w:cs="AdvTTa9c1b374"/>
          <w:sz w:val="16"/>
          <w:szCs w:val="16"/>
        </w:rPr>
        <w:t>Hydroxychloroquine carries with it a degree of risk that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would need to be balanced against the expected severity of COVID-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19 if considered for use in paediatric patients. Experimental medications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r>
        <w:rPr>
          <w:rFonts w:ascii="AdvTTa9c1b374" w:hAnsi="AdvTTa9c1b374" w:cs="AdvTTa9c1b374"/>
          <w:sz w:val="16"/>
          <w:szCs w:val="16"/>
        </w:rPr>
        <w:t>for COVID-19 should ideally be provided in the context of a clinical</w:t>
      </w:r>
      <w:r>
        <w:rPr>
          <w:rFonts w:ascii="AdvTTa9c1b374" w:hAnsi="AdvTTa9c1b374" w:cs="AdvTTa9c1b374"/>
          <w:sz w:val="16"/>
          <w:szCs w:val="16"/>
        </w:rPr>
        <w:t xml:space="preserve"> </w:t>
      </w:r>
      <w:bookmarkStart w:id="0" w:name="_GoBack"/>
      <w:bookmarkEnd w:id="0"/>
      <w:r>
        <w:rPr>
          <w:rFonts w:ascii="AdvTTa9c1b374" w:hAnsi="AdvTTa9c1b374" w:cs="AdvTTa9c1b374"/>
          <w:sz w:val="16"/>
          <w:szCs w:val="16"/>
        </w:rPr>
        <w:t>trial.</w:t>
      </w:r>
    </w:p>
    <w:sectPr w:rsidR="00D5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6071803a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a9c1b37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2F"/>
    <w:rsid w:val="006E5FDF"/>
    <w:rsid w:val="00D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E649"/>
  <w15:chartTrackingRefBased/>
  <w15:docId w15:val="{78BE5918-8098-47DE-A819-35702D2C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3" ma:contentTypeDescription="Create a new document." ma:contentTypeScope="" ma:versionID="936fde269f4577316716d68b4864e15f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56c1f4504469e9832bc9ce63882f9f53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A9DB5-F6D5-45E9-8532-6300CE49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36612-DF76-415C-8B76-BDAE92AB6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09678-52E8-4038-B66B-69853F75DCD9}">
  <ds:schemaRefs>
    <ds:schemaRef ds:uri="http://purl.org/dc/dcmitype/"/>
    <ds:schemaRef ds:uri="http://purl.org/dc/elements/1.1/"/>
    <ds:schemaRef ds:uri="2c43926a-b248-4fb5-8692-7f03bd5c687b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c0728d4-b628-46ac-beb8-1847ad0e6c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2021-04-22T11:55:00Z</dcterms:created>
  <dcterms:modified xsi:type="dcterms:W3CDTF">2021-04-22T11:58:00Z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