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3A0C6" w14:textId="4B3AAFF2" w:rsidR="00CA358C" w:rsidRPr="00EF52AB" w:rsidRDefault="00CA358C" w:rsidP="002F4BD0">
      <w:pPr>
        <w:spacing w:after="0" w:line="480" w:lineRule="auto"/>
        <w:rPr>
          <w:b/>
        </w:rPr>
      </w:pPr>
      <w:bookmarkStart w:id="0" w:name="_Hlk63340513"/>
      <w:bookmarkStart w:id="1" w:name="_GoBack"/>
      <w:bookmarkEnd w:id="1"/>
      <w:r w:rsidRPr="00EF52AB">
        <w:rPr>
          <w:b/>
        </w:rPr>
        <w:t>Urban agriculture in times of crisis: the role of home food growing in perceived food insecurity and well-being during the early COVID-19 lockdown.</w:t>
      </w:r>
    </w:p>
    <w:bookmarkEnd w:id="0"/>
    <w:p w14:paraId="1EC1ECE5" w14:textId="7FD95049" w:rsidR="006F7EB4" w:rsidRPr="005D5959" w:rsidRDefault="006F7EB4" w:rsidP="002F4BD0">
      <w:pPr>
        <w:spacing w:after="0" w:line="480" w:lineRule="auto"/>
      </w:pPr>
      <w:r w:rsidRPr="006F7EB4">
        <w:rPr>
          <w:bCs/>
        </w:rPr>
        <w:t>Authors</w:t>
      </w:r>
      <w:r w:rsidR="007D4680">
        <w:rPr>
          <w:bCs/>
        </w:rPr>
        <w:t>:</w:t>
      </w:r>
      <w:r w:rsidRPr="006F7EB4">
        <w:t xml:space="preserve"> Bethan R. Mead</w:t>
      </w:r>
      <w:r w:rsidRPr="006F7EB4">
        <w:rPr>
          <w:vertAlign w:val="superscript"/>
        </w:rPr>
        <w:t>1</w:t>
      </w:r>
      <w:r w:rsidRPr="005D5959">
        <w:t xml:space="preserve">, </w:t>
      </w:r>
      <w:r w:rsidRPr="006F7EB4">
        <w:t>Jess</w:t>
      </w:r>
      <w:r w:rsidR="00CF3A0E">
        <w:t>ica</w:t>
      </w:r>
      <w:r>
        <w:t xml:space="preserve"> A. C.</w:t>
      </w:r>
      <w:r w:rsidRPr="006F7EB4">
        <w:t xml:space="preserve"> Davies</w:t>
      </w:r>
      <w:r w:rsidRPr="006F7EB4">
        <w:rPr>
          <w:vertAlign w:val="superscript"/>
        </w:rPr>
        <w:t>2</w:t>
      </w:r>
      <w:r w:rsidRPr="006F7EB4">
        <w:t>, Natalia Falagán</w:t>
      </w:r>
      <w:r w:rsidRPr="006F7EB4">
        <w:rPr>
          <w:vertAlign w:val="superscript"/>
        </w:rPr>
        <w:t>3</w:t>
      </w:r>
      <w:r w:rsidRPr="006F7EB4">
        <w:t>, Sofia Kourmpetli</w:t>
      </w:r>
      <w:r w:rsidRPr="006F7EB4">
        <w:rPr>
          <w:vertAlign w:val="superscript"/>
        </w:rPr>
        <w:t>3</w:t>
      </w:r>
      <w:r w:rsidRPr="006F7EB4">
        <w:t xml:space="preserve">, </w:t>
      </w:r>
      <w:proofErr w:type="spellStart"/>
      <w:r w:rsidRPr="006F7EB4">
        <w:t>Lingxuan</w:t>
      </w:r>
      <w:proofErr w:type="spellEnd"/>
      <w:r w:rsidRPr="006F7EB4">
        <w:t xml:space="preserve"> Liu</w:t>
      </w:r>
      <w:r w:rsidRPr="006F7EB4">
        <w:rPr>
          <w:vertAlign w:val="superscript"/>
        </w:rPr>
        <w:t>2</w:t>
      </w:r>
      <w:r w:rsidRPr="006F7EB4">
        <w:t>, Charlotte A. Hardman</w:t>
      </w:r>
      <w:r w:rsidRPr="006F7EB4">
        <w:rPr>
          <w:b/>
          <w:vertAlign w:val="superscript"/>
        </w:rPr>
        <w:t>1</w:t>
      </w:r>
    </w:p>
    <w:p w14:paraId="7F78DF5B" w14:textId="0A2497F5" w:rsidR="006F7EB4" w:rsidRDefault="006F7EB4" w:rsidP="002F4BD0">
      <w:pPr>
        <w:spacing w:after="0" w:line="480" w:lineRule="auto"/>
        <w:rPr>
          <w:bCs/>
        </w:rPr>
      </w:pPr>
    </w:p>
    <w:p w14:paraId="757197F1" w14:textId="7795539E" w:rsidR="006F7EB4" w:rsidRDefault="006F7EB4" w:rsidP="002F4BD0">
      <w:pPr>
        <w:spacing w:after="0" w:line="480" w:lineRule="auto"/>
      </w:pPr>
      <w:bookmarkStart w:id="2" w:name="_Hlk33705434"/>
      <w:r>
        <w:t>(1) Department of Psycholog</w:t>
      </w:r>
      <w:r w:rsidR="00D66CF9">
        <w:t>y</w:t>
      </w:r>
      <w:r>
        <w:t>, University of Liverpool, Liverpool, UK</w:t>
      </w:r>
    </w:p>
    <w:p w14:paraId="21DEDD68" w14:textId="77777777" w:rsidR="006F7EB4" w:rsidRDefault="006F7EB4" w:rsidP="002F4BD0">
      <w:pPr>
        <w:spacing w:after="0" w:line="480" w:lineRule="auto"/>
      </w:pPr>
      <w:r>
        <w:t>(2) Lancaster Environment Centre, Lancaster University, Lancaster, UK</w:t>
      </w:r>
    </w:p>
    <w:p w14:paraId="7DE0A523" w14:textId="5E3737A4" w:rsidR="006F7EB4" w:rsidRDefault="006F7EB4" w:rsidP="002F4BD0">
      <w:pPr>
        <w:spacing w:after="0" w:line="480" w:lineRule="auto"/>
      </w:pPr>
      <w:r>
        <w:t xml:space="preserve">(3) </w:t>
      </w:r>
      <w:r w:rsidR="5DEFEE18">
        <w:t>Plant Science Laboratory</w:t>
      </w:r>
      <w:r>
        <w:t>, Cranfield University, Cranfield, UK</w:t>
      </w:r>
      <w:bookmarkEnd w:id="2"/>
    </w:p>
    <w:p w14:paraId="215E59BB" w14:textId="2851E9AA" w:rsidR="006F7EB4" w:rsidRDefault="006F7EB4" w:rsidP="002F4BD0">
      <w:pPr>
        <w:spacing w:after="0" w:line="480" w:lineRule="auto"/>
      </w:pPr>
    </w:p>
    <w:p w14:paraId="697DD408" w14:textId="4C63DF19" w:rsidR="006F7EB4" w:rsidRDefault="006F7EB4" w:rsidP="002F4BD0">
      <w:pPr>
        <w:spacing w:after="0" w:line="480" w:lineRule="auto"/>
      </w:pPr>
      <w:r>
        <w:t xml:space="preserve">Corresponding author: Bethan R. Mead, </w:t>
      </w:r>
      <w:hyperlink r:id="rId11" w:history="1">
        <w:r w:rsidRPr="0050495D">
          <w:rPr>
            <w:rStyle w:val="Hyperlink"/>
          </w:rPr>
          <w:t>b.mead@liverpool.ac.uk</w:t>
        </w:r>
      </w:hyperlink>
      <w:r>
        <w:t xml:space="preserve"> </w:t>
      </w:r>
    </w:p>
    <w:p w14:paraId="2E72AEF4" w14:textId="35214C4B" w:rsidR="008E113D" w:rsidRDefault="008E113D" w:rsidP="002F4BD0">
      <w:pPr>
        <w:spacing w:after="0" w:line="480" w:lineRule="auto"/>
      </w:pPr>
    </w:p>
    <w:p w14:paraId="5978AF7D" w14:textId="2214C158" w:rsidR="008E113D" w:rsidRDefault="008E113D" w:rsidP="002F4BD0">
      <w:pPr>
        <w:spacing w:after="0" w:line="480" w:lineRule="auto"/>
      </w:pPr>
    </w:p>
    <w:p w14:paraId="114A1E0B" w14:textId="101AEEC3" w:rsidR="008E113D" w:rsidRDefault="008E113D" w:rsidP="002F4BD0">
      <w:pPr>
        <w:spacing w:after="0" w:line="480" w:lineRule="auto"/>
      </w:pPr>
    </w:p>
    <w:p w14:paraId="05713BD4" w14:textId="3CF98C83" w:rsidR="008E113D" w:rsidRDefault="008E113D" w:rsidP="002F4BD0">
      <w:pPr>
        <w:spacing w:after="0" w:line="480" w:lineRule="auto"/>
      </w:pPr>
    </w:p>
    <w:p w14:paraId="4C9053FB" w14:textId="7CD82F55" w:rsidR="008E113D" w:rsidRDefault="008E113D" w:rsidP="002F4BD0">
      <w:pPr>
        <w:spacing w:after="0" w:line="480" w:lineRule="auto"/>
      </w:pPr>
    </w:p>
    <w:p w14:paraId="5046CEAF" w14:textId="001716A1" w:rsidR="008E113D" w:rsidRPr="00FB7740" w:rsidRDefault="008E113D" w:rsidP="008E113D">
      <w:pPr>
        <w:pStyle w:val="Default"/>
        <w:spacing w:line="480" w:lineRule="auto"/>
        <w:rPr>
          <w:rFonts w:cstheme="minorHAnsi"/>
        </w:rPr>
      </w:pPr>
    </w:p>
    <w:p w14:paraId="4773F5A0" w14:textId="77777777" w:rsidR="008E113D" w:rsidRDefault="008E113D" w:rsidP="008E113D">
      <w:pPr>
        <w:spacing w:after="0" w:line="480" w:lineRule="auto"/>
        <w:rPr>
          <w:rFonts w:cstheme="minorHAnsi"/>
        </w:rPr>
      </w:pPr>
    </w:p>
    <w:p w14:paraId="0C96DE64" w14:textId="7B65FF9F" w:rsidR="00947248" w:rsidRDefault="00947248" w:rsidP="002F4BD0">
      <w:pPr>
        <w:spacing w:after="0" w:line="480" w:lineRule="auto"/>
        <w:rPr>
          <w:rStyle w:val="normaltextrun"/>
          <w:color w:val="000000"/>
          <w:shd w:val="clear" w:color="auto" w:fill="FFFFFF"/>
        </w:rPr>
      </w:pPr>
    </w:p>
    <w:p w14:paraId="130C69EE" w14:textId="44596D09" w:rsidR="00407556" w:rsidRDefault="00407556" w:rsidP="002F4BD0">
      <w:pPr>
        <w:spacing w:after="0" w:line="480" w:lineRule="auto"/>
        <w:rPr>
          <w:b/>
          <w:i/>
        </w:rPr>
      </w:pPr>
    </w:p>
    <w:p w14:paraId="35B8BD59" w14:textId="0B44D953" w:rsidR="00407556" w:rsidRDefault="00407556" w:rsidP="002F4BD0">
      <w:pPr>
        <w:spacing w:after="0" w:line="480" w:lineRule="auto"/>
        <w:rPr>
          <w:b/>
          <w:i/>
        </w:rPr>
      </w:pPr>
    </w:p>
    <w:p w14:paraId="6B51FE65" w14:textId="43996034" w:rsidR="00407556" w:rsidRDefault="00407556" w:rsidP="002F4BD0">
      <w:pPr>
        <w:spacing w:after="0" w:line="480" w:lineRule="auto"/>
        <w:rPr>
          <w:b/>
          <w:i/>
        </w:rPr>
      </w:pPr>
    </w:p>
    <w:p w14:paraId="6E0C79F0" w14:textId="6FAEDE3A" w:rsidR="00407556" w:rsidRDefault="00407556" w:rsidP="002F4BD0">
      <w:pPr>
        <w:spacing w:after="0" w:line="480" w:lineRule="auto"/>
        <w:rPr>
          <w:b/>
          <w:i/>
        </w:rPr>
      </w:pPr>
    </w:p>
    <w:p w14:paraId="22904298" w14:textId="13578DE0" w:rsidR="00407556" w:rsidRDefault="00407556" w:rsidP="002F4BD0">
      <w:pPr>
        <w:spacing w:after="0" w:line="480" w:lineRule="auto"/>
        <w:rPr>
          <w:b/>
          <w:i/>
        </w:rPr>
      </w:pPr>
    </w:p>
    <w:p w14:paraId="20EA76E2" w14:textId="5DDF91E5" w:rsidR="00407556" w:rsidRDefault="00407556" w:rsidP="002F4BD0">
      <w:pPr>
        <w:spacing w:after="0" w:line="480" w:lineRule="auto"/>
        <w:rPr>
          <w:b/>
          <w:i/>
        </w:rPr>
      </w:pPr>
    </w:p>
    <w:p w14:paraId="64ECD734" w14:textId="6D08DE00" w:rsidR="00407556" w:rsidRDefault="00407556" w:rsidP="002F4BD0">
      <w:pPr>
        <w:spacing w:after="0" w:line="480" w:lineRule="auto"/>
        <w:rPr>
          <w:b/>
          <w:i/>
        </w:rPr>
      </w:pPr>
    </w:p>
    <w:p w14:paraId="0839865D" w14:textId="77777777" w:rsidR="00407556" w:rsidRDefault="00407556" w:rsidP="002F4BD0">
      <w:pPr>
        <w:spacing w:after="0" w:line="480" w:lineRule="auto"/>
        <w:rPr>
          <w:b/>
          <w:i/>
        </w:rPr>
      </w:pPr>
    </w:p>
    <w:p w14:paraId="0C9CBEC7" w14:textId="21E441AE" w:rsidR="008E113D" w:rsidRPr="000C7CC3" w:rsidRDefault="008E113D" w:rsidP="002F4BD0">
      <w:pPr>
        <w:spacing w:after="0" w:line="480" w:lineRule="auto"/>
        <w:rPr>
          <w:b/>
          <w:i/>
        </w:rPr>
      </w:pPr>
      <w:r w:rsidRPr="0056579C">
        <w:rPr>
          <w:b/>
          <w:iCs/>
        </w:rPr>
        <w:lastRenderedPageBreak/>
        <w:t>Abstract</w:t>
      </w:r>
    </w:p>
    <w:p w14:paraId="4D4248F2" w14:textId="0C9B57BA" w:rsidR="00D66CF9" w:rsidRDefault="00D66CF9" w:rsidP="00D66CF9">
      <w:pPr>
        <w:spacing w:after="0" w:line="480" w:lineRule="auto"/>
      </w:pPr>
      <w:r>
        <w:t xml:space="preserve">Household food insecurity and poor well-being have increased during the </w:t>
      </w:r>
      <w:bookmarkStart w:id="3" w:name="_Hlk69293946"/>
      <w:r w:rsidR="000E1BBA">
        <w:t>coronavirus</w:t>
      </w:r>
      <w:r w:rsidR="004F2718">
        <w:t xml:space="preserve"> disease</w:t>
      </w:r>
      <w:r w:rsidR="000E1BBA">
        <w:t xml:space="preserve"> 2019 </w:t>
      </w:r>
      <w:bookmarkEnd w:id="3"/>
      <w:r w:rsidR="000E1BBA">
        <w:t>(</w:t>
      </w:r>
      <w:r>
        <w:t>COVID-19</w:t>
      </w:r>
      <w:r w:rsidR="000E1BBA">
        <w:t>)</w:t>
      </w:r>
      <w:r>
        <w:t xml:space="preserve"> pandemic and resulting lockdown measures. Home food growing has been associated with </w:t>
      </w:r>
      <w:r w:rsidR="4CA56289">
        <w:t xml:space="preserve">improved </w:t>
      </w:r>
      <w:r>
        <w:t xml:space="preserve">food access and well-being, but </w:t>
      </w:r>
      <w:r w:rsidR="00A5095B">
        <w:t xml:space="preserve">it </w:t>
      </w:r>
      <w:r w:rsidR="31E89A20">
        <w:t xml:space="preserve">is unknown </w:t>
      </w:r>
      <w:r w:rsidR="5BCB4F81">
        <w:t>what role it play</w:t>
      </w:r>
      <w:r w:rsidR="002637BB">
        <w:t>s</w:t>
      </w:r>
      <w:r w:rsidR="5BCB4F81">
        <w:t xml:space="preserve"> </w:t>
      </w:r>
      <w:r w:rsidR="007D40E3">
        <w:t xml:space="preserve">during </w:t>
      </w:r>
      <w:r w:rsidR="5BCB4F81">
        <w:t>food supply crises and lockdown</w:t>
      </w:r>
      <w:r w:rsidR="493DA6EE">
        <w:t>.</w:t>
      </w:r>
      <w:r>
        <w:t xml:space="preserve"> It is also unclear how </w:t>
      </w:r>
      <w:r w:rsidR="00B663E0">
        <w:t>home food growing</w:t>
      </w:r>
      <w:r w:rsidR="766FE393">
        <w:t xml:space="preserve"> and </w:t>
      </w:r>
      <w:r w:rsidR="226537BB">
        <w:t>social</w:t>
      </w:r>
      <w:r w:rsidR="766FE393">
        <w:t xml:space="preserve"> restriction</w:t>
      </w:r>
      <w:r w:rsidR="4D8F083A">
        <w:t>s</w:t>
      </w:r>
      <w:r>
        <w:t xml:space="preserve"> may affect opinions about growing food in urban areas (i.e.</w:t>
      </w:r>
      <w:r w:rsidR="4A95EA1B">
        <w:t>,</w:t>
      </w:r>
      <w:r>
        <w:t xml:space="preserve"> urban agriculture </w:t>
      </w:r>
      <w:r w:rsidR="00870FF6">
        <w:t>[</w:t>
      </w:r>
      <w:r>
        <w:t>UA</w:t>
      </w:r>
      <w:r w:rsidR="00870FF6">
        <w:t>]</w:t>
      </w:r>
      <w:r>
        <w:t>).</w:t>
      </w:r>
    </w:p>
    <w:p w14:paraId="2042FE79" w14:textId="2D49E79A" w:rsidR="00757B91" w:rsidRDefault="00757B91" w:rsidP="002F4BD0">
      <w:pPr>
        <w:spacing w:after="0" w:line="480" w:lineRule="auto"/>
      </w:pPr>
    </w:p>
    <w:p w14:paraId="6501D605" w14:textId="37D7B9D6" w:rsidR="00D66CF9" w:rsidRDefault="00D66CF9" w:rsidP="00D66CF9">
      <w:pPr>
        <w:spacing w:after="0" w:line="480" w:lineRule="auto"/>
      </w:pPr>
      <w:r>
        <w:t xml:space="preserve">A cross-sectional online survey was conducted during the UK national lockdown </w:t>
      </w:r>
      <w:r w:rsidR="00E87AFE">
        <w:t xml:space="preserve">in March-April 2020 </w:t>
      </w:r>
      <w:r>
        <w:t xml:space="preserve">to measure </w:t>
      </w:r>
      <w:r w:rsidR="00897F21">
        <w:t>home food growing</w:t>
      </w:r>
      <w:r>
        <w:t xml:space="preserve">, </w:t>
      </w:r>
      <w:r w:rsidR="00227770">
        <w:t xml:space="preserve">perceived </w:t>
      </w:r>
      <w:r>
        <w:t>food insecurity</w:t>
      </w:r>
      <w:r w:rsidR="00E87AFE">
        <w:t>,</w:t>
      </w:r>
      <w:r>
        <w:t xml:space="preserve"> well-being, and opinion</w:t>
      </w:r>
      <w:r w:rsidR="005E0B5D">
        <w:t>s of UA.</w:t>
      </w:r>
      <w:r>
        <w:t xml:space="preserve">  </w:t>
      </w:r>
      <w:r w:rsidR="00870FF6">
        <w:t>The p</w:t>
      </w:r>
      <w:r>
        <w:t>articipants were 477 UK-based adults</w:t>
      </w:r>
      <w:r w:rsidR="00897F21">
        <w:t xml:space="preserve"> (369 female, mean age 39.57 years </w:t>
      </w:r>
      <w:r w:rsidR="00897F21" w:rsidRPr="2CA49CD8">
        <w:t>±</w:t>
      </w:r>
      <w:r w:rsidR="00897F21">
        <w:t xml:space="preserve"> 13.36)</w:t>
      </w:r>
      <w:r w:rsidR="00294EFC">
        <w:t>;</w:t>
      </w:r>
      <w:r>
        <w:t xml:space="preserve"> </w:t>
      </w:r>
      <w:r w:rsidR="00294EFC">
        <w:t>152 participants were</w:t>
      </w:r>
      <w:r>
        <w:t xml:space="preserve"> engaged in </w:t>
      </w:r>
      <w:r w:rsidR="005E0B5D">
        <w:t>home food growing</w:t>
      </w:r>
      <w:r w:rsidR="5DDD207F">
        <w:t xml:space="preserve"> prior to the pandemic</w:t>
      </w:r>
      <w:r w:rsidR="0018444A">
        <w:t xml:space="preserve">. Responses were compared to data </w:t>
      </w:r>
      <w:r w:rsidR="0061065C">
        <w:t>collected</w:t>
      </w:r>
      <w:r w:rsidR="0018444A">
        <w:t xml:space="preserve"> </w:t>
      </w:r>
      <w:r w:rsidR="00E87AFE">
        <w:t xml:space="preserve">from a separate sample of participants </w:t>
      </w:r>
      <w:r w:rsidR="0018444A">
        <w:t>before the pandemic (</w:t>
      </w:r>
      <w:r w:rsidR="0018444A" w:rsidRPr="2CA49CD8">
        <w:rPr>
          <w:i/>
          <w:iCs/>
        </w:rPr>
        <w:t xml:space="preserve">N </w:t>
      </w:r>
      <w:r w:rsidR="0018444A">
        <w:t>= 583) t</w:t>
      </w:r>
      <w:r w:rsidR="5DB1C493">
        <w:t>o</w:t>
      </w:r>
      <w:r w:rsidR="00227770">
        <w:t xml:space="preserve"> explore</w:t>
      </w:r>
      <w:r w:rsidR="00E87AFE">
        <w:t xml:space="preserve"> potential </w:t>
      </w:r>
      <w:r w:rsidR="00443DBB">
        <w:t>shifts</w:t>
      </w:r>
      <w:r w:rsidR="00E87AFE">
        <w:t xml:space="preserve"> in</w:t>
      </w:r>
      <w:r w:rsidR="00227770">
        <w:t xml:space="preserve"> opinions </w:t>
      </w:r>
      <w:r w:rsidR="00E87AFE">
        <w:t>about</w:t>
      </w:r>
      <w:r w:rsidR="00227770">
        <w:t xml:space="preserve"> UA.</w:t>
      </w:r>
      <w:r w:rsidR="006059F3">
        <w:t xml:space="preserve"> </w:t>
      </w:r>
    </w:p>
    <w:p w14:paraId="10878C3C" w14:textId="1F6504A3" w:rsidR="00757B91" w:rsidRDefault="00757B91" w:rsidP="002F4BD0">
      <w:pPr>
        <w:spacing w:after="0" w:line="480" w:lineRule="auto"/>
      </w:pPr>
    </w:p>
    <w:p w14:paraId="03323C21" w14:textId="419AE864" w:rsidR="00CA1F2A" w:rsidRDefault="00B663E0" w:rsidP="00CA1F2A">
      <w:pPr>
        <w:spacing w:after="0" w:line="480" w:lineRule="auto"/>
      </w:pPr>
      <w:r>
        <w:t>P</w:t>
      </w:r>
      <w:r w:rsidR="00CA1F2A">
        <w:t xml:space="preserve">articipants who engaged in </w:t>
      </w:r>
      <w:r w:rsidR="006059F3">
        <w:t>home food growing</w:t>
      </w:r>
      <w:r w:rsidR="00CA1F2A">
        <w:t xml:space="preserve"> had </w:t>
      </w:r>
      <w:r w:rsidR="00A325A1">
        <w:t>lower levels of food insecurity</w:t>
      </w:r>
      <w:r w:rsidR="00CA1F2A">
        <w:t xml:space="preserve"> </w:t>
      </w:r>
      <w:r w:rsidR="006059F3">
        <w:t>(</w:t>
      </w:r>
      <w:r w:rsidR="006059F3" w:rsidRPr="2CA49CD8">
        <w:rPr>
          <w:i/>
          <w:iCs/>
        </w:rPr>
        <w:t>U</w:t>
      </w:r>
      <w:r w:rsidR="006059F3" w:rsidRPr="2CA49CD8">
        <w:rPr>
          <w:i/>
          <w:iCs/>
          <w:vertAlign w:val="subscript"/>
        </w:rPr>
        <w:t xml:space="preserve"> </w:t>
      </w:r>
      <w:r w:rsidR="006059F3">
        <w:rPr>
          <w:vertAlign w:val="subscript"/>
        </w:rPr>
        <w:softHyphen/>
      </w:r>
      <w:r w:rsidR="006059F3">
        <w:t xml:space="preserve">= 19894.50, </w:t>
      </w:r>
      <w:r w:rsidR="006059F3" w:rsidRPr="2CA49CD8">
        <w:rPr>
          <w:i/>
          <w:iCs/>
        </w:rPr>
        <w:t xml:space="preserve">z </w:t>
      </w:r>
      <w:r w:rsidR="006059F3">
        <w:t>= -3.</w:t>
      </w:r>
      <w:r w:rsidR="006059F3" w:rsidRPr="00A14F29">
        <w:t xml:space="preserve">649, </w:t>
      </w:r>
      <w:r w:rsidR="006059F3" w:rsidRPr="2CA49CD8">
        <w:rPr>
          <w:i/>
          <w:iCs/>
        </w:rPr>
        <w:t>p</w:t>
      </w:r>
      <w:r w:rsidR="006059F3" w:rsidRPr="00A14F29">
        <w:t xml:space="preserve">&lt;.001, </w:t>
      </w:r>
      <w:r w:rsidR="006059F3" w:rsidRPr="2CA49CD8">
        <w:rPr>
          <w:i/>
          <w:iCs/>
        </w:rPr>
        <w:t>r</w:t>
      </w:r>
      <w:r w:rsidR="32216146" w:rsidRPr="2CA49CD8">
        <w:rPr>
          <w:i/>
          <w:iCs/>
        </w:rPr>
        <w:t xml:space="preserve"> </w:t>
      </w:r>
      <w:r w:rsidR="006059F3" w:rsidRPr="00A14F29">
        <w:t>= -.167</w:t>
      </w:r>
      <w:r w:rsidR="006059F3">
        <w:t xml:space="preserve">) </w:t>
      </w:r>
      <w:r w:rsidR="00CA1F2A">
        <w:t xml:space="preserve">and </w:t>
      </w:r>
      <w:r w:rsidR="006E7F53">
        <w:t xml:space="preserve">higher </w:t>
      </w:r>
      <w:r w:rsidR="00CA1F2A">
        <w:t>well-being</w:t>
      </w:r>
      <w:r w:rsidR="006059F3">
        <w:t xml:space="preserve"> (</w:t>
      </w:r>
      <w:r w:rsidR="006059F3" w:rsidRPr="2CA49CD8">
        <w:rPr>
          <w:i/>
          <w:iCs/>
        </w:rPr>
        <w:t>U</w:t>
      </w:r>
      <w:r w:rsidR="006059F3">
        <w:t xml:space="preserve"> = 19566.50, </w:t>
      </w:r>
      <w:r w:rsidR="006059F3" w:rsidRPr="2CA49CD8">
        <w:rPr>
          <w:i/>
          <w:iCs/>
        </w:rPr>
        <w:t xml:space="preserve">z </w:t>
      </w:r>
      <w:r w:rsidR="006059F3">
        <w:t xml:space="preserve">= -3.666, </w:t>
      </w:r>
      <w:r w:rsidR="006059F3" w:rsidRPr="2CA49CD8">
        <w:rPr>
          <w:i/>
          <w:iCs/>
        </w:rPr>
        <w:t>p</w:t>
      </w:r>
      <w:r w:rsidR="006059F3">
        <w:t xml:space="preserve">&lt;.001, </w:t>
      </w:r>
      <w:r w:rsidR="006059F3" w:rsidRPr="2CA49CD8">
        <w:rPr>
          <w:i/>
          <w:iCs/>
        </w:rPr>
        <w:t>r</w:t>
      </w:r>
      <w:r w:rsidR="006059F3">
        <w:t xml:space="preserve"> = -.168)</w:t>
      </w:r>
      <w:r w:rsidR="00CA1F2A">
        <w:t xml:space="preserve"> than those not engaged in </w:t>
      </w:r>
      <w:r w:rsidR="006059F3">
        <w:t>home food growing</w:t>
      </w:r>
      <w:r w:rsidR="00CA1F2A">
        <w:t xml:space="preserve">. </w:t>
      </w:r>
      <w:r w:rsidR="002637BB">
        <w:t>P</w:t>
      </w:r>
      <w:r w:rsidR="00AC7F9A">
        <w:t xml:space="preserve">erceived </w:t>
      </w:r>
      <w:r w:rsidR="00CA1F2A">
        <w:t xml:space="preserve">food </w:t>
      </w:r>
      <w:r w:rsidR="00A325A1">
        <w:t>in</w:t>
      </w:r>
      <w:r w:rsidR="00CA1F2A">
        <w:t xml:space="preserve">security </w:t>
      </w:r>
      <w:r w:rsidR="002214BE">
        <w:t xml:space="preserve">partially </w:t>
      </w:r>
      <w:r w:rsidR="00CA1F2A">
        <w:t xml:space="preserve">mediated the relationship between </w:t>
      </w:r>
      <w:r w:rsidR="00897F21">
        <w:t>home food growing</w:t>
      </w:r>
      <w:r w:rsidR="00CA1F2A">
        <w:t xml:space="preserve"> and well-being</w:t>
      </w:r>
      <w:r w:rsidR="0061065C">
        <w:t>;</w:t>
      </w:r>
      <w:r w:rsidR="00CA1F2A">
        <w:t xml:space="preserve"> </w:t>
      </w:r>
      <w:r w:rsidR="00897F21">
        <w:t>home food growing</w:t>
      </w:r>
      <w:r w:rsidR="00CA1F2A">
        <w:t xml:space="preserve"> was associated with </w:t>
      </w:r>
      <w:r w:rsidR="00897F21">
        <w:t>less</w:t>
      </w:r>
      <w:r w:rsidR="00CA1F2A">
        <w:t xml:space="preserve"> food </w:t>
      </w:r>
      <w:r w:rsidR="00897F21">
        <w:t>in</w:t>
      </w:r>
      <w:r w:rsidR="00CA1F2A">
        <w:t xml:space="preserve">security, which in turn was associated with better well-being. </w:t>
      </w:r>
      <w:r w:rsidR="00E87AFE">
        <w:t xml:space="preserve">There were no </w:t>
      </w:r>
      <w:r w:rsidR="00CA1F2A">
        <w:t xml:space="preserve">differences in opinions of </w:t>
      </w:r>
      <w:r w:rsidR="11D7C17C">
        <w:t>UA</w:t>
      </w:r>
      <w:r w:rsidR="00CA1F2A">
        <w:t xml:space="preserve"> compared to </w:t>
      </w:r>
      <w:r w:rsidR="00AC7F9A">
        <w:t>the</w:t>
      </w:r>
      <w:r w:rsidR="00CA1F2A">
        <w:t xml:space="preserve"> sample of participants from before the pandemic. </w:t>
      </w:r>
    </w:p>
    <w:p w14:paraId="73E5C5E4" w14:textId="77777777" w:rsidR="00373325" w:rsidRDefault="00373325" w:rsidP="00CA1F2A">
      <w:pPr>
        <w:spacing w:after="0" w:line="480" w:lineRule="auto"/>
      </w:pPr>
    </w:p>
    <w:p w14:paraId="7FFD2A9A" w14:textId="229C61AC" w:rsidR="00373325" w:rsidRDefault="002637BB" w:rsidP="00373325">
      <w:pPr>
        <w:spacing w:after="0" w:line="480" w:lineRule="auto"/>
      </w:pPr>
      <w:r>
        <w:t>H</w:t>
      </w:r>
      <w:r w:rsidR="00897F21">
        <w:t>ome food growing</w:t>
      </w:r>
      <w:r w:rsidR="00373325">
        <w:t xml:space="preserve"> may have had a protective effect over</w:t>
      </w:r>
      <w:r w:rsidR="00402B9A">
        <w:t xml:space="preserve"> </w:t>
      </w:r>
      <w:r>
        <w:t xml:space="preserve">perceived </w:t>
      </w:r>
      <w:r w:rsidR="00373325">
        <w:t>food security</w:t>
      </w:r>
      <w:r w:rsidR="00A5095B">
        <w:t xml:space="preserve"> </w:t>
      </w:r>
      <w:r w:rsidR="00373325">
        <w:t xml:space="preserve">and well-being in </w:t>
      </w:r>
      <w:r w:rsidR="00A5095B">
        <w:t xml:space="preserve">the early stages </w:t>
      </w:r>
      <w:r w:rsidR="00B663E0">
        <w:t>the pandemic</w:t>
      </w:r>
      <w:r w:rsidR="00294EFC">
        <w:t xml:space="preserve">. Opinions of UA were </w:t>
      </w:r>
      <w:r w:rsidR="00897F21">
        <w:t xml:space="preserve">positive and </w:t>
      </w:r>
      <w:r w:rsidR="009B319E">
        <w:t>unchanged compared to data collected pre-pandemic</w:t>
      </w:r>
      <w:r w:rsidR="0018444A">
        <w:t xml:space="preserve">. </w:t>
      </w:r>
      <w:r w:rsidR="00B663E0">
        <w:t>P</w:t>
      </w:r>
      <w:r w:rsidR="00A5095B">
        <w:t xml:space="preserve">olicies that support </w:t>
      </w:r>
      <w:r w:rsidR="00B02C71">
        <w:t>home food growing</w:t>
      </w:r>
      <w:r w:rsidR="00A5095B">
        <w:t xml:space="preserve"> and access to suitable growing spaces and resources </w:t>
      </w:r>
      <w:r w:rsidR="00B02C71">
        <w:t xml:space="preserve">may </w:t>
      </w:r>
      <w:r w:rsidR="00A5095B">
        <w:t>be beneficial</w:t>
      </w:r>
      <w:r w:rsidR="00B02C71">
        <w:t xml:space="preserve"> for</w:t>
      </w:r>
      <w:r w:rsidR="00A5095B">
        <w:t xml:space="preserve"> food system resilience and well-being.</w:t>
      </w:r>
      <w:r w:rsidR="0076768E">
        <w:t xml:space="preserve"> </w:t>
      </w:r>
    </w:p>
    <w:p w14:paraId="09780385" w14:textId="77777777" w:rsidR="00495106" w:rsidRDefault="00495106" w:rsidP="002F4BD0">
      <w:pPr>
        <w:spacing w:after="0" w:line="480" w:lineRule="auto"/>
      </w:pPr>
    </w:p>
    <w:p w14:paraId="6DF732FB" w14:textId="6A0107C7" w:rsidR="009C6F5E" w:rsidRPr="0056579C" w:rsidRDefault="002C3A6C" w:rsidP="002F4BD0">
      <w:pPr>
        <w:spacing w:after="0" w:line="480" w:lineRule="auto"/>
        <w:rPr>
          <w:b/>
          <w:bCs/>
          <w:iCs/>
        </w:rPr>
      </w:pPr>
      <w:r w:rsidRPr="0056579C">
        <w:rPr>
          <w:b/>
          <w:bCs/>
          <w:iCs/>
        </w:rPr>
        <w:lastRenderedPageBreak/>
        <w:t xml:space="preserve">Introduction </w:t>
      </w:r>
    </w:p>
    <w:p w14:paraId="41B5E4FC" w14:textId="76405860" w:rsidR="00373325" w:rsidRDefault="00465BD7" w:rsidP="00373325">
      <w:pPr>
        <w:spacing w:after="0" w:line="480" w:lineRule="auto"/>
      </w:pPr>
      <w:r>
        <w:t xml:space="preserve">The global </w:t>
      </w:r>
      <w:r w:rsidR="009C1753" w:rsidRPr="009C1753">
        <w:t>coronavirus</w:t>
      </w:r>
      <w:r w:rsidR="004F2718">
        <w:t xml:space="preserve"> disease</w:t>
      </w:r>
      <w:r w:rsidR="009C1753" w:rsidRPr="009C1753">
        <w:t xml:space="preserve"> 2019 </w:t>
      </w:r>
      <w:r w:rsidR="009C1753">
        <w:t>(</w:t>
      </w:r>
      <w:r>
        <w:t>COVID-19</w:t>
      </w:r>
      <w:r w:rsidR="009C1753">
        <w:t>)</w:t>
      </w:r>
      <w:r>
        <w:t xml:space="preserve"> pandemic</w:t>
      </w:r>
      <w:r w:rsidR="005E4698">
        <w:t xml:space="preserve"> triggered widespread</w:t>
      </w:r>
      <w:r>
        <w:t xml:space="preserve"> lockdown restrictions to </w:t>
      </w:r>
      <w:r w:rsidR="00347FB7">
        <w:t xml:space="preserve">limit the movement of citizens and </w:t>
      </w:r>
      <w:r>
        <w:t xml:space="preserve">control the spread of the virus </w:t>
      </w:r>
      <w:r w:rsidRPr="2CA49CD8">
        <w:rPr>
          <w:noProof/>
        </w:rPr>
        <w:t xml:space="preserve">(Koo </w:t>
      </w:r>
      <w:r w:rsidR="00D21786" w:rsidRPr="00D21786">
        <w:rPr>
          <w:i/>
          <w:iCs/>
          <w:noProof/>
        </w:rPr>
        <w:t>et al</w:t>
      </w:r>
      <w:r w:rsidRPr="2CA49CD8">
        <w:rPr>
          <w:noProof/>
        </w:rPr>
        <w:t>., 2020)</w:t>
      </w:r>
      <w:r w:rsidR="005E4698" w:rsidRPr="2CA49CD8">
        <w:rPr>
          <w:noProof/>
        </w:rPr>
        <w:t>. These are</w:t>
      </w:r>
      <w:r>
        <w:t xml:space="preserve"> predicted to have negative and long-lasting consequences for mental health</w:t>
      </w:r>
      <w:r w:rsidR="007F79DD">
        <w:t xml:space="preserve"> </w:t>
      </w:r>
      <w:r>
        <w:fldChar w:fldCharType="begin" w:fldLock="1"/>
      </w:r>
      <w:r w:rsidR="00212B7E">
        <w:instrText>ADDIN CSL_CITATION {"citationItems":[{"id":"ITEM-1","itemData":{"DOI":"10.1016/S2215-0366(20)30308-4","ISSN":"2215-0366","PMID":"32707037","abstract":"&lt;h2&gt;Summary&lt;/h2&gt;&lt;h3&gt;Background&lt;/h3&gt;&lt;p&gt;The potential impact of the COVID-19 pandemic on population mental health is of increasing global concern. We examine changes in adult mental health in the UK population before and during the lockdown.&lt;/p&gt;&lt;h3&gt;Methods&lt;/h3&gt;&lt;p&gt;In this secondary analysis of a national, longitudinal cohort study, households that took part in Waves 8 or 9 of the UK Household Longitudinal Study (UKHLS) panel, including all members aged 16 or older in April, 2020, were invited to complete the COVID-19 web survey on April 23–30, 2020. Participants who were unable to make an informed decision as a result of incapacity, or who had unknown postal addresses or addresses abroad were excluded. Mental health was assessed using the 12-item General Health Questionnaire (GHQ-12). Repeated cross-sectional analyses were done to examine temporal trends. Fixed-effects regression models were fitted to identify within-person change compared with preceding trends.&lt;/p&gt;&lt;h3&gt;Findings&lt;/h3&gt;&lt;p&gt;Waves 6–9 of the UKHLS had 53 351 participants. Eligible participants for the COVID-19 web survey were from households that took part in Waves 8 or 9, and 17 452 (41·2%) of 42 330 eligible people participated in the web survey. Population prevalence of clinically significant levels of mental distress rose from 18·9% (95% CI 17·8–20·0) in 2018–19 to 27·3% (26·3–28·2) in April, 2020, one month into UK lockdown. Mean GHQ-12 score also increased over this time, from 11·5 (95% CI 11·3–11·6) in 2018–19, to 12·6 (12·5–12·8) in April, 2020. This was 0·48 (95% CI 0·07–0·90) points higher than expected when accounting for previous upward trends between 2014 and 2018. Comparing GHQ-12 scores within individuals, adjusting for time trends and significant predictors of change, increases were greatest in 18–24-year-olds (2·69 points, 95% CI 1·89–3·48), 25–34-year-olds (1·57, 0·96–2·18), women (0·92, 0·50–1·35), and people living with young children (1·45, 0·79–2·12). People employed before the pandemic also averaged a notable increase in GHQ-12 score (0·63, 95% CI 0·20–1·06).&lt;/p&gt;&lt;h3&gt;Interpretation&lt;/h3&gt;&lt;p&gt;By late April, 2020, mental health in the UK had deteriorated compared with pre-COVID-19 trends. Policies emphasising the needs of women, young people, and those with preschool aged children are likely to play an important part in preventing future mental illness.&lt;/p&gt;&lt;h3&gt;Funding&lt;/h3&gt;&lt;p&gt;None.&lt;/p&gt;","author":[{"dropping-particle":"","family":"Pierce","given":"Matthias","non-dropping-particle":"","parse-names":false,"suffix":""},{"dropping-particle":"","family":"Hope","given":"Holly","non-dropping-particle":"","parse-names":false,"suffix":""},{"dropping-particle":"","family":"Ford","given":"Tamsin","non-dropping-particle":"","parse-names":false,"suffix":""},{"dropping-particle":"","family":"Hatch","given":"Stephani","non-dropping-particle":"","parse-names":false,"suffix":""},{"dropping-particle":"","family":"Hotopf","given":"Matthew","non-dropping-particle":"","parse-names":false,"suffix":""},{"dropping-particle":"","family":"John","given":"Ann","non-dropping-particle":"","parse-names":false,"suffix":""},{"dropping-particle":"","family":"Kontopantelis","given":"Evangelos","non-dropping-particle":"","parse-names":false,"suffix":""},{"dropping-particle":"","family":"Webb","given":"Roger","non-dropping-particle":"","parse-names":false,"suffix":""},{"dropping-particle":"","family":"Wessely","given":"Simon","non-dropping-particle":"","parse-names":false,"suffix":""},{"dropping-particle":"","family":"McManus","given":"Sally","non-dropping-particle":"","parse-names":false,"suffix":""},{"dropping-particle":"","family":"Abel","given":"Kathryn M","non-dropping-particle":"","parse-names":false,"suffix":""}],"container-title":"The Lancet Psychiatry","id":"ITEM-1","issue":"10","issued":{"date-parts":[["2020","10","1"]]},"page":"883-892","publisher":"Elsevier","title":"Mental health before and during the COVID-19 pandemic: a longitudinal probability sample survey of the UK population","type":"article-journal","volume":"7"},"uris":["http://www.mendeley.com/documents/?uuid=d00e6c00-ab4c-35c4-9af5-fd7a648e57fb"]},{"id":"ITEM-2","itemData":{"DOI":"10.1016/j.ajp.2020.102066","ISSN":"18762026","abstract":"The COVID-19 pandemic is a major health crisis affecting several nations, with over 720,000 cases and 33,000 confirmed deaths reported to date. Such widespread outbreaks are associated with adverse mental health consequences. Keeping this in mind, existing literature on the COVID-19 outbreak pertinent to mental health was retrieved via a literature search of the PubMed database. Published articles were classified according to their overall themes and summarized. Preliminary evidence suggests that symptoms of anxiety and depression (16–28%) and self-reported stress (8%) are common psychological reactions to the COVID-19 pandemic, and may be associated with disturbed sleep. A number of individual and structural variables moderate this risk. In planning services for such populations, both the needs of the concerned people and the necessary preventive guidelines must be taken into account. The available literature has emerged from only a few of the affected countries, and may not reflect the experience of persons living in other parts of the world. In conclusion, subsyndromal mental health problems are a common response to the COVID-19 pandemic. There is a need for more representative research from other affected countries, particularly in vulnerable populations.","author":[{"dropping-particle":"","family":"Rajkumar","given":"Ravi Philip","non-dropping-particle":"","parse-names":false,"suffix":""}],"container-title":"Asian Journal of Psychiatry","id":"ITEM-2","issued":{"date-parts":[["2020","8","1"]]},"page":"102066","publisher":"Elsevier B.V.","title":"COVID-19 and mental health: A review of the existing literature","type":"article-journal","volume":"52"},"uris":["http://www.mendeley.com/documents/?uuid=77dd56a2-e695-34f7-9c3b-5563720c48af"]},{"id":"ITEM-3","itemData":{"DOI":"10.1111/pcn.13004","ISSN":"13231316","author":[{"dropping-particle":"","family":"Sani","given":"Gabriele","non-dropping-particle":"","parse-names":false,"suffix":""},{"dropping-particle":"","family":"Janiri","given":"Delfina","non-dropping-particle":"","parse-names":false,"suffix":""},{"dropping-particle":"","family":"Nicola","given":"Marco","non-dropping-particle":"Di","parse-names":false,"suffix":""},{"dropping-particle":"","family":"Janiri","given":"Luigi","non-dropping-particle":"","parse-names":false,"suffix":""},{"dropping-particle":"","family":"Ferretti","given":"Simonetta","non-dropping-particle":"","parse-names":false,"suffix":""},{"dropping-particle":"","family":"Chieffo","given":"Daniela","non-dropping-particle":"","parse-names":false,"suffix":""}],"container-title":"Psychiatry and Clinical Neurosciences","id":"ITEM-3","issued":{"date-parts":[["2020","4","4"]]},"publisher":"Wiley","title":"Mental health during and after the COVID-19 emergency in Italy","type":"article-journal"},"uris":["http://www.mendeley.com/documents/?uuid=fd3beb9e-46a0-3809-a6e4-9b0393ad564c"]},{"id":"ITEM-4","itemData":{"DOI":"10.1177/0020764020915212","ISSN":"17412854","PMID":"32233719","abstract":"Background: The current outbreak of COVID-19 coronavirus infection among humans in Wuhan (China) and its spreading around the globe is heavily impacting on the global health and mental health. Despite all resources employed to counteract the spreading of the virus, additional global strategies are needed to handle the related mental health issues. Methods: Published articles concerning mental health related to the COVID-19 outbreak and other previous globLades, L. K., Laffan, K., Daly, M., &amp; Delaney, L. (2020). Daily emotional well-being during the COVID-19 pandemic. British Journal of Health Psychology, 23, 1776. https://doi.org/10.1111/bjhp.12450al infections have been considered and reviewed. Comments: This outbreak is leading to additional health problems such as stress, anxiety, depressive symptoms, insomnia, denial, anger and fear globally. Collective concerns influence daily behaviors, economy, prevention strategies and decision-making from policy makers, health organizations and medical centers, which can weaken strategies of COVID-19 control and lead to more morbidity and mental health needs at global level.","author":[{"dropping-particle":"","family":"Torales","given":"Julio","non-dropping-particle":"","parse-names":false,"suffix":""},{"dropping-particle":"","family":"O’Higgins","given":"Marcelo","non-dropping-particle":"","parse-names":false,"suffix":""},{"dropping-particle":"","family":"Castaldelli-Maia","given":"João Mauricio","non-dropping-particle":"","parse-names":false,"suffix":""},{"dropping-particle":"","family":"Ventriglio","given":"Antonio","non-dropping-particle":"","parse-names":false,"suffix":""}],"container-title":"International Journal of Social Psychiatry","id":"ITEM-4","issue":"4","issued":{"date-parts":[["2020","6","1"]]},"page":"317-320","publisher":"SAGE Publications Ltd","title":"The outbreak of COVID-19 coronavirus and its impact on global mental health","type":"article-journal","volume":"66"},"uris":["http://www.mendeley.com/documents/?uuid=838d996f-7b64-3ec0-bf4c-7064eb1cfa6d"]},{"id":"ITEM-5","itemData":{"DOI":"10.1017/S0033291720004432","ISSN":"0033-2917","PMID":"33183370","abstract":"{BackgroundThe} {COVID}-19 pandemic has had a range of negative social and economic effects that may contribute to a rise in mental health problems. In this observational population-based study, we examined longitudinal changes in the prevalence of mental health problems from before to during the {COVID}-19 crisis and identified subgroups that are psychologically vulnerable during the pandemic. Methods Participants (N =14,393; Observations =48,486) were adults drawn from wave 9 (2017-2019) of the nationally representative United Kingdom Household Longitudinal Study ({UKHLS}) and followed-up across three waves of assessment in April, May, and June, 2020. Mental health problems were assessed using the 12-item General Health Questionnaire ({GHQ}-12). {ResultsThe} population prevalence of mental health problems ({GHQ}-12 score ≥3) increased by 13.5 percentage points from 24.3% in 2017-2019 to 37.8% in April, 2020 and remained elevated in May (34.7%) and June (31.9%), 2020. All sociodemographic groups examined showed statistically significant increases in mental health problems in April, 2020. The increase was largest among those aged 18-34 years (18.6 percentage points, 95% {CI} [14.3%-22.9%]), followed by females and high income and education groups. Levels of mental health problems subsequently declined between April and June, 2020 but remained significantly above pre-{COVID}-19 levels. Additional analyses showed that the rise in mental health problems observed throughout the {COVID}-19 pandemic was unlikely to be due to seasonality or year-to-year variation.Conclusions This study suggests that a pronounced and prolonged deterioration in mental health occurred as the {COVID}-19 pandemic emerged in the {UK} between April and June, 2020.","author":[{"dropping-particle":"","family":"Daly","given":"Michael","non-dropping-particle":"","parse-names":false,"suffix":""},{"dropping-particle":"","family":"Sutin","given":"Angelina","non-dropping-particle":"","parse-names":false,"suffix":""},{"dropping-particle":"","family":"Robinson","given":"Eric","non-dropping-particle":"","parse-names":false,"suffix":""}],"container-title":"Psychological Medicine","id":"ITEM-5","issued":{"date-parts":[["2020","11","13"]]},"page":"1-37","title":"Longitudinal changes in mental health and the COVID-19 pandemic: Evidence from the UK Household Longitudinal Study","type":"article-journal","volume":"18"},"uris":["http://www.mendeley.com/documents/?uuid=3fa045c4-dce7-39b6-a2ba-0f679746366b"]},{"id":"ITEM-6","itemData":{"DOI":"10.3390/ijerph17072381","PMID":"32244498","author":[{"dropping-particle":"","family":"Zhang","given":"Yingfei","non-dropping-particle":"","parse-names":false,"suffix":""},{"dropping-particle":"","family":"Ma","given":"Zheng Feei","non-dropping-particle":"","parse-names":false,"suffix":""}],"container-title":"International Journal of Environmental Research and Public Health","id":"ITEM-6","issue":"7","issued":{"date-parts":[["2020","3","31"]]},"page":"2381","publisher":"MDPI AG","title":"Impact of the COVID-19 Pandemic on Mental Health and Quality of Life among Local Residents in Liaoning Province, China: A Cross-Sectional Study","type":"article-journal","volume":"17"},"uris":["http://www.mendeley.com/documents/?uuid=2ff26639-281f-4537-8646-39bb6940a187"]},{"id":"ITEM-7","itemData":{"DOI":"10.1016/j.psychres.2020.113419","ISSN":"18727123","abstract":"Social distancing is the most visible public health response to the COVID-19 pandemic, but its implications for mental health are unknown. In a nationwide online sample of 435 U.S. adults, conducted in March 2020 as the pandemic accelerated and states implemented stay-at-home orders, we examined whether stay-at-home orders and individuals’ personal distancing behavior were associated with symptoms of depression, generalized anxiety disorder (GAD), intrusive thoughts, insomnia, and acute stress. Stay-at-home order status and personal distancing were independently associated with higher symptoms, beyond protective effects of available social resources (social support and social network size). A subsample of 118 participants who had completed symptom measures earlier in the outbreak (February 2020) showed increases in depression and GAD between February and March, and personal distancing behavior was associated with these increases. Findings suggest that there are negative mental health correlates of social distancing, which should be addressed in research, policy, and clinical approaches to the COVID-19 pandemic.","author":[{"dropping-particle":"","family":"Marroquín","given":"Brett","non-dropping-particle":"","parse-names":false,"suffix":""},{"dropping-particle":"","family":"Vine","given":"Vera","non-dropping-particle":"","parse-names":false,"suffix":""},{"dropping-particle":"","family":"Morgan","given":"Reed","non-dropping-particle":"","parse-names":false,"suffix":""}],"container-title":"Psychiatry Research","id":"ITEM-7","issued":{"date-parts":[["2020","11","1"]]},"page":"113419","publisher":"Elsevier Ireland Ltd","title":"Mental health during the COVID-19 pandemic: Effects of stay-at-home policies, social distancing behavior, and social resources","type":"article-journal","volume":"293"},"uris":["http://www.mendeley.com/documents/?uuid=b046ceb2-c8e2-3610-87dd-c0664f4bdfaf"]}],"mendeley":{"formattedCitation":"(Daly et al., 2020; Marroquín et al., 2020; Pierce et al., 2020; Rajkumar, 2020; Sani et al., 2020; Torales et al., 2020; Zhang &amp; Ma, 2020)","plainTextFormattedCitation":"(Daly et al., 2020; Marroquín et al., 2020; Pierce et al., 2020; Rajkumar, 2020; Sani et al., 2020; Torales et al., 2020; Zhang &amp; Ma, 2020)","previouslyFormattedCitation":"(Daly et al., 2020; Marroquín et al., 2020; Pierce et al., 2020; Rajkumar, 2020; Sani et al., 2020; Torales et al., 2020; Zhang &amp; Ma, 2020)"},"properties":{"noteIndex":0},"schema":"https://github.com/citation-style-language/schema/raw/master/csl-citation.json"}</w:instrText>
      </w:r>
      <w:r>
        <w:fldChar w:fldCharType="separate"/>
      </w:r>
      <w:r w:rsidR="009D1C86" w:rsidRPr="2CA49CD8">
        <w:rPr>
          <w:noProof/>
        </w:rPr>
        <w:t xml:space="preserve">(Daly </w:t>
      </w:r>
      <w:r w:rsidR="00D21786" w:rsidRPr="00D21786">
        <w:rPr>
          <w:i/>
          <w:iCs/>
          <w:noProof/>
        </w:rPr>
        <w:t>et al</w:t>
      </w:r>
      <w:r w:rsidR="009D1C86" w:rsidRPr="2CA49CD8">
        <w:rPr>
          <w:noProof/>
        </w:rPr>
        <w:t xml:space="preserve">., 2020; Marroquín </w:t>
      </w:r>
      <w:r w:rsidR="00D21786" w:rsidRPr="00D21786">
        <w:rPr>
          <w:i/>
          <w:iCs/>
          <w:noProof/>
        </w:rPr>
        <w:t>et al</w:t>
      </w:r>
      <w:r w:rsidR="009D1C86" w:rsidRPr="2CA49CD8">
        <w:rPr>
          <w:noProof/>
        </w:rPr>
        <w:t xml:space="preserve">., 2020; Pierce </w:t>
      </w:r>
      <w:r w:rsidR="00D21786" w:rsidRPr="00D21786">
        <w:rPr>
          <w:i/>
          <w:iCs/>
          <w:noProof/>
        </w:rPr>
        <w:t>et al</w:t>
      </w:r>
      <w:r w:rsidR="009D1C86" w:rsidRPr="2CA49CD8">
        <w:rPr>
          <w:noProof/>
        </w:rPr>
        <w:t xml:space="preserve">., 2020; Rajkumar, 2020; Sani </w:t>
      </w:r>
      <w:r w:rsidR="00D21786" w:rsidRPr="00D21786">
        <w:rPr>
          <w:i/>
          <w:iCs/>
          <w:noProof/>
        </w:rPr>
        <w:t>et al</w:t>
      </w:r>
      <w:r w:rsidR="009D1C86" w:rsidRPr="2CA49CD8">
        <w:rPr>
          <w:noProof/>
        </w:rPr>
        <w:t xml:space="preserve">., 2020; Torales </w:t>
      </w:r>
      <w:r w:rsidR="00D21786" w:rsidRPr="00D21786">
        <w:rPr>
          <w:i/>
          <w:iCs/>
          <w:noProof/>
        </w:rPr>
        <w:t>et al</w:t>
      </w:r>
      <w:r w:rsidR="009D1C86" w:rsidRPr="2CA49CD8">
        <w:rPr>
          <w:noProof/>
        </w:rPr>
        <w:t>., 2020; Zhang &amp; Ma, 2020)</w:t>
      </w:r>
      <w:r>
        <w:fldChar w:fldCharType="end"/>
      </w:r>
      <w:r w:rsidR="00EC3315">
        <w:t>. Evidence from the early stages of the pandemic indicate</w:t>
      </w:r>
      <w:r w:rsidR="0018444A">
        <w:t>s</w:t>
      </w:r>
      <w:r w:rsidR="00EC3315">
        <w:t xml:space="preserve"> that</w:t>
      </w:r>
      <w:r w:rsidR="0075607D">
        <w:t xml:space="preserve"> the incidence of</w:t>
      </w:r>
      <w:r w:rsidR="005E4698">
        <w:t xml:space="preserve"> mental</w:t>
      </w:r>
      <w:r w:rsidR="0075607D">
        <w:t xml:space="preserve"> ill</w:t>
      </w:r>
      <w:r w:rsidR="0018444A">
        <w:t xml:space="preserve"> </w:t>
      </w:r>
      <w:r w:rsidR="0075607D">
        <w:t>health and poor well-being have increased</w:t>
      </w:r>
      <w:r w:rsidR="005C65B7">
        <w:t xml:space="preserve"> </w:t>
      </w:r>
      <w:r>
        <w:fldChar w:fldCharType="begin" w:fldLock="1"/>
      </w:r>
      <w:r>
        <w:instrText>ADDIN CSL_CITATION {"citationItems":[{"id":"ITEM-1","itemData":{"DOI":"10.1016/S2215-0366(20)30308-4","ISSN":"2215-0366","PMID":"32707037","abstract":"&lt;h2&gt;Summary&lt;/h2&gt;&lt;h3&gt;Background&lt;/h3&gt;&lt;p&gt;The potential impact of the COVID-19 pandemic on population mental health is of increasing global concern. We examine changes in adult mental health in the UK population before and during the lockdown.&lt;/p&gt;&lt;h3&gt;Methods&lt;/h3&gt;&lt;p&gt;In this secondary analysis of a national, longitudinal cohort study, households that took part in Waves 8 or 9 of the UK Household Longitudinal Study (UKHLS) panel, including all members aged 16 or older in April, 2020, were invited to complete the COVID-19 web survey on April 23–30, 2020. Participants who were unable to make an informed decision as a result of incapacity, or who had unknown postal addresses or addresses abroad were excluded. Mental health was assessed using the 12-item General Health Questionnaire (GHQ-12). Repeated cross-sectional analyses were done to examine temporal trends. Fixed-effects regression models were fitted to identify within-person change compared with preceding trends.&lt;/p&gt;&lt;h3&gt;Findings&lt;/h3&gt;&lt;p&gt;Waves 6–9 of the UKHLS had 53 351 participants. Eligible participants for the COVID-19 web survey were from households that took part in Waves 8 or 9, and 17 452 (41·2%) of 42 330 eligible people participated in the web survey. Population prevalence of clinically significant levels of mental distress rose from 18·9% (95% CI 17·8–20·0) in 2018–19 to 27·3% (26·3–28·2) in April, 2020, one month into UK lockdown. Mean GHQ-12 score also increased over this time, from 11·5 (95% CI 11·3–11·6) in 2018–19, to 12·6 (12·5–12·8) in April, 2020. This was 0·48 (95% CI 0·07–0·90) points higher than expected when accounting for previous upward trends between 2014 and 2018. Comparing GHQ-12 scores within individuals, adjusting for time trends and significant predictors of change, increases were greatest in 18–24-year-olds (2·69 points, 95% CI 1·89–3·48), 25–34-year-olds (1·57, 0·96–2·18), women (0·92, 0·50–1·35), and people living with young children (1·45, 0·79–2·12). People employed before the pandemic also averaged a notable increase in GHQ-12 score (0·63, 95% CI 0·20–1·06).&lt;/p&gt;&lt;h3&gt;Interpretation&lt;/h3&gt;&lt;p&gt;By late April, 2020, mental health in the UK had deteriorated compared with pre-COVID-19 trends. Policies emphasising the needs of women, young people, and those with preschool aged children are likely to play an important part in preventing future mental illness.&lt;/p&gt;&lt;h3&gt;Funding&lt;/h3&gt;&lt;p&gt;None.&lt;/p&gt;","author":[{"dropping-particle":"","family":"Pierce","given":"Matthias","non-dropping-particle":"","parse-names":false,"suffix":""},{"dropping-particle":"","family":"Hope","given":"Holly","non-dropping-particle":"","parse-names":false,"suffix":""},{"dropping-particle":"","family":"Ford","given":"Tamsin","non-dropping-particle":"","parse-names":false,"suffix":""},{"dropping-particle":"","family":"Hatch","given":"Stephani","non-dropping-particle":"","parse-names":false,"suffix":""},{"dropping-particle":"","family":"Hotopf","given":"Matthew","non-dropping-particle":"","parse-names":false,"suffix":""},{"dropping-particle":"","family":"John","given":"Ann","non-dropping-particle":"","parse-names":false,"suffix":""},{"dropping-particle":"","family":"Kontopantelis","given":"Evangelos","non-dropping-particle":"","parse-names":false,"suffix":""},{"dropping-particle":"","family":"Webb","given":"Roger","non-dropping-particle":"","parse-names":false,"suffix":""},{"dropping-particle":"","family":"Wessely","given":"Simon","non-dropping-particle":"","parse-names":false,"suffix":""},{"dropping-particle":"","family":"McManus","given":"Sally","non-dropping-particle":"","parse-names":false,"suffix":""},{"dropping-particle":"","family":"Abel","given":"Kathryn M","non-dropping-particle":"","parse-names":false,"suffix":""}],"container-title":"The Lancet Psychiatry","id":"ITEM-1","issue":"10","issued":{"date-parts":[["2020","10","1"]]},"page":"883-892","publisher":"Elsevier","title":"Mental health before and during the COVID-19 pandemic: a longitudinal probability sample survey of the UK population","type":"article-journal","volume":"7"},"uris":["http://www.mendeley.com/documents/?uuid=d00e6c00-ab4c-35c4-9af5-fd7a648e57fb"]},{"id":"ITEM-2","itemData":{"DOI":"10.1017/S0033291720004432","ISSN":"0033-2917","PMID":"33183370","abstract":"{BackgroundThe} {COVID}-19 pandemic has had a range of negative social and economic effects that may contribute to a rise in mental health problems. In this observational population-based study, we examined longitudinal changes in the prevalence of mental health problems from before to during the {COVID}-19 crisis and identified subgroups that are psychologically vulnerable during the pandemic. Methods Participants (N =14,393; Observations =48,486) were adults drawn from wave 9 (2017-2019) of the nationally representative United Kingdom Household Longitudinal Study ({UKHLS}) and followed-up across three waves of assessment in April, May, and June, 2020. Mental health problems were assessed using the 12-item General Health Questionnaire ({GHQ}-12). {ResultsThe} population prevalence of mental health problems ({GHQ}-12 score ≥3) increased by 13.5 percentage points from 24.3% in 2017-2019 to 37.8% in April, 2020 and remained elevated in May (34.7%) and June (31.9%), 2020. All sociodemographic groups examined showed statistically significant increases in mental health problems in April, 2020. The increase was largest among those aged 18-34 years (18.6 percentage points, 95% {CI} [14.3%-22.9%]), followed by females and high income and education groups. Levels of mental health problems subsequently declined between April and June, 2020 but remained significantly above pre-{COVID}-19 levels. Additional analyses showed that the rise in mental health problems observed throughout the {COVID}-19 pandemic was unlikely to be due to seasonality or year-to-year variation.Conclusions This study suggests that a pronounced and prolonged deterioration in mental health occurred as the {COVID}-19 pandemic emerged in the {UK} between April and June, 2020.","author":[{"dropping-particle":"","family":"Daly","given":"Michael","non-dropping-particle":"","parse-names":false,"suffix":""},{"dropping-particle":"","family":"Sutin","given":"Angelina","non-dropping-particle":"","parse-names":false,"suffix":""},{"dropping-particle":"","family":"Robinson","given":"Eric","non-dropping-particle":"","parse-names":false,"suffix":""}],"container-title":"Psychological Medicine","id":"ITEM-2","issued":{"date-parts":[["2020","11","13"]]},"page":"1-37","title":"Longitudinal changes in mental health and the COVID-19 pandemic: Evidence from the UK Household Longitudinal Study","type":"article-journal","volume":"18"},"uris":["http://www.mendeley.com/documents/?uuid=3fa045c4-dce7-39b6-a2ba-0f679746366b"]}],"mendeley":{"formattedCitation":"(Daly et al., 2020; Pierce et al., 2020)","plainTextFormattedCitation":"(Daly et al., 2020; Pierce et al., 2020)","previouslyFormattedCitation":"(Daly et al., 2020; Pierce et al., 2020)"},"properties":{"noteIndex":0},"schema":"https://github.com/citation-style-language/schema/raw/master/csl-citation.json"}</w:instrText>
      </w:r>
      <w:r>
        <w:fldChar w:fldCharType="separate"/>
      </w:r>
      <w:r w:rsidR="006F7A6B" w:rsidRPr="2CA49CD8">
        <w:rPr>
          <w:noProof/>
        </w:rPr>
        <w:t xml:space="preserve">(Daly </w:t>
      </w:r>
      <w:r w:rsidR="00D21786" w:rsidRPr="00D21786">
        <w:rPr>
          <w:i/>
          <w:iCs/>
          <w:noProof/>
        </w:rPr>
        <w:t>et al</w:t>
      </w:r>
      <w:r w:rsidR="006F7A6B" w:rsidRPr="2CA49CD8">
        <w:rPr>
          <w:noProof/>
        </w:rPr>
        <w:t xml:space="preserve">., 2020; Pierce </w:t>
      </w:r>
      <w:r w:rsidR="00D21786" w:rsidRPr="00D21786">
        <w:rPr>
          <w:i/>
          <w:iCs/>
          <w:noProof/>
        </w:rPr>
        <w:t>et al</w:t>
      </w:r>
      <w:r w:rsidR="006F7A6B" w:rsidRPr="2CA49CD8">
        <w:rPr>
          <w:noProof/>
        </w:rPr>
        <w:t>., 2020)</w:t>
      </w:r>
      <w:r>
        <w:fldChar w:fldCharType="end"/>
      </w:r>
      <w:r w:rsidR="005E4698">
        <w:t>.</w:t>
      </w:r>
      <w:r w:rsidR="006F7A6B">
        <w:t xml:space="preserve"> </w:t>
      </w:r>
      <w:r w:rsidR="005E4698">
        <w:t>Declines in well-being are likely</w:t>
      </w:r>
      <w:r w:rsidR="00373325">
        <w:t xml:space="preserve"> to be compounded by pandemic-related isolation, fear</w:t>
      </w:r>
      <w:r w:rsidR="00517E60">
        <w:t>,</w:t>
      </w:r>
      <w:r w:rsidR="00373325">
        <w:t xml:space="preserve"> and existing health vulnerabilities experienced by some individuals </w:t>
      </w:r>
      <w:r>
        <w:fldChar w:fldCharType="begin" w:fldLock="1"/>
      </w:r>
      <w:r w:rsidR="00212B7E">
        <w:instrText>ADDIN CSL_CITATION {"citationItems":[{"id":"ITEM-1","itemData":{"DOI":"10.1177/0020764020915212","ISSN":"17412854","PMID":"32233719","abstract":"Background: The current outbreak of COVID-19 coronavirus infection among humans in Wuhan (China) and its spreading around the globe is heavily impacting on the global health and mental health. Despite all resources employed to counteract the spreading of the virus, additional global strategies are needed to handle the related mental health issues. Methods: Published articles concerning mental health related to the COVID-19 outbreak and other previous globLades, L. K., Laffan, K., Daly, M., &amp; Delaney, L. (2020). Daily emotional well-being during the COVID-19 pandemic. British Journal of Health Psychology, 23, 1776. https://doi.org/10.1111/bjhp.12450al infections have been considered and reviewed. Comments: This outbreak is leading to additional health problems such as stress, anxiety, depressive symptoms, insomnia, denial, anger and fear globally. Collective concerns influence daily behaviors, economy, prevention strategies and decision-making from policy makers, health organizations and medical centers, which can weaken strategies of COVID-19 control and lead to more morbidity and mental health needs at global level.","author":[{"dropping-particle":"","family":"Torales","given":"Julio","non-dropping-particle":"","parse-names":false,"suffix":""},{"dropping-particle":"","family":"O’Higgins","given":"Marcelo","non-dropping-particle":"","parse-names":false,"suffix":""},{"dropping-particle":"","family":"Castaldelli-Maia","given":"João Mauricio","non-dropping-particle":"","parse-names":false,"suffix":""},{"dropping-particle":"","family":"Ventriglio","given":"Antonio","non-dropping-particle":"","parse-names":false,"suffix":""}],"container-title":"International Journal of Social Psychiatry","id":"ITEM-1","issue":"4","issued":{"date-parts":[["2020","6","1"]]},"page":"317-320","publisher":"SAGE Publications Ltd","title":"The outbreak of COVID-19 coronavirus and its impact on global mental health","type":"article-journal","volume":"66"},"uris":["http://www.mendeley.com/documents/?uuid=838d996f-7b64-3ec0-bf4c-7064eb1cfa6d"]}],"mendeley":{"formattedCitation":"(Torales et al., 2020)","plainTextFormattedCitation":"(Torales et al., 2020)","previouslyFormattedCitation":"(Torales et al., 2020)"},"properties":{"noteIndex":0},"schema":"https://github.com/citation-style-language/schema/raw/master/csl-citation.json"}</w:instrText>
      </w:r>
      <w:r>
        <w:fldChar w:fldCharType="separate"/>
      </w:r>
      <w:r w:rsidR="00373325" w:rsidRPr="2CA49CD8">
        <w:rPr>
          <w:noProof/>
        </w:rPr>
        <w:t xml:space="preserve">(Torales </w:t>
      </w:r>
      <w:r w:rsidR="00D21786" w:rsidRPr="00D21786">
        <w:rPr>
          <w:i/>
          <w:iCs/>
          <w:noProof/>
        </w:rPr>
        <w:t>et al</w:t>
      </w:r>
      <w:r w:rsidR="00373325" w:rsidRPr="2CA49CD8">
        <w:rPr>
          <w:noProof/>
        </w:rPr>
        <w:t>., 2020)</w:t>
      </w:r>
      <w:r>
        <w:fldChar w:fldCharType="end"/>
      </w:r>
      <w:r w:rsidR="00373325">
        <w:t xml:space="preserve">. </w:t>
      </w:r>
      <w:r w:rsidR="00495106">
        <w:t>E</w:t>
      </w:r>
      <w:r w:rsidR="00347FB7">
        <w:t>stimates suggest that up to 20% of the population</w:t>
      </w:r>
      <w:r w:rsidR="00495106">
        <w:t xml:space="preserve"> in the United Kingdom (UK)</w:t>
      </w:r>
      <w:r w:rsidR="00347FB7">
        <w:t xml:space="preserve"> will require mental health support as a result of this</w:t>
      </w:r>
      <w:r w:rsidR="40239C86">
        <w:t xml:space="preserve"> pandemic</w:t>
      </w:r>
      <w:r w:rsidR="00347FB7">
        <w:t xml:space="preserve"> </w:t>
      </w:r>
      <w:r>
        <w:fldChar w:fldCharType="begin" w:fldLock="1"/>
      </w:r>
      <w:r>
        <w:instrText>ADDIN CSL_CITATION {"citationItems":[{"id":"ITEM-1","itemData":{"author":[{"dropping-particle":"","family":"O'Shea","given":"Nick","non-dropping-particle":"","parse-names":false,"suffix":""}],"id":"ITEM-1","issued":{"date-parts":[["2020"]]},"title":"Covid-19 and the nation's mental health: Forecasting needs and risks in the UK","type":"report"},"uris":["http://www.mendeley.com/documents/?uuid=433a303f-6411-312f-9933-0a7aacadd848"]}],"mendeley":{"formattedCitation":"(O’Shea, 2020)","plainTextFormattedCitation":"(O’Shea, 2020)","previouslyFormattedCitation":"(O’Shea, 2020)"},"properties":{"noteIndex":0},"schema":"https://github.com/citation-style-language/schema/raw/master/csl-citation.json"}</w:instrText>
      </w:r>
      <w:r>
        <w:fldChar w:fldCharType="separate"/>
      </w:r>
      <w:r w:rsidR="00347FB7" w:rsidRPr="2CA49CD8">
        <w:rPr>
          <w:noProof/>
        </w:rPr>
        <w:t>(O’Shea, 2020)</w:t>
      </w:r>
      <w:r>
        <w:fldChar w:fldCharType="end"/>
      </w:r>
      <w:r w:rsidR="00AD7A1A">
        <w:t xml:space="preserve">. </w:t>
      </w:r>
      <w:r w:rsidR="007D7329">
        <w:t>Therefore, as the pandemic continues, there is an urgent need to improv</w:t>
      </w:r>
      <w:r w:rsidR="004C15C1">
        <w:t>e</w:t>
      </w:r>
      <w:r w:rsidR="007D7329">
        <w:t xml:space="preserve"> understanding of </w:t>
      </w:r>
      <w:r w:rsidR="00314322">
        <w:t>its</w:t>
      </w:r>
      <w:r w:rsidR="007D7329">
        <w:t xml:space="preserve"> impact on mental health and related issues.</w:t>
      </w:r>
    </w:p>
    <w:p w14:paraId="3E317B02" w14:textId="4C2B8630" w:rsidR="007D7329" w:rsidRDefault="007D7329" w:rsidP="00373325">
      <w:pPr>
        <w:spacing w:after="0" w:line="480" w:lineRule="auto"/>
        <w:rPr>
          <w:bCs/>
        </w:rPr>
      </w:pPr>
    </w:p>
    <w:p w14:paraId="12F67226" w14:textId="332FD476" w:rsidR="00456E72" w:rsidRDefault="00841B1E" w:rsidP="00456E72">
      <w:pPr>
        <w:spacing w:after="0" w:line="480" w:lineRule="auto"/>
      </w:pPr>
      <w:r>
        <w:t xml:space="preserve">Lockdown restrictions to slow the spread of the virus in the </w:t>
      </w:r>
      <w:r w:rsidR="003A5284">
        <w:t>UK</w:t>
      </w:r>
      <w:r>
        <w:t xml:space="preserve"> began in late March 2020. These included</w:t>
      </w:r>
      <w:r w:rsidR="00E53A3C">
        <w:t xml:space="preserve"> the</w:t>
      </w:r>
      <w:r>
        <w:t xml:space="preserve"> closure of schools, non-essential retail and many businesses, limitations to citizens’ movements, </w:t>
      </w:r>
      <w:r w:rsidR="00623871">
        <w:t xml:space="preserve">shielding of vulnerable individuals </w:t>
      </w:r>
      <w:r>
        <w:t xml:space="preserve">and requirements for social distancing </w:t>
      </w:r>
      <w:r>
        <w:fldChar w:fldCharType="begin" w:fldLock="1"/>
      </w:r>
      <w:r>
        <w:instrText>ADDIN CSL_CITATION {"citationItems":[{"id":"ITEM-1","itemData":{"author":[{"dropping-particle":"","family":"Brown","given":"Jennifer","non-dropping-particle":"","parse-names":false,"suffix":""}],"id":"ITEM-1","issued":{"date-parts":[["2020"]]},"number-of-pages":"25","publisher":"House of Commons Library","publisher-place":"London, UK","title":"Coronavirus: the lockdown laws","type":"report"},"uris":["http://www.mendeley.com/documents/?uuid=98b08f50-117f-39de-9871-ddfe14302663"]}],"mendeley":{"formattedCitation":"(Brown, 2020)","plainTextFormattedCitation":"(Brown, 2020)","previouslyFormattedCitation":"(Brown, 2020)"},"properties":{"noteIndex":0},"schema":"https://github.com/citation-style-language/schema/raw/master/csl-citation.json"}</w:instrText>
      </w:r>
      <w:r>
        <w:fldChar w:fldCharType="separate"/>
      </w:r>
      <w:r w:rsidRPr="2CA49CD8">
        <w:rPr>
          <w:noProof/>
        </w:rPr>
        <w:t>(Brown, 2020)</w:t>
      </w:r>
      <w:r>
        <w:fldChar w:fldCharType="end"/>
      </w:r>
      <w:r>
        <w:t xml:space="preserve">. During the same time period, </w:t>
      </w:r>
      <w:hyperlink r:id="rId12" w:history="1">
        <w:r w:rsidRPr="000845AE">
          <w:rPr>
            <w:rStyle w:val="Hyperlink"/>
          </w:rPr>
          <w:t>media reports</w:t>
        </w:r>
      </w:hyperlink>
      <w:r>
        <w:t xml:space="preserve"> highlighted disruptions to food supplies and food availability in supermarkets and shops, with purchasing restrictions placed on some items. </w:t>
      </w:r>
      <w:hyperlink r:id="rId13" w:history="1">
        <w:r w:rsidRPr="002A0E43">
          <w:rPr>
            <w:rStyle w:val="Hyperlink"/>
          </w:rPr>
          <w:t>Shoppers stockpiling food</w:t>
        </w:r>
      </w:hyperlink>
      <w:r>
        <w:t xml:space="preserve"> created surges in demand </w:t>
      </w:r>
      <w:r>
        <w:fldChar w:fldCharType="begin" w:fldLock="1"/>
      </w:r>
      <w:r w:rsidR="00507B76">
        <w:instrText>ADDIN CSL_CITATION {"citationItems":[{"id":"ITEM-1","itemData":{"URL":"https://www.unscn.org/en/news-events/recent-news?idnews=2065","accessed":{"date-parts":[["2020","7","28"]]},"author":[{"dropping-particle":"","family":"United Nations System Standing Committee on Nutrition","given":"","non-dropping-particle":"","parse-names":false,"suffix":""}],"id":"ITEM-1","issued":{"date-parts":[["2020"]]},"title":"COVID-19 pandemic: The evolving impact on how people meet the food system","type":"webpage"},"uris":["http://www.mendeley.com/documents/?uuid=23754471-e5a8-3df1-afe6-36a08a951f2f"]},{"id":"ITEM-2","itemData":{"DOI":"10.1920/wp.ifs.2020.3420","author":[{"dropping-particle":"","family":"O'Connell","given":"Martin","non-dropping-particle":"","parse-names":false,"suffix":""},{"dropping-particle":"","family":"Paula","given":"Áureo","non-dropping-particle":"de","parse-names":false,"suffix":""},{"dropping-particle":"","family":"Kate Smith","given":"","non-dropping-particle":"","parse-names":false,"suffix":""}],"id":"ITEM-2","issued":{"date-parts":[["2020","10","15"]]},"publisher":"The IFS","title":"Preparing for a pandemic: spending dynamics and panic buying during the COVID-19 first wave","type":"report"},"uris":["http://www.mendeley.com/documents/?uuid=fa9d33f6-6e87-36e7-907e-b95071fa4091"]}],"mendeley":{"formattedCitation":"(O’Connell et al., 2020; United Nations System Standing Committee on Nutrition, 2020)","plainTextFormattedCitation":"(O’Connell et al., 2020; United Nations System Standing Committee on Nutrition, 2020)","previouslyFormattedCitation":"(O’Connell et al., 2020; United Nations System Standing Committee on Nutrition, 2020)"},"properties":{"noteIndex":0},"schema":"https://github.com/citation-style-language/schema/raw/master/csl-citation.json"}</w:instrText>
      </w:r>
      <w:r>
        <w:fldChar w:fldCharType="separate"/>
      </w:r>
      <w:r w:rsidR="004E262A" w:rsidRPr="004E262A">
        <w:rPr>
          <w:noProof/>
        </w:rPr>
        <w:t xml:space="preserve">(O’Connell </w:t>
      </w:r>
      <w:r w:rsidR="00D21786" w:rsidRPr="00D21786">
        <w:rPr>
          <w:i/>
          <w:iCs/>
          <w:noProof/>
        </w:rPr>
        <w:t>et al</w:t>
      </w:r>
      <w:r w:rsidR="004E262A" w:rsidRPr="004E262A">
        <w:rPr>
          <w:noProof/>
        </w:rPr>
        <w:t>., 2020)</w:t>
      </w:r>
      <w:r>
        <w:fldChar w:fldCharType="end"/>
      </w:r>
      <w:r>
        <w:t>.</w:t>
      </w:r>
      <w:r w:rsidR="00507B76">
        <w:t xml:space="preserve"> </w:t>
      </w:r>
      <w:r>
        <w:t xml:space="preserve">This rendered many foods unavailable, increasing reliance on highly-processed, often less-healthy food options </w:t>
      </w:r>
      <w:r>
        <w:fldChar w:fldCharType="begin" w:fldLock="1"/>
      </w:r>
      <w:r>
        <w:instrText>ADDIN CSL_CITATION {"citationItems":[{"id":"ITEM-1","itemData":{"DOI":"10.1136/bmj.m2237","ISSN":"1756-1833","author":[{"dropping-particle":"","family":"Tan","given":"Monique","non-dropping-particle":"","parse-names":false,"suffix":""},{"dropping-particle":"","family":"He","given":"Feng J","non-dropping-particle":"","parse-names":false,"suffix":""},{"dropping-particle":"","family":"MacGregor","given":"Graham A","non-dropping-particle":"","parse-names":false,"suffix":""}],"container-title":"BMJ","id":"ITEM-1","issued":{"date-parts":[["2020","6","10"]]},"page":"m2237","title":"Obesity and covid-19: the role of the food industry","type":"article-journal"},"uris":["http://www.mendeley.com/documents/?uuid=949155a3-e04e-4534-8eca-5517e81083e9"]}],"mendeley":{"formattedCitation":"(Tan et al., 2020)","plainTextFormattedCitation":"(Tan et al., 2020)","previouslyFormattedCitation":"(Tan et al., 2020)"},"properties":{"noteIndex":0},"schema":"https://github.com/citation-style-language/schema/raw/master/csl-citation.json"}</w:instrText>
      </w:r>
      <w:r>
        <w:fldChar w:fldCharType="separate"/>
      </w:r>
      <w:r w:rsidRPr="2CA49CD8">
        <w:rPr>
          <w:noProof/>
        </w:rPr>
        <w:t xml:space="preserve">(Tan </w:t>
      </w:r>
      <w:r w:rsidR="00D21786" w:rsidRPr="00D21786">
        <w:rPr>
          <w:i/>
          <w:iCs/>
          <w:noProof/>
        </w:rPr>
        <w:t>et al</w:t>
      </w:r>
      <w:r w:rsidRPr="2CA49CD8">
        <w:rPr>
          <w:noProof/>
        </w:rPr>
        <w:t>., 2020)</w:t>
      </w:r>
      <w:r>
        <w:fldChar w:fldCharType="end"/>
      </w:r>
      <w:r>
        <w:t>.</w:t>
      </w:r>
      <w:r w:rsidR="0017095B">
        <w:t xml:space="preserve"> </w:t>
      </w:r>
      <w:r w:rsidR="00507B76">
        <w:t xml:space="preserve">Demand surges highlighted vulnerabilities in the UK food supply chain due to an over-reliance on a small number of EU countries for food imports and </w:t>
      </w:r>
      <w:r w:rsidR="0056579C">
        <w:t xml:space="preserve">a </w:t>
      </w:r>
      <w:r w:rsidR="00507B76">
        <w:t xml:space="preserve">reduced supplier base for supermarkets </w:t>
      </w:r>
      <w:r w:rsidR="00507B76">
        <w:fldChar w:fldCharType="begin" w:fldLock="1"/>
      </w:r>
      <w:r w:rsidR="00507B76">
        <w:instrText>ADDIN CSL_CITATION {"citationItems":[{"id":"ITEM-1","itemData":{"DOI":"10.1038/s43016-020-0097-7","abstract":"Insufficient capacity in domestic food production, just-in-time supply chains and Brexit-related labour market challenges have weakened the UK’s food system. Building redundancy and diversity in the food system is essential for resilience in the COVID-19 recovery.","author":[{"dropping-particle":"","family":"Garnett","given":"Philip","non-dropping-particle":"","parse-names":false,"suffix":""},{"dropping-particle":"","family":"Doherty","given":"Bob","non-dropping-particle":"","parse-names":false,"suffix":""},{"dropping-particle":"","family":"Heron","given":"Tony","non-dropping-particle":"","parse-names":false,"suffix":""}],"container-title":"Nature Food","id":"ITEM-1","issue":"6","issued":{"date-parts":[["2020","6","4"]]},"page":"315-318","publisher":"Springer Science and Business Media LLC","title":"Vulnerability of the United Kingdom’s food supply chains exposed by COVID-19","type":"article-journal","volume":"1"},"uris":["http://www.mendeley.com/documents/?uuid=8ec85919-1490-3465-a9d2-c6bfd640cbf8"]}],"mendeley":{"formattedCitation":"(Garnett et al., 2020)","plainTextFormattedCitation":"(Garnett et al., 2020)","previouslyFormattedCitation":"(Garnett et al., 2020)"},"properties":{"noteIndex":0},"schema":"https://github.com/citation-style-language/schema/raw/master/csl-citation.json"}</w:instrText>
      </w:r>
      <w:r w:rsidR="00507B76">
        <w:fldChar w:fldCharType="separate"/>
      </w:r>
      <w:r w:rsidR="00507B76" w:rsidRPr="00507B76">
        <w:rPr>
          <w:noProof/>
        </w:rPr>
        <w:t xml:space="preserve">(Garnett </w:t>
      </w:r>
      <w:r w:rsidR="00D21786" w:rsidRPr="00D21786">
        <w:rPr>
          <w:i/>
          <w:iCs/>
          <w:noProof/>
        </w:rPr>
        <w:t>et al</w:t>
      </w:r>
      <w:r w:rsidR="00507B76" w:rsidRPr="00507B76">
        <w:rPr>
          <w:noProof/>
        </w:rPr>
        <w:t>., 2020)</w:t>
      </w:r>
      <w:r w:rsidR="00507B76">
        <w:fldChar w:fldCharType="end"/>
      </w:r>
      <w:r w:rsidR="00507B76">
        <w:t xml:space="preserve">. </w:t>
      </w:r>
      <w:r w:rsidR="008628A1">
        <w:t>E</w:t>
      </w:r>
      <w:r w:rsidR="0017095B">
        <w:t xml:space="preserve">merging evidence suggests that levels of food insecurity </w:t>
      </w:r>
      <w:r w:rsidR="003A5284">
        <w:t>quadrupled</w:t>
      </w:r>
      <w:r w:rsidR="0017095B">
        <w:t xml:space="preserve"> </w:t>
      </w:r>
      <w:r w:rsidR="008628A1">
        <w:t xml:space="preserve">during the same time period </w:t>
      </w:r>
      <w:r>
        <w:fldChar w:fldCharType="begin" w:fldLock="1"/>
      </w:r>
      <w:r>
        <w:instrText>ADDIN CSL_CITATION {"citationItems":[{"id":"ITEM-1","itemData":{"author":[{"dropping-particle":"","family":"Loopstra","given":"Rachel","non-dropping-particle":"","parse-names":false,"suffix":""}],"id":"ITEM-1","issued":{"date-parts":[["2020"]]},"title":"Vulnerability to food insecurity since the COVID-19 lockdown Preliminary report","type":"report"},"uris":["http://www.mendeley.com/documents/?uuid=b04c4284-e6ac-3553-8f4e-42fb21b1f542"]}],"mendeley":{"formattedCitation":"(Loopstra, 2020)","plainTextFormattedCitation":"(Loopstra, 2020)","previouslyFormattedCitation":"(Loopstra, 2020)"},"properties":{"noteIndex":0},"schema":"https://github.com/citation-style-language/schema/raw/master/csl-citation.json"}</w:instrText>
      </w:r>
      <w:r>
        <w:fldChar w:fldCharType="separate"/>
      </w:r>
      <w:r w:rsidR="00456E72" w:rsidRPr="2CA49CD8">
        <w:rPr>
          <w:noProof/>
        </w:rPr>
        <w:t>(Loopstra, 2020)</w:t>
      </w:r>
      <w:r>
        <w:fldChar w:fldCharType="end"/>
      </w:r>
      <w:r w:rsidR="00456E72">
        <w:t xml:space="preserve">. Food insecurity refers to limited access to safe, appropriate and nutritious food </w:t>
      </w:r>
      <w:r>
        <w:fldChar w:fldCharType="begin" w:fldLock="1"/>
      </w:r>
      <w:r>
        <w:instrText>ADDIN CSL_CITATION {"citationItems":[{"id":"ITEM-1","itemData":{"author":[{"dropping-particle":"","family":"Taylor","given":"Anna","non-dropping-particle":"","parse-names":false,"suffix":""},{"dropping-particle":"","family":"Loopstra","given":"Rachel","non-dropping-particle":"","parse-names":false,"suffix":""}],"id":"ITEM-1","issued":{"date-parts":[["2016"]]},"title":"Too Poor to Eat Food insecurity in the UK","type":"report"},"uris":["http://www.mendeley.com/documents/?uuid=2e7a9164-06ea-4ca2-94b0-225fb065bd6a"]}],"mendeley":{"formattedCitation":"(Taylor &amp; Loopstra, 2016)","plainTextFormattedCitation":"(Taylor &amp; Loopstra, 2016)","previouslyFormattedCitation":"(Taylor &amp; Loopstra, 2016)"},"properties":{"noteIndex":0},"schema":"https://github.com/citation-style-language/schema/raw/master/csl-citation.json"}</w:instrText>
      </w:r>
      <w:r>
        <w:fldChar w:fldCharType="separate"/>
      </w:r>
      <w:r w:rsidR="00456E72" w:rsidRPr="2CA49CD8">
        <w:rPr>
          <w:noProof/>
        </w:rPr>
        <w:t>(Taylor &amp; Loopstra, 2016)</w:t>
      </w:r>
      <w:r>
        <w:fldChar w:fldCharType="end"/>
      </w:r>
      <w:r w:rsidR="00327C1D">
        <w:t>,</w:t>
      </w:r>
      <w:r w:rsidR="003A5284">
        <w:t xml:space="preserve"> and is robustly associated with poor mental health </w:t>
      </w:r>
      <w:r>
        <w:fldChar w:fldCharType="begin" w:fldLock="1"/>
      </w:r>
      <w:r>
        <w:instrText>ADDIN CSL_CITATION {"citationItems":[{"id":"ITEM-1","itemData":{"DOI":"10.1016/j.amepre.2017.04.008","ISSN":"18732607","PMID":"28457747","abstract":"Introduction This study sought to determine the association of individual-level food insecurity (FI) with mental health status across all global regions. Methods Cross-sectional data were analyzed in 2016 from the 2014 Gallup World Poll, a series of globally implemented, nationally representative surveys. FI was assessed using the Food Insecurity Experience Scale Survey Module for Individuals, an eight-question psychometric scale reporting individuals’ experiences of FI. Individual-level composite indices of mental health, the Negative Experience Index and Positive Experience Index (0–100 scale), were calculated based on responses to five questions of respondents’ recent negative and positive experiences, respectively, associated with depression and mental distress. Results The prevalence of any FI ranged from 18.3% in East Asia to 76.1% in Sub-Saharan Africa. In global analyses (149 countries) using adjusted multiple regression analyses, FI was associated in a dose–response fashion with poorer scores on the mental health indices (coefficient [95% CI]: Negative Experience Index: mild FI, 10.4 [9.5, 11.2]; moderate FI, 17.7 [16.4, 19.0]; severe FI, 24.5 [22.7, 26.3]; Positive Experience Index: mild FI, –8.3 [–9.3, –7.4]; moderate FI, –12.6 [–13.8, –11.3]; severe FI, –16.2 [–17.9, –14.5]). Within-region analyses (11 regions) consistently demonstrated the same trends. Conclusions FI is associated with poorer mental health and specific psychosocial stressors across global regions independent of SES. The numerous pathways via which FI may contribute to common mental disorders, and the broad social implications of FI linked to cultural norms and self-efficacy, may contribute to the cross-cultural consistency of the findings.","author":[{"dropping-particle":"","family":"Jones","given":"Andrew D.","non-dropping-particle":"","parse-names":false,"suffix":""}],"container-title":"American Journal of Preventive Medicine","id":"ITEM-1","issue":"2","issued":{"date-parts":[["2017","8","1"]]},"page":"264-273","publisher":"Elsevier Inc.","title":"Food Insecurity and Mental Health Status: A Global Analysis of 149 Countries","type":"article-journal","volume":"53"},"uris":["http://www.mendeley.com/documents/?uuid=54d273bf-7be5-3b17-a90b-76c46c347ffa"]},{"id":"ITEM-2","itemData":{"DOI":"10.1017/S136898001900435X","ISSN":"1475-2727","PMID":"32174292","abstract":"Objective: Food security has been suggested to be a risk factor for depression, stress and anxiety. We therefore undertook a systematic review and meta-analysis of available publications to examine these associations further.Design: Relevant studies were identified by searching Web of Science, Embase, Scopus and PubMed databases up to January 2019.Setting: OR was pooled using a random-effects model. Standard methods were used for assessment of heterogeneity and publication bias.Participants: Data were available from nineteen studies with 372 143 individual participants from ten different countries that were pooled for the meta-analysis.Results: The results showed there was a positive relationship between food insecurity (FI) and risk of depression (OR = 1·40; 95 % CI: 1·30, 1·58) and stress (OR = 1·34; 95 % CI: 1·24, 1·44) but not anxiety. Subgroup analysis by age showed that subjects older than ≥65 years exhibited a higher risk of depression (OR = 1·75; 95 % CI: 1·20, 2·56) than younger participants (OR = 1·34; 95 % CI: 1·20, 1·50), as well as a greater risk of depression in men (OR = 1·42; 95 % CI: 1·17, 1·72) than women (OR = 1·30; 95 % CI: 1·16, 1·46). Finally, subgroup analysis according to geographical location illustrated that food insecure households living in North America had the highest risk of stress and anxiety.Conclusions: The evidence from this meta-analysis suggests that FI has a significant effect on the likelihood of being stressed or depressed. This indicates that health care services, which alleviate FI, would also promote holistic well-being in adults.","author":[{"dropping-particle":"","family":"Pourmotabbed","given":"Ali","non-dropping-particle":"","parse-names":false,"suffix":""},{"dropping-particle":"","family":"Moradi","given":"Sajjad","non-dropping-particle":"","parse-names":false,"suffix":""},{"dropping-particle":"","family":"Babaei","given":"Atefeh","non-dropping-particle":"","parse-names":false,"suffix":""},{"dropping-particle":"","family":"Ghavami","given":"Abed","non-dropping-particle":"","parse-names":false,"suffix":""},{"dropping-particle":"","family":"Mohammadi","given":"Hamed","non-dropping-particle":"","parse-names":false,"suffix":""},{"dropping-particle":"","family":"Jalili","given":"Cyrus","non-dropping-particle":"","parse-names":false,"suffix":""},{"dropping-particle":"","family":"Symonds","given":"Michael E.","non-dropping-particle":"","parse-names":false,"suffix":""},{"dropping-particle":"","family":"Miraghajani","given":"Maryam","non-dropping-particle":"","parse-names":false,"suffix":""}],"container-title":"Public health nutrition","id":"ITEM-2","issue":"10","issued":{"date-parts":[["2020","7","1"]]},"page":"1854","publisher":"Cambridge University Press","title":"Food insecurity and mental health: a systematic review and meta-analysis - CORRIGENDUM.","type":"article-journal","volume":"23"},"uris":["http://www.mendeley.com/documents/?uuid=4468a42b-150b-4983-a312-0446d9dc716d"]},{"id":"ITEM-3","itemData":{"DOI":"10.1093/jn/nxy261","ISSN":"15416100","PMID":"30597047","abstract":"Food insecurity is strongly associated with subjective well-being. People compare their well-being to a subjective reference that adjusts over time, which is called hedonic adaptation. Objective:We aimed to deepen understanding of the relation between food insecurity and subjectivewell-being among countries from the perspective of possible hedonic adaptation between food insecurity and subjective well-being. Methods: Global data from the Gallup World Poll 2014 were collected from 152,206 individuals in 147 countries. Telephone and face-to-face surveys were conducted in 37 and 111 countries, respectively, collecting data on law and order; food and shelter; institutions and infrastructure; job climate; and financial, social, physical, and evaluative wellbeing, including the Food Insecurity Experience Scale. Datawere aggregated to country level and merged with economic and social measures from World Bank and United Nations sources: infant mortality, gross domestic product, economic inequality, agricultural value added, fertility, maternal mortality, female schooling, and female participation in the labor force. Multilevel linear regression was used to examine associations between well-being and food insecurity. Results: Experiencing moderate or severe food insecurity was prevalent among countries, with a mean probability of 0.273 0.220. Countries that were less developed economically and socially had a higher probability of experiencing food insecurity, lower subjective well-being as measured by the daily experience index, and less negative slopes for the relation between daily experience index and food insecurity. Food insecurity was the strongest predictor of daily experience from among the measures of economic and social development. Conclusions: The prevalence of food insecurity was strongly and negatively associated with subjective well-being across 147 countries. The association between food insecurity and poor subjective well-being within countries was stronger formore-developed countries, providing evidence of hedonic adaptation between food insecurity and subjective well-being. Food insecurity explained substantial variation in subjective well-being both among and within countries. J Nutr 2019;149:330-335.","author":[{"dropping-particle":"","family":"Frongillo","given":"Edward A.","non-dropping-particle":"","parse-names":false,"suffix":""},{"dropping-particle":"","family":"Nguyen","given":"Hoa T.","non-dropping-particle":"","parse-names":false,"suffix":""},{"dropping-particle":"","family":"Smith","given":"Michael D.","non-dropping-particle":"","parse-names":false,"suffix":""},{"dropping-particle":"","family":"Coleman-Jensen","given":"Alisha","non-dropping-particle":"","parse-names":false,"suffix":""}],"container-title":"Journal of Nutrition","id":"ITEM-3","issue":"2","issued":{"date-parts":[["2019","2","1"]]},"page":"330-335","publisher":"Oxford University Press","title":"Food Insecurity Is More Strongly Associated with Poor Subjective Well-Being in More-Developed Countries than in Less-Developed Countries","type":"article-journal","volume":"149"},"uris":["http://www.mendeley.com/documents/?uuid=a5e6060b-72c9-3167-9208-0eb901da94c7"]}],"mendeley":{"formattedCitation":"(Frongillo et al., 2019; Jones, 2017; Pourmotabbed et al., 2020)","plainTextFormattedCitation":"(Frongillo et al., 2019; Jones, 2017; Pourmotabbed et al., 2020)","previouslyFormattedCitation":"(Frongillo et al., 2019; Jones, 2017; Pourmotabbed et al., 2020)"},"properties":{"noteIndex":0},"schema":"https://github.com/citation-style-language/schema/raw/master/csl-citation.json"}</w:instrText>
      </w:r>
      <w:r>
        <w:fldChar w:fldCharType="separate"/>
      </w:r>
      <w:r w:rsidR="003A5284" w:rsidRPr="2CA49CD8">
        <w:rPr>
          <w:noProof/>
        </w:rPr>
        <w:t xml:space="preserve">(Frongillo </w:t>
      </w:r>
      <w:r w:rsidR="00D21786" w:rsidRPr="00D21786">
        <w:rPr>
          <w:i/>
          <w:iCs/>
          <w:noProof/>
        </w:rPr>
        <w:t>et al</w:t>
      </w:r>
      <w:r w:rsidR="003A5284" w:rsidRPr="2CA49CD8">
        <w:rPr>
          <w:noProof/>
        </w:rPr>
        <w:t xml:space="preserve">., 2019; Jones, 2017; Pourmotabbed </w:t>
      </w:r>
      <w:r w:rsidR="00D21786" w:rsidRPr="00D21786">
        <w:rPr>
          <w:i/>
          <w:iCs/>
          <w:noProof/>
        </w:rPr>
        <w:t>et al</w:t>
      </w:r>
      <w:r w:rsidR="003A5284" w:rsidRPr="2CA49CD8">
        <w:rPr>
          <w:noProof/>
        </w:rPr>
        <w:t>., 2020)</w:t>
      </w:r>
      <w:r>
        <w:fldChar w:fldCharType="end"/>
      </w:r>
      <w:r w:rsidR="003A5284">
        <w:t>.</w:t>
      </w:r>
      <w:r w:rsidR="00507B76">
        <w:t xml:space="preserve"> In addition to food insecurity </w:t>
      </w:r>
      <w:r w:rsidR="00507B76">
        <w:lastRenderedPageBreak/>
        <w:t>resulting from</w:t>
      </w:r>
      <w:r w:rsidR="00AC4539">
        <w:t xml:space="preserve"> a</w:t>
      </w:r>
      <w:r w:rsidR="00507B76">
        <w:t xml:space="preserve"> lack of buying power, the lack of food in shops and lockdown restrictions on movement</w:t>
      </w:r>
      <w:r w:rsidR="00AC4539">
        <w:t>, which</w:t>
      </w:r>
      <w:r w:rsidR="00507B76">
        <w:t xml:space="preserve"> prevent people from obtaining food</w:t>
      </w:r>
      <w:r w:rsidR="00AC4539">
        <w:t>,</w:t>
      </w:r>
      <w:r w:rsidR="00507B76">
        <w:t xml:space="preserve"> appear to be driving new dimensions of food security</w:t>
      </w:r>
      <w:r w:rsidR="00146BFB">
        <w:t xml:space="preserve"> (</w:t>
      </w:r>
      <w:proofErr w:type="spellStart"/>
      <w:r w:rsidR="00146BFB">
        <w:t>Loopstra</w:t>
      </w:r>
      <w:proofErr w:type="spellEnd"/>
      <w:r w:rsidR="00146BFB">
        <w:t>, 2020)</w:t>
      </w:r>
      <w:r w:rsidR="00507B76">
        <w:t xml:space="preserve">. </w:t>
      </w:r>
      <w:r w:rsidR="00456E72">
        <w:t xml:space="preserve">Lack of food in shops, in particular, may explain up to 40% of food insecurity experiences during this time </w:t>
      </w:r>
      <w:r>
        <w:fldChar w:fldCharType="begin" w:fldLock="1"/>
      </w:r>
      <w:r>
        <w:instrText>ADDIN CSL_CITATION {"citationItems":[{"id":"ITEM-1","itemData":{"author":[{"dropping-particle":"","family":"Loopstra","given":"Rachel","non-dropping-particle":"","parse-names":false,"suffix":""}],"id":"ITEM-1","issued":{"date-parts":[["2020"]]},"title":"Vulnerability to food insecurity since the COVID-19 lockdown Preliminary report","type":"report"},"uris":["http://www.mendeley.com/documents/?uuid=b04c4284-e6ac-3553-8f4e-42fb21b1f542"]}],"mendeley":{"formattedCitation":"(Loopstra, 2020)","plainTextFormattedCitation":"(Loopstra, 2020)","previouslyFormattedCitation":"(Loopstra, 2020)"},"properties":{"noteIndex":0},"schema":"https://github.com/citation-style-language/schema/raw/master/csl-citation.json"}</w:instrText>
      </w:r>
      <w:r>
        <w:fldChar w:fldCharType="separate"/>
      </w:r>
      <w:r w:rsidR="00456E72" w:rsidRPr="2CA49CD8">
        <w:rPr>
          <w:noProof/>
        </w:rPr>
        <w:t>(Loopstra, 2020)</w:t>
      </w:r>
      <w:r>
        <w:fldChar w:fldCharType="end"/>
      </w:r>
      <w:r w:rsidR="00456E72">
        <w:t xml:space="preserve">.  </w:t>
      </w:r>
      <w:r w:rsidR="003A5284">
        <w:t xml:space="preserve">Thus, as intermittent tightening and relaxing of lockdown restrictions continues, there is an urgent need to understand potential factors that may mitigate </w:t>
      </w:r>
      <w:r w:rsidR="00C03B45">
        <w:t>the</w:t>
      </w:r>
      <w:r w:rsidR="003A5284">
        <w:t xml:space="preserve"> consequences</w:t>
      </w:r>
      <w:r w:rsidR="00C03B45">
        <w:t xml:space="preserve"> of the pandemic</w:t>
      </w:r>
      <w:r w:rsidR="003A5284">
        <w:t xml:space="preserve"> </w:t>
      </w:r>
      <w:r w:rsidR="00C03B45">
        <w:t>on</w:t>
      </w:r>
      <w:r w:rsidR="003A5284">
        <w:t xml:space="preserve"> food </w:t>
      </w:r>
      <w:r w:rsidR="00402B9A">
        <w:t>in</w:t>
      </w:r>
      <w:r w:rsidR="003A5284">
        <w:t>security and mental health.</w:t>
      </w:r>
    </w:p>
    <w:p w14:paraId="59FA2A5E" w14:textId="708BC48F" w:rsidR="00D35B73" w:rsidRDefault="00D35B73" w:rsidP="002F4BD0">
      <w:pPr>
        <w:spacing w:after="0" w:line="480" w:lineRule="auto"/>
        <w:rPr>
          <w:bCs/>
        </w:rPr>
      </w:pPr>
    </w:p>
    <w:p w14:paraId="24FFC5CE" w14:textId="5FBBE835" w:rsidR="00F95634" w:rsidRDefault="00103A98" w:rsidP="00F95634">
      <w:pPr>
        <w:spacing w:after="0" w:line="480" w:lineRule="auto"/>
      </w:pPr>
      <w:r>
        <w:t xml:space="preserve">Urban agriculture (UA), </w:t>
      </w:r>
      <w:r w:rsidR="003A5284">
        <w:t xml:space="preserve">the </w:t>
      </w:r>
      <w:r>
        <w:t xml:space="preserve">growing </w:t>
      </w:r>
      <w:r w:rsidR="245CF4DF">
        <w:t xml:space="preserve">of </w:t>
      </w:r>
      <w:r>
        <w:t>fruits and vegetables in urban and suburban areas, has historically been relied upon to bolster food supplies during times of crisis</w:t>
      </w:r>
      <w:r w:rsidR="003A5284">
        <w:t>, such as war</w:t>
      </w:r>
      <w:r>
        <w:t xml:space="preserve"> and food system shocks </w:t>
      </w:r>
      <w:r>
        <w:fldChar w:fldCharType="begin" w:fldLock="1"/>
      </w:r>
      <w:r>
        <w:instrText>ADDIN CSL_CITATION {"citationItems":[{"id":"ITEM-1","itemData":{"DOI":"10.1007/s13593-013-0156-7","ISSN":"17730155","abstract":"Food production in cities has long been a tradition in many countries around the world and a mainstream activity for many developed countries. While urban agriculture plays an important role in increasing food security and social well-being, it comes with significant costs and constraints. Here, we review the growth of urban agriculture throughout the developed world in order to clarify the different benefits, risks, and hindrances associated with the practice. Through this analysis, we identify the need for better understanding of the following five aspects if urban agriculture is to make a meaningful contribution to food security and social well-being in the future: (1) the impacts of continued urban sprawl and loss of peri-urban agricultural land; (2) appropriate government and institutional support at local, regional, and country levels; (3) the role of urban agriculture in self-sufficiency of cities; (4) the risks posed by pollutants from agriculture to urban ecosystems and from urban ecosystems to agriculture; and (5) the carbon footprint of urban agriculture and use of \"food miles.\" If urban agriculture is to have a legitimate place in resolving the global food crisis as advocates claim, then it is time to take urban agriculture seriously and assess more rigorously both the positive and negative impacts, especially carbon emissions. Only then can the world's limited resources be properly allocated to the development of urban agriculture. © 2013 INRA and Springer-Verlag France.","author":[{"dropping-particle":"","family":"Mok","given":"Hoi-Fei Fei","non-dropping-particle":"","parse-names":false,"suffix":""},{"dropping-particle":"","family":"Williamson","given":"Virginia G.","non-dropping-particle":"","parse-names":false,"suffix":""},{"dropping-particle":"","family":"Grove","given":"James R.","non-dropping-particle":"","parse-names":false,"suffix":""},{"dropping-particle":"","family":"Burry","given":"Kristal","non-dropping-particle":"","parse-names":false,"suffix":""},{"dropping-particle":"","family":"Barker","given":"S. Fiona","non-dropping-particle":"","parse-names":false,"suffix":""},{"dropping-particle":"","family":"Hamilton","given":"Andrew J.","non-dropping-particle":"","parse-names":false,"suffix":""}],"container-title":"Agronomy for Sustainable Development","id":"ITEM-1","issue":"1","issued":{"date-parts":[["2014","1","30"]]},"page":"21-43","publisher":"EDP Sciences","publisher-place":"22 RUE DE PALESTRO, PARIS, 75002, FRANCE","title":"Strawberry fields forever? Urban agriculture in developed countries: A review","type":"article-journal","volume":"34"},"uris":["http://www.mendeley.com/documents/?uuid=dc41c094-b5f7-454a-a291-3e2d5f77350c"]}],"mendeley":{"formattedCitation":"(Mok et al., 2014)","plainTextFormattedCitation":"(Mok et al., 2014)","previouslyFormattedCitation":"(Mok et al., 2014)"},"properties":{"noteIndex":0},"schema":"https://github.com/citation-style-language/schema/raw/master/csl-citation.json"}</w:instrText>
      </w:r>
      <w:r>
        <w:fldChar w:fldCharType="separate"/>
      </w:r>
      <w:r w:rsidR="001B71B3" w:rsidRPr="38F0A9E2">
        <w:rPr>
          <w:noProof/>
        </w:rPr>
        <w:t xml:space="preserve">(Mok </w:t>
      </w:r>
      <w:r w:rsidR="00D21786" w:rsidRPr="00D21786">
        <w:rPr>
          <w:i/>
          <w:iCs/>
          <w:noProof/>
        </w:rPr>
        <w:t>et al</w:t>
      </w:r>
      <w:r w:rsidR="001B71B3" w:rsidRPr="38F0A9E2">
        <w:rPr>
          <w:noProof/>
        </w:rPr>
        <w:t>., 2014)</w:t>
      </w:r>
      <w:r>
        <w:fldChar w:fldCharType="end"/>
      </w:r>
      <w:r w:rsidR="001B71B3">
        <w:t>.</w:t>
      </w:r>
      <w:r w:rsidR="003A5284">
        <w:t xml:space="preserve"> </w:t>
      </w:r>
      <w:r w:rsidR="007E2EF3">
        <w:t xml:space="preserve">For example, </w:t>
      </w:r>
      <w:r w:rsidR="00F95634">
        <w:t>growing food at home in “Victory Gardens” was encouraged to help buffer against</w:t>
      </w:r>
      <w:r w:rsidR="007E2EF3">
        <w:t xml:space="preserve"> food shortages </w:t>
      </w:r>
      <w:r w:rsidR="00F95634">
        <w:t>during</w:t>
      </w:r>
      <w:r w:rsidR="007E2EF3">
        <w:t xml:space="preserve"> the </w:t>
      </w:r>
      <w:r w:rsidR="00F95634">
        <w:t>Second</w:t>
      </w:r>
      <w:r w:rsidR="007E2EF3">
        <w:t xml:space="preserve"> World War</w:t>
      </w:r>
      <w:r w:rsidR="00F95634">
        <w:t xml:space="preserve"> </w:t>
      </w:r>
      <w:r>
        <w:fldChar w:fldCharType="begin" w:fldLock="1"/>
      </w:r>
      <w:r>
        <w:instrText>ADDIN CSL_CITATION {"citationItems":[{"id":"ITEM-1","itemData":{"DOI":"10.1007/s13593-013-0156-7","ISSN":"17730155","abstract":"Food production in cities has long been a tradition in many countries around the world and a mainstream activity for many developed countries. While urban agriculture plays an important role in increasing food security and social well-being, it comes with significant costs and constraints. Here, we review the growth of urban agriculture throughout the developed world in order to clarify the different benefits, risks, and hindrances associated with the practice. Through this analysis, we identify the need for better understanding of the following five aspects if urban agriculture is to make a meaningful contribution to food security and social well-being in the future: (1) the impacts of continued urban sprawl and loss of peri-urban agricultural land; (2) appropriate government and institutional support at local, regional, and country levels; (3) the role of urban agriculture in self-sufficiency of cities; (4) the risks posed by pollutants from agriculture to urban ecosystems and from urban ecosystems to agriculture; and (5) the carbon footprint of urban agriculture and use of \"food miles.\" If urban agriculture is to have a legitimate place in resolving the global food crisis as advocates claim, then it is time to take urban agriculture seriously and assess more rigorously both the positive and negative impacts, especially carbon emissions. Only then can the world's limited resources be properly allocated to the development of urban agriculture. © 2013 INRA and Springer-Verlag France.","author":[{"dropping-particle":"","family":"Mok","given":"Hoi-Fei Fei","non-dropping-particle":"","parse-names":false,"suffix":""},{"dropping-particle":"","family":"Williamson","given":"Virginia G.","non-dropping-particle":"","parse-names":false,"suffix":""},{"dropping-particle":"","family":"Grove","given":"James R.","non-dropping-particle":"","parse-names":false,"suffix":""},{"dropping-particle":"","family":"Burry","given":"Kristal","non-dropping-particle":"","parse-names":false,"suffix":""},{"dropping-particle":"","family":"Barker","given":"S. Fiona","non-dropping-particle":"","parse-names":false,"suffix":""},{"dropping-particle":"","family":"Hamilton","given":"Andrew J.","non-dropping-particle":"","parse-names":false,"suffix":""}],"container-title":"Agronomy for Sustainable Development","id":"ITEM-1","issue":"1","issued":{"date-parts":[["2014","1","30"]]},"page":"21-43","publisher":"EDP Sciences","publisher-place":"22 RUE DE PALESTRO, PARIS, 75002, FRANCE","title":"Strawberry fields forever? Urban agriculture in developed countries: A review","type":"article-journal","volume":"34"},"uris":["http://www.mendeley.com/documents/?uuid=dc41c094-b5f7-454a-a291-3e2d5f77350c"]}],"mendeley":{"formattedCitation":"(Mok et al., 2014)","plainTextFormattedCitation":"(Mok et al., 2014)","previouslyFormattedCitation":"(Mok et al., 2014)"},"properties":{"noteIndex":0},"schema":"https://github.com/citation-style-language/schema/raw/master/csl-citation.json"}</w:instrText>
      </w:r>
      <w:r>
        <w:fldChar w:fldCharType="separate"/>
      </w:r>
      <w:r w:rsidR="00F95634" w:rsidRPr="38F0A9E2">
        <w:rPr>
          <w:noProof/>
        </w:rPr>
        <w:t xml:space="preserve">(Mok </w:t>
      </w:r>
      <w:r w:rsidR="00D21786" w:rsidRPr="00D21786">
        <w:rPr>
          <w:i/>
          <w:iCs/>
          <w:noProof/>
        </w:rPr>
        <w:t>et al</w:t>
      </w:r>
      <w:r w:rsidR="00F95634" w:rsidRPr="38F0A9E2">
        <w:rPr>
          <w:noProof/>
        </w:rPr>
        <w:t>., 2014)</w:t>
      </w:r>
      <w:r>
        <w:fldChar w:fldCharType="end"/>
      </w:r>
      <w:r w:rsidR="00F95634">
        <w:t>. Therefore, h</w:t>
      </w:r>
      <w:r w:rsidR="00B4407C">
        <w:t>ome food growing</w:t>
      </w:r>
      <w:r w:rsidR="009D11EF">
        <w:t xml:space="preserve"> in gardens </w:t>
      </w:r>
      <w:r w:rsidR="5CDAAD18">
        <w:t xml:space="preserve">and </w:t>
      </w:r>
      <w:r w:rsidR="009D11EF">
        <w:t>allotments</w:t>
      </w:r>
      <w:r w:rsidR="00B4407C">
        <w:t xml:space="preserve"> has been highlighted as a potential means </w:t>
      </w:r>
      <w:r w:rsidR="00F95634">
        <w:t xml:space="preserve">of providing access to nutritious, healthy food in urban areas during the COVID-19 pandemic </w:t>
      </w:r>
      <w:r>
        <w:fldChar w:fldCharType="begin" w:fldLock="1"/>
      </w:r>
      <w:r>
        <w:instrText>ADDIN CSL_CITATION {"citationItems":[{"id":"ITEM-1","itemData":{"DOI":"10.1007/s12571-020-01058-3","ISSN":"18764525","abstract":"Despite a 2.3% increase in world cereal production in 2019 over 2018, the number of people facing severe food insecurity may double from 135 million in January 2020 to 265 million by the end of 2020. The problem of food and nutritional insecurity is severe in urban centers, where the global population is projected to increase (%/year) by 1.84, 1.63, and 1.44 between 2015 to 2020, 2020 to 2025, and 2025 to 2030, and it will increase overall from 54% in 2016 to 60% by 2030. The number of megacities (&gt;10 million people) will increase from 34 in 2015 to 41 by 2030. The COVID-19 pandemic has aggravated food insecurity in urban centers because of the disruption in the food supply chain, aggravation of the physical and economic barriers that restrict access to food, and the catastrophic increase in food waste because of labor shortages. Thus, there is a need to adopt more resilient food systems, reduce food waste, and strengthen local food production. Enhancing availability at the household and community levels through home gardening and urban agriculture is an important strategy. Food production within the cities include small land farming in households, local community gardens, indoor and rooftop gardens, vertical farming, etc. Home gardening can play an important role in advancing food and nutritional security during and after the COVD-19 pandemic, while also strengthening the provisioning of numerous ecosystem services (i.e., plant biodiversity, microclimate, water runoff, water quality, human health). However, risks of soil contamination by heavy metals must be addressed.","author":[{"dropping-particle":"","family":"Lal","given":"Rattan","non-dropping-particle":"","parse-names":false,"suffix":""}],"container-title":"Food Security","id":"ITEM-1","issued":{"date-parts":[["2020"]]},"publisher":"Springer","title":"Home gardening and urban agriculture for advancing food and nutritional security in response to the COVID-19 pandemic","type":"article"},"uris":["http://www.mendeley.com/documents/?uuid=d9cf8220-0370-3bb0-b564-90d382d53aea"]}],"mendeley":{"formattedCitation":"(Lal, 2020)","plainTextFormattedCitation":"(Lal, 2020)","previouslyFormattedCitation":"(Lal, 2020)"},"properties":{"noteIndex":0},"schema":"https://github.com/citation-style-language/schema/raw/master/csl-citation.json"}</w:instrText>
      </w:r>
      <w:r>
        <w:fldChar w:fldCharType="separate"/>
      </w:r>
      <w:r w:rsidR="00F95634" w:rsidRPr="38F0A9E2">
        <w:rPr>
          <w:noProof/>
        </w:rPr>
        <w:t>(Lal, 2020)</w:t>
      </w:r>
      <w:r>
        <w:fldChar w:fldCharType="end"/>
      </w:r>
      <w:r w:rsidR="00F95634">
        <w:t>. Existing literature from before the pandemic indicate</w:t>
      </w:r>
      <w:r w:rsidR="1BB99534">
        <w:t>d</w:t>
      </w:r>
      <w:r w:rsidR="00F95634">
        <w:t xml:space="preserve"> that </w:t>
      </w:r>
      <w:r w:rsidR="00091F56">
        <w:t>home food growing</w:t>
      </w:r>
      <w:r w:rsidR="00F95634">
        <w:t xml:space="preserve"> can supplement household food supplies and </w:t>
      </w:r>
      <w:r w:rsidR="00091F56">
        <w:t>reduce food insecurity</w:t>
      </w:r>
      <w:r w:rsidR="00F95634">
        <w:t xml:space="preserve"> </w:t>
      </w:r>
      <w:r>
        <w:fldChar w:fldCharType="begin" w:fldLock="1"/>
      </w:r>
      <w:r>
        <w:instrText>ADDIN CSL_CITATION {"citationItems":[{"id":"ITEM-1","itemData":{"DOI":"10.1007/s10460-009-9254-1","ISSN":"0889-048X","abstract":"Food security is a fundamental element of community health. Informal house-lot food growing, by providing convenient access to diverse varieties of affordable and nutritious produce, can provide an important support for community food security. In this exploratory assessment of the contribution home food gardening makes to community food security, in-depth interviews were conducted with gardeners in two contrasting neighborhoods in Toronto, Canada. A typology of food gardeners was developed, and this qualitative understanding of residential food production was then assessed from a community food security perspective. It was found that growing food contributes to food security at all income levels by encouraging a more nutritious diet. The sustainability of household food sourcing and gardeners' overall health and well-being also increased with food production. Secure access to suitable land to grow food and gardening skills were the most significant barriers found to residential food production.","author":[{"dropping-particle":"","family":"Kortright","given":"Robin","non-dropping-particle":"","parse-names":false,"suffix":""},{"dropping-particle":"","family":"Wakefield","given":"Sarah","non-dropping-particle":"","parse-names":false,"suffix":""}],"container-title":"Agriculture and Human Values","id":"ITEM-1","issue":"1","issued":{"date-parts":[["2011","2"]]},"page":"39-53","publisher":"SPRINGER","publisher-place":"VAN GODEWIJCKSTRAAT 30, 3311 GZ DORDRECHT, NETHERLANDS","title":"Edible backyards: a qualitative study of household food growing and its contributions to food security","type":"article-journal","volume":"28"},"uris":["http://www.mendeley.com/documents/?uuid=2fc0cb4c-7d44-448d-8b0a-c937ee9b3b44"]},{"id":"ITEM-2","itemData":{"DOI":"10.1186/2048-7010-2-8","ISSN":"20487010","abstract":"With the global population expected to reach over 9 billion by 2050, there is a continuous need to increase food production and buffer stocks. In this scenario, countries around the world, especially developing countries where the pervasiveness of hunger and food scarcity is more acute, are resorting to various counter strategies to meet the growing demand and to avert food insecurity and famine. Over the recent years there has been growing interest to strengthen and intensify local food production in order to mitigate the adverse effect of global food shocks and food price volatilities. Consequently, there is much attention towards home gardens as a strategy to enhance household food security and nutrition. Home gardens are an integral part of local food systems and the agricultural landscape of developing countries all over the world and have endured the test of time. Through a rigorous literature review, this paper first examines definitions and characteristics of home gardens and then provides a global review of their social, economic, and environmental contributions to communities in various socio-economic contexts. Many of the compositions on home gardens share research and experiences of developing countries in Africa, Asia, and Latin America. These studies recognize positive impacts of home gardens towards addressing food insecurity and malnutrition as well as providing additional benefits such as income and livelihood opportunities for resource-poor families and delivering a number of ecosystem services. However, only a handful of case studies were found on post-crisis settings. While providing a general overview of some of these studies, this review investigates the home garden experiences of post-conflict Sri Lanka, where home gardening has been practiced for centuries. While emphasizing multiple benefits, we also highlight constraints to home garden food production. In conclusion, we emphasize the need for more research and empirical data to appraise the role of home gardens in crisis and post-crisis situations, as well as assessing their economic value and their impacts on food security, nutrition, economic growth, and gender issues.","author":[{"dropping-particle":"","family":"Galhena","given":"Dilrukshi Hashini","non-dropping-particle":"","parse-names":false,"suffix":""},{"dropping-particle":"","family":"Freed","given":"Russell","non-dropping-particle":"","parse-names":false,"suffix":""},{"dropping-particle":"","family":"Maredia","given":"Karim M.","non-dropping-particle":"","parse-names":false,"suffix":""}],"container-title":"Agriculture and Food Security","id":"ITEM-2","issue":"1","issued":{"date-parts":[["2013","5","31"]]},"publisher":"BioMed Central Ltd.","title":"Home gardens: A promising approach to enhance household food security and wellbeing","type":"article","volume":"2"},"uris":["http://www.mendeley.com/documents/?uuid=9baf3bbd-d466-3f08-b6b6-b3c0a4875b2a"]},{"id":"ITEM-3","itemData":{"DOI":"10.3733/ca.v070n02p77","ISSN":"00080845","abstract":"As of 2013, 42 million American households were involved in growing their own food either at home or in a community garden plot. The purpose of this pilot study was to document the extent to which gardeners, particularly less affluent ones, increase their vegetable intake when eating from either home or community garden spaces. Eighty-five community gardeners and 50 home gardeners from San Jose, California, completed a survey providing information on demographic background, self-rated health, vegetable intake and the benefits of gardening. The gardeners surveyed were generally low income and came from a variety of ethnic and educational backgrounds. Participants in this study reported doubling their vegetable intake to a level that met the number of daily servings recommended by the U.S. Dietary Guidelines. Growing food in community and home gardens can contribute to food security by helping provide access to fresh vegetables and increasing consumption of vegetables by gardeners and their families.","author":[{"dropping-particle":"","family":"Algert","given":"Susan","non-dropping-particle":"","parse-names":false,"suffix":""},{"dropping-particle":"","family":"Diekmann","given":"Lucy","non-dropping-particle":"","parse-names":false,"suffix":""},{"dropping-particle":"","family":"Renvall","given":"Marian","non-dropping-particle":"","parse-names":false,"suffix":""},{"dropping-particle":"","family":"Gray","given":"Leslie","non-dropping-particle":"","parse-names":false,"suffix":""}],"container-title":"California Agriculture","id":"ITEM-3","issue":"2","issued":{"date-parts":[["2016"]]},"page":"77-82","title":"Community and home gardens increase vegetable intake and food security of residents in San Jose, California","type":"article-journal","volume":"70"},"uris":["http://www.mendeley.com/documents/?uuid=500634fe-dfa7-319e-b160-87b94dbee2d3"]}],"mendeley":{"formattedCitation":"(Algert et al., 2016; Galhena et al., 2013; Kortright &amp; Wakefield, 2011)","plainTextFormattedCitation":"(Algert et al., 2016; Galhena et al., 2013; Kortright &amp; Wakefield, 2011)","previouslyFormattedCitation":"(Algert et al., 2016; Galhena et al., 2013; Kortright &amp; Wakefield, 2011)"},"properties":{"noteIndex":0},"schema":"https://github.com/citation-style-language/schema/raw/master/csl-citation.json"}</w:instrText>
      </w:r>
      <w:r>
        <w:fldChar w:fldCharType="separate"/>
      </w:r>
      <w:r w:rsidR="00F95634" w:rsidRPr="38F0A9E2">
        <w:rPr>
          <w:noProof/>
        </w:rPr>
        <w:t xml:space="preserve">(Algert </w:t>
      </w:r>
      <w:r w:rsidR="00D21786" w:rsidRPr="00D21786">
        <w:rPr>
          <w:i/>
          <w:iCs/>
          <w:noProof/>
        </w:rPr>
        <w:t>et al</w:t>
      </w:r>
      <w:r w:rsidR="00F95634" w:rsidRPr="38F0A9E2">
        <w:rPr>
          <w:noProof/>
        </w:rPr>
        <w:t xml:space="preserve">., 2016; Galhena </w:t>
      </w:r>
      <w:r w:rsidR="00D21786" w:rsidRPr="00D21786">
        <w:rPr>
          <w:i/>
          <w:iCs/>
          <w:noProof/>
        </w:rPr>
        <w:t>et al</w:t>
      </w:r>
      <w:r w:rsidR="00F95634" w:rsidRPr="38F0A9E2">
        <w:rPr>
          <w:noProof/>
        </w:rPr>
        <w:t>., 2013; Kortright &amp; Wakefield, 2011)</w:t>
      </w:r>
      <w:r>
        <w:fldChar w:fldCharType="end"/>
      </w:r>
      <w:r w:rsidR="00F95634">
        <w:t xml:space="preserve">. </w:t>
      </w:r>
      <w:r w:rsidR="005C771D">
        <w:t>In addition</w:t>
      </w:r>
      <w:r w:rsidR="00F95634">
        <w:t xml:space="preserve"> to this, engagement in urban food growing (in general) has been associated with mental health benefits </w:t>
      </w:r>
      <w:r>
        <w:fldChar w:fldCharType="begin" w:fldLock="1"/>
      </w:r>
      <w:r w:rsidR="00212B7E">
        <w:instrText>ADDIN CSL_CITATION {"citationItems":[{"id":"ITEM-1","itemData":{"DOI":"10.1080/02614360902769894","ISSN":"02614367","abstract":"This paper reports on a research project undertaken with members of a community garden in Port Melbourne, Australia, to investigate the ways in which such a facility contributes to the enhancement of health, wellbeing and contact with nature for urban dwellers. Ten members from an urban community garden were interviewed using qualitative semi-structured questions exploring perceptions of health and wellbeing benefits associated with membership. The garden was felt by members to be a sanctuary where people could come together and escape daily pressures, a source of advice and social support, and a place which gave them a sense of worth and involvement. Members also identified spiritual, fitness and nutritional benefits arising from participation in the community garden. It is evident even from this small qualitative study that community gardening offers many health and wellbeing benefits to members. This study provides a basis for the benefits of community gardens in Australia to be taken into account by policymakers and practitioners to enhance urban community health and wellbeing. © 2009 Taylor &amp; Francis.","author":[{"dropping-particle":"","family":"Kingsley","given":"Jonathan Yotti","non-dropping-particle":"","parse-names":false,"suffix":""},{"dropping-particle":"","family":"Townsend","given":"Mardie","non-dropping-particle":"","parse-names":false,"suffix":""},{"dropping-particle":"","family":"Henderson-Wilson","given":"Claire","non-dropping-particle":"","parse-names":false,"suffix":""}],"container-title":"Leisure Studies","id":"ITEM-1","issue":"2","issued":{"date-parts":[["2009","4"]]},"page":"207-219","publisher":" Routledge ","title":"Cultivating health and wellbeing: Members' perceptions of the health benefits of a Port Melbourne community garden","type":"article-journal","volume":"28"},"uris":["http://www.mendeley.com/documents/?uuid=4b9917e6-5602-33ed-bf9b-913ce88d5008"]},{"id":"ITEM-2","itemData":{"DOI":"10.1186/s12889-019-6885-z","ISSN":"1471-2458","PMID":"31151393","abstract":"BACKGROUND There has been an increasing interest in urban agriculture (UA) practice and research in recent years. Scholars have already reported numerous beneficial and potential adverse impacts of UA on health-related outcomes. This scoping review aims to explore these impacts and identify knowledge gaps for future UA studies. METHODS A systematic search was conducted in seven electronic bibliographic databases to identify relevant peer-reviewed studies. Articles were screened and assessed for eligibility. From eligible studies, data were extracted to summarize, collate, appraise the quality and make a narrative account of the findings. RESULTS A total of 101 articles (51 quantitative, 29 qualitative, and 21 mixed methods studies) were included in our final analysis. Among these articles, 38 and 37% reported findings from North America and Sub-Saharan Africa respectively. Quantitative studies revealed evidence of positive impacts of UA on food security, nutrition outcomes, physical and mental health outcomes, and social capital. The qualitative studies reported a wide range of perceived benefits and motivations of UA. The most frequently reported benefits include contributions to social capital, food security, health and/or wellbeing. However, the evidence must be interpreted with caution since the quality of most of the studies was assessed as weak to moderate. While no definitive conclusions can be drawn about the adverse impacts of UA on health, paying particular attention to contamination of UA soil is recommended. CONCLUSION More peer-reviewed studies are needed in areas where UA is practiced such as Latin America and Caribbean. The inconsistency and the lack of strong quality in the methodology of the included studies are proof that more rigorous studies are also needed in future research. Nevertheless, the substantial existing evidence from this review corroborate that UA can influence different determinants of health such as food security, social capital, health and well-being in a variety of contexts.","author":[{"dropping-particle":"","family":"Audate","given":"Pierre Paul","non-dropping-particle":"","parse-names":false,"suffix":""},{"dropping-particle":"","family":"Fernandez","given":"Melissa A.","non-dropping-particle":"","parse-names":false,"suffix":""},{"dropping-particle":"","family":"Cloutier","given":"Geneviève","non-dropping-particle":"","parse-names":false,"suffix":""},{"dropping-particle":"","family":"Lebel","given":"Alexandre","non-dropping-particle":"","parse-names":false,"suffix":""}],"container-title":"BMC Public Health","id":"ITEM-2","issue":"1","issued":{"date-parts":[["2019","12","31"]]},"page":"672","title":"Scoping review of the impacts of urban agriculture on the determinants of health","type":"article-journal","volume":"19"},"uris":["http://www.mendeley.com/documents/?uuid=945d0584-fb3c-3ea5-977f-d0c9cb575924"]},{"id":"ITEM-3","itemData":{"DOI":"10.1186/2047-2382-3-20","ISSN":"20472382","abstract":"Background: Community gardening is defined by its shared nature; gardeners work collectively to manage a garden for shared benefit. Although communal gardening activities, and recognition of their perceived benefits have a long history, it is in recent years that interest has developed in assessing the potential of the approach to address many of the threats to health and wellbeing faced by global populations. Community gardening may address chronic and non-communicable disease through the provision of opportunities for physical activity, improved nutrition and reduced stress. Participation in the gardening activities may improve wellbeing through increased social contact, culturally valued activities and mitigation of food poverty. The benefits of community gardening are argued to extend beyond the participants themselves through more coherent and cohesive communities, improved physical environments and the sharing of the products of the labour. While there are many claims made and an emerging body of research, no previous systematic review has sought to identify and synthesise the evidence in a global context. Methods: The objectives of the mixed method systematic review are to understand the health and wellbeing impacts of active participation in community gardening. Both quantitative and qualitative evidence will be sought using a broad and diverse search strategy to address the four review questions: 1) does active involvement in community gardening lead to improved health or wellbeing; 2) if so, how does active involvement in community gardening affect health and wellbeing; 3) are there different impacts for different population groups (for instance according to age, socio-economic status or sex); and 4) do different types of community gardening (for example producing vegetables or a flower garden) or in different contexts have different types of impacts? A theoretical framework, informed by an initial theory of change model, will illustrate the outcomes of participation and any mechanisms of action (i.e. how such impacts are achieved). The synthesis will be sensitive to factors which may affect the impacts, such as the context of the activities, the demographics of participants, and the implementation and specifics of the community gardening interventions.","author":[{"dropping-particle":"","family":"Lovell","given":"Rebecca","non-dropping-particle":"","parse-names":false,"suffix":""},{"dropping-particle":"","family":"Husk","given":"Kerryn","non-dropping-particle":"","parse-names":false,"suffix":""},{"dropping-particle":"","family":"Bethel","given":"Alison","non-dropping-particle":"","parse-names":false,"suffix":""},{"dropping-particle":"","family":"Garside","given":"Ruth","non-dropping-particle":"","parse-names":false,"suffix":""}],"container-title":"Environmental Evidence","id":"ITEM-3","issue":"1","issued":{"date-parts":[["2014","10","7"]]},"publisher":"BioMed Central Ltd.","title":"What are the health and well-being impacts of community gardening for adults and children: A mixed method systematic review protocol","type":"article-journal","volume":"3"},"uris":["http://www.mendeley.com/documents/?uuid=5f527a33-56f0-3162-9ecf-4591d52f9db2"]}],"mendeley":{"formattedCitation":"(Audate et al., 2019; Kingsley et al., 2009; Lovell et al., 2014)","plainTextFormattedCitation":"(Audate et al., 2019; Kingsley et al., 2009; Lovell et al., 2014)","previouslyFormattedCitation":"(Audate et al., 2019; Kingsley et al., 2009; Lovell et al., 2014)"},"properties":{"noteIndex":0},"schema":"https://github.com/citation-style-language/schema/raw/master/csl-citation.json"}</w:instrText>
      </w:r>
      <w:r>
        <w:fldChar w:fldCharType="separate"/>
      </w:r>
      <w:r w:rsidR="00F95634" w:rsidRPr="38F0A9E2">
        <w:rPr>
          <w:noProof/>
        </w:rPr>
        <w:t xml:space="preserve">(Audate </w:t>
      </w:r>
      <w:r w:rsidR="00D21786" w:rsidRPr="00D21786">
        <w:rPr>
          <w:i/>
          <w:iCs/>
          <w:noProof/>
        </w:rPr>
        <w:t>et al</w:t>
      </w:r>
      <w:r w:rsidR="00F95634" w:rsidRPr="38F0A9E2">
        <w:rPr>
          <w:noProof/>
        </w:rPr>
        <w:t xml:space="preserve">., 2019; Kingsley </w:t>
      </w:r>
      <w:r w:rsidR="00D21786" w:rsidRPr="00D21786">
        <w:rPr>
          <w:i/>
          <w:iCs/>
          <w:noProof/>
        </w:rPr>
        <w:t>et al</w:t>
      </w:r>
      <w:r w:rsidR="00F95634" w:rsidRPr="38F0A9E2">
        <w:rPr>
          <w:noProof/>
        </w:rPr>
        <w:t xml:space="preserve">., 2009; Lovell </w:t>
      </w:r>
      <w:r w:rsidR="00D21786" w:rsidRPr="00D21786">
        <w:rPr>
          <w:i/>
          <w:iCs/>
          <w:noProof/>
        </w:rPr>
        <w:t>et al</w:t>
      </w:r>
      <w:r w:rsidR="00F95634" w:rsidRPr="38F0A9E2">
        <w:rPr>
          <w:noProof/>
        </w:rPr>
        <w:t>., 2014)</w:t>
      </w:r>
      <w:r>
        <w:fldChar w:fldCharType="end"/>
      </w:r>
      <w:r w:rsidR="00F95634">
        <w:t xml:space="preserve">. Home food growing in particular </w:t>
      </w:r>
      <w:r w:rsidR="00954211">
        <w:t>has</w:t>
      </w:r>
      <w:r w:rsidR="09B9309B">
        <w:t xml:space="preserve"> been</w:t>
      </w:r>
      <w:r w:rsidR="00F95634">
        <w:t xml:space="preserve"> associated with improved well-being </w:t>
      </w:r>
      <w:r>
        <w:fldChar w:fldCharType="begin" w:fldLock="1"/>
      </w:r>
      <w:r w:rsidR="00585D81">
        <w:instrText>ADDIN CSL_CITATION {"citationItems":[{"id":"ITEM-1","itemData":{"DOI":"10.1177/0308022615599408","ISSN":"14776006","abstract":"Introduction: Allotment gardening is a popular pastime which anecdotally contributes to health and wellbeing, although the extent of supportive research evidence is unclear. This systematic review investigates the question: Does allotment gardening contribute to health and wellbeing? Method: A systematic search was conducted, including the terms 'allotment', 'garden', 'health' and 'wellbeing'. Abstracts of identified papers were compared with inclusion criteria, and 10 papers were finally selected. Critical appraisal and data extraction were conducted simultaneously. Qualitative research papers predominated and were analysed thematically. Resultant themes were compared and integrated with the findings of quantitative research papers. Findings: Thematic analysis of the qualitative and quantitative papers' findings revealed five distinct health and wellbeing themes. Allotment gardening provides a stress-relieving refuge, contributes to a healthier lifestyle, creates social opportunities, provides valued contact with nature, and enables self-development. Conclusion: This review suggests that allotment gardening does indeed impact health and wellbeing. It is therefore recommended as occupational therapy for people with health problems, and as a health promoting occupation for the general population. Research particularly focused on the impact of group and therapeutic allotment gardening, so further investigations are recommended to explore the health promoting influences of everyday allotment gardening for individuals.","author":[{"dropping-particle":"","family":"Genter","given":"Chris","non-dropping-particle":"","parse-names":false,"suffix":""},{"dropping-particle":"","family":"Roberts","given":"Anne","non-dropping-particle":"","parse-names":false,"suffix":""},{"dropping-particle":"","family":"Richardson","given":"Janet","non-dropping-particle":"","parse-names":false,"suffix":""},{"dropping-particle":"","family":"Sheaff","given":"Mike","non-dropping-particle":"","parse-names":false,"suffix":""}],"container-title":"British Journal of Occupational Therapy","id":"ITEM-1","issue":"10","issued":{"date-parts":[["2015","10","1"]]},"page":"593-605","title":"The contribution of allotment gardening to health and wellbeing: A systematic review of the literature","type":"article","volume":"78"},"uris":["http://www.mendeley.com/documents/?uuid=1645c59a-ec6f-3783-b8ba-79d9925492bf"]},{"id":"ITEM-2","itemData":{"DOI":"10.3390/ijerph14010071","ISSN":"16604601","abstract":"With an ever-increasing urban population, promoting public health and well-being in towns and cities is a major challenge. Previous research has suggested that participating in allotment gardening delivers a wide range of health benefits. However, evidence from quantitative analyses is still scarce. Here, we quantify the effects, if any, of participating in allotment gardening on physical, psychological and social health. A questionnaire survey of 332 people was performed in Tokyo, Japan. We compared five self-reported health outcomes between allotment gardeners and non-gardener controls: perceived general health, subjective health complaints, body mass index (BMI), mental health and social cohesion. Accounting for socio-demographic and lifestyle variables, regression models revealed that allotment gardeners, compared to non-gardeners, reported better perceived general health, subjective health complaints, mental health and social cohesion. BMI did not differ between gardeners and non-gardeners. Neither frequency nor duration of gardening significantly influenced reported health outcomes. Our results highlight that regular gardening on allotment sites is associated with improved physical, psychological and social health. With the recent escalation in the prevalence of chronic diseases, and associated healthcare costs, this study has a major implication for policy, as it suggests that urban allotments have great potential for preventative healthcare.","author":[{"dropping-particle":"","family":"Soga","given":"Masashi","non-dropping-particle":"","parse-names":false,"suffix":""},{"dropping-particle":"","family":"Cox","given":"Daniel T.C.","non-dropping-particle":"","parse-names":false,"suffix":""},{"dropping-particle":"","family":"Yamaura","given":"Yuichi","non-dropping-particle":"","parse-names":false,"suffix":""},{"dropping-particle":"","family":"Gaston","given":"Kevin J.","non-dropping-particle":"","parse-names":false,"suffix":""},{"dropping-particle":"","family":"Kurisu","given":"Kiyo","non-dropping-particle":"","parse-names":false,"suffix":""},{"dropping-particle":"","family":"Hanaki","given":"Keisuke","non-dropping-particle":"","parse-names":false,"suffix":""}],"container-title":"International Journal of Environmental Research and Public Health","id":"ITEM-2","issue":"1","issued":{"date-parts":[["2017","1","12"]]},"page":"71","publisher":"MDPI AG","title":"Health benefits of urban allotment gardening: Improved physical and psychological well-being and social integration","type":"article-journal","volume":"14"},"uris":["http://www.mendeley.com/documents/?uuid=d332541a-e7ec-489e-8ced-f3156ae28fa1"]},{"id":"ITEM-3","itemData":{"DOI":"10.1108/BFJ-07-2020-0593","ISSN":"0007-070X","author":[{"dropping-particle":"","family":"Dobson","given":"Miriam Clare","non-dropping-particle":"","parse-names":false,"suffix":""},{"dropping-particle":"","family":"Reynolds","given":"Christian","non-dropping-particle":"","parse-names":false,"suffix":""},{"dropping-particle":"","family":"Warren","given":"Philip H","non-dropping-particle":"","parse-names":false,"suffix":""},{"dropping-particle":"","family":"Edmondson","given":"Jill L","non-dropping-particle":"","parse-names":false,"suffix":""}],"container-title":"British Food Journal","id":"ITEM-3","issue":"3","issued":{"date-parts":[["2020","11","3"]]},"page":"1012-1023","title":"“My little piece of the planet”: the multiplicity of well-being benefits from allotment gardening","type":"article-journal","volume":"123"},"uris":["http://www.mendeley.com/documents/?uuid=23a1c108-d1ac-445e-9e9e-4cdd11485137"]}],"mendeley":{"formattedCitation":"(Dobson et al., 2020; Genter et al., 2015; Soga et al., 2017)","plainTextFormattedCitation":"(Dobson et al., 2020; Genter et al., 2015; Soga et al., 2017)","previouslyFormattedCitation":"(Dobson et al., 2020; Genter et al., 2015; Soga et al., 2017)"},"properties":{"noteIndex":0},"schema":"https://github.com/citation-style-language/schema/raw/master/csl-citation.json"}</w:instrText>
      </w:r>
      <w:r>
        <w:fldChar w:fldCharType="separate"/>
      </w:r>
      <w:r w:rsidR="00F95634" w:rsidRPr="38F0A9E2">
        <w:rPr>
          <w:noProof/>
        </w:rPr>
        <w:t xml:space="preserve">(Dobson </w:t>
      </w:r>
      <w:r w:rsidR="00D21786" w:rsidRPr="00D21786">
        <w:rPr>
          <w:i/>
          <w:iCs/>
          <w:noProof/>
        </w:rPr>
        <w:t>et al</w:t>
      </w:r>
      <w:r w:rsidR="00F95634" w:rsidRPr="38F0A9E2">
        <w:rPr>
          <w:noProof/>
        </w:rPr>
        <w:t xml:space="preserve">., 2020; Genter </w:t>
      </w:r>
      <w:r w:rsidR="00D21786" w:rsidRPr="00D21786">
        <w:rPr>
          <w:i/>
          <w:iCs/>
          <w:noProof/>
        </w:rPr>
        <w:t>et al</w:t>
      </w:r>
      <w:r w:rsidR="00F95634" w:rsidRPr="38F0A9E2">
        <w:rPr>
          <w:noProof/>
        </w:rPr>
        <w:t xml:space="preserve">., 2015; Soga </w:t>
      </w:r>
      <w:r w:rsidR="00D21786" w:rsidRPr="00D21786">
        <w:rPr>
          <w:i/>
          <w:iCs/>
          <w:noProof/>
        </w:rPr>
        <w:t>et al</w:t>
      </w:r>
      <w:r w:rsidR="00F95634" w:rsidRPr="38F0A9E2">
        <w:rPr>
          <w:noProof/>
        </w:rPr>
        <w:t>., 2017)</w:t>
      </w:r>
      <w:r>
        <w:fldChar w:fldCharType="end"/>
      </w:r>
      <w:r w:rsidR="00F95634">
        <w:t xml:space="preserve"> and reduced stress </w:t>
      </w:r>
      <w:r>
        <w:fldChar w:fldCharType="begin" w:fldLock="1"/>
      </w:r>
      <w:r>
        <w:instrText>ADDIN CSL_CITATION {"citationItems":[{"id":"ITEM-1","itemData":{"DOI":"10.1177/1359105310365577","ISSN":"1461-7277","PMID":"20522508","abstract":"Stress-relieving effects of gardening were hypothesized and tested in a field experiment. Thirty allotment gardeners performed a stressful Stroop task and were then randomly assigned to 30 minutes of outdoor gardening or indoor reading on their own allotment plot. Salivary cortisol levels and self-reported mood were repeatedly measured. Gardening and reading each led to decreases in cortisol during the recovery period, but decreases were significantly stronger in the gardening group. Positive mood was fully restored after gardening, but further deteriorated during reading. These findings provide the first experimental evidence that gardening can promote relief from acute stress.","author":[{"dropping-particle":"","family":"Berg","given":"Agnes E","non-dropping-particle":"Van Den","parse-names":false,"suffix":""},{"dropping-particle":"","family":"Custers","given":"Mariëtte H G","non-dropping-particle":"","parse-names":false,"suffix":""}],"container-title":"Journal of health psychology","id":"ITEM-1","issue":"1","issued":{"date-parts":[["2011","1","3"]]},"page":"3-11","publisher":"SAGE PublicationsSage UK: London, England","title":"Gardening promotes neuroendocrine and affective restoration from stress.","type":"article-journal","volume":"16"},"uris":["http://www.mendeley.com/documents/?uuid=cb7789ef-2c77-3c37-86e1-268fbf495aa3"]},{"id":"ITEM-2","itemData":{"DOI":"10.1016/j.jneb.2019.06.028","ISSN":"14994046","PMID":"31601420","abstract":"Objective: To elucidate the perceived health benefits of an urban home gardening and nutritional education program in a population at high cardiometabolic risk. Design: Qualitative data collected via in-depth, semistructured interviews in Spanish or English. Setting: Community-based program offering supported urban home gardening together with nutrition education in Santa Clara County, CA. Participants: A total of 32 purposively sampled low-income participants in an urban home gardening program. Participants were primarily female (n = 24) and Latino/a (n = 22). Phenomenon of Interest: Perceptions of the nutrition and health benefits of education-enhanced urban home gardening. Analysis: Bilingual researchers coded transcripts using a hybrid inductive and deductive approach. Two coders double coded at intervals, independently reviewed coding reports, organized content into key themes, and selected exemplary quotations. Results: The most salient perceived impacts were greater food access, increased consumption of fresh produce, a shift toward home cooking, and decreased fast food consumption. Participants attributed these changes to greater affordability, freshness, flavor, and convenience of their garden produce; increased health motivation owing to pride in their gardens; and improved nutritional knowledge. Participants also reported improved physical activity, mental health, and stress management; some reported improved weight and adherence to diabetes-healthy diets. Conclusions and Implications: Education-enhanced urban home gardening may facilitate multidimensional nutrition and health improvements in marginalized populations at high cardiometabolic risk.","author":[{"dropping-particle":"","family":"Palar","given":"Kartika","non-dropping-particle":"","parse-names":false,"suffix":""},{"dropping-particle":"","family":"Lemus Hufstedler","given":"Emiliano","non-dropping-particle":"","parse-names":false,"suffix":""},{"dropping-particle":"","family":"Hernandez","given":"Karen","non-dropping-particle":"","parse-names":false,"suffix":""},{"dropping-particle":"","family":"Chang","given":"Annie","non-dropping-particle":"","parse-names":false,"suffix":""},{"dropping-particle":"","family":"Ferguson","given":"Laura","non-dropping-particle":"","parse-names":false,"suffix":""},{"dropping-particle":"","family":"Lozano","given":"Raul","non-dropping-particle":"","parse-names":false,"suffix":""},{"dropping-particle":"","family":"Weiser","given":"Sheri D.","non-dropping-particle":"","parse-names":false,"suffix":""}],"container-title":"Journal of Nutrition Education and Behavior","id":"ITEM-2","issue":"9","issued":{"date-parts":[["2019","10","1"]]},"page":"1037-1046","publisher":"Elsevier Inc.","title":"Nutrition and Health Improvements After Participation in an Urban Home Garden Program","type":"article-journal","volume":"51"},"uris":["http://www.mendeley.com/documents/?uuid=e1b33981-d9e2-3723-9dbb-ae0ffdde186e"]}],"mendeley":{"formattedCitation":"(Palar et al., 2019; Van Den Berg &amp; Custers, 2011)","plainTextFormattedCitation":"(Palar et al., 2019; Van Den Berg &amp; Custers, 2011)","previouslyFormattedCitation":"(Palar et al., 2019; Van Den Berg &amp; Custers, 2011)"},"properties":{"noteIndex":0},"schema":"https://github.com/citation-style-language/schema/raw/master/csl-citation.json"}</w:instrText>
      </w:r>
      <w:r>
        <w:fldChar w:fldCharType="separate"/>
      </w:r>
      <w:r w:rsidR="00F95634" w:rsidRPr="38F0A9E2">
        <w:rPr>
          <w:noProof/>
        </w:rPr>
        <w:t xml:space="preserve">(Palar </w:t>
      </w:r>
      <w:r w:rsidR="00D21786" w:rsidRPr="00D21786">
        <w:rPr>
          <w:i/>
          <w:iCs/>
          <w:noProof/>
        </w:rPr>
        <w:t>et al</w:t>
      </w:r>
      <w:r w:rsidR="00F95634" w:rsidRPr="38F0A9E2">
        <w:rPr>
          <w:noProof/>
        </w:rPr>
        <w:t>., 2019; Van Den Berg &amp; Custers, 2011)</w:t>
      </w:r>
      <w:r>
        <w:fldChar w:fldCharType="end"/>
      </w:r>
      <w:r w:rsidR="00F95634">
        <w:t>.</w:t>
      </w:r>
    </w:p>
    <w:p w14:paraId="1A8C8662" w14:textId="77777777" w:rsidR="00F95634" w:rsidRDefault="00F95634" w:rsidP="00F95634">
      <w:pPr>
        <w:spacing w:after="0" w:line="480" w:lineRule="auto"/>
        <w:rPr>
          <w:bCs/>
        </w:rPr>
      </w:pPr>
    </w:p>
    <w:p w14:paraId="565F8884" w14:textId="043DF525" w:rsidR="00F95634" w:rsidRDefault="00F95634" w:rsidP="00F95634">
      <w:pPr>
        <w:spacing w:after="0" w:line="480" w:lineRule="auto"/>
        <w:rPr>
          <w:bCs/>
        </w:rPr>
      </w:pPr>
      <w:r>
        <w:rPr>
          <w:bCs/>
        </w:rPr>
        <w:t>Taken together, existing evidence implies that home food growing could be beneficial in mitigating some of the</w:t>
      </w:r>
      <w:r w:rsidR="00951742">
        <w:rPr>
          <w:bCs/>
        </w:rPr>
        <w:t>se</w:t>
      </w:r>
      <w:r>
        <w:rPr>
          <w:bCs/>
        </w:rPr>
        <w:t xml:space="preserve"> negative impacts of the COVID-19 pandemic. However, to our knowledge,</w:t>
      </w:r>
      <w:r w:rsidR="00775BFF">
        <w:rPr>
          <w:bCs/>
        </w:rPr>
        <w:t xml:space="preserve"> this has not been previously investigated</w:t>
      </w:r>
      <w:r w:rsidR="00951742">
        <w:rPr>
          <w:bCs/>
        </w:rPr>
        <w:t xml:space="preserve"> in academic research</w:t>
      </w:r>
      <w:r>
        <w:rPr>
          <w:bCs/>
        </w:rPr>
        <w:t xml:space="preserve">. </w:t>
      </w:r>
      <w:r w:rsidR="006617D7">
        <w:rPr>
          <w:bCs/>
        </w:rPr>
        <w:t>T</w:t>
      </w:r>
      <w:r>
        <w:rPr>
          <w:bCs/>
        </w:rPr>
        <w:t xml:space="preserve">his issue is timely, as </w:t>
      </w:r>
      <w:hyperlink r:id="rId14" w:history="1">
        <w:r w:rsidRPr="000845AE">
          <w:rPr>
            <w:rStyle w:val="Hyperlink"/>
            <w:bCs/>
          </w:rPr>
          <w:t xml:space="preserve">reports by </w:t>
        </w:r>
        <w:r w:rsidR="005C771D" w:rsidRPr="000845AE">
          <w:rPr>
            <w:rStyle w:val="Hyperlink"/>
            <w:bCs/>
          </w:rPr>
          <w:t xml:space="preserve">the </w:t>
        </w:r>
        <w:r w:rsidRPr="000845AE">
          <w:rPr>
            <w:rStyle w:val="Hyperlink"/>
            <w:bCs/>
          </w:rPr>
          <w:t>UK media</w:t>
        </w:r>
      </w:hyperlink>
      <w:r>
        <w:rPr>
          <w:bCs/>
        </w:rPr>
        <w:t xml:space="preserve"> </w:t>
      </w:r>
      <w:r w:rsidR="00CC5F6F">
        <w:rPr>
          <w:bCs/>
        </w:rPr>
        <w:t xml:space="preserve">and other global outlets </w:t>
      </w:r>
      <w:r>
        <w:rPr>
          <w:bCs/>
        </w:rPr>
        <w:t xml:space="preserve">during the pandemic indicate a surge in interest in home food growing. This has included reported seed shortages in garden centres, a rise in people taking up home food </w:t>
      </w:r>
      <w:r>
        <w:rPr>
          <w:bCs/>
        </w:rPr>
        <w:lastRenderedPageBreak/>
        <w:t xml:space="preserve">growing, and </w:t>
      </w:r>
      <w:hyperlink r:id="rId15" w:history="1">
        <w:r w:rsidRPr="002A0E43">
          <w:rPr>
            <w:rStyle w:val="Hyperlink"/>
            <w:bCs/>
          </w:rPr>
          <w:t>large increases in applications for allotment gardens</w:t>
        </w:r>
      </w:hyperlink>
      <w:r>
        <w:rPr>
          <w:bCs/>
        </w:rPr>
        <w:t>. Home food growing could therefore represent a healthy, sustainable and accessible strategy for coping with the food insecurity and well-being impacts of the COVID-19 pandemic</w:t>
      </w:r>
      <w:r w:rsidR="00A065BA">
        <w:rPr>
          <w:bCs/>
        </w:rPr>
        <w:t xml:space="preserve">. </w:t>
      </w:r>
      <w:r>
        <w:rPr>
          <w:bCs/>
        </w:rPr>
        <w:t xml:space="preserve">Thus, the primary aim of the current study was to explore relationships between </w:t>
      </w:r>
      <w:r w:rsidR="00B16902">
        <w:rPr>
          <w:bCs/>
        </w:rPr>
        <w:t>home food growing</w:t>
      </w:r>
      <w:r>
        <w:rPr>
          <w:bCs/>
        </w:rPr>
        <w:t>, food insecurity and well-being during the early stages of the COVID-19 pandemic.</w:t>
      </w:r>
      <w:r w:rsidR="00A065BA">
        <w:rPr>
          <w:bCs/>
        </w:rPr>
        <w:t xml:space="preserve"> Th</w:t>
      </w:r>
      <w:r w:rsidR="00951742">
        <w:rPr>
          <w:bCs/>
        </w:rPr>
        <w:t>e proposed relationships are</w:t>
      </w:r>
      <w:r w:rsidR="00A065BA">
        <w:rPr>
          <w:bCs/>
        </w:rPr>
        <w:t xml:space="preserve"> illustrated in Figure 1.</w:t>
      </w:r>
    </w:p>
    <w:p w14:paraId="75779BF3" w14:textId="110D269E" w:rsidR="00A065BA" w:rsidRDefault="00C868BA" w:rsidP="00F95634">
      <w:pPr>
        <w:spacing w:after="0" w:line="480" w:lineRule="auto"/>
        <w:rPr>
          <w:bCs/>
        </w:rPr>
      </w:pPr>
      <w:r>
        <w:rPr>
          <w:bCs/>
          <w:noProof/>
        </w:rPr>
        <w:drawing>
          <wp:inline distT="0" distB="0" distL="0" distR="0" wp14:anchorId="052B020C" wp14:editId="2588ED87">
            <wp:extent cx="7002145" cy="692594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02145" cy="6925945"/>
                    </a:xfrm>
                    <a:prstGeom prst="rect">
                      <a:avLst/>
                    </a:prstGeom>
                    <a:noFill/>
                  </pic:spPr>
                </pic:pic>
              </a:graphicData>
            </a:graphic>
          </wp:inline>
        </w:drawing>
      </w:r>
    </w:p>
    <w:p w14:paraId="537D4A07" w14:textId="0FE5635F" w:rsidR="00A065BA" w:rsidRPr="0056579C" w:rsidRDefault="00A065BA" w:rsidP="00F95634">
      <w:pPr>
        <w:spacing w:after="0" w:line="480" w:lineRule="auto"/>
        <w:rPr>
          <w:b/>
          <w:iCs/>
        </w:rPr>
      </w:pPr>
      <w:r w:rsidRPr="0056579C">
        <w:rPr>
          <w:b/>
          <w:iCs/>
        </w:rPr>
        <w:lastRenderedPageBreak/>
        <w:t xml:space="preserve">Figure 1. Conceptual illustration of how the pandemic </w:t>
      </w:r>
      <w:r w:rsidR="00244A8B" w:rsidRPr="0056579C">
        <w:rPr>
          <w:b/>
          <w:iCs/>
        </w:rPr>
        <w:t xml:space="preserve">may drive food insecurity and </w:t>
      </w:r>
      <w:r w:rsidR="00D503AB" w:rsidRPr="0056579C">
        <w:rPr>
          <w:b/>
          <w:iCs/>
        </w:rPr>
        <w:t>increased stress/</w:t>
      </w:r>
      <w:r w:rsidR="00244A8B" w:rsidRPr="0056579C">
        <w:rPr>
          <w:b/>
          <w:iCs/>
        </w:rPr>
        <w:t>reduced well-being, and where home food growing may impact this.</w:t>
      </w:r>
    </w:p>
    <w:p w14:paraId="7D70B717" w14:textId="77777777" w:rsidR="00244A8B" w:rsidRDefault="00244A8B" w:rsidP="002F4BD0">
      <w:pPr>
        <w:spacing w:after="0" w:line="480" w:lineRule="auto"/>
        <w:rPr>
          <w:bCs/>
        </w:rPr>
      </w:pPr>
    </w:p>
    <w:p w14:paraId="569BD400" w14:textId="49778F9B" w:rsidR="0030067D" w:rsidRDefault="00F95634" w:rsidP="002F4BD0">
      <w:pPr>
        <w:spacing w:after="0" w:line="480" w:lineRule="auto"/>
        <w:rPr>
          <w:bCs/>
        </w:rPr>
      </w:pPr>
      <w:r>
        <w:rPr>
          <w:bCs/>
        </w:rPr>
        <w:t xml:space="preserve">Whilst UA has been proposed as a viable means of </w:t>
      </w:r>
      <w:r w:rsidR="00091F56">
        <w:rPr>
          <w:bCs/>
        </w:rPr>
        <w:t>reducing</w:t>
      </w:r>
      <w:r>
        <w:rPr>
          <w:bCs/>
        </w:rPr>
        <w:t xml:space="preserve"> food </w:t>
      </w:r>
      <w:r w:rsidR="00091F56">
        <w:rPr>
          <w:bCs/>
        </w:rPr>
        <w:t>in</w:t>
      </w:r>
      <w:r>
        <w:rPr>
          <w:bCs/>
        </w:rPr>
        <w:t xml:space="preserve">security </w:t>
      </w:r>
      <w:r>
        <w:rPr>
          <w:bCs/>
        </w:rPr>
        <w:fldChar w:fldCharType="begin" w:fldLock="1"/>
      </w:r>
      <w:r w:rsidR="00B00203">
        <w:rPr>
          <w:bCs/>
        </w:rPr>
        <w:instrText>ADDIN CSL_CITATION {"citationItems":[{"id":"ITEM-1","itemData":{"DOI":"10.1002/ppp3.20","ISSN":"2572-2611","abstract":"Own-grown fruit and vegetable production in urban areas is increasingly assumed to increase food security, however the evidence-base to support this assumption is lacking. By integrating remotely sensed GIS data, fieldwork and a citizen science project (MYHarvest) we will estimate of current levels of UK own-grown fruit and vegetable production and of how this could be increased if more urban land were made available for own-growing. This will provide the first comprehensive UK dataset on own-grown production for use by research scientists, policy-makers and the public and will highlight the importance of urban horticulture to local and national food security.","author":[{"dropping-particle":"","family":"Edmondson","given":"Jill L.","non-dropping-particle":"","parse-names":false,"suffix":""},{"dropping-particle":"","family":"Blevins","given":"Roscoe S.","non-dropping-particle":"","parse-names":false,"suffix":""},{"dropping-particle":"","family":"Cunningham","given":"Hamish","non-dropping-particle":"","parse-names":false,"suffix":""},{"dropping-particle":"","family":"Dobson","given":"Miriam C.","non-dropping-particle":"","parse-names":false,"suffix":""},{"dropping-particle":"","family":"Leake","given":"Jonathan R.","non-dropping-particle":"","parse-names":false,"suffix":""},{"dropping-particle":"","family":"Grafius","given":"Darren R.","non-dropping-particle":"","parse-names":false,"suffix":""}],"container-title":"Plants, People, Planet","id":"ITEM-1","issue":"2","issued":{"date-parts":[["2019","4","23"]]},"page":"93-97","publisher":"John Wiley &amp; Sons, Ltd","title":"Grow your own food security? Integrating science and citizen science to estimate the contribution of own growing to UK food production","type":"article-journal","volume":"1"},"uris":["http://www.mendeley.com/documents/?uuid=9bbe8d8d-bb25-4a25-b205-d10535107a31"]}],"mendeley":{"formattedCitation":"(Edmondson et al., 2019)","plainTextFormattedCitation":"(Edmondson et al., 2019)","previouslyFormattedCitation":"(Edmondson et al., 2019)"},"properties":{"noteIndex":0},"schema":"https://github.com/citation-style-language/schema/raw/master/csl-citation.json"}</w:instrText>
      </w:r>
      <w:r>
        <w:rPr>
          <w:bCs/>
        </w:rPr>
        <w:fldChar w:fldCharType="separate"/>
      </w:r>
      <w:r w:rsidRPr="00143B29">
        <w:rPr>
          <w:bCs/>
          <w:noProof/>
        </w:rPr>
        <w:t xml:space="preserve">(Edmondson </w:t>
      </w:r>
      <w:r w:rsidR="00D21786" w:rsidRPr="00D21786">
        <w:rPr>
          <w:bCs/>
          <w:i/>
          <w:iCs/>
          <w:noProof/>
        </w:rPr>
        <w:t>et al</w:t>
      </w:r>
      <w:r w:rsidRPr="00143B29">
        <w:rPr>
          <w:bCs/>
          <w:noProof/>
        </w:rPr>
        <w:t>., 2019)</w:t>
      </w:r>
      <w:r>
        <w:rPr>
          <w:bCs/>
        </w:rPr>
        <w:fldChar w:fldCharType="end"/>
      </w:r>
      <w:r>
        <w:rPr>
          <w:bCs/>
        </w:rPr>
        <w:t>, less is known about how it is viewed by the general public. Public opinion is an important consideration in promoting the uptake of urban-grown food</w:t>
      </w:r>
      <w:r w:rsidR="00CC5F6F">
        <w:rPr>
          <w:bCs/>
        </w:rPr>
        <w:t>, particularly in household settings.</w:t>
      </w:r>
      <w:r>
        <w:rPr>
          <w:bCs/>
        </w:rPr>
        <w:t xml:space="preserve"> Some studies have highlighted concerns about “unnaturalness” of food produced via UA </w:t>
      </w:r>
      <w:r>
        <w:rPr>
          <w:bCs/>
        </w:rPr>
        <w:fldChar w:fldCharType="begin" w:fldLock="1"/>
      </w:r>
      <w:r w:rsidR="00091F56">
        <w:rPr>
          <w:bCs/>
        </w:rPr>
        <w:instrText>ADDIN CSL_CITATION {"citationItems":[{"id":"ITEM-1","itemData":{"DOI":"10.1007/s10460-015-9658-z","ISSN":"15728366","abstract":"Rooftop gardens, rooftop greenhouses and indoor farms (defined as ZFarming) have been established or planned by activists and private companies in Berlin. These projects promise to produce a range of goods that could have positive impacts on the urban setting but also carry a number of risks and uncertainties. In this early innovation phase, the relevant stakeholders’ perceptions and social acceptance of ZFarming represent important preconditions for success or failure of the further diffusion of this practice. We used the framework of acceptance to investigate the stakeholders’ attitudes and to identify the key factors that might hinder or promote the introduction of ZFarming. The results are based on an analysis of 38 qualitative interviews conducted with key stakeholders in Berlin. As the results show, major perceived benefits of ZFarming include improved consumer awareness, education, and the creation of experimental spaces. Stakeholders further perceive opportunities for resource savings, new business models, repurposing of abandoned buildings and improved aesthetics. Major perceived risks are associated with growing techniques that are considered “unnatural”, health risks (due to urban pollutants), conflicts with images of traditional agriculture, the rejection of animal production in urban areas, the risk of projects being too expensive and too complex or being implemented too early, i.e. before the mechanisms are fully understood. The analysis further reveals which contextual factors—political, legal, market-related, spatial or societal—might negatively or positively influence ZFarming acceptance.","author":[{"dropping-particle":"","family":"Specht","given":"Kathrin","non-dropping-particle":"","parse-names":false,"suffix":""},{"dropping-particle":"","family":"Siebert","given":"Rosemarie","non-dropping-particle":"","parse-names":false,"suffix":""},{"dropping-particle":"","family":"Thomaier","given":"Susanne","non-dropping-particle":"","parse-names":false,"suffix":""}],"container-title":"Agriculture and Human Values","id":"ITEM-1","issue":"4","issued":{"date-parts":[["2016","12","1"]]},"page":"753-769","publisher":"Springer Netherlands","title":"Perception and acceptance of agricultural production in and on urban buildings (ZFarming): a qualitative study from Berlin, Germany","type":"article-journal","volume":"33"},"uris":["http://www.mendeley.com/documents/?uuid=78a9e886-4f33-4f31-b8ae-5d701044913a"]}],"mendeley":{"formattedCitation":"(Specht, Siebert, et al., 2016)","plainTextFormattedCitation":"(Specht, Siebert, et al., 2016)","previouslyFormattedCitation":"(Specht, Siebert, et al., 2016)"},"properties":{"noteIndex":0},"schema":"https://github.com/citation-style-language/schema/raw/master/csl-citation.json"}</w:instrText>
      </w:r>
      <w:r>
        <w:rPr>
          <w:bCs/>
        </w:rPr>
        <w:fldChar w:fldCharType="separate"/>
      </w:r>
      <w:r w:rsidR="004C15C1" w:rsidRPr="004C15C1">
        <w:rPr>
          <w:bCs/>
          <w:noProof/>
        </w:rPr>
        <w:t xml:space="preserve">(Specht, Siebert, </w:t>
      </w:r>
      <w:r w:rsidR="00D21786" w:rsidRPr="00D21786">
        <w:rPr>
          <w:bCs/>
          <w:i/>
          <w:iCs/>
          <w:noProof/>
        </w:rPr>
        <w:t>et al</w:t>
      </w:r>
      <w:r w:rsidR="004C15C1" w:rsidRPr="004C15C1">
        <w:rPr>
          <w:bCs/>
          <w:noProof/>
        </w:rPr>
        <w:t>., 2016)</w:t>
      </w:r>
      <w:r>
        <w:rPr>
          <w:bCs/>
        </w:rPr>
        <w:fldChar w:fldCharType="end"/>
      </w:r>
      <w:r>
        <w:rPr>
          <w:bCs/>
        </w:rPr>
        <w:t xml:space="preserve">, and contamination from urban pollutants </w:t>
      </w:r>
      <w:r>
        <w:rPr>
          <w:bCs/>
        </w:rPr>
        <w:fldChar w:fldCharType="begin" w:fldLock="1"/>
      </w:r>
      <w:r w:rsidR="00371721">
        <w:rPr>
          <w:bCs/>
        </w:rPr>
        <w:instrText>ADDIN CSL_CITATION {"citationItems":[{"id":"ITEM-1","itemData":{"DOI":"10.1371/journal.pone.0087913","ISSN":"1932-6203","abstract":"Although urban community gardening can offer health, social, environmental, and economic benefits, these benefits must be weighed against the potential health risks stemming from exposure to contaminants such as heavy metals and organic chemicals that may be present in urban soils. Individuals who garden at or eat food grown in contaminated urban garden sites may be at risk of exposure to such contaminants. Gardeners may be unaware of these risks and how to manage them. We used a mixed quantitative/qualitative research approach to characterize urban community gardeners' knowledge and perceptions of risks related to soil contaminant exposure. We conducted surveys with 70 gardeners from 15 community gardens in Baltimore, Maryland, and semi-structured interviews with 18 key informants knowledgeable about community gardening and soil contamination in Baltimore. We identified a range of factors, challenges, and needs related to Baltimore community gardeners' perceptions of risk related to soil contamination, including low levels of concern and inconsistent levels of knowledge about heavy metal and organic chemical contaminants, barriers to investigating a garden site's history and conducting soil tests, limited knowledge of best practices for reducing exposure, and a need for clear and concise information on how best to prevent and manage soil contamination. Key informants discussed various strategies for developing and disseminating educational materials to gardeners. For some challenges, such as barriers to conducting site history and soil tests, some informants recommended city-wide interventions that bypass the need for gardener knowledge altogether. © 2014 Kim et al.","author":[{"dropping-particle":"","family":"Kim","given":"Brent F.","non-dropping-particle":"","parse-names":false,"suffix":""},{"dropping-particle":"","family":"Poulsen","given":"Melissa N.","non-dropping-particle":"","parse-names":false,"suffix":""},{"dropping-particle":"","family":"Margulies","given":"Jared D.","non-dropping-particle":"","parse-names":false,"suffix":""},{"dropping-particle":"","family":"Dix","given":"Katie L.","non-dropping-particle":"","parse-names":false,"suffix":""},{"dropping-particle":"","family":"Palmer","given":"Anne M.","non-dropping-particle":"","parse-names":false,"suffix":""},{"dropping-particle":"","family":"Nachman","given":"Keeve E.","non-dropping-particle":"","parse-names":false,"suffix":""}],"container-title":"PLoS ONE","editor":[{"dropping-particle":"","family":"Park","given":"Sunghun","non-dropping-particle":"","parse-names":false,"suffix":""}],"id":"ITEM-1","issue":"2","issued":{"date-parts":[["2014","2","6"]]},"page":"e87913","publisher":"Public Library of Science","title":"Urban Community Gardeners' Knowledge and Perceptions of Soil Contaminant Risks","type":"article-journal","volume":"9"},"uris":["http://www.mendeley.com/documents/?uuid=4e2ebe6c-e49e-33db-b369-8e13570ed524"]},{"id":"ITEM-2","itemData":{"DOI":"10.1007/s12571-020-01058-3","ISSN":"18764525","abstract":"Despite a 2.3% increase in world cereal production in 2019 over 2018, the number of people facing severe food insecurity may double from 135 million in January 2020 to 265 million by the end of 2020. The problem of food and nutritional insecurity is severe in urban centers, where the global population is projected to increase (%/year) by 1.84, 1.63, and 1.44 between 2015 to 2020, 2020 to 2025, and 2025 to 2030, and it will increase overall from 54% in 2016 to 60% by 2030. The number of megacities (&gt;10 million people) will increase from 34 in 2015 to 41 by 2030. The COVID-19 pandemic has aggravated food insecurity in urban centers because of the disruption in the food supply chain, aggravation of the physical and economic barriers that restrict access to food, and the catastrophic increase in food waste because of labor shortages. Thus, there is a need to adopt more resilient food systems, reduce food waste, and strengthen local food production. Enhancing availability at the household and community levels through home gardening and urban agriculture is an important strategy. Food production within the cities include small land farming in households, local community gardens, indoor and rooftop gardens, vertical farming, etc. Home gardening can play an important role in advancing food and nutritional security during and after the COVD-19 pandemic, while also strengthening the provisioning of numerous ecosystem services (i.e., plant biodiversity, microclimate, water runoff, water quality, human health). However, risks of soil contamination by heavy metals must be addressed.","author":[{"dropping-particle":"","family":"Lal","given":"Rattan","non-dropping-particle":"","parse-names":false,"suffix":""}],"container-title":"Food Security","id":"ITEM-2","issued":{"date-parts":[["2020"]]},"publisher":"Springer","title":"Home gardening and urban agriculture for advancing food and nutritional security in response to the COVID-19 pandemic","type":"article"},"uris":["http://www.mendeley.com/documents/?uuid=d9cf8220-0370-3bb0-b564-90d382d53aea"]}],"mendeley":{"formattedCitation":"(Kim et al., 2014; Lal, 2020)","plainTextFormattedCitation":"(Kim et al., 2014; Lal, 2020)","previouslyFormattedCitation":"(Kim et al., 2014; Lal, 2020)"},"properties":{"noteIndex":0},"schema":"https://github.com/citation-style-language/schema/raw/master/csl-citation.json"}</w:instrText>
      </w:r>
      <w:r>
        <w:rPr>
          <w:bCs/>
        </w:rPr>
        <w:fldChar w:fldCharType="separate"/>
      </w:r>
      <w:r w:rsidR="00371721" w:rsidRPr="00371721">
        <w:rPr>
          <w:bCs/>
          <w:noProof/>
        </w:rPr>
        <w:t xml:space="preserve">(Kim </w:t>
      </w:r>
      <w:r w:rsidR="00D21786" w:rsidRPr="00D21786">
        <w:rPr>
          <w:bCs/>
          <w:i/>
          <w:iCs/>
          <w:noProof/>
        </w:rPr>
        <w:t>et al</w:t>
      </w:r>
      <w:r w:rsidR="00371721" w:rsidRPr="00371721">
        <w:rPr>
          <w:bCs/>
          <w:noProof/>
        </w:rPr>
        <w:t>., 2014; Lal, 2020)</w:t>
      </w:r>
      <w:r>
        <w:rPr>
          <w:bCs/>
        </w:rPr>
        <w:fldChar w:fldCharType="end"/>
      </w:r>
      <w:r>
        <w:rPr>
          <w:bCs/>
        </w:rPr>
        <w:t>. However, increased interest in home food growing in the UK</w:t>
      </w:r>
      <w:r w:rsidR="00CC5F6F">
        <w:rPr>
          <w:bCs/>
        </w:rPr>
        <w:t xml:space="preserve">, albeit </w:t>
      </w:r>
      <w:r>
        <w:rPr>
          <w:bCs/>
        </w:rPr>
        <w:t>anecdotal</w:t>
      </w:r>
      <w:r w:rsidR="00CC5F6F">
        <w:rPr>
          <w:bCs/>
        </w:rPr>
        <w:t>,</w:t>
      </w:r>
      <w:r>
        <w:rPr>
          <w:bCs/>
        </w:rPr>
        <w:t xml:space="preserve"> may also be accompanied by a shift in opinions of UA. A small, recent study of public opinions of urban farming in North America reported more positive than negative opinions </w:t>
      </w:r>
      <w:r>
        <w:rPr>
          <w:bCs/>
        </w:rPr>
        <w:fldChar w:fldCharType="begin" w:fldLock="1"/>
      </w:r>
      <w:r>
        <w:rPr>
          <w:bCs/>
        </w:rPr>
        <w:instrText>ADDIN CSL_CITATION {"citationItems":[{"id":"ITEM-1","itemData":{"DOI":"10.3389/fsufs.2020.00079","ISSN":"2571-581X","abstract":"Urban agriculture offers the opportunity to provide fresh, local food to urban communities. However, urban agriculture can only be successfully embedded in urban areas if consumers perceive urban farming positively and accept urban farms in their community. Success of urban agriculture is rooted in positive perception of those living close by, and the perception strongly affects acceptance of farming within individuals' direct proximity. This research investigates perception and acceptance of urban agriculture through a qualitative, exploratory field study with N = 19 residents from a major metropolitan area in the southwest U.S. Specifically, in this exploratory research we implement the method of concept mapping testing its use in the field of Agroecology and Ecosystem Services. In the concept mapping procedure, respondents are free to write down all the associations that come to mind when presented with a stimulus, such as, “urban farming.” When applying concept mapping, participants are asked to recall associations and then directly link them to each other displaying their knowledge structure, i.e., perception. Data were analyzed using content analysis and semantic network analysis. Consumers' perception of urban farming is related to the following categories: environment, society, economy, and food and attributes. The number of positive associations is much higher than the number of negative associations signaling that consumers would be likely to accept farming close to where they live. Furthermore, our findings show that individuals' perceptions can differ greatly in terms of what they associate with urban farming and how they evaluate it. While some only think of a few things, others have well-developed knowledge structures. Overall, investigating consumers' perception helps designing strategies for the successful adoption of urban farming.","author":[{"dropping-particle":"","family":"Grebitus","given":"Carola","non-dropping-particle":"","parse-names":false,"suffix":""},{"dropping-particle":"","family":"Chenarides","given":"Lauren","non-dropping-particle":"","parse-names":false,"suffix":""},{"dropping-particle":"","family":"Muenich","given":"Rebecca","non-dropping-particle":"","parse-names":false,"suffix":""},{"dropping-particle":"","family":"Mahalov","given":"Alex","non-dropping-particle":"","parse-names":false,"suffix":""}],"container-title":"Frontiers in Sustainable Food Systems","id":"ITEM-1","issued":{"date-parts":[["2020","6","12"]]},"page":"79","publisher":"Frontiers Media S.A.","title":"Consumers' Perception of Urban Farming—An Exploratory Study","type":"article-journal","volume":"4"},"uris":["http://www.mendeley.com/documents/?uuid=7b7dfc03-59b5-3c70-9951-7d01d541a970"]}],"mendeley":{"formattedCitation":"(Grebitus et al., 2020)","plainTextFormattedCitation":"(Grebitus et al., 2020)","previouslyFormattedCitation":"(Grebitus et al., 2020)"},"properties":{"noteIndex":0},"schema":"https://github.com/citation-style-language/schema/raw/master/csl-citation.json"}</w:instrText>
      </w:r>
      <w:r>
        <w:rPr>
          <w:bCs/>
        </w:rPr>
        <w:fldChar w:fldCharType="separate"/>
      </w:r>
      <w:r w:rsidRPr="00143B29">
        <w:rPr>
          <w:bCs/>
          <w:noProof/>
        </w:rPr>
        <w:t xml:space="preserve">(Grebitus </w:t>
      </w:r>
      <w:r w:rsidR="00D21786" w:rsidRPr="00D21786">
        <w:rPr>
          <w:bCs/>
          <w:i/>
          <w:iCs/>
          <w:noProof/>
        </w:rPr>
        <w:t>et al</w:t>
      </w:r>
      <w:r w:rsidRPr="00143B29">
        <w:rPr>
          <w:bCs/>
          <w:noProof/>
        </w:rPr>
        <w:t>., 2020)</w:t>
      </w:r>
      <w:r>
        <w:rPr>
          <w:bCs/>
        </w:rPr>
        <w:fldChar w:fldCharType="end"/>
      </w:r>
      <w:r>
        <w:rPr>
          <w:bCs/>
        </w:rPr>
        <w:t>. A secondary aim of the current study was therefore to explore changes in opinions of UA by comparing data collected at the start of the UK lockdown with data on opinions of UA from a separate sample of participants</w:t>
      </w:r>
      <w:r w:rsidR="000030E0">
        <w:rPr>
          <w:bCs/>
        </w:rPr>
        <w:t xml:space="preserve"> in a study</w:t>
      </w:r>
      <w:r>
        <w:rPr>
          <w:bCs/>
        </w:rPr>
        <w:t xml:space="preserve"> conducted before the pandemic (</w:t>
      </w:r>
      <w:r w:rsidR="00E04AC0">
        <w:rPr>
          <w:bCs/>
        </w:rPr>
        <w:t>the pre-pandemic study;</w:t>
      </w:r>
      <w:r w:rsidR="000C7CC3">
        <w:rPr>
          <w:bCs/>
        </w:rPr>
        <w:fldChar w:fldCharType="begin" w:fldLock="1"/>
      </w:r>
      <w:r w:rsidR="000030E0">
        <w:rPr>
          <w:bCs/>
        </w:rPr>
        <w:instrText>ADDIN CSL_CITATION {"citationItems":[{"id":"ITEM-1","itemData":{"DOI":"10.1016/j.appet.2021.105218","ISSN":"01956663","author":[{"dropping-particle":"","family":"Mead","given":"Bethan R.","non-dropping-particle":"","parse-names":false,"suffix":""},{"dropping-particle":"","family":"Christiansen","given":"Paul","non-dropping-particle":"","parse-names":false,"suffix":""},{"dropping-particle":"","family":"Davies","given":"Jessica A.C.","non-dropping-particle":"","parse-names":false,"suffix":""},{"dropping-particle":"","family":"Falagán","given":"Natalia","non-dropping-particle":"","parse-names":false,"suffix":""},{"dropping-particle":"","family":"Kourmpetli","given":"Sofia","non-dropping-particle":"","parse-names":false,"suffix":""},{"dropping-particle":"","family":"Liu","given":"Lingxuan","non-dropping-particle":"","parse-names":false,"suffix":""},{"dropping-particle":"","family":"Walsh","given":"Lael","non-dropping-particle":"","parse-names":false,"suffix":""},{"dropping-particle":"","family":"Hardman","given":"Charlotte A.","non-dropping-particle":"","parse-names":false,"suffix":""}],"container-title":"Appetite","id":"ITEM-1","issued":{"date-parts":[["2021","3","18"]]},"page":"105218","publisher":"Academic Press","title":"Is urban growing of fruit and vegetables associated with better diet quality and what mediates this relationship? Evidence from a cross-sectional survey","type":"article-journal"},"uris":["http://www.mendeley.com/documents/?uuid=315a5450-13e7-3f34-8d07-c2ff291d011f"]}],"mendeley":{"formattedCitation":"(B. R. Mead et al., 2021)","manualFormatting":" Mead et al., 2021)","plainTextFormattedCitation":"(B. R. Mead et al., 2021)","previouslyFormattedCitation":"(B. R. Mead et al., 2021)"},"properties":{"noteIndex":0},"schema":"https://github.com/citation-style-language/schema/raw/master/csl-citation.json"}</w:instrText>
      </w:r>
      <w:r w:rsidR="000C7CC3">
        <w:rPr>
          <w:bCs/>
        </w:rPr>
        <w:fldChar w:fldCharType="separate"/>
      </w:r>
      <w:r w:rsidR="000030E0">
        <w:rPr>
          <w:bCs/>
          <w:noProof/>
        </w:rPr>
        <w:t xml:space="preserve"> </w:t>
      </w:r>
      <w:r w:rsidR="000C7CC3" w:rsidRPr="000C7CC3">
        <w:rPr>
          <w:bCs/>
          <w:noProof/>
        </w:rPr>
        <w:t xml:space="preserve">Mead </w:t>
      </w:r>
      <w:r w:rsidR="00D21786" w:rsidRPr="00D21786">
        <w:rPr>
          <w:bCs/>
          <w:i/>
          <w:iCs/>
          <w:noProof/>
        </w:rPr>
        <w:t>et al</w:t>
      </w:r>
      <w:r w:rsidR="000C7CC3" w:rsidRPr="000C7CC3">
        <w:rPr>
          <w:bCs/>
          <w:noProof/>
        </w:rPr>
        <w:t>., 2021)</w:t>
      </w:r>
      <w:r w:rsidR="000C7CC3">
        <w:rPr>
          <w:bCs/>
        </w:rPr>
        <w:fldChar w:fldCharType="end"/>
      </w:r>
      <w:r>
        <w:rPr>
          <w:bCs/>
        </w:rPr>
        <w:t xml:space="preserve">. </w:t>
      </w:r>
    </w:p>
    <w:p w14:paraId="5150B954" w14:textId="77777777" w:rsidR="00146BFB" w:rsidRDefault="00146BFB" w:rsidP="002F4BD0">
      <w:pPr>
        <w:spacing w:after="0" w:line="480" w:lineRule="auto"/>
        <w:rPr>
          <w:bCs/>
        </w:rPr>
      </w:pPr>
    </w:p>
    <w:p w14:paraId="3952D426" w14:textId="0ACCFE62" w:rsidR="00146BFB" w:rsidRDefault="00FC5A35" w:rsidP="002F4BD0">
      <w:pPr>
        <w:spacing w:after="0" w:line="480" w:lineRule="auto"/>
        <w:rPr>
          <w:bCs/>
        </w:rPr>
      </w:pPr>
      <w:r>
        <w:rPr>
          <w:bCs/>
        </w:rPr>
        <w:t xml:space="preserve">We predicted that </w:t>
      </w:r>
      <w:r w:rsidR="00A9016F">
        <w:rPr>
          <w:bCs/>
        </w:rPr>
        <w:t xml:space="preserve">people </w:t>
      </w:r>
      <w:r w:rsidRPr="00BE065A">
        <w:rPr>
          <w:bCs/>
        </w:rPr>
        <w:t xml:space="preserve">engaged in </w:t>
      </w:r>
      <w:r>
        <w:rPr>
          <w:bCs/>
        </w:rPr>
        <w:t>home food growing</w:t>
      </w:r>
      <w:r w:rsidRPr="00BE065A">
        <w:rPr>
          <w:bCs/>
        </w:rPr>
        <w:t xml:space="preserve"> w</w:t>
      </w:r>
      <w:r>
        <w:rPr>
          <w:bCs/>
        </w:rPr>
        <w:t>ould</w:t>
      </w:r>
      <w:r w:rsidRPr="00BE065A">
        <w:rPr>
          <w:bCs/>
        </w:rPr>
        <w:t xml:space="preserve"> report less </w:t>
      </w:r>
      <w:r w:rsidR="00904D07">
        <w:rPr>
          <w:bCs/>
        </w:rPr>
        <w:t xml:space="preserve">perceived </w:t>
      </w:r>
      <w:r w:rsidRPr="00BE065A">
        <w:rPr>
          <w:bCs/>
        </w:rPr>
        <w:t xml:space="preserve">food insecurity (Hypothesis 1) and better well-being (Hypothesis 2) than those not engaged in </w:t>
      </w:r>
      <w:r>
        <w:rPr>
          <w:bCs/>
        </w:rPr>
        <w:t>home food growing</w:t>
      </w:r>
      <w:r w:rsidRPr="00BE065A">
        <w:rPr>
          <w:bCs/>
        </w:rPr>
        <w:t xml:space="preserve">. </w:t>
      </w:r>
      <w:r>
        <w:rPr>
          <w:bCs/>
        </w:rPr>
        <w:t xml:space="preserve">We also predicted that individuals </w:t>
      </w:r>
      <w:r w:rsidRPr="00BE065A">
        <w:rPr>
          <w:bCs/>
        </w:rPr>
        <w:t xml:space="preserve">with higher levels of </w:t>
      </w:r>
      <w:r w:rsidR="00904D07">
        <w:rPr>
          <w:bCs/>
        </w:rPr>
        <w:t xml:space="preserve">perceived </w:t>
      </w:r>
      <w:r w:rsidRPr="00BE065A">
        <w:rPr>
          <w:bCs/>
        </w:rPr>
        <w:t xml:space="preserve">food insecurity </w:t>
      </w:r>
      <w:r w:rsidR="00904D07" w:rsidRPr="00BE065A">
        <w:rPr>
          <w:bCs/>
        </w:rPr>
        <w:t>w</w:t>
      </w:r>
      <w:r w:rsidR="00904D07">
        <w:rPr>
          <w:bCs/>
        </w:rPr>
        <w:t xml:space="preserve">ould </w:t>
      </w:r>
      <w:r w:rsidR="00904D07" w:rsidRPr="00BE065A">
        <w:rPr>
          <w:bCs/>
        </w:rPr>
        <w:t>be</w:t>
      </w:r>
      <w:r w:rsidRPr="00BE065A">
        <w:rPr>
          <w:bCs/>
        </w:rPr>
        <w:t xml:space="preserve"> more likely to </w:t>
      </w:r>
      <w:r w:rsidR="007D1239">
        <w:rPr>
          <w:bCs/>
        </w:rPr>
        <w:t xml:space="preserve">report intentions </w:t>
      </w:r>
      <w:r w:rsidR="00A9016F">
        <w:rPr>
          <w:bCs/>
        </w:rPr>
        <w:t>to</w:t>
      </w:r>
      <w:r w:rsidRPr="00BE065A">
        <w:rPr>
          <w:bCs/>
        </w:rPr>
        <w:t xml:space="preserve"> engag</w:t>
      </w:r>
      <w:r w:rsidR="00A9016F">
        <w:rPr>
          <w:bCs/>
        </w:rPr>
        <w:t>e</w:t>
      </w:r>
      <w:r w:rsidRPr="00BE065A">
        <w:rPr>
          <w:bCs/>
        </w:rPr>
        <w:t xml:space="preserve"> in </w:t>
      </w:r>
      <w:r w:rsidR="007D1239">
        <w:rPr>
          <w:bCs/>
        </w:rPr>
        <w:t xml:space="preserve">home food </w:t>
      </w:r>
      <w:r w:rsidRPr="00BE065A">
        <w:rPr>
          <w:bCs/>
        </w:rPr>
        <w:t>growing</w:t>
      </w:r>
      <w:r>
        <w:rPr>
          <w:bCs/>
        </w:rPr>
        <w:t xml:space="preserve"> (Hypothesis 3)</w:t>
      </w:r>
      <w:r w:rsidRPr="00BE065A">
        <w:rPr>
          <w:bCs/>
        </w:rPr>
        <w:t>.</w:t>
      </w:r>
      <w:r>
        <w:rPr>
          <w:bCs/>
        </w:rPr>
        <w:t xml:space="preserve"> Finally, we tested a non-directional hypothesis (Hypothesis </w:t>
      </w:r>
      <w:r w:rsidRPr="00FC5A35">
        <w:rPr>
          <w:bCs/>
        </w:rPr>
        <w:t>4)</w:t>
      </w:r>
      <w:r>
        <w:rPr>
          <w:bCs/>
        </w:rPr>
        <w:t xml:space="preserve"> that p</w:t>
      </w:r>
      <w:r w:rsidRPr="00BE065A">
        <w:rPr>
          <w:bCs/>
        </w:rPr>
        <w:t xml:space="preserve">articipants in the current study </w:t>
      </w:r>
      <w:r>
        <w:rPr>
          <w:bCs/>
        </w:rPr>
        <w:t>would</w:t>
      </w:r>
      <w:r w:rsidRPr="00BE065A">
        <w:rPr>
          <w:bCs/>
        </w:rPr>
        <w:t xml:space="preserve"> show differences in opinions of UA compared to participants</w:t>
      </w:r>
      <w:r>
        <w:rPr>
          <w:bCs/>
        </w:rPr>
        <w:t xml:space="preserve"> in the pre-pandemic sample</w:t>
      </w:r>
      <w:r w:rsidRPr="00BE065A">
        <w:rPr>
          <w:bCs/>
        </w:rPr>
        <w:t xml:space="preserve"> </w:t>
      </w:r>
      <w:r w:rsidR="000C7CC3">
        <w:rPr>
          <w:bCs/>
        </w:rPr>
        <w:fldChar w:fldCharType="begin" w:fldLock="1"/>
      </w:r>
      <w:r w:rsidR="000030E0">
        <w:rPr>
          <w:bCs/>
        </w:rPr>
        <w:instrText>ADDIN CSL_CITATION {"citationItems":[{"id":"ITEM-1","itemData":{"DOI":"10.1016/j.appet.2021.105218","ISSN":"01956663","author":[{"dropping-particle":"","family":"Mead","given":"Bethan R.","non-dropping-particle":"","parse-names":false,"suffix":""},{"dropping-particle":"","family":"Christiansen","given":"Paul","non-dropping-particle":"","parse-names":false,"suffix":""},{"dropping-particle":"","family":"Davies","given":"Jessica A.C.","non-dropping-particle":"","parse-names":false,"suffix":""},{"dropping-particle":"","family":"Falagán","given":"Natalia","non-dropping-particle":"","parse-names":false,"suffix":""},{"dropping-particle":"","family":"Kourmpetli","given":"Sofia","non-dropping-particle":"","parse-names":false,"suffix":""},{"dropping-particle":"","family":"Liu","given":"Lingxuan","non-dropping-particle":"","parse-names":false,"suffix":""},{"dropping-particle":"","family":"Walsh","given":"Lael","non-dropping-particle":"","parse-names":false,"suffix":""},{"dropping-particle":"","family":"Hardman","given":"Charlotte A.","non-dropping-particle":"","parse-names":false,"suffix":""}],"container-title":"Appetite","id":"ITEM-1","issued":{"date-parts":[["2021","3","18"]]},"page":"105218","publisher":"Academic Press","title":"Is urban growing of fruit and vegetables associated with better diet quality and what mediates this relationship? Evidence from a cross-sectional survey","type":"article-journal"},"uris":["http://www.mendeley.com/documents/?uuid=315a5450-13e7-3f34-8d07-c2ff291d011f"]}],"mendeley":{"formattedCitation":"(B. R. Mead et al., 2021)","manualFormatting":"(Mead et al., 2021)","plainTextFormattedCitation":"(B. R. Mead et al., 2021)","previouslyFormattedCitation":"(B. R. Mead et al., 2021)"},"properties":{"noteIndex":0},"schema":"https://github.com/citation-style-language/schema/raw/master/csl-citation.json"}</w:instrText>
      </w:r>
      <w:r w:rsidR="000C7CC3">
        <w:rPr>
          <w:bCs/>
        </w:rPr>
        <w:fldChar w:fldCharType="separate"/>
      </w:r>
      <w:r w:rsidR="000C7CC3" w:rsidRPr="000C7CC3">
        <w:rPr>
          <w:bCs/>
          <w:noProof/>
        </w:rPr>
        <w:t xml:space="preserve">(Mead </w:t>
      </w:r>
      <w:r w:rsidR="00D21786" w:rsidRPr="00D21786">
        <w:rPr>
          <w:bCs/>
          <w:i/>
          <w:iCs/>
          <w:noProof/>
        </w:rPr>
        <w:t>et al</w:t>
      </w:r>
      <w:r w:rsidR="000C7CC3" w:rsidRPr="000C7CC3">
        <w:rPr>
          <w:bCs/>
          <w:noProof/>
        </w:rPr>
        <w:t>., 2021)</w:t>
      </w:r>
      <w:r w:rsidR="000C7CC3">
        <w:rPr>
          <w:bCs/>
        </w:rPr>
        <w:fldChar w:fldCharType="end"/>
      </w:r>
      <w:r w:rsidR="00540587">
        <w:rPr>
          <w:bCs/>
        </w:rPr>
        <w:t xml:space="preserve">. </w:t>
      </w:r>
    </w:p>
    <w:p w14:paraId="3C0D65D7" w14:textId="77777777" w:rsidR="00904D07" w:rsidRDefault="00904D07" w:rsidP="002F4BD0">
      <w:pPr>
        <w:spacing w:after="0" w:line="480" w:lineRule="auto"/>
        <w:rPr>
          <w:bCs/>
          <w:i/>
        </w:rPr>
      </w:pPr>
    </w:p>
    <w:p w14:paraId="4C9EBC59" w14:textId="7547BD9B" w:rsidR="007C78B8" w:rsidRPr="0056579C" w:rsidRDefault="00A325A1" w:rsidP="002F4BD0">
      <w:pPr>
        <w:spacing w:after="0" w:line="480" w:lineRule="auto"/>
        <w:rPr>
          <w:b/>
          <w:bCs/>
          <w:iCs/>
        </w:rPr>
      </w:pPr>
      <w:r w:rsidRPr="0056579C">
        <w:rPr>
          <w:b/>
          <w:bCs/>
          <w:iCs/>
        </w:rPr>
        <w:t>Method</w:t>
      </w:r>
      <w:r w:rsidR="007337C0">
        <w:rPr>
          <w:b/>
          <w:bCs/>
          <w:iCs/>
        </w:rPr>
        <w:t>s</w:t>
      </w:r>
    </w:p>
    <w:p w14:paraId="45A28C72" w14:textId="5C41D280" w:rsidR="00C8409D" w:rsidRPr="0056579C" w:rsidRDefault="00181BDE" w:rsidP="002F4BD0">
      <w:pPr>
        <w:spacing w:after="0" w:line="480" w:lineRule="auto"/>
        <w:rPr>
          <w:b/>
          <w:i/>
        </w:rPr>
      </w:pPr>
      <w:r w:rsidRPr="0056579C">
        <w:rPr>
          <w:b/>
          <w:i/>
        </w:rPr>
        <w:t>Participants</w:t>
      </w:r>
    </w:p>
    <w:p w14:paraId="0A08F082" w14:textId="141E98EB" w:rsidR="00181BDE" w:rsidRDefault="00181BDE" w:rsidP="002F4BD0">
      <w:pPr>
        <w:spacing w:after="0" w:line="480" w:lineRule="auto"/>
      </w:pPr>
      <w:r>
        <w:rPr>
          <w:bCs/>
        </w:rPr>
        <w:lastRenderedPageBreak/>
        <w:t xml:space="preserve">Participants were recruited via online adverts shared </w:t>
      </w:r>
      <w:r w:rsidR="00FC5A35">
        <w:rPr>
          <w:bCs/>
        </w:rPr>
        <w:t>on</w:t>
      </w:r>
      <w:r>
        <w:rPr>
          <w:bCs/>
        </w:rPr>
        <w:t xml:space="preserve"> social media and in online community groups and newsletters.</w:t>
      </w:r>
      <w:r w:rsidR="009C7364">
        <w:rPr>
          <w:bCs/>
        </w:rPr>
        <w:t xml:space="preserve"> </w:t>
      </w:r>
      <w:r w:rsidR="00BC4A96">
        <w:rPr>
          <w:bCs/>
        </w:rPr>
        <w:t>We targeted social media</w:t>
      </w:r>
      <w:r w:rsidR="00091F56">
        <w:rPr>
          <w:bCs/>
        </w:rPr>
        <w:t>/online</w:t>
      </w:r>
      <w:r w:rsidR="00BC4A96">
        <w:rPr>
          <w:bCs/>
        </w:rPr>
        <w:t xml:space="preserve"> groups and newsletters with either a general or a food growing focus to ensure we recruited</w:t>
      </w:r>
      <w:r w:rsidR="00091F56">
        <w:rPr>
          <w:bCs/>
        </w:rPr>
        <w:t xml:space="preserve"> a mixture of participants who</w:t>
      </w:r>
      <w:r w:rsidR="00BC4A96">
        <w:rPr>
          <w:bCs/>
        </w:rPr>
        <w:t xml:space="preserve"> were and were not engaged in home food growing. </w:t>
      </w:r>
      <w:r w:rsidR="009C7364">
        <w:rPr>
          <w:bCs/>
        </w:rPr>
        <w:t>Study adverts described the study as being about “food, well-being and the coronavirus outbreak”.</w:t>
      </w:r>
      <w:r>
        <w:rPr>
          <w:bCs/>
        </w:rPr>
        <w:t xml:space="preserve"> </w:t>
      </w:r>
      <w:r w:rsidR="00572905">
        <w:rPr>
          <w:bCs/>
        </w:rPr>
        <w:t>Individuals who were eligible to participate</w:t>
      </w:r>
      <w:r>
        <w:rPr>
          <w:bCs/>
        </w:rPr>
        <w:t xml:space="preserve"> were aged 18 years or older and based in the UK. A sample size calculation based on</w:t>
      </w:r>
      <w:r w:rsidR="00C35D07">
        <w:rPr>
          <w:bCs/>
        </w:rPr>
        <w:t xml:space="preserve"> data from</w:t>
      </w:r>
      <w:r>
        <w:rPr>
          <w:bCs/>
        </w:rPr>
        <w:t xml:space="preserve"> our </w:t>
      </w:r>
      <w:r w:rsidR="00E04AC0">
        <w:rPr>
          <w:bCs/>
        </w:rPr>
        <w:t>pre-pandemic study</w:t>
      </w:r>
      <w:r w:rsidR="000C7CC3">
        <w:rPr>
          <w:bCs/>
        </w:rPr>
        <w:t xml:space="preserve"> </w:t>
      </w:r>
      <w:r w:rsidR="000C7CC3">
        <w:rPr>
          <w:bCs/>
        </w:rPr>
        <w:fldChar w:fldCharType="begin" w:fldLock="1"/>
      </w:r>
      <w:r w:rsidR="000030E0">
        <w:rPr>
          <w:bCs/>
        </w:rPr>
        <w:instrText>ADDIN CSL_CITATION {"citationItems":[{"id":"ITEM-1","itemData":{"DOI":"10.1016/j.appet.2021.105218","ISSN":"01956663","author":[{"dropping-particle":"","family":"Mead","given":"Bethan R.","non-dropping-particle":"","parse-names":false,"suffix":""},{"dropping-particle":"","family":"Christiansen","given":"Paul","non-dropping-particle":"","parse-names":false,"suffix":""},{"dropping-particle":"","family":"Davies","given":"Jessica A.C.","non-dropping-particle":"","parse-names":false,"suffix":""},{"dropping-particle":"","family":"Falagán","given":"Natalia","non-dropping-particle":"","parse-names":false,"suffix":""},{"dropping-particle":"","family":"Kourmpetli","given":"Sofia","non-dropping-particle":"","parse-names":false,"suffix":""},{"dropping-particle":"","family":"Liu","given":"Lingxuan","non-dropping-particle":"","parse-names":false,"suffix":""},{"dropping-particle":"","family":"Walsh","given":"Lael","non-dropping-particle":"","parse-names":false,"suffix":""},{"dropping-particle":"","family":"Hardman","given":"Charlotte A.","non-dropping-particle":"","parse-names":false,"suffix":""}],"container-title":"Appetite","id":"ITEM-1","issued":{"date-parts":[["2021","3","18"]]},"page":"105218","publisher":"Academic Press","title":"Is urban growing of fruit and vegetables associated with better diet quality and what mediates this relationship? Evidence from a cross-sectional survey","type":"article-journal"},"uris":["http://www.mendeley.com/documents/?uuid=315a5450-13e7-3f34-8d07-c2ff291d011f"]}],"mendeley":{"formattedCitation":"(B. R. Mead et al., 2021)","manualFormatting":"(Mead et al., 2021)","plainTextFormattedCitation":"(B. R. Mead et al., 2021)","previouslyFormattedCitation":"(B. R. Mead et al., 2021)"},"properties":{"noteIndex":0},"schema":"https://github.com/citation-style-language/schema/raw/master/csl-citation.json"}</w:instrText>
      </w:r>
      <w:r w:rsidR="000C7CC3">
        <w:rPr>
          <w:bCs/>
        </w:rPr>
        <w:fldChar w:fldCharType="separate"/>
      </w:r>
      <w:r w:rsidR="000C7CC3" w:rsidRPr="000C7CC3">
        <w:rPr>
          <w:bCs/>
          <w:noProof/>
        </w:rPr>
        <w:t xml:space="preserve">(Mead </w:t>
      </w:r>
      <w:r w:rsidR="00D21786" w:rsidRPr="00D21786">
        <w:rPr>
          <w:bCs/>
          <w:i/>
          <w:iCs/>
          <w:noProof/>
        </w:rPr>
        <w:t>et al</w:t>
      </w:r>
      <w:r w:rsidR="000C7CC3" w:rsidRPr="000C7CC3">
        <w:rPr>
          <w:bCs/>
          <w:noProof/>
        </w:rPr>
        <w:t>., 2021)</w:t>
      </w:r>
      <w:r w:rsidR="000C7CC3">
        <w:rPr>
          <w:bCs/>
        </w:rPr>
        <w:fldChar w:fldCharType="end"/>
      </w:r>
      <w:r>
        <w:rPr>
          <w:bCs/>
        </w:rPr>
        <w:t xml:space="preserve"> indicated that </w:t>
      </w:r>
      <w:r w:rsidR="00C35D07">
        <w:t xml:space="preserve">a sample size of 428 was required to detect small-medium effect with 95% power. Given the unprecedented nature of the </w:t>
      </w:r>
      <w:r w:rsidR="00A13BF5">
        <w:t>pandemic</w:t>
      </w:r>
      <w:r w:rsidR="00C35D07">
        <w:t xml:space="preserve">, </w:t>
      </w:r>
      <w:r w:rsidR="00C277E7">
        <w:t>and the lack of</w:t>
      </w:r>
      <w:r w:rsidR="00C35D07">
        <w:t xml:space="preserve"> previous research to </w:t>
      </w:r>
      <w:r w:rsidR="00D573B2">
        <w:t>inform a sample size</w:t>
      </w:r>
      <w:r w:rsidR="00C35D07">
        <w:t xml:space="preserve"> calculation</w:t>
      </w:r>
      <w:r w:rsidR="00C277E7">
        <w:t xml:space="preserve">, </w:t>
      </w:r>
      <w:r w:rsidR="00772D0F">
        <w:t>w</w:t>
      </w:r>
      <w:r w:rsidR="00C35D07">
        <w:t>e based th</w:t>
      </w:r>
      <w:r w:rsidR="00D573B2">
        <w:t>is</w:t>
      </w:r>
      <w:r w:rsidR="00C35D07">
        <w:t xml:space="preserve"> on a nondirectional analysis for detecting a </w:t>
      </w:r>
      <w:r w:rsidR="0035586F">
        <w:t>difference</w:t>
      </w:r>
      <w:r w:rsidR="00C35D07">
        <w:t xml:space="preserve"> in opinions of UA</w:t>
      </w:r>
      <w:r w:rsidR="00DF23C6">
        <w:t xml:space="preserve"> between the current study and </w:t>
      </w:r>
      <w:r w:rsidR="00E04AC0">
        <w:t>the pre-pandemic study</w:t>
      </w:r>
      <w:r w:rsidR="00C35D07">
        <w:t>.</w:t>
      </w:r>
      <w:r w:rsidR="00772D0F">
        <w:t xml:space="preserve"> Output of the sample size calculation is shown in </w:t>
      </w:r>
      <w:r w:rsidR="00E165C4">
        <w:t xml:space="preserve">the </w:t>
      </w:r>
      <w:r w:rsidR="00E165C4" w:rsidRPr="00EF52AB">
        <w:t>Extended data</w:t>
      </w:r>
      <w:r w:rsidR="00772D0F">
        <w:t>.</w:t>
      </w:r>
      <w:r w:rsidR="00C35D07">
        <w:t xml:space="preserve"> </w:t>
      </w:r>
    </w:p>
    <w:p w14:paraId="5A13F12B" w14:textId="4A17DE28" w:rsidR="00C35D07" w:rsidRDefault="00C35D07" w:rsidP="002F4BD0">
      <w:pPr>
        <w:spacing w:after="0" w:line="480" w:lineRule="auto"/>
      </w:pPr>
    </w:p>
    <w:p w14:paraId="10B26EB7" w14:textId="62E7CC7E" w:rsidR="00C35D07" w:rsidRPr="00BE6B70" w:rsidRDefault="00C35D07" w:rsidP="002F4BD0">
      <w:pPr>
        <w:spacing w:after="0" w:line="480" w:lineRule="auto"/>
        <w:rPr>
          <w:b/>
          <w:bCs/>
          <w:i/>
        </w:rPr>
      </w:pPr>
      <w:r w:rsidRPr="00BE6B70">
        <w:rPr>
          <w:b/>
          <w:bCs/>
          <w:i/>
        </w:rPr>
        <w:t>Measures</w:t>
      </w:r>
    </w:p>
    <w:p w14:paraId="4ACD4844" w14:textId="2CD407FF" w:rsidR="00F71F14" w:rsidRPr="00E165C4" w:rsidRDefault="00F71F14" w:rsidP="002F4BD0">
      <w:pPr>
        <w:spacing w:after="0" w:line="480" w:lineRule="auto"/>
        <w:rPr>
          <w:i/>
          <w:iCs/>
        </w:rPr>
      </w:pPr>
      <w:r w:rsidRPr="00BE6B70">
        <w:rPr>
          <w:i/>
          <w:iCs/>
        </w:rPr>
        <w:t>Demographics</w:t>
      </w:r>
    </w:p>
    <w:p w14:paraId="6D6B1487" w14:textId="7FCEACF4" w:rsidR="00B17934" w:rsidRDefault="00F71F14" w:rsidP="002F4BD0">
      <w:pPr>
        <w:spacing w:after="0" w:line="480" w:lineRule="auto"/>
      </w:pPr>
      <w:r>
        <w:t>Participants reported their age</w:t>
      </w:r>
      <w:r w:rsidR="0062114C">
        <w:t xml:space="preserve"> (years), gender, </w:t>
      </w:r>
      <w:r w:rsidR="00BC4A96">
        <w:t xml:space="preserve">which UK country </w:t>
      </w:r>
      <w:r w:rsidR="00772D0F">
        <w:t>they were currently residing in</w:t>
      </w:r>
      <w:r w:rsidR="0062114C">
        <w:t xml:space="preserve">, </w:t>
      </w:r>
      <w:r w:rsidR="00D573B2">
        <w:t xml:space="preserve">and their </w:t>
      </w:r>
      <w:r w:rsidR="0062114C">
        <w:t>height</w:t>
      </w:r>
      <w:r w:rsidR="00B17934">
        <w:t xml:space="preserve"> and weight. They indicated their ethnicity (Asian/Asian British; Black/African/Caribbean/Black British; Mixed/Multiple ethnic groups; Other; White; Prefer not to answer) and employment status (Employed full-time/Employed part-time/ unemployed looking for work/ unemployed not looking for work/ retired/student/unable to work/ homemaker/voluntary employment/prefer not to answer).</w:t>
      </w:r>
    </w:p>
    <w:p w14:paraId="117D5E46" w14:textId="77777777" w:rsidR="009C7364" w:rsidRPr="00F71F14" w:rsidRDefault="009C7364" w:rsidP="002F4BD0">
      <w:pPr>
        <w:spacing w:after="0" w:line="480" w:lineRule="auto"/>
      </w:pPr>
    </w:p>
    <w:p w14:paraId="144F6243" w14:textId="63EEE95F" w:rsidR="00C35D07" w:rsidRPr="007B29EE" w:rsidRDefault="00C35D07" w:rsidP="002F4BD0">
      <w:pPr>
        <w:spacing w:after="0" w:line="480" w:lineRule="auto"/>
        <w:rPr>
          <w:i/>
          <w:iCs/>
        </w:rPr>
      </w:pPr>
      <w:r w:rsidRPr="007B29EE">
        <w:rPr>
          <w:i/>
          <w:iCs/>
        </w:rPr>
        <w:t>Well</w:t>
      </w:r>
      <w:r w:rsidR="00BC4A96" w:rsidRPr="007B29EE">
        <w:rPr>
          <w:i/>
          <w:iCs/>
        </w:rPr>
        <w:t>-</w:t>
      </w:r>
      <w:r w:rsidRPr="007B29EE">
        <w:rPr>
          <w:i/>
          <w:iCs/>
        </w:rPr>
        <w:t>being</w:t>
      </w:r>
    </w:p>
    <w:p w14:paraId="757EE413" w14:textId="279BAA1D" w:rsidR="007E723B" w:rsidRDefault="00772D0F" w:rsidP="002F4BD0">
      <w:pPr>
        <w:spacing w:after="0" w:line="480" w:lineRule="auto"/>
      </w:pPr>
      <w:r>
        <w:t xml:space="preserve">The </w:t>
      </w:r>
      <w:r w:rsidR="00191EC8">
        <w:t>World Health Organisation (</w:t>
      </w:r>
      <w:r w:rsidR="00C35D07">
        <w:t>WHO</w:t>
      </w:r>
      <w:r w:rsidR="00191EC8">
        <w:t>)</w:t>
      </w:r>
      <w:r w:rsidR="00C35D07">
        <w:t>-5</w:t>
      </w:r>
      <w:r w:rsidR="00E165C4">
        <w:t xml:space="preserve"> index</w:t>
      </w:r>
      <w:r>
        <w:t xml:space="preserve"> was used to measure</w:t>
      </w:r>
      <w:r w:rsidR="00C35D07">
        <w:t xml:space="preserve"> well-being </w:t>
      </w:r>
      <w:r>
        <w:fldChar w:fldCharType="begin" w:fldLock="1"/>
      </w:r>
      <w:r>
        <w:instrText>ADDIN CSL_CITATION {"citationItems":[{"id":"ITEM-1","itemData":{"DOI":"10.1159/000376585","ISSN":"0033-3190","abstract":"Background: The 5-item World Health Organization Well-Being Index (WHO-5) is among the most widely used questionnaires assessing subjective psychological well-being. Since its first publication in 1998, the WHO-5 has been translated into more than 30 languages and has been used in research studies all over the world. We now provide a systematic review of the literature on the WHO-5. Methods: We conducted a systematic search for literature on the WHO-5 in PubMed and PsycINFO in accordance with the PRISMA guidelines. In our review of the identified articles, we focused particularly on the following aspects: (1) the clinimetric validity of the WHO-5; (2) the responsiveness/sensitivity of the WHO-5 in controlled clinical trials; (3) the potential of the WHO-5 as a screening tool for depression, and (4) the applicability of the WHO-5 across study fields. Results: A total of 213 articles met the predefined criteria for inclusion in the review. The review demonstrated that the WHO-5 has high clinimetric validity, can be used as an outcome measure balancing the wanted and unwanted effects of treatments, is a sensitive and specific screening tool for depression and its applicability across study fields is very high. Conclusions: The WHO-5 is a short questionnaire consisting of 5 simple and non-invasive questions, which tap into the subjective well-being of the respondents. The scale has adequate validity both as a screening tool for depression and as an outcome measure in clinical trials and has been applied successfully across a wide range of study fields.","author":[{"dropping-particle":"","family":"Topp","given":"Christian Winther","non-dropping-particle":"","parse-names":false,"suffix":""},{"dropping-particle":"","family":"Østergaard","given":"Søren Dinesen","non-dropping-particle":"","parse-names":false,"suffix":""},{"dropping-particle":"","family":"Søndergaard","given":"Susan","non-dropping-particle":"","parse-names":false,"suffix":""},{"dropping-particle":"","family":"Bech","given":"Per","non-dropping-particle":"","parse-names":false,"suffix":""}],"container-title":"Psychotherapy and Psychosomatics","id":"ITEM-1","issue":"3","issued":{"date-parts":[["2015","4","24"]]},"page":"167-176","publisher":"S. Karger AG","title":"The WHO-5 Well-Being Index: A Systematic Review of the Literature","type":"article-journal","volume":"84"},"uris":["http://www.mendeley.com/documents/?uuid=5dfabf80-e5d0-353f-9280-f4532ea7e57f"]}],"mendeley":{"formattedCitation":"(Topp et al., 2015)","plainTextFormattedCitation":"(Topp et al., 2015)","previouslyFormattedCitation":"(Topp et al., 2015)"},"properties":{"noteIndex":0},"schema":"https://github.com/citation-style-language/schema/raw/master/csl-citation.json"}</w:instrText>
      </w:r>
      <w:r>
        <w:fldChar w:fldCharType="separate"/>
      </w:r>
      <w:r w:rsidR="00C35D07" w:rsidRPr="2CA49CD8">
        <w:rPr>
          <w:noProof/>
        </w:rPr>
        <w:t xml:space="preserve">(Topp </w:t>
      </w:r>
      <w:r w:rsidR="00D21786" w:rsidRPr="00D21786">
        <w:rPr>
          <w:i/>
          <w:iCs/>
          <w:noProof/>
        </w:rPr>
        <w:t>et al</w:t>
      </w:r>
      <w:r w:rsidR="00C35D07" w:rsidRPr="2CA49CD8">
        <w:rPr>
          <w:noProof/>
        </w:rPr>
        <w:t>., 2015)</w:t>
      </w:r>
      <w:r>
        <w:fldChar w:fldCharType="end"/>
      </w:r>
      <w:r w:rsidR="00C35D07">
        <w:t xml:space="preserve">. </w:t>
      </w:r>
      <w:r>
        <w:t>Participants responded to five i</w:t>
      </w:r>
      <w:r w:rsidR="00C35D07">
        <w:t xml:space="preserve">tems </w:t>
      </w:r>
      <w:r>
        <w:t xml:space="preserve">that </w:t>
      </w:r>
      <w:r w:rsidR="00C35D07">
        <w:t>assessed subjective well-being over the previous 2 weeks (e.g.</w:t>
      </w:r>
      <w:r w:rsidR="4F477CF9">
        <w:t>,</w:t>
      </w:r>
      <w:r w:rsidR="00C35D07">
        <w:t xml:space="preserve"> “I have felt cheerful and in good spirits”).  Responses </w:t>
      </w:r>
      <w:r w:rsidR="00831429">
        <w:t>were scored 0 (</w:t>
      </w:r>
      <w:r w:rsidR="00E165C4">
        <w:t>“</w:t>
      </w:r>
      <w:r w:rsidR="00831429">
        <w:t>At no time</w:t>
      </w:r>
      <w:r w:rsidR="00E165C4">
        <w:t>”</w:t>
      </w:r>
      <w:r w:rsidR="00831429">
        <w:t>) to 5 (</w:t>
      </w:r>
      <w:r w:rsidR="00E165C4">
        <w:t>“</w:t>
      </w:r>
      <w:r w:rsidR="00831429">
        <w:t>All of</w:t>
      </w:r>
      <w:r w:rsidR="00E165C4">
        <w:t xml:space="preserve"> the</w:t>
      </w:r>
      <w:r w:rsidR="00831429">
        <w:t xml:space="preserve"> time</w:t>
      </w:r>
      <w:r w:rsidR="00E165C4">
        <w:t>”</w:t>
      </w:r>
      <w:r w:rsidR="00831429">
        <w:t xml:space="preserve">), summed and multiplied by </w:t>
      </w:r>
      <w:r w:rsidR="006D5978">
        <w:t xml:space="preserve">four </w:t>
      </w:r>
      <w:r w:rsidR="00831429">
        <w:t xml:space="preserve">to </w:t>
      </w:r>
      <w:r w:rsidR="007E723B">
        <w:t xml:space="preserve">give a total score out of 100. Higher scores indicate </w:t>
      </w:r>
      <w:r w:rsidR="007E723B">
        <w:lastRenderedPageBreak/>
        <w:t>better well-being.</w:t>
      </w:r>
      <w:r w:rsidR="006E0B2F">
        <w:t xml:space="preserve"> Cronbach α value</w:t>
      </w:r>
      <w:r w:rsidR="002655B3">
        <w:t xml:space="preserve"> for the measure was .850.</w:t>
      </w:r>
      <w:r w:rsidR="006C04A9">
        <w:t xml:space="preserve"> An attention check (please select “All of the time”) was inserted into this questionnaire to monitor for random responding.</w:t>
      </w:r>
    </w:p>
    <w:p w14:paraId="5514B585" w14:textId="77777777" w:rsidR="007E723B" w:rsidRPr="004359DF" w:rsidRDefault="007E723B" w:rsidP="002F4BD0">
      <w:pPr>
        <w:spacing w:after="0" w:line="480" w:lineRule="auto"/>
        <w:rPr>
          <w:i/>
          <w:iCs/>
        </w:rPr>
      </w:pPr>
    </w:p>
    <w:p w14:paraId="7F73F8EB" w14:textId="3BED32C3" w:rsidR="007E723B" w:rsidRPr="004359DF" w:rsidRDefault="007E723B" w:rsidP="002F4BD0">
      <w:pPr>
        <w:spacing w:after="0" w:line="480" w:lineRule="auto"/>
        <w:rPr>
          <w:i/>
          <w:iCs/>
        </w:rPr>
      </w:pPr>
      <w:r w:rsidRPr="004359DF">
        <w:rPr>
          <w:i/>
          <w:iCs/>
        </w:rPr>
        <w:t xml:space="preserve">Experience of </w:t>
      </w:r>
      <w:r w:rsidR="00E165C4" w:rsidRPr="004359DF">
        <w:rPr>
          <w:i/>
          <w:iCs/>
        </w:rPr>
        <w:t>f</w:t>
      </w:r>
      <w:r w:rsidRPr="004359DF">
        <w:rPr>
          <w:i/>
          <w:iCs/>
        </w:rPr>
        <w:t xml:space="preserve">ood </w:t>
      </w:r>
      <w:r w:rsidR="00E165C4" w:rsidRPr="004359DF">
        <w:rPr>
          <w:i/>
          <w:iCs/>
        </w:rPr>
        <w:t>i</w:t>
      </w:r>
      <w:r w:rsidRPr="004359DF">
        <w:rPr>
          <w:i/>
          <w:iCs/>
        </w:rPr>
        <w:t>nsecurity</w:t>
      </w:r>
    </w:p>
    <w:p w14:paraId="572AE270" w14:textId="54F0C6CE" w:rsidR="00C35D07" w:rsidRDefault="006C621E" w:rsidP="002F4BD0">
      <w:pPr>
        <w:spacing w:after="0" w:line="480" w:lineRule="auto"/>
      </w:pPr>
      <w:r>
        <w:t>A</w:t>
      </w:r>
      <w:r w:rsidR="00C11A8F">
        <w:t xml:space="preserve"> modified version of the eight-item Food Insecurity Experience Scale </w:t>
      </w:r>
      <w:r>
        <w:fldChar w:fldCharType="begin" w:fldLock="1"/>
      </w:r>
      <w:r>
        <w:instrText>ADDIN CSL_CITATION {"citationItems":[{"id":"ITEM-1","itemData":{"DOI":"10.1016/j.worlddev.2017.01.006","ISSN":"0305750X","abstract":"Until recently there was lacking a common food security measure and the necessary data to study the individual-level determinants of food insecurity around the world. In 2014, the Food and Agriculture Organization's Voices of the Hungry project developed an experiential measure of food insecurity, the Food Insecurity Experience Scale (FIES), translated it into 200 languages, and contracted Gallup, Inc. for collection of data through the Gallup World Poll. This is the first paper that identifies and examines the common determinants of food insecurity in 134 countries using this cross-country comparable experiential measure of food insecurity. We also investigate whether and to what extent the common determinants of food insecurity identified in a global model differ across rankings of economic development. Using a series of multilevel linear probability models, we find that the five characteristics associated with the largest increase in the likelihood of experiencing food insecurity around the world are: having low levels of education, weak social networks, less social capital, low household income, and being unemployed. We also find significant heterogeneity in the determinants of food insecurity over development rankings. This study is an important first step in utilizing the new FIES to document risk factors of food insecurity around the globe.","author":[{"dropping-particle":"","family":"Smith","given":"Michael D.","non-dropping-particle":"","parse-names":false,"suffix":""},{"dropping-particle":"","family":"Rabbitt","given":"Matthew P.","non-dropping-particle":"","parse-names":false,"suffix":""},{"dropping-particle":"","family":"Coleman- Jensen","given":"Alisha","non-dropping-particle":"","parse-names":false,"suffix":""}],"container-title":"World Development","id":"ITEM-1","issued":{"date-parts":[["2017","5","1"]]},"page":"402-412","publisher":"Elsevier Ltd","title":"Who are the World’s Food Insecure? New Evidence from the Food and Agriculture Organization’s Food Insecurity Experience Scale","type":"article-journal","volume":"93"},"uris":["http://www.mendeley.com/documents/?uuid=58f61d94-5bfe-3214-b704-2ec467e3fc1b"]}],"mendeley":{"formattedCitation":"(Smith et al., 2017)","manualFormatting":"(FIES; Smith et al., 2017)","plainTextFormattedCitation":"(Smith et al., 2017)","previouslyFormattedCitation":"(Smith et al., 2017)"},"properties":{"noteIndex":0},"schema":"https://github.com/citation-style-language/schema/raw/master/csl-citation.json"}</w:instrText>
      </w:r>
      <w:r>
        <w:fldChar w:fldCharType="separate"/>
      </w:r>
      <w:r w:rsidR="009C0C08" w:rsidRPr="2CA49CD8">
        <w:rPr>
          <w:noProof/>
        </w:rPr>
        <w:t xml:space="preserve">(FIES; Smith </w:t>
      </w:r>
      <w:r w:rsidR="00D21786" w:rsidRPr="00D21786">
        <w:rPr>
          <w:i/>
          <w:iCs/>
          <w:noProof/>
        </w:rPr>
        <w:t>et al</w:t>
      </w:r>
      <w:r w:rsidR="009C0C08" w:rsidRPr="2CA49CD8">
        <w:rPr>
          <w:noProof/>
        </w:rPr>
        <w:t>., 2017)</w:t>
      </w:r>
      <w:r>
        <w:fldChar w:fldCharType="end"/>
      </w:r>
      <w:r w:rsidR="009C0C08">
        <w:t xml:space="preserve"> </w:t>
      </w:r>
      <w:r>
        <w:t xml:space="preserve">was used </w:t>
      </w:r>
      <w:r w:rsidR="009C0C08">
        <w:t xml:space="preserve">to assess </w:t>
      </w:r>
      <w:r w:rsidR="000F1050">
        <w:t>perceived</w:t>
      </w:r>
      <w:r w:rsidR="009C0C08">
        <w:t xml:space="preserve"> experiences of food insecurity.</w:t>
      </w:r>
      <w:r w:rsidR="008E2326">
        <w:t xml:space="preserve"> Items were adapted to assess the prevalence of aspects of food insecurity over the previous 7 days due to lack of food available in shops (e.g.</w:t>
      </w:r>
      <w:r w:rsidR="71E719E1">
        <w:t>,</w:t>
      </w:r>
      <w:r w:rsidR="008E2326">
        <w:t xml:space="preserve"> “During the last 7 days was there a time you were worried you would run out of food because of a lack of food in the shops?”) as opposed to the typically assessed time period of the previous 12 months, and experiences related to </w:t>
      </w:r>
      <w:r w:rsidR="00712137">
        <w:t>lack of money</w:t>
      </w:r>
      <w:r w:rsidR="008E2326">
        <w:t xml:space="preserve"> </w:t>
      </w:r>
      <w:r>
        <w:fldChar w:fldCharType="begin" w:fldLock="1"/>
      </w:r>
      <w:r>
        <w:instrText>ADDIN CSL_CITATION {"citationItems":[{"id":"ITEM-1","itemData":{"DOI":"10.1016/j.worlddev.2017.01.006","ISSN":"0305750X","abstract":"Until recently there was lacking a common food security measure and the necessary data to study the individual-level determinants of food insecurity around the world. In 2014, the Food and Agriculture Organization's Voices of the Hungry project developed an experiential measure of food insecurity, the Food Insecurity Experience Scale (FIES), translated it into 200 languages, and contracted Gallup, Inc. for collection of data through the Gallup World Poll. This is the first paper that identifies and examines the common determinants of food insecurity in 134 countries using this cross-country comparable experiential measure of food insecurity. We also investigate whether and to what extent the common determinants of food insecurity identified in a global model differ across rankings of economic development. Using a series of multilevel linear probability models, we find that the five characteristics associated with the largest increase in the likelihood of experiencing food insecurity around the world are: having low levels of education, weak social networks, less social capital, low household income, and being unemployed. We also find significant heterogeneity in the determinants of food insecurity over development rankings. This study is an important first step in utilizing the new FIES to document risk factors of food insecurity around the globe.","author":[{"dropping-particle":"","family":"Smith","given":"Michael D.","non-dropping-particle":"","parse-names":false,"suffix":""},{"dropping-particle":"","family":"Rabbitt","given":"Matthew P.","non-dropping-particle":"","parse-names":false,"suffix":""},{"dropping-particle":"","family":"Coleman- Jensen","given":"Alisha","non-dropping-particle":"","parse-names":false,"suffix":""}],"container-title":"World Development","id":"ITEM-1","issued":{"date-parts":[["2017","5","1"]]},"page":"402-412","publisher":"Elsevier Ltd","title":"Who are the World’s Food Insecure? New Evidence from the Food and Agriculture Organization’s Food Insecurity Experience Scale","type":"article-journal","volume":"93"},"uris":["http://www.mendeley.com/documents/?uuid=58f61d94-5bfe-3214-b704-2ec467e3fc1b"]}],"mendeley":{"formattedCitation":"(Smith et al., 2017)","plainTextFormattedCitation":"(Smith et al., 2017)","previouslyFormattedCitation":"(Smith et al., 2017)"},"properties":{"noteIndex":0},"schema":"https://github.com/citation-style-language/schema/raw/master/csl-citation.json"}</w:instrText>
      </w:r>
      <w:r>
        <w:fldChar w:fldCharType="separate"/>
      </w:r>
      <w:r w:rsidR="008E2326" w:rsidRPr="2CA49CD8">
        <w:rPr>
          <w:noProof/>
        </w:rPr>
        <w:t xml:space="preserve">(Smith </w:t>
      </w:r>
      <w:r w:rsidR="00D21786" w:rsidRPr="00D21786">
        <w:rPr>
          <w:i/>
          <w:iCs/>
          <w:noProof/>
        </w:rPr>
        <w:t>et al</w:t>
      </w:r>
      <w:r w:rsidR="008E2326" w:rsidRPr="2CA49CD8">
        <w:rPr>
          <w:noProof/>
        </w:rPr>
        <w:t>., 2017)</w:t>
      </w:r>
      <w:r>
        <w:fldChar w:fldCharType="end"/>
      </w:r>
      <w:r w:rsidR="008E2326">
        <w:t xml:space="preserve">. </w:t>
      </w:r>
      <w:r w:rsidR="002655B3">
        <w:t xml:space="preserve">The modified scale is shown in </w:t>
      </w:r>
      <w:r w:rsidR="00E165C4">
        <w:t xml:space="preserve">the </w:t>
      </w:r>
      <w:r w:rsidR="00E165C4" w:rsidRPr="004359DF">
        <w:t>Extended data</w:t>
      </w:r>
      <w:r w:rsidR="002655B3">
        <w:t xml:space="preserve">. </w:t>
      </w:r>
      <w:r w:rsidR="00712137">
        <w:t>This modification was designed to capture experiences specific to the early lockdown phase</w:t>
      </w:r>
      <w:r w:rsidR="00E165C4">
        <w:t>,</w:t>
      </w:r>
      <w:r w:rsidR="00712137">
        <w:t xml:space="preserve"> when </w:t>
      </w:r>
      <w:hyperlink r:id="rId17" w:history="1">
        <w:r w:rsidR="00712137" w:rsidRPr="000845AE">
          <w:rPr>
            <w:rStyle w:val="Hyperlink"/>
          </w:rPr>
          <w:t>media reports suggested food shortages</w:t>
        </w:r>
      </w:hyperlink>
      <w:r w:rsidR="00712137">
        <w:t xml:space="preserve"> at UK shops and supermarkets</w:t>
      </w:r>
      <w:r w:rsidR="000F1050">
        <w:t xml:space="preserve">. Responses were </w:t>
      </w:r>
      <w:r w:rsidR="00E165C4">
        <w:t>“</w:t>
      </w:r>
      <w:r w:rsidR="000F1050">
        <w:t>Yes</w:t>
      </w:r>
      <w:r w:rsidR="00E165C4">
        <w:t>”</w:t>
      </w:r>
      <w:r w:rsidR="000F1050">
        <w:t xml:space="preserve"> or </w:t>
      </w:r>
      <w:r w:rsidR="00E165C4">
        <w:t>“</w:t>
      </w:r>
      <w:r w:rsidR="000F1050">
        <w:t>No</w:t>
      </w:r>
      <w:r w:rsidR="00E165C4">
        <w:t>”</w:t>
      </w:r>
      <w:r w:rsidR="000F1050">
        <w:t>. Scores were determined by summing the number of “Yes” responses. Higher scores indicated greater perceived experience of food insecurity.</w:t>
      </w:r>
      <w:r w:rsidR="002655B3">
        <w:t xml:space="preserve"> Cronbach α value for the modified scale was .748. </w:t>
      </w:r>
    </w:p>
    <w:p w14:paraId="412F81F1" w14:textId="5698C8D7" w:rsidR="000F1050" w:rsidRDefault="000F1050" w:rsidP="002F4BD0">
      <w:pPr>
        <w:spacing w:after="0" w:line="480" w:lineRule="auto"/>
        <w:rPr>
          <w:bCs/>
        </w:rPr>
      </w:pPr>
    </w:p>
    <w:p w14:paraId="6672FEAA" w14:textId="5CBC04A5" w:rsidR="00700AAB" w:rsidRPr="004359DF" w:rsidRDefault="000F1050" w:rsidP="002F4BD0">
      <w:pPr>
        <w:spacing w:after="0" w:line="480" w:lineRule="auto"/>
        <w:rPr>
          <w:bCs/>
          <w:i/>
          <w:iCs/>
        </w:rPr>
      </w:pPr>
      <w:r w:rsidRPr="004359DF">
        <w:rPr>
          <w:bCs/>
          <w:i/>
          <w:iCs/>
        </w:rPr>
        <w:t xml:space="preserve">Home </w:t>
      </w:r>
      <w:r w:rsidR="00E165C4" w:rsidRPr="004359DF">
        <w:rPr>
          <w:bCs/>
          <w:i/>
          <w:iCs/>
        </w:rPr>
        <w:t>f</w:t>
      </w:r>
      <w:r w:rsidRPr="004359DF">
        <w:rPr>
          <w:bCs/>
          <w:i/>
          <w:iCs/>
        </w:rPr>
        <w:t xml:space="preserve">ood </w:t>
      </w:r>
      <w:r w:rsidR="00E165C4" w:rsidRPr="004359DF">
        <w:rPr>
          <w:bCs/>
          <w:i/>
          <w:iCs/>
        </w:rPr>
        <w:t>g</w:t>
      </w:r>
      <w:r w:rsidRPr="004359DF">
        <w:rPr>
          <w:bCs/>
          <w:i/>
          <w:iCs/>
        </w:rPr>
        <w:t>rowing</w:t>
      </w:r>
    </w:p>
    <w:p w14:paraId="1E46E403" w14:textId="08D77973" w:rsidR="000F1050" w:rsidRDefault="000F1050" w:rsidP="002F4BD0">
      <w:pPr>
        <w:spacing w:after="0" w:line="480" w:lineRule="auto"/>
        <w:rPr>
          <w:bCs/>
        </w:rPr>
      </w:pPr>
      <w:r>
        <w:rPr>
          <w:bCs/>
        </w:rPr>
        <w:t xml:space="preserve">We used the following question to determine if participants were engaged in home food growing: </w:t>
      </w:r>
      <w:bookmarkStart w:id="4" w:name="_Hlk67326527"/>
      <w:r>
        <w:rPr>
          <w:bCs/>
        </w:rPr>
        <w:t>“</w:t>
      </w:r>
      <w:r w:rsidR="006670D1">
        <w:rPr>
          <w:bCs/>
        </w:rPr>
        <w:t>Is growing your own fruits and vegetables something you</w:t>
      </w:r>
      <w:r w:rsidR="002655B3">
        <w:rPr>
          <w:bCs/>
        </w:rPr>
        <w:t>…</w:t>
      </w:r>
      <w:r>
        <w:rPr>
          <w:bCs/>
        </w:rPr>
        <w:t>”</w:t>
      </w:r>
      <w:bookmarkEnd w:id="4"/>
      <w:r>
        <w:rPr>
          <w:bCs/>
        </w:rPr>
        <w:t xml:space="preserve">. Participants selected one of the following response options: </w:t>
      </w:r>
      <w:r w:rsidR="00772D0F">
        <w:rPr>
          <w:bCs/>
        </w:rPr>
        <w:t xml:space="preserve">i) </w:t>
      </w:r>
      <w:r>
        <w:rPr>
          <w:bCs/>
        </w:rPr>
        <w:t>already do</w:t>
      </w:r>
      <w:r w:rsidR="00772D0F">
        <w:rPr>
          <w:bCs/>
        </w:rPr>
        <w:t>,</w:t>
      </w:r>
      <w:r>
        <w:rPr>
          <w:bCs/>
        </w:rPr>
        <w:t xml:space="preserve"> </w:t>
      </w:r>
      <w:r w:rsidR="00772D0F">
        <w:rPr>
          <w:bCs/>
        </w:rPr>
        <w:t xml:space="preserve">ii) </w:t>
      </w:r>
      <w:r>
        <w:rPr>
          <w:bCs/>
        </w:rPr>
        <w:t>don’t currently do but are planning to do</w:t>
      </w:r>
      <w:r w:rsidR="00772D0F">
        <w:rPr>
          <w:bCs/>
        </w:rPr>
        <w:t>, iii)</w:t>
      </w:r>
      <w:r>
        <w:rPr>
          <w:bCs/>
        </w:rPr>
        <w:t xml:space="preserve"> are not planning to do but would consider in the future</w:t>
      </w:r>
      <w:r w:rsidR="00772D0F">
        <w:rPr>
          <w:bCs/>
        </w:rPr>
        <w:t>,</w:t>
      </w:r>
      <w:r w:rsidR="00E165C4">
        <w:rPr>
          <w:bCs/>
        </w:rPr>
        <w:t xml:space="preserve"> and</w:t>
      </w:r>
      <w:r>
        <w:rPr>
          <w:bCs/>
        </w:rPr>
        <w:t xml:space="preserve"> </w:t>
      </w:r>
      <w:r w:rsidR="00772D0F">
        <w:rPr>
          <w:bCs/>
        </w:rPr>
        <w:t xml:space="preserve">iv) </w:t>
      </w:r>
      <w:r w:rsidR="00191EC8">
        <w:rPr>
          <w:bCs/>
        </w:rPr>
        <w:t xml:space="preserve">are </w:t>
      </w:r>
      <w:r>
        <w:rPr>
          <w:bCs/>
        </w:rPr>
        <w:t>not planning to and would not consider doing. Participants who responded “</w:t>
      </w:r>
      <w:r w:rsidR="006670D1">
        <w:rPr>
          <w:bCs/>
        </w:rPr>
        <w:t xml:space="preserve">i) </w:t>
      </w:r>
      <w:r>
        <w:rPr>
          <w:bCs/>
        </w:rPr>
        <w:t xml:space="preserve">already do” were categorised as engaged in home food growing (Growers); other responses were categorised as </w:t>
      </w:r>
      <w:r w:rsidR="00EA1F42">
        <w:rPr>
          <w:bCs/>
        </w:rPr>
        <w:t>N</w:t>
      </w:r>
      <w:r>
        <w:rPr>
          <w:bCs/>
        </w:rPr>
        <w:t>on-grow</w:t>
      </w:r>
      <w:r w:rsidR="006E5F27">
        <w:rPr>
          <w:bCs/>
        </w:rPr>
        <w:t>ers</w:t>
      </w:r>
      <w:r>
        <w:rPr>
          <w:bCs/>
        </w:rPr>
        <w:t>.</w:t>
      </w:r>
    </w:p>
    <w:p w14:paraId="24B65F43" w14:textId="03714F0E" w:rsidR="00B17934" w:rsidRDefault="00B17934" w:rsidP="002F4BD0">
      <w:pPr>
        <w:spacing w:after="0" w:line="480" w:lineRule="auto"/>
        <w:rPr>
          <w:bCs/>
        </w:rPr>
      </w:pPr>
    </w:p>
    <w:p w14:paraId="289DD9EF" w14:textId="62936BBE" w:rsidR="00B51854" w:rsidRDefault="00B17934" w:rsidP="002F4BD0">
      <w:pPr>
        <w:spacing w:after="0" w:line="480" w:lineRule="auto"/>
      </w:pPr>
      <w:r w:rsidRPr="004359DF">
        <w:rPr>
          <w:i/>
        </w:rPr>
        <w:lastRenderedPageBreak/>
        <w:t>COVID-</w:t>
      </w:r>
      <w:r w:rsidR="00AF0504" w:rsidRPr="004359DF">
        <w:rPr>
          <w:i/>
        </w:rPr>
        <w:t xml:space="preserve">19 </w:t>
      </w:r>
      <w:r w:rsidRPr="004359DF">
        <w:rPr>
          <w:i/>
        </w:rPr>
        <w:t>related questions</w:t>
      </w:r>
      <w:r>
        <w:br/>
        <w:t>Participants provided the following information in relation to the UK lockdown: keyworker</w:t>
      </w:r>
      <w:r w:rsidR="0054603A">
        <w:t xml:space="preserve"> </w:t>
      </w:r>
      <w:r>
        <w:t>status</w:t>
      </w:r>
      <w:r w:rsidR="0054603A">
        <w:rPr>
          <w:rStyle w:val="FootnoteReference"/>
        </w:rPr>
        <w:footnoteReference w:id="2"/>
      </w:r>
      <w:r w:rsidR="0054603A">
        <w:t xml:space="preserve"> </w:t>
      </w:r>
      <w:r>
        <w:t xml:space="preserve"> (yes/no), isolation status (social distancing/self-isolating/ lockdown/working out of home but social distancing/life as normal/other). They also indicated if they were in a high-risk category for coronavirus, and if they or someone in their household had experienced symptoms </w:t>
      </w:r>
      <w:r w:rsidR="00772D0F">
        <w:t xml:space="preserve">of, </w:t>
      </w:r>
      <w:r>
        <w:t>or been diagnosed with</w:t>
      </w:r>
      <w:r w:rsidR="00772D0F">
        <w:t>,</w:t>
      </w:r>
      <w:r>
        <w:t xml:space="preserve"> coronavirus. </w:t>
      </w:r>
    </w:p>
    <w:p w14:paraId="739D6241" w14:textId="77777777" w:rsidR="00B51854" w:rsidRDefault="00B51854" w:rsidP="002F4BD0">
      <w:pPr>
        <w:spacing w:after="0" w:line="480" w:lineRule="auto"/>
      </w:pPr>
    </w:p>
    <w:p w14:paraId="3A66F8E5" w14:textId="0800E836" w:rsidR="003071B1" w:rsidRDefault="00B17934" w:rsidP="002F4BD0">
      <w:pPr>
        <w:spacing w:after="0" w:line="480" w:lineRule="auto"/>
      </w:pPr>
      <w:r>
        <w:t xml:space="preserve">Additional questions </w:t>
      </w:r>
      <w:r w:rsidR="00FE7ADD">
        <w:t>regarding</w:t>
      </w:r>
      <w:r w:rsidR="00B51854">
        <w:t xml:space="preserve"> participants’ concerns </w:t>
      </w:r>
      <w:r w:rsidR="00FE7ADD">
        <w:t>about</w:t>
      </w:r>
      <w:r w:rsidR="00B51854">
        <w:t xml:space="preserve"> accessing food were asked to provide more detail about the types of foods</w:t>
      </w:r>
      <w:r w:rsidR="00FE7ADD">
        <w:t xml:space="preserve"> that</w:t>
      </w:r>
      <w:r w:rsidR="003071B1">
        <w:t xml:space="preserve"> </w:t>
      </w:r>
      <w:r w:rsidR="00B51854">
        <w:t>they were concerned about accessing</w:t>
      </w:r>
      <w:r w:rsidR="00FE7ADD">
        <w:t>, if any</w:t>
      </w:r>
      <w:r w:rsidR="00B51854">
        <w:t>. P</w:t>
      </w:r>
      <w:r w:rsidR="00433B13">
        <w:t xml:space="preserve">articipants </w:t>
      </w:r>
      <w:r w:rsidR="00FE7ADD">
        <w:t xml:space="preserve">reported if they </w:t>
      </w:r>
      <w:r w:rsidR="00433B13">
        <w:t xml:space="preserve">had concerns about accessing food </w:t>
      </w:r>
      <w:r w:rsidR="00FE7ADD">
        <w:t xml:space="preserve">(yes/no). </w:t>
      </w:r>
      <w:r w:rsidR="00904D07">
        <w:t>Next,</w:t>
      </w:r>
      <w:r w:rsidR="00FE7ADD">
        <w:t xml:space="preserve"> the</w:t>
      </w:r>
      <w:r w:rsidR="00A325A1">
        <w:t>y</w:t>
      </w:r>
      <w:r w:rsidR="00FE7ADD">
        <w:t xml:space="preserve"> indicated if they had</w:t>
      </w:r>
      <w:r w:rsidR="00433B13">
        <w:t xml:space="preserve"> concerns about accessing specific types of food</w:t>
      </w:r>
      <w:r w:rsidR="00B51854">
        <w:t xml:space="preserve"> (fruit and vegetables/meat/dairy products/dried foods/bread/baby or infant food/pet food/other)</w:t>
      </w:r>
      <w:r w:rsidR="00433B13">
        <w:t>.</w:t>
      </w:r>
      <w:r w:rsidR="00B51854">
        <w:t xml:space="preserve"> </w:t>
      </w:r>
      <w:r w:rsidR="00433B13">
        <w:t xml:space="preserve">Finally, participants were asked </w:t>
      </w:r>
      <w:r w:rsidR="00B51854">
        <w:t>to indicate which</w:t>
      </w:r>
      <w:r w:rsidR="00433B13">
        <w:t xml:space="preserve"> extra </w:t>
      </w:r>
      <w:r w:rsidR="003071B1">
        <w:t>measures they</w:t>
      </w:r>
      <w:r w:rsidR="00433B13">
        <w:t xml:space="preserve"> may be taking to ensure adequate food supply</w:t>
      </w:r>
      <w:r w:rsidR="003071B1">
        <w:t>, if any (buying extra food/sharing food with others/monitoring or reducing the food I buy/monitoring or reducing the food I eat/growing my own fruits and vegetables/eating fruits and vegetables somebody else grows/sourcing food elsewhere/other)</w:t>
      </w:r>
      <w:r w:rsidR="00433B13">
        <w:t xml:space="preserve">. </w:t>
      </w:r>
    </w:p>
    <w:p w14:paraId="100206DB" w14:textId="38CDB343" w:rsidR="000B499E" w:rsidRDefault="000B499E" w:rsidP="002F4BD0">
      <w:pPr>
        <w:spacing w:after="0" w:line="480" w:lineRule="auto"/>
        <w:rPr>
          <w:bCs/>
          <w:i/>
        </w:rPr>
      </w:pPr>
    </w:p>
    <w:p w14:paraId="363412DB" w14:textId="00F504FF" w:rsidR="006670D1" w:rsidRPr="004359DF" w:rsidRDefault="000B499E" w:rsidP="002F4BD0">
      <w:pPr>
        <w:spacing w:after="0" w:line="480" w:lineRule="auto"/>
        <w:rPr>
          <w:bCs/>
          <w:i/>
          <w:iCs/>
        </w:rPr>
      </w:pPr>
      <w:r w:rsidRPr="004359DF">
        <w:rPr>
          <w:bCs/>
          <w:i/>
          <w:iCs/>
        </w:rPr>
        <w:t xml:space="preserve">UA </w:t>
      </w:r>
      <w:r w:rsidR="00244C69" w:rsidRPr="004359DF">
        <w:rPr>
          <w:bCs/>
          <w:i/>
          <w:iCs/>
        </w:rPr>
        <w:t>o</w:t>
      </w:r>
      <w:r w:rsidR="0015152F" w:rsidRPr="004359DF">
        <w:rPr>
          <w:bCs/>
          <w:i/>
          <w:iCs/>
        </w:rPr>
        <w:t xml:space="preserve">pinion </w:t>
      </w:r>
      <w:r w:rsidR="00244C69" w:rsidRPr="004359DF">
        <w:rPr>
          <w:bCs/>
          <w:i/>
          <w:iCs/>
        </w:rPr>
        <w:t>q</w:t>
      </w:r>
      <w:r w:rsidRPr="004359DF">
        <w:rPr>
          <w:bCs/>
          <w:i/>
          <w:iCs/>
        </w:rPr>
        <w:t>uestions</w:t>
      </w:r>
    </w:p>
    <w:p w14:paraId="52DBECBF" w14:textId="76AFB4BB" w:rsidR="000B499E" w:rsidRPr="000B499E" w:rsidRDefault="000B499E" w:rsidP="002F4BD0">
      <w:pPr>
        <w:spacing w:after="0" w:line="480" w:lineRule="auto"/>
      </w:pPr>
      <w:r>
        <w:t>Participants read</w:t>
      </w:r>
      <w:r w:rsidR="00772D0F">
        <w:t xml:space="preserve"> the following</w:t>
      </w:r>
      <w:r>
        <w:t xml:space="preserve"> definition of UA</w:t>
      </w:r>
      <w:r w:rsidR="00772D0F">
        <w:t>:</w:t>
      </w:r>
      <w:r>
        <w:t xml:space="preserve"> </w:t>
      </w:r>
      <w:r w:rsidR="00D71A2E">
        <w:t>“</w:t>
      </w:r>
      <w:r>
        <w:t>Urban agriculture means growing fruit and vegetables in urban, suburban and surrounding areas</w:t>
      </w:r>
      <w:r w:rsidR="00033568">
        <w:t>.</w:t>
      </w:r>
      <w:r w:rsidR="00D71A2E">
        <w:t>”</w:t>
      </w:r>
      <w:r w:rsidR="00033568">
        <w:t xml:space="preserve"> </w:t>
      </w:r>
      <w:r w:rsidR="00D71A2E">
        <w:t>This was followed by the question “Do you think urban agriculture could be beneficial/not beneficial to any of the following?” and the following</w:t>
      </w:r>
      <w:r w:rsidR="003071B1">
        <w:t xml:space="preserve"> </w:t>
      </w:r>
      <w:r w:rsidR="006670D1">
        <w:t>items</w:t>
      </w:r>
      <w:r w:rsidR="00D71A2E">
        <w:t>: i) You, your family and friends</w:t>
      </w:r>
      <w:r w:rsidR="02C47E02">
        <w:t>;</w:t>
      </w:r>
      <w:r w:rsidR="00D71A2E">
        <w:t xml:space="preserve"> ii) Your community</w:t>
      </w:r>
      <w:r w:rsidR="5CAC324F">
        <w:t>;</w:t>
      </w:r>
      <w:r w:rsidR="00D71A2E">
        <w:t xml:space="preserve"> iii) The environment</w:t>
      </w:r>
      <w:r w:rsidR="100342EE">
        <w:t>;</w:t>
      </w:r>
      <w:r w:rsidR="00D71A2E">
        <w:t xml:space="preserve"> iv) The economy</w:t>
      </w:r>
      <w:r w:rsidR="429654CA">
        <w:t>;</w:t>
      </w:r>
      <w:r w:rsidR="00D71A2E">
        <w:t xml:space="preserve"> v) Society in general</w:t>
      </w:r>
      <w:r w:rsidR="1E0C2DB5">
        <w:t>;</w:t>
      </w:r>
      <w:r w:rsidR="00D71A2E">
        <w:t xml:space="preserve"> vi) Entertainment/alleviate boredom</w:t>
      </w:r>
      <w:r w:rsidR="6EC3870F">
        <w:t>;</w:t>
      </w:r>
      <w:r w:rsidR="00D71A2E">
        <w:t xml:space="preserve"> vii) For education/home-schooling</w:t>
      </w:r>
      <w:r w:rsidR="5924AC33">
        <w:t>;</w:t>
      </w:r>
      <w:r w:rsidR="00D71A2E">
        <w:t xml:space="preserve"> viii) </w:t>
      </w:r>
      <w:r w:rsidR="00D71A2E">
        <w:lastRenderedPageBreak/>
        <w:t>Alternative income because of unemployment</w:t>
      </w:r>
      <w:r w:rsidR="6B9B577F">
        <w:t>;</w:t>
      </w:r>
      <w:r w:rsidR="00D71A2E">
        <w:t xml:space="preserve"> ix) Ensuring my family and I can eat healthily</w:t>
      </w:r>
      <w:r w:rsidR="1C77C4CA">
        <w:t>;</w:t>
      </w:r>
      <w:r w:rsidR="00D71A2E">
        <w:t xml:space="preserve"> x) Ensuring social distancing by accessing food without being in contact with others. Response options were beneficial/not beneficial/unsure. Items i-v were taken from </w:t>
      </w:r>
      <w:r w:rsidR="00624AF6">
        <w:fldChar w:fldCharType="begin" w:fldLock="1"/>
      </w:r>
      <w:r w:rsidR="000030E0">
        <w:instrText>ADDIN CSL_CITATION {"citationItems":[{"id":"ITEM-1","itemData":{"DOI":"10.1016/j.appet.2021.105218","ISSN":"01956663","author":[{"dropping-particle":"","family":"Mead","given":"Bethan R.","non-dropping-particle":"","parse-names":false,"suffix":""},{"dropping-particle":"","family":"Christiansen","given":"Paul","non-dropping-particle":"","parse-names":false,"suffix":""},{"dropping-particle":"","family":"Davies","given":"Jessica A.C.","non-dropping-particle":"","parse-names":false,"suffix":""},{"dropping-particle":"","family":"Falagán","given":"Natalia","non-dropping-particle":"","parse-names":false,"suffix":""},{"dropping-particle":"","family":"Kourmpetli","given":"Sofia","non-dropping-particle":"","parse-names":false,"suffix":""},{"dropping-particle":"","family":"Liu","given":"Lingxuan","non-dropping-particle":"","parse-names":false,"suffix":""},{"dropping-particle":"","family":"Walsh","given":"Lael","non-dropping-particle":"","parse-names":false,"suffix":""},{"dropping-particle":"","family":"Hardman","given":"Charlotte A.","non-dropping-particle":"","parse-names":false,"suffix":""}],"container-title":"Appetite","id":"ITEM-1","issued":{"date-parts":[["2021","3","18"]]},"page":"105218","publisher":"Academic Press","title":"Is urban growing of fruit and vegetables associated with better diet quality and what mediates this relationship? Evidence from a cross-sectional survey","type":"article-journal"},"uris":["http://www.mendeley.com/documents/?uuid=315a5450-13e7-3f34-8d07-c2ff291d011f"]}],"mendeley":{"formattedCitation":"(B. R. Mead et al., 2021)","manualFormatting":"(Mead et al., 2021)","plainTextFormattedCitation":"(B. R. Mead et al., 2021)","previouslyFormattedCitation":"(B. R. Mead et al., 2021)"},"properties":{"noteIndex":0},"schema":"https://github.com/citation-style-language/schema/raw/master/csl-citation.json"}</w:instrText>
      </w:r>
      <w:r w:rsidR="00624AF6">
        <w:fldChar w:fldCharType="separate"/>
      </w:r>
      <w:r w:rsidR="00624AF6" w:rsidRPr="00624AF6">
        <w:rPr>
          <w:noProof/>
        </w:rPr>
        <w:t xml:space="preserve">(Mead </w:t>
      </w:r>
      <w:r w:rsidR="00D21786" w:rsidRPr="00D21786">
        <w:rPr>
          <w:i/>
          <w:iCs/>
          <w:noProof/>
        </w:rPr>
        <w:t>et al</w:t>
      </w:r>
      <w:r w:rsidR="00624AF6" w:rsidRPr="00624AF6">
        <w:rPr>
          <w:noProof/>
        </w:rPr>
        <w:t>., 2021)</w:t>
      </w:r>
      <w:r w:rsidR="00624AF6">
        <w:fldChar w:fldCharType="end"/>
      </w:r>
      <w:r w:rsidR="00D71A2E">
        <w:t xml:space="preserve">; items vi-x were added to assess opinions of UA </w:t>
      </w:r>
      <w:r w:rsidR="00570A09">
        <w:t>related to</w:t>
      </w:r>
      <w:r w:rsidR="00D71A2E">
        <w:t xml:space="preserve"> the pandemic.</w:t>
      </w:r>
      <w:bookmarkStart w:id="5" w:name="_Hlk56877304"/>
      <w:bookmarkEnd w:id="5"/>
    </w:p>
    <w:p w14:paraId="6D819D1B" w14:textId="20751144" w:rsidR="0062114C" w:rsidRDefault="0062114C" w:rsidP="002F4BD0">
      <w:pPr>
        <w:spacing w:after="0" w:line="480" w:lineRule="auto"/>
        <w:rPr>
          <w:bCs/>
        </w:rPr>
      </w:pPr>
    </w:p>
    <w:p w14:paraId="57960A13" w14:textId="3FE15EA3" w:rsidR="0062114C" w:rsidRPr="00896857" w:rsidRDefault="009C7364" w:rsidP="002F4BD0">
      <w:pPr>
        <w:spacing w:after="0" w:line="480" w:lineRule="auto"/>
        <w:rPr>
          <w:b/>
          <w:bCs/>
          <w:i/>
          <w:iCs/>
        </w:rPr>
      </w:pPr>
      <w:r w:rsidRPr="00896857">
        <w:rPr>
          <w:b/>
          <w:bCs/>
          <w:i/>
          <w:iCs/>
        </w:rPr>
        <w:t xml:space="preserve">Procedure and </w:t>
      </w:r>
      <w:r w:rsidR="00244C69" w:rsidRPr="00896857">
        <w:rPr>
          <w:b/>
          <w:bCs/>
          <w:i/>
          <w:iCs/>
        </w:rPr>
        <w:t>d</w:t>
      </w:r>
      <w:r w:rsidRPr="00896857">
        <w:rPr>
          <w:b/>
          <w:bCs/>
          <w:i/>
          <w:iCs/>
        </w:rPr>
        <w:t>esign</w:t>
      </w:r>
    </w:p>
    <w:p w14:paraId="653FA7B6" w14:textId="5F5DC9D9" w:rsidR="00FE7ADD" w:rsidRDefault="008474DF" w:rsidP="00700AAB">
      <w:pPr>
        <w:spacing w:after="0" w:line="480" w:lineRule="auto"/>
      </w:pPr>
      <w:r>
        <w:t>The survey was hosted via Qualtrics (</w:t>
      </w:r>
      <w:r w:rsidR="00624AF6">
        <w:t>Provo, U</w:t>
      </w:r>
      <w:r w:rsidR="003B775F">
        <w:t>tah</w:t>
      </w:r>
      <w:r w:rsidR="00624AF6">
        <w:t xml:space="preserve">) </w:t>
      </w:r>
      <w:r w:rsidR="00B17934">
        <w:t xml:space="preserve">and accessed via </w:t>
      </w:r>
      <w:r w:rsidR="006E5F27">
        <w:t xml:space="preserve">a </w:t>
      </w:r>
      <w:r w:rsidR="00B17934">
        <w:t xml:space="preserve">weblink placed in study </w:t>
      </w:r>
      <w:r w:rsidR="000B499E">
        <w:t>advertisements</w:t>
      </w:r>
      <w:r w:rsidR="00B17934">
        <w:t>. Participants read an information sheet</w:t>
      </w:r>
      <w:r w:rsidR="00C66853">
        <w:t xml:space="preserve"> (Participant Information Sheet)</w:t>
      </w:r>
      <w:r w:rsidR="00B17934">
        <w:t>, provided informed consent, then indicated their location</w:t>
      </w:r>
      <w:r w:rsidR="000B499E">
        <w:t xml:space="preserve"> (country).</w:t>
      </w:r>
      <w:r w:rsidR="00D71A2E">
        <w:t xml:space="preserve"> The survey was terminated if any country other than the UK was selected.</w:t>
      </w:r>
      <w:r w:rsidR="000B499E">
        <w:t xml:space="preserve"> Demographic questions, FIES, WHO-5 and COVID-related questions were</w:t>
      </w:r>
      <w:r w:rsidR="002F4BD0">
        <w:t xml:space="preserve"> then</w:t>
      </w:r>
      <w:r w:rsidR="000B499E">
        <w:t xml:space="preserve"> displayed in a random order</w:t>
      </w:r>
      <w:r w:rsidR="002F4BD0">
        <w:t xml:space="preserve"> with UA </w:t>
      </w:r>
      <w:r w:rsidR="003B775F">
        <w:t>o</w:t>
      </w:r>
      <w:r w:rsidR="006670D1">
        <w:t xml:space="preserve">pinion </w:t>
      </w:r>
      <w:r w:rsidR="003B775F">
        <w:t>q</w:t>
      </w:r>
      <w:r w:rsidR="002F4BD0">
        <w:t xml:space="preserve">uestions always at the end. </w:t>
      </w:r>
      <w:r w:rsidR="00700AAB">
        <w:t xml:space="preserve">Links to the UK government </w:t>
      </w:r>
      <w:r w:rsidR="001C1788">
        <w:t xml:space="preserve">website for </w:t>
      </w:r>
      <w:r w:rsidR="00700AAB">
        <w:t>definitions of key worker</w:t>
      </w:r>
      <w:r w:rsidR="001C1788">
        <w:t xml:space="preserve">, social distancing, self-isolation and lockdown were provided next to the related questions. “Lockdown” was added as a category for isolation status alongside social distancing and self-isolation due to a change in UK law and terminology used by the UK Government shortly before the survey launched </w:t>
      </w:r>
      <w:r>
        <w:fldChar w:fldCharType="begin" w:fldLock="1"/>
      </w:r>
      <w:r>
        <w:instrText>ADDIN CSL_CITATION {"citationItems":[{"id":"ITEM-1","itemData":{"author":[{"dropping-particle":"","family":"Brown","given":"Jennifer","non-dropping-particle":"","parse-names":false,"suffix":""}],"id":"ITEM-1","issued":{"date-parts":[["2020"]]},"number-of-pages":"25","publisher":"House of Commons Library","publisher-place":"London, UK","title":"Coronavirus: the lockdown laws","type":"report"},"uris":["http://www.mendeley.com/documents/?uuid=98b08f50-117f-39de-9871-ddfe14302663"]}],"mendeley":{"formattedCitation":"(Brown, 2020)","plainTextFormattedCitation":"(Brown, 2020)","previouslyFormattedCitation":"(Brown, 2020)"},"properties":{"noteIndex":0},"schema":"https://github.com/citation-style-language/schema/raw/master/csl-citation.json"}</w:instrText>
      </w:r>
      <w:r>
        <w:fldChar w:fldCharType="separate"/>
      </w:r>
      <w:r w:rsidR="001C1788" w:rsidRPr="38F0A9E2">
        <w:rPr>
          <w:noProof/>
        </w:rPr>
        <w:t>(Brown, 2020)</w:t>
      </w:r>
      <w:r>
        <w:fldChar w:fldCharType="end"/>
      </w:r>
      <w:r w:rsidR="001C1788">
        <w:t>.</w:t>
      </w:r>
      <w:r w:rsidR="00CD5E0A">
        <w:t xml:space="preserve"> Finally, participants were asked if they had taken part in </w:t>
      </w:r>
      <w:r w:rsidR="00E04AC0">
        <w:t>the pre-pandemic study</w:t>
      </w:r>
      <w:r w:rsidR="00CD5E0A">
        <w:t>.</w:t>
      </w:r>
      <w:r w:rsidR="00AF3213">
        <w:t xml:space="preserve"> </w:t>
      </w:r>
      <w:r w:rsidR="00FE7ADD">
        <w:t>This question was asked as we planned to compare data on opinions of UA between the current study and our previous study, and we aimed to avoid any overlap in participants.</w:t>
      </w:r>
    </w:p>
    <w:p w14:paraId="0A7DEF89" w14:textId="77777777" w:rsidR="00FE7ADD" w:rsidRDefault="00FE7ADD" w:rsidP="00700AAB">
      <w:pPr>
        <w:spacing w:after="0" w:line="480" w:lineRule="auto"/>
        <w:rPr>
          <w:bCs/>
        </w:rPr>
      </w:pPr>
    </w:p>
    <w:p w14:paraId="6D93C994" w14:textId="2C157B0D" w:rsidR="00700AAB" w:rsidRDefault="002F4BD0" w:rsidP="00700AAB">
      <w:pPr>
        <w:spacing w:after="0" w:line="480" w:lineRule="auto"/>
      </w:pPr>
      <w:r>
        <w:rPr>
          <w:bCs/>
        </w:rPr>
        <w:t xml:space="preserve">A </w:t>
      </w:r>
      <w:r w:rsidR="003B775F">
        <w:rPr>
          <w:bCs/>
        </w:rPr>
        <w:t>d</w:t>
      </w:r>
      <w:r>
        <w:rPr>
          <w:bCs/>
        </w:rPr>
        <w:t>ebrief sheet was displayed at the end of the study, and participants were invited to enter a prize draw to win a £20 shopping voucher as thanks for their time. The survey took approximately ten minutes to complete. The study was approved by the University of Liverpool Research Ethics Committee, ref: 5383.</w:t>
      </w:r>
      <w:r w:rsidR="00700AAB">
        <w:rPr>
          <w:bCs/>
        </w:rPr>
        <w:t xml:space="preserve"> </w:t>
      </w:r>
      <w:r w:rsidR="00700AAB">
        <w:t>All data were collected between 25/03/20 and 07/04/20.</w:t>
      </w:r>
    </w:p>
    <w:p w14:paraId="24DDFAEC" w14:textId="72EFE7A1" w:rsidR="00454E10" w:rsidRDefault="00454E10" w:rsidP="00700AAB">
      <w:pPr>
        <w:spacing w:after="0" w:line="480" w:lineRule="auto"/>
      </w:pPr>
    </w:p>
    <w:p w14:paraId="7895F8A8" w14:textId="4F1E66CE" w:rsidR="00454E10" w:rsidRPr="00896857" w:rsidRDefault="00454E10" w:rsidP="00700AAB">
      <w:pPr>
        <w:spacing w:after="0" w:line="480" w:lineRule="auto"/>
        <w:rPr>
          <w:b/>
          <w:i/>
          <w:iCs/>
        </w:rPr>
      </w:pPr>
      <w:r w:rsidRPr="00896857">
        <w:rPr>
          <w:b/>
          <w:i/>
          <w:iCs/>
        </w:rPr>
        <w:t>Analysis</w:t>
      </w:r>
    </w:p>
    <w:p w14:paraId="19E348F3" w14:textId="5C5AD8CE" w:rsidR="00822724" w:rsidRDefault="00454E10" w:rsidP="00700AAB">
      <w:pPr>
        <w:spacing w:after="0" w:line="480" w:lineRule="auto"/>
        <w:rPr>
          <w:color w:val="000000"/>
          <w:shd w:val="clear" w:color="auto" w:fill="FFFFFF"/>
        </w:rPr>
      </w:pPr>
      <w:r>
        <w:lastRenderedPageBreak/>
        <w:t xml:space="preserve">Data were analysed using SPSS 24 </w:t>
      </w:r>
      <w:r w:rsidR="00500CF6">
        <w:t>(</w:t>
      </w:r>
      <w:r w:rsidR="00500CF6">
        <w:rPr>
          <w:color w:val="000000"/>
          <w:shd w:val="clear" w:color="auto" w:fill="FFFFFF"/>
        </w:rPr>
        <w:t>IBM Corp., Armonk, N</w:t>
      </w:r>
      <w:r w:rsidR="003B775F">
        <w:rPr>
          <w:color w:val="000000"/>
          <w:shd w:val="clear" w:color="auto" w:fill="FFFFFF"/>
        </w:rPr>
        <w:t>ew York</w:t>
      </w:r>
      <w:r w:rsidR="00500CF6">
        <w:rPr>
          <w:color w:val="000000"/>
          <w:shd w:val="clear" w:color="auto" w:fill="FFFFFF"/>
        </w:rPr>
        <w:t>, USA)</w:t>
      </w:r>
      <w:r w:rsidR="007C78B8">
        <w:rPr>
          <w:color w:val="000000"/>
          <w:shd w:val="clear" w:color="auto" w:fill="FFFFFF"/>
        </w:rPr>
        <w:t>.</w:t>
      </w:r>
      <w:r w:rsidR="00E66698">
        <w:rPr>
          <w:color w:val="000000"/>
          <w:shd w:val="clear" w:color="auto" w:fill="FFFFFF"/>
        </w:rPr>
        <w:t xml:space="preserve"> </w:t>
      </w:r>
      <w:r w:rsidR="007C78B8">
        <w:rPr>
          <w:color w:val="000000"/>
          <w:shd w:val="clear" w:color="auto" w:fill="FFFFFF"/>
        </w:rPr>
        <w:t>Scale scores were calculated in accordance with author instructions and as described above. Significance was set a</w:t>
      </w:r>
      <w:r w:rsidR="006E5F27">
        <w:rPr>
          <w:color w:val="000000"/>
          <w:shd w:val="clear" w:color="auto" w:fill="FFFFFF"/>
        </w:rPr>
        <w:t>t</w:t>
      </w:r>
      <w:r w:rsidR="007C78B8">
        <w:rPr>
          <w:color w:val="000000"/>
          <w:shd w:val="clear" w:color="auto" w:fill="FFFFFF"/>
        </w:rPr>
        <w:t xml:space="preserve"> </w:t>
      </w:r>
      <w:r w:rsidR="007C78B8" w:rsidRPr="38F0A9E2">
        <w:rPr>
          <w:i/>
          <w:iCs/>
          <w:color w:val="000000"/>
          <w:shd w:val="clear" w:color="auto" w:fill="FFFFFF"/>
        </w:rPr>
        <w:t>p</w:t>
      </w:r>
      <w:r w:rsidR="007C78B8">
        <w:rPr>
          <w:color w:val="000000"/>
          <w:shd w:val="clear" w:color="auto" w:fill="FFFFFF"/>
        </w:rPr>
        <w:t xml:space="preserve">&lt;.05 for </w:t>
      </w:r>
      <w:r w:rsidR="006D2644">
        <w:rPr>
          <w:color w:val="000000"/>
          <w:shd w:val="clear" w:color="auto" w:fill="FFFFFF"/>
        </w:rPr>
        <w:t xml:space="preserve">statistical tests, except for those where it was adjusted to </w:t>
      </w:r>
      <w:r w:rsidR="006D2644" w:rsidRPr="38F0A9E2">
        <w:rPr>
          <w:i/>
          <w:iCs/>
          <w:color w:val="000000"/>
          <w:shd w:val="clear" w:color="auto" w:fill="FFFFFF"/>
        </w:rPr>
        <w:t>p</w:t>
      </w:r>
      <w:r w:rsidR="006D2644">
        <w:rPr>
          <w:color w:val="000000"/>
          <w:shd w:val="clear" w:color="auto" w:fill="FFFFFF"/>
        </w:rPr>
        <w:t>&lt;.01</w:t>
      </w:r>
      <w:r w:rsidR="00371696">
        <w:rPr>
          <w:color w:val="000000"/>
          <w:shd w:val="clear" w:color="auto" w:fill="FFFFFF"/>
        </w:rPr>
        <w:t xml:space="preserve"> or </w:t>
      </w:r>
      <w:r w:rsidR="00371696" w:rsidRPr="38F0A9E2">
        <w:rPr>
          <w:i/>
          <w:iCs/>
          <w:color w:val="000000"/>
          <w:shd w:val="clear" w:color="auto" w:fill="FFFFFF"/>
        </w:rPr>
        <w:t>p</w:t>
      </w:r>
      <w:r w:rsidR="00371696">
        <w:rPr>
          <w:color w:val="000000"/>
          <w:shd w:val="clear" w:color="auto" w:fill="FFFFFF"/>
        </w:rPr>
        <w:t>&lt;.005</w:t>
      </w:r>
      <w:r w:rsidR="006D2644">
        <w:rPr>
          <w:color w:val="000000"/>
          <w:shd w:val="clear" w:color="auto" w:fill="FFFFFF"/>
        </w:rPr>
        <w:t xml:space="preserve"> to correct for multiple comparisons.</w:t>
      </w:r>
      <w:r w:rsidR="006D2644" w:rsidRPr="006D2644">
        <w:rPr>
          <w:color w:val="000000"/>
          <w:shd w:val="clear" w:color="auto" w:fill="FFFFFF"/>
        </w:rPr>
        <w:t xml:space="preserve"> </w:t>
      </w:r>
      <w:r w:rsidR="006D2644">
        <w:rPr>
          <w:color w:val="000000"/>
          <w:shd w:val="clear" w:color="auto" w:fill="FFFFFF"/>
        </w:rPr>
        <w:t xml:space="preserve">Exploratory mediation analysis was conducted in PROCESS version 3.5 for SPSS </w:t>
      </w:r>
      <w:r w:rsidR="006D2644">
        <w:rPr>
          <w:color w:val="000000"/>
          <w:shd w:val="clear" w:color="auto" w:fill="FFFFFF"/>
        </w:rPr>
        <w:fldChar w:fldCharType="begin" w:fldLock="1"/>
      </w:r>
      <w:r w:rsidR="00212B7E">
        <w:rPr>
          <w:color w:val="000000"/>
          <w:shd w:val="clear" w:color="auto" w:fill="FFFFFF"/>
        </w:rPr>
        <w:instrText>ADDIN CSL_CITATION {"citationItems":[{"id":"ITEM-1","itemData":{"ISBN":"9781609182304","author":[{"dropping-particle":"","family":"Hayes","given":"A F","non-dropping-particle":"","parse-names":false,"suffix":""}],"edition":"2nd editio","id":"ITEM-1","issued":{"date-parts":[["2018"]]},"number-of-pages":"3-4","publisher":"Guilford Press","publisher-place":"New York, NY, USA","title":"Introduction to Mediation, Moderation, and Conditional Process Analysis: A Regession Approach","type":"book"},"uris":["http://www.mendeley.com/documents/?uuid=5a740c1d-19bb-4be0-9df0-f7525eeee970"]}],"mendeley":{"formattedCitation":"(Hayes, 2018)","plainTextFormattedCitation":"(Hayes, 2018)","previouslyFormattedCitation":"(Hayes, 2018)"},"properties":{"noteIndex":0},"schema":"https://github.com/citation-style-language/schema/raw/master/csl-citation.json"}</w:instrText>
      </w:r>
      <w:r w:rsidR="006D2644">
        <w:rPr>
          <w:color w:val="000000"/>
          <w:shd w:val="clear" w:color="auto" w:fill="FFFFFF"/>
        </w:rPr>
        <w:fldChar w:fldCharType="separate"/>
      </w:r>
      <w:r w:rsidR="006D2644" w:rsidRPr="006D2644">
        <w:rPr>
          <w:noProof/>
          <w:color w:val="000000"/>
          <w:shd w:val="clear" w:color="auto" w:fill="FFFFFF"/>
        </w:rPr>
        <w:t>(Hayes, 2018)</w:t>
      </w:r>
      <w:r w:rsidR="006D2644">
        <w:rPr>
          <w:color w:val="000000"/>
          <w:shd w:val="clear" w:color="auto" w:fill="FFFFFF"/>
        </w:rPr>
        <w:fldChar w:fldCharType="end"/>
      </w:r>
      <w:r w:rsidR="006D2644">
        <w:rPr>
          <w:color w:val="000000"/>
          <w:shd w:val="clear" w:color="auto" w:fill="FFFFFF"/>
        </w:rPr>
        <w:t xml:space="preserve"> with bias corrected bootstrapping (1000 samples)</w:t>
      </w:r>
      <w:r w:rsidR="004D3FC7">
        <w:rPr>
          <w:color w:val="000000"/>
          <w:shd w:val="clear" w:color="auto" w:fill="FFFFFF"/>
        </w:rPr>
        <w:t xml:space="preserve"> for analysis of indirect effects</w:t>
      </w:r>
      <w:r w:rsidR="006C621E">
        <w:rPr>
          <w:color w:val="000000"/>
          <w:shd w:val="clear" w:color="auto" w:fill="FFFFFF"/>
        </w:rPr>
        <w:t>, with 95%</w:t>
      </w:r>
      <w:r w:rsidR="006D2644">
        <w:rPr>
          <w:color w:val="000000"/>
          <w:shd w:val="clear" w:color="auto" w:fill="FFFFFF"/>
        </w:rPr>
        <w:t xml:space="preserve"> confidence intervals reported. </w:t>
      </w:r>
    </w:p>
    <w:p w14:paraId="58A58C96" w14:textId="77777777" w:rsidR="00822724" w:rsidRDefault="00822724" w:rsidP="00700AAB">
      <w:pPr>
        <w:spacing w:after="0" w:line="480" w:lineRule="auto"/>
      </w:pPr>
    </w:p>
    <w:p w14:paraId="0187C26F" w14:textId="10A4C43E" w:rsidR="00454E10" w:rsidRDefault="00D7756B" w:rsidP="00700AAB">
      <w:pPr>
        <w:spacing w:after="0" w:line="480" w:lineRule="auto"/>
      </w:pPr>
      <w:r>
        <w:t xml:space="preserve">For analyses that compared participants engaged in home food growing to those who were not engaged in home food growing, we defined </w:t>
      </w:r>
      <w:r w:rsidR="00EA1F42">
        <w:t>G</w:t>
      </w:r>
      <w:r>
        <w:t xml:space="preserve">rowers and </w:t>
      </w:r>
      <w:r w:rsidR="00EA1F42">
        <w:t>N</w:t>
      </w:r>
      <w:r>
        <w:t>on-growers as follows: participants who indicated that growing their own fruit and vegetables was something they</w:t>
      </w:r>
      <w:r w:rsidR="004B547B">
        <w:t xml:space="preserve"> i)</w:t>
      </w:r>
      <w:r>
        <w:t xml:space="preserve"> already do were categorised as </w:t>
      </w:r>
      <w:r w:rsidR="00EA1F42">
        <w:t>G</w:t>
      </w:r>
      <w:r w:rsidR="00B632C7">
        <w:t>rowers</w:t>
      </w:r>
      <w:r w:rsidR="006670D1">
        <w:t>. Participants’</w:t>
      </w:r>
      <w:r w:rsidR="00822724">
        <w:t xml:space="preserve"> d</w:t>
      </w:r>
      <w:r w:rsidR="00B632C7">
        <w:t>ata</w:t>
      </w:r>
      <w:r w:rsidR="006670D1">
        <w:t xml:space="preserve"> was combined and categorised as </w:t>
      </w:r>
      <w:r w:rsidR="00EA1F42">
        <w:t>N</w:t>
      </w:r>
      <w:r w:rsidR="006670D1">
        <w:t>on-</w:t>
      </w:r>
      <w:r w:rsidR="00EA1F42">
        <w:t xml:space="preserve">growers </w:t>
      </w:r>
      <w:r w:rsidR="006670D1">
        <w:t xml:space="preserve">if they indicated any of the following: </w:t>
      </w:r>
      <w:r w:rsidR="00B632C7">
        <w:t xml:space="preserve">that they </w:t>
      </w:r>
      <w:r w:rsidR="008C63F9">
        <w:t>i</w:t>
      </w:r>
      <w:r w:rsidR="004B547B">
        <w:t>i</w:t>
      </w:r>
      <w:r w:rsidR="008C63F9">
        <w:t xml:space="preserve">) </w:t>
      </w:r>
      <w:r w:rsidR="00B632C7">
        <w:t>did not currently grow their own fruits and vegetables but were planning to do</w:t>
      </w:r>
      <w:r w:rsidR="71EEA5B2">
        <w:t>;</w:t>
      </w:r>
      <w:r w:rsidR="00B632C7">
        <w:t xml:space="preserve"> </w:t>
      </w:r>
      <w:r w:rsidR="008C63F9">
        <w:t>ii</w:t>
      </w:r>
      <w:r w:rsidR="004B547B">
        <w:t>i</w:t>
      </w:r>
      <w:r w:rsidR="008C63F9">
        <w:t xml:space="preserve">) </w:t>
      </w:r>
      <w:r w:rsidR="006670D1">
        <w:t xml:space="preserve">were </w:t>
      </w:r>
      <w:r w:rsidR="00B632C7">
        <w:t xml:space="preserve">not planning </w:t>
      </w:r>
      <w:r w:rsidR="006670D1">
        <w:t xml:space="preserve">grow their own fruits and vegetables </w:t>
      </w:r>
      <w:r w:rsidR="00B632C7">
        <w:t xml:space="preserve">to but would consider </w:t>
      </w:r>
      <w:r w:rsidR="006670D1">
        <w:t>doing so</w:t>
      </w:r>
      <w:r w:rsidR="1C54D936">
        <w:t>;</w:t>
      </w:r>
      <w:r w:rsidR="00B632C7">
        <w:t xml:space="preserve"> or </w:t>
      </w:r>
      <w:r w:rsidR="008C63F9">
        <w:t>i</w:t>
      </w:r>
      <w:r w:rsidR="004B547B">
        <w:t>v</w:t>
      </w:r>
      <w:r w:rsidR="008C63F9">
        <w:t xml:space="preserve">) </w:t>
      </w:r>
      <w:r w:rsidR="006670D1">
        <w:t xml:space="preserve">were not planning to grow their own fruits and vegetables </w:t>
      </w:r>
      <w:r w:rsidR="00B632C7">
        <w:t>and would not consider doing</w:t>
      </w:r>
      <w:r w:rsidR="006670D1">
        <w:t xml:space="preserve"> so. </w:t>
      </w:r>
      <w:r w:rsidR="00B632C7">
        <w:t xml:space="preserve">Scores on the FIES and WHO-5 violated the assumption of normality so nonparametric analysis was used to test for differences in food insecurity and well-being between </w:t>
      </w:r>
      <w:r w:rsidR="00EA1F42">
        <w:t>G</w:t>
      </w:r>
      <w:r w:rsidR="00B632C7">
        <w:t xml:space="preserve">rowers and </w:t>
      </w:r>
      <w:r w:rsidR="00EA1F42">
        <w:t>N</w:t>
      </w:r>
      <w:r w:rsidR="00B632C7">
        <w:t>on-growers</w:t>
      </w:r>
      <w:r w:rsidR="007D1239">
        <w:t xml:space="preserve"> (Hypothesis 1 and 2)</w:t>
      </w:r>
      <w:r w:rsidR="00B632C7">
        <w:t>.</w:t>
      </w:r>
      <w:r w:rsidR="007D1239">
        <w:t xml:space="preserve"> A multinomial logistic regression was used to test if participants with greater experience of food insecurity would be more likely to report intentions of engaging in home food growing (Hypothesis 3).</w:t>
      </w:r>
    </w:p>
    <w:p w14:paraId="2E937E47" w14:textId="77777777" w:rsidR="00822724" w:rsidRDefault="00822724" w:rsidP="00700AAB">
      <w:pPr>
        <w:spacing w:after="0" w:line="480" w:lineRule="auto"/>
      </w:pPr>
    </w:p>
    <w:p w14:paraId="4D8B2E3D" w14:textId="51502635" w:rsidR="00822724" w:rsidRPr="00E33E0C" w:rsidRDefault="00822724" w:rsidP="00E33E0C">
      <w:pPr>
        <w:spacing w:after="0" w:line="480" w:lineRule="auto"/>
      </w:pPr>
      <w:r>
        <w:t>Non-directional analyses were conducted to test if opinions of UA had changed from before the COVID-19 pandemic to the early COVID-19 lockdown</w:t>
      </w:r>
      <w:r w:rsidR="005F065B">
        <w:t xml:space="preserve"> (Hypothesis 4)</w:t>
      </w:r>
      <w:r>
        <w:t xml:space="preserve">. </w:t>
      </w:r>
      <w:r w:rsidR="00E33E0C">
        <w:t xml:space="preserve">Responses to the UA </w:t>
      </w:r>
      <w:r w:rsidR="00886B5D">
        <w:t>o</w:t>
      </w:r>
      <w:r w:rsidR="00E33E0C">
        <w:t xml:space="preserve">pinion questions from the current study were compared to responses to the same questions from </w:t>
      </w:r>
      <w:r w:rsidR="00E04AC0">
        <w:t xml:space="preserve">the pre-pandemic study. </w:t>
      </w:r>
      <w:r w:rsidR="00E33E0C">
        <w:t xml:space="preserve">Responses from </w:t>
      </w:r>
      <w:r w:rsidR="00E04AC0">
        <w:t>the pre-pandemic study</w:t>
      </w:r>
      <w:r w:rsidR="00E33E0C">
        <w:t xml:space="preserve"> were collected in summer 2019, before the COVID-19 pandemic began. </w:t>
      </w:r>
      <w:r>
        <w:t>Chi</w:t>
      </w:r>
      <w:r w:rsidR="005C0A30">
        <w:t>-</w:t>
      </w:r>
      <w:r>
        <w:t xml:space="preserve">Square tests were used to </w:t>
      </w:r>
      <w:r w:rsidR="00E33E0C">
        <w:t xml:space="preserve">test for </w:t>
      </w:r>
      <w:r w:rsidR="00AC63B0">
        <w:t>differences</w:t>
      </w:r>
      <w:r w:rsidR="00E33E0C">
        <w:t xml:space="preserve"> between </w:t>
      </w:r>
      <w:r>
        <w:t xml:space="preserve">responses to UA </w:t>
      </w:r>
      <w:r w:rsidR="00886B5D">
        <w:t>o</w:t>
      </w:r>
      <w:r>
        <w:t xml:space="preserve">pinion questions </w:t>
      </w:r>
      <w:r w:rsidR="00E33E0C">
        <w:t xml:space="preserve">and studies (current study; Mead </w:t>
      </w:r>
      <w:r w:rsidR="00D21786" w:rsidRPr="00D21786">
        <w:rPr>
          <w:i/>
          <w:iCs/>
        </w:rPr>
        <w:t>et al</w:t>
      </w:r>
      <w:r w:rsidR="00624AF6">
        <w:t>, 2021</w:t>
      </w:r>
      <w:r w:rsidR="00E33E0C">
        <w:t>)</w:t>
      </w:r>
      <w:r>
        <w:t>.</w:t>
      </w:r>
      <w:r w:rsidR="007807BB">
        <w:t xml:space="preserve"> The significance </w:t>
      </w:r>
      <w:r w:rsidR="007807BB">
        <w:lastRenderedPageBreak/>
        <w:t xml:space="preserve">threshold for these analyses was adjusted to </w:t>
      </w:r>
      <w:r w:rsidR="007807BB">
        <w:rPr>
          <w:i/>
        </w:rPr>
        <w:t>p</w:t>
      </w:r>
      <w:r w:rsidR="007807BB">
        <w:t xml:space="preserve">&lt;.01 to correct for multiple comparisons. An additional exploratory analysis was conducted to assess if responses to UA </w:t>
      </w:r>
      <w:r w:rsidR="00543A5D">
        <w:t>o</w:t>
      </w:r>
      <w:r w:rsidR="007807BB">
        <w:t>pinion questions w</w:t>
      </w:r>
      <w:r w:rsidR="00CC178E">
        <w:t>ere</w:t>
      </w:r>
      <w:r w:rsidR="007807BB">
        <w:t xml:space="preserve"> associated with participants being classed as a </w:t>
      </w:r>
      <w:r w:rsidR="00EA1F42">
        <w:t>G</w:t>
      </w:r>
      <w:r w:rsidR="007807BB">
        <w:t xml:space="preserve">rower or </w:t>
      </w:r>
      <w:r w:rsidR="00EA1F42">
        <w:t>N</w:t>
      </w:r>
      <w:r w:rsidR="007807BB">
        <w:t>on-grower (</w:t>
      </w:r>
      <w:r w:rsidR="007807BB">
        <w:rPr>
          <w:i/>
        </w:rPr>
        <w:t>p</w:t>
      </w:r>
      <w:r w:rsidR="007807BB">
        <w:t xml:space="preserve">&lt;.005 to correct for multiple comparisons).  </w:t>
      </w:r>
      <w:r w:rsidR="00E33E0C">
        <w:t>Significant Chi</w:t>
      </w:r>
      <w:r w:rsidR="005C0A30">
        <w:t>-</w:t>
      </w:r>
      <w:r w:rsidR="00E33E0C">
        <w:t xml:space="preserve">Square tests were explored further by examination of standardised residuals. </w:t>
      </w:r>
    </w:p>
    <w:p w14:paraId="4431F4EB" w14:textId="4B8DABEB" w:rsidR="00C94BB0" w:rsidRDefault="00C94BB0" w:rsidP="002F4BD0">
      <w:pPr>
        <w:spacing w:after="0" w:line="480" w:lineRule="auto"/>
        <w:rPr>
          <w:i/>
          <w:iCs/>
        </w:rPr>
      </w:pPr>
    </w:p>
    <w:p w14:paraId="15093A54" w14:textId="67CA07B9" w:rsidR="00C94BB0" w:rsidRPr="009C3249" w:rsidRDefault="00C94BB0" w:rsidP="002F4BD0">
      <w:pPr>
        <w:spacing w:after="0" w:line="480" w:lineRule="auto"/>
        <w:rPr>
          <w:b/>
          <w:iCs/>
        </w:rPr>
      </w:pPr>
      <w:r w:rsidRPr="009C3249">
        <w:rPr>
          <w:b/>
          <w:iCs/>
        </w:rPr>
        <w:t xml:space="preserve">Results </w:t>
      </w:r>
    </w:p>
    <w:p w14:paraId="23AD8E93" w14:textId="4C972AB5" w:rsidR="00D2481D" w:rsidRPr="00896857" w:rsidRDefault="00D2481D" w:rsidP="002F4BD0">
      <w:pPr>
        <w:spacing w:after="0" w:line="480" w:lineRule="auto"/>
        <w:rPr>
          <w:b/>
          <w:bCs/>
          <w:i/>
        </w:rPr>
      </w:pPr>
      <w:r w:rsidRPr="00896857">
        <w:rPr>
          <w:b/>
          <w:bCs/>
          <w:i/>
        </w:rPr>
        <w:t>Sample</w:t>
      </w:r>
      <w:r w:rsidR="00C94BB0" w:rsidRPr="00896857">
        <w:rPr>
          <w:b/>
          <w:bCs/>
          <w:i/>
        </w:rPr>
        <w:t xml:space="preserve"> characteristics</w:t>
      </w:r>
    </w:p>
    <w:p w14:paraId="79E4D938" w14:textId="3C78D7EE" w:rsidR="00D2481D" w:rsidRDefault="0092614D" w:rsidP="002F4BD0">
      <w:pPr>
        <w:spacing w:after="0" w:line="480" w:lineRule="auto"/>
      </w:pPr>
      <w:r>
        <w:t>In total, 684</w:t>
      </w:r>
      <w:r w:rsidR="00D2481D">
        <w:t xml:space="preserve"> participants entered the survey. </w:t>
      </w:r>
      <w:r w:rsidR="0042656A">
        <w:t>Of these, 523</w:t>
      </w:r>
      <w:r w:rsidR="00D2481D">
        <w:t xml:space="preserve"> participants reached the end of the survey; 161 were excluded due to </w:t>
      </w:r>
      <w:r w:rsidR="008F0F0F">
        <w:t xml:space="preserve">their </w:t>
      </w:r>
      <w:r w:rsidR="00D2481D">
        <w:t xml:space="preserve">only partial </w:t>
      </w:r>
      <w:r w:rsidR="008F0F0F">
        <w:t xml:space="preserve">completion of the </w:t>
      </w:r>
      <w:r w:rsidR="00D2481D">
        <w:t>study or</w:t>
      </w:r>
      <w:r w:rsidR="008F0F0F">
        <w:t xml:space="preserve"> their</w:t>
      </w:r>
      <w:r w:rsidR="00D2481D">
        <w:t xml:space="preserve"> location being outside of the UK. Responses with missing data or where participants failed the attention check were </w:t>
      </w:r>
      <w:r w:rsidR="0073308E">
        <w:t xml:space="preserve">also </w:t>
      </w:r>
      <w:r w:rsidR="00D2481D">
        <w:t>excluded, leaving a final sample of 477 participants.</w:t>
      </w:r>
    </w:p>
    <w:p w14:paraId="36969142" w14:textId="77777777" w:rsidR="00700AAB" w:rsidRDefault="00700AAB" w:rsidP="00700AAB">
      <w:pPr>
        <w:spacing w:after="0" w:line="480" w:lineRule="auto"/>
      </w:pPr>
    </w:p>
    <w:p w14:paraId="27D7856B" w14:textId="1C8F6C2E" w:rsidR="006C04A9" w:rsidRPr="008539BE" w:rsidRDefault="00235E87" w:rsidP="0000322A">
      <w:pPr>
        <w:spacing w:after="0" w:line="480" w:lineRule="auto"/>
        <w:rPr>
          <w:i/>
        </w:rPr>
      </w:pPr>
      <w:r>
        <w:t>Most participants were female (369</w:t>
      </w:r>
      <w:r w:rsidR="008C63F9">
        <w:t>, 77.4%</w:t>
      </w:r>
      <w:r w:rsidR="0073308E">
        <w:t xml:space="preserve"> female</w:t>
      </w:r>
      <w:r>
        <w:t>), White (92%) and employed full time (56.8%)</w:t>
      </w:r>
      <w:r w:rsidR="00487E09">
        <w:t xml:space="preserve"> (Table 1)</w:t>
      </w:r>
      <w:r>
        <w:t>. Participants had an average age of 39.5</w:t>
      </w:r>
      <w:r w:rsidR="009B0BBE">
        <w:t>7</w:t>
      </w:r>
      <w:r>
        <w:t xml:space="preserve"> years (</w:t>
      </w:r>
      <w:proofErr w:type="spellStart"/>
      <w:r>
        <w:rPr>
          <w:i/>
          <w:iCs/>
        </w:rPr>
        <w:t>s.d.</w:t>
      </w:r>
      <w:proofErr w:type="spellEnd"/>
      <w:r>
        <w:t>=13.</w:t>
      </w:r>
      <w:r w:rsidR="009B0BBE">
        <w:t>3</w:t>
      </w:r>
      <w:r>
        <w:t xml:space="preserve">6, </w:t>
      </w:r>
      <w:r>
        <w:rPr>
          <w:i/>
          <w:iCs/>
        </w:rPr>
        <w:t>range</w:t>
      </w:r>
      <w:r>
        <w:t xml:space="preserve"> 18-82</w:t>
      </w:r>
      <w:r w:rsidR="0000322A">
        <w:t xml:space="preserve">). </w:t>
      </w:r>
      <w:r w:rsidR="00700AAB">
        <w:t xml:space="preserve"> </w:t>
      </w:r>
      <w:r w:rsidR="005E2C4C">
        <w:t xml:space="preserve">Mean </w:t>
      </w:r>
      <w:r w:rsidR="00452C29">
        <w:t>b</w:t>
      </w:r>
      <w:r w:rsidR="005E2C4C">
        <w:t xml:space="preserve">ody </w:t>
      </w:r>
      <w:r w:rsidR="00452C29">
        <w:t>m</w:t>
      </w:r>
      <w:r w:rsidR="005E2C4C">
        <w:t xml:space="preserve">ass </w:t>
      </w:r>
      <w:r w:rsidR="00452C29">
        <w:t>i</w:t>
      </w:r>
      <w:r w:rsidR="005E2C4C">
        <w:t>ndex (BMI) was 26.41kg/m</w:t>
      </w:r>
      <w:r w:rsidR="005E2C4C" w:rsidRPr="009B0BBE">
        <w:rPr>
          <w:vertAlign w:val="superscript"/>
        </w:rPr>
        <w:t>2</w:t>
      </w:r>
      <w:r w:rsidR="005E2C4C">
        <w:t xml:space="preserve"> (</w:t>
      </w:r>
      <w:proofErr w:type="spellStart"/>
      <w:r w:rsidR="005E2C4C">
        <w:rPr>
          <w:i/>
        </w:rPr>
        <w:t>s.d.</w:t>
      </w:r>
      <w:proofErr w:type="spellEnd"/>
      <w:r w:rsidR="005E2C4C">
        <w:rPr>
          <w:i/>
        </w:rPr>
        <w:t xml:space="preserve"> </w:t>
      </w:r>
      <w:r w:rsidR="005E2C4C">
        <w:t xml:space="preserve">= 6.15, </w:t>
      </w:r>
      <w:r w:rsidR="005E2C4C" w:rsidRPr="009B0BBE">
        <w:t>range</w:t>
      </w:r>
      <w:r w:rsidR="005E2C4C">
        <w:t xml:space="preserve"> 16.55-57.45). </w:t>
      </w:r>
      <w:r w:rsidR="00487E09">
        <w:t xml:space="preserve">One-hundred and fifty-two participants (31.9%) were already engaged in home food growing (see Table 1). </w:t>
      </w:r>
      <w:r w:rsidR="0000322A" w:rsidRPr="009B0BBE">
        <w:t>Additional</w:t>
      </w:r>
      <w:r w:rsidR="0000322A">
        <w:t xml:space="preserve"> demographic information </w:t>
      </w:r>
      <w:r w:rsidR="00C66853">
        <w:t xml:space="preserve">for the sample </w:t>
      </w:r>
      <w:r w:rsidR="0000322A">
        <w:t>is shown in Table 1</w:t>
      </w:r>
      <w:r w:rsidR="008539BE">
        <w:t xml:space="preserve">. </w:t>
      </w:r>
      <w:r w:rsidR="00487E09">
        <w:t>Across the different categories of grower status, p</w:t>
      </w:r>
      <w:r w:rsidR="00C66853">
        <w:t xml:space="preserve">articipants were well matched for demographic </w:t>
      </w:r>
      <w:r w:rsidR="00E40F6E">
        <w:t>characteristics</w:t>
      </w:r>
      <w:r w:rsidR="008C7642">
        <w:t xml:space="preserve"> (gender, employment status, ethnicity, location within UK)</w:t>
      </w:r>
      <w:r w:rsidR="00486986">
        <w:t>, with the exception of age</w:t>
      </w:r>
      <w:r w:rsidR="00487E09">
        <w:t>;</w:t>
      </w:r>
      <w:r w:rsidR="008F2298">
        <w:t xml:space="preserve"> </w:t>
      </w:r>
      <w:r w:rsidR="00487E09">
        <w:t>p</w:t>
      </w:r>
      <w:r w:rsidR="00486986">
        <w:t>articipants who re</w:t>
      </w:r>
      <w:r w:rsidR="00550CF9">
        <w:t>ported their grower status as i) already</w:t>
      </w:r>
      <w:r w:rsidR="00486986">
        <w:t xml:space="preserve"> engaged in </w:t>
      </w:r>
      <w:r w:rsidR="00920E91">
        <w:t xml:space="preserve">home food growing were </w:t>
      </w:r>
      <w:r w:rsidR="00191EC8">
        <w:t xml:space="preserve">significantly </w:t>
      </w:r>
      <w:r w:rsidR="00920E91">
        <w:t xml:space="preserve">older than those who reported </w:t>
      </w:r>
      <w:r w:rsidR="00550CF9">
        <w:t>their status as iii)</w:t>
      </w:r>
      <w:r w:rsidR="004B547B">
        <w:t xml:space="preserve"> not planning grow their own fruits and vegetables to but would consider doing so</w:t>
      </w:r>
      <w:r w:rsidR="008C7642">
        <w:t xml:space="preserve"> (42.82 years </w:t>
      </w:r>
      <w:r w:rsidR="008C7642">
        <w:rPr>
          <w:rFonts w:cstheme="minorHAnsi"/>
        </w:rPr>
        <w:t>±</w:t>
      </w:r>
      <w:r w:rsidR="008C7642">
        <w:t xml:space="preserve"> 13.73 versus 37.17 years </w:t>
      </w:r>
      <w:r w:rsidR="008C7642">
        <w:rPr>
          <w:rFonts w:cstheme="minorHAnsi"/>
        </w:rPr>
        <w:t>±</w:t>
      </w:r>
      <w:r w:rsidR="008C7642">
        <w:t xml:space="preserve"> 13.13</w:t>
      </w:r>
      <w:r w:rsidR="00694D9B">
        <w:t>,</w:t>
      </w:r>
      <w:r w:rsidR="008C7642">
        <w:t xml:space="preserve"> respectively, </w:t>
      </w:r>
      <w:r w:rsidR="008C7642">
        <w:rPr>
          <w:i/>
        </w:rPr>
        <w:t>p</w:t>
      </w:r>
      <w:r w:rsidR="008C7642">
        <w:t xml:space="preserve"> = .001). Comparison for age between other categories of grower status, and for other demographic variables, were not significant (</w:t>
      </w:r>
      <w:r w:rsidR="008C7642">
        <w:rPr>
          <w:i/>
        </w:rPr>
        <w:t>p</w:t>
      </w:r>
      <w:r w:rsidR="008C7642">
        <w:t xml:space="preserve">&gt;.05). These analyses and a breakdown of demographic information by grower status </w:t>
      </w:r>
      <w:r w:rsidR="007C0470">
        <w:t xml:space="preserve">are shown in the </w:t>
      </w:r>
      <w:r w:rsidR="00091525" w:rsidRPr="00EF52AB">
        <w:t>Extended data</w:t>
      </w:r>
      <w:r w:rsidR="007C0470">
        <w:t xml:space="preserve"> and</w:t>
      </w:r>
      <w:r w:rsidR="008C7642">
        <w:t xml:space="preserve"> Tables S1 and S2</w:t>
      </w:r>
      <w:r w:rsidR="007C0470">
        <w:t>.</w:t>
      </w:r>
      <w:r w:rsidR="008C7642">
        <w:t xml:space="preserve"> </w:t>
      </w:r>
    </w:p>
    <w:p w14:paraId="38A3259F" w14:textId="77777777" w:rsidR="006C04A9" w:rsidRDefault="006C04A9" w:rsidP="0000322A">
      <w:pPr>
        <w:spacing w:after="0" w:line="480" w:lineRule="auto"/>
      </w:pPr>
    </w:p>
    <w:p w14:paraId="2FDC19CF" w14:textId="0D102B16" w:rsidR="00F97CA1" w:rsidRDefault="0000322A" w:rsidP="0000322A">
      <w:pPr>
        <w:spacing w:after="0" w:line="480" w:lineRule="auto"/>
      </w:pPr>
      <w:r>
        <w:t>M</w:t>
      </w:r>
      <w:r w:rsidR="00700AAB">
        <w:t xml:space="preserve">ost </w:t>
      </w:r>
      <w:r>
        <w:t xml:space="preserve">participants </w:t>
      </w:r>
      <w:r w:rsidR="00C94BB0">
        <w:t>reported engaging in some form of COVID-19-related isolation measure</w:t>
      </w:r>
      <w:r>
        <w:t xml:space="preserve">s. </w:t>
      </w:r>
      <w:r w:rsidR="00364419">
        <w:t>Overall</w:t>
      </w:r>
      <w:r w:rsidR="00B251CE">
        <w:t>, 98</w:t>
      </w:r>
      <w:r w:rsidR="006C621E">
        <w:t xml:space="preserve"> </w:t>
      </w:r>
      <w:r>
        <w:t xml:space="preserve">participants </w:t>
      </w:r>
      <w:r w:rsidR="006C621E">
        <w:t xml:space="preserve">(20.5%) </w:t>
      </w:r>
      <w:r>
        <w:t>identified as keyworkers</w:t>
      </w:r>
      <w:r w:rsidR="00364419">
        <w:t>,</w:t>
      </w:r>
      <w:r w:rsidR="006C621E">
        <w:t xml:space="preserve"> </w:t>
      </w:r>
      <w:r w:rsidR="00364419">
        <w:t>267</w:t>
      </w:r>
      <w:r w:rsidR="006C621E">
        <w:t xml:space="preserve"> participants (56%) reported being concerned about their access to food, and 358 participants (75.1%) reported taking extra measures to ensure they had enough food during the pandemic.</w:t>
      </w:r>
      <w:r w:rsidR="00425B80">
        <w:t xml:space="preserve"> </w:t>
      </w:r>
      <w:r w:rsidR="00191EC8">
        <w:t xml:space="preserve">Additional sample </w:t>
      </w:r>
      <w:proofErr w:type="spellStart"/>
      <w:r w:rsidR="00191EC8">
        <w:t>descriptives</w:t>
      </w:r>
      <w:proofErr w:type="spellEnd"/>
      <w:r w:rsidR="00191EC8">
        <w:t xml:space="preserve"> regarding COVID-related questions are shown in </w:t>
      </w:r>
      <w:r w:rsidR="00420078">
        <w:t>the Extended data</w:t>
      </w:r>
      <w:r w:rsidR="00487E09">
        <w:t xml:space="preserve"> (Tables S</w:t>
      </w:r>
      <w:r w:rsidR="00A95AB3">
        <w:t>1-5</w:t>
      </w:r>
      <w:r w:rsidR="00487E09">
        <w:t>)</w:t>
      </w:r>
      <w:r w:rsidR="00191EC8">
        <w:t>.</w:t>
      </w:r>
    </w:p>
    <w:p w14:paraId="3D2DA267" w14:textId="77777777" w:rsidR="0004298F" w:rsidRDefault="0004298F" w:rsidP="00204184">
      <w:pPr>
        <w:spacing w:after="0" w:line="480" w:lineRule="auto"/>
      </w:pPr>
    </w:p>
    <w:p w14:paraId="7A854F57" w14:textId="424C58A0" w:rsidR="00204184" w:rsidRPr="00896857" w:rsidRDefault="00204184" w:rsidP="00204184">
      <w:pPr>
        <w:spacing w:after="0" w:line="480" w:lineRule="auto"/>
        <w:rPr>
          <w:b/>
          <w:bCs/>
        </w:rPr>
      </w:pPr>
      <w:r w:rsidRPr="00896857">
        <w:rPr>
          <w:b/>
          <w:bCs/>
        </w:rPr>
        <w:t>Table 1. Participant characteristics</w:t>
      </w:r>
      <w:r w:rsidR="0004298F" w:rsidRPr="00896857">
        <w:rPr>
          <w:b/>
          <w:bCs/>
        </w:rPr>
        <w:t>, coronavirus isolation status and grower status</w:t>
      </w:r>
      <w:r w:rsidRPr="00896857">
        <w:rPr>
          <w:b/>
          <w:bCs/>
        </w:rPr>
        <w:t>.</w:t>
      </w:r>
    </w:p>
    <w:tbl>
      <w:tblPr>
        <w:tblStyle w:val="TableGrid"/>
        <w:tblW w:w="94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095"/>
        <w:gridCol w:w="661"/>
        <w:gridCol w:w="1164"/>
      </w:tblGrid>
      <w:tr w:rsidR="004C4519" w:rsidRPr="00235E87" w14:paraId="024D8CBB" w14:textId="5C682C42" w:rsidTr="000052BE">
        <w:trPr>
          <w:trHeight w:val="255"/>
        </w:trPr>
        <w:tc>
          <w:tcPr>
            <w:tcW w:w="1560" w:type="dxa"/>
            <w:tcBorders>
              <w:top w:val="single" w:sz="4" w:space="0" w:color="auto"/>
              <w:bottom w:val="single" w:sz="4" w:space="0" w:color="auto"/>
            </w:tcBorders>
          </w:tcPr>
          <w:p w14:paraId="45867227" w14:textId="16BA536D" w:rsidR="004C4519" w:rsidRPr="00896857" w:rsidRDefault="004C4519" w:rsidP="002F4BD0">
            <w:pPr>
              <w:spacing w:line="480" w:lineRule="auto"/>
              <w:rPr>
                <w:b/>
                <w:bCs/>
              </w:rPr>
            </w:pPr>
            <w:r w:rsidRPr="00896857">
              <w:rPr>
                <w:b/>
                <w:bCs/>
              </w:rPr>
              <w:t>Characteristic</w:t>
            </w:r>
          </w:p>
        </w:tc>
        <w:tc>
          <w:tcPr>
            <w:tcW w:w="6095" w:type="dxa"/>
            <w:tcBorders>
              <w:top w:val="single" w:sz="4" w:space="0" w:color="auto"/>
              <w:bottom w:val="single" w:sz="4" w:space="0" w:color="auto"/>
            </w:tcBorders>
          </w:tcPr>
          <w:p w14:paraId="51D61CAE" w14:textId="77777777" w:rsidR="004C4519" w:rsidRPr="00896857" w:rsidRDefault="004C4519" w:rsidP="002F4BD0">
            <w:pPr>
              <w:spacing w:line="480" w:lineRule="auto"/>
              <w:rPr>
                <w:b/>
                <w:bCs/>
              </w:rPr>
            </w:pPr>
          </w:p>
        </w:tc>
        <w:tc>
          <w:tcPr>
            <w:tcW w:w="661" w:type="dxa"/>
            <w:tcBorders>
              <w:top w:val="single" w:sz="4" w:space="0" w:color="auto"/>
              <w:bottom w:val="single" w:sz="4" w:space="0" w:color="auto"/>
            </w:tcBorders>
          </w:tcPr>
          <w:p w14:paraId="1E17293D" w14:textId="411B3967" w:rsidR="004C4519" w:rsidRPr="00896857" w:rsidRDefault="004C4519" w:rsidP="008539BE">
            <w:pPr>
              <w:spacing w:line="480" w:lineRule="auto"/>
              <w:jc w:val="right"/>
              <w:rPr>
                <w:b/>
                <w:bCs/>
                <w:i/>
                <w:iCs/>
              </w:rPr>
            </w:pPr>
            <w:r w:rsidRPr="00896857">
              <w:rPr>
                <w:b/>
                <w:bCs/>
                <w:i/>
                <w:iCs/>
              </w:rPr>
              <w:t>n</w:t>
            </w:r>
          </w:p>
        </w:tc>
        <w:tc>
          <w:tcPr>
            <w:tcW w:w="1164" w:type="dxa"/>
            <w:tcBorders>
              <w:top w:val="single" w:sz="4" w:space="0" w:color="auto"/>
              <w:bottom w:val="single" w:sz="4" w:space="0" w:color="auto"/>
            </w:tcBorders>
          </w:tcPr>
          <w:p w14:paraId="2376CA4D" w14:textId="23BB0A4A" w:rsidR="004C4519" w:rsidRPr="00896857" w:rsidRDefault="00CE1250" w:rsidP="008539BE">
            <w:pPr>
              <w:spacing w:line="480" w:lineRule="auto"/>
              <w:jc w:val="right"/>
              <w:rPr>
                <w:b/>
                <w:bCs/>
                <w:i/>
                <w:iCs/>
              </w:rPr>
            </w:pPr>
            <w:r w:rsidRPr="00896857">
              <w:rPr>
                <w:b/>
                <w:bCs/>
                <w:i/>
                <w:iCs/>
              </w:rPr>
              <w:t>%</w:t>
            </w:r>
          </w:p>
        </w:tc>
      </w:tr>
      <w:tr w:rsidR="004C4519" w:rsidRPr="00235E87" w14:paraId="5BB0ABDC" w14:textId="1F3BBC26" w:rsidTr="000052BE">
        <w:trPr>
          <w:trHeight w:val="537"/>
        </w:trPr>
        <w:tc>
          <w:tcPr>
            <w:tcW w:w="1560" w:type="dxa"/>
            <w:tcBorders>
              <w:top w:val="single" w:sz="4" w:space="0" w:color="auto"/>
              <w:bottom w:val="nil"/>
            </w:tcBorders>
            <w:vAlign w:val="center"/>
          </w:tcPr>
          <w:p w14:paraId="741C94E2" w14:textId="0B65FBFA" w:rsidR="004C4519" w:rsidRPr="00235E87" w:rsidRDefault="004C4519" w:rsidP="002F4BD0">
            <w:pPr>
              <w:spacing w:line="480" w:lineRule="auto"/>
            </w:pPr>
            <w:r w:rsidRPr="00235E87">
              <w:t>Gender</w:t>
            </w:r>
          </w:p>
        </w:tc>
        <w:tc>
          <w:tcPr>
            <w:tcW w:w="6095" w:type="dxa"/>
            <w:tcBorders>
              <w:top w:val="single" w:sz="4" w:space="0" w:color="auto"/>
              <w:bottom w:val="nil"/>
            </w:tcBorders>
            <w:vAlign w:val="center"/>
          </w:tcPr>
          <w:p w14:paraId="07889B39" w14:textId="740ADED1" w:rsidR="004C4519" w:rsidRPr="00235E87" w:rsidRDefault="004C4519" w:rsidP="002F4BD0">
            <w:pPr>
              <w:spacing w:line="480" w:lineRule="auto"/>
            </w:pPr>
            <w:r w:rsidRPr="00235E87">
              <w:t>Female</w:t>
            </w:r>
          </w:p>
        </w:tc>
        <w:tc>
          <w:tcPr>
            <w:tcW w:w="661" w:type="dxa"/>
            <w:tcBorders>
              <w:top w:val="single" w:sz="4" w:space="0" w:color="auto"/>
              <w:bottom w:val="nil"/>
            </w:tcBorders>
            <w:vAlign w:val="center"/>
          </w:tcPr>
          <w:p w14:paraId="1EB7A144" w14:textId="65396D13" w:rsidR="004C4519" w:rsidRPr="00235E87" w:rsidRDefault="004C4519" w:rsidP="009C3249">
            <w:pPr>
              <w:spacing w:line="480" w:lineRule="auto"/>
              <w:jc w:val="right"/>
            </w:pPr>
            <w:r w:rsidRPr="00235E87">
              <w:t>369</w:t>
            </w:r>
          </w:p>
        </w:tc>
        <w:tc>
          <w:tcPr>
            <w:tcW w:w="1164" w:type="dxa"/>
            <w:tcBorders>
              <w:top w:val="single" w:sz="4" w:space="0" w:color="auto"/>
              <w:bottom w:val="nil"/>
            </w:tcBorders>
          </w:tcPr>
          <w:p w14:paraId="51ADBEEB" w14:textId="2FE40868" w:rsidR="004C4519" w:rsidRPr="00235E87" w:rsidRDefault="00CE1250" w:rsidP="009C3249">
            <w:pPr>
              <w:spacing w:line="480" w:lineRule="auto"/>
              <w:jc w:val="right"/>
            </w:pPr>
            <w:r>
              <w:t>77.4</w:t>
            </w:r>
          </w:p>
        </w:tc>
      </w:tr>
      <w:tr w:rsidR="004C4519" w:rsidRPr="00235E87" w14:paraId="1EF13C0A" w14:textId="1182114B" w:rsidTr="000052BE">
        <w:trPr>
          <w:trHeight w:val="537"/>
        </w:trPr>
        <w:tc>
          <w:tcPr>
            <w:tcW w:w="1560" w:type="dxa"/>
            <w:tcBorders>
              <w:top w:val="nil"/>
              <w:bottom w:val="nil"/>
            </w:tcBorders>
            <w:vAlign w:val="center"/>
          </w:tcPr>
          <w:p w14:paraId="23BDF1F6" w14:textId="77777777" w:rsidR="004C4519" w:rsidRPr="00235E87" w:rsidRDefault="004C4519" w:rsidP="002F4BD0">
            <w:pPr>
              <w:spacing w:line="480" w:lineRule="auto"/>
            </w:pPr>
          </w:p>
        </w:tc>
        <w:tc>
          <w:tcPr>
            <w:tcW w:w="6095" w:type="dxa"/>
            <w:tcBorders>
              <w:top w:val="nil"/>
              <w:bottom w:val="nil"/>
            </w:tcBorders>
            <w:vAlign w:val="center"/>
          </w:tcPr>
          <w:p w14:paraId="48F83871" w14:textId="03332DD8" w:rsidR="004C4519" w:rsidRPr="00235E87" w:rsidRDefault="004C4519" w:rsidP="002F4BD0">
            <w:pPr>
              <w:spacing w:line="480" w:lineRule="auto"/>
            </w:pPr>
            <w:r w:rsidRPr="00235E87">
              <w:t>Male</w:t>
            </w:r>
          </w:p>
        </w:tc>
        <w:tc>
          <w:tcPr>
            <w:tcW w:w="661" w:type="dxa"/>
            <w:tcBorders>
              <w:top w:val="nil"/>
              <w:bottom w:val="nil"/>
            </w:tcBorders>
            <w:vAlign w:val="center"/>
          </w:tcPr>
          <w:p w14:paraId="759A2B3A" w14:textId="57CC223D" w:rsidR="004C4519" w:rsidRPr="00235E87" w:rsidRDefault="004C4519" w:rsidP="009C3249">
            <w:pPr>
              <w:spacing w:line="480" w:lineRule="auto"/>
              <w:jc w:val="right"/>
            </w:pPr>
            <w:r w:rsidRPr="00235E87">
              <w:t>105</w:t>
            </w:r>
          </w:p>
        </w:tc>
        <w:tc>
          <w:tcPr>
            <w:tcW w:w="1164" w:type="dxa"/>
            <w:tcBorders>
              <w:top w:val="nil"/>
              <w:bottom w:val="nil"/>
            </w:tcBorders>
          </w:tcPr>
          <w:p w14:paraId="45DE2E81" w14:textId="1C47CE1D" w:rsidR="004C4519" w:rsidRPr="00235E87" w:rsidRDefault="00CE1250" w:rsidP="009C3249">
            <w:pPr>
              <w:spacing w:line="480" w:lineRule="auto"/>
              <w:jc w:val="right"/>
            </w:pPr>
            <w:r>
              <w:t>22.0</w:t>
            </w:r>
          </w:p>
        </w:tc>
      </w:tr>
      <w:tr w:rsidR="004C4519" w:rsidRPr="00235E87" w14:paraId="4B30149D" w14:textId="77AAF6E8" w:rsidTr="000052BE">
        <w:trPr>
          <w:trHeight w:val="537"/>
        </w:trPr>
        <w:tc>
          <w:tcPr>
            <w:tcW w:w="1560" w:type="dxa"/>
            <w:tcBorders>
              <w:top w:val="nil"/>
            </w:tcBorders>
            <w:vAlign w:val="center"/>
          </w:tcPr>
          <w:p w14:paraId="2798FDC3" w14:textId="77777777" w:rsidR="004C4519" w:rsidRPr="00235E87" w:rsidRDefault="004C4519" w:rsidP="002F4BD0">
            <w:pPr>
              <w:spacing w:line="480" w:lineRule="auto"/>
            </w:pPr>
          </w:p>
        </w:tc>
        <w:tc>
          <w:tcPr>
            <w:tcW w:w="6095" w:type="dxa"/>
            <w:tcBorders>
              <w:top w:val="nil"/>
            </w:tcBorders>
            <w:vAlign w:val="center"/>
          </w:tcPr>
          <w:p w14:paraId="334BE92C" w14:textId="45186EDA" w:rsidR="004C4519" w:rsidRPr="00235E87" w:rsidRDefault="004C4519" w:rsidP="002F4BD0">
            <w:pPr>
              <w:spacing w:line="480" w:lineRule="auto"/>
            </w:pPr>
            <w:r w:rsidRPr="00235E87">
              <w:t>Other</w:t>
            </w:r>
          </w:p>
        </w:tc>
        <w:tc>
          <w:tcPr>
            <w:tcW w:w="661" w:type="dxa"/>
            <w:tcBorders>
              <w:top w:val="nil"/>
            </w:tcBorders>
            <w:vAlign w:val="center"/>
          </w:tcPr>
          <w:p w14:paraId="023D13D5" w14:textId="3F4663B1" w:rsidR="004C4519" w:rsidRPr="00235E87" w:rsidRDefault="004C4519" w:rsidP="009C3249">
            <w:pPr>
              <w:spacing w:line="480" w:lineRule="auto"/>
              <w:jc w:val="right"/>
            </w:pPr>
            <w:r w:rsidRPr="00235E87">
              <w:t>3</w:t>
            </w:r>
          </w:p>
        </w:tc>
        <w:tc>
          <w:tcPr>
            <w:tcW w:w="1164" w:type="dxa"/>
            <w:tcBorders>
              <w:top w:val="nil"/>
            </w:tcBorders>
          </w:tcPr>
          <w:p w14:paraId="74CF1FA2" w14:textId="0BA56591" w:rsidR="004C4519" w:rsidRPr="00235E87" w:rsidRDefault="00CE1250" w:rsidP="009C3249">
            <w:pPr>
              <w:spacing w:line="480" w:lineRule="auto"/>
              <w:jc w:val="right"/>
            </w:pPr>
            <w:r>
              <w:t>0.6</w:t>
            </w:r>
          </w:p>
        </w:tc>
      </w:tr>
      <w:tr w:rsidR="004C4519" w:rsidRPr="00235E87" w14:paraId="1F5B3E1B" w14:textId="48FD85B5" w:rsidTr="000052BE">
        <w:trPr>
          <w:trHeight w:val="537"/>
        </w:trPr>
        <w:tc>
          <w:tcPr>
            <w:tcW w:w="1560" w:type="dxa"/>
            <w:vAlign w:val="center"/>
          </w:tcPr>
          <w:p w14:paraId="0E93A780" w14:textId="2ED51013" w:rsidR="004C4519" w:rsidRPr="00235E87" w:rsidRDefault="004C4519" w:rsidP="002F4BD0">
            <w:pPr>
              <w:spacing w:line="480" w:lineRule="auto"/>
            </w:pPr>
            <w:r w:rsidRPr="00235E87">
              <w:t>Location</w:t>
            </w:r>
          </w:p>
        </w:tc>
        <w:tc>
          <w:tcPr>
            <w:tcW w:w="6095" w:type="dxa"/>
            <w:vAlign w:val="center"/>
          </w:tcPr>
          <w:p w14:paraId="518D9285" w14:textId="281812DA" w:rsidR="004C4519" w:rsidRPr="00235E87" w:rsidRDefault="004C4519" w:rsidP="002F4BD0">
            <w:pPr>
              <w:spacing w:line="480" w:lineRule="auto"/>
            </w:pPr>
            <w:r w:rsidRPr="00235E87">
              <w:t>England</w:t>
            </w:r>
          </w:p>
        </w:tc>
        <w:tc>
          <w:tcPr>
            <w:tcW w:w="661" w:type="dxa"/>
            <w:vAlign w:val="center"/>
          </w:tcPr>
          <w:p w14:paraId="3F3ADAEC" w14:textId="155D6126" w:rsidR="004C4519" w:rsidRPr="00235E87" w:rsidRDefault="004C4519" w:rsidP="009C3249">
            <w:pPr>
              <w:spacing w:line="480" w:lineRule="auto"/>
              <w:jc w:val="right"/>
            </w:pPr>
            <w:r w:rsidRPr="00235E87">
              <w:t>379</w:t>
            </w:r>
          </w:p>
        </w:tc>
        <w:tc>
          <w:tcPr>
            <w:tcW w:w="1164" w:type="dxa"/>
          </w:tcPr>
          <w:p w14:paraId="40FF5455" w14:textId="083617CE" w:rsidR="004C4519" w:rsidRPr="00235E87" w:rsidRDefault="00CE1250" w:rsidP="009C3249">
            <w:pPr>
              <w:spacing w:line="480" w:lineRule="auto"/>
              <w:jc w:val="right"/>
            </w:pPr>
            <w:r>
              <w:t>79.5</w:t>
            </w:r>
          </w:p>
        </w:tc>
      </w:tr>
      <w:tr w:rsidR="004C4519" w:rsidRPr="00235E87" w14:paraId="6BCE05C6" w14:textId="1E532A15" w:rsidTr="000052BE">
        <w:trPr>
          <w:trHeight w:val="537"/>
        </w:trPr>
        <w:tc>
          <w:tcPr>
            <w:tcW w:w="1560" w:type="dxa"/>
            <w:vAlign w:val="center"/>
          </w:tcPr>
          <w:p w14:paraId="0A6A6788" w14:textId="77777777" w:rsidR="004C4519" w:rsidRPr="00235E87" w:rsidRDefault="004C4519" w:rsidP="002F4BD0">
            <w:pPr>
              <w:spacing w:line="480" w:lineRule="auto"/>
            </w:pPr>
          </w:p>
        </w:tc>
        <w:tc>
          <w:tcPr>
            <w:tcW w:w="6095" w:type="dxa"/>
            <w:vAlign w:val="center"/>
          </w:tcPr>
          <w:p w14:paraId="2F127817" w14:textId="6CEB76C3" w:rsidR="004C4519" w:rsidRPr="00235E87" w:rsidRDefault="004C4519" w:rsidP="002F4BD0">
            <w:pPr>
              <w:spacing w:line="480" w:lineRule="auto"/>
            </w:pPr>
            <w:r w:rsidRPr="00235E87">
              <w:t>Scotland</w:t>
            </w:r>
          </w:p>
        </w:tc>
        <w:tc>
          <w:tcPr>
            <w:tcW w:w="661" w:type="dxa"/>
            <w:vAlign w:val="center"/>
          </w:tcPr>
          <w:p w14:paraId="7295E038" w14:textId="435622F2" w:rsidR="004C4519" w:rsidRPr="00235E87" w:rsidRDefault="004C4519" w:rsidP="009C3249">
            <w:pPr>
              <w:spacing w:line="480" w:lineRule="auto"/>
              <w:jc w:val="right"/>
            </w:pPr>
            <w:r w:rsidRPr="00235E87">
              <w:t>28</w:t>
            </w:r>
          </w:p>
        </w:tc>
        <w:tc>
          <w:tcPr>
            <w:tcW w:w="1164" w:type="dxa"/>
          </w:tcPr>
          <w:p w14:paraId="77821C00" w14:textId="6B9AD13C" w:rsidR="004C4519" w:rsidRPr="00235E87" w:rsidRDefault="00CE1250" w:rsidP="009C3249">
            <w:pPr>
              <w:spacing w:line="480" w:lineRule="auto"/>
              <w:jc w:val="right"/>
            </w:pPr>
            <w:r>
              <w:t>5.9</w:t>
            </w:r>
          </w:p>
        </w:tc>
      </w:tr>
      <w:tr w:rsidR="004C4519" w:rsidRPr="00235E87" w14:paraId="101588F9" w14:textId="55792AED" w:rsidTr="000052BE">
        <w:trPr>
          <w:trHeight w:val="537"/>
        </w:trPr>
        <w:tc>
          <w:tcPr>
            <w:tcW w:w="1560" w:type="dxa"/>
            <w:vAlign w:val="center"/>
          </w:tcPr>
          <w:p w14:paraId="59C06CB9" w14:textId="77777777" w:rsidR="004C4519" w:rsidRPr="00235E87" w:rsidRDefault="004C4519" w:rsidP="002F4BD0">
            <w:pPr>
              <w:spacing w:line="480" w:lineRule="auto"/>
            </w:pPr>
          </w:p>
        </w:tc>
        <w:tc>
          <w:tcPr>
            <w:tcW w:w="6095" w:type="dxa"/>
            <w:vAlign w:val="center"/>
          </w:tcPr>
          <w:p w14:paraId="4617CF59" w14:textId="737CEAD9" w:rsidR="004C4519" w:rsidRPr="00235E87" w:rsidRDefault="004C4519" w:rsidP="002F4BD0">
            <w:pPr>
              <w:spacing w:line="480" w:lineRule="auto"/>
            </w:pPr>
            <w:r w:rsidRPr="00235E87">
              <w:t>Wales</w:t>
            </w:r>
          </w:p>
        </w:tc>
        <w:tc>
          <w:tcPr>
            <w:tcW w:w="661" w:type="dxa"/>
            <w:vAlign w:val="center"/>
          </w:tcPr>
          <w:p w14:paraId="1A7A5084" w14:textId="1BCA649D" w:rsidR="004C4519" w:rsidRPr="00235E87" w:rsidRDefault="004C4519" w:rsidP="009C3249">
            <w:pPr>
              <w:spacing w:line="480" w:lineRule="auto"/>
              <w:jc w:val="right"/>
            </w:pPr>
            <w:r w:rsidRPr="00235E87">
              <w:t>68</w:t>
            </w:r>
          </w:p>
        </w:tc>
        <w:tc>
          <w:tcPr>
            <w:tcW w:w="1164" w:type="dxa"/>
          </w:tcPr>
          <w:p w14:paraId="2470BAEA" w14:textId="6C4CF218" w:rsidR="004C4519" w:rsidRPr="00235E87" w:rsidRDefault="00CE1250" w:rsidP="009C3249">
            <w:pPr>
              <w:spacing w:line="480" w:lineRule="auto"/>
              <w:jc w:val="right"/>
            </w:pPr>
            <w:r>
              <w:t>14.3</w:t>
            </w:r>
          </w:p>
        </w:tc>
      </w:tr>
      <w:tr w:rsidR="004C4519" w:rsidRPr="00235E87" w14:paraId="55DCFEC8" w14:textId="13BF5D4E" w:rsidTr="000052BE">
        <w:trPr>
          <w:trHeight w:val="537"/>
        </w:trPr>
        <w:tc>
          <w:tcPr>
            <w:tcW w:w="1560" w:type="dxa"/>
            <w:vAlign w:val="center"/>
          </w:tcPr>
          <w:p w14:paraId="25347EBE" w14:textId="77777777" w:rsidR="004C4519" w:rsidRPr="00235E87" w:rsidRDefault="004C4519" w:rsidP="002F4BD0">
            <w:pPr>
              <w:spacing w:line="480" w:lineRule="auto"/>
            </w:pPr>
          </w:p>
        </w:tc>
        <w:tc>
          <w:tcPr>
            <w:tcW w:w="6095" w:type="dxa"/>
            <w:vAlign w:val="center"/>
          </w:tcPr>
          <w:p w14:paraId="69EF0108" w14:textId="3FEE2C88" w:rsidR="004C4519" w:rsidRPr="00235E87" w:rsidRDefault="004C4519" w:rsidP="002F4BD0">
            <w:pPr>
              <w:spacing w:line="480" w:lineRule="auto"/>
            </w:pPr>
            <w:r w:rsidRPr="00235E87">
              <w:t>Northern Ireland</w:t>
            </w:r>
          </w:p>
        </w:tc>
        <w:tc>
          <w:tcPr>
            <w:tcW w:w="661" w:type="dxa"/>
            <w:vAlign w:val="center"/>
          </w:tcPr>
          <w:p w14:paraId="11079116" w14:textId="3E82975A" w:rsidR="004C4519" w:rsidRPr="00235E87" w:rsidRDefault="004C4519" w:rsidP="009C3249">
            <w:pPr>
              <w:spacing w:line="480" w:lineRule="auto"/>
              <w:jc w:val="right"/>
            </w:pPr>
            <w:r w:rsidRPr="00235E87">
              <w:t>2</w:t>
            </w:r>
          </w:p>
        </w:tc>
        <w:tc>
          <w:tcPr>
            <w:tcW w:w="1164" w:type="dxa"/>
          </w:tcPr>
          <w:p w14:paraId="2F6B38F4" w14:textId="0E589645" w:rsidR="004C4519" w:rsidRPr="00235E87" w:rsidRDefault="00CE1250" w:rsidP="009C3249">
            <w:pPr>
              <w:spacing w:line="480" w:lineRule="auto"/>
              <w:jc w:val="right"/>
            </w:pPr>
            <w:r>
              <w:t>0.4</w:t>
            </w:r>
          </w:p>
        </w:tc>
      </w:tr>
      <w:tr w:rsidR="004C4519" w:rsidRPr="00235E87" w14:paraId="5C42D566" w14:textId="3F74A449" w:rsidTr="000052BE">
        <w:trPr>
          <w:trHeight w:val="537"/>
        </w:trPr>
        <w:tc>
          <w:tcPr>
            <w:tcW w:w="1560" w:type="dxa"/>
            <w:vAlign w:val="center"/>
          </w:tcPr>
          <w:p w14:paraId="0CC48A53" w14:textId="4A891151" w:rsidR="004C4519" w:rsidRPr="00235E87" w:rsidRDefault="004C4519" w:rsidP="002F4BD0">
            <w:pPr>
              <w:spacing w:line="480" w:lineRule="auto"/>
            </w:pPr>
            <w:r>
              <w:t>Ethnicity</w:t>
            </w:r>
          </w:p>
        </w:tc>
        <w:tc>
          <w:tcPr>
            <w:tcW w:w="6095" w:type="dxa"/>
            <w:vAlign w:val="center"/>
          </w:tcPr>
          <w:p w14:paraId="6AFB3943" w14:textId="06C616BD" w:rsidR="004C4519" w:rsidRPr="00235E87" w:rsidRDefault="004C4519" w:rsidP="002F4BD0">
            <w:pPr>
              <w:spacing w:line="480" w:lineRule="auto"/>
            </w:pPr>
            <w:r>
              <w:t>Asian/Asian British</w:t>
            </w:r>
          </w:p>
        </w:tc>
        <w:tc>
          <w:tcPr>
            <w:tcW w:w="661" w:type="dxa"/>
            <w:vAlign w:val="center"/>
          </w:tcPr>
          <w:p w14:paraId="42D0B880" w14:textId="7B40E444" w:rsidR="004C4519" w:rsidRPr="00235E87" w:rsidRDefault="004C4519" w:rsidP="009C3249">
            <w:pPr>
              <w:spacing w:line="480" w:lineRule="auto"/>
              <w:jc w:val="right"/>
            </w:pPr>
            <w:r>
              <w:t>12</w:t>
            </w:r>
          </w:p>
        </w:tc>
        <w:tc>
          <w:tcPr>
            <w:tcW w:w="1164" w:type="dxa"/>
          </w:tcPr>
          <w:p w14:paraId="78CF4E78" w14:textId="62B09FCC" w:rsidR="004C4519" w:rsidRDefault="00CE1250" w:rsidP="009C3249">
            <w:pPr>
              <w:spacing w:line="480" w:lineRule="auto"/>
              <w:jc w:val="right"/>
            </w:pPr>
            <w:r>
              <w:t>2.5</w:t>
            </w:r>
          </w:p>
        </w:tc>
      </w:tr>
      <w:tr w:rsidR="004C4519" w:rsidRPr="00235E87" w14:paraId="42308A72" w14:textId="44025C83" w:rsidTr="000052BE">
        <w:trPr>
          <w:trHeight w:val="537"/>
        </w:trPr>
        <w:tc>
          <w:tcPr>
            <w:tcW w:w="1560" w:type="dxa"/>
            <w:vAlign w:val="center"/>
          </w:tcPr>
          <w:p w14:paraId="461BC522" w14:textId="77777777" w:rsidR="004C4519" w:rsidRDefault="004C4519" w:rsidP="002F4BD0">
            <w:pPr>
              <w:spacing w:line="480" w:lineRule="auto"/>
            </w:pPr>
          </w:p>
        </w:tc>
        <w:tc>
          <w:tcPr>
            <w:tcW w:w="6095" w:type="dxa"/>
            <w:vAlign w:val="center"/>
          </w:tcPr>
          <w:p w14:paraId="32668C09" w14:textId="2B048559" w:rsidR="004C4519" w:rsidRDefault="004C4519" w:rsidP="002F4BD0">
            <w:pPr>
              <w:spacing w:line="480" w:lineRule="auto"/>
            </w:pPr>
            <w:r>
              <w:t xml:space="preserve">Black/African/Caribbean/Black British </w:t>
            </w:r>
          </w:p>
        </w:tc>
        <w:tc>
          <w:tcPr>
            <w:tcW w:w="661" w:type="dxa"/>
            <w:vAlign w:val="center"/>
          </w:tcPr>
          <w:p w14:paraId="2316F137" w14:textId="56171573" w:rsidR="004C4519" w:rsidRDefault="004C4519" w:rsidP="009C3249">
            <w:pPr>
              <w:spacing w:line="480" w:lineRule="auto"/>
              <w:jc w:val="right"/>
            </w:pPr>
            <w:r>
              <w:t>2</w:t>
            </w:r>
          </w:p>
        </w:tc>
        <w:tc>
          <w:tcPr>
            <w:tcW w:w="1164" w:type="dxa"/>
          </w:tcPr>
          <w:p w14:paraId="29A3DE70" w14:textId="0E353D0A" w:rsidR="004C4519" w:rsidRDefault="00CE1250" w:rsidP="009C3249">
            <w:pPr>
              <w:spacing w:line="480" w:lineRule="auto"/>
              <w:jc w:val="right"/>
            </w:pPr>
            <w:r>
              <w:t>0.4</w:t>
            </w:r>
          </w:p>
        </w:tc>
      </w:tr>
      <w:tr w:rsidR="004C4519" w:rsidRPr="00235E87" w14:paraId="160D40CC" w14:textId="0E994828" w:rsidTr="000052BE">
        <w:trPr>
          <w:trHeight w:val="537"/>
        </w:trPr>
        <w:tc>
          <w:tcPr>
            <w:tcW w:w="1560" w:type="dxa"/>
            <w:vAlign w:val="center"/>
          </w:tcPr>
          <w:p w14:paraId="647D939E" w14:textId="77777777" w:rsidR="004C4519" w:rsidRDefault="004C4519" w:rsidP="002F4BD0">
            <w:pPr>
              <w:spacing w:line="480" w:lineRule="auto"/>
            </w:pPr>
          </w:p>
        </w:tc>
        <w:tc>
          <w:tcPr>
            <w:tcW w:w="6095" w:type="dxa"/>
            <w:vAlign w:val="center"/>
          </w:tcPr>
          <w:p w14:paraId="40950218" w14:textId="677C6419" w:rsidR="004C4519" w:rsidRDefault="004C4519" w:rsidP="002F4BD0">
            <w:pPr>
              <w:spacing w:line="480" w:lineRule="auto"/>
            </w:pPr>
            <w:r>
              <w:t>Mixed/Multiple Ethnic Groups</w:t>
            </w:r>
          </w:p>
        </w:tc>
        <w:tc>
          <w:tcPr>
            <w:tcW w:w="661" w:type="dxa"/>
            <w:vAlign w:val="center"/>
          </w:tcPr>
          <w:p w14:paraId="2F7E2990" w14:textId="0529B216" w:rsidR="004C4519" w:rsidRDefault="004C4519" w:rsidP="009C3249">
            <w:pPr>
              <w:spacing w:line="480" w:lineRule="auto"/>
              <w:jc w:val="right"/>
            </w:pPr>
            <w:r>
              <w:t>12</w:t>
            </w:r>
          </w:p>
        </w:tc>
        <w:tc>
          <w:tcPr>
            <w:tcW w:w="1164" w:type="dxa"/>
          </w:tcPr>
          <w:p w14:paraId="2971D55D" w14:textId="1E4D167D" w:rsidR="004C4519" w:rsidRDefault="00CE1250" w:rsidP="009C3249">
            <w:pPr>
              <w:spacing w:line="480" w:lineRule="auto"/>
              <w:jc w:val="right"/>
            </w:pPr>
            <w:r>
              <w:t>2.5</w:t>
            </w:r>
          </w:p>
        </w:tc>
      </w:tr>
      <w:tr w:rsidR="004C4519" w:rsidRPr="00235E87" w14:paraId="6B2F8567" w14:textId="0F13186B" w:rsidTr="000052BE">
        <w:trPr>
          <w:trHeight w:val="537"/>
        </w:trPr>
        <w:tc>
          <w:tcPr>
            <w:tcW w:w="1560" w:type="dxa"/>
            <w:vAlign w:val="center"/>
          </w:tcPr>
          <w:p w14:paraId="5A0E9EBD" w14:textId="77777777" w:rsidR="004C4519" w:rsidRDefault="004C4519" w:rsidP="002F4BD0">
            <w:pPr>
              <w:spacing w:line="480" w:lineRule="auto"/>
            </w:pPr>
          </w:p>
        </w:tc>
        <w:tc>
          <w:tcPr>
            <w:tcW w:w="6095" w:type="dxa"/>
            <w:vAlign w:val="center"/>
          </w:tcPr>
          <w:p w14:paraId="7DEC93D8" w14:textId="12D2D4CA" w:rsidR="004C4519" w:rsidRDefault="004C4519" w:rsidP="002F4BD0">
            <w:pPr>
              <w:spacing w:line="480" w:lineRule="auto"/>
            </w:pPr>
            <w:r>
              <w:t>Other</w:t>
            </w:r>
          </w:p>
        </w:tc>
        <w:tc>
          <w:tcPr>
            <w:tcW w:w="661" w:type="dxa"/>
            <w:vAlign w:val="center"/>
          </w:tcPr>
          <w:p w14:paraId="77F0C7D7" w14:textId="3D3A0673" w:rsidR="004C4519" w:rsidRDefault="004C4519" w:rsidP="009C3249">
            <w:pPr>
              <w:spacing w:line="480" w:lineRule="auto"/>
              <w:jc w:val="right"/>
            </w:pPr>
            <w:r>
              <w:t>6</w:t>
            </w:r>
          </w:p>
        </w:tc>
        <w:tc>
          <w:tcPr>
            <w:tcW w:w="1164" w:type="dxa"/>
          </w:tcPr>
          <w:p w14:paraId="6A9C8D39" w14:textId="55CF3F2F" w:rsidR="004C4519" w:rsidRDefault="00CE1250" w:rsidP="009C3249">
            <w:pPr>
              <w:spacing w:line="480" w:lineRule="auto"/>
              <w:jc w:val="right"/>
            </w:pPr>
            <w:r>
              <w:t>1.3</w:t>
            </w:r>
          </w:p>
        </w:tc>
      </w:tr>
      <w:tr w:rsidR="004C4519" w:rsidRPr="00235E87" w14:paraId="04014C9C" w14:textId="12E2A112" w:rsidTr="000052BE">
        <w:trPr>
          <w:trHeight w:val="537"/>
        </w:trPr>
        <w:tc>
          <w:tcPr>
            <w:tcW w:w="1560" w:type="dxa"/>
            <w:vAlign w:val="center"/>
          </w:tcPr>
          <w:p w14:paraId="6628C6F1" w14:textId="77777777" w:rsidR="004C4519" w:rsidRDefault="004C4519" w:rsidP="002F4BD0">
            <w:pPr>
              <w:spacing w:line="480" w:lineRule="auto"/>
            </w:pPr>
          </w:p>
        </w:tc>
        <w:tc>
          <w:tcPr>
            <w:tcW w:w="6095" w:type="dxa"/>
            <w:vAlign w:val="center"/>
          </w:tcPr>
          <w:p w14:paraId="4564FC8B" w14:textId="7FE7DDC6" w:rsidR="004C4519" w:rsidRDefault="004C4519" w:rsidP="002F4BD0">
            <w:pPr>
              <w:spacing w:line="480" w:lineRule="auto"/>
            </w:pPr>
            <w:r>
              <w:t xml:space="preserve">White </w:t>
            </w:r>
          </w:p>
        </w:tc>
        <w:tc>
          <w:tcPr>
            <w:tcW w:w="661" w:type="dxa"/>
            <w:vAlign w:val="center"/>
          </w:tcPr>
          <w:p w14:paraId="4E39370A" w14:textId="5A960324" w:rsidR="004C4519" w:rsidRDefault="004C4519" w:rsidP="009C3249">
            <w:pPr>
              <w:spacing w:line="480" w:lineRule="auto"/>
              <w:jc w:val="right"/>
            </w:pPr>
            <w:r>
              <w:t>439</w:t>
            </w:r>
          </w:p>
        </w:tc>
        <w:tc>
          <w:tcPr>
            <w:tcW w:w="1164" w:type="dxa"/>
          </w:tcPr>
          <w:p w14:paraId="1B49EF75" w14:textId="44AEE15D" w:rsidR="004C4519" w:rsidRDefault="00CE1250" w:rsidP="009C3249">
            <w:pPr>
              <w:spacing w:line="480" w:lineRule="auto"/>
              <w:jc w:val="right"/>
            </w:pPr>
            <w:r>
              <w:t>92.0</w:t>
            </w:r>
          </w:p>
        </w:tc>
      </w:tr>
      <w:tr w:rsidR="004C4519" w:rsidRPr="00235E87" w14:paraId="12B6DA85" w14:textId="7E740CA7" w:rsidTr="000052BE">
        <w:trPr>
          <w:trHeight w:val="537"/>
        </w:trPr>
        <w:tc>
          <w:tcPr>
            <w:tcW w:w="1560" w:type="dxa"/>
            <w:vAlign w:val="center"/>
          </w:tcPr>
          <w:p w14:paraId="5F30C2E7" w14:textId="77777777" w:rsidR="004C4519" w:rsidRDefault="004C4519" w:rsidP="002F4BD0">
            <w:pPr>
              <w:spacing w:line="480" w:lineRule="auto"/>
            </w:pPr>
          </w:p>
        </w:tc>
        <w:tc>
          <w:tcPr>
            <w:tcW w:w="6095" w:type="dxa"/>
            <w:vAlign w:val="center"/>
          </w:tcPr>
          <w:p w14:paraId="6CB20A42" w14:textId="047730FA" w:rsidR="004C4519" w:rsidRDefault="004C4519" w:rsidP="002F4BD0">
            <w:pPr>
              <w:spacing w:line="480" w:lineRule="auto"/>
            </w:pPr>
            <w:r>
              <w:t>Prefer not to answer</w:t>
            </w:r>
          </w:p>
        </w:tc>
        <w:tc>
          <w:tcPr>
            <w:tcW w:w="661" w:type="dxa"/>
            <w:vAlign w:val="center"/>
          </w:tcPr>
          <w:p w14:paraId="054066DD" w14:textId="6B9E94D3" w:rsidR="004C4519" w:rsidRDefault="004C4519" w:rsidP="009C3249">
            <w:pPr>
              <w:spacing w:line="480" w:lineRule="auto"/>
              <w:jc w:val="right"/>
            </w:pPr>
            <w:r>
              <w:t>6</w:t>
            </w:r>
          </w:p>
        </w:tc>
        <w:tc>
          <w:tcPr>
            <w:tcW w:w="1164" w:type="dxa"/>
          </w:tcPr>
          <w:p w14:paraId="451668DD" w14:textId="067238EA" w:rsidR="004C4519" w:rsidRDefault="00CE1250" w:rsidP="009C3249">
            <w:pPr>
              <w:spacing w:line="480" w:lineRule="auto"/>
              <w:jc w:val="right"/>
            </w:pPr>
            <w:r>
              <w:t>1.3</w:t>
            </w:r>
          </w:p>
        </w:tc>
      </w:tr>
      <w:tr w:rsidR="0004298F" w:rsidRPr="00235E87" w14:paraId="527E3D29" w14:textId="07C1CC6B" w:rsidTr="000052BE">
        <w:trPr>
          <w:trHeight w:val="537"/>
        </w:trPr>
        <w:tc>
          <w:tcPr>
            <w:tcW w:w="1560" w:type="dxa"/>
            <w:vMerge w:val="restart"/>
          </w:tcPr>
          <w:p w14:paraId="66CDDAB2" w14:textId="4CDC642C" w:rsidR="0004298F" w:rsidRDefault="0004298F" w:rsidP="000052BE">
            <w:pPr>
              <w:spacing w:line="480" w:lineRule="auto"/>
            </w:pPr>
            <w:r>
              <w:t>Employment Status</w:t>
            </w:r>
          </w:p>
        </w:tc>
        <w:tc>
          <w:tcPr>
            <w:tcW w:w="6095" w:type="dxa"/>
            <w:vAlign w:val="center"/>
          </w:tcPr>
          <w:p w14:paraId="024BD967" w14:textId="4CE82460" w:rsidR="0004298F" w:rsidRDefault="0004298F" w:rsidP="002F4BD0">
            <w:pPr>
              <w:spacing w:line="480" w:lineRule="auto"/>
            </w:pPr>
            <w:r>
              <w:t>Employed full-time</w:t>
            </w:r>
          </w:p>
        </w:tc>
        <w:tc>
          <w:tcPr>
            <w:tcW w:w="661" w:type="dxa"/>
            <w:vAlign w:val="center"/>
          </w:tcPr>
          <w:p w14:paraId="32DFE5C3" w14:textId="600E487C" w:rsidR="0004298F" w:rsidRDefault="0004298F" w:rsidP="009C3249">
            <w:pPr>
              <w:spacing w:line="480" w:lineRule="auto"/>
              <w:jc w:val="right"/>
            </w:pPr>
            <w:r>
              <w:t>271</w:t>
            </w:r>
          </w:p>
        </w:tc>
        <w:tc>
          <w:tcPr>
            <w:tcW w:w="1164" w:type="dxa"/>
          </w:tcPr>
          <w:p w14:paraId="30CBC817" w14:textId="65C1BE3E" w:rsidR="0004298F" w:rsidRDefault="0004298F" w:rsidP="009C3249">
            <w:pPr>
              <w:spacing w:line="480" w:lineRule="auto"/>
              <w:jc w:val="right"/>
            </w:pPr>
            <w:r>
              <w:t>56.8</w:t>
            </w:r>
          </w:p>
        </w:tc>
      </w:tr>
      <w:tr w:rsidR="0004298F" w:rsidRPr="00235E87" w14:paraId="61BD17DC" w14:textId="14C7DC12" w:rsidTr="000052BE">
        <w:trPr>
          <w:trHeight w:val="537"/>
        </w:trPr>
        <w:tc>
          <w:tcPr>
            <w:tcW w:w="1560" w:type="dxa"/>
            <w:vMerge/>
            <w:vAlign w:val="center"/>
          </w:tcPr>
          <w:p w14:paraId="173F8EE7" w14:textId="77777777" w:rsidR="0004298F" w:rsidRDefault="0004298F" w:rsidP="002F4BD0">
            <w:pPr>
              <w:spacing w:line="480" w:lineRule="auto"/>
            </w:pPr>
          </w:p>
        </w:tc>
        <w:tc>
          <w:tcPr>
            <w:tcW w:w="6095" w:type="dxa"/>
            <w:vAlign w:val="center"/>
          </w:tcPr>
          <w:p w14:paraId="7C59EE82" w14:textId="7DD0719A" w:rsidR="0004298F" w:rsidRDefault="0004298F" w:rsidP="002F4BD0">
            <w:pPr>
              <w:spacing w:line="480" w:lineRule="auto"/>
            </w:pPr>
            <w:r>
              <w:t>Employed part-time</w:t>
            </w:r>
          </w:p>
        </w:tc>
        <w:tc>
          <w:tcPr>
            <w:tcW w:w="661" w:type="dxa"/>
            <w:vAlign w:val="center"/>
          </w:tcPr>
          <w:p w14:paraId="211FF314" w14:textId="227C4F3F" w:rsidR="0004298F" w:rsidRDefault="0004298F" w:rsidP="009C3249">
            <w:pPr>
              <w:spacing w:line="480" w:lineRule="auto"/>
              <w:jc w:val="right"/>
            </w:pPr>
            <w:r>
              <w:t>74</w:t>
            </w:r>
          </w:p>
        </w:tc>
        <w:tc>
          <w:tcPr>
            <w:tcW w:w="1164" w:type="dxa"/>
          </w:tcPr>
          <w:p w14:paraId="52525D7A" w14:textId="297B8D64" w:rsidR="0004298F" w:rsidRDefault="0004298F" w:rsidP="009C3249">
            <w:pPr>
              <w:spacing w:line="480" w:lineRule="auto"/>
              <w:jc w:val="right"/>
            </w:pPr>
            <w:r>
              <w:t>15.5</w:t>
            </w:r>
          </w:p>
        </w:tc>
      </w:tr>
      <w:tr w:rsidR="0004298F" w:rsidRPr="00235E87" w14:paraId="182AD66F" w14:textId="3CD90157" w:rsidTr="000052BE">
        <w:trPr>
          <w:trHeight w:val="537"/>
        </w:trPr>
        <w:tc>
          <w:tcPr>
            <w:tcW w:w="1560" w:type="dxa"/>
            <w:vMerge/>
            <w:vAlign w:val="center"/>
          </w:tcPr>
          <w:p w14:paraId="4DB8665E" w14:textId="77777777" w:rsidR="0004298F" w:rsidRDefault="0004298F" w:rsidP="002F4BD0">
            <w:pPr>
              <w:spacing w:line="480" w:lineRule="auto"/>
            </w:pPr>
          </w:p>
        </w:tc>
        <w:tc>
          <w:tcPr>
            <w:tcW w:w="6095" w:type="dxa"/>
            <w:vAlign w:val="center"/>
          </w:tcPr>
          <w:p w14:paraId="363C0854" w14:textId="20ECCE16" w:rsidR="0004298F" w:rsidRDefault="0004298F" w:rsidP="002F4BD0">
            <w:pPr>
              <w:spacing w:line="480" w:lineRule="auto"/>
            </w:pPr>
            <w:r>
              <w:t>Unemployed and looking for work</w:t>
            </w:r>
          </w:p>
        </w:tc>
        <w:tc>
          <w:tcPr>
            <w:tcW w:w="661" w:type="dxa"/>
            <w:vAlign w:val="center"/>
          </w:tcPr>
          <w:p w14:paraId="381852BC" w14:textId="37AADFE2" w:rsidR="0004298F" w:rsidRDefault="0004298F" w:rsidP="009C3249">
            <w:pPr>
              <w:spacing w:line="480" w:lineRule="auto"/>
              <w:jc w:val="right"/>
            </w:pPr>
            <w:r>
              <w:t>7</w:t>
            </w:r>
          </w:p>
        </w:tc>
        <w:tc>
          <w:tcPr>
            <w:tcW w:w="1164" w:type="dxa"/>
          </w:tcPr>
          <w:p w14:paraId="6C152F49" w14:textId="616D1C36" w:rsidR="0004298F" w:rsidRDefault="0004298F" w:rsidP="009C3249">
            <w:pPr>
              <w:spacing w:line="480" w:lineRule="auto"/>
              <w:jc w:val="right"/>
            </w:pPr>
            <w:r>
              <w:t>1.5</w:t>
            </w:r>
          </w:p>
        </w:tc>
      </w:tr>
      <w:tr w:rsidR="004C4519" w:rsidRPr="00235E87" w14:paraId="33CA3A73" w14:textId="03C3E4B5" w:rsidTr="000052BE">
        <w:trPr>
          <w:trHeight w:val="537"/>
        </w:trPr>
        <w:tc>
          <w:tcPr>
            <w:tcW w:w="1560" w:type="dxa"/>
            <w:vAlign w:val="center"/>
          </w:tcPr>
          <w:p w14:paraId="04C2575C" w14:textId="77777777" w:rsidR="004C4519" w:rsidRDefault="004C4519" w:rsidP="002F4BD0">
            <w:pPr>
              <w:spacing w:line="480" w:lineRule="auto"/>
            </w:pPr>
          </w:p>
        </w:tc>
        <w:tc>
          <w:tcPr>
            <w:tcW w:w="6095" w:type="dxa"/>
            <w:vAlign w:val="center"/>
          </w:tcPr>
          <w:p w14:paraId="2E9E04B8" w14:textId="780DDF03" w:rsidR="004C4519" w:rsidRDefault="004C4519" w:rsidP="002F4BD0">
            <w:pPr>
              <w:spacing w:line="480" w:lineRule="auto"/>
            </w:pPr>
            <w:r>
              <w:t>Unemployed and not looking for work</w:t>
            </w:r>
          </w:p>
        </w:tc>
        <w:tc>
          <w:tcPr>
            <w:tcW w:w="661" w:type="dxa"/>
            <w:vAlign w:val="center"/>
          </w:tcPr>
          <w:p w14:paraId="7F27C555" w14:textId="47317E89" w:rsidR="004C4519" w:rsidRDefault="004C4519" w:rsidP="009C3249">
            <w:pPr>
              <w:spacing w:line="480" w:lineRule="auto"/>
              <w:jc w:val="right"/>
            </w:pPr>
            <w:r>
              <w:t>5</w:t>
            </w:r>
          </w:p>
        </w:tc>
        <w:tc>
          <w:tcPr>
            <w:tcW w:w="1164" w:type="dxa"/>
          </w:tcPr>
          <w:p w14:paraId="0D299780" w14:textId="27E43F96" w:rsidR="004C4519" w:rsidRDefault="00CE1250" w:rsidP="009C3249">
            <w:pPr>
              <w:spacing w:line="480" w:lineRule="auto"/>
              <w:jc w:val="right"/>
            </w:pPr>
            <w:r>
              <w:t>1.0</w:t>
            </w:r>
          </w:p>
        </w:tc>
      </w:tr>
      <w:tr w:rsidR="004C4519" w:rsidRPr="00235E87" w14:paraId="5B1FD714" w14:textId="0FA5AF44" w:rsidTr="000052BE">
        <w:trPr>
          <w:trHeight w:val="537"/>
        </w:trPr>
        <w:tc>
          <w:tcPr>
            <w:tcW w:w="1560" w:type="dxa"/>
            <w:tcBorders>
              <w:bottom w:val="nil"/>
            </w:tcBorders>
            <w:vAlign w:val="center"/>
          </w:tcPr>
          <w:p w14:paraId="4369D727" w14:textId="77777777" w:rsidR="004C4519" w:rsidRDefault="004C4519" w:rsidP="002F4BD0">
            <w:pPr>
              <w:spacing w:line="480" w:lineRule="auto"/>
            </w:pPr>
          </w:p>
        </w:tc>
        <w:tc>
          <w:tcPr>
            <w:tcW w:w="6095" w:type="dxa"/>
            <w:tcBorders>
              <w:bottom w:val="nil"/>
            </w:tcBorders>
            <w:vAlign w:val="center"/>
          </w:tcPr>
          <w:p w14:paraId="4E6FC24B" w14:textId="5415B197" w:rsidR="004C4519" w:rsidRDefault="004C4519" w:rsidP="002F4BD0">
            <w:pPr>
              <w:spacing w:line="480" w:lineRule="auto"/>
            </w:pPr>
            <w:r>
              <w:t>Retired</w:t>
            </w:r>
          </w:p>
        </w:tc>
        <w:tc>
          <w:tcPr>
            <w:tcW w:w="661" w:type="dxa"/>
            <w:tcBorders>
              <w:bottom w:val="nil"/>
            </w:tcBorders>
            <w:vAlign w:val="center"/>
          </w:tcPr>
          <w:p w14:paraId="307D89E5" w14:textId="56F7DA00" w:rsidR="004C4519" w:rsidRDefault="004C4519" w:rsidP="009C3249">
            <w:pPr>
              <w:spacing w:line="480" w:lineRule="auto"/>
              <w:jc w:val="right"/>
            </w:pPr>
            <w:r>
              <w:t>25</w:t>
            </w:r>
          </w:p>
        </w:tc>
        <w:tc>
          <w:tcPr>
            <w:tcW w:w="1164" w:type="dxa"/>
            <w:tcBorders>
              <w:bottom w:val="nil"/>
            </w:tcBorders>
          </w:tcPr>
          <w:p w14:paraId="62418C28" w14:textId="210438D2" w:rsidR="004C4519" w:rsidRDefault="00CE1250" w:rsidP="009C3249">
            <w:pPr>
              <w:spacing w:line="480" w:lineRule="auto"/>
              <w:jc w:val="right"/>
            </w:pPr>
            <w:r>
              <w:t>5.2</w:t>
            </w:r>
          </w:p>
        </w:tc>
      </w:tr>
      <w:tr w:rsidR="004C4519" w:rsidRPr="00235E87" w14:paraId="2E1477C4" w14:textId="07AACD2D" w:rsidTr="000052BE">
        <w:trPr>
          <w:trHeight w:val="537"/>
        </w:trPr>
        <w:tc>
          <w:tcPr>
            <w:tcW w:w="1560" w:type="dxa"/>
            <w:tcBorders>
              <w:top w:val="nil"/>
              <w:left w:val="nil"/>
              <w:bottom w:val="nil"/>
              <w:right w:val="nil"/>
            </w:tcBorders>
            <w:vAlign w:val="center"/>
          </w:tcPr>
          <w:p w14:paraId="6F72F44A" w14:textId="77777777" w:rsidR="004C4519" w:rsidRDefault="004C4519" w:rsidP="002F4BD0">
            <w:pPr>
              <w:spacing w:line="480" w:lineRule="auto"/>
            </w:pPr>
          </w:p>
        </w:tc>
        <w:tc>
          <w:tcPr>
            <w:tcW w:w="6095" w:type="dxa"/>
            <w:tcBorders>
              <w:top w:val="nil"/>
              <w:left w:val="nil"/>
              <w:bottom w:val="nil"/>
              <w:right w:val="nil"/>
            </w:tcBorders>
            <w:vAlign w:val="center"/>
          </w:tcPr>
          <w:p w14:paraId="2812B518" w14:textId="0803F3D5" w:rsidR="004C4519" w:rsidRDefault="004C4519" w:rsidP="002F4BD0">
            <w:pPr>
              <w:spacing w:line="480" w:lineRule="auto"/>
            </w:pPr>
            <w:r>
              <w:t>Student</w:t>
            </w:r>
          </w:p>
        </w:tc>
        <w:tc>
          <w:tcPr>
            <w:tcW w:w="661" w:type="dxa"/>
            <w:tcBorders>
              <w:top w:val="nil"/>
              <w:left w:val="nil"/>
              <w:bottom w:val="nil"/>
              <w:right w:val="nil"/>
            </w:tcBorders>
            <w:vAlign w:val="center"/>
          </w:tcPr>
          <w:p w14:paraId="70BA1715" w14:textId="19C2B1FA" w:rsidR="004C4519" w:rsidRDefault="004C4519" w:rsidP="009C3249">
            <w:pPr>
              <w:spacing w:line="480" w:lineRule="auto"/>
              <w:jc w:val="right"/>
            </w:pPr>
            <w:r>
              <w:t>52</w:t>
            </w:r>
          </w:p>
        </w:tc>
        <w:tc>
          <w:tcPr>
            <w:tcW w:w="1164" w:type="dxa"/>
            <w:tcBorders>
              <w:top w:val="nil"/>
              <w:left w:val="nil"/>
              <w:bottom w:val="nil"/>
              <w:right w:val="nil"/>
            </w:tcBorders>
          </w:tcPr>
          <w:p w14:paraId="3E8DE761" w14:textId="7D5FC0BA" w:rsidR="004C4519" w:rsidRDefault="00CE1250" w:rsidP="009C3249">
            <w:pPr>
              <w:spacing w:line="480" w:lineRule="auto"/>
              <w:jc w:val="right"/>
            </w:pPr>
            <w:r>
              <w:t>10.9</w:t>
            </w:r>
          </w:p>
        </w:tc>
      </w:tr>
      <w:tr w:rsidR="004C4519" w:rsidRPr="00235E87" w14:paraId="78A13E7D" w14:textId="64F23845" w:rsidTr="000052BE">
        <w:trPr>
          <w:trHeight w:val="537"/>
        </w:trPr>
        <w:tc>
          <w:tcPr>
            <w:tcW w:w="1560" w:type="dxa"/>
            <w:tcBorders>
              <w:top w:val="nil"/>
              <w:left w:val="nil"/>
              <w:bottom w:val="nil"/>
              <w:right w:val="nil"/>
            </w:tcBorders>
            <w:vAlign w:val="center"/>
          </w:tcPr>
          <w:p w14:paraId="609A0459" w14:textId="77777777" w:rsidR="004C4519" w:rsidRDefault="004C4519" w:rsidP="002F4BD0">
            <w:pPr>
              <w:spacing w:line="480" w:lineRule="auto"/>
            </w:pPr>
          </w:p>
        </w:tc>
        <w:tc>
          <w:tcPr>
            <w:tcW w:w="6095" w:type="dxa"/>
            <w:tcBorders>
              <w:top w:val="nil"/>
              <w:left w:val="nil"/>
              <w:bottom w:val="nil"/>
              <w:right w:val="nil"/>
            </w:tcBorders>
            <w:vAlign w:val="center"/>
          </w:tcPr>
          <w:p w14:paraId="0FA5B542" w14:textId="0A208E4B" w:rsidR="004C4519" w:rsidRDefault="004C4519" w:rsidP="002F4BD0">
            <w:pPr>
              <w:spacing w:line="480" w:lineRule="auto"/>
            </w:pPr>
            <w:r>
              <w:t>Unable to work</w:t>
            </w:r>
          </w:p>
        </w:tc>
        <w:tc>
          <w:tcPr>
            <w:tcW w:w="661" w:type="dxa"/>
            <w:tcBorders>
              <w:top w:val="nil"/>
              <w:left w:val="nil"/>
              <w:bottom w:val="nil"/>
              <w:right w:val="nil"/>
            </w:tcBorders>
            <w:vAlign w:val="center"/>
          </w:tcPr>
          <w:p w14:paraId="6327602B" w14:textId="6074D6FB" w:rsidR="004C4519" w:rsidRDefault="004C4519" w:rsidP="009C3249">
            <w:pPr>
              <w:spacing w:line="480" w:lineRule="auto"/>
              <w:jc w:val="right"/>
            </w:pPr>
            <w:r>
              <w:t>21</w:t>
            </w:r>
          </w:p>
        </w:tc>
        <w:tc>
          <w:tcPr>
            <w:tcW w:w="1164" w:type="dxa"/>
            <w:tcBorders>
              <w:top w:val="nil"/>
              <w:left w:val="nil"/>
              <w:bottom w:val="nil"/>
              <w:right w:val="nil"/>
            </w:tcBorders>
          </w:tcPr>
          <w:p w14:paraId="3B65AC92" w14:textId="6C45F3D4" w:rsidR="004C4519" w:rsidRDefault="00CE1250" w:rsidP="009C3249">
            <w:pPr>
              <w:spacing w:line="480" w:lineRule="auto"/>
              <w:jc w:val="right"/>
            </w:pPr>
            <w:r>
              <w:t>4.4</w:t>
            </w:r>
          </w:p>
        </w:tc>
      </w:tr>
      <w:tr w:rsidR="004C4519" w:rsidRPr="00235E87" w14:paraId="161FBA8F" w14:textId="469A4065" w:rsidTr="000052BE">
        <w:trPr>
          <w:trHeight w:val="537"/>
        </w:trPr>
        <w:tc>
          <w:tcPr>
            <w:tcW w:w="1560" w:type="dxa"/>
            <w:tcBorders>
              <w:top w:val="nil"/>
              <w:left w:val="nil"/>
              <w:bottom w:val="nil"/>
              <w:right w:val="nil"/>
            </w:tcBorders>
            <w:vAlign w:val="center"/>
          </w:tcPr>
          <w:p w14:paraId="41BAF3C2" w14:textId="77777777" w:rsidR="004C4519" w:rsidRDefault="004C4519" w:rsidP="002F4BD0">
            <w:pPr>
              <w:spacing w:line="480" w:lineRule="auto"/>
            </w:pPr>
          </w:p>
        </w:tc>
        <w:tc>
          <w:tcPr>
            <w:tcW w:w="6095" w:type="dxa"/>
            <w:tcBorders>
              <w:top w:val="nil"/>
              <w:left w:val="nil"/>
              <w:bottom w:val="nil"/>
              <w:right w:val="nil"/>
            </w:tcBorders>
            <w:vAlign w:val="center"/>
          </w:tcPr>
          <w:p w14:paraId="3C263B7C" w14:textId="7F4991C7" w:rsidR="004C4519" w:rsidRDefault="004C4519" w:rsidP="002F4BD0">
            <w:pPr>
              <w:spacing w:line="480" w:lineRule="auto"/>
            </w:pPr>
            <w:r>
              <w:t>Homemaker</w:t>
            </w:r>
          </w:p>
        </w:tc>
        <w:tc>
          <w:tcPr>
            <w:tcW w:w="661" w:type="dxa"/>
            <w:tcBorders>
              <w:top w:val="nil"/>
              <w:left w:val="nil"/>
              <w:bottom w:val="nil"/>
              <w:right w:val="nil"/>
            </w:tcBorders>
            <w:vAlign w:val="center"/>
          </w:tcPr>
          <w:p w14:paraId="21C4CE01" w14:textId="41A4BFBF" w:rsidR="004C4519" w:rsidRDefault="004C4519" w:rsidP="009C3249">
            <w:pPr>
              <w:spacing w:line="480" w:lineRule="auto"/>
              <w:jc w:val="right"/>
            </w:pPr>
            <w:r>
              <w:t>13</w:t>
            </w:r>
          </w:p>
        </w:tc>
        <w:tc>
          <w:tcPr>
            <w:tcW w:w="1164" w:type="dxa"/>
            <w:tcBorders>
              <w:top w:val="nil"/>
              <w:left w:val="nil"/>
              <w:bottom w:val="nil"/>
              <w:right w:val="nil"/>
            </w:tcBorders>
          </w:tcPr>
          <w:p w14:paraId="26A536FD" w14:textId="0625D231" w:rsidR="004C4519" w:rsidRDefault="00CE1250" w:rsidP="009C3249">
            <w:pPr>
              <w:spacing w:line="480" w:lineRule="auto"/>
              <w:jc w:val="right"/>
            </w:pPr>
            <w:r>
              <w:t>2.7</w:t>
            </w:r>
          </w:p>
        </w:tc>
      </w:tr>
      <w:tr w:rsidR="004C4519" w:rsidRPr="00235E87" w14:paraId="10CC0705" w14:textId="2B3B48A6" w:rsidTr="000052BE">
        <w:trPr>
          <w:trHeight w:val="537"/>
        </w:trPr>
        <w:tc>
          <w:tcPr>
            <w:tcW w:w="1560" w:type="dxa"/>
            <w:tcBorders>
              <w:top w:val="nil"/>
              <w:left w:val="nil"/>
              <w:bottom w:val="nil"/>
              <w:right w:val="nil"/>
            </w:tcBorders>
            <w:vAlign w:val="center"/>
          </w:tcPr>
          <w:p w14:paraId="3FB65303" w14:textId="33DC4D46" w:rsidR="004C4519" w:rsidRPr="00235E87" w:rsidRDefault="004C4519" w:rsidP="002F4BD0">
            <w:pPr>
              <w:spacing w:line="480" w:lineRule="auto"/>
            </w:pPr>
          </w:p>
        </w:tc>
        <w:tc>
          <w:tcPr>
            <w:tcW w:w="6095" w:type="dxa"/>
            <w:tcBorders>
              <w:top w:val="nil"/>
              <w:left w:val="nil"/>
              <w:bottom w:val="nil"/>
              <w:right w:val="nil"/>
            </w:tcBorders>
            <w:vAlign w:val="center"/>
          </w:tcPr>
          <w:p w14:paraId="509B6F0F" w14:textId="32C87FBB" w:rsidR="004C4519" w:rsidRPr="00235E87" w:rsidRDefault="004C4519" w:rsidP="002F4BD0">
            <w:pPr>
              <w:spacing w:line="480" w:lineRule="auto"/>
            </w:pPr>
            <w:r>
              <w:t>Voluntary employment</w:t>
            </w:r>
          </w:p>
        </w:tc>
        <w:tc>
          <w:tcPr>
            <w:tcW w:w="661" w:type="dxa"/>
            <w:tcBorders>
              <w:top w:val="nil"/>
              <w:left w:val="nil"/>
              <w:bottom w:val="nil"/>
              <w:right w:val="nil"/>
            </w:tcBorders>
            <w:vAlign w:val="center"/>
          </w:tcPr>
          <w:p w14:paraId="76006B89" w14:textId="50D9035F" w:rsidR="004C4519" w:rsidRPr="00235E87" w:rsidRDefault="004C4519" w:rsidP="009C3249">
            <w:pPr>
              <w:spacing w:line="480" w:lineRule="auto"/>
              <w:jc w:val="right"/>
            </w:pPr>
            <w:r>
              <w:t>4</w:t>
            </w:r>
          </w:p>
        </w:tc>
        <w:tc>
          <w:tcPr>
            <w:tcW w:w="1164" w:type="dxa"/>
            <w:tcBorders>
              <w:top w:val="nil"/>
              <w:left w:val="nil"/>
              <w:bottom w:val="nil"/>
              <w:right w:val="nil"/>
            </w:tcBorders>
          </w:tcPr>
          <w:p w14:paraId="1C5EDFC0" w14:textId="74BB12EC" w:rsidR="004C4519" w:rsidRDefault="00CE1250" w:rsidP="009C3249">
            <w:pPr>
              <w:spacing w:line="480" w:lineRule="auto"/>
              <w:jc w:val="right"/>
            </w:pPr>
            <w:r>
              <w:t>0.8</w:t>
            </w:r>
          </w:p>
        </w:tc>
      </w:tr>
      <w:tr w:rsidR="004C4519" w:rsidRPr="00235E87" w14:paraId="72B291AF" w14:textId="7EBA7B40" w:rsidTr="000052BE">
        <w:trPr>
          <w:trHeight w:val="537"/>
        </w:trPr>
        <w:tc>
          <w:tcPr>
            <w:tcW w:w="1560" w:type="dxa"/>
            <w:tcBorders>
              <w:top w:val="nil"/>
              <w:left w:val="nil"/>
              <w:bottom w:val="nil"/>
              <w:right w:val="nil"/>
            </w:tcBorders>
            <w:vAlign w:val="center"/>
          </w:tcPr>
          <w:p w14:paraId="6D0071D0" w14:textId="77777777" w:rsidR="004C4519" w:rsidRPr="00235E87" w:rsidRDefault="004C4519" w:rsidP="002F4BD0">
            <w:pPr>
              <w:spacing w:line="480" w:lineRule="auto"/>
            </w:pPr>
          </w:p>
        </w:tc>
        <w:tc>
          <w:tcPr>
            <w:tcW w:w="6095" w:type="dxa"/>
            <w:tcBorders>
              <w:top w:val="nil"/>
              <w:left w:val="nil"/>
              <w:bottom w:val="nil"/>
              <w:right w:val="nil"/>
            </w:tcBorders>
            <w:vAlign w:val="center"/>
          </w:tcPr>
          <w:p w14:paraId="451B3338" w14:textId="2E40EB03" w:rsidR="004C4519" w:rsidRPr="00235E87" w:rsidRDefault="004C4519" w:rsidP="002F4BD0">
            <w:pPr>
              <w:spacing w:line="480" w:lineRule="auto"/>
            </w:pPr>
            <w:r>
              <w:t>Prefer not to answer</w:t>
            </w:r>
          </w:p>
        </w:tc>
        <w:tc>
          <w:tcPr>
            <w:tcW w:w="661" w:type="dxa"/>
            <w:tcBorders>
              <w:top w:val="nil"/>
              <w:left w:val="nil"/>
              <w:bottom w:val="nil"/>
              <w:right w:val="nil"/>
            </w:tcBorders>
            <w:vAlign w:val="center"/>
          </w:tcPr>
          <w:p w14:paraId="3F88D285" w14:textId="0B849BE6" w:rsidR="004C4519" w:rsidRPr="00235E87" w:rsidRDefault="004C4519" w:rsidP="009C3249">
            <w:pPr>
              <w:spacing w:line="480" w:lineRule="auto"/>
              <w:jc w:val="right"/>
            </w:pPr>
            <w:r>
              <w:t>5</w:t>
            </w:r>
          </w:p>
        </w:tc>
        <w:tc>
          <w:tcPr>
            <w:tcW w:w="1164" w:type="dxa"/>
            <w:tcBorders>
              <w:top w:val="nil"/>
              <w:left w:val="nil"/>
              <w:bottom w:val="nil"/>
              <w:right w:val="nil"/>
            </w:tcBorders>
          </w:tcPr>
          <w:p w14:paraId="5317306C" w14:textId="42678748" w:rsidR="004C4519" w:rsidRDefault="00CE1250" w:rsidP="009C3249">
            <w:pPr>
              <w:spacing w:line="480" w:lineRule="auto"/>
              <w:jc w:val="right"/>
            </w:pPr>
            <w:r>
              <w:t>1.0</w:t>
            </w:r>
          </w:p>
        </w:tc>
      </w:tr>
      <w:tr w:rsidR="0004298F" w:rsidRPr="00235E87" w14:paraId="0B61D2DC" w14:textId="3BA987E9" w:rsidTr="000052BE">
        <w:trPr>
          <w:trHeight w:val="537"/>
        </w:trPr>
        <w:tc>
          <w:tcPr>
            <w:tcW w:w="1560" w:type="dxa"/>
            <w:vMerge w:val="restart"/>
            <w:tcBorders>
              <w:top w:val="nil"/>
              <w:left w:val="nil"/>
              <w:bottom w:val="nil"/>
              <w:right w:val="nil"/>
            </w:tcBorders>
          </w:tcPr>
          <w:p w14:paraId="671D8B91" w14:textId="0FD7247B" w:rsidR="0004298F" w:rsidRPr="00235E87" w:rsidRDefault="0004298F" w:rsidP="00425B80">
            <w:pPr>
              <w:spacing w:line="480" w:lineRule="auto"/>
            </w:pPr>
            <w:r w:rsidRPr="00235E87">
              <w:t>Isolation Status</w:t>
            </w:r>
          </w:p>
        </w:tc>
        <w:tc>
          <w:tcPr>
            <w:tcW w:w="6095" w:type="dxa"/>
            <w:tcBorders>
              <w:top w:val="nil"/>
              <w:left w:val="nil"/>
              <w:bottom w:val="nil"/>
              <w:right w:val="nil"/>
            </w:tcBorders>
          </w:tcPr>
          <w:p w14:paraId="738016F6" w14:textId="4B9F3DBA" w:rsidR="0004298F" w:rsidRDefault="0004298F" w:rsidP="00425B80">
            <w:pPr>
              <w:spacing w:line="480" w:lineRule="auto"/>
            </w:pPr>
            <w:r w:rsidRPr="00235E87">
              <w:t>Social distancing</w:t>
            </w:r>
          </w:p>
        </w:tc>
        <w:tc>
          <w:tcPr>
            <w:tcW w:w="661" w:type="dxa"/>
            <w:tcBorders>
              <w:top w:val="nil"/>
              <w:left w:val="nil"/>
              <w:bottom w:val="nil"/>
              <w:right w:val="nil"/>
            </w:tcBorders>
          </w:tcPr>
          <w:p w14:paraId="13FDD1AF" w14:textId="370FE781" w:rsidR="0004298F" w:rsidRDefault="0004298F" w:rsidP="009C3249">
            <w:pPr>
              <w:spacing w:line="480" w:lineRule="auto"/>
              <w:jc w:val="right"/>
            </w:pPr>
            <w:r w:rsidRPr="00235E87">
              <w:t>49</w:t>
            </w:r>
          </w:p>
        </w:tc>
        <w:tc>
          <w:tcPr>
            <w:tcW w:w="1164" w:type="dxa"/>
            <w:tcBorders>
              <w:top w:val="nil"/>
              <w:left w:val="nil"/>
              <w:bottom w:val="nil"/>
              <w:right w:val="nil"/>
            </w:tcBorders>
          </w:tcPr>
          <w:p w14:paraId="71CFC5F7" w14:textId="4FD3BD9B" w:rsidR="0004298F" w:rsidRPr="00235E87" w:rsidRDefault="0004298F" w:rsidP="009C3249">
            <w:pPr>
              <w:spacing w:line="480" w:lineRule="auto"/>
              <w:jc w:val="right"/>
            </w:pPr>
            <w:r>
              <w:t>10.3</w:t>
            </w:r>
          </w:p>
        </w:tc>
      </w:tr>
      <w:tr w:rsidR="0004298F" w:rsidRPr="00235E87" w14:paraId="080ABF1D" w14:textId="4AEA8A25" w:rsidTr="000052BE">
        <w:trPr>
          <w:trHeight w:val="537"/>
        </w:trPr>
        <w:tc>
          <w:tcPr>
            <w:tcW w:w="1560" w:type="dxa"/>
            <w:vMerge/>
            <w:tcBorders>
              <w:top w:val="nil"/>
              <w:left w:val="nil"/>
              <w:bottom w:val="nil"/>
              <w:right w:val="nil"/>
            </w:tcBorders>
          </w:tcPr>
          <w:p w14:paraId="6F5AED3D" w14:textId="77777777" w:rsidR="0004298F" w:rsidRPr="00235E87" w:rsidRDefault="0004298F" w:rsidP="00425B80">
            <w:pPr>
              <w:spacing w:line="480" w:lineRule="auto"/>
            </w:pPr>
          </w:p>
        </w:tc>
        <w:tc>
          <w:tcPr>
            <w:tcW w:w="6095" w:type="dxa"/>
            <w:tcBorders>
              <w:top w:val="nil"/>
              <w:left w:val="nil"/>
              <w:bottom w:val="nil"/>
              <w:right w:val="nil"/>
            </w:tcBorders>
          </w:tcPr>
          <w:p w14:paraId="0E4C3DD1" w14:textId="78311F05" w:rsidR="0004298F" w:rsidRDefault="0004298F" w:rsidP="00425B80">
            <w:pPr>
              <w:spacing w:line="480" w:lineRule="auto"/>
            </w:pPr>
            <w:r w:rsidRPr="00235E87">
              <w:t>Self-isolating</w:t>
            </w:r>
          </w:p>
        </w:tc>
        <w:tc>
          <w:tcPr>
            <w:tcW w:w="661" w:type="dxa"/>
            <w:tcBorders>
              <w:top w:val="nil"/>
              <w:left w:val="nil"/>
              <w:bottom w:val="nil"/>
              <w:right w:val="nil"/>
            </w:tcBorders>
          </w:tcPr>
          <w:p w14:paraId="1DEC29C2" w14:textId="0F7FF6E2" w:rsidR="0004298F" w:rsidRDefault="0004298F" w:rsidP="009C3249">
            <w:pPr>
              <w:spacing w:line="480" w:lineRule="auto"/>
              <w:jc w:val="right"/>
            </w:pPr>
            <w:r w:rsidRPr="00235E87">
              <w:t>44</w:t>
            </w:r>
          </w:p>
        </w:tc>
        <w:tc>
          <w:tcPr>
            <w:tcW w:w="1164" w:type="dxa"/>
            <w:tcBorders>
              <w:top w:val="nil"/>
              <w:left w:val="nil"/>
              <w:bottom w:val="nil"/>
              <w:right w:val="nil"/>
            </w:tcBorders>
          </w:tcPr>
          <w:p w14:paraId="22C27932" w14:textId="1F0C5DBA" w:rsidR="0004298F" w:rsidRPr="00235E87" w:rsidRDefault="0004298F" w:rsidP="009C3249">
            <w:pPr>
              <w:spacing w:line="480" w:lineRule="auto"/>
              <w:jc w:val="right"/>
            </w:pPr>
            <w:r>
              <w:t>9.2</w:t>
            </w:r>
          </w:p>
        </w:tc>
      </w:tr>
      <w:tr w:rsidR="0004298F" w:rsidRPr="00235E87" w14:paraId="0D35E905" w14:textId="19B03F25" w:rsidTr="000052BE">
        <w:trPr>
          <w:trHeight w:val="537"/>
        </w:trPr>
        <w:tc>
          <w:tcPr>
            <w:tcW w:w="1560" w:type="dxa"/>
            <w:vMerge/>
            <w:tcBorders>
              <w:top w:val="nil"/>
              <w:left w:val="nil"/>
              <w:bottom w:val="nil"/>
              <w:right w:val="nil"/>
            </w:tcBorders>
          </w:tcPr>
          <w:p w14:paraId="1BB18324" w14:textId="77777777" w:rsidR="0004298F" w:rsidRPr="00235E87" w:rsidRDefault="0004298F" w:rsidP="00425B80">
            <w:pPr>
              <w:spacing w:line="480" w:lineRule="auto"/>
            </w:pPr>
          </w:p>
        </w:tc>
        <w:tc>
          <w:tcPr>
            <w:tcW w:w="6095" w:type="dxa"/>
            <w:tcBorders>
              <w:top w:val="nil"/>
              <w:left w:val="nil"/>
              <w:bottom w:val="nil"/>
              <w:right w:val="nil"/>
            </w:tcBorders>
          </w:tcPr>
          <w:p w14:paraId="0400C19E" w14:textId="3B2EFD84" w:rsidR="0004298F" w:rsidRDefault="0004298F" w:rsidP="00425B80">
            <w:pPr>
              <w:spacing w:line="480" w:lineRule="auto"/>
            </w:pPr>
            <w:r w:rsidRPr="00235E87">
              <w:t>Lockdown</w:t>
            </w:r>
          </w:p>
        </w:tc>
        <w:tc>
          <w:tcPr>
            <w:tcW w:w="661" w:type="dxa"/>
            <w:tcBorders>
              <w:top w:val="nil"/>
              <w:left w:val="nil"/>
              <w:bottom w:val="nil"/>
              <w:right w:val="nil"/>
            </w:tcBorders>
          </w:tcPr>
          <w:p w14:paraId="2C106D17" w14:textId="14C07A63" w:rsidR="0004298F" w:rsidRDefault="0004298F" w:rsidP="009C3249">
            <w:pPr>
              <w:spacing w:line="480" w:lineRule="auto"/>
              <w:jc w:val="right"/>
            </w:pPr>
            <w:r w:rsidRPr="00235E87">
              <w:t>319</w:t>
            </w:r>
          </w:p>
        </w:tc>
        <w:tc>
          <w:tcPr>
            <w:tcW w:w="1164" w:type="dxa"/>
            <w:tcBorders>
              <w:top w:val="nil"/>
              <w:left w:val="nil"/>
              <w:bottom w:val="nil"/>
              <w:right w:val="nil"/>
            </w:tcBorders>
          </w:tcPr>
          <w:p w14:paraId="197328F7" w14:textId="54B21876" w:rsidR="0004298F" w:rsidRPr="00235E87" w:rsidRDefault="0004298F" w:rsidP="009C3249">
            <w:pPr>
              <w:spacing w:line="480" w:lineRule="auto"/>
              <w:jc w:val="right"/>
            </w:pPr>
            <w:r>
              <w:t>66.9</w:t>
            </w:r>
          </w:p>
        </w:tc>
      </w:tr>
      <w:tr w:rsidR="0004298F" w:rsidRPr="00235E87" w14:paraId="1062B399" w14:textId="71F739E2" w:rsidTr="000052BE">
        <w:trPr>
          <w:trHeight w:val="537"/>
        </w:trPr>
        <w:tc>
          <w:tcPr>
            <w:tcW w:w="1560" w:type="dxa"/>
            <w:vMerge/>
            <w:tcBorders>
              <w:top w:val="nil"/>
              <w:left w:val="nil"/>
              <w:bottom w:val="nil"/>
              <w:right w:val="nil"/>
            </w:tcBorders>
          </w:tcPr>
          <w:p w14:paraId="36EC6D02" w14:textId="77777777" w:rsidR="0004298F" w:rsidRPr="00235E87" w:rsidRDefault="0004298F" w:rsidP="00425B80">
            <w:pPr>
              <w:spacing w:line="480" w:lineRule="auto"/>
            </w:pPr>
          </w:p>
        </w:tc>
        <w:tc>
          <w:tcPr>
            <w:tcW w:w="6095" w:type="dxa"/>
            <w:tcBorders>
              <w:top w:val="nil"/>
              <w:left w:val="nil"/>
              <w:bottom w:val="nil"/>
              <w:right w:val="nil"/>
            </w:tcBorders>
          </w:tcPr>
          <w:p w14:paraId="271EBEF8" w14:textId="3723DBBE" w:rsidR="0004298F" w:rsidRDefault="0004298F" w:rsidP="00425B80">
            <w:pPr>
              <w:spacing w:line="480" w:lineRule="auto"/>
            </w:pPr>
            <w:r w:rsidRPr="00235E87">
              <w:t>Working out of home but social distancing</w:t>
            </w:r>
          </w:p>
        </w:tc>
        <w:tc>
          <w:tcPr>
            <w:tcW w:w="661" w:type="dxa"/>
            <w:tcBorders>
              <w:top w:val="nil"/>
              <w:left w:val="nil"/>
              <w:bottom w:val="nil"/>
              <w:right w:val="nil"/>
            </w:tcBorders>
          </w:tcPr>
          <w:p w14:paraId="6190F061" w14:textId="75B1CF34" w:rsidR="0004298F" w:rsidRDefault="0004298F" w:rsidP="009C3249">
            <w:pPr>
              <w:spacing w:line="480" w:lineRule="auto"/>
              <w:jc w:val="right"/>
            </w:pPr>
            <w:r w:rsidRPr="00235E87">
              <w:t>45</w:t>
            </w:r>
          </w:p>
        </w:tc>
        <w:tc>
          <w:tcPr>
            <w:tcW w:w="1164" w:type="dxa"/>
            <w:tcBorders>
              <w:top w:val="nil"/>
              <w:left w:val="nil"/>
              <w:bottom w:val="nil"/>
              <w:right w:val="nil"/>
            </w:tcBorders>
          </w:tcPr>
          <w:p w14:paraId="34748F1C" w14:textId="08DB5216" w:rsidR="0004298F" w:rsidRPr="00235E87" w:rsidRDefault="0004298F" w:rsidP="009C3249">
            <w:pPr>
              <w:spacing w:line="480" w:lineRule="auto"/>
              <w:jc w:val="right"/>
            </w:pPr>
            <w:r>
              <w:t>9.4</w:t>
            </w:r>
          </w:p>
        </w:tc>
      </w:tr>
      <w:tr w:rsidR="004C4519" w:rsidRPr="00235E87" w14:paraId="348A4CDD" w14:textId="76A2F052" w:rsidTr="000052BE">
        <w:trPr>
          <w:trHeight w:val="537"/>
        </w:trPr>
        <w:tc>
          <w:tcPr>
            <w:tcW w:w="1560" w:type="dxa"/>
            <w:tcBorders>
              <w:top w:val="nil"/>
              <w:bottom w:val="nil"/>
            </w:tcBorders>
          </w:tcPr>
          <w:p w14:paraId="1BA1BEE3" w14:textId="77777777" w:rsidR="004C4519" w:rsidRPr="00235E87" w:rsidRDefault="004C4519" w:rsidP="00425B80">
            <w:pPr>
              <w:spacing w:line="480" w:lineRule="auto"/>
            </w:pPr>
          </w:p>
        </w:tc>
        <w:tc>
          <w:tcPr>
            <w:tcW w:w="6095" w:type="dxa"/>
            <w:tcBorders>
              <w:top w:val="nil"/>
              <w:bottom w:val="nil"/>
            </w:tcBorders>
          </w:tcPr>
          <w:p w14:paraId="2724DE50" w14:textId="4166ED29" w:rsidR="004C4519" w:rsidRPr="00235E87" w:rsidRDefault="004C4519" w:rsidP="00425B80">
            <w:pPr>
              <w:spacing w:line="480" w:lineRule="auto"/>
            </w:pPr>
            <w:r w:rsidRPr="00235E87">
              <w:t>Life as normal</w:t>
            </w:r>
          </w:p>
        </w:tc>
        <w:tc>
          <w:tcPr>
            <w:tcW w:w="661" w:type="dxa"/>
            <w:tcBorders>
              <w:top w:val="nil"/>
              <w:bottom w:val="nil"/>
            </w:tcBorders>
          </w:tcPr>
          <w:p w14:paraId="4C71605A" w14:textId="24A50DB2" w:rsidR="004C4519" w:rsidRPr="00235E87" w:rsidRDefault="004C4519" w:rsidP="009C3249">
            <w:pPr>
              <w:spacing w:line="480" w:lineRule="auto"/>
              <w:jc w:val="right"/>
            </w:pPr>
            <w:r w:rsidRPr="00235E87">
              <w:t>1</w:t>
            </w:r>
          </w:p>
        </w:tc>
        <w:tc>
          <w:tcPr>
            <w:tcW w:w="1164" w:type="dxa"/>
            <w:tcBorders>
              <w:top w:val="nil"/>
              <w:bottom w:val="nil"/>
            </w:tcBorders>
          </w:tcPr>
          <w:p w14:paraId="63EA811C" w14:textId="7B81E584" w:rsidR="004C4519" w:rsidRPr="00235E87" w:rsidRDefault="00CE1250" w:rsidP="009C3249">
            <w:pPr>
              <w:spacing w:line="480" w:lineRule="auto"/>
              <w:jc w:val="right"/>
            </w:pPr>
            <w:r>
              <w:t>0.2</w:t>
            </w:r>
          </w:p>
        </w:tc>
      </w:tr>
      <w:tr w:rsidR="004C4519" w:rsidRPr="00235E87" w14:paraId="522768B0" w14:textId="3667EACF" w:rsidTr="000052BE">
        <w:trPr>
          <w:trHeight w:val="537"/>
        </w:trPr>
        <w:tc>
          <w:tcPr>
            <w:tcW w:w="1560" w:type="dxa"/>
            <w:tcBorders>
              <w:top w:val="nil"/>
              <w:bottom w:val="nil"/>
            </w:tcBorders>
          </w:tcPr>
          <w:p w14:paraId="0863E4E8" w14:textId="77777777" w:rsidR="004C4519" w:rsidRPr="00235E87" w:rsidRDefault="004C4519" w:rsidP="00425B80">
            <w:pPr>
              <w:spacing w:line="480" w:lineRule="auto"/>
            </w:pPr>
          </w:p>
        </w:tc>
        <w:tc>
          <w:tcPr>
            <w:tcW w:w="6095" w:type="dxa"/>
            <w:tcBorders>
              <w:top w:val="nil"/>
              <w:bottom w:val="nil"/>
            </w:tcBorders>
          </w:tcPr>
          <w:p w14:paraId="7B5145FC" w14:textId="5EB35049" w:rsidR="004C4519" w:rsidRPr="00235E87" w:rsidRDefault="004C4519" w:rsidP="00425B80">
            <w:pPr>
              <w:spacing w:line="480" w:lineRule="auto"/>
            </w:pPr>
            <w:r w:rsidRPr="00235E87">
              <w:t>Other</w:t>
            </w:r>
          </w:p>
        </w:tc>
        <w:tc>
          <w:tcPr>
            <w:tcW w:w="661" w:type="dxa"/>
            <w:tcBorders>
              <w:top w:val="nil"/>
              <w:bottom w:val="nil"/>
            </w:tcBorders>
          </w:tcPr>
          <w:p w14:paraId="77F6CD1A" w14:textId="201BF662" w:rsidR="004C4519" w:rsidRPr="00235E87" w:rsidRDefault="004C4519" w:rsidP="009C3249">
            <w:pPr>
              <w:spacing w:line="480" w:lineRule="auto"/>
              <w:jc w:val="right"/>
            </w:pPr>
            <w:r w:rsidRPr="00235E87">
              <w:t>19</w:t>
            </w:r>
          </w:p>
        </w:tc>
        <w:tc>
          <w:tcPr>
            <w:tcW w:w="1164" w:type="dxa"/>
            <w:tcBorders>
              <w:top w:val="nil"/>
              <w:bottom w:val="nil"/>
            </w:tcBorders>
          </w:tcPr>
          <w:p w14:paraId="4BA7E6A8" w14:textId="528BBAAF" w:rsidR="004C4519" w:rsidRPr="00235E87" w:rsidRDefault="00CE1250" w:rsidP="009C3249">
            <w:pPr>
              <w:spacing w:line="480" w:lineRule="auto"/>
              <w:jc w:val="right"/>
            </w:pPr>
            <w:r>
              <w:t>4.0</w:t>
            </w:r>
          </w:p>
        </w:tc>
      </w:tr>
      <w:tr w:rsidR="0004298F" w:rsidRPr="00235E87" w14:paraId="4D4CBA93" w14:textId="77777777" w:rsidTr="000052BE">
        <w:trPr>
          <w:trHeight w:val="537"/>
        </w:trPr>
        <w:tc>
          <w:tcPr>
            <w:tcW w:w="1560" w:type="dxa"/>
            <w:tcBorders>
              <w:top w:val="nil"/>
              <w:bottom w:val="nil"/>
              <w:right w:val="nil"/>
            </w:tcBorders>
          </w:tcPr>
          <w:p w14:paraId="72F4D757" w14:textId="5FB309FD" w:rsidR="0004298F" w:rsidRPr="00235E87" w:rsidRDefault="0004298F" w:rsidP="00425B80">
            <w:pPr>
              <w:spacing w:line="480" w:lineRule="auto"/>
            </w:pPr>
            <w:r>
              <w:t>Grower status</w:t>
            </w:r>
          </w:p>
        </w:tc>
        <w:tc>
          <w:tcPr>
            <w:tcW w:w="6095" w:type="dxa"/>
            <w:tcBorders>
              <w:top w:val="nil"/>
              <w:left w:val="nil"/>
              <w:bottom w:val="nil"/>
              <w:right w:val="nil"/>
            </w:tcBorders>
          </w:tcPr>
          <w:p w14:paraId="35F628EE" w14:textId="33E22499" w:rsidR="0004298F" w:rsidRPr="00235E87" w:rsidRDefault="0004298F" w:rsidP="00425B80">
            <w:pPr>
              <w:spacing w:line="480" w:lineRule="auto"/>
            </w:pPr>
            <w:r>
              <w:t>Already do (Grower)</w:t>
            </w:r>
          </w:p>
        </w:tc>
        <w:tc>
          <w:tcPr>
            <w:tcW w:w="661" w:type="dxa"/>
            <w:tcBorders>
              <w:top w:val="nil"/>
              <w:left w:val="nil"/>
              <w:bottom w:val="nil"/>
              <w:right w:val="nil"/>
            </w:tcBorders>
          </w:tcPr>
          <w:p w14:paraId="3F8D03E9" w14:textId="0F3F6E59" w:rsidR="0004298F" w:rsidRPr="00235E87" w:rsidRDefault="0004298F" w:rsidP="009C3249">
            <w:pPr>
              <w:spacing w:line="480" w:lineRule="auto"/>
              <w:jc w:val="right"/>
            </w:pPr>
            <w:r>
              <w:t>152</w:t>
            </w:r>
          </w:p>
        </w:tc>
        <w:tc>
          <w:tcPr>
            <w:tcW w:w="1164" w:type="dxa"/>
            <w:tcBorders>
              <w:top w:val="nil"/>
              <w:left w:val="nil"/>
              <w:bottom w:val="nil"/>
              <w:right w:val="nil"/>
            </w:tcBorders>
          </w:tcPr>
          <w:p w14:paraId="1FDBC622" w14:textId="407B4E90" w:rsidR="0004298F" w:rsidRDefault="0004298F" w:rsidP="009C3249">
            <w:pPr>
              <w:spacing w:line="480" w:lineRule="auto"/>
              <w:jc w:val="right"/>
            </w:pPr>
            <w:r>
              <w:t>31.9</w:t>
            </w:r>
          </w:p>
        </w:tc>
      </w:tr>
      <w:tr w:rsidR="0004298F" w:rsidRPr="00235E87" w14:paraId="140D8316" w14:textId="77777777" w:rsidTr="000052BE">
        <w:trPr>
          <w:trHeight w:val="537"/>
        </w:trPr>
        <w:tc>
          <w:tcPr>
            <w:tcW w:w="1560" w:type="dxa"/>
            <w:tcBorders>
              <w:top w:val="nil"/>
              <w:bottom w:val="nil"/>
              <w:right w:val="nil"/>
            </w:tcBorders>
          </w:tcPr>
          <w:p w14:paraId="7E34BDAD" w14:textId="77777777" w:rsidR="0004298F" w:rsidRDefault="0004298F" w:rsidP="00425B80">
            <w:pPr>
              <w:spacing w:line="480" w:lineRule="auto"/>
            </w:pPr>
          </w:p>
        </w:tc>
        <w:tc>
          <w:tcPr>
            <w:tcW w:w="6095" w:type="dxa"/>
            <w:tcBorders>
              <w:top w:val="nil"/>
              <w:left w:val="nil"/>
              <w:bottom w:val="nil"/>
              <w:right w:val="nil"/>
            </w:tcBorders>
          </w:tcPr>
          <w:p w14:paraId="485DA496" w14:textId="4FAF5F1C" w:rsidR="0004298F" w:rsidRDefault="0004298F" w:rsidP="0004298F">
            <w:pPr>
              <w:spacing w:line="480" w:lineRule="auto"/>
            </w:pPr>
            <w:r>
              <w:t>Don’t currently do but are planning to do (Non-grower)</w:t>
            </w:r>
          </w:p>
        </w:tc>
        <w:tc>
          <w:tcPr>
            <w:tcW w:w="661" w:type="dxa"/>
            <w:tcBorders>
              <w:top w:val="nil"/>
              <w:left w:val="nil"/>
              <w:bottom w:val="nil"/>
              <w:right w:val="nil"/>
            </w:tcBorders>
          </w:tcPr>
          <w:p w14:paraId="4B7FE961" w14:textId="554C0B11" w:rsidR="0004298F" w:rsidRDefault="0004298F" w:rsidP="009C3249">
            <w:pPr>
              <w:spacing w:line="480" w:lineRule="auto"/>
              <w:jc w:val="right"/>
            </w:pPr>
            <w:r>
              <w:t>63</w:t>
            </w:r>
          </w:p>
        </w:tc>
        <w:tc>
          <w:tcPr>
            <w:tcW w:w="1164" w:type="dxa"/>
            <w:tcBorders>
              <w:top w:val="nil"/>
              <w:left w:val="nil"/>
              <w:bottom w:val="nil"/>
              <w:right w:val="nil"/>
            </w:tcBorders>
          </w:tcPr>
          <w:p w14:paraId="052914BE" w14:textId="4ABD5FC0" w:rsidR="0004298F" w:rsidRDefault="0004298F" w:rsidP="009C3249">
            <w:pPr>
              <w:spacing w:line="480" w:lineRule="auto"/>
              <w:jc w:val="right"/>
            </w:pPr>
            <w:r>
              <w:t>13.2</w:t>
            </w:r>
          </w:p>
        </w:tc>
      </w:tr>
      <w:tr w:rsidR="0004298F" w:rsidRPr="00235E87" w14:paraId="02A312E4" w14:textId="77777777" w:rsidTr="000052BE">
        <w:trPr>
          <w:trHeight w:val="537"/>
        </w:trPr>
        <w:tc>
          <w:tcPr>
            <w:tcW w:w="1560" w:type="dxa"/>
            <w:tcBorders>
              <w:top w:val="nil"/>
              <w:bottom w:val="nil"/>
              <w:right w:val="nil"/>
            </w:tcBorders>
          </w:tcPr>
          <w:p w14:paraId="4452BC07" w14:textId="77777777" w:rsidR="0004298F" w:rsidRDefault="0004298F" w:rsidP="00425B80">
            <w:pPr>
              <w:spacing w:line="480" w:lineRule="auto"/>
            </w:pPr>
          </w:p>
        </w:tc>
        <w:tc>
          <w:tcPr>
            <w:tcW w:w="6095" w:type="dxa"/>
            <w:tcBorders>
              <w:top w:val="nil"/>
              <w:left w:val="nil"/>
              <w:bottom w:val="nil"/>
              <w:right w:val="nil"/>
            </w:tcBorders>
          </w:tcPr>
          <w:p w14:paraId="35043C80" w14:textId="63FD8AB3" w:rsidR="0004298F" w:rsidRDefault="0004298F" w:rsidP="0004298F">
            <w:pPr>
              <w:spacing w:line="480" w:lineRule="auto"/>
            </w:pPr>
            <w:r>
              <w:t>Are not planning to do but would consider in the future (Non-grower)</w:t>
            </w:r>
          </w:p>
        </w:tc>
        <w:tc>
          <w:tcPr>
            <w:tcW w:w="661" w:type="dxa"/>
            <w:tcBorders>
              <w:top w:val="nil"/>
              <w:left w:val="nil"/>
              <w:bottom w:val="nil"/>
              <w:right w:val="nil"/>
            </w:tcBorders>
          </w:tcPr>
          <w:p w14:paraId="7E91B9D0" w14:textId="4B4827B5" w:rsidR="0004298F" w:rsidRDefault="0004298F" w:rsidP="009C3249">
            <w:pPr>
              <w:spacing w:line="480" w:lineRule="auto"/>
              <w:jc w:val="right"/>
            </w:pPr>
            <w:r>
              <w:t>165</w:t>
            </w:r>
          </w:p>
        </w:tc>
        <w:tc>
          <w:tcPr>
            <w:tcW w:w="1164" w:type="dxa"/>
            <w:tcBorders>
              <w:top w:val="nil"/>
              <w:left w:val="nil"/>
              <w:bottom w:val="nil"/>
              <w:right w:val="nil"/>
            </w:tcBorders>
          </w:tcPr>
          <w:p w14:paraId="37924D0F" w14:textId="731816CC" w:rsidR="0004298F" w:rsidRDefault="0004298F" w:rsidP="009C3249">
            <w:pPr>
              <w:spacing w:line="480" w:lineRule="auto"/>
              <w:jc w:val="right"/>
            </w:pPr>
            <w:r>
              <w:t>34.6</w:t>
            </w:r>
          </w:p>
        </w:tc>
      </w:tr>
      <w:tr w:rsidR="0004298F" w:rsidRPr="00235E87" w14:paraId="269BF5DD" w14:textId="77777777" w:rsidTr="000052BE">
        <w:trPr>
          <w:trHeight w:val="537"/>
        </w:trPr>
        <w:tc>
          <w:tcPr>
            <w:tcW w:w="1560" w:type="dxa"/>
            <w:tcBorders>
              <w:top w:val="nil"/>
              <w:bottom w:val="single" w:sz="4" w:space="0" w:color="auto"/>
              <w:right w:val="nil"/>
            </w:tcBorders>
          </w:tcPr>
          <w:p w14:paraId="60151826" w14:textId="77777777" w:rsidR="0004298F" w:rsidRDefault="0004298F" w:rsidP="00425B80">
            <w:pPr>
              <w:spacing w:line="480" w:lineRule="auto"/>
            </w:pPr>
          </w:p>
        </w:tc>
        <w:tc>
          <w:tcPr>
            <w:tcW w:w="6095" w:type="dxa"/>
            <w:tcBorders>
              <w:top w:val="nil"/>
              <w:left w:val="nil"/>
              <w:bottom w:val="single" w:sz="4" w:space="0" w:color="auto"/>
              <w:right w:val="nil"/>
            </w:tcBorders>
          </w:tcPr>
          <w:p w14:paraId="244C4F7C" w14:textId="03DF0324" w:rsidR="0004298F" w:rsidRDefault="0004298F" w:rsidP="0004298F">
            <w:pPr>
              <w:spacing w:line="480" w:lineRule="auto"/>
            </w:pPr>
            <w:r>
              <w:t>Are not planning to do and would not consider doing (Non-grower)</w:t>
            </w:r>
          </w:p>
        </w:tc>
        <w:tc>
          <w:tcPr>
            <w:tcW w:w="661" w:type="dxa"/>
            <w:tcBorders>
              <w:top w:val="nil"/>
              <w:left w:val="nil"/>
              <w:bottom w:val="single" w:sz="4" w:space="0" w:color="auto"/>
              <w:right w:val="nil"/>
            </w:tcBorders>
          </w:tcPr>
          <w:p w14:paraId="1E920E2F" w14:textId="32A9AA26" w:rsidR="0004298F" w:rsidRDefault="0004298F" w:rsidP="009C3249">
            <w:pPr>
              <w:spacing w:line="480" w:lineRule="auto"/>
              <w:jc w:val="right"/>
            </w:pPr>
            <w:r>
              <w:t>97</w:t>
            </w:r>
          </w:p>
        </w:tc>
        <w:tc>
          <w:tcPr>
            <w:tcW w:w="1164" w:type="dxa"/>
            <w:tcBorders>
              <w:top w:val="nil"/>
              <w:left w:val="nil"/>
              <w:bottom w:val="single" w:sz="4" w:space="0" w:color="auto"/>
              <w:right w:val="nil"/>
            </w:tcBorders>
          </w:tcPr>
          <w:p w14:paraId="6436D526" w14:textId="60CF8F4E" w:rsidR="0004298F" w:rsidRDefault="0004298F" w:rsidP="009C3249">
            <w:pPr>
              <w:spacing w:line="480" w:lineRule="auto"/>
              <w:jc w:val="right"/>
            </w:pPr>
            <w:r>
              <w:t>20.3</w:t>
            </w:r>
          </w:p>
        </w:tc>
      </w:tr>
    </w:tbl>
    <w:p w14:paraId="1E97774D" w14:textId="0D8A444F" w:rsidR="00235E87" w:rsidRDefault="00235E87" w:rsidP="002F4BD0">
      <w:pPr>
        <w:spacing w:after="0" w:line="480" w:lineRule="auto"/>
        <w:ind w:left="360"/>
        <w:rPr>
          <w:b/>
          <w:bCs/>
        </w:rPr>
      </w:pPr>
    </w:p>
    <w:p w14:paraId="4ED71BD6" w14:textId="77777777" w:rsidR="008539BE" w:rsidRDefault="008539BE" w:rsidP="002F4BD0">
      <w:pPr>
        <w:spacing w:after="0" w:line="480" w:lineRule="auto"/>
        <w:rPr>
          <w:iCs/>
        </w:rPr>
      </w:pPr>
    </w:p>
    <w:p w14:paraId="4E4F591E" w14:textId="2A18F8D6" w:rsidR="006A1FB2" w:rsidRPr="00896857" w:rsidRDefault="006C04A9" w:rsidP="002F4BD0">
      <w:pPr>
        <w:spacing w:after="0" w:line="480" w:lineRule="auto"/>
        <w:rPr>
          <w:b/>
          <w:bCs/>
          <w:i/>
        </w:rPr>
      </w:pPr>
      <w:r w:rsidRPr="00896857">
        <w:rPr>
          <w:b/>
          <w:bCs/>
          <w:i/>
        </w:rPr>
        <w:t>H</w:t>
      </w:r>
      <w:r w:rsidR="0004298F" w:rsidRPr="00896857">
        <w:rPr>
          <w:b/>
          <w:bCs/>
          <w:i/>
        </w:rPr>
        <w:t>ome food growing</w:t>
      </w:r>
      <w:r w:rsidRPr="00896857">
        <w:rPr>
          <w:b/>
          <w:bCs/>
          <w:i/>
        </w:rPr>
        <w:t>, w</w:t>
      </w:r>
      <w:r w:rsidR="006A1FB2" w:rsidRPr="00896857">
        <w:rPr>
          <w:b/>
          <w:bCs/>
          <w:i/>
        </w:rPr>
        <w:t xml:space="preserve">ell-being and experience of </w:t>
      </w:r>
      <w:r w:rsidR="00C7640F" w:rsidRPr="00896857">
        <w:rPr>
          <w:b/>
          <w:bCs/>
          <w:i/>
        </w:rPr>
        <w:t xml:space="preserve">perceived </w:t>
      </w:r>
      <w:r w:rsidR="006A1FB2" w:rsidRPr="00896857">
        <w:rPr>
          <w:b/>
          <w:bCs/>
          <w:i/>
        </w:rPr>
        <w:t>food insecurity</w:t>
      </w:r>
    </w:p>
    <w:p w14:paraId="0E27AA34" w14:textId="282092CA" w:rsidR="0026288C" w:rsidRDefault="00DB2CCD" w:rsidP="002F4BD0">
      <w:pPr>
        <w:spacing w:after="0" w:line="480" w:lineRule="auto"/>
      </w:pPr>
      <w:r>
        <w:t>The m</w:t>
      </w:r>
      <w:r w:rsidR="006A1FB2">
        <w:t>ean score for well-being (WHO-5) for</w:t>
      </w:r>
      <w:r w:rsidR="00B632C7">
        <w:t xml:space="preserve"> the full sample</w:t>
      </w:r>
      <w:r w:rsidR="006A1FB2">
        <w:t xml:space="preserve"> was 44.35 (</w:t>
      </w:r>
      <w:proofErr w:type="spellStart"/>
      <w:r w:rsidR="006A1FB2">
        <w:rPr>
          <w:i/>
          <w:iCs/>
        </w:rPr>
        <w:t>s.d.</w:t>
      </w:r>
      <w:proofErr w:type="spellEnd"/>
      <w:r w:rsidR="006A1FB2">
        <w:t xml:space="preserve">=20.41, </w:t>
      </w:r>
      <w:r w:rsidR="006A1FB2">
        <w:rPr>
          <w:i/>
          <w:iCs/>
        </w:rPr>
        <w:t>range</w:t>
      </w:r>
      <w:r w:rsidR="006A1FB2">
        <w:t xml:space="preserve"> 0-100), indicating moderate levels of well-being. </w:t>
      </w:r>
      <w:r>
        <w:t>The m</w:t>
      </w:r>
      <w:r w:rsidR="006A1FB2">
        <w:t xml:space="preserve">ean score for </w:t>
      </w:r>
      <w:r w:rsidR="00E04AC0">
        <w:t xml:space="preserve">perceived </w:t>
      </w:r>
      <w:r w:rsidR="006A1FB2">
        <w:t>food insecurity (FIES) for all participants was 1.21 (</w:t>
      </w:r>
      <w:proofErr w:type="spellStart"/>
      <w:r w:rsidR="006A1FB2">
        <w:rPr>
          <w:i/>
          <w:iCs/>
        </w:rPr>
        <w:t>s.d.</w:t>
      </w:r>
      <w:proofErr w:type="spellEnd"/>
      <w:r w:rsidR="006A1FB2">
        <w:t xml:space="preserve">=1.63, </w:t>
      </w:r>
      <w:r w:rsidR="006A1FB2">
        <w:rPr>
          <w:i/>
          <w:iCs/>
        </w:rPr>
        <w:t>range</w:t>
      </w:r>
      <w:r w:rsidR="006A1FB2">
        <w:t xml:space="preserve"> 0-8), indicating low levels of</w:t>
      </w:r>
      <w:r w:rsidR="00E04AC0">
        <w:t xml:space="preserve"> perceived</w:t>
      </w:r>
      <w:r w:rsidR="006A1FB2">
        <w:t xml:space="preserve"> food insecurity</w:t>
      </w:r>
      <w:r w:rsidR="00487E09">
        <w:t xml:space="preserve"> on average</w:t>
      </w:r>
      <w:r w:rsidR="006A1FB2">
        <w:t>.</w:t>
      </w:r>
      <w:r w:rsidR="009B0BBE">
        <w:t xml:space="preserve"> </w:t>
      </w:r>
      <w:r w:rsidR="006A1FB2">
        <w:t>There was a significant</w:t>
      </w:r>
      <w:r w:rsidR="008A50F4">
        <w:t xml:space="preserve"> small-moderate,</w:t>
      </w:r>
      <w:r w:rsidR="006A1FB2">
        <w:t xml:space="preserve"> negative correlation between well-being and </w:t>
      </w:r>
      <w:r w:rsidR="00E04AC0">
        <w:lastRenderedPageBreak/>
        <w:t xml:space="preserve">perceived </w:t>
      </w:r>
      <w:r w:rsidR="006A1FB2">
        <w:t>food insecurity</w:t>
      </w:r>
      <w:r w:rsidR="000C594C">
        <w:t>,</w:t>
      </w:r>
      <w:r w:rsidR="006A1FB2">
        <w:t xml:space="preserve"> </w:t>
      </w:r>
      <w:r w:rsidR="006A1FB2">
        <w:rPr>
          <w:i/>
          <w:iCs/>
        </w:rPr>
        <w:t>r</w:t>
      </w:r>
      <w:r w:rsidR="006A1FB2">
        <w:t xml:space="preserve">=-.231, </w:t>
      </w:r>
      <w:r w:rsidR="006A1FB2">
        <w:rPr>
          <w:i/>
          <w:iCs/>
        </w:rPr>
        <w:t>p</w:t>
      </w:r>
      <w:r w:rsidR="006A1FB2">
        <w:t xml:space="preserve">&lt;.001, </w:t>
      </w:r>
      <w:r w:rsidR="006A1FB2">
        <w:rPr>
          <w:i/>
          <w:iCs/>
        </w:rPr>
        <w:t>r</w:t>
      </w:r>
      <w:r w:rsidR="006A1FB2" w:rsidRPr="006A1FB2">
        <w:rPr>
          <w:i/>
          <w:iCs/>
          <w:vertAlign w:val="superscript"/>
        </w:rPr>
        <w:t>2</w:t>
      </w:r>
      <w:r w:rsidR="006A1FB2">
        <w:t xml:space="preserve">=.053. Greater levels of </w:t>
      </w:r>
      <w:r w:rsidR="00E04AC0">
        <w:t xml:space="preserve">perceived </w:t>
      </w:r>
      <w:r w:rsidR="006A1FB2">
        <w:t xml:space="preserve">food insecurity </w:t>
      </w:r>
      <w:r w:rsidR="0026288C">
        <w:t>were associated with lower levels of well-being.</w:t>
      </w:r>
    </w:p>
    <w:p w14:paraId="1A7DDC8A" w14:textId="77777777" w:rsidR="00C46C18" w:rsidRDefault="00C46C18" w:rsidP="002F4BD0">
      <w:pPr>
        <w:spacing w:after="0" w:line="480" w:lineRule="auto"/>
      </w:pPr>
    </w:p>
    <w:p w14:paraId="0333585A" w14:textId="69C6B426" w:rsidR="00C46C18" w:rsidRDefault="0026288C" w:rsidP="00C46C18">
      <w:pPr>
        <w:spacing w:after="0" w:line="480" w:lineRule="auto"/>
      </w:pPr>
      <w:r>
        <w:t xml:space="preserve">Growers had significantly lower scores </w:t>
      </w:r>
      <w:r w:rsidR="006C04A9">
        <w:t>for</w:t>
      </w:r>
      <w:r w:rsidR="00E04AC0">
        <w:t xml:space="preserve"> perceived</w:t>
      </w:r>
      <w:r w:rsidR="006C04A9">
        <w:t xml:space="preserve"> food insecurity (</w:t>
      </w:r>
      <w:r w:rsidR="00C46C18">
        <w:t>FIES</w:t>
      </w:r>
      <w:r w:rsidR="006C04A9">
        <w:t xml:space="preserve">; </w:t>
      </w:r>
      <w:proofErr w:type="spellStart"/>
      <w:r>
        <w:rPr>
          <w:i/>
          <w:iCs/>
        </w:rPr>
        <w:t>Mdn</w:t>
      </w:r>
      <w:proofErr w:type="spellEnd"/>
      <w:r>
        <w:t xml:space="preserve"> = 0.00) than </w:t>
      </w:r>
      <w:r w:rsidR="00EA1F42">
        <w:t>N</w:t>
      </w:r>
      <w:r>
        <w:t>on-growers (</w:t>
      </w:r>
      <w:proofErr w:type="spellStart"/>
      <w:r>
        <w:rPr>
          <w:i/>
          <w:iCs/>
        </w:rPr>
        <w:t>Mdn</w:t>
      </w:r>
      <w:proofErr w:type="spellEnd"/>
      <w:r>
        <w:t xml:space="preserve"> = 1.00),</w:t>
      </w:r>
      <w:r w:rsidR="00C46C18">
        <w:t xml:space="preserve"> </w:t>
      </w:r>
      <w:r>
        <w:rPr>
          <w:i/>
          <w:iCs/>
        </w:rPr>
        <w:t>U</w:t>
      </w:r>
      <w:r>
        <w:rPr>
          <w:i/>
          <w:iCs/>
          <w:vertAlign w:val="subscript"/>
        </w:rPr>
        <w:t xml:space="preserve"> </w:t>
      </w:r>
      <w:r w:rsidR="009B70F6">
        <w:rPr>
          <w:vertAlign w:val="subscript"/>
        </w:rPr>
        <w:softHyphen/>
      </w:r>
      <w:r w:rsidR="009B70F6">
        <w:t xml:space="preserve">= 19894.50, </w:t>
      </w:r>
      <w:r w:rsidR="009B70F6">
        <w:rPr>
          <w:i/>
          <w:iCs/>
        </w:rPr>
        <w:t xml:space="preserve">z </w:t>
      </w:r>
      <w:r w:rsidR="009B70F6">
        <w:t>= -3.</w:t>
      </w:r>
      <w:r w:rsidR="009B70F6" w:rsidRPr="00A14F29">
        <w:t xml:space="preserve">649, </w:t>
      </w:r>
      <w:r w:rsidR="009B70F6" w:rsidRPr="00A14F29">
        <w:rPr>
          <w:i/>
          <w:iCs/>
        </w:rPr>
        <w:t>p</w:t>
      </w:r>
      <w:r w:rsidR="009B70F6" w:rsidRPr="00A14F29">
        <w:t xml:space="preserve">&lt;.001, </w:t>
      </w:r>
      <w:r w:rsidR="00A14F29" w:rsidRPr="00A14F29">
        <w:rPr>
          <w:i/>
          <w:iCs/>
        </w:rPr>
        <w:t xml:space="preserve">r </w:t>
      </w:r>
      <w:r w:rsidR="00A14F29" w:rsidRPr="00A14F29">
        <w:t>= -.167</w:t>
      </w:r>
      <w:r w:rsidR="00CD5E0A">
        <w:t xml:space="preserve">, thus supporting hypothesis 1. </w:t>
      </w:r>
      <w:r w:rsidR="00C46C18">
        <w:t xml:space="preserve"> Scores for well-being (WHO-5) were significantly higher for </w:t>
      </w:r>
      <w:r w:rsidR="00EA1F42">
        <w:t>G</w:t>
      </w:r>
      <w:r w:rsidR="00C46C18">
        <w:t>rowers (</w:t>
      </w:r>
      <w:proofErr w:type="spellStart"/>
      <w:r w:rsidR="00C46C18">
        <w:rPr>
          <w:i/>
          <w:iCs/>
        </w:rPr>
        <w:t>Mdn</w:t>
      </w:r>
      <w:proofErr w:type="spellEnd"/>
      <w:r w:rsidR="00C46C18">
        <w:t xml:space="preserve"> = 48.00) than </w:t>
      </w:r>
      <w:r w:rsidR="00EA1F42">
        <w:t>N</w:t>
      </w:r>
      <w:r w:rsidR="00C46C18">
        <w:t>on-growers (</w:t>
      </w:r>
      <w:proofErr w:type="spellStart"/>
      <w:r w:rsidR="00C46C18">
        <w:rPr>
          <w:i/>
          <w:iCs/>
        </w:rPr>
        <w:t>Mdn</w:t>
      </w:r>
      <w:proofErr w:type="spellEnd"/>
      <w:r w:rsidR="00C46C18">
        <w:t xml:space="preserve">=44.00), </w:t>
      </w:r>
      <w:r w:rsidR="00C46C18">
        <w:rPr>
          <w:i/>
          <w:iCs/>
        </w:rPr>
        <w:t>U</w:t>
      </w:r>
      <w:r w:rsidR="00C46C18">
        <w:t xml:space="preserve"> = 19566.50, </w:t>
      </w:r>
      <w:r w:rsidR="00C46C18">
        <w:rPr>
          <w:i/>
          <w:iCs/>
        </w:rPr>
        <w:t xml:space="preserve">z </w:t>
      </w:r>
      <w:r w:rsidR="00C46C18">
        <w:t xml:space="preserve">= -3.666, </w:t>
      </w:r>
      <w:r w:rsidR="00C46C18">
        <w:rPr>
          <w:i/>
          <w:iCs/>
        </w:rPr>
        <w:t>p</w:t>
      </w:r>
      <w:r w:rsidR="00C46C18">
        <w:t xml:space="preserve">&lt;.001, </w:t>
      </w:r>
      <w:r w:rsidR="00C46C18">
        <w:rPr>
          <w:i/>
          <w:iCs/>
        </w:rPr>
        <w:t>r</w:t>
      </w:r>
      <w:r w:rsidR="00C46C18">
        <w:t xml:space="preserve"> </w:t>
      </w:r>
      <w:r w:rsidR="0073308E">
        <w:t>= -</w:t>
      </w:r>
      <w:r w:rsidR="00C46C18">
        <w:t>.168,</w:t>
      </w:r>
      <w:r w:rsidR="00CD5E0A">
        <w:t xml:space="preserve"> thus supporting hypothesis 2.</w:t>
      </w:r>
    </w:p>
    <w:p w14:paraId="2D92BDA1" w14:textId="06AEC21A" w:rsidR="00C03B45" w:rsidRDefault="00C03B45" w:rsidP="00C46C18">
      <w:pPr>
        <w:spacing w:after="0" w:line="480" w:lineRule="auto"/>
        <w:rPr>
          <w:u w:val="single"/>
        </w:rPr>
      </w:pPr>
    </w:p>
    <w:p w14:paraId="0F1E1C18" w14:textId="04AC0C74" w:rsidR="00C03B45" w:rsidRPr="00896857" w:rsidRDefault="00C03B45" w:rsidP="00C03B45">
      <w:pPr>
        <w:spacing w:after="0" w:line="480" w:lineRule="auto"/>
        <w:rPr>
          <w:b/>
          <w:bCs/>
          <w:i/>
          <w:iCs/>
        </w:rPr>
      </w:pPr>
      <w:r w:rsidRPr="00896857">
        <w:rPr>
          <w:b/>
          <w:bCs/>
          <w:i/>
          <w:iCs/>
        </w:rPr>
        <w:t>Mediation analysis</w:t>
      </w:r>
    </w:p>
    <w:p w14:paraId="11288370" w14:textId="75D3EF24" w:rsidR="00C03B45" w:rsidRDefault="00D64651" w:rsidP="00C03B45">
      <w:pPr>
        <w:spacing w:after="0" w:line="480" w:lineRule="auto"/>
      </w:pPr>
      <w:r>
        <w:rPr>
          <w:noProof/>
        </w:rPr>
        <mc:AlternateContent>
          <mc:Choice Requires="wpg">
            <w:drawing>
              <wp:anchor distT="0" distB="0" distL="114300" distR="114300" simplePos="0" relativeHeight="251666432" behindDoc="0" locked="0" layoutInCell="1" allowOverlap="1" wp14:anchorId="4FEFDE00" wp14:editId="7EB3B396">
                <wp:simplePos x="0" y="0"/>
                <wp:positionH relativeFrom="column">
                  <wp:posOffset>361950</wp:posOffset>
                </wp:positionH>
                <wp:positionV relativeFrom="paragraph">
                  <wp:posOffset>3683635</wp:posOffset>
                </wp:positionV>
                <wp:extent cx="4581525" cy="2408091"/>
                <wp:effectExtent l="0" t="0" r="28575" b="11430"/>
                <wp:wrapNone/>
                <wp:docPr id="327" name="Group 327"/>
                <wp:cNvGraphicFramePr/>
                <a:graphic xmlns:a="http://schemas.openxmlformats.org/drawingml/2006/main">
                  <a:graphicData uri="http://schemas.microsoft.com/office/word/2010/wordprocessingGroup">
                    <wpg:wgp>
                      <wpg:cNvGrpSpPr/>
                      <wpg:grpSpPr>
                        <a:xfrm>
                          <a:off x="0" y="0"/>
                          <a:ext cx="4581525" cy="2408091"/>
                          <a:chOff x="0" y="0"/>
                          <a:chExt cx="4581525" cy="2408091"/>
                        </a:xfrm>
                      </wpg:grpSpPr>
                      <wpg:grpSp>
                        <wpg:cNvPr id="20" name="Group 20"/>
                        <wpg:cNvGrpSpPr/>
                        <wpg:grpSpPr>
                          <a:xfrm>
                            <a:off x="0" y="285750"/>
                            <a:ext cx="4497167" cy="2122341"/>
                            <a:chOff x="-21265" y="-123825"/>
                            <a:chExt cx="4497167" cy="2122341"/>
                          </a:xfrm>
                        </wpg:grpSpPr>
                        <wps:wsp>
                          <wps:cNvPr id="6" name="Text Box 6"/>
                          <wps:cNvSpPr txBox="1"/>
                          <wps:spPr>
                            <a:xfrm>
                              <a:off x="-21265" y="1318439"/>
                              <a:ext cx="840313" cy="648862"/>
                            </a:xfrm>
                            <a:prstGeom prst="rect">
                              <a:avLst/>
                            </a:prstGeom>
                            <a:solidFill>
                              <a:schemeClr val="lt1"/>
                            </a:solidFill>
                            <a:ln w="6350">
                              <a:solidFill>
                                <a:schemeClr val="tx1"/>
                              </a:solidFill>
                            </a:ln>
                          </wps:spPr>
                          <wps:txbx>
                            <w:txbxContent>
                              <w:p w14:paraId="739C9C83" w14:textId="0078AE92" w:rsidR="00407556" w:rsidRDefault="00407556" w:rsidP="00C03B45">
                                <w:pPr>
                                  <w:jc w:val="center"/>
                                </w:pPr>
                                <w:r>
                                  <w:t>Home food growing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1883735" y="-123825"/>
                              <a:ext cx="867582" cy="723828"/>
                            </a:xfrm>
                            <a:prstGeom prst="rect">
                              <a:avLst/>
                            </a:prstGeom>
                            <a:solidFill>
                              <a:schemeClr val="lt1"/>
                            </a:solidFill>
                            <a:ln w="6350">
                              <a:solidFill>
                                <a:schemeClr val="tx1"/>
                              </a:solidFill>
                            </a:ln>
                          </wps:spPr>
                          <wps:txbx>
                            <w:txbxContent>
                              <w:p w14:paraId="5A2D3417" w14:textId="3CFE8CF1" w:rsidR="00407556" w:rsidRDefault="00407556" w:rsidP="00C03B45">
                                <w:pPr>
                                  <w:jc w:val="center"/>
                                </w:pPr>
                                <w:r>
                                  <w:t>(lower) Food insecurity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3609290" y="1329070"/>
                              <a:ext cx="866612" cy="669446"/>
                            </a:xfrm>
                            <a:prstGeom prst="rect">
                              <a:avLst/>
                            </a:prstGeom>
                            <a:solidFill>
                              <a:schemeClr val="lt1"/>
                            </a:solidFill>
                            <a:ln w="6350">
                              <a:solidFill>
                                <a:schemeClr val="tx1"/>
                              </a:solidFill>
                            </a:ln>
                          </wps:spPr>
                          <wps:txbx>
                            <w:txbxContent>
                              <w:p w14:paraId="133442C8" w14:textId="26F9ABAC" w:rsidR="00407556" w:rsidRDefault="00407556" w:rsidP="00C03B45">
                                <w:pPr>
                                  <w:jc w:val="center"/>
                                </w:pPr>
                                <w:r>
                                  <w:t>(higher)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flipV="1">
                              <a:off x="826935" y="596278"/>
                              <a:ext cx="1109704" cy="7809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826935" y="1661823"/>
                              <a:ext cx="2790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2759102" y="596348"/>
                              <a:ext cx="847725" cy="771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322" name="Text Box 322"/>
                        <wps:cNvSpPr txBox="1"/>
                        <wps:spPr>
                          <a:xfrm>
                            <a:off x="4019550" y="0"/>
                            <a:ext cx="561975" cy="342900"/>
                          </a:xfrm>
                          <a:prstGeom prst="rect">
                            <a:avLst/>
                          </a:prstGeom>
                          <a:solidFill>
                            <a:schemeClr val="lt1"/>
                          </a:solidFill>
                          <a:ln w="6350">
                            <a:solidFill>
                              <a:schemeClr val="tx1"/>
                            </a:solidFill>
                          </a:ln>
                        </wps:spPr>
                        <wps:txbx>
                          <w:txbxContent>
                            <w:p w14:paraId="59AFD6C6" w14:textId="02207372" w:rsidR="00407556" w:rsidRDefault="00407556" w:rsidP="00987D81">
                              <w:pPr>
                                <w:jc w:val="center"/>
                              </w:pPr>
                              <w:r>
                                <w: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Straight Arrow Connector 324"/>
                        <wps:cNvCnPr/>
                        <wps:spPr>
                          <a:xfrm flipH="1">
                            <a:off x="2790825" y="219075"/>
                            <a:ext cx="1247775"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6" name="Straight Arrow Connector 326"/>
                        <wps:cNvCnPr>
                          <a:endCxn id="8" idx="0"/>
                        </wps:cNvCnPr>
                        <wps:spPr>
                          <a:xfrm flipH="1">
                            <a:off x="4063861" y="333351"/>
                            <a:ext cx="270015" cy="14051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FEFDE00" id="Group 327" o:spid="_x0000_s1026" style="position:absolute;margin-left:28.5pt;margin-top:290.05pt;width:360.75pt;height:189.6pt;z-index:251666432" coordsize="45815,2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">
                <v:group id="Group 20" o:spid="_x0000_s1027" style="position:absolute;top:2857;width:44971;height:21223" coordorigin="-212,-1238" coordsize="44971,2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02" coordsize="21600,21600" o:spt="202" path="m,l,21600r21600,l21600,xe">
                    <v:stroke joinstyle="miter"/>
                    <v:path gradientshapeok="t" o:connecttype="rect"/>
                  </v:shapetype>
                  <v:shape id="Text Box 6" o:spid="_x0000_s1028" type="#_x0000_t202" style="position:absolute;left:-212;top:13184;width:8402;height:6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" fillcolor="white [3201]" strokecolor="black [3213]" strokeweight=".5pt">
                    <v:textbox>
                      <w:txbxContent>
                        <w:p w14:paraId="739C9C83" w14:textId="0078AE92" w:rsidR="00407556" w:rsidRDefault="00407556" w:rsidP="00C03B45">
                          <w:pPr>
                            <w:jc w:val="center"/>
                          </w:pPr>
                          <w:r>
                            <w:t>Home food growing</w:t>
                          </w:r>
                        </w:p>
                      </w:txbxContent>
                    </v:textbox>
                  </v:shape>
                  <v:shape id="Text Box 7" o:spid="_x0000_s1029" type="#_x0000_t202" style="position:absolute;left:18837;top:-1238;width:8676;height:7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" fillcolor="white [3201]" strokecolor="black [3213]" strokeweight=".5pt">
                    <v:textbox>
                      <w:txbxContent>
                        <w:p w14:paraId="5A2D3417" w14:textId="3CFE8CF1" w:rsidR="00407556" w:rsidRDefault="00407556" w:rsidP="00C03B45">
                          <w:pPr>
                            <w:jc w:val="center"/>
                          </w:pPr>
                          <w:r>
                            <w:t>(lower) Food insecurity</w:t>
                          </w:r>
                        </w:p>
                      </w:txbxContent>
                    </v:textbox>
                  </v:shape>
                  <v:shape id="Text Box 8" o:spid="_x0000_s1030" type="#_x0000_t202" style="position:absolute;left:36092;top:13290;width:8667;height:6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" fillcolor="white [3201]" strokecolor="black [3213]" strokeweight=".5pt">
                    <v:textbox>
                      <w:txbxContent>
                        <w:p w14:paraId="133442C8" w14:textId="26F9ABAC" w:rsidR="00407556" w:rsidRDefault="00407556" w:rsidP="00C03B45">
                          <w:pPr>
                            <w:jc w:val="center"/>
                          </w:pPr>
                          <w:r>
                            <w:t>(higher) Well-being</w:t>
                          </w:r>
                        </w:p>
                      </w:txbxContent>
                    </v:textbox>
                  </v:shape>
                  <v:shapetype id="_x0000_t32" coordsize="21600,21600" o:spt="32" o:oned="t" path="m,l21600,21600e" filled="f">
                    <v:path arrowok="t" fillok="f" o:connecttype="none"/>
                    <o:lock v:ext="edit" shapetype="t"/>
                  </v:shapetype>
                  <v:shape id="Straight Arrow Connector 9" o:spid="_x0000_s1031" type="#_x0000_t32" style="position:absolute;left:8269;top:5962;width:11097;height:7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" strokecolor="black [3200]" strokeweight=".5pt">
                    <v:stroke endarrow="block" joinstyle="miter"/>
                  </v:shape>
                  <v:shape id="Straight Arrow Connector 11" o:spid="_x0000_s1032" type="#_x0000_t32" style="position:absolute;left:8269;top:16618;width:279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shape id="Straight Arrow Connector 12" o:spid="_x0000_s1033" type="#_x0000_t32" style="position:absolute;left:27591;top:5963;width:8477;height:7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group>
                <v:shape id="Text Box 322" o:spid="_x0000_s1034" type="#_x0000_t202" style="position:absolute;left:40195;width:56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" fillcolor="white [3201]" strokecolor="black [3213]" strokeweight=".5pt">
                  <v:textbox>
                    <w:txbxContent>
                      <w:p w14:paraId="59AFD6C6" w14:textId="02207372" w:rsidR="00407556" w:rsidRDefault="00407556" w:rsidP="00987D81">
                        <w:pPr>
                          <w:jc w:val="center"/>
                        </w:pPr>
                        <w:r>
                          <w:t>Age</w:t>
                        </w:r>
                      </w:p>
                    </w:txbxContent>
                  </v:textbox>
                </v:shape>
                <v:shape id="Straight Arrow Connector 324" o:spid="_x0000_s1035" type="#_x0000_t32" style="position:absolute;left:27908;top:2190;width:12478;height:47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" strokecolor="black [3200]" strokeweight=".5pt">
                  <v:stroke endarrow="block" joinstyle="miter"/>
                </v:shape>
                <v:shape id="Straight Arrow Connector 326" o:spid="_x0000_s1036" type="#_x0000_t32" style="position:absolute;left:40638;top:3333;width:2700;height:140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" strokecolor="black [3200]" strokeweight=".5pt">
                  <v:stroke endarrow="block" joinstyle="miter"/>
                </v:shape>
              </v:group>
            </w:pict>
          </mc:Fallback>
        </mc:AlternateContent>
      </w:r>
      <w:r w:rsidR="00C03B45">
        <w:t xml:space="preserve">We </w:t>
      </w:r>
      <w:r w:rsidR="008C63F9">
        <w:t>conducted</w:t>
      </w:r>
      <w:r w:rsidR="00C03B45">
        <w:t xml:space="preserve"> an exploratory, simple mediation analysis (Figure </w:t>
      </w:r>
      <w:r w:rsidR="00244A8B">
        <w:t>2</w:t>
      </w:r>
      <w:r w:rsidR="00C03B45">
        <w:t xml:space="preserve">) to test if </w:t>
      </w:r>
      <w:r w:rsidR="00E04AC0">
        <w:t xml:space="preserve">perceived </w:t>
      </w:r>
      <w:r w:rsidR="00C03B45">
        <w:t xml:space="preserve">food insecurity (FIES score) explained the relationship between </w:t>
      </w:r>
      <w:r w:rsidR="00645A27">
        <w:t>home food growing</w:t>
      </w:r>
      <w:r w:rsidR="00C03B45">
        <w:t xml:space="preserve"> and well-being (WHO-5 score).  </w:t>
      </w:r>
      <w:r w:rsidR="00573333">
        <w:t xml:space="preserve">Age </w:t>
      </w:r>
      <w:r w:rsidR="003B14F9">
        <w:t xml:space="preserve">(years) </w:t>
      </w:r>
      <w:r w:rsidR="00573333">
        <w:t>was entered as a covariate</w:t>
      </w:r>
      <w:r w:rsidR="007C0470">
        <w:t xml:space="preserve"> </w:t>
      </w:r>
      <w:r w:rsidR="00A519EA">
        <w:t xml:space="preserve">given the finding that participants </w:t>
      </w:r>
      <w:r w:rsidR="00987D81">
        <w:t xml:space="preserve">in two categories of grower status differed in age. </w:t>
      </w:r>
      <w:r w:rsidR="0002050A">
        <w:t>Associat</w:t>
      </w:r>
      <w:r>
        <w:t>ions</w:t>
      </w:r>
      <w:r w:rsidR="0002050A">
        <w:t xml:space="preserve"> between the variables are shown in Table 2.</w:t>
      </w:r>
      <w:r w:rsidR="005B3EDA">
        <w:t xml:space="preserve"> Overall </w:t>
      </w:r>
      <w:r w:rsidR="005B3EDA" w:rsidRPr="38F0A9E2">
        <w:rPr>
          <w:i/>
          <w:iCs/>
        </w:rPr>
        <w:t>R</w:t>
      </w:r>
      <w:r w:rsidR="005B3EDA" w:rsidRPr="38F0A9E2">
        <w:rPr>
          <w:i/>
          <w:iCs/>
          <w:vertAlign w:val="superscript"/>
        </w:rPr>
        <w:t xml:space="preserve">2 </w:t>
      </w:r>
      <w:r w:rsidR="005B3EDA">
        <w:t>for the model was .</w:t>
      </w:r>
      <w:r w:rsidR="008539BE">
        <w:t>110</w:t>
      </w:r>
      <w:r w:rsidR="005B3EDA">
        <w:t xml:space="preserve">. </w:t>
      </w:r>
      <w:r w:rsidR="00C03B45">
        <w:t xml:space="preserve">Being engaged in </w:t>
      </w:r>
      <w:r w:rsidR="00645A27">
        <w:t>home food growing</w:t>
      </w:r>
      <w:r w:rsidR="00C03B45">
        <w:t xml:space="preserve"> (versus not engaged) was associated with lower food </w:t>
      </w:r>
      <w:r w:rsidR="00645A27">
        <w:t>in</w:t>
      </w:r>
      <w:r w:rsidR="00C03B45">
        <w:t xml:space="preserve">security, and </w:t>
      </w:r>
      <w:r w:rsidR="00936975">
        <w:t>lower</w:t>
      </w:r>
      <w:r w:rsidR="00C03B45">
        <w:t xml:space="preserve"> food </w:t>
      </w:r>
      <w:r w:rsidR="00645A27">
        <w:t>in</w:t>
      </w:r>
      <w:r w:rsidR="00C03B45">
        <w:t xml:space="preserve">security was associated with </w:t>
      </w:r>
      <w:r w:rsidR="00936975">
        <w:t>better</w:t>
      </w:r>
      <w:r w:rsidR="00C03B45">
        <w:t xml:space="preserve"> wellbeing. </w:t>
      </w:r>
      <w:r w:rsidR="00165C69">
        <w:t xml:space="preserve">There was a significant indirect effect of </w:t>
      </w:r>
      <w:r w:rsidR="005B3EDA">
        <w:t xml:space="preserve">home </w:t>
      </w:r>
      <w:r w:rsidR="00165C69">
        <w:t>food growing on wellbeing via food insecurity (</w:t>
      </w:r>
      <w:r w:rsidR="00165C69">
        <w:rPr>
          <w:i/>
        </w:rPr>
        <w:t>IE</w:t>
      </w:r>
      <w:r w:rsidR="00165C69">
        <w:t>=</w:t>
      </w:r>
      <w:r>
        <w:t>.</w:t>
      </w:r>
      <w:r w:rsidR="008539BE">
        <w:t>914</w:t>
      </w:r>
      <w:r w:rsidR="00165C69">
        <w:t xml:space="preserve">, </w:t>
      </w:r>
      <w:r w:rsidR="00165C69">
        <w:rPr>
          <w:i/>
        </w:rPr>
        <w:t xml:space="preserve">SE </w:t>
      </w:r>
      <w:r w:rsidR="00165C69">
        <w:t>= .</w:t>
      </w:r>
      <w:r w:rsidR="008539BE">
        <w:t>473</w:t>
      </w:r>
      <w:r w:rsidR="00165C69">
        <w:t xml:space="preserve">, </w:t>
      </w:r>
      <w:r w:rsidR="00165C69">
        <w:rPr>
          <w:i/>
        </w:rPr>
        <w:t>CI</w:t>
      </w:r>
      <w:r w:rsidR="00165C69">
        <w:t xml:space="preserve"> .</w:t>
      </w:r>
      <w:r w:rsidR="008539BE">
        <w:t>184</w:t>
      </w:r>
      <w:r w:rsidR="00165C69">
        <w:t xml:space="preserve"> to </w:t>
      </w:r>
      <w:r w:rsidR="008539BE">
        <w:t>2</w:t>
      </w:r>
      <w:r>
        <w:t>.</w:t>
      </w:r>
      <w:r w:rsidR="008539BE">
        <w:t>016</w:t>
      </w:r>
      <w:r w:rsidR="00165C69">
        <w:t xml:space="preserve">). </w:t>
      </w:r>
      <w:r w:rsidR="00C03B45">
        <w:t xml:space="preserve">The direct relationship between </w:t>
      </w:r>
      <w:r w:rsidR="00936975">
        <w:t xml:space="preserve">home food growing </w:t>
      </w:r>
      <w:r w:rsidR="00C03B45">
        <w:t>and wellbeing was also</w:t>
      </w:r>
      <w:r>
        <w:t xml:space="preserve"> significant</w:t>
      </w:r>
      <w:r w:rsidR="00645A27">
        <w:t>, such that being engaged in home food growing was associate</w:t>
      </w:r>
      <w:r w:rsidR="00936975">
        <w:t>d</w:t>
      </w:r>
      <w:r w:rsidR="00645A27">
        <w:t xml:space="preserve"> with better well-being.</w:t>
      </w:r>
      <w:r w:rsidR="00C03B45">
        <w:t xml:space="preserve"> </w:t>
      </w:r>
      <w:r w:rsidR="008F2298">
        <w:t>This indicates that</w:t>
      </w:r>
      <w:r w:rsidR="005B3EDA">
        <w:t>, when controlling for age,</w:t>
      </w:r>
      <w:r w:rsidR="008F2298">
        <w:t xml:space="preserve"> the relationship between home food growing and well-being was partly mediated by food insecurity. </w:t>
      </w:r>
    </w:p>
    <w:p w14:paraId="0ACFB6A9" w14:textId="77D5C71C" w:rsidR="009C3249" w:rsidRDefault="009C3249" w:rsidP="00C03B45">
      <w:pPr>
        <w:spacing w:after="0" w:line="480" w:lineRule="auto"/>
      </w:pPr>
    </w:p>
    <w:p w14:paraId="73E7E1BA" w14:textId="76818FC9" w:rsidR="00C03B45" w:rsidRDefault="00C03B45" w:rsidP="00C03B45">
      <w:pPr>
        <w:spacing w:after="0" w:line="480" w:lineRule="auto"/>
      </w:pPr>
    </w:p>
    <w:p w14:paraId="21CBA2FE" w14:textId="77777777" w:rsidR="00C03B45" w:rsidRPr="00514664" w:rsidRDefault="00C03B45" w:rsidP="00C03B45">
      <w:pPr>
        <w:spacing w:after="0" w:line="480" w:lineRule="auto"/>
      </w:pPr>
    </w:p>
    <w:p w14:paraId="1C38BF05" w14:textId="77777777" w:rsidR="00C03B45" w:rsidRPr="0015152F" w:rsidRDefault="00C03B45" w:rsidP="00C03B45">
      <w:pPr>
        <w:spacing w:after="0" w:line="480" w:lineRule="auto"/>
      </w:pPr>
    </w:p>
    <w:p w14:paraId="4804E700" w14:textId="77777777" w:rsidR="00C03B45" w:rsidRDefault="00C03B45" w:rsidP="00C03B45">
      <w:pPr>
        <w:spacing w:after="0" w:line="480" w:lineRule="auto"/>
        <w:rPr>
          <w:i/>
        </w:rPr>
      </w:pPr>
    </w:p>
    <w:p w14:paraId="7F1ED013" w14:textId="77777777" w:rsidR="00C03B45" w:rsidRDefault="00C03B45" w:rsidP="00C03B45">
      <w:pPr>
        <w:tabs>
          <w:tab w:val="left" w:pos="1530"/>
        </w:tabs>
        <w:spacing w:after="0" w:line="480" w:lineRule="auto"/>
        <w:rPr>
          <w:i/>
        </w:rPr>
      </w:pPr>
      <w:r>
        <w:rPr>
          <w:i/>
        </w:rPr>
        <w:tab/>
      </w:r>
    </w:p>
    <w:p w14:paraId="5C216A61" w14:textId="77777777" w:rsidR="00C03B45" w:rsidRDefault="00C03B45" w:rsidP="00C03B45">
      <w:pPr>
        <w:spacing w:after="0" w:line="480" w:lineRule="auto"/>
        <w:rPr>
          <w:i/>
        </w:rPr>
      </w:pPr>
    </w:p>
    <w:p w14:paraId="08FAE049" w14:textId="77777777" w:rsidR="00C03B45" w:rsidRDefault="00C03B45" w:rsidP="00C03B45">
      <w:pPr>
        <w:spacing w:after="0" w:line="480" w:lineRule="auto"/>
        <w:rPr>
          <w:i/>
        </w:rPr>
      </w:pPr>
    </w:p>
    <w:p w14:paraId="1B7B0A38" w14:textId="09E0A2BD" w:rsidR="00C03B45" w:rsidRPr="00896857" w:rsidRDefault="00C03B45" w:rsidP="00C03B45">
      <w:pPr>
        <w:spacing w:after="0" w:line="480" w:lineRule="auto"/>
        <w:rPr>
          <w:b/>
          <w:bCs/>
        </w:rPr>
      </w:pPr>
      <w:r w:rsidRPr="00896857">
        <w:rPr>
          <w:b/>
          <w:bCs/>
        </w:rPr>
        <w:t xml:space="preserve">Figure </w:t>
      </w:r>
      <w:r w:rsidR="00244A8B" w:rsidRPr="00896857">
        <w:rPr>
          <w:b/>
          <w:bCs/>
        </w:rPr>
        <w:t>2</w:t>
      </w:r>
      <w:r w:rsidRPr="00896857">
        <w:rPr>
          <w:b/>
          <w:bCs/>
        </w:rPr>
        <w:t xml:space="preserve">. Proposed mediation model. </w:t>
      </w:r>
    </w:p>
    <w:p w14:paraId="4CD0399A" w14:textId="5B15AD52" w:rsidR="008539BE" w:rsidRDefault="008539BE" w:rsidP="00C03B45">
      <w:pPr>
        <w:spacing w:after="0" w:line="480" w:lineRule="auto"/>
      </w:pPr>
    </w:p>
    <w:p w14:paraId="69A6FF66" w14:textId="380231AC" w:rsidR="00DD51EC" w:rsidRDefault="00DD51EC" w:rsidP="00C03B45">
      <w:pPr>
        <w:spacing w:after="0" w:line="480" w:lineRule="auto"/>
      </w:pPr>
    </w:p>
    <w:p w14:paraId="473875F1" w14:textId="472EB802" w:rsidR="00DD51EC" w:rsidRDefault="00DD51EC" w:rsidP="00C03B45">
      <w:pPr>
        <w:spacing w:after="0" w:line="480" w:lineRule="auto"/>
      </w:pPr>
    </w:p>
    <w:p w14:paraId="6655F6EC" w14:textId="77777777" w:rsidR="00DD51EC" w:rsidRPr="00676624" w:rsidRDefault="00DD51EC" w:rsidP="00C03B45">
      <w:pPr>
        <w:spacing w:after="0" w:line="480" w:lineRule="auto"/>
      </w:pPr>
    </w:p>
    <w:p w14:paraId="1B8E2FFB" w14:textId="0F98575F" w:rsidR="00001FED" w:rsidRPr="00896857" w:rsidRDefault="0002050A" w:rsidP="002F4BD0">
      <w:pPr>
        <w:spacing w:after="0" w:line="480" w:lineRule="auto"/>
        <w:rPr>
          <w:b/>
          <w:bCs/>
          <w:iCs/>
        </w:rPr>
      </w:pPr>
      <w:r w:rsidRPr="00896857">
        <w:rPr>
          <w:b/>
          <w:bCs/>
          <w:iCs/>
        </w:rPr>
        <w:t xml:space="preserve">Table 2. </w:t>
      </w:r>
      <w:r w:rsidR="005B3EDA" w:rsidRPr="00896857">
        <w:rPr>
          <w:b/>
          <w:bCs/>
          <w:iCs/>
        </w:rPr>
        <w:t>Direct a</w:t>
      </w:r>
      <w:r w:rsidRPr="00896857">
        <w:rPr>
          <w:b/>
          <w:bCs/>
          <w:iCs/>
        </w:rPr>
        <w:t xml:space="preserve">ssociations between variables </w:t>
      </w:r>
    </w:p>
    <w:tbl>
      <w:tblPr>
        <w:tblStyle w:val="TableGrid"/>
        <w:tblpPr w:leftFromText="180" w:rightFromText="180" w:vertAnchor="text" w:tblpY="1"/>
        <w:tblOverlap w:val="never"/>
        <w:tblW w:w="777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468"/>
        <w:gridCol w:w="805"/>
        <w:gridCol w:w="70"/>
        <w:gridCol w:w="1753"/>
      </w:tblGrid>
      <w:tr w:rsidR="0002050A" w:rsidRPr="000C594C" w14:paraId="49357458" w14:textId="77777777" w:rsidTr="00A95AB3">
        <w:tc>
          <w:tcPr>
            <w:tcW w:w="3681" w:type="dxa"/>
            <w:tcBorders>
              <w:top w:val="single" w:sz="4" w:space="0" w:color="auto"/>
              <w:bottom w:val="single" w:sz="4" w:space="0" w:color="auto"/>
            </w:tcBorders>
          </w:tcPr>
          <w:p w14:paraId="491911E3" w14:textId="7D35FA50" w:rsidR="0002050A" w:rsidRPr="00896857" w:rsidRDefault="0002050A" w:rsidP="008539BE">
            <w:pPr>
              <w:spacing w:line="480" w:lineRule="auto"/>
              <w:rPr>
                <w:b/>
                <w:bCs/>
                <w:i/>
                <w:iCs/>
              </w:rPr>
            </w:pPr>
            <w:r w:rsidRPr="00896857">
              <w:rPr>
                <w:b/>
                <w:bCs/>
                <w:i/>
                <w:iCs/>
              </w:rPr>
              <w:t>Association</w:t>
            </w:r>
          </w:p>
        </w:tc>
        <w:tc>
          <w:tcPr>
            <w:tcW w:w="1468" w:type="dxa"/>
            <w:tcBorders>
              <w:top w:val="single" w:sz="4" w:space="0" w:color="auto"/>
              <w:bottom w:val="single" w:sz="4" w:space="0" w:color="auto"/>
            </w:tcBorders>
          </w:tcPr>
          <w:p w14:paraId="61D0114C" w14:textId="1A09652B" w:rsidR="0002050A" w:rsidRPr="00896857" w:rsidRDefault="0002050A" w:rsidP="008539BE">
            <w:pPr>
              <w:spacing w:line="480" w:lineRule="auto"/>
              <w:jc w:val="right"/>
              <w:rPr>
                <w:b/>
                <w:bCs/>
                <w:iCs/>
              </w:rPr>
            </w:pPr>
            <w:r w:rsidRPr="00896857">
              <w:rPr>
                <w:b/>
                <w:bCs/>
                <w:i/>
                <w:iCs/>
              </w:rPr>
              <w:t>b (SE)</w:t>
            </w:r>
          </w:p>
        </w:tc>
        <w:tc>
          <w:tcPr>
            <w:tcW w:w="805" w:type="dxa"/>
            <w:tcBorders>
              <w:top w:val="single" w:sz="4" w:space="0" w:color="auto"/>
              <w:bottom w:val="single" w:sz="4" w:space="0" w:color="auto"/>
            </w:tcBorders>
          </w:tcPr>
          <w:p w14:paraId="063476AA" w14:textId="3230E381" w:rsidR="0002050A" w:rsidRPr="00896857" w:rsidRDefault="0002050A" w:rsidP="008539BE">
            <w:pPr>
              <w:spacing w:line="480" w:lineRule="auto"/>
              <w:jc w:val="right"/>
              <w:rPr>
                <w:b/>
                <w:bCs/>
                <w:i/>
                <w:iCs/>
              </w:rPr>
            </w:pPr>
            <w:r w:rsidRPr="00896857">
              <w:rPr>
                <w:b/>
                <w:bCs/>
                <w:i/>
                <w:iCs/>
              </w:rPr>
              <w:t>p</w:t>
            </w:r>
          </w:p>
        </w:tc>
        <w:tc>
          <w:tcPr>
            <w:tcW w:w="1823" w:type="dxa"/>
            <w:gridSpan w:val="2"/>
            <w:tcBorders>
              <w:top w:val="single" w:sz="4" w:space="0" w:color="auto"/>
              <w:bottom w:val="single" w:sz="4" w:space="0" w:color="auto"/>
            </w:tcBorders>
          </w:tcPr>
          <w:p w14:paraId="25B91A5F" w14:textId="31BE0CEF" w:rsidR="0002050A" w:rsidRPr="00896857" w:rsidRDefault="0002050A" w:rsidP="008539BE">
            <w:pPr>
              <w:spacing w:line="480" w:lineRule="auto"/>
              <w:jc w:val="right"/>
              <w:rPr>
                <w:b/>
                <w:bCs/>
                <w:i/>
                <w:iCs/>
              </w:rPr>
            </w:pPr>
            <w:r w:rsidRPr="00896857">
              <w:rPr>
                <w:b/>
                <w:bCs/>
                <w:i/>
                <w:iCs/>
              </w:rPr>
              <w:t>95% CI</w:t>
            </w:r>
          </w:p>
        </w:tc>
      </w:tr>
      <w:tr w:rsidR="0002050A" w14:paraId="7891804D" w14:textId="77777777" w:rsidTr="008539BE">
        <w:tc>
          <w:tcPr>
            <w:tcW w:w="3681" w:type="dxa"/>
            <w:tcBorders>
              <w:top w:val="single" w:sz="4" w:space="0" w:color="auto"/>
            </w:tcBorders>
          </w:tcPr>
          <w:p w14:paraId="22BD38E6" w14:textId="4E783618" w:rsidR="0002050A" w:rsidRDefault="0002050A" w:rsidP="008539BE">
            <w:pPr>
              <w:spacing w:line="480" w:lineRule="auto"/>
              <w:jc w:val="center"/>
              <w:rPr>
                <w:iCs/>
              </w:rPr>
            </w:pPr>
            <w:r>
              <w:rPr>
                <w:iCs/>
              </w:rPr>
              <w:t xml:space="preserve">Home food growing </w:t>
            </w:r>
            <w:r w:rsidRPr="00001C08">
              <w:rPr>
                <w:rFonts w:ascii="Calibri" w:hAnsi="Calibri" w:cs="Calibri"/>
                <w:color w:val="000000"/>
              </w:rPr>
              <w:t>→</w:t>
            </w:r>
            <w:r>
              <w:rPr>
                <w:rFonts w:ascii="Calibri" w:hAnsi="Calibri" w:cs="Calibri"/>
                <w:color w:val="000000"/>
              </w:rPr>
              <w:t xml:space="preserve"> Food insecurity</w:t>
            </w:r>
          </w:p>
        </w:tc>
        <w:tc>
          <w:tcPr>
            <w:tcW w:w="1468" w:type="dxa"/>
            <w:tcBorders>
              <w:top w:val="single" w:sz="4" w:space="0" w:color="auto"/>
            </w:tcBorders>
          </w:tcPr>
          <w:p w14:paraId="503C9CBB" w14:textId="2D2D0991" w:rsidR="0002050A" w:rsidRDefault="0002050A" w:rsidP="008539BE">
            <w:pPr>
              <w:spacing w:line="480" w:lineRule="auto"/>
              <w:jc w:val="right"/>
              <w:rPr>
                <w:iCs/>
              </w:rPr>
            </w:pPr>
            <w:r>
              <w:rPr>
                <w:iCs/>
              </w:rPr>
              <w:t>-</w:t>
            </w:r>
            <w:r w:rsidR="008539BE">
              <w:rPr>
                <w:iCs/>
              </w:rPr>
              <w:t>.425</w:t>
            </w:r>
            <w:r>
              <w:rPr>
                <w:iCs/>
              </w:rPr>
              <w:t xml:space="preserve"> (.</w:t>
            </w:r>
            <w:r w:rsidR="008539BE">
              <w:rPr>
                <w:iCs/>
              </w:rPr>
              <w:t>158</w:t>
            </w:r>
            <w:r>
              <w:rPr>
                <w:iCs/>
              </w:rPr>
              <w:t>)</w:t>
            </w:r>
          </w:p>
        </w:tc>
        <w:tc>
          <w:tcPr>
            <w:tcW w:w="875" w:type="dxa"/>
            <w:gridSpan w:val="2"/>
            <w:tcBorders>
              <w:top w:val="single" w:sz="4" w:space="0" w:color="auto"/>
            </w:tcBorders>
          </w:tcPr>
          <w:p w14:paraId="40558F38" w14:textId="1F3F8B6F" w:rsidR="0002050A" w:rsidRDefault="008539BE" w:rsidP="008539BE">
            <w:pPr>
              <w:spacing w:line="480" w:lineRule="auto"/>
              <w:jc w:val="right"/>
              <w:rPr>
                <w:iCs/>
              </w:rPr>
            </w:pPr>
            <w:r>
              <w:rPr>
                <w:iCs/>
              </w:rPr>
              <w:t>&lt;.001</w:t>
            </w:r>
          </w:p>
        </w:tc>
        <w:tc>
          <w:tcPr>
            <w:tcW w:w="1753" w:type="dxa"/>
            <w:tcBorders>
              <w:top w:val="single" w:sz="4" w:space="0" w:color="auto"/>
            </w:tcBorders>
          </w:tcPr>
          <w:p w14:paraId="2D6436A7" w14:textId="62CD4E2A" w:rsidR="0002050A" w:rsidRDefault="005E6664" w:rsidP="008539BE">
            <w:pPr>
              <w:spacing w:line="480" w:lineRule="auto"/>
              <w:jc w:val="right"/>
              <w:rPr>
                <w:iCs/>
              </w:rPr>
            </w:pPr>
            <w:r>
              <w:rPr>
                <w:iCs/>
              </w:rPr>
              <w:t>-.</w:t>
            </w:r>
            <w:r w:rsidR="008539BE">
              <w:rPr>
                <w:iCs/>
              </w:rPr>
              <w:t>735</w:t>
            </w:r>
            <w:r>
              <w:rPr>
                <w:iCs/>
              </w:rPr>
              <w:t xml:space="preserve"> to -.</w:t>
            </w:r>
            <w:r w:rsidR="008539BE">
              <w:rPr>
                <w:iCs/>
              </w:rPr>
              <w:t>116</w:t>
            </w:r>
          </w:p>
        </w:tc>
      </w:tr>
      <w:tr w:rsidR="0002050A" w14:paraId="2539ADAB" w14:textId="77777777" w:rsidTr="008539BE">
        <w:tc>
          <w:tcPr>
            <w:tcW w:w="3681" w:type="dxa"/>
          </w:tcPr>
          <w:p w14:paraId="00F40FCC" w14:textId="208DB992" w:rsidR="0002050A" w:rsidRDefault="0002050A" w:rsidP="008539BE">
            <w:pPr>
              <w:spacing w:line="480" w:lineRule="auto"/>
              <w:rPr>
                <w:iCs/>
              </w:rPr>
            </w:pPr>
            <w:r>
              <w:rPr>
                <w:iCs/>
              </w:rPr>
              <w:t xml:space="preserve">Food insecurity </w:t>
            </w:r>
            <w:r w:rsidRPr="00001C08">
              <w:rPr>
                <w:rFonts w:ascii="Calibri" w:hAnsi="Calibri" w:cs="Calibri"/>
                <w:color w:val="000000"/>
              </w:rPr>
              <w:t>→</w:t>
            </w:r>
            <w:r>
              <w:rPr>
                <w:rFonts w:ascii="Calibri" w:hAnsi="Calibri" w:cs="Calibri"/>
                <w:color w:val="000000"/>
              </w:rPr>
              <w:t xml:space="preserve"> Well-being</w:t>
            </w:r>
          </w:p>
        </w:tc>
        <w:tc>
          <w:tcPr>
            <w:tcW w:w="1468" w:type="dxa"/>
          </w:tcPr>
          <w:p w14:paraId="2E0EC879" w14:textId="78701402" w:rsidR="0002050A" w:rsidRDefault="005E6664" w:rsidP="008539BE">
            <w:pPr>
              <w:spacing w:line="480" w:lineRule="auto"/>
              <w:jc w:val="right"/>
              <w:rPr>
                <w:iCs/>
              </w:rPr>
            </w:pPr>
            <w:r>
              <w:rPr>
                <w:iCs/>
              </w:rPr>
              <w:t>-2.1</w:t>
            </w:r>
            <w:r w:rsidR="008B3FBC">
              <w:rPr>
                <w:iCs/>
              </w:rPr>
              <w:t>48</w:t>
            </w:r>
            <w:r>
              <w:rPr>
                <w:iCs/>
              </w:rPr>
              <w:t xml:space="preserve"> (.56</w:t>
            </w:r>
            <w:r w:rsidR="008B3FBC">
              <w:rPr>
                <w:iCs/>
              </w:rPr>
              <w:t>1</w:t>
            </w:r>
            <w:r>
              <w:rPr>
                <w:iCs/>
              </w:rPr>
              <w:t>)</w:t>
            </w:r>
          </w:p>
        </w:tc>
        <w:tc>
          <w:tcPr>
            <w:tcW w:w="875" w:type="dxa"/>
            <w:gridSpan w:val="2"/>
          </w:tcPr>
          <w:p w14:paraId="082D88C0" w14:textId="65AB1E4F" w:rsidR="0002050A" w:rsidRDefault="005E6664" w:rsidP="008539BE">
            <w:pPr>
              <w:spacing w:line="480" w:lineRule="auto"/>
              <w:jc w:val="right"/>
              <w:rPr>
                <w:iCs/>
              </w:rPr>
            </w:pPr>
            <w:r>
              <w:rPr>
                <w:iCs/>
              </w:rPr>
              <w:t>&lt;.001</w:t>
            </w:r>
          </w:p>
        </w:tc>
        <w:tc>
          <w:tcPr>
            <w:tcW w:w="1753" w:type="dxa"/>
          </w:tcPr>
          <w:p w14:paraId="55E3F4F8" w14:textId="46E555BA" w:rsidR="0002050A" w:rsidRDefault="005E6664" w:rsidP="008539BE">
            <w:pPr>
              <w:spacing w:line="480" w:lineRule="auto"/>
              <w:jc w:val="right"/>
              <w:rPr>
                <w:iCs/>
              </w:rPr>
            </w:pPr>
            <w:r>
              <w:rPr>
                <w:iCs/>
              </w:rPr>
              <w:t>-3.2</w:t>
            </w:r>
            <w:r w:rsidR="008B3FBC">
              <w:rPr>
                <w:iCs/>
              </w:rPr>
              <w:t>50</w:t>
            </w:r>
            <w:r>
              <w:rPr>
                <w:iCs/>
              </w:rPr>
              <w:t xml:space="preserve"> to -1.045</w:t>
            </w:r>
          </w:p>
        </w:tc>
      </w:tr>
      <w:tr w:rsidR="0002050A" w14:paraId="1DC083ED" w14:textId="77777777" w:rsidTr="008539BE">
        <w:tc>
          <w:tcPr>
            <w:tcW w:w="3681" w:type="dxa"/>
          </w:tcPr>
          <w:p w14:paraId="30C83391" w14:textId="303C9C2F" w:rsidR="0002050A" w:rsidRDefault="0002050A" w:rsidP="008539BE">
            <w:pPr>
              <w:spacing w:line="480" w:lineRule="auto"/>
              <w:rPr>
                <w:iCs/>
              </w:rPr>
            </w:pPr>
            <w:r>
              <w:rPr>
                <w:iCs/>
              </w:rPr>
              <w:t xml:space="preserve">Home food growing </w:t>
            </w:r>
            <w:r w:rsidRPr="00001C08">
              <w:rPr>
                <w:rFonts w:ascii="Calibri" w:hAnsi="Calibri" w:cs="Calibri"/>
                <w:color w:val="000000"/>
              </w:rPr>
              <w:t>→</w:t>
            </w:r>
            <w:r>
              <w:rPr>
                <w:rFonts w:ascii="Calibri" w:hAnsi="Calibri" w:cs="Calibri"/>
                <w:color w:val="000000"/>
              </w:rPr>
              <w:t xml:space="preserve"> Well-being</w:t>
            </w:r>
          </w:p>
        </w:tc>
        <w:tc>
          <w:tcPr>
            <w:tcW w:w="1468" w:type="dxa"/>
          </w:tcPr>
          <w:p w14:paraId="0B6F0F3B" w14:textId="05475B2A" w:rsidR="0002050A" w:rsidRDefault="008B3FBC" w:rsidP="008539BE">
            <w:pPr>
              <w:spacing w:line="480" w:lineRule="auto"/>
              <w:jc w:val="right"/>
              <w:rPr>
                <w:iCs/>
              </w:rPr>
            </w:pPr>
            <w:r>
              <w:rPr>
                <w:iCs/>
              </w:rPr>
              <w:t>5.346</w:t>
            </w:r>
            <w:r w:rsidR="005E6664">
              <w:rPr>
                <w:iCs/>
              </w:rPr>
              <w:t xml:space="preserve"> (</w:t>
            </w:r>
            <w:r>
              <w:rPr>
                <w:iCs/>
              </w:rPr>
              <w:t>1.940)</w:t>
            </w:r>
          </w:p>
        </w:tc>
        <w:tc>
          <w:tcPr>
            <w:tcW w:w="875" w:type="dxa"/>
            <w:gridSpan w:val="2"/>
          </w:tcPr>
          <w:p w14:paraId="3EA7FDD6" w14:textId="78F62E1D" w:rsidR="0002050A" w:rsidRDefault="005E6664" w:rsidP="008539BE">
            <w:pPr>
              <w:spacing w:line="480" w:lineRule="auto"/>
              <w:jc w:val="right"/>
              <w:rPr>
                <w:iCs/>
              </w:rPr>
            </w:pPr>
            <w:r>
              <w:rPr>
                <w:iCs/>
              </w:rPr>
              <w:t>.00</w:t>
            </w:r>
            <w:r w:rsidR="008B3FBC">
              <w:rPr>
                <w:iCs/>
              </w:rPr>
              <w:t>6</w:t>
            </w:r>
          </w:p>
        </w:tc>
        <w:tc>
          <w:tcPr>
            <w:tcW w:w="1753" w:type="dxa"/>
          </w:tcPr>
          <w:p w14:paraId="4DC1C572" w14:textId="48597505" w:rsidR="0002050A" w:rsidRDefault="008B3FBC" w:rsidP="008539BE">
            <w:pPr>
              <w:spacing w:line="480" w:lineRule="auto"/>
              <w:jc w:val="right"/>
              <w:rPr>
                <w:iCs/>
              </w:rPr>
            </w:pPr>
            <w:r>
              <w:rPr>
                <w:iCs/>
              </w:rPr>
              <w:t>1.533</w:t>
            </w:r>
            <w:r w:rsidR="005E6664">
              <w:rPr>
                <w:iCs/>
              </w:rPr>
              <w:t xml:space="preserve"> to </w:t>
            </w:r>
            <w:r>
              <w:rPr>
                <w:iCs/>
              </w:rPr>
              <w:t>9.158</w:t>
            </w:r>
          </w:p>
        </w:tc>
      </w:tr>
      <w:tr w:rsidR="0002050A" w14:paraId="2C100F61" w14:textId="77777777" w:rsidTr="008539BE">
        <w:tc>
          <w:tcPr>
            <w:tcW w:w="3681" w:type="dxa"/>
          </w:tcPr>
          <w:p w14:paraId="7D91E8F2" w14:textId="1FA88B0F" w:rsidR="0002050A" w:rsidRDefault="0002050A" w:rsidP="008539BE">
            <w:pPr>
              <w:spacing w:line="480" w:lineRule="auto"/>
              <w:rPr>
                <w:iCs/>
              </w:rPr>
            </w:pPr>
            <w:r>
              <w:rPr>
                <w:iCs/>
              </w:rPr>
              <w:t xml:space="preserve">Age </w:t>
            </w:r>
            <w:r w:rsidRPr="00001C08">
              <w:rPr>
                <w:rFonts w:ascii="Calibri" w:hAnsi="Calibri" w:cs="Calibri"/>
                <w:color w:val="000000"/>
              </w:rPr>
              <w:t>→</w:t>
            </w:r>
            <w:r>
              <w:rPr>
                <w:iCs/>
              </w:rPr>
              <w:t xml:space="preserve"> </w:t>
            </w:r>
            <w:r w:rsidR="005E6664">
              <w:rPr>
                <w:iCs/>
              </w:rPr>
              <w:t>F</w:t>
            </w:r>
            <w:r>
              <w:rPr>
                <w:iCs/>
              </w:rPr>
              <w:t>ood insecurity</w:t>
            </w:r>
          </w:p>
        </w:tc>
        <w:tc>
          <w:tcPr>
            <w:tcW w:w="1468" w:type="dxa"/>
          </w:tcPr>
          <w:p w14:paraId="61A2818D" w14:textId="7ACFF31D" w:rsidR="0002050A" w:rsidRDefault="005E6664" w:rsidP="008539BE">
            <w:pPr>
              <w:spacing w:line="480" w:lineRule="auto"/>
              <w:jc w:val="right"/>
              <w:rPr>
                <w:iCs/>
              </w:rPr>
            </w:pPr>
            <w:r>
              <w:rPr>
                <w:iCs/>
              </w:rPr>
              <w:t>-. 02</w:t>
            </w:r>
            <w:r w:rsidR="008539BE">
              <w:rPr>
                <w:iCs/>
              </w:rPr>
              <w:t>3</w:t>
            </w:r>
            <w:r>
              <w:rPr>
                <w:iCs/>
              </w:rPr>
              <w:t xml:space="preserve"> (.006)</w:t>
            </w:r>
          </w:p>
        </w:tc>
        <w:tc>
          <w:tcPr>
            <w:tcW w:w="875" w:type="dxa"/>
            <w:gridSpan w:val="2"/>
          </w:tcPr>
          <w:p w14:paraId="3250DEF5" w14:textId="16979BBC" w:rsidR="0002050A" w:rsidRDefault="005E6664" w:rsidP="008539BE">
            <w:pPr>
              <w:spacing w:line="480" w:lineRule="auto"/>
              <w:jc w:val="right"/>
              <w:rPr>
                <w:iCs/>
              </w:rPr>
            </w:pPr>
            <w:r>
              <w:rPr>
                <w:iCs/>
              </w:rPr>
              <w:t>&lt; .001</w:t>
            </w:r>
          </w:p>
        </w:tc>
        <w:tc>
          <w:tcPr>
            <w:tcW w:w="1753" w:type="dxa"/>
          </w:tcPr>
          <w:p w14:paraId="63862396" w14:textId="7807043F" w:rsidR="0002050A" w:rsidRDefault="005E6664" w:rsidP="008539BE">
            <w:pPr>
              <w:spacing w:line="480" w:lineRule="auto"/>
              <w:jc w:val="right"/>
              <w:rPr>
                <w:iCs/>
              </w:rPr>
            </w:pPr>
            <w:r>
              <w:rPr>
                <w:iCs/>
              </w:rPr>
              <w:t>-.03</w:t>
            </w:r>
            <w:r w:rsidR="008539BE">
              <w:rPr>
                <w:iCs/>
              </w:rPr>
              <w:t>4</w:t>
            </w:r>
            <w:r>
              <w:rPr>
                <w:iCs/>
              </w:rPr>
              <w:t xml:space="preserve"> to -.01</w:t>
            </w:r>
            <w:r w:rsidR="008539BE">
              <w:rPr>
                <w:iCs/>
              </w:rPr>
              <w:t>2</w:t>
            </w:r>
          </w:p>
        </w:tc>
      </w:tr>
      <w:tr w:rsidR="0002050A" w14:paraId="6D276588" w14:textId="77777777" w:rsidTr="008539BE">
        <w:tc>
          <w:tcPr>
            <w:tcW w:w="3681" w:type="dxa"/>
          </w:tcPr>
          <w:p w14:paraId="7F2AC690" w14:textId="26C99661" w:rsidR="0002050A" w:rsidRDefault="0002050A" w:rsidP="008539BE">
            <w:pPr>
              <w:spacing w:line="480" w:lineRule="auto"/>
              <w:rPr>
                <w:iCs/>
              </w:rPr>
            </w:pPr>
            <w:r>
              <w:rPr>
                <w:iCs/>
              </w:rPr>
              <w:t xml:space="preserve">Age </w:t>
            </w:r>
            <w:r w:rsidRPr="00001C08">
              <w:rPr>
                <w:rFonts w:ascii="Calibri" w:hAnsi="Calibri" w:cs="Calibri"/>
                <w:color w:val="000000"/>
              </w:rPr>
              <w:t>→</w:t>
            </w:r>
            <w:r>
              <w:rPr>
                <w:rFonts w:ascii="Calibri" w:hAnsi="Calibri" w:cs="Calibri"/>
                <w:color w:val="000000"/>
              </w:rPr>
              <w:t xml:space="preserve"> Well-being</w:t>
            </w:r>
          </w:p>
        </w:tc>
        <w:tc>
          <w:tcPr>
            <w:tcW w:w="1468" w:type="dxa"/>
          </w:tcPr>
          <w:p w14:paraId="271089B6" w14:textId="29BF22B0" w:rsidR="0002050A" w:rsidRDefault="005E6664" w:rsidP="008539BE">
            <w:pPr>
              <w:spacing w:line="480" w:lineRule="auto"/>
              <w:jc w:val="right"/>
              <w:rPr>
                <w:iCs/>
              </w:rPr>
            </w:pPr>
            <w:r>
              <w:rPr>
                <w:iCs/>
              </w:rPr>
              <w:t>.</w:t>
            </w:r>
            <w:r w:rsidR="008B3FBC">
              <w:rPr>
                <w:iCs/>
              </w:rPr>
              <w:t>294</w:t>
            </w:r>
            <w:r>
              <w:rPr>
                <w:iCs/>
              </w:rPr>
              <w:t xml:space="preserve"> (.06</w:t>
            </w:r>
            <w:r w:rsidR="008B3FBC">
              <w:rPr>
                <w:iCs/>
              </w:rPr>
              <w:t>9</w:t>
            </w:r>
            <w:r>
              <w:rPr>
                <w:iCs/>
              </w:rPr>
              <w:t>)</w:t>
            </w:r>
          </w:p>
        </w:tc>
        <w:tc>
          <w:tcPr>
            <w:tcW w:w="875" w:type="dxa"/>
            <w:gridSpan w:val="2"/>
          </w:tcPr>
          <w:p w14:paraId="407FC749" w14:textId="4B5A2BF6" w:rsidR="0002050A" w:rsidRDefault="005E6664" w:rsidP="008539BE">
            <w:pPr>
              <w:spacing w:line="480" w:lineRule="auto"/>
              <w:jc w:val="right"/>
              <w:rPr>
                <w:iCs/>
              </w:rPr>
            </w:pPr>
            <w:r>
              <w:rPr>
                <w:iCs/>
              </w:rPr>
              <w:t>&lt;.001</w:t>
            </w:r>
          </w:p>
        </w:tc>
        <w:tc>
          <w:tcPr>
            <w:tcW w:w="1753" w:type="dxa"/>
          </w:tcPr>
          <w:p w14:paraId="010D0FE5" w14:textId="69001ABA" w:rsidR="0002050A" w:rsidRDefault="005E6664" w:rsidP="008539BE">
            <w:pPr>
              <w:spacing w:line="480" w:lineRule="auto"/>
              <w:jc w:val="right"/>
              <w:rPr>
                <w:iCs/>
              </w:rPr>
            </w:pPr>
            <w:r>
              <w:rPr>
                <w:iCs/>
              </w:rPr>
              <w:t>.1</w:t>
            </w:r>
            <w:r w:rsidR="008B3FBC">
              <w:rPr>
                <w:iCs/>
              </w:rPr>
              <w:t>60</w:t>
            </w:r>
            <w:r>
              <w:rPr>
                <w:iCs/>
              </w:rPr>
              <w:t xml:space="preserve"> to .4</w:t>
            </w:r>
            <w:r w:rsidR="008B3FBC">
              <w:rPr>
                <w:iCs/>
              </w:rPr>
              <w:t>29</w:t>
            </w:r>
          </w:p>
        </w:tc>
      </w:tr>
    </w:tbl>
    <w:p w14:paraId="08C14C5F" w14:textId="1949FBDE" w:rsidR="0002050A" w:rsidRPr="005B3EDA" w:rsidRDefault="008539BE" w:rsidP="002F4BD0">
      <w:pPr>
        <w:spacing w:after="0" w:line="480" w:lineRule="auto"/>
        <w:rPr>
          <w:iCs/>
        </w:rPr>
      </w:pPr>
      <w:r>
        <w:br w:type="textWrapping" w:clear="all"/>
      </w:r>
      <w:r w:rsidR="0002050A">
        <w:t xml:space="preserve">Note. </w:t>
      </w:r>
      <w:r w:rsidR="0002050A" w:rsidRPr="00001C08">
        <w:t>CI =confidence intervals; SE = standard error</w:t>
      </w:r>
    </w:p>
    <w:p w14:paraId="433F8F29" w14:textId="77777777" w:rsidR="005B3EDA" w:rsidRDefault="005B3EDA" w:rsidP="002F4BD0">
      <w:pPr>
        <w:spacing w:after="0" w:line="480" w:lineRule="auto"/>
      </w:pPr>
    </w:p>
    <w:p w14:paraId="07477F44" w14:textId="5766730A" w:rsidR="00C46C18" w:rsidRPr="00896857" w:rsidRDefault="00C46C18" w:rsidP="002F4BD0">
      <w:pPr>
        <w:spacing w:after="0" w:line="480" w:lineRule="auto"/>
        <w:rPr>
          <w:b/>
          <w:bCs/>
          <w:i/>
          <w:iCs/>
        </w:rPr>
      </w:pPr>
      <w:r w:rsidRPr="00896857">
        <w:rPr>
          <w:b/>
          <w:bCs/>
          <w:i/>
          <w:iCs/>
        </w:rPr>
        <w:t xml:space="preserve">Food insecurity and </w:t>
      </w:r>
      <w:r w:rsidR="00167396" w:rsidRPr="00896857">
        <w:rPr>
          <w:b/>
          <w:bCs/>
          <w:i/>
          <w:iCs/>
        </w:rPr>
        <w:t>intention to engage in home food growing</w:t>
      </w:r>
    </w:p>
    <w:p w14:paraId="1D1F5B45" w14:textId="1058299E" w:rsidR="00D05487" w:rsidRDefault="007D1239" w:rsidP="00167396">
      <w:pPr>
        <w:spacing w:after="0" w:line="480" w:lineRule="auto"/>
      </w:pPr>
      <w:r>
        <w:t xml:space="preserve">Data from participants categorised as </w:t>
      </w:r>
      <w:r w:rsidR="00EA1F42">
        <w:t>N</w:t>
      </w:r>
      <w:r>
        <w:t>on-growers</w:t>
      </w:r>
      <w:r w:rsidR="00167396">
        <w:t xml:space="preserve"> (</w:t>
      </w:r>
      <w:r w:rsidR="00167396" w:rsidRPr="38F0A9E2">
        <w:rPr>
          <w:i/>
          <w:iCs/>
        </w:rPr>
        <w:t>n</w:t>
      </w:r>
      <w:r w:rsidR="2956938A" w:rsidRPr="38F0A9E2">
        <w:rPr>
          <w:i/>
          <w:iCs/>
        </w:rPr>
        <w:t xml:space="preserve"> </w:t>
      </w:r>
      <w:r w:rsidR="00167396">
        <w:t>=</w:t>
      </w:r>
      <w:r w:rsidR="4F6ECA3E">
        <w:t xml:space="preserve"> </w:t>
      </w:r>
      <w:r w:rsidR="00167396">
        <w:t>325)</w:t>
      </w:r>
      <w:r>
        <w:t xml:space="preserve"> w</w:t>
      </w:r>
      <w:r w:rsidR="00505438">
        <w:t>ere</w:t>
      </w:r>
      <w:r>
        <w:t xml:space="preserve"> used to test if those with greater experience of food insecurity would be more likely to report intentions of engaging in home food growing</w:t>
      </w:r>
      <w:r w:rsidR="00385960">
        <w:t xml:space="preserve"> </w:t>
      </w:r>
      <w:r>
        <w:t xml:space="preserve">(Hypothesis 3). </w:t>
      </w:r>
      <w:r w:rsidR="0028676F">
        <w:t>Data were split by</w:t>
      </w:r>
      <w:r w:rsidR="00745DD0">
        <w:t xml:space="preserve"> </w:t>
      </w:r>
      <w:r w:rsidR="00EA1F42">
        <w:t>N</w:t>
      </w:r>
      <w:r w:rsidR="00745DD0">
        <w:t>on-grower response</w:t>
      </w:r>
      <w:r w:rsidR="0028676F">
        <w:t xml:space="preserve"> </w:t>
      </w:r>
      <w:r w:rsidR="00745DD0">
        <w:t>type</w:t>
      </w:r>
      <w:r w:rsidR="00E04AC0">
        <w:t>:</w:t>
      </w:r>
      <w:r w:rsidR="00745DD0">
        <w:t xml:space="preserve"> </w:t>
      </w:r>
      <w:r w:rsidR="008C63F9">
        <w:t>i) did not currently grow their own fruits and vegetables but were planning to do</w:t>
      </w:r>
      <w:r w:rsidR="7F1C6E26">
        <w:t>;</w:t>
      </w:r>
      <w:r w:rsidR="008C63F9">
        <w:t xml:space="preserve"> ii) were not planning </w:t>
      </w:r>
      <w:r w:rsidR="00B6379A">
        <w:t xml:space="preserve">to </w:t>
      </w:r>
      <w:r w:rsidR="008C63F9">
        <w:t>grow their own fruits and vegetables to but would consider doing so</w:t>
      </w:r>
      <w:r w:rsidR="6B8D4F4E">
        <w:t>;</w:t>
      </w:r>
      <w:r w:rsidR="008C63F9">
        <w:t xml:space="preserve"> or iii) were not planning to grow their own fruits and vegetables and would not consider doing so</w:t>
      </w:r>
      <w:r w:rsidR="00822724">
        <w:t>. Data were</w:t>
      </w:r>
      <w:r w:rsidR="0028676F">
        <w:t xml:space="preserve"> entered into a multinomial logistic regression</w:t>
      </w:r>
      <w:r w:rsidR="007B74D3">
        <w:t xml:space="preserve"> with </w:t>
      </w:r>
      <w:r w:rsidR="00BC5AA2">
        <w:t xml:space="preserve">FIES score (food insecurity) </w:t>
      </w:r>
      <w:r w:rsidR="007B74D3">
        <w:t xml:space="preserve">as the predictor and </w:t>
      </w:r>
      <w:r w:rsidR="00BC5AA2">
        <w:t xml:space="preserve">grower status </w:t>
      </w:r>
      <w:r w:rsidR="007B74D3">
        <w:t>as the outcome</w:t>
      </w:r>
      <w:r w:rsidR="007B74D3" w:rsidRPr="38F0A9E2">
        <w:t>, model ꭕ</w:t>
      </w:r>
      <w:r w:rsidR="007B74D3" w:rsidRPr="38F0A9E2">
        <w:rPr>
          <w:vertAlign w:val="superscript"/>
        </w:rPr>
        <w:t>2</w:t>
      </w:r>
      <w:r w:rsidR="007B74D3" w:rsidRPr="38F0A9E2">
        <w:t xml:space="preserve"> (</w:t>
      </w:r>
      <w:r w:rsidR="00745DD0" w:rsidRPr="38F0A9E2">
        <w:t>2</w:t>
      </w:r>
      <w:r w:rsidR="007B74D3" w:rsidRPr="38F0A9E2">
        <w:t>)</w:t>
      </w:r>
      <w:r w:rsidR="008A50F4" w:rsidRPr="38F0A9E2">
        <w:t xml:space="preserve"> </w:t>
      </w:r>
      <w:r w:rsidR="007B74D3" w:rsidRPr="38F0A9E2">
        <w:t xml:space="preserve">= </w:t>
      </w:r>
      <w:r w:rsidR="00745DD0" w:rsidRPr="38F0A9E2">
        <w:t>1.297</w:t>
      </w:r>
      <w:r w:rsidR="007B74D3" w:rsidRPr="38F0A9E2">
        <w:t xml:space="preserve">, </w:t>
      </w:r>
      <w:r w:rsidR="007B74D3" w:rsidRPr="38F0A9E2">
        <w:rPr>
          <w:i/>
          <w:iCs/>
        </w:rPr>
        <w:t>p</w:t>
      </w:r>
      <w:r w:rsidR="007B74D3" w:rsidRPr="38F0A9E2">
        <w:t>=.</w:t>
      </w:r>
      <w:r w:rsidR="00745DD0" w:rsidRPr="38F0A9E2">
        <w:t>523</w:t>
      </w:r>
      <w:r w:rsidR="007B74D3" w:rsidRPr="38F0A9E2">
        <w:t>.</w:t>
      </w:r>
      <w:r w:rsidR="007B74D3">
        <w:t xml:space="preserve"> The category</w:t>
      </w:r>
      <w:r w:rsidR="0028676F">
        <w:t xml:space="preserve"> “</w:t>
      </w:r>
      <w:r w:rsidR="008C63F9">
        <w:t xml:space="preserve">iii) </w:t>
      </w:r>
      <w:r w:rsidR="00745DD0">
        <w:t>not planning to do and would not consider doing</w:t>
      </w:r>
      <w:r w:rsidR="008C63F9">
        <w:t xml:space="preserve"> so</w:t>
      </w:r>
      <w:r w:rsidR="00745DD0">
        <w:t xml:space="preserve"> </w:t>
      </w:r>
      <w:r w:rsidR="00485DE3">
        <w:lastRenderedPageBreak/>
        <w:t>(</w:t>
      </w:r>
      <w:r w:rsidR="00EA1F42">
        <w:t>N</w:t>
      </w:r>
      <w:r w:rsidR="00745DD0">
        <w:t>on-g</w:t>
      </w:r>
      <w:r w:rsidR="00485DE3">
        <w:t>rower)</w:t>
      </w:r>
      <w:r w:rsidR="0028676F">
        <w:t xml:space="preserve">” </w:t>
      </w:r>
      <w:r w:rsidR="007B74D3">
        <w:t>was</w:t>
      </w:r>
      <w:r w:rsidR="0028676F">
        <w:t xml:space="preserve"> the reference category</w:t>
      </w:r>
      <w:r w:rsidR="00390F4D">
        <w:t xml:space="preserve"> as these participants </w:t>
      </w:r>
      <w:r w:rsidR="00745DD0">
        <w:t>reported having no intention of engaging in home food growing</w:t>
      </w:r>
      <w:r w:rsidR="007B74D3">
        <w:t>.</w:t>
      </w:r>
      <w:r w:rsidR="0028676F">
        <w:t xml:space="preserve"> </w:t>
      </w:r>
    </w:p>
    <w:p w14:paraId="332B3A77" w14:textId="77777777" w:rsidR="0073308E" w:rsidRDefault="0073308E" w:rsidP="002F4BD0">
      <w:pPr>
        <w:spacing w:after="0" w:line="480" w:lineRule="auto"/>
      </w:pPr>
    </w:p>
    <w:p w14:paraId="27AA9343" w14:textId="0D1FA710" w:rsidR="00745DD0" w:rsidRDefault="00055F86" w:rsidP="002F4BD0">
      <w:pPr>
        <w:spacing w:after="0" w:line="480" w:lineRule="auto"/>
      </w:pPr>
      <w:r>
        <w:t xml:space="preserve">FIES score did not significantly predict </w:t>
      </w:r>
      <w:r w:rsidR="00745DD0">
        <w:t>membership of either category of intention to engage in home food growing</w:t>
      </w:r>
      <w:r w:rsidR="008C63F9">
        <w:t xml:space="preserve"> (</w:t>
      </w:r>
      <w:r w:rsidR="008C63F9">
        <w:rPr>
          <w:i/>
        </w:rPr>
        <w:t>p</w:t>
      </w:r>
      <w:r w:rsidR="008C63F9">
        <w:t>’s&gt;.05)</w:t>
      </w:r>
      <w:r w:rsidR="00745DD0">
        <w:t xml:space="preserve">. </w:t>
      </w:r>
      <w:r w:rsidR="00385960">
        <w:t>Therefore</w:t>
      </w:r>
      <w:r w:rsidR="00745DD0">
        <w:t xml:space="preserve">, experience of food insecurity did not predict </w:t>
      </w:r>
      <w:r w:rsidR="00385960">
        <w:t xml:space="preserve">immediate or future intentions to engage in home food growing. Hypothesis 3 is not supported. The regression table for this analysis is shown in </w:t>
      </w:r>
      <w:r w:rsidR="00213A14">
        <w:t>Extended data</w:t>
      </w:r>
      <w:r w:rsidR="00385960">
        <w:t xml:space="preserve">, </w:t>
      </w:r>
      <w:r w:rsidR="007037C9">
        <w:t>T</w:t>
      </w:r>
      <w:r w:rsidR="00385960">
        <w:t>able S</w:t>
      </w:r>
      <w:r w:rsidR="00065694">
        <w:t>6</w:t>
      </w:r>
      <w:r w:rsidR="007037C9">
        <w:t>.</w:t>
      </w:r>
    </w:p>
    <w:p w14:paraId="03A28D83" w14:textId="6773607F" w:rsidR="00AA1CE0" w:rsidRPr="00896857" w:rsidRDefault="00AA1CE0" w:rsidP="002F4BD0">
      <w:pPr>
        <w:spacing w:after="0" w:line="480" w:lineRule="auto"/>
        <w:rPr>
          <w:b/>
          <w:bCs/>
          <w:i/>
          <w:iCs/>
        </w:rPr>
      </w:pPr>
    </w:p>
    <w:p w14:paraId="5049CF50" w14:textId="399E2380" w:rsidR="00CD5E0A" w:rsidRPr="00896857" w:rsidRDefault="00CD5E0A" w:rsidP="002F4BD0">
      <w:pPr>
        <w:spacing w:after="0" w:line="480" w:lineRule="auto"/>
        <w:rPr>
          <w:b/>
          <w:bCs/>
          <w:i/>
          <w:iCs/>
        </w:rPr>
      </w:pPr>
      <w:r w:rsidRPr="00896857">
        <w:rPr>
          <w:b/>
          <w:bCs/>
          <w:i/>
          <w:iCs/>
        </w:rPr>
        <w:t xml:space="preserve">UA </w:t>
      </w:r>
      <w:r w:rsidR="00CA1713">
        <w:rPr>
          <w:b/>
          <w:bCs/>
          <w:i/>
          <w:iCs/>
        </w:rPr>
        <w:t>o</w:t>
      </w:r>
      <w:r w:rsidR="00CA1713" w:rsidRPr="00896857">
        <w:rPr>
          <w:b/>
          <w:bCs/>
          <w:i/>
          <w:iCs/>
        </w:rPr>
        <w:t xml:space="preserve">pinion </w:t>
      </w:r>
      <w:r w:rsidR="00CA1713">
        <w:rPr>
          <w:b/>
          <w:bCs/>
          <w:i/>
          <w:iCs/>
        </w:rPr>
        <w:t>q</w:t>
      </w:r>
      <w:r w:rsidR="00CA1713" w:rsidRPr="00896857">
        <w:rPr>
          <w:b/>
          <w:bCs/>
          <w:i/>
          <w:iCs/>
        </w:rPr>
        <w:t>uestions</w:t>
      </w:r>
    </w:p>
    <w:p w14:paraId="77B1C4E1" w14:textId="1258CACF" w:rsidR="007B25B3" w:rsidRDefault="00CD5E0A" w:rsidP="002F4BD0">
      <w:pPr>
        <w:spacing w:after="0" w:line="480" w:lineRule="auto"/>
      </w:pPr>
      <w:r>
        <w:t xml:space="preserve">To test for </w:t>
      </w:r>
      <w:r w:rsidR="00065694">
        <w:t xml:space="preserve">differences </w:t>
      </w:r>
      <w:r>
        <w:t>in opinions of UA</w:t>
      </w:r>
      <w:r w:rsidR="00F21060">
        <w:t xml:space="preserve"> </w:t>
      </w:r>
      <w:r>
        <w:t>we compared responses to UA</w:t>
      </w:r>
      <w:r w:rsidR="00F21060">
        <w:t xml:space="preserve"> </w:t>
      </w:r>
      <w:r w:rsidR="00CA1713">
        <w:t xml:space="preserve">opinion </w:t>
      </w:r>
      <w:r w:rsidR="008A50F4">
        <w:t>q</w:t>
      </w:r>
      <w:r w:rsidR="00F21060">
        <w:t>uestions i</w:t>
      </w:r>
      <w:r w:rsidR="008A50F4">
        <w:t xml:space="preserve">) – </w:t>
      </w:r>
      <w:r w:rsidR="00F21060">
        <w:t>v</w:t>
      </w:r>
      <w:r w:rsidR="008A50F4">
        <w:t>)</w:t>
      </w:r>
      <w:r w:rsidR="00F21060">
        <w:t xml:space="preserve"> </w:t>
      </w:r>
      <w:r>
        <w:t xml:space="preserve">from participants in the current study to responses to the same questions by </w:t>
      </w:r>
      <w:r w:rsidR="00F21060">
        <w:t xml:space="preserve">UK-based </w:t>
      </w:r>
      <w:r>
        <w:t xml:space="preserve">participants in </w:t>
      </w:r>
      <w:r w:rsidR="00E04AC0">
        <w:t>the pre-pandemic study</w:t>
      </w:r>
      <w:r w:rsidR="009C3249">
        <w:t xml:space="preserve"> (Mead</w:t>
      </w:r>
      <w:r w:rsidR="00213A14">
        <w:t xml:space="preserve"> </w:t>
      </w:r>
      <w:r w:rsidR="00213A14">
        <w:rPr>
          <w:i/>
        </w:rPr>
        <w:t>et al</w:t>
      </w:r>
      <w:r w:rsidR="009C3249">
        <w:t>., 2021)</w:t>
      </w:r>
      <w:r w:rsidR="00E04AC0">
        <w:t xml:space="preserve">. </w:t>
      </w:r>
      <w:r w:rsidR="00EA3B17">
        <w:t>Data from participants who reported taking part (</w:t>
      </w:r>
      <w:r w:rsidR="00EA3B17">
        <w:rPr>
          <w:i/>
          <w:iCs/>
        </w:rPr>
        <w:t>n</w:t>
      </w:r>
      <w:r w:rsidR="00EA3B17">
        <w:t>=14) or being unsure if they took part (</w:t>
      </w:r>
      <w:r w:rsidR="00EA3B17">
        <w:rPr>
          <w:i/>
          <w:iCs/>
        </w:rPr>
        <w:t>n</w:t>
      </w:r>
      <w:r w:rsidR="00EA3B17">
        <w:t xml:space="preserve">=19) in the </w:t>
      </w:r>
      <w:r w:rsidR="00E04AC0">
        <w:t>pre-pandemic study</w:t>
      </w:r>
      <w:r w:rsidR="00EA3B17">
        <w:t xml:space="preserve"> were excluded from this analysis. Data from the remaining 444 participants and the participants from </w:t>
      </w:r>
      <w:r w:rsidR="00E04AC0">
        <w:t>the pre-pandemic study</w:t>
      </w:r>
      <w:r w:rsidR="00EA3B17">
        <w:t xml:space="preserve"> were analysed using Chi</w:t>
      </w:r>
      <w:r w:rsidR="005C0A30">
        <w:t>-</w:t>
      </w:r>
      <w:r w:rsidR="00EA3B17">
        <w:t>Square tests</w:t>
      </w:r>
      <w:r w:rsidR="005F065B">
        <w:t xml:space="preserve"> to </w:t>
      </w:r>
      <w:r w:rsidR="00505438">
        <w:t>determine</w:t>
      </w:r>
      <w:r w:rsidR="005F065B">
        <w:t xml:space="preserve"> if there was an association between study (current study, </w:t>
      </w:r>
      <w:r w:rsidR="00E04AC0">
        <w:t>pre-pandemic study</w:t>
      </w:r>
      <w:r w:rsidR="005F065B">
        <w:t>) and proportion of participants indicating th</w:t>
      </w:r>
      <w:r w:rsidR="00100C98">
        <w:t>at</w:t>
      </w:r>
      <w:r w:rsidR="005F065B">
        <w:t xml:space="preserve"> they thought UA could be beneficial/not beneficial/unsure to the following: i) You, your family and friends</w:t>
      </w:r>
      <w:r w:rsidR="004D1C02">
        <w:t>,</w:t>
      </w:r>
      <w:r w:rsidR="005F065B">
        <w:t xml:space="preserve"> ii) Your community</w:t>
      </w:r>
      <w:r w:rsidR="004D1C02">
        <w:t>,</w:t>
      </w:r>
      <w:r w:rsidR="005F065B">
        <w:t xml:space="preserve"> iii) The environment</w:t>
      </w:r>
      <w:r w:rsidR="004D1C02">
        <w:t>,</w:t>
      </w:r>
      <w:r w:rsidR="005F065B">
        <w:t xml:space="preserve"> iv) The economy</w:t>
      </w:r>
      <w:r w:rsidR="004D1C02">
        <w:t xml:space="preserve">, </w:t>
      </w:r>
      <w:r w:rsidR="00CA1713">
        <w:t xml:space="preserve">and </w:t>
      </w:r>
      <w:r w:rsidR="004D1C02">
        <w:t>v) Society in general.</w:t>
      </w:r>
      <w:r w:rsidR="00EA3B17" w:rsidRPr="00EA3B17">
        <w:t xml:space="preserve"> </w:t>
      </w:r>
      <w:r w:rsidR="00EA3B17">
        <w:t xml:space="preserve">Descriptive characteristics for participants </w:t>
      </w:r>
      <w:r w:rsidR="00FF05D6">
        <w:t>from</w:t>
      </w:r>
      <w:r w:rsidR="00EA3B17">
        <w:t xml:space="preserve"> </w:t>
      </w:r>
      <w:r w:rsidR="00E04AC0">
        <w:t>the pre-pandemic study</w:t>
      </w:r>
      <w:r w:rsidR="00EA3B17">
        <w:t xml:space="preserve"> and results of these analyses are shown in the </w:t>
      </w:r>
      <w:r w:rsidR="00CA1713">
        <w:t>Extended data</w:t>
      </w:r>
      <w:r w:rsidR="00EA3B17">
        <w:t xml:space="preserve"> and Table </w:t>
      </w:r>
      <w:r w:rsidR="00DE2A15">
        <w:t>S7-8</w:t>
      </w:r>
    </w:p>
    <w:p w14:paraId="7D73BEAE" w14:textId="77777777" w:rsidR="00F21060" w:rsidRDefault="00F21060" w:rsidP="002F4BD0">
      <w:pPr>
        <w:spacing w:after="0" w:line="480" w:lineRule="auto"/>
      </w:pPr>
    </w:p>
    <w:p w14:paraId="053DA81A" w14:textId="0211205E" w:rsidR="007D60C0" w:rsidRDefault="007B518D" w:rsidP="002F4BD0">
      <w:pPr>
        <w:spacing w:after="0" w:line="480" w:lineRule="auto"/>
      </w:pPr>
      <w:bookmarkStart w:id="6" w:name="_Hlk67337862"/>
      <w:r>
        <w:t xml:space="preserve">There </w:t>
      </w:r>
      <w:r w:rsidR="00606CB2">
        <w:t>were</w:t>
      </w:r>
      <w:r>
        <w:t xml:space="preserve"> significant </w:t>
      </w:r>
      <w:r w:rsidR="00DE2A15">
        <w:t>differences</w:t>
      </w:r>
      <w:r>
        <w:t xml:space="preserve"> between study and responses to </w:t>
      </w:r>
      <w:r w:rsidR="00485DE3">
        <w:t>item iv)</w:t>
      </w:r>
      <w:r>
        <w:t xml:space="preserve"> “the economy”</w:t>
      </w:r>
      <w:r w:rsidR="00A260DB">
        <w:t xml:space="preserve"> (</w:t>
      </w:r>
      <w:r w:rsidR="00A260DB" w:rsidRPr="38F0A9E2">
        <w:rPr>
          <w:rFonts w:ascii="Arial" w:hAnsi="Arial" w:cs="Arial"/>
          <w:i/>
          <w:iCs/>
        </w:rPr>
        <w:t>ꭕ</w:t>
      </w:r>
      <w:r w:rsidR="00A260DB" w:rsidRPr="38F0A9E2">
        <w:rPr>
          <w:i/>
          <w:iCs/>
          <w:vertAlign w:val="superscript"/>
        </w:rPr>
        <w:t xml:space="preserve">2 </w:t>
      </w:r>
      <w:r w:rsidR="00A260DB">
        <w:t xml:space="preserve">(2) = 8.853, </w:t>
      </w:r>
      <w:r w:rsidR="00A260DB" w:rsidRPr="38F0A9E2">
        <w:rPr>
          <w:i/>
          <w:iCs/>
        </w:rPr>
        <w:t>p</w:t>
      </w:r>
      <w:r w:rsidR="00A260DB">
        <w:t>=.002)</w:t>
      </w:r>
      <w:r w:rsidR="00606CB2">
        <w:t>, and between study and responses to the item “society in general” (</w:t>
      </w:r>
      <w:r w:rsidR="00606CB2" w:rsidRPr="38F0A9E2">
        <w:rPr>
          <w:rFonts w:ascii="Arial" w:hAnsi="Arial" w:cs="Arial"/>
          <w:i/>
          <w:iCs/>
        </w:rPr>
        <w:t>ꭕ</w:t>
      </w:r>
      <w:r w:rsidR="00606CB2" w:rsidRPr="38F0A9E2">
        <w:rPr>
          <w:i/>
          <w:iCs/>
          <w:vertAlign w:val="superscript"/>
        </w:rPr>
        <w:t xml:space="preserve">2 </w:t>
      </w:r>
      <w:r w:rsidR="00606CB2">
        <w:t xml:space="preserve">(2) = 10.628, </w:t>
      </w:r>
      <w:r w:rsidR="00606CB2" w:rsidRPr="38F0A9E2">
        <w:rPr>
          <w:i/>
          <w:iCs/>
        </w:rPr>
        <w:t>p</w:t>
      </w:r>
      <w:r w:rsidR="00606CB2">
        <w:t xml:space="preserve">=.005). We inspected standardised residuals to determine what may be driving these associations and found that these did not reach the adjusted threshold for </w:t>
      </w:r>
      <w:r w:rsidR="00B6379A">
        <w:t xml:space="preserve">statistical </w:t>
      </w:r>
      <w:r w:rsidR="00606CB2">
        <w:t>significance (</w:t>
      </w:r>
      <w:r w:rsidR="00606CB2">
        <w:rPr>
          <w:i/>
        </w:rPr>
        <w:t xml:space="preserve">z </w:t>
      </w:r>
      <w:r w:rsidR="003A27B0">
        <w:rPr>
          <w:i/>
        </w:rPr>
        <w:t>&lt;</w:t>
      </w:r>
      <w:r w:rsidR="00606CB2">
        <w:t xml:space="preserve"> 2.58; </w:t>
      </w:r>
      <w:r w:rsidR="00606CB2" w:rsidRPr="008B3FBC">
        <w:rPr>
          <w:i/>
        </w:rPr>
        <w:t>p</w:t>
      </w:r>
      <w:r w:rsidR="00606CB2">
        <w:rPr>
          <w:i/>
        </w:rPr>
        <w:t xml:space="preserve">‘s </w:t>
      </w:r>
      <w:r w:rsidR="00606CB2">
        <w:t xml:space="preserve">&gt; .01). These analyses are reported in the </w:t>
      </w:r>
      <w:r w:rsidR="00CA1713">
        <w:t>Extended data</w:t>
      </w:r>
      <w:r w:rsidR="00606CB2">
        <w:t>.</w:t>
      </w:r>
      <w:r w:rsidR="008272B6">
        <w:t xml:space="preserve"> </w:t>
      </w:r>
      <w:bookmarkEnd w:id="6"/>
      <w:r w:rsidR="008272B6">
        <w:t>T</w:t>
      </w:r>
      <w:r w:rsidR="006C04A9">
        <w:t>here</w:t>
      </w:r>
      <w:r w:rsidR="007D60C0">
        <w:t xml:space="preserve"> </w:t>
      </w:r>
      <w:r w:rsidR="008272B6">
        <w:t>was</w:t>
      </w:r>
      <w:r w:rsidR="007D60C0">
        <w:t xml:space="preserve"> no evidence for </w:t>
      </w:r>
      <w:r w:rsidR="00DE2A15">
        <w:t>differences</w:t>
      </w:r>
      <w:r w:rsidR="007D60C0">
        <w:t xml:space="preserve"> </w:t>
      </w:r>
      <w:r w:rsidR="007D60C0">
        <w:lastRenderedPageBreak/>
        <w:t>between study and responses to the</w:t>
      </w:r>
      <w:r w:rsidR="00F21060">
        <w:t xml:space="preserve"> other</w:t>
      </w:r>
      <w:r w:rsidR="007D60C0">
        <w:t xml:space="preserve"> items</w:t>
      </w:r>
      <w:r w:rsidR="008272B6">
        <w:t xml:space="preserve"> (</w:t>
      </w:r>
      <w:r w:rsidR="008272B6" w:rsidRPr="38F0A9E2">
        <w:rPr>
          <w:i/>
          <w:iCs/>
        </w:rPr>
        <w:t>p</w:t>
      </w:r>
      <w:r w:rsidR="008272B6">
        <w:t>’s&gt;.01)</w:t>
      </w:r>
      <w:r w:rsidR="007D60C0">
        <w:t xml:space="preserve">. </w:t>
      </w:r>
      <w:r w:rsidR="00F21060">
        <w:t>These results</w:t>
      </w:r>
      <w:r w:rsidR="005E231E">
        <w:t xml:space="preserve"> therefore</w:t>
      </w:r>
      <w:r w:rsidR="00F21060">
        <w:t xml:space="preserve"> do not </w:t>
      </w:r>
      <w:r w:rsidR="00BE565E">
        <w:t>indicate</w:t>
      </w:r>
      <w:r w:rsidR="00F21060">
        <w:t xml:space="preserve"> any shift in opinion</w:t>
      </w:r>
      <w:r w:rsidR="00967DB1">
        <w:t xml:space="preserve"> of UA between the </w:t>
      </w:r>
      <w:r w:rsidR="005E231E">
        <w:t>pre-pandemic study and the current study</w:t>
      </w:r>
      <w:r w:rsidR="00967DB1">
        <w:t>.</w:t>
      </w:r>
      <w:r w:rsidR="00EA1F42">
        <w:t xml:space="preserve"> </w:t>
      </w:r>
      <w:r w:rsidR="00BE565E">
        <w:t xml:space="preserve"> </w:t>
      </w:r>
      <w:r w:rsidR="005E231E">
        <w:t>Overall, o</w:t>
      </w:r>
      <w:r w:rsidR="00BE565E">
        <w:t>pinion of UA appear</w:t>
      </w:r>
      <w:r w:rsidR="005E231E">
        <w:t>ed</w:t>
      </w:r>
      <w:r w:rsidR="00BE565E">
        <w:t xml:space="preserve"> to be positive across both studies: the proportions of participants endorsing UA as beneficial for items i)-v) ranged from 68.2-94.1% (Table </w:t>
      </w:r>
      <w:r w:rsidR="00606CB2">
        <w:t>S8</w:t>
      </w:r>
      <w:r w:rsidR="00BE565E">
        <w:t>).</w:t>
      </w:r>
    </w:p>
    <w:p w14:paraId="20BAFBB9" w14:textId="4057A3ED" w:rsidR="007B25B3" w:rsidRDefault="007B25B3" w:rsidP="002F4BD0">
      <w:pPr>
        <w:spacing w:after="0" w:line="480" w:lineRule="auto"/>
      </w:pPr>
    </w:p>
    <w:p w14:paraId="7D388C04" w14:textId="3F444055" w:rsidR="007B25B3" w:rsidRPr="00896857" w:rsidRDefault="007B25B3" w:rsidP="002F4BD0">
      <w:pPr>
        <w:spacing w:after="0" w:line="480" w:lineRule="auto"/>
        <w:rPr>
          <w:b/>
          <w:bCs/>
          <w:i/>
          <w:iCs/>
        </w:rPr>
      </w:pPr>
      <w:r w:rsidRPr="00896857">
        <w:rPr>
          <w:b/>
          <w:bCs/>
          <w:i/>
          <w:iCs/>
        </w:rPr>
        <w:t>Exploratory analyses</w:t>
      </w:r>
    </w:p>
    <w:p w14:paraId="5D993898" w14:textId="1DAB49A3" w:rsidR="00371696" w:rsidRDefault="00371696" w:rsidP="002F4BD0">
      <w:pPr>
        <w:spacing w:after="0" w:line="480" w:lineRule="auto"/>
      </w:pPr>
      <w:r>
        <w:t>Chi</w:t>
      </w:r>
      <w:r w:rsidR="005C0A30">
        <w:t>-</w:t>
      </w:r>
      <w:r>
        <w:t xml:space="preserve">Square tests were used to test </w:t>
      </w:r>
      <w:r w:rsidR="005E231E">
        <w:t xml:space="preserve">whether </w:t>
      </w:r>
      <w:r w:rsidR="00EA3B17">
        <w:t xml:space="preserve">membership of the categories Grower or Non-grower was associated with responses to UA </w:t>
      </w:r>
      <w:r w:rsidR="00CA1713">
        <w:t xml:space="preserve">opinion </w:t>
      </w:r>
      <w:r w:rsidR="00EA3B17">
        <w:t>questions i)</w:t>
      </w:r>
      <w:r w:rsidR="00FF05D6">
        <w:t>-</w:t>
      </w:r>
      <w:r w:rsidR="00EA3B17">
        <w:t>x)</w:t>
      </w:r>
      <w:r w:rsidR="00DD51EC">
        <w:t>.</w:t>
      </w:r>
      <w:r w:rsidR="00EA3B17">
        <w:t xml:space="preserve"> </w:t>
      </w:r>
      <w:r w:rsidR="00A260DB">
        <w:t xml:space="preserve">In addition to items i)-v) listed above, participants indicated if they thought UA could be beneficial to vi) Entertainment/alleviate boredom, vii) For education/home-schooling, viii) Alternative income because of unemployment, ix) Ensuring my family and I can eat healthily, </w:t>
      </w:r>
      <w:r w:rsidR="00CA1713">
        <w:t xml:space="preserve">and </w:t>
      </w:r>
      <w:r w:rsidR="00A260DB">
        <w:t>x) Ensuring social distancing by accessing food without being in contact with others</w:t>
      </w:r>
      <w:r w:rsidR="00AC7DAA">
        <w:t>.</w:t>
      </w:r>
      <w:r w:rsidR="00EA3B17">
        <w:t xml:space="preserve"> </w:t>
      </w:r>
      <w:r>
        <w:t xml:space="preserve">An </w:t>
      </w:r>
      <w:r w:rsidR="00AC7DAA">
        <w:t>adjusted</w:t>
      </w:r>
      <w:r>
        <w:t xml:space="preserve"> </w:t>
      </w:r>
      <w:r w:rsidRPr="38F0A9E2">
        <w:rPr>
          <w:i/>
          <w:iCs/>
        </w:rPr>
        <w:t xml:space="preserve">p </w:t>
      </w:r>
      <w:r>
        <w:t>value</w:t>
      </w:r>
      <w:r w:rsidRPr="38F0A9E2">
        <w:rPr>
          <w:i/>
          <w:iCs/>
        </w:rPr>
        <w:t xml:space="preserve"> of p</w:t>
      </w:r>
      <w:r>
        <w:t>&lt;.005 was used for these analyses to correct for multiple comparisons.</w:t>
      </w:r>
      <w:r w:rsidR="00A260DB">
        <w:t xml:space="preserve"> There was a significant association between grower category and response to the item vi) Entertainment/alleviate boredom (</w:t>
      </w:r>
      <w:r w:rsidR="00A260DB" w:rsidRPr="38F0A9E2">
        <w:rPr>
          <w:rFonts w:ascii="Arial" w:hAnsi="Arial" w:cs="Arial"/>
          <w:i/>
          <w:iCs/>
        </w:rPr>
        <w:t>ꭕ</w:t>
      </w:r>
      <w:r w:rsidR="00A260DB" w:rsidRPr="38F0A9E2">
        <w:rPr>
          <w:i/>
          <w:iCs/>
          <w:vertAlign w:val="superscript"/>
        </w:rPr>
        <w:t xml:space="preserve">2 </w:t>
      </w:r>
      <w:r w:rsidR="00A260DB">
        <w:t xml:space="preserve">(2) = 12.575, </w:t>
      </w:r>
      <w:r w:rsidR="00A260DB" w:rsidRPr="38F0A9E2">
        <w:rPr>
          <w:i/>
          <w:iCs/>
        </w:rPr>
        <w:t>p</w:t>
      </w:r>
      <w:r w:rsidR="00A260DB">
        <w:t xml:space="preserve"> = .002). </w:t>
      </w:r>
      <w:r w:rsidR="00AC7DAA">
        <w:t>However,</w:t>
      </w:r>
      <w:r w:rsidR="00A260DB">
        <w:t xml:space="preserve"> differences in proportions of participants selecting beneficial/not beneficial or unsure between the grower categories did not reach the adjust</w:t>
      </w:r>
      <w:r w:rsidR="007700AF">
        <w:t>ed</w:t>
      </w:r>
      <w:r w:rsidR="00A260DB">
        <w:t xml:space="preserve"> threshold for </w:t>
      </w:r>
      <w:r w:rsidR="00B6379A">
        <w:t xml:space="preserve">statistical </w:t>
      </w:r>
      <w:r w:rsidR="00A260DB">
        <w:t>significance (</w:t>
      </w:r>
      <w:r w:rsidR="00A260DB" w:rsidRPr="38F0A9E2">
        <w:rPr>
          <w:i/>
          <w:iCs/>
        </w:rPr>
        <w:t>p</w:t>
      </w:r>
      <w:r w:rsidR="00A260DB">
        <w:t xml:space="preserve">&gt;.005). No other associations between grower category and response to UA </w:t>
      </w:r>
      <w:r w:rsidR="00CA1713">
        <w:t xml:space="preserve">opinion </w:t>
      </w:r>
      <w:r w:rsidR="00A260DB">
        <w:t>questions were significant (</w:t>
      </w:r>
      <w:r w:rsidR="00A260DB" w:rsidRPr="38F0A9E2">
        <w:rPr>
          <w:i/>
          <w:iCs/>
        </w:rPr>
        <w:t>p</w:t>
      </w:r>
      <w:r w:rsidR="00A260DB">
        <w:t>’s&gt;.005), there</w:t>
      </w:r>
      <w:r w:rsidR="00B6379A">
        <w:t>fore</w:t>
      </w:r>
      <w:r w:rsidR="00A260DB">
        <w:t xml:space="preserve"> is no evidence that membership of the </w:t>
      </w:r>
      <w:r w:rsidR="00EA1F42">
        <w:t>G</w:t>
      </w:r>
      <w:r w:rsidR="00A260DB">
        <w:t xml:space="preserve">rower or </w:t>
      </w:r>
      <w:r w:rsidR="00EA1F42">
        <w:t>N</w:t>
      </w:r>
      <w:r w:rsidR="00A260DB">
        <w:t xml:space="preserve">on-grower category was associated with opinion of UA. </w:t>
      </w:r>
      <w:r w:rsidR="00BE565E">
        <w:t xml:space="preserve">Opinion of UA appears to have been high across </w:t>
      </w:r>
      <w:r w:rsidR="00EA1F42">
        <w:t>G</w:t>
      </w:r>
      <w:r w:rsidR="00BE565E">
        <w:t xml:space="preserve">rowers and </w:t>
      </w:r>
      <w:r w:rsidR="00EA1F42">
        <w:t>N</w:t>
      </w:r>
      <w:r w:rsidR="00BE565E">
        <w:t>on-growers:</w:t>
      </w:r>
      <w:r w:rsidR="005C0A30">
        <w:t xml:space="preserve"> the proportions of participants endorsing UA as beneficial for items i)-</w:t>
      </w:r>
      <w:r w:rsidR="007700AF">
        <w:t>x</w:t>
      </w:r>
      <w:r w:rsidR="005C0A30">
        <w:t>) ranged from 50.5-96.7%.</w:t>
      </w:r>
      <w:r w:rsidR="00BE565E">
        <w:t xml:space="preserve"> </w:t>
      </w:r>
      <w:r w:rsidR="00A260DB">
        <w:t xml:space="preserve">Results of these analyses are shown in </w:t>
      </w:r>
      <w:r w:rsidR="00CA1713">
        <w:t>the Extended data</w:t>
      </w:r>
      <w:r w:rsidR="00A260DB">
        <w:t xml:space="preserve">, </w:t>
      </w:r>
      <w:r w:rsidR="008A50F4">
        <w:t>T</w:t>
      </w:r>
      <w:r w:rsidR="00A260DB">
        <w:t>able S</w:t>
      </w:r>
      <w:r w:rsidR="00606CB2">
        <w:t>9</w:t>
      </w:r>
      <w:r w:rsidR="00AC7DAA">
        <w:t>.</w:t>
      </w:r>
    </w:p>
    <w:p w14:paraId="73671987" w14:textId="77777777" w:rsidR="00371696" w:rsidRPr="0015152F" w:rsidRDefault="00371696" w:rsidP="002F4BD0">
      <w:pPr>
        <w:spacing w:after="0" w:line="480" w:lineRule="auto"/>
      </w:pPr>
    </w:p>
    <w:p w14:paraId="4D950AC6" w14:textId="36BBCFD0" w:rsidR="007C78B8" w:rsidRPr="00896857" w:rsidRDefault="002C60D5" w:rsidP="002F4BD0">
      <w:pPr>
        <w:spacing w:after="0" w:line="480" w:lineRule="auto"/>
        <w:rPr>
          <w:b/>
          <w:iCs/>
        </w:rPr>
      </w:pPr>
      <w:r w:rsidRPr="00896857">
        <w:rPr>
          <w:b/>
          <w:iCs/>
        </w:rPr>
        <w:t>Discussion</w:t>
      </w:r>
    </w:p>
    <w:p w14:paraId="66B1D17F" w14:textId="3549D081" w:rsidR="00053BF9" w:rsidRDefault="000077B5" w:rsidP="002F4BD0">
      <w:pPr>
        <w:spacing w:after="0" w:line="480" w:lineRule="auto"/>
      </w:pPr>
      <w:r>
        <w:t xml:space="preserve">The current study provides, to our knowledge, </w:t>
      </w:r>
      <w:r w:rsidR="005E231E">
        <w:t xml:space="preserve">the </w:t>
      </w:r>
      <w:r>
        <w:t xml:space="preserve">first data on the relationships between </w:t>
      </w:r>
      <w:r w:rsidR="007700AF">
        <w:t>home food growing</w:t>
      </w:r>
      <w:r>
        <w:t>,</w:t>
      </w:r>
      <w:r w:rsidR="005E231E">
        <w:t xml:space="preserve"> perceived</w:t>
      </w:r>
      <w:r>
        <w:t xml:space="preserve"> </w:t>
      </w:r>
      <w:r w:rsidR="007C35D2">
        <w:t xml:space="preserve">food insecurity and well-being during the early stages of </w:t>
      </w:r>
      <w:r w:rsidR="009F0E14">
        <w:t>a national</w:t>
      </w:r>
      <w:r w:rsidR="007C35D2">
        <w:t xml:space="preserve"> COVID-19 lockdown. Those engaged in </w:t>
      </w:r>
      <w:r w:rsidR="007700AF">
        <w:t xml:space="preserve">home food growing </w:t>
      </w:r>
      <w:r w:rsidR="007C35D2">
        <w:t>reported less food insecurity and better well-</w:t>
      </w:r>
      <w:r w:rsidR="007C35D2">
        <w:lastRenderedPageBreak/>
        <w:t xml:space="preserve">being than those not engaged in </w:t>
      </w:r>
      <w:r w:rsidR="007700AF">
        <w:t>home food growing</w:t>
      </w:r>
      <w:r w:rsidR="007C35D2">
        <w:t>. In an exploratory analysis</w:t>
      </w:r>
      <w:r w:rsidR="009F0E14">
        <w:t>,</w:t>
      </w:r>
      <w:r w:rsidR="007C35D2">
        <w:t xml:space="preserve"> we showed </w:t>
      </w:r>
      <w:r w:rsidR="00B6379A">
        <w:t xml:space="preserve">that </w:t>
      </w:r>
      <w:r w:rsidR="009C3249">
        <w:t>engaging in home food growing was associated with better well-being.</w:t>
      </w:r>
      <w:r w:rsidR="00B6379A">
        <w:t xml:space="preserve"> </w:t>
      </w:r>
      <w:r w:rsidR="00DD51EC">
        <w:t>A</w:t>
      </w:r>
      <w:r w:rsidR="00B6379A">
        <w:t>nd</w:t>
      </w:r>
      <w:r w:rsidR="00DD51EC">
        <w:t xml:space="preserve"> </w:t>
      </w:r>
      <w:r w:rsidR="00B6379A">
        <w:t>t</w:t>
      </w:r>
      <w:r w:rsidR="009C3249">
        <w:t xml:space="preserve">his relationship was </w:t>
      </w:r>
      <w:r w:rsidR="00FE2692">
        <w:t xml:space="preserve">partially </w:t>
      </w:r>
      <w:r w:rsidR="009C3249">
        <w:t>mediated by perceived food insecurity</w:t>
      </w:r>
      <w:r w:rsidR="007C35D2">
        <w:t xml:space="preserve">, such that engaging in </w:t>
      </w:r>
      <w:r w:rsidR="007700AF">
        <w:t xml:space="preserve">home food growing </w:t>
      </w:r>
      <w:r w:rsidR="007C35D2">
        <w:t>was associated with less food insecurity, which in turn was associated with better well-being</w:t>
      </w:r>
      <w:r w:rsidR="00FE2692">
        <w:t>. The analysis also showed a direct association between food growing and wellbeing which was not explained by perceived food insecurity, indicating that there are other drivers of this relationship beyond those measured in the current study</w:t>
      </w:r>
      <w:r w:rsidR="007C35D2">
        <w:t xml:space="preserve">. </w:t>
      </w:r>
      <w:r w:rsidR="00B6379A">
        <w:t>Importantly t</w:t>
      </w:r>
      <w:r w:rsidR="008B3FBC">
        <w:t>hese effects were significant when age was controlled for</w:t>
      </w:r>
      <w:r w:rsidR="005B3EDA">
        <w:t xml:space="preserve">. </w:t>
      </w:r>
      <w:r w:rsidR="007700AF">
        <w:t xml:space="preserve">We </w:t>
      </w:r>
      <w:r w:rsidR="00FE2692">
        <w:t xml:space="preserve">also </w:t>
      </w:r>
      <w:r w:rsidR="007700AF">
        <w:t xml:space="preserve">found that food insecurity did not predict immediate or future intentions to engage in home food growing. </w:t>
      </w:r>
      <w:r w:rsidR="007C35D2">
        <w:t xml:space="preserve">Finally, we saw no evidence for a difference in opinions of UA between the current study and data collected before the pandemic, or for differences in opinions of UA between participants who were or were </w:t>
      </w:r>
      <w:r w:rsidR="007700AF">
        <w:t>not already engaged in home food growing</w:t>
      </w:r>
      <w:r w:rsidR="007C35D2">
        <w:t xml:space="preserve">. </w:t>
      </w:r>
    </w:p>
    <w:p w14:paraId="31C63BC8" w14:textId="77777777" w:rsidR="00053BF9" w:rsidRDefault="00053BF9" w:rsidP="002F4BD0">
      <w:pPr>
        <w:spacing w:after="0" w:line="480" w:lineRule="auto"/>
      </w:pPr>
    </w:p>
    <w:p w14:paraId="4AF9DF56" w14:textId="43E21362" w:rsidR="005F3CEB" w:rsidRDefault="00053BF9" w:rsidP="002F4BD0">
      <w:pPr>
        <w:spacing w:after="0" w:line="480" w:lineRule="auto"/>
      </w:pPr>
      <w:r>
        <w:t xml:space="preserve">Considering our </w:t>
      </w:r>
      <w:r w:rsidR="007C35D2">
        <w:t>findings</w:t>
      </w:r>
      <w:r>
        <w:t xml:space="preserve">, we tentatively suggest that </w:t>
      </w:r>
      <w:r w:rsidR="007700AF">
        <w:t xml:space="preserve">home food growing </w:t>
      </w:r>
      <w:r>
        <w:t xml:space="preserve">may have had some form of protective effect over food </w:t>
      </w:r>
      <w:r w:rsidR="007700AF">
        <w:t>in</w:t>
      </w:r>
      <w:r>
        <w:t xml:space="preserve">security and well-being during the early stages </w:t>
      </w:r>
      <w:r w:rsidR="00CA1713">
        <w:t>of lockdown</w:t>
      </w:r>
      <w:r>
        <w:t xml:space="preserve">. </w:t>
      </w:r>
      <w:r w:rsidR="007700AF">
        <w:t>Our findings of</w:t>
      </w:r>
      <w:r>
        <w:t xml:space="preserve"> </w:t>
      </w:r>
      <w:r w:rsidR="007700AF">
        <w:t>reduced</w:t>
      </w:r>
      <w:r w:rsidR="00C704EF">
        <w:t xml:space="preserve"> </w:t>
      </w:r>
      <w:r w:rsidR="002C5262">
        <w:t xml:space="preserve">levels of food </w:t>
      </w:r>
      <w:r w:rsidR="007700AF">
        <w:t>in</w:t>
      </w:r>
      <w:r w:rsidR="002C5262">
        <w:t>security and</w:t>
      </w:r>
      <w:r w:rsidR="007700AF">
        <w:t xml:space="preserve"> better</w:t>
      </w:r>
      <w:r w:rsidR="002C5262">
        <w:t xml:space="preserve"> well-being for </w:t>
      </w:r>
      <w:r w:rsidR="00EA1F42">
        <w:t>G</w:t>
      </w:r>
      <w:r w:rsidR="002C5262">
        <w:t xml:space="preserve">rowers compared to </w:t>
      </w:r>
      <w:r w:rsidR="00EA1F42">
        <w:t>N</w:t>
      </w:r>
      <w:r>
        <w:t xml:space="preserve">on-growers, </w:t>
      </w:r>
      <w:r w:rsidR="007700AF">
        <w:t>combined with our</w:t>
      </w:r>
      <w:r w:rsidR="008F79BD">
        <w:t xml:space="preserve"> finding that</w:t>
      </w:r>
      <w:r w:rsidR="00F36063">
        <w:t xml:space="preserve"> the relationship between </w:t>
      </w:r>
      <w:r w:rsidR="007700AF">
        <w:t xml:space="preserve">home food growing </w:t>
      </w:r>
      <w:r w:rsidR="00F36063">
        <w:t xml:space="preserve">and well-being was </w:t>
      </w:r>
      <w:r w:rsidR="00FE2692">
        <w:t xml:space="preserve">partially </w:t>
      </w:r>
      <w:r w:rsidR="00F36063">
        <w:t>mediated by lower food insecurity,</w:t>
      </w:r>
      <w:r>
        <w:t xml:space="preserve"> suggest that </w:t>
      </w:r>
      <w:r w:rsidR="007700AF">
        <w:t xml:space="preserve">home food growing </w:t>
      </w:r>
      <w:r>
        <w:t xml:space="preserve">could be a protective factor in the face of </w:t>
      </w:r>
      <w:r w:rsidR="0073308E">
        <w:t xml:space="preserve">challenges to </w:t>
      </w:r>
      <w:r>
        <w:t>food security and well-being posed by the pandemic</w:t>
      </w:r>
      <w:r w:rsidR="00631EB5">
        <w:t xml:space="preserve"> (or other future crises)</w:t>
      </w:r>
      <w:r>
        <w:t xml:space="preserve">. Previous research </w:t>
      </w:r>
      <w:r w:rsidR="009F0E14">
        <w:t xml:space="preserve">has </w:t>
      </w:r>
      <w:r w:rsidR="00C16B68">
        <w:t>show</w:t>
      </w:r>
      <w:r w:rsidR="009F0E14">
        <w:t>n</w:t>
      </w:r>
      <w:r w:rsidR="00C16B68">
        <w:t xml:space="preserve"> that UA/</w:t>
      </w:r>
      <w:r w:rsidR="007700AF">
        <w:t>home food growing</w:t>
      </w:r>
      <w:r w:rsidR="00C16B68">
        <w:t xml:space="preserve"> has benefits for </w:t>
      </w:r>
      <w:r w:rsidR="00086CB7">
        <w:t xml:space="preserve">food </w:t>
      </w:r>
      <w:r w:rsidR="007700AF">
        <w:t>in</w:t>
      </w:r>
      <w:r w:rsidR="00086CB7">
        <w:t>security and well-being</w:t>
      </w:r>
      <w:r>
        <w:t xml:space="preserve"> </w:t>
      </w:r>
      <w:r>
        <w:rPr>
          <w:bCs/>
        </w:rPr>
        <w:fldChar w:fldCharType="begin" w:fldLock="1"/>
      </w:r>
      <w:r w:rsidR="00585D81">
        <w:rPr>
          <w:bCs/>
        </w:rPr>
        <w:instrText>ADDIN CSL_CITATION {"citationItems":[{"id":"ITEM-1","itemData":{"DOI":"10.1007/s10460-009-9254-1","ISSN":"0889-048X","abstract":"Food security is a fundamental element of community health. Informal house-lot food growing, by providing convenient access to diverse varieties of affordable and nutritious produce, can provide an important support for community food security. In this exploratory assessment of the contribution home food gardening makes to community food security, in-depth interviews were conducted with gardeners in two contrasting neighborhoods in Toronto, Canada. A typology of food gardeners was developed, and this qualitative understanding of residential food production was then assessed from a community food security perspective. It was found that growing food contributes to food security at all income levels by encouraging a more nutritious diet. The sustainability of household food sourcing and gardeners' overall health and well-being also increased with food production. Secure access to suitable land to grow food and gardening skills were the most significant barriers found to residential food production.","author":[{"dropping-particle":"","family":"Kortright","given":"Robin","non-dropping-particle":"","parse-names":false,"suffix":""},{"dropping-particle":"","family":"Wakefield","given":"Sarah","non-dropping-particle":"","parse-names":false,"suffix":""}],"container-title":"Agriculture and Human Values","id":"ITEM-1","issue":"1","issued":{"date-parts":[["2011","2"]]},"page":"39-53","publisher":"SPRINGER","publisher-place":"VAN GODEWIJCKSTRAAT 30, 3311 GZ DORDRECHT, NETHERLANDS","title":"Edible backyards: a qualitative study of household food growing and its contributions to food security","type":"article-journal","volume":"28"},"uris":["http://www.mendeley.com/documents/?uuid=2fc0cb4c-7d44-448d-8b0a-c937ee9b3b44"]},{"id":"ITEM-2","itemData":{"DOI":"10.1186/2048-7010-2-8","ISSN":"20487010","abstract":"With the global population expected to reach over 9 billion by 2050, there is a continuous need to increase food production and buffer stocks. In this scenario, countries around the world, especially developing countries where the pervasiveness of hunger and food scarcity is more acute, are resorting to various counter strategies to meet the growing demand and to avert food insecurity and famine. Over the recent years there has been growing interest to strengthen and intensify local food production in order to mitigate the adverse effect of global food shocks and food price volatilities. Consequently, there is much attention towards home gardens as a strategy to enhance household food security and nutrition. Home gardens are an integral part of local food systems and the agricultural landscape of developing countries all over the world and have endured the test of time. Through a rigorous literature review, this paper first examines definitions and characteristics of home gardens and then provides a global review of their social, economic, and environmental contributions to communities in various socio-economic contexts. Many of the compositions on home gardens share research and experiences of developing countries in Africa, Asia, and Latin America. These studies recognize positive impacts of home gardens towards addressing food insecurity and malnutrition as well as providing additional benefits such as income and livelihood opportunities for resource-poor families and delivering a number of ecosystem services. However, only a handful of case studies were found on post-crisis settings. While providing a general overview of some of these studies, this review investigates the home garden experiences of post-conflict Sri Lanka, where home gardening has been practiced for centuries. While emphasizing multiple benefits, we also highlight constraints to home garden food production. In conclusion, we emphasize the need for more research and empirical data to appraise the role of home gardens in crisis and post-crisis situations, as well as assessing their economic value and their impacts on food security, nutrition, economic growth, and gender issues.","author":[{"dropping-particle":"","family":"Galhena","given":"Dilrukshi Hashini","non-dropping-particle":"","parse-names":false,"suffix":""},{"dropping-particle":"","family":"Freed","given":"Russell","non-dropping-particle":"","parse-names":false,"suffix":""},{"dropping-particle":"","family":"Maredia","given":"Karim M.","non-dropping-particle":"","parse-names":false,"suffix":""}],"container-title":"Agriculture and Food Security","id":"ITEM-2","issue":"1","issued":{"date-parts":[["2013","5","31"]]},"publisher":"BioMed Central Ltd.","title":"Home gardens: A promising approach to enhance household food security and wellbeing","type":"article","volume":"2"},"uris":["http://www.mendeley.com/documents/?uuid=9baf3bbd-d466-3f08-b6b6-b3c0a4875b2a"]},{"id":"ITEM-3","itemData":{"DOI":"10.3733/ca.v070n02p77","ISSN":"00080845","abstract":"As of 2013, 42 million American households were involved in growing their own food either at home or in a community garden plot. The purpose of this pilot study was to document the extent to which gardeners, particularly less affluent ones, increase their vegetable intake when eating from either home or community garden spaces. Eighty-five community gardeners and 50 home gardeners from San Jose, California, completed a survey providing information on demographic background, self-rated health, vegetable intake and the benefits of gardening. The gardeners surveyed were generally low income and came from a variety of ethnic and educational backgrounds. Participants in this study reported doubling their vegetable intake to a level that met the number of daily servings recommended by the U.S. Dietary Guidelines. Growing food in community and home gardens can contribute to food security by helping provide access to fresh vegetables and increasing consumption of vegetables by gardeners and their families.","author":[{"dropping-particle":"","family":"Algert","given":"Susan","non-dropping-particle":"","parse-names":false,"suffix":""},{"dropping-particle":"","family":"Diekmann","given":"Lucy","non-dropping-particle":"","parse-names":false,"suffix":""},{"dropping-particle":"","family":"Renvall","given":"Marian","non-dropping-particle":"","parse-names":false,"suffix":""},{"dropping-particle":"","family":"Gray","given":"Leslie","non-dropping-particle":"","parse-names":false,"suffix":""}],"container-title":"California Agriculture","id":"ITEM-3","issue":"2","issued":{"date-parts":[["2016"]]},"page":"77-82","title":"Community and home gardens increase vegetable intake and food security of residents in San Jose, California","type":"article-journal","volume":"70"},"uris":["http://www.mendeley.com/documents/?uuid=500634fe-dfa7-319e-b160-87b94dbee2d3"]},{"id":"ITEM-4","itemData":{"DOI":"10.1177/0308022615599408","ISSN":"14776006","abstract":"Introduction: Allotment gardening is a popular pastime which anecdotally contributes to health and wellbeing, although the extent of supportive research evidence is unclear. This systematic review investigates the question: Does allotment gardening contribute to health and wellbeing? Method: A systematic search was conducted, including the terms 'allotment', 'garden', 'health' and 'wellbeing'. Abstracts of identified papers were compared with inclusion criteria, and 10 papers were finally selected. Critical appraisal and data extraction were conducted simultaneously. Qualitative research papers predominated and were analysed thematically. Resultant themes were compared and integrated with the findings of quantitative research papers. Findings: Thematic analysis of the qualitative and quantitative papers' findings revealed five distinct health and wellbeing themes. Allotment gardening provides a stress-relieving refuge, contributes to a healthier lifestyle, creates social opportunities, provides valued contact with nature, and enables self-development. Conclusion: This review suggests that allotment gardening does indeed impact health and wellbeing. It is therefore recommended as occupational therapy for people with health problems, and as a health promoting occupation for the general population. Research particularly focused on the impact of group and therapeutic allotment gardening, so further investigations are recommended to explore the health promoting influences of everyday allotment gardening for individuals.","author":[{"dropping-particle":"","family":"Genter","given":"Chris","non-dropping-particle":"","parse-names":false,"suffix":""},{"dropping-particle":"","family":"Roberts","given":"Anne","non-dropping-particle":"","parse-names":false,"suffix":""},{"dropping-particle":"","family":"Richardson","given":"Janet","non-dropping-particle":"","parse-names":false,"suffix":""},{"dropping-particle":"","family":"Sheaff","given":"Mike","non-dropping-particle":"","parse-names":false,"suffix":""}],"container-title":"British Journal of Occupational Therapy","id":"ITEM-4","issue":"10","issued":{"date-parts":[["2015","10","1"]]},"page":"593-605","title":"The contribution of allotment gardening to health and wellbeing: A systematic review of the literature","type":"article","volume":"78"},"uris":["http://www.mendeley.com/documents/?uuid=1645c59a-ec6f-3783-b8ba-79d9925492bf"]},{"id":"ITEM-5","itemData":{"DOI":"10.3390/ijerph14010071","ISSN":"16604601","abstract":"With an ever-increasing urban population, promoting public health and well-being in towns and cities is a major challenge. Previous research has suggested that participating in allotment gardening delivers a wide range of health benefits. However, evidence from quantitative analyses is still scarce. Here, we quantify the effects, if any, of participating in allotment gardening on physical, psychological and social health. A questionnaire survey of 332 people was performed in Tokyo, Japan. We compared five self-reported health outcomes between allotment gardeners and non-gardener controls: perceived general health, subjective health complaints, body mass index (BMI), mental health and social cohesion. Accounting for socio-demographic and lifestyle variables, regression models revealed that allotment gardeners, compared to non-gardeners, reported better perceived general health, subjective health complaints, mental health and social cohesion. BMI did not differ between gardeners and non-gardeners. Neither frequency nor duration of gardening significantly influenced reported health outcomes. Our results highlight that regular gardening on allotment sites is associated with improved physical, psychological and social health. With the recent escalation in the prevalence of chronic diseases, and associated healthcare costs, this study has a major implication for policy, as it suggests that urban allotments have great potential for preventative healthcare.","author":[{"dropping-particle":"","family":"Soga","given":"Masashi","non-dropping-particle":"","parse-names":false,"suffix":""},{"dropping-particle":"","family":"Cox","given":"Daniel T.C.","non-dropping-particle":"","parse-names":false,"suffix":""},{"dropping-particle":"","family":"Yamaura","given":"Yuichi","non-dropping-particle":"","parse-names":false,"suffix":""},{"dropping-particle":"","family":"Gaston","given":"Kevin J.","non-dropping-particle":"","parse-names":false,"suffix":""},{"dropping-particle":"","family":"Kurisu","given":"Kiyo","non-dropping-particle":"","parse-names":false,"suffix":""},{"dropping-particle":"","family":"Hanaki","given":"Keisuke","non-dropping-particle":"","parse-names":false,"suffix":""}],"container-title":"International Journal of Environmental Research and Public Health","id":"ITEM-5","issue":"1","issued":{"date-parts":[["2017","1","12"]]},"page":"71","publisher":"MDPI AG","title":"Health benefits of urban allotment gardening: Improved physical and psychological well-being and social integration","type":"article-journal","volume":"14"},"uris":["http://www.mendeley.com/documents/?uuid=d332541a-e7ec-489e-8ced-f3156ae28fa1"]}],"mendeley":{"formattedCitation":"(Algert et al., 2016; Galhena et al., 2013; Genter et al., 2015; Kortright &amp; Wakefield, 2011; Soga et al., 2017)","plainTextFormattedCitation":"(Algert et al., 2016; Galhena et al., 2013; Genter et al., 2015; Kortright &amp; Wakefield, 2011; Soga et al., 2017)","previouslyFormattedCitation":"(Algert et al., 2016; Galhena et al., 2013; Genter et al., 2015; Kortright &amp; Wakefield, 2011; Soga et al., 2017)"},"properties":{"noteIndex":0},"schema":"https://github.com/citation-style-language/schema/raw/master/csl-citation.json"}</w:instrText>
      </w:r>
      <w:r>
        <w:rPr>
          <w:bCs/>
        </w:rPr>
        <w:fldChar w:fldCharType="separate"/>
      </w:r>
      <w:r w:rsidR="00D83743" w:rsidRPr="00D83743">
        <w:rPr>
          <w:bCs/>
          <w:noProof/>
        </w:rPr>
        <w:t xml:space="preserve">(Algert </w:t>
      </w:r>
      <w:r w:rsidR="00D21786" w:rsidRPr="00D21786">
        <w:rPr>
          <w:bCs/>
          <w:i/>
          <w:iCs/>
          <w:noProof/>
        </w:rPr>
        <w:t>et al</w:t>
      </w:r>
      <w:r w:rsidR="00D83743" w:rsidRPr="00D83743">
        <w:rPr>
          <w:bCs/>
          <w:noProof/>
        </w:rPr>
        <w:t xml:space="preserve">., 2016; Galhena </w:t>
      </w:r>
      <w:r w:rsidR="00D21786" w:rsidRPr="00D21786">
        <w:rPr>
          <w:bCs/>
          <w:i/>
          <w:iCs/>
          <w:noProof/>
        </w:rPr>
        <w:t>et al</w:t>
      </w:r>
      <w:r w:rsidR="00D83743" w:rsidRPr="00D83743">
        <w:rPr>
          <w:bCs/>
          <w:noProof/>
        </w:rPr>
        <w:t xml:space="preserve">., 2013; Genter </w:t>
      </w:r>
      <w:r w:rsidR="00D21786" w:rsidRPr="00D21786">
        <w:rPr>
          <w:bCs/>
          <w:i/>
          <w:iCs/>
          <w:noProof/>
        </w:rPr>
        <w:t>et al</w:t>
      </w:r>
      <w:r w:rsidR="00D83743" w:rsidRPr="00D83743">
        <w:rPr>
          <w:bCs/>
          <w:noProof/>
        </w:rPr>
        <w:t xml:space="preserve">., 2015; Kortright &amp; Wakefield, 2011; Soga </w:t>
      </w:r>
      <w:r w:rsidR="00D21786" w:rsidRPr="00D21786">
        <w:rPr>
          <w:bCs/>
          <w:i/>
          <w:iCs/>
          <w:noProof/>
        </w:rPr>
        <w:t>et al</w:t>
      </w:r>
      <w:r w:rsidR="00D83743" w:rsidRPr="00D83743">
        <w:rPr>
          <w:bCs/>
          <w:noProof/>
        </w:rPr>
        <w:t>., 2017)</w:t>
      </w:r>
      <w:r>
        <w:rPr>
          <w:bCs/>
        </w:rPr>
        <w:fldChar w:fldCharType="end"/>
      </w:r>
      <w:r w:rsidR="00C16B68">
        <w:t>. O</w:t>
      </w:r>
      <w:r>
        <w:t xml:space="preserve">thers have theorised that these effects would be evident in the face of food system shocks </w:t>
      </w:r>
      <w:r>
        <w:fldChar w:fldCharType="begin" w:fldLock="1"/>
      </w:r>
      <w:r w:rsidR="008E113D">
        <w:instrText>ADDIN CSL_CITATION {"citationItems":[{"id":"ITEM-1","itemData":{"DOI":"10.1186/2048-7010-2-8","ISSN":"20487010","abstract":"With the global population expected to reach over 9 billion by 2050, there is a continuous need to increase food production and buffer stocks. In this scenario, countries around the world, especially developing countries where the pervasiveness of hunger and food scarcity is more acute, are resorting to various counter strategies to meet the growing demand and to avert food insecurity and famine. Over the recent years there has been growing interest to strengthen and intensify local food production in order to mitigate the adverse effect of global food shocks and food price volatilities. Consequently, there is much attention towards home gardens as a strategy to enhance household food security and nutrition. Home gardens are an integral part of local food systems and the agricultural landscape of developing countries all over the world and have endured the test of time. Through a rigorous literature review, this paper first examines definitions and characteristics of home gardens and then provides a global review of their social, economic, and environmental contributions to communities in various socio-economic contexts. Many of the compositions on home gardens share research and experiences of developing countries in Africa, Asia, and Latin America. These studies recognize positive impacts of home gardens towards addressing food insecurity and malnutrition as well as providing additional benefits such as income and livelihood opportunities for resource-poor families and delivering a number of ecosystem services. However, only a handful of case studies were found on post-crisis settings. While providing a general overview of some of these studies, this review investigates the home garden experiences of post-conflict Sri Lanka, where home gardening has been practiced for centuries. While emphasizing multiple benefits, we also highlight constraints to home garden food production. In conclusion, we emphasize the need for more research and empirical data to appraise the role of home gardens in crisis and post-crisis situations, as well as assessing their economic value and their impacts on food security, nutrition, economic growth, and gender issues.","author":[{"dropping-particle":"","family":"Galhena","given":"Dilrukshi Hashini","non-dropping-particle":"","parse-names":false,"suffix":""},{"dropping-particle":"","family":"Freed","given":"Russell","non-dropping-particle":"","parse-names":false,"suffix":""},{"dropping-particle":"","family":"Maredia","given":"Karim M.","non-dropping-particle":"","parse-names":false,"suffix":""}],"container-title":"Agriculture and Food Security","id":"ITEM-1","issue":"1","issued":{"date-parts":[["2013","5","31"]]},"publisher":"BioMed Central Ltd.","title":"Home gardens: A promising approach to enhance household food security and wellbeing","type":"article","volume":"2"},"uris":["http://www.mendeley.com/documents/?uuid=9baf3bbd-d466-3f08-b6b6-b3c0a4875b2a"]}],"mendeley":{"formattedCitation":"(Galhena et al., 2013)","plainTextFormattedCitation":"(Galhena et al., 2013)","previouslyFormattedCitation":"(Galhena et al., 2013)"},"properties":{"noteIndex":0},"schema":"https://github.com/citation-style-language/schema/raw/master/csl-citation.json"}</w:instrText>
      </w:r>
      <w:r>
        <w:fldChar w:fldCharType="separate"/>
      </w:r>
      <w:r w:rsidRPr="00053BF9">
        <w:rPr>
          <w:noProof/>
        </w:rPr>
        <w:t xml:space="preserve">(Galhena </w:t>
      </w:r>
      <w:r w:rsidR="00D21786" w:rsidRPr="00D21786">
        <w:rPr>
          <w:i/>
          <w:iCs/>
          <w:noProof/>
        </w:rPr>
        <w:t>et al</w:t>
      </w:r>
      <w:r w:rsidRPr="00053BF9">
        <w:rPr>
          <w:noProof/>
        </w:rPr>
        <w:t>., 2013)</w:t>
      </w:r>
      <w:r>
        <w:fldChar w:fldCharType="end"/>
      </w:r>
      <w:r w:rsidR="00086CB7">
        <w:t>.</w:t>
      </w:r>
      <w:r w:rsidR="00F36063">
        <w:t xml:space="preserve"> </w:t>
      </w:r>
      <w:r w:rsidR="00C16B68">
        <w:t xml:space="preserve">The current study extends these findings and suggestions. The </w:t>
      </w:r>
      <w:r w:rsidR="00F36063">
        <w:t xml:space="preserve">UK was in the early stages of lockdown </w:t>
      </w:r>
      <w:r w:rsidR="00C16B68">
        <w:t xml:space="preserve">when these data were collected, </w:t>
      </w:r>
      <w:r w:rsidR="00F36063">
        <w:t>and</w:t>
      </w:r>
      <w:r w:rsidR="00C16B68">
        <w:t xml:space="preserve"> levels of </w:t>
      </w:r>
      <w:r w:rsidR="00F36063">
        <w:t xml:space="preserve">food insecurity due </w:t>
      </w:r>
      <w:r w:rsidR="00E85D37">
        <w:t xml:space="preserve">to </w:t>
      </w:r>
      <w:r w:rsidR="00F36063">
        <w:t xml:space="preserve">lack of access to food had dramatically increased </w:t>
      </w:r>
      <w:r w:rsidR="00F36063">
        <w:fldChar w:fldCharType="begin" w:fldLock="1"/>
      </w:r>
      <w:r w:rsidR="003E7DEA">
        <w:instrText>ADDIN CSL_CITATION {"citationItems":[{"id":"ITEM-1","itemData":{"author":[{"dropping-particle":"","family":"Loopstra","given":"Rachel","non-dropping-particle":"","parse-names":false,"suffix":""}],"id":"ITEM-1","issued":{"date-parts":[["2020"]]},"title":"Vulnerability to food insecurity since the COVID-19 lockdown Preliminary report","type":"report"},"uris":["http://www.mendeley.com/documents/?uuid=b04c4284-e6ac-3553-8f4e-42fb21b1f542"]}],"mendeley":{"formattedCitation":"(Loopstra, 2020)","plainTextFormattedCitation":"(Loopstra, 2020)","previouslyFormattedCitation":"(Loopstra, 2020)"},"properties":{"noteIndex":0},"schema":"https://github.com/citation-style-language/schema/raw/master/csl-citation.json"}</w:instrText>
      </w:r>
      <w:r w:rsidR="00F36063">
        <w:fldChar w:fldCharType="separate"/>
      </w:r>
      <w:r w:rsidR="00F36063" w:rsidRPr="00F36063">
        <w:rPr>
          <w:noProof/>
        </w:rPr>
        <w:t>(Loopstra, 2020)</w:t>
      </w:r>
      <w:r w:rsidR="00F36063">
        <w:fldChar w:fldCharType="end"/>
      </w:r>
      <w:r w:rsidR="005F3CEB">
        <w:t>.</w:t>
      </w:r>
      <w:r w:rsidR="00C16B68">
        <w:t xml:space="preserve"> Our observation that </w:t>
      </w:r>
      <w:r w:rsidR="007700AF">
        <w:t xml:space="preserve">home food growing </w:t>
      </w:r>
      <w:r w:rsidR="00C16B68">
        <w:t xml:space="preserve">may provide a protective effect over well-being and food insecurity during this time provides novel evidence that </w:t>
      </w:r>
      <w:r w:rsidR="007700AF">
        <w:t xml:space="preserve">home food growing </w:t>
      </w:r>
      <w:r w:rsidR="00C16B68">
        <w:t xml:space="preserve">may help to mitigate the </w:t>
      </w:r>
      <w:r w:rsidR="00C16B68">
        <w:lastRenderedPageBreak/>
        <w:t xml:space="preserve">negative consequences of food system shocks, such as those characterised by the disruption faced in the UK during March-April 2020. </w:t>
      </w:r>
      <w:r w:rsidR="009F0E14">
        <w:t>The study then provides an impetus</w:t>
      </w:r>
      <w:r w:rsidR="005F3CEB">
        <w:t xml:space="preserve"> </w:t>
      </w:r>
      <w:r w:rsidR="009F0E14">
        <w:t xml:space="preserve">for exploration of policy mechanisms that can support adoption of home food growing, with the aim of protecting </w:t>
      </w:r>
      <w:r w:rsidR="000B4ECB">
        <w:t>increasing resilience to</w:t>
      </w:r>
      <w:r w:rsidR="009F0E14">
        <w:t xml:space="preserve"> food system shocks</w:t>
      </w:r>
      <w:r w:rsidR="000B4ECB">
        <w:t>.</w:t>
      </w:r>
    </w:p>
    <w:p w14:paraId="13B92D28" w14:textId="7A55CBC4" w:rsidR="008272B6" w:rsidRDefault="008272B6" w:rsidP="002F4BD0">
      <w:pPr>
        <w:spacing w:after="0" w:line="480" w:lineRule="auto"/>
      </w:pPr>
    </w:p>
    <w:p w14:paraId="522CD222" w14:textId="3071215D" w:rsidR="008272B6" w:rsidRDefault="008272B6" w:rsidP="008272B6">
      <w:pPr>
        <w:spacing w:after="0" w:line="480" w:lineRule="auto"/>
        <w:rPr>
          <w:bCs/>
        </w:rPr>
      </w:pPr>
      <w:r>
        <w:t xml:space="preserve">Reductions in well-being have been reported during the early stages of the pandemic, and are predicted to persist as lockdown restrictions continue </w:t>
      </w:r>
      <w:r>
        <w:fldChar w:fldCharType="begin" w:fldLock="1"/>
      </w:r>
      <w:r>
        <w:instrText>ADDIN CSL_CITATION {"citationItems":[{"id":"ITEM-1","itemData":{"DOI":"10.1017/S0033291720004432","ISSN":"0033-2917","PMID":"33183370","abstract":"{BackgroundThe} {COVID}-19 pandemic has had a range of negative social and economic effects that may contribute to a rise in mental health problems. In this observational population-based study, we examined longitudinal changes in the prevalence of mental health problems from before to during the {COVID}-19 crisis and identified subgroups that are psychologically vulnerable during the pandemic. Methods Participants (N =14,393; Observations =48,486) were adults drawn from wave 9 (2017-2019) of the nationally representative United Kingdom Household Longitudinal Study ({UKHLS}) and followed-up across three waves of assessment in April, May, and June, 2020. Mental health problems were assessed using the 12-item General Health Questionnaire ({GHQ}-12). {ResultsThe} population prevalence of mental health problems ({GHQ}-12 score ≥3) increased by 13.5 percentage points from 24.3% in 2017-2019 to 37.8% in April, 2020 and remained elevated in May (34.7%) and June (31.9%), 2020. All sociodemographic groups examined showed statistically significant increases in mental health problems in April, 2020. The increase was largest among those aged 18-34 years (18.6 percentage points, 95% {CI} [14.3%-22.9%]), followed by females and high income and education groups. Levels of mental health problems subsequently declined between April and June, 2020 but remained significantly above pre-{COVID}-19 levels. Additional analyses showed that the rise in mental health problems observed throughout the {COVID}-19 pandemic was unlikely to be due to seasonality or year-to-year variation.Conclusions This study suggests that a pronounced and prolonged deterioration in mental health occurred as the {COVID}-19 pandemic emerged in the {UK} between April and June, 2020.","author":[{"dropping-particle":"","family":"Daly","given":"Michael","non-dropping-particle":"","parse-names":false,"suffix":""},{"dropping-particle":"","family":"Sutin","given":"Angelina","non-dropping-particle":"","parse-names":false,"suffix":""},{"dropping-particle":"","family":"Robinson","given":"Eric","non-dropping-particle":"","parse-names":false,"suffix":""}],"container-title":"Psychological Medicine","id":"ITEM-1","issued":{"date-parts":[["2020","11","13"]]},"page":"1-37","title":"Longitudinal changes in mental health and the COVID-19 pandemic: Evidence from the UK Household Longitudinal Study","type":"article-journal","volume":"18"},"uris":["http://www.mendeley.com/documents/?uuid=3fa045c4-dce7-39b6-a2ba-0f679746366b"]},{"id":"ITEM-2","itemData":{"DOI":"10.1016/S2215-0366(20)30308-4","ISSN":"2215-0366","PMID":"32707037","abstract":"&lt;h2&gt;Summary&lt;/h2&gt;&lt;h3&gt;Background&lt;/h3&gt;&lt;p&gt;The potential impact of the COVID-19 pandemic on population mental health is of increasing global concern. We examine changes in adult mental health in the UK population before and during the lockdown.&lt;/p&gt;&lt;h3&gt;Methods&lt;/h3&gt;&lt;p&gt;In this secondary analysis of a national, longitudinal cohort study, households that took part in Waves 8 or 9 of the UK Household Longitudinal Study (UKHLS) panel, including all members aged 16 or older in April, 2020, were invited to complete the COVID-19 web survey on April 23–30, 2020. Participants who were unable to make an informed decision as a result of incapacity, or who had unknown postal addresses or addresses abroad were excluded. Mental health was assessed using the 12-item General Health Questionnaire (GHQ-12). Repeated cross-sectional analyses were done to examine temporal trends. Fixed-effects regression models were fitted to identify within-person change compared with preceding trends.&lt;/p&gt;&lt;h3&gt;Findings&lt;/h3&gt;&lt;p&gt;Waves 6–9 of the UKHLS had 53 351 participants. Eligible participants for the COVID-19 web survey were from households that took part in Waves 8 or 9, and 17 452 (41·2%) of 42 330 eligible people participated in the web survey. Population prevalence of clinically significant levels of mental distress rose from 18·9% (95% CI 17·8–20·0) in 2018–19 to 27·3% (26·3–28·2) in April, 2020, one month into UK lockdown. Mean GHQ-12 score also increased over this time, from 11·5 (95% CI 11·3–11·6) in 2018–19, to 12·6 (12·5–12·8) in April, 2020. This was 0·48 (95% CI 0·07–0·90) points higher than expected when accounting for previous upward trends between 2014 and 2018. Comparing GHQ-12 scores within individuals, adjusting for time trends and significant predictors of change, increases were greatest in 18–24-year-olds (2·69 points, 95% CI 1·89–3·48), 25–34-year-olds (1·57, 0·96–2·18), women (0·92, 0·50–1·35), and people living with young children (1·45, 0·79–2·12). People employed before the pandemic also averaged a notable increase in GHQ-12 score (0·63, 95% CI 0·20–1·06).&lt;/p&gt;&lt;h3&gt;Interpretation&lt;/h3&gt;&lt;p&gt;By late April, 2020, mental health in the UK had deteriorated compared with pre-COVID-19 trends. Policies emphasising the needs of women, young people, and those with preschool aged children are likely to play an important part in preventing future mental illness.&lt;/p&gt;&lt;h3&gt;Funding&lt;/h3&gt;&lt;p&gt;None.&lt;/p&gt;","author":[{"dropping-particle":"","family":"Pierce","given":"Matthias","non-dropping-particle":"","parse-names":false,"suffix":""},{"dropping-particle":"","family":"Hope","given":"Holly","non-dropping-particle":"","parse-names":false,"suffix":""},{"dropping-particle":"","family":"Ford","given":"Tamsin","non-dropping-particle":"","parse-names":false,"suffix":""},{"dropping-particle":"","family":"Hatch","given":"Stephani","non-dropping-particle":"","parse-names":false,"suffix":""},{"dropping-particle":"","family":"Hotopf","given":"Matthew","non-dropping-particle":"","parse-names":false,"suffix":""},{"dropping-particle":"","family":"John","given":"Ann","non-dropping-particle":"","parse-names":false,"suffix":""},{"dropping-particle":"","family":"Kontopantelis","given":"Evangelos","non-dropping-particle":"","parse-names":false,"suffix":""},{"dropping-particle":"","family":"Webb","given":"Roger","non-dropping-particle":"","parse-names":false,"suffix":""},{"dropping-particle":"","family":"Wessely","given":"Simon","non-dropping-particle":"","parse-names":false,"suffix":""},{"dropping-particle":"","family":"McManus","given":"Sally","non-dropping-particle":"","parse-names":false,"suffix":""},{"dropping-particle":"","family":"Abel","given":"Kathryn M","non-dropping-particle":"","parse-names":false,"suffix":""}],"container-title":"The Lancet Psychiatry","id":"ITEM-2","issue":"10","issued":{"date-parts":[["2020","10","1"]]},"page":"883-892","publisher":"Elsevier","title":"Mental health before and during the COVID-19 pandemic: a longitudinal probability sample survey of the UK population","type":"article-journal","volume":"7"},"uris":["http://www.mendeley.com/documents/?uuid=d00e6c00-ab4c-35c4-9af5-fd7a648e57fb"]}],"mendeley":{"formattedCitation":"(Daly et al., 2020; Pierce et al., 2020)","plainTextFormattedCitation":"(Daly et al., 2020; Pierce et al., 2020)","previouslyFormattedCitation":"(Daly et al., 2020; Pierce et al., 2020)"},"properties":{"noteIndex":0},"schema":"https://github.com/citation-style-language/schema/raw/master/csl-citation.json"}</w:instrText>
      </w:r>
      <w:r>
        <w:fldChar w:fldCharType="separate"/>
      </w:r>
      <w:r w:rsidRPr="003468F3">
        <w:rPr>
          <w:noProof/>
        </w:rPr>
        <w:t xml:space="preserve">(Daly </w:t>
      </w:r>
      <w:r w:rsidR="00D21786" w:rsidRPr="00D21786">
        <w:rPr>
          <w:i/>
          <w:iCs/>
          <w:noProof/>
        </w:rPr>
        <w:t>et al</w:t>
      </w:r>
      <w:r w:rsidRPr="003468F3">
        <w:rPr>
          <w:noProof/>
        </w:rPr>
        <w:t xml:space="preserve">., 2020; Pierce </w:t>
      </w:r>
      <w:r w:rsidR="00D21786" w:rsidRPr="00D21786">
        <w:rPr>
          <w:i/>
          <w:iCs/>
          <w:noProof/>
        </w:rPr>
        <w:t>et al</w:t>
      </w:r>
      <w:r w:rsidRPr="003468F3">
        <w:rPr>
          <w:noProof/>
        </w:rPr>
        <w:t>., 2020)</w:t>
      </w:r>
      <w:r>
        <w:fldChar w:fldCharType="end"/>
      </w:r>
      <w:r>
        <w:t xml:space="preserve">. </w:t>
      </w:r>
      <w:r>
        <w:rPr>
          <w:bCs/>
        </w:rPr>
        <w:t xml:space="preserve">Projections of the scale of the negative impact that the pandemic will have on well-being indicate large increases in the numbers of people requiring support for mental health issues </w:t>
      </w:r>
      <w:r>
        <w:rPr>
          <w:bCs/>
        </w:rPr>
        <w:fldChar w:fldCharType="begin" w:fldLock="1"/>
      </w:r>
      <w:r>
        <w:rPr>
          <w:bCs/>
        </w:rPr>
        <w:instrText>ADDIN CSL_CITATION {"citationItems":[{"id":"ITEM-1","itemData":{"author":[{"dropping-particle":"","family":"O'Shea","given":"Nick","non-dropping-particle":"","parse-names":false,"suffix":""}],"id":"ITEM-1","issued":{"date-parts":[["2020"]]},"title":"Covid-19 and the nation's mental health: Forecasting needs and risks in the UK","type":"report"},"uris":["http://www.mendeley.com/documents/?uuid=433a303f-6411-312f-9933-0a7aacadd848"]}],"mendeley":{"formattedCitation":"(O’Shea, 2020)","plainTextFormattedCitation":"(O’Shea, 2020)","previouslyFormattedCitation":"(O’Shea, 2020)"},"properties":{"noteIndex":0},"schema":"https://github.com/citation-style-language/schema/raw/master/csl-citation.json"}</w:instrText>
      </w:r>
      <w:r>
        <w:rPr>
          <w:bCs/>
        </w:rPr>
        <w:fldChar w:fldCharType="separate"/>
      </w:r>
      <w:r w:rsidRPr="00FA75F0">
        <w:rPr>
          <w:bCs/>
          <w:noProof/>
        </w:rPr>
        <w:t>(O’Shea, 2020)</w:t>
      </w:r>
      <w:r>
        <w:rPr>
          <w:bCs/>
        </w:rPr>
        <w:fldChar w:fldCharType="end"/>
      </w:r>
      <w:r>
        <w:rPr>
          <w:bCs/>
        </w:rPr>
        <w:t xml:space="preserve">. This has prompted calls for innovative, efficacious interventions to support well-being in the context of the pandemic </w:t>
      </w:r>
      <w:r>
        <w:rPr>
          <w:bCs/>
        </w:rPr>
        <w:fldChar w:fldCharType="begin" w:fldLock="1"/>
      </w:r>
      <w:r>
        <w:rPr>
          <w:bCs/>
        </w:rPr>
        <w:instrText>ADDIN CSL_CITATION {"citationItems":[{"id":"ITEM-1","itemData":{"DOI":"10.1016/S2215-0366(20)30168-1","ISSN":"2215-0374","PMID":"32304649","abstract":"The coronavirus disease 2019 (COVID-19) pandemic is having a profound effect on all aspects of society, including mental health and physical health. We explore the psychological, social, and neuroscientific effects of COVID-19 and set out the immediate priorities and longer-term strategies for mental health science research. These priorities were informed by surveys of the public and an expert panel convened by the UK Academy of Medical Sciences and the mental health research charity, MQ: Transforming Mental Health, in the first weeks of the pandemic in the UK in March, 2020. We urge UK research funding agencies to work with researchers, people with lived experience, and others to establish a high level coordination group to ensure that these research priorities are addressed, and to allow new ones to be identified over time. The need to maintain high-quality research standards is imperative. International collaboration and a global perspective will be beneficial. An immediate priority is collecting high-quality data on the mental health effects of the COVID-19 pandemic across the whole population and vulnerable groups, and on brain function, cognition, and mental health of patients with COVID-19. There is an urgent need for research to address how mental health consequences for vulnerable groups can be mitigated under pandemic conditions, and on the impact of repeated media consumption and health messaging around COVID-19. Discovery, evaluation, and refinement of mechanistically driven interventions to address the psychological, social, and neuroscientific aspects of the pandemic are required. Rising to this challenge will require integration across disciplines and sectors, and should be done together with people with lived experience. New funding will be required to meet these priorities, and it can be efficiently leveraged by the UK's world-leading infrastructure. This Position Paper provides a strategy that may be both adapted for, and integrated with, research efforts in other countries.","author":[{"dropping-particle":"","family":"Holmes","given":"Emily A","non-dropping-particle":"","parse-names":false,"suffix":""},{"dropping-particle":"","family":"O'Connor","given":"Rory C","non-dropping-particle":"","parse-names":false,"suffix":""},{"dropping-particle":"","family":"Perry","given":"V Hugh","non-dropping-particle":"","parse-names":false,"suffix":""},{"dropping-particle":"","family":"Tracey","given":"Irene","non-dropping-particle":"","parse-names":false,"suffix":""},{"dropping-particle":"","family":"Wessely","given":"Simon","non-dropping-particle":"","parse-names":false,"suffix":""},{"dropping-particle":"","family":"Arseneault","given":"Louise","non-dropping-particle":"","parse-names":false,"suffix":""},{"dropping-particle":"","family":"Ballard","given":"Clive","non-dropping-particle":"","parse-names":false,"suffix":""},{"dropping-particle":"","family":"Christensen","given":"Helen","non-dropping-particle":"","parse-names":false,"suffix":""},{"dropping-particle":"","family":"Cohen Silver","given":"Roxane","non-dropping-particle":"","parse-names":false,"suffix":""},{"dropping-particle":"","family":"Everall","given":"Ian","non-dropping-particle":"","parse-names":false,"suffix":""},{"dropping-particle":"","family":"Ford","given":"Tamsin","non-dropping-particle":"","parse-names":false,"suffix":""},{"dropping-particle":"","family":"John","given":"Ann","non-dropping-particle":"","parse-names":false,"suffix":""},{"dropping-particle":"","family":"Kabir","given":"Thomas","non-dropping-particle":"","parse-names":false,"suffix":""},{"dropping-particle":"","family":"King","given":"Kate","non-dropping-particle":"","parse-names":false,"suffix":""},{"dropping-particle":"","family":"Madan","given":"Ira","non-dropping-particle":"","parse-names":false,"suffix":""},{"dropping-particle":"","family":"Michie","given":"Susan","non-dropping-particle":"","parse-names":false,"suffix":""},{"dropping-particle":"","family":"Przybylski","given":"Andrew K","non-dropping-particle":"","parse-names":false,"suffix":""},{"dropping-particle":"","family":"Shafran","given":"Roz","non-dropping-particle":"","parse-names":false,"suffix":""},{"dropping-particle":"","family":"Sweeney","given":"Angela","non-dropping-particle":"","parse-names":false,"suffix":""},{"dropping-particle":"","family":"Worthman","given":"Carol M","non-dropping-particle":"","parse-names":false,"suffix":""},{"dropping-particle":"","family":"Yardley","given":"Lucy","non-dropping-particle":"","parse-names":false,"suffix":""},{"dropping-particle":"","family":"Cowan","given":"Katherine","non-dropping-particle":"","parse-names":false,"suffix":""},{"dropping-particle":"","family":"Cope","given":"Claire","non-dropping-particle":"","parse-names":false,"suffix":""},{"dropping-particle":"","family":"Hotopf","given":"Matthew","non-dropping-particle":"","parse-names":false,"suffix":""},{"dropping-particle":"","family":"Bullmore","given":"Ed","non-dropping-particle":"","parse-names":false,"suffix":""}],"container-title":"The lancet. Psychiatry","id":"ITEM-1","issued":{"date-parts":[["2020","4","15"]]},"title":"Multidisciplinary research priorities for the COVID-19 pandemic: a call for action for mental health science.","type":"article-journal"},"uris":["http://www.mendeley.com/documents/?uuid=3d82fd35-f4bf-312f-918a-6a1581918d24"]}],"mendeley":{"formattedCitation":"(Holmes et al., 2020)","plainTextFormattedCitation":"(Holmes et al., 2020)","previouslyFormattedCitation":"(Holmes et al., 2020)"},"properties":{"noteIndex":0},"schema":"https://github.com/citation-style-language/schema/raw/master/csl-citation.json"}</w:instrText>
      </w:r>
      <w:r>
        <w:rPr>
          <w:bCs/>
        </w:rPr>
        <w:fldChar w:fldCharType="separate"/>
      </w:r>
      <w:r w:rsidRPr="00FA75F0">
        <w:rPr>
          <w:bCs/>
          <w:noProof/>
        </w:rPr>
        <w:t xml:space="preserve">(Holmes </w:t>
      </w:r>
      <w:r w:rsidR="00D21786" w:rsidRPr="00D21786">
        <w:rPr>
          <w:bCs/>
          <w:i/>
          <w:iCs/>
          <w:noProof/>
        </w:rPr>
        <w:t>et al</w:t>
      </w:r>
      <w:r w:rsidRPr="00FA75F0">
        <w:rPr>
          <w:bCs/>
          <w:noProof/>
        </w:rPr>
        <w:t>., 2020)</w:t>
      </w:r>
      <w:r>
        <w:rPr>
          <w:bCs/>
        </w:rPr>
        <w:fldChar w:fldCharType="end"/>
      </w:r>
      <w:r>
        <w:rPr>
          <w:bCs/>
        </w:rPr>
        <w:t>. Our finding of greater self-reported well-being among Growers compared to Non-growers is consistent with e</w:t>
      </w:r>
      <w:r>
        <w:t xml:space="preserve">xisting research that has highlighted the potential benefits of UA and home food growing for well-being </w:t>
      </w:r>
      <w:r>
        <w:rPr>
          <w:bCs/>
        </w:rPr>
        <w:fldChar w:fldCharType="begin" w:fldLock="1"/>
      </w:r>
      <w:r w:rsidR="00212B7E">
        <w:rPr>
          <w:bCs/>
        </w:rPr>
        <w:instrText>ADDIN CSL_CITATION {"citationItems":[{"id":"ITEM-1","itemData":{"DOI":"10.1080/02614360902769894","ISSN":"02614367","abstract":"This paper reports on a research project undertaken with members of a community garden in Port Melbourne, Australia, to investigate the ways in which such a facility contributes to the enhancement of health, wellbeing and contact with nature for urban dwellers. Ten members from an urban community garden were interviewed using qualitative semi-structured questions exploring perceptions of health and wellbeing benefits associated with membership. The garden was felt by members to be a sanctuary where people could come together and escape daily pressures, a source of advice and social support, and a place which gave them a sense of worth and involvement. Members also identified spiritual, fitness and nutritional benefits arising from participation in the community garden. It is evident even from this small qualitative study that community gardening offers many health and wellbeing benefits to members. This study provides a basis for the benefits of community gardens in Australia to be taken into account by policymakers and practitioners to enhance urban community health and wellbeing. © 2009 Taylor &amp; Francis.","author":[{"dropping-particle":"","family":"Kingsley","given":"Jonathan Yotti","non-dropping-particle":"","parse-names":false,"suffix":""},{"dropping-particle":"","family":"Townsend","given":"Mardie","non-dropping-particle":"","parse-names":false,"suffix":""},{"dropping-particle":"","family":"Henderson-Wilson","given":"Claire","non-dropping-particle":"","parse-names":false,"suffix":""}],"container-title":"Leisure Studies","id":"ITEM-1","issue":"2","issued":{"date-parts":[["2009","4"]]},"page":"207-219","publisher":" Routledge ","title":"Cultivating health and wellbeing: Members' perceptions of the health benefits of a Port Melbourne community garden","type":"article-journal","volume":"28"},"uris":["http://www.mendeley.com/documents/?uuid=4b9917e6-5602-33ed-bf9b-913ce88d5008"]},{"id":"ITEM-2","itemData":{"DOI":"10.1186/s12889-019-6885-z","ISSN":"1471-2458","PMID":"31151393","abstract":"BACKGROUND There has been an increasing interest in urban agriculture (UA) practice and research in recent years. Scholars have already reported numerous beneficial and potential adverse impacts of UA on health-related outcomes. This scoping review aims to explore these impacts and identify knowledge gaps for future UA studies. METHODS A systematic search was conducted in seven electronic bibliographic databases to identify relevant peer-reviewed studies. Articles were screened and assessed for eligibility. From eligible studies, data were extracted to summarize, collate, appraise the quality and make a narrative account of the findings. RESULTS A total of 101 articles (51 quantitative, 29 qualitative, and 21 mixed methods studies) were included in our final analysis. Among these articles, 38 and 37% reported findings from North America and Sub-Saharan Africa respectively. Quantitative studies revealed evidence of positive impacts of UA on food security, nutrition outcomes, physical and mental health outcomes, and social capital. The qualitative studies reported a wide range of perceived benefits and motivations of UA. The most frequently reported benefits include contributions to social capital, food security, health and/or wellbeing. However, the evidence must be interpreted with caution since the quality of most of the studies was assessed as weak to moderate. While no definitive conclusions can be drawn about the adverse impacts of UA on health, paying particular attention to contamination of UA soil is recommended. CONCLUSION More peer-reviewed studies are needed in areas where UA is practiced such as Latin America and Caribbean. The inconsistency and the lack of strong quality in the methodology of the included studies are proof that more rigorous studies are also needed in future research. Nevertheless, the substantial existing evidence from this review corroborate that UA can influence different determinants of health such as food security, social capital, health and well-being in a variety of contexts.","author":[{"dropping-particle":"","family":"Audate","given":"Pierre Paul","non-dropping-particle":"","parse-names":false,"suffix":""},{"dropping-particle":"","family":"Fernandez","given":"Melissa A.","non-dropping-particle":"","parse-names":false,"suffix":""},{"dropping-particle":"","family":"Cloutier","given":"Geneviève","non-dropping-particle":"","parse-names":false,"suffix":""},{"dropping-particle":"","family":"Lebel","given":"Alexandre","non-dropping-particle":"","parse-names":false,"suffix":""}],"container-title":"BMC Public Health","id":"ITEM-2","issue":"1","issued":{"date-parts":[["2019","12","31"]]},"page":"672","title":"Scoping review of the impacts of urban agriculture on the determinants of health","type":"article-journal","volume":"19"},"uris":["http://www.mendeley.com/documents/?uuid=945d0584-fb3c-3ea5-977f-d0c9cb575924"]},{"id":"ITEM-3","itemData":{"DOI":"10.1186/2047-2382-3-20","ISSN":"20472382","abstract":"Background: Community gardening is defined by its shared nature; gardeners work collectively to manage a garden for shared benefit. Although communal gardening activities, and recognition of their perceived benefits have a long history, it is in recent years that interest has developed in assessing the potential of the approach to address many of the threats to health and wellbeing faced by global populations. Community gardening may address chronic and non-communicable disease through the provision of opportunities for physical activity, improved nutrition and reduced stress. Participation in the gardening activities may improve wellbeing through increased social contact, culturally valued activities and mitigation of food poverty. The benefits of community gardening are argued to extend beyond the participants themselves through more coherent and cohesive communities, improved physical environments and the sharing of the products of the labour. While there are many claims made and an emerging body of research, no previous systematic review has sought to identify and synthesise the evidence in a global context. Methods: The objectives of the mixed method systematic review are to understand the health and wellbeing impacts of active participation in community gardening. Both quantitative and qualitative evidence will be sought using a broad and diverse search strategy to address the four review questions: 1) does active involvement in community gardening lead to improved health or wellbeing; 2) if so, how does active involvement in community gardening affect health and wellbeing; 3) are there different impacts for different population groups (for instance according to age, socio-economic status or sex); and 4) do different types of community gardening (for example producing vegetables or a flower garden) or in different contexts have different types of impacts? A theoretical framework, informed by an initial theory of change model, will illustrate the outcomes of participation and any mechanisms of action (i.e. how such impacts are achieved). The synthesis will be sensitive to factors which may affect the impacts, such as the context of the activities, the demographics of participants, and the implementation and specifics of the community gardening interventions.","author":[{"dropping-particle":"","family":"Lovell","given":"Rebecca","non-dropping-particle":"","parse-names":false,"suffix":""},{"dropping-particle":"","family":"Husk","given":"Kerryn","non-dropping-particle":"","parse-names":false,"suffix":""},{"dropping-particle":"","family":"Bethel","given":"Alison","non-dropping-particle":"","parse-names":false,"suffix":""},{"dropping-particle":"","family":"Garside","given":"Ruth","non-dropping-particle":"","parse-names":false,"suffix":""}],"container-title":"Environmental Evidence","id":"ITEM-3","issue":"1","issued":{"date-parts":[["2014","10","7"]]},"publisher":"BioMed Central Ltd.","title":"What are the health and well-being impacts of community gardening for adults and children: A mixed method systematic review protocol","type":"article-journal","volume":"3"},"uris":["http://www.mendeley.com/documents/?uuid=5f527a33-56f0-3162-9ecf-4591d52f9db2"]},{"id":"ITEM-4","itemData":{"DOI":"10.1136/bmjopen-2020-036923","ISSN":"2044-6055","abstract":"To cite: Howarth M, Brettle A, Hardman M, et al. What is the evidence for the impact of gardens and gardening on health and well-being: a scoping review and evidence-based logic model to guide healthcare strategy decision making on the use of gardening approaches as a social prescription. BMJ Open 2020;10:e036923. AbstrACt Objective To systematically identify and describe studies that have evaluated the impact of gardens and gardening on health and well-being. A secondary objective was to use this evidence to build evidence-based logic models to guide health strategy decision making about gardens and gardening as a non-medical, social prescription. Design Scoping review of the impact of gardens and gardening on health and well-being. Gardens include private spaces and those open to the public or part of hospitals, care homes, hospices or third sector organisations. Data sources A range of biomedical and health management journals was searched including Medline, CINAHL, Psychinfo, Web of Knowledge, ASSIA, Cochrane, Joanna Briggs, Greenfile, Environment Complete and a number of indicative websites were searched to locate context-specific data and grey literature. We searched from 1990 to November 2019. Eligibility criteria We included research studies (including systematic reviews) that assessed the effect, value or impact of any garden that met the gardening definition. Data extraction and synthesis Three reviewers jointly screened 50 records by titles and abstracts to ensure calibration. Each record title was screened independently by 2 out of 3 members of the project team and each abstract was screened by 1 member of a team of 3. Random checks on abstract and full-text screening were conducted by a fourth member of the team and any discrepancies were resolved through double-checking and discussion. results From the 8896 papers located, a total of 77 * studies was included. Over 35 validated health, well-being and functional biometric outcome measures were reported. Interventions ranged from viewing gardens, taking part in gardening or undertaking therapeutic activities. The findings demonstrated links between gardens and improved mental well-being, increased physical activity and a reduction in social isolation enabling the development of 2 logic models. Conclusions Gardens and gardening can improve the health and well-being for people with a range of health and social needs. The benefits of gardens and gardening could be used as a 'social prescription…","author":[{"dropping-particle":"","family":"Howarth","given":"Michelle","non-dropping-particle":"","parse-names":false,"suffix":""},{"dropping-particle":"","family":"Brettle","given":"Alison","non-dropping-particle":"","parse-names":false,"suffix":""},{"dropping-particle":"","family":"Hardman","given":"Michael","non-dropping-particle":"","parse-names":false,"suffix":""},{"dropping-particle":"","family":"Maden","given":"Michelle","non-dropping-particle":"","parse-names":false,"suffix":""}],"container-title":"BMJ Open","id":"ITEM-4","issue":"7","issued":{"date-parts":[["2020","7","19"]]},"page":"e036923","title":"What is the evidence for the impact of gardens and gardening on health and well-being: a scoping review and evidence-based logic model to guide healthcare strategy decision making on the use of gardening approaches as a social prescription","type":"article-journal","volume":"10"},"uris":["http://www.mendeley.com/documents/?uuid=38cd21f0-01ee-3738-a3ee-5b5ab71baf33"]}],"mendeley":{"formattedCitation":"(Audate et al., 2019; Howarth et al., 2020; Kingsley et al., 2009; Lovell et al., 2014)","plainTextFormattedCitation":"(Audate et al., 2019; Howarth et al., 2020; Kingsley et al., 2009; Lovell et al., 2014)","previouslyFormattedCitation":"(Audate et al., 2019; Howarth et al., 2020; Kingsley et al., 2009; Lovell et al., 2014)"},"properties":{"noteIndex":0},"schema":"https://github.com/citation-style-language/schema/raw/master/csl-citation.json"}</w:instrText>
      </w:r>
      <w:r>
        <w:rPr>
          <w:bCs/>
        </w:rPr>
        <w:fldChar w:fldCharType="separate"/>
      </w:r>
      <w:r w:rsidRPr="0028414A">
        <w:rPr>
          <w:bCs/>
          <w:noProof/>
        </w:rPr>
        <w:t xml:space="preserve">(Audate </w:t>
      </w:r>
      <w:r w:rsidR="00D21786" w:rsidRPr="00D21786">
        <w:rPr>
          <w:bCs/>
          <w:i/>
          <w:iCs/>
          <w:noProof/>
        </w:rPr>
        <w:t>et al</w:t>
      </w:r>
      <w:r w:rsidRPr="0028414A">
        <w:rPr>
          <w:bCs/>
          <w:noProof/>
        </w:rPr>
        <w:t xml:space="preserve">., 2019; Howarth </w:t>
      </w:r>
      <w:r w:rsidR="00D21786" w:rsidRPr="00D21786">
        <w:rPr>
          <w:bCs/>
          <w:i/>
          <w:iCs/>
          <w:noProof/>
        </w:rPr>
        <w:t>et al</w:t>
      </w:r>
      <w:r w:rsidRPr="0028414A">
        <w:rPr>
          <w:bCs/>
          <w:noProof/>
        </w:rPr>
        <w:t xml:space="preserve">., 2020; Kingsley </w:t>
      </w:r>
      <w:r w:rsidR="00D21786" w:rsidRPr="00D21786">
        <w:rPr>
          <w:bCs/>
          <w:i/>
          <w:iCs/>
          <w:noProof/>
        </w:rPr>
        <w:t>et al</w:t>
      </w:r>
      <w:r w:rsidRPr="0028414A">
        <w:rPr>
          <w:bCs/>
          <w:noProof/>
        </w:rPr>
        <w:t xml:space="preserve">., 2009; Lovell </w:t>
      </w:r>
      <w:r w:rsidR="00D21786" w:rsidRPr="00D21786">
        <w:rPr>
          <w:bCs/>
          <w:i/>
          <w:iCs/>
          <w:noProof/>
        </w:rPr>
        <w:t>et al</w:t>
      </w:r>
      <w:r w:rsidRPr="0028414A">
        <w:rPr>
          <w:bCs/>
          <w:noProof/>
        </w:rPr>
        <w:t>., 2014)</w:t>
      </w:r>
      <w:r>
        <w:rPr>
          <w:bCs/>
        </w:rPr>
        <w:fldChar w:fldCharType="end"/>
      </w:r>
      <w:r>
        <w:rPr>
          <w:bCs/>
        </w:rPr>
        <w:t xml:space="preserve">. Thus, our findings suggest that home food growing should be investigated as a means of supporting well-being during the pandemic. </w:t>
      </w:r>
      <w:r w:rsidR="0076768E">
        <w:rPr>
          <w:bCs/>
        </w:rPr>
        <w:t>Efforts to facilitate the uptake of home food growing to maximise its potential benefits for well-being, such as national campaigns or subsidies to provide equipment, could benefit from c</w:t>
      </w:r>
      <w:r>
        <w:rPr>
          <w:bCs/>
        </w:rPr>
        <w:t>apitalising on the increased public interest in home food growing that has been (anecdotally) reported by media outlets</w:t>
      </w:r>
      <w:r w:rsidR="0076768E">
        <w:rPr>
          <w:bCs/>
        </w:rPr>
        <w:t>.</w:t>
      </w:r>
      <w:r>
        <w:rPr>
          <w:bCs/>
        </w:rPr>
        <w:t xml:space="preserve"> </w:t>
      </w:r>
    </w:p>
    <w:p w14:paraId="2BB8BCAA" w14:textId="77777777" w:rsidR="005F3CEB" w:rsidRDefault="005F3CEB" w:rsidP="002F4BD0">
      <w:pPr>
        <w:spacing w:after="0" w:line="480" w:lineRule="auto"/>
      </w:pPr>
    </w:p>
    <w:p w14:paraId="3EDE48A7" w14:textId="26A8DF36" w:rsidR="00136239" w:rsidRDefault="005F3CEB" w:rsidP="002F4BD0">
      <w:pPr>
        <w:spacing w:after="0" w:line="480" w:lineRule="auto"/>
      </w:pPr>
      <w:r>
        <w:t xml:space="preserve">It should be noted that </w:t>
      </w:r>
      <w:r w:rsidR="00C232C5">
        <w:t>the</w:t>
      </w:r>
      <w:r>
        <w:t xml:space="preserve"> March-April period </w:t>
      </w:r>
      <w:r w:rsidR="00C232C5">
        <w:t xml:space="preserve">when these data were collected </w:t>
      </w:r>
      <w:r>
        <w:t xml:space="preserve">was early in the UK growing season, so </w:t>
      </w:r>
      <w:r w:rsidR="00C232C5">
        <w:t xml:space="preserve">large food harvests from </w:t>
      </w:r>
      <w:r w:rsidR="007700AF">
        <w:t xml:space="preserve">home food growing </w:t>
      </w:r>
      <w:r w:rsidR="00C232C5">
        <w:t xml:space="preserve">may have been unlikely. The protective effect of </w:t>
      </w:r>
      <w:r w:rsidR="007700AF">
        <w:t xml:space="preserve">home food growing </w:t>
      </w:r>
      <w:r w:rsidR="00C232C5">
        <w:t xml:space="preserve">that we tentatively propose may be due to </w:t>
      </w:r>
      <w:r w:rsidR="00672843">
        <w:t>home food growing</w:t>
      </w:r>
      <w:r w:rsidR="00C232C5">
        <w:t xml:space="preserve"> providing reassurance</w:t>
      </w:r>
      <w:r w:rsidR="00136239">
        <w:t xml:space="preserve"> during an acute food system shock (early lockdown)</w:t>
      </w:r>
      <w:r w:rsidR="00C232C5">
        <w:t xml:space="preserve">, rather than an immediate food source. Participants who reported already being engaged in </w:t>
      </w:r>
      <w:r w:rsidR="007700AF">
        <w:t xml:space="preserve">home food growing </w:t>
      </w:r>
      <w:r w:rsidR="00C232C5">
        <w:t>may have been reassured by the expectation of what they would be able to harvest in the future</w:t>
      </w:r>
      <w:r w:rsidR="00672843">
        <w:t xml:space="preserve"> should purchasing restrictions in supermarkets continue</w:t>
      </w:r>
      <w:r w:rsidR="00C232C5">
        <w:t xml:space="preserve">. </w:t>
      </w:r>
      <w:r w:rsidR="000B4ECB">
        <w:t xml:space="preserve">It may also be that these individuals are </w:t>
      </w:r>
      <w:r w:rsidR="000B4ECB">
        <w:lastRenderedPageBreak/>
        <w:t xml:space="preserve">better networked in local food growing communities, affording them better knowledge and access to less disturbed local food sources. </w:t>
      </w:r>
      <w:r w:rsidR="00136239">
        <w:t>However, w</w:t>
      </w:r>
      <w:r w:rsidR="00C232C5">
        <w:t xml:space="preserve">e did not measure the scale of the growing that people were engaged in, or if they engaged in </w:t>
      </w:r>
      <w:r w:rsidR="007700AF">
        <w:t xml:space="preserve">home food growing </w:t>
      </w:r>
      <w:r w:rsidR="00C232C5">
        <w:t>for subsistenc</w:t>
      </w:r>
      <w:r w:rsidR="00136239">
        <w:t>e or a hobby</w:t>
      </w:r>
      <w:r w:rsidR="001064A5">
        <w:t>,</w:t>
      </w:r>
      <w:r w:rsidR="008F7B64">
        <w:t xml:space="preserve"> and if this changed in response to the pandemic</w:t>
      </w:r>
      <w:r w:rsidR="00C232C5">
        <w:t xml:space="preserve">. Future work needs to consider this, as the amount of food that </w:t>
      </w:r>
      <w:r w:rsidR="007700AF">
        <w:t xml:space="preserve">home food growing </w:t>
      </w:r>
      <w:r w:rsidR="00C232C5">
        <w:t xml:space="preserve">is expected to produce may moderate these effects. </w:t>
      </w:r>
    </w:p>
    <w:p w14:paraId="4A235099" w14:textId="77777777" w:rsidR="00DC2EBF" w:rsidRDefault="00DC2EBF" w:rsidP="002F4BD0">
      <w:pPr>
        <w:spacing w:after="0" w:line="480" w:lineRule="auto"/>
      </w:pPr>
    </w:p>
    <w:p w14:paraId="3FFB43BA" w14:textId="3A265675" w:rsidR="009D3A72" w:rsidRDefault="00FC38D3" w:rsidP="002F4BD0">
      <w:pPr>
        <w:spacing w:after="0" w:line="480" w:lineRule="auto"/>
        <w:rPr>
          <w:bCs/>
        </w:rPr>
      </w:pPr>
      <w:r>
        <w:rPr>
          <w:bCs/>
        </w:rPr>
        <w:t xml:space="preserve">We found </w:t>
      </w:r>
      <w:r w:rsidR="007700AF">
        <w:rPr>
          <w:bCs/>
        </w:rPr>
        <w:t>no evidence</w:t>
      </w:r>
      <w:r w:rsidR="001064A5">
        <w:rPr>
          <w:bCs/>
        </w:rPr>
        <w:t xml:space="preserve"> that</w:t>
      </w:r>
      <w:r w:rsidR="00141FE4">
        <w:rPr>
          <w:bCs/>
        </w:rPr>
        <w:t xml:space="preserve"> </w:t>
      </w:r>
      <w:r w:rsidR="009343D5">
        <w:rPr>
          <w:bCs/>
        </w:rPr>
        <w:t xml:space="preserve">participants with </w:t>
      </w:r>
      <w:r w:rsidR="00141FE4">
        <w:rPr>
          <w:bCs/>
        </w:rPr>
        <w:t xml:space="preserve">higher levels of perceived food </w:t>
      </w:r>
      <w:r w:rsidR="00806E24">
        <w:rPr>
          <w:bCs/>
        </w:rPr>
        <w:t xml:space="preserve">insecurity </w:t>
      </w:r>
      <w:r w:rsidR="009343D5">
        <w:rPr>
          <w:bCs/>
        </w:rPr>
        <w:t xml:space="preserve">had </w:t>
      </w:r>
      <w:r w:rsidR="007700AF">
        <w:rPr>
          <w:bCs/>
        </w:rPr>
        <w:t xml:space="preserve">immediate or future intentions of engaging in </w:t>
      </w:r>
      <w:r w:rsidR="007700AF">
        <w:t>home food growing</w:t>
      </w:r>
      <w:r w:rsidR="009D3A72">
        <w:rPr>
          <w:bCs/>
        </w:rPr>
        <w:t xml:space="preserve">. </w:t>
      </w:r>
      <w:r>
        <w:rPr>
          <w:bCs/>
        </w:rPr>
        <w:t xml:space="preserve">This </w:t>
      </w:r>
      <w:r w:rsidR="009343D5">
        <w:rPr>
          <w:bCs/>
        </w:rPr>
        <w:t>has implications for intervention development</w:t>
      </w:r>
      <w:r w:rsidR="001064A5">
        <w:rPr>
          <w:bCs/>
        </w:rPr>
        <w:t xml:space="preserve"> because h</w:t>
      </w:r>
      <w:r w:rsidR="00806E24">
        <w:t>ome food growing has been shown to ha</w:t>
      </w:r>
      <w:r w:rsidR="00D53D59">
        <w:t>v</w:t>
      </w:r>
      <w:r w:rsidR="00806E24">
        <w:t xml:space="preserve">e benefits for tackling food insecurity </w:t>
      </w:r>
      <w:r w:rsidR="00806E24">
        <w:rPr>
          <w:bCs/>
        </w:rPr>
        <w:fldChar w:fldCharType="begin" w:fldLock="1"/>
      </w:r>
      <w:r w:rsidR="00B00203">
        <w:rPr>
          <w:bCs/>
        </w:rPr>
        <w:instrText>ADDIN CSL_CITATION {"citationItems":[{"id":"ITEM-1","itemData":{"DOI":"10.1007/s10460-009-9254-1","ISSN":"0889-048X","abstract":"Food security is a fundamental element of community health. Informal house-lot food growing, by providing convenient access to diverse varieties of affordable and nutritious produce, can provide an important support for community food security. In this exploratory assessment of the contribution home food gardening makes to community food security, in-depth interviews were conducted with gardeners in two contrasting neighborhoods in Toronto, Canada. A typology of food gardeners was developed, and this qualitative understanding of residential food production was then assessed from a community food security perspective. It was found that growing food contributes to food security at all income levels by encouraging a more nutritious diet. The sustainability of household food sourcing and gardeners' overall health and well-being also increased with food production. Secure access to suitable land to grow food and gardening skills were the most significant barriers found to residential food production.","author":[{"dropping-particle":"","family":"Kortright","given":"Robin","non-dropping-particle":"","parse-names":false,"suffix":""},{"dropping-particle":"","family":"Wakefield","given":"Sarah","non-dropping-particle":"","parse-names":false,"suffix":""}],"container-title":"Agriculture and Human Values","id":"ITEM-1","issue":"1","issued":{"date-parts":[["2011","2"]]},"page":"39-53","publisher":"SPRINGER","publisher-place":"VAN GODEWIJCKSTRAAT 30, 3311 GZ DORDRECHT, NETHERLANDS","title":"Edible backyards: a qualitative study of household food growing and its contributions to food security","type":"article-journal","volume":"28"},"uris":["http://www.mendeley.com/documents/?uuid=2fc0cb4c-7d44-448d-8b0a-c937ee9b3b44"]},{"id":"ITEM-2","itemData":{"DOI":"10.1186/2048-7010-2-8","ISSN":"20487010","abstract":"With the global population expected to reach over 9 billion by 2050, there is a continuous need to increase food production and buffer stocks. In this scenario, countries around the world, especially developing countries where the pervasiveness of hunger and food scarcity is more acute, are resorting to various counter strategies to meet the growing demand and to avert food insecurity and famine. Over the recent years there has been growing interest to strengthen and intensify local food production in order to mitigate the adverse effect of global food shocks and food price volatilities. Consequently, there is much attention towards home gardens as a strategy to enhance household food security and nutrition. Home gardens are an integral part of local food systems and the agricultural landscape of developing countries all over the world and have endured the test of time. Through a rigorous literature review, this paper first examines definitions and characteristics of home gardens and then provides a global review of their social, economic, and environmental contributions to communities in various socio-economic contexts. Many of the compositions on home gardens share research and experiences of developing countries in Africa, Asia, and Latin America. These studies recognize positive impacts of home gardens towards addressing food insecurity and malnutrition as well as providing additional benefits such as income and livelihood opportunities for resource-poor families and delivering a number of ecosystem services. However, only a handful of case studies were found on post-crisis settings. While providing a general overview of some of these studies, this review investigates the home garden experiences of post-conflict Sri Lanka, where home gardening has been practiced for centuries. While emphasizing multiple benefits, we also highlight constraints to home garden food production. In conclusion, we emphasize the need for more research and empirical data to appraise the role of home gardens in crisis and post-crisis situations, as well as assessing their economic value and their impacts on food security, nutrition, economic growth, and gender issues.","author":[{"dropping-particle":"","family":"Galhena","given":"Dilrukshi Hashini","non-dropping-particle":"","parse-names":false,"suffix":""},{"dropping-particle":"","family":"Freed","given":"Russell","non-dropping-particle":"","parse-names":false,"suffix":""},{"dropping-particle":"","family":"Maredia","given":"Karim M.","non-dropping-particle":"","parse-names":false,"suffix":""}],"container-title":"Agriculture and Food Security","id":"ITEM-2","issue":"1","issued":{"date-parts":[["2013","5","31"]]},"publisher":"BioMed Central Ltd.","title":"Home gardens: A promising approach to enhance household food security and wellbeing","type":"article","volume":"2"},"uris":["http://www.mendeley.com/documents/?uuid=9baf3bbd-d466-3f08-b6b6-b3c0a4875b2a"]},{"id":"ITEM-3","itemData":{"DOI":"10.3733/ca.v070n02p77","ISSN":"00080845","abstract":"As of 2013, 42 million American households were involved in growing their own food either at home or in a community garden plot. The purpose of this pilot study was to document the extent to which gardeners, particularly less affluent ones, increase their vegetable intake when eating from either home or community garden spaces. Eighty-five community gardeners and 50 home gardeners from San Jose, California, completed a survey providing information on demographic background, self-rated health, vegetable intake and the benefits of gardening. The gardeners surveyed were generally low income and came from a variety of ethnic and educational backgrounds. Participants in this study reported doubling their vegetable intake to a level that met the number of daily servings recommended by the U.S. Dietary Guidelines. Growing food in community and home gardens can contribute to food security by helping provide access to fresh vegetables and increasing consumption of vegetables by gardeners and their families.","author":[{"dropping-particle":"","family":"Algert","given":"Susan","non-dropping-particle":"","parse-names":false,"suffix":""},{"dropping-particle":"","family":"Diekmann","given":"Lucy","non-dropping-particle":"","parse-names":false,"suffix":""},{"dropping-particle":"","family":"Renvall","given":"Marian","non-dropping-particle":"","parse-names":false,"suffix":""},{"dropping-particle":"","family":"Gray","given":"Leslie","non-dropping-particle":"","parse-names":false,"suffix":""}],"container-title":"California Agriculture","id":"ITEM-3","issue":"2","issued":{"date-parts":[["2016"]]},"page":"77-82","title":"Community and home gardens increase vegetable intake and food security of residents in San Jose, California","type":"article-journal","volume":"70"},"uris":["http://www.mendeley.com/documents/?uuid=500634fe-dfa7-319e-b160-87b94dbee2d3"]}],"mendeley":{"formattedCitation":"(Algert et al., 2016; Galhena et al., 2013; Kortright &amp; Wakefield, 2011)","plainTextFormattedCitation":"(Algert et al., 2016; Galhena et al., 2013; Kortright &amp; Wakefield, 2011)","previouslyFormattedCitation":"(Algert et al., 2016; Galhena et al., 2013; Kortright &amp; Wakefield, 2011)"},"properties":{"noteIndex":0},"schema":"https://github.com/citation-style-language/schema/raw/master/csl-citation.json"}</w:instrText>
      </w:r>
      <w:r w:rsidR="00806E24">
        <w:rPr>
          <w:bCs/>
        </w:rPr>
        <w:fldChar w:fldCharType="separate"/>
      </w:r>
      <w:r w:rsidR="00806E24" w:rsidRPr="00D83743">
        <w:rPr>
          <w:bCs/>
          <w:noProof/>
        </w:rPr>
        <w:t xml:space="preserve">(Algert </w:t>
      </w:r>
      <w:r w:rsidR="00D21786" w:rsidRPr="00D21786">
        <w:rPr>
          <w:bCs/>
          <w:i/>
          <w:iCs/>
          <w:noProof/>
        </w:rPr>
        <w:t>et al</w:t>
      </w:r>
      <w:r w:rsidR="00806E24" w:rsidRPr="00D83743">
        <w:rPr>
          <w:bCs/>
          <w:noProof/>
        </w:rPr>
        <w:t xml:space="preserve">., 2016; Galhena </w:t>
      </w:r>
      <w:r w:rsidR="00D21786" w:rsidRPr="00D21786">
        <w:rPr>
          <w:bCs/>
          <w:i/>
          <w:iCs/>
          <w:noProof/>
        </w:rPr>
        <w:t>et al</w:t>
      </w:r>
      <w:r w:rsidR="00806E24" w:rsidRPr="00D83743">
        <w:rPr>
          <w:bCs/>
          <w:noProof/>
        </w:rPr>
        <w:t>., 2013; Kortright &amp; Wakefield, 2011)</w:t>
      </w:r>
      <w:r w:rsidR="00806E24">
        <w:rPr>
          <w:bCs/>
        </w:rPr>
        <w:fldChar w:fldCharType="end"/>
      </w:r>
      <w:r w:rsidR="00D53D59">
        <w:rPr>
          <w:bCs/>
        </w:rPr>
        <w:t>.</w:t>
      </w:r>
      <w:r w:rsidR="001064A5">
        <w:rPr>
          <w:bCs/>
        </w:rPr>
        <w:t xml:space="preserve"> Participants in this study may have been unaware of such potential benefits, or even</w:t>
      </w:r>
      <w:r w:rsidR="008272B6">
        <w:rPr>
          <w:bCs/>
        </w:rPr>
        <w:t xml:space="preserve"> felt</w:t>
      </w:r>
      <w:r w:rsidR="001064A5">
        <w:rPr>
          <w:bCs/>
        </w:rPr>
        <w:t xml:space="preserve"> discouraged from engaging in home </w:t>
      </w:r>
      <w:r w:rsidR="00BF4949">
        <w:rPr>
          <w:bCs/>
        </w:rPr>
        <w:t>food</w:t>
      </w:r>
      <w:r w:rsidR="001064A5">
        <w:rPr>
          <w:bCs/>
        </w:rPr>
        <w:t xml:space="preserve"> </w:t>
      </w:r>
      <w:r w:rsidR="00BF4949">
        <w:rPr>
          <w:bCs/>
        </w:rPr>
        <w:t>growing</w:t>
      </w:r>
      <w:r w:rsidR="001064A5">
        <w:rPr>
          <w:bCs/>
        </w:rPr>
        <w:t xml:space="preserve"> because of perceived barriers such as limited time, space, knowledge or financial resources </w:t>
      </w:r>
      <w:r w:rsidR="001064A5">
        <w:rPr>
          <w:bCs/>
        </w:rPr>
        <w:fldChar w:fldCharType="begin" w:fldLock="1"/>
      </w:r>
      <w:r w:rsidR="000E0418">
        <w:rPr>
          <w:bCs/>
        </w:rPr>
        <w:instrText>ADDIN CSL_CITATION {"citationItems":[{"id":"ITEM-1","itemData":{"DOI":"10.1016/j.appet.2020.104845","ISSN":"01956663","author":[{"dropping-particle":"","family":"Mead","given":"B. R.;","non-dropping-particle":"","parse-names":false,"suffix":""},{"dropping-particle":"","family":"Davies","given":"E. B;","non-dropping-particle":"","parse-names":false,"suffix":""},{"dropping-particle":"","family":"Davies","given":"J. A. C.;","non-dropping-particle":"","parse-names":false,"suffix":""},{"dropping-particle":"","family":"Falagán","given":"N.;","non-dropping-particle":"","parse-names":false,"suffix":""},{"dropping-particle":"","family":"Kourmpetli","given":"S.;","non-dropping-particle":"","parse-names":false,"suffix":""},{"dropping-particle":"","family":"Liu","given":"L.;","non-dropping-particle":"","parse-names":false,"suffix":""},{"dropping-particle":"","family":"Walsh","given":"L.;","non-dropping-particle":"","parse-names":false,"suffix":""},{"dropping-particle":"","family":"Hardman","given":"C. A.","non-dropping-particle":"","parse-names":false,"suffix":""}],"container-title":"Appetite","id":"ITEM-1","issued":{"date-parts":[["2020","10","29"]]},"page":"104845","publisher":"Elsevier BV","title":"BFDG2020 ABSTRACTS","type":"article-journal"},"uris":["http://www.mendeley.com/documents/?uuid=c6241da9-d1f3-319e-b585-40b66ba57537"]},{"id":"ITEM-2","itemData":{"DOI":"10.1080/13549839.2015.1017807","ISSN":"1354-9839","abstract":"Scholars have noted that race and ethnicity, socio-economic status (SES) as well as other socio-demographic factors may limit participation in local food systems based on the historic and structured patterns of inequalities that remain in communities promoting alternative agriculture and food (agrifood) activities. However, few empirical studies have examined the barriers which prevent people from participating in local food system activities. This paper uses survey data from the 2008 Ohio Survey of Food, Agriculture and Environmental Issues to consider whether barriers such as interest, time, financial resources, geography and space impact the participation of households in home gardening. Results from logistic regression show that SES, the availability of space and housing type are important factors which limit or enable household participation in home gardening. This paper contributes to our understanding of the barriers that prevent households from participating in home gardening, a form of food system localisation that, while a potentially powerful way to transform the agrifood system, has been underexamined in its own right.","author":[{"dropping-particle":"","family":"Schupp","given":"Justin L","non-dropping-particle":"","parse-names":false,"suffix":""},{"dropping-particle":"","family":"Som Castellano","given":"Rebecca L.","non-dropping-particle":"","parse-names":false,"suffix":""},{"dropping-particle":"","family":"Sharp","given":"Jeff S","non-dropping-particle":"","parse-names":false,"suffix":""},{"dropping-particle":"","family":"Bean","given":"Molly","non-dropping-particle":"","parse-names":false,"suffix":""}],"container-title":"Local Environment","id":"ITEM-2","issue":"6","issued":{"date-parts":[["2016","6","2"]]},"page":"752-767","publisher":"ROUTLEDGE JOURNALS, TAYLOR &amp; FRANCIS LTD","publisher-place":"2-4 PARK SQUARE, MILTON PARK, ABINGDON OX14 4RN, OXON, ENGLAND","title":"Exploring barriers to home gardening in Ohio households","type":"article-journal","volume":"21"},"uris":["http://www.mendeley.com/documents/?uuid=c5e20f6c-4b18-4f6f-b85e-f5ee68c1ceb5"]}],"mendeley":{"formattedCitation":"(B. R. . Mead et al., 2020; Schupp et al., 2016)","manualFormatting":"(Mead et al., 2020; Schupp et al., 2016)","plainTextFormattedCitation":"(B. R. . Mead et al., 2020; Schupp et al., 2016)","previouslyFormattedCitation":"(B. R. . Mead et al., 2020; Schupp et al., 2016)"},"properties":{"noteIndex":0},"schema":"https://github.com/citation-style-language/schema/raw/master/csl-citation.json"}</w:instrText>
      </w:r>
      <w:r w:rsidR="001064A5">
        <w:rPr>
          <w:bCs/>
        </w:rPr>
        <w:fldChar w:fldCharType="separate"/>
      </w:r>
      <w:r w:rsidR="00507B76" w:rsidRPr="00507B76">
        <w:rPr>
          <w:bCs/>
          <w:noProof/>
        </w:rPr>
        <w:t xml:space="preserve">(Mead </w:t>
      </w:r>
      <w:r w:rsidR="00D21786" w:rsidRPr="00D21786">
        <w:rPr>
          <w:bCs/>
          <w:i/>
          <w:iCs/>
          <w:noProof/>
        </w:rPr>
        <w:t>et al</w:t>
      </w:r>
      <w:r w:rsidR="00507B76" w:rsidRPr="00507B76">
        <w:rPr>
          <w:bCs/>
          <w:noProof/>
        </w:rPr>
        <w:t xml:space="preserve">., 2020; Schupp </w:t>
      </w:r>
      <w:r w:rsidR="00D21786" w:rsidRPr="00D21786">
        <w:rPr>
          <w:bCs/>
          <w:i/>
          <w:iCs/>
          <w:noProof/>
        </w:rPr>
        <w:t>et al</w:t>
      </w:r>
      <w:r w:rsidR="00507B76" w:rsidRPr="00507B76">
        <w:rPr>
          <w:bCs/>
          <w:noProof/>
        </w:rPr>
        <w:t>., 2016)</w:t>
      </w:r>
      <w:r w:rsidR="001064A5">
        <w:rPr>
          <w:bCs/>
        </w:rPr>
        <w:fldChar w:fldCharType="end"/>
      </w:r>
      <w:r w:rsidR="001064A5">
        <w:rPr>
          <w:bCs/>
        </w:rPr>
        <w:t>.</w:t>
      </w:r>
      <w:r w:rsidR="00D53D59">
        <w:rPr>
          <w:bCs/>
        </w:rPr>
        <w:t xml:space="preserve"> </w:t>
      </w:r>
      <w:r w:rsidR="009D3A72">
        <w:rPr>
          <w:bCs/>
        </w:rPr>
        <w:t xml:space="preserve">Future </w:t>
      </w:r>
      <w:r w:rsidR="007700AF">
        <w:t>home food growing</w:t>
      </w:r>
      <w:r w:rsidR="007700AF">
        <w:rPr>
          <w:bCs/>
        </w:rPr>
        <w:t xml:space="preserve"> </w:t>
      </w:r>
      <w:r w:rsidR="009D3A72">
        <w:rPr>
          <w:bCs/>
        </w:rPr>
        <w:t xml:space="preserve">interventions may wish to specifically target these individuals </w:t>
      </w:r>
      <w:r w:rsidR="001064A5">
        <w:rPr>
          <w:bCs/>
        </w:rPr>
        <w:t>to address an</w:t>
      </w:r>
      <w:r w:rsidR="00BF4949">
        <w:rPr>
          <w:bCs/>
        </w:rPr>
        <w:t>y</w:t>
      </w:r>
      <w:r w:rsidR="001064A5">
        <w:rPr>
          <w:bCs/>
        </w:rPr>
        <w:t xml:space="preserve"> barriers</w:t>
      </w:r>
      <w:r w:rsidR="0076768E">
        <w:rPr>
          <w:bCs/>
        </w:rPr>
        <w:t>,</w:t>
      </w:r>
      <w:r w:rsidR="000B4ECB">
        <w:rPr>
          <w:bCs/>
        </w:rPr>
        <w:t xml:space="preserve"> both perceived and real</w:t>
      </w:r>
      <w:r w:rsidR="0076768E">
        <w:rPr>
          <w:bCs/>
        </w:rPr>
        <w:t>,</w:t>
      </w:r>
      <w:r w:rsidR="001064A5">
        <w:rPr>
          <w:bCs/>
        </w:rPr>
        <w:t xml:space="preserve"> </w:t>
      </w:r>
      <w:r w:rsidR="009D3A72">
        <w:rPr>
          <w:bCs/>
        </w:rPr>
        <w:t xml:space="preserve">and raise awareness of the potential benefits of </w:t>
      </w:r>
      <w:r w:rsidR="007700AF">
        <w:t>home food growing</w:t>
      </w:r>
      <w:r w:rsidR="007700AF">
        <w:rPr>
          <w:bCs/>
        </w:rPr>
        <w:t xml:space="preserve"> </w:t>
      </w:r>
      <w:r w:rsidR="009D3A72">
        <w:rPr>
          <w:bCs/>
        </w:rPr>
        <w:t>for</w:t>
      </w:r>
      <w:r w:rsidR="007700AF">
        <w:rPr>
          <w:bCs/>
        </w:rPr>
        <w:t xml:space="preserve"> tackling</w:t>
      </w:r>
      <w:r w:rsidR="009D3A72">
        <w:rPr>
          <w:bCs/>
        </w:rPr>
        <w:t xml:space="preserve"> food </w:t>
      </w:r>
      <w:r w:rsidR="007700AF">
        <w:rPr>
          <w:bCs/>
        </w:rPr>
        <w:t>in</w:t>
      </w:r>
      <w:r w:rsidR="009D3A72">
        <w:rPr>
          <w:bCs/>
        </w:rPr>
        <w:t>security</w:t>
      </w:r>
      <w:r w:rsidR="003A2A6B">
        <w:rPr>
          <w:bCs/>
        </w:rPr>
        <w:t>, as</w:t>
      </w:r>
      <w:r w:rsidR="009D3A72">
        <w:rPr>
          <w:bCs/>
        </w:rPr>
        <w:t xml:space="preserve"> these individuals may benefit from a </w:t>
      </w:r>
      <w:r w:rsidR="007700AF">
        <w:t>home food growing</w:t>
      </w:r>
      <w:r w:rsidR="007700AF">
        <w:rPr>
          <w:bCs/>
        </w:rPr>
        <w:t xml:space="preserve"> </w:t>
      </w:r>
      <w:r w:rsidR="009D3A72">
        <w:rPr>
          <w:bCs/>
        </w:rPr>
        <w:t xml:space="preserve">intervention </w:t>
      </w:r>
      <w:r w:rsidR="00806E24">
        <w:rPr>
          <w:bCs/>
        </w:rPr>
        <w:t>that is accessible and easily available.</w:t>
      </w:r>
      <w:r w:rsidR="00D53D59">
        <w:rPr>
          <w:bCs/>
        </w:rPr>
        <w:t xml:space="preserve"> </w:t>
      </w:r>
    </w:p>
    <w:p w14:paraId="788C76E3" w14:textId="77777777" w:rsidR="008F7B64" w:rsidRDefault="008F7B64" w:rsidP="009D3A72">
      <w:pPr>
        <w:spacing w:after="0" w:line="480" w:lineRule="auto"/>
        <w:rPr>
          <w:bCs/>
        </w:rPr>
      </w:pPr>
    </w:p>
    <w:p w14:paraId="58C37F18" w14:textId="3BCBCA62" w:rsidR="009D3A72" w:rsidRDefault="009D3A72" w:rsidP="009D3A72">
      <w:pPr>
        <w:spacing w:after="0" w:line="480" w:lineRule="auto"/>
      </w:pPr>
      <w:r>
        <w:t xml:space="preserve">These findings have implications for the wider understanding of the consequences of the COVID-19 pandemic. Food insecurity has been identified as an underlying factor in a “global food </w:t>
      </w:r>
      <w:proofErr w:type="spellStart"/>
      <w:r>
        <w:t>syndemic</w:t>
      </w:r>
      <w:proofErr w:type="spellEnd"/>
      <w:r>
        <w:t xml:space="preserve">” that may exacerbate the impact of the COVID-19 pandemic </w:t>
      </w:r>
      <w:r>
        <w:fldChar w:fldCharType="begin" w:fldLock="1"/>
      </w:r>
      <w:r w:rsidR="00212B7E">
        <w:instrText>ADDIN CSL_CITATION {"citationItems":[{"id":"ITEM-1","itemData":{"DOI":"10.1016/j.pcad.2020.07.002","ISSN":"18731740","PMID":"32653438","author":[{"dropping-particle":"","family":"Huizar","given":"Martha I.","non-dropping-particle":"","parse-names":false,"suffix":""},{"dropping-particle":"","family":"Arena","given":"Ross","non-dropping-particle":"","parse-names":false,"suffix":""},{"dropping-particle":"","family":"Laddu","given":"Deepika R.","non-dropping-particle":"","parse-names":false,"suffix":""}],"container-title":"Progress in Cardiovascular Diseases","id":"ITEM-1","issued":{"date-parts":[["2020","7","10"]]},"publisher":"W.B. Saunders","title":"The global food syndemic: The impact of food insecurity, Malnutrition and obesity on the healthspan amid the COVID-19 pandemic","type":"article-journal"},"uris":["http://www.mendeley.com/documents/?uuid=bbd236fc-2e13-32de-bf49-91fd925cd211"]}],"mendeley":{"formattedCitation":"(Huizar et al., 2020)","plainTextFormattedCitation":"(Huizar et al., 2020)","previouslyFormattedCitation":"(Huizar et al., 2020)"},"properties":{"noteIndex":0},"schema":"https://github.com/citation-style-language/schema/raw/master/csl-citation.json"}</w:instrText>
      </w:r>
      <w:r>
        <w:fldChar w:fldCharType="separate"/>
      </w:r>
      <w:r w:rsidRPr="00D83743">
        <w:rPr>
          <w:noProof/>
        </w:rPr>
        <w:t xml:space="preserve">(Huizar </w:t>
      </w:r>
      <w:r w:rsidR="00D21786" w:rsidRPr="00D21786">
        <w:rPr>
          <w:i/>
          <w:iCs/>
          <w:noProof/>
        </w:rPr>
        <w:t>et al</w:t>
      </w:r>
      <w:r w:rsidRPr="00D83743">
        <w:rPr>
          <w:noProof/>
        </w:rPr>
        <w:t>., 2020)</w:t>
      </w:r>
      <w:r>
        <w:fldChar w:fldCharType="end"/>
      </w:r>
      <w:r>
        <w:t xml:space="preserve">. </w:t>
      </w:r>
      <w:proofErr w:type="spellStart"/>
      <w:r>
        <w:t>Huizar</w:t>
      </w:r>
      <w:proofErr w:type="spellEnd"/>
      <w:r>
        <w:t xml:space="preserve"> </w:t>
      </w:r>
      <w:r w:rsidR="00D21786" w:rsidRPr="00D21786">
        <w:rPr>
          <w:i/>
          <w:iCs/>
        </w:rPr>
        <w:t>et al</w:t>
      </w:r>
      <w:r w:rsidR="001703A9">
        <w:t>.</w:t>
      </w:r>
      <w:r>
        <w:t xml:space="preserve"> highlight that food insecurity is linked to malnutrition and obesity, which in turn have been identified as risk factors for coronavirus infection and greater severity of the disease </w:t>
      </w:r>
      <w:r>
        <w:fldChar w:fldCharType="begin" w:fldLock="1"/>
      </w:r>
      <w:r>
        <w:instrText>ADDIN CSL_CITATION {"citationItems":[{"id":"ITEM-1","itemData":{"DOI":"10.2337/dc20-0682","ISSN":"19355548","PMID":"32409499","abstract":"The coronavirus disease 2019 (COVID-19) pandemic, caused by the severe acute respiratory syndrome coronavirus 2 (SARS-CoV-2), has attracted increasing worldwide attention (1). Obesity commonly aggravates the severity of respiratory diseases, but it is currently not known whether obese patients are also more likely to have greater COVID-19 severity of illness. We investigated the association between obesity and COVID-19 severity of illness among patients with laboratory-confirmed SARS-CoV-2 infection.\n\nWe enrolled adult patients with COVID-19 from three hospitals in China between 17 January 2020 and 11 February 2020. Seventy-five patients were diagnosed as obese (i.e., case subjects). We randomly matched each case subject with one control subject (nonobese) by sex (1:1) and age (±5 years). The cohort thus comprised 150 patients with COVID-19. The study protocol was approved by local ethics committees of the three hospitals. The requirement for written informed consent was waived due to the retrospective and anonymous nature of the study.\n\nCOVID-19 was diagnosed as a positive result by high-throughput sequencing or real-time reverse transcriptase PCR assay of oropharyngeal swab specimens. COVID-19 severity of illness was assessed during hospitalization and classified into four clinical subtypes (i.e., mild, moderate, severe, or critically ill) based on management guidelines (2). Obesity was defined as BMI ≥25 kg/m2 in this Asian population. Diabetes was determined as either history of diagnosed diabetes, …","author":[{"dropping-particle":"","family":"Gao","given":"Feng","non-dropping-particle":"","parse-names":false,"suffix":""},{"dropping-particle":"","family":"Zheng","given":"Kenneth I.","non-dropping-particle":"","parse-names":false,"suffix":""},{"dropping-particle":"","family":"Wang","given":"Xiao Bo","non-dropping-particle":"","parse-names":false,"suffix":""},{"dropping-particle":"","family":"Sun","given":"Qing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Ping","non-dropping-particle":"","parse-names":false,"suffix":""},{"dropping-particle":"","family":"Targher","given":"Giovanni","non-dropping-particle":"","parse-names":false,"suffix":""},{"dropping-particle":"","family":"Byrne","given":"Christopher D.","non-dropping-particle":"","parse-names":false,"suffix":""},{"dropping-particle":"","family":"George","given":"Jacob","non-dropping-particle":"","parse-names":false,"suffix":""},{"dropping-particle":"","family":"Zheng","given":"Ming Hua","non-dropping-particle":"","parse-names":false,"suffix":""}],"container-title":"Diabetes Care","id":"ITEM-1","issue":"7","issued":{"date-parts":[["2020","7","1"]]},"page":"E72-E74","publisher":"American Diabetes Association Inc.","title":"Obesity Is a Risk Factor for Greater COVID-19 Severity","type":"article","volume":"43"},"uris":["http://www.mendeley.com/documents/?uuid=73a24755-c9cc-3a5a-ba30-11647106d207"]}],"mendeley":{"formattedCitation":"(Gao et al., 2020)","plainTextFormattedCitation":"(Gao et al., 2020)","previouslyFormattedCitation":"(Gao et al., 2020)"},"properties":{"noteIndex":0},"schema":"https://github.com/citation-style-language/schema/raw/master/csl-citation.json"}</w:instrText>
      </w:r>
      <w:r>
        <w:fldChar w:fldCharType="separate"/>
      </w:r>
      <w:r w:rsidRPr="002C4A73">
        <w:rPr>
          <w:noProof/>
        </w:rPr>
        <w:t xml:space="preserve">(Gao </w:t>
      </w:r>
      <w:r w:rsidR="00D21786" w:rsidRPr="00D21786">
        <w:rPr>
          <w:i/>
          <w:iCs/>
          <w:noProof/>
        </w:rPr>
        <w:t>et al</w:t>
      </w:r>
      <w:r w:rsidRPr="002C4A73">
        <w:rPr>
          <w:noProof/>
        </w:rPr>
        <w:t>., 2020)</w:t>
      </w:r>
      <w:r>
        <w:fldChar w:fldCharType="end"/>
      </w:r>
      <w:r>
        <w:t xml:space="preserve">. Thus, effective measures to reduce food insecurity may have an indirect effect on disease vulnerability via associated levels of malnutrition and obesity. Tackling food insecurity requires a multi-actor approach and is beyond the scope of this work, however the current study highlights the potential </w:t>
      </w:r>
      <w:r>
        <w:lastRenderedPageBreak/>
        <w:t>f</w:t>
      </w:r>
      <w:r w:rsidR="00EA2E7D">
        <w:t>or</w:t>
      </w:r>
      <w:r>
        <w:t xml:space="preserve"> </w:t>
      </w:r>
      <w:r w:rsidR="001F025A">
        <w:t>home food growing</w:t>
      </w:r>
      <w:r>
        <w:t xml:space="preserve"> to have benefits for perceived experience of food insecurity during the pandemic.</w:t>
      </w:r>
      <w:r w:rsidR="00BF4949">
        <w:t xml:space="preserve"> </w:t>
      </w:r>
      <w:r w:rsidR="00EA2E7D">
        <w:t>In addition to this, h</w:t>
      </w:r>
      <w:r w:rsidR="00BF4949">
        <w:t>ome food growing and UA in general have been associated with better diet quality</w:t>
      </w:r>
      <w:r w:rsidR="00CA4A12">
        <w:t xml:space="preserve"> </w:t>
      </w:r>
      <w:r w:rsidR="00EA2E7D">
        <w:t xml:space="preserve">and reduced likelihood of having overweight or obesity during non-pandemic times </w:t>
      </w:r>
      <w:r w:rsidR="00EA2E7D">
        <w:fldChar w:fldCharType="begin" w:fldLock="1"/>
      </w:r>
      <w:r w:rsidR="000030E0">
        <w:instrText>ADDIN CSL_CITATION {"citationItems":[{"id":"ITEM-1","itemData":{"DOI":"10.2105/AJPH.2012.301009","ISSN":"00900036","PMID":"23597347","abstract":"OBJECTIVES We examined the association of participation in community gardening with healthy body weight. METHODS We examined body mass index (BMI) data from 198 community gardening participants in Salt Lake City, Utah, in relationship to BMI data for 3 comparison groups: neighbors, siblings, and spouses. In comparisons, we adjusted for gender, age, and the year of the BMI measurement. RESULTS Both women and men community gardeners had significantly lower BMIs than did their neighbors who were not in the community gardening program. The estimated BMI reductions in the multivariate analyses were -1.84 for women and -2.36 for men. We also observed significantly lower BMIs for women community gardeners compared with their sisters (-1.88) and men community gardeners compared with their brothers (-1.33). Community gardeners also had lower odds of being overweight or obese than did their otherwise similar neighbors. CONCLUSIONS The health benefits of community gardening may go beyond enhancing the gardeners' intake of fruits and vegetables. Community gardens may be a valuable element of land use diversity that merits consideration by public health officials who want to identify neighborhood features that promote health.","author":[{"dropping-particle":"","family":"Zick","given":"Cathleen D.","non-dropping-particle":"","parse-names":false,"suffix":""},{"dropping-particle":"","family":"Smith","given":"Ken R.","non-dropping-particle":"","parse-names":false,"suffix":""},{"dropping-particle":"","family":"Kowaleski-Jones","given":"Lori","non-dropping-particle":"","parse-names":false,"suffix":""},{"dropping-particle":"","family":"Uno","given":"Claire","non-dropping-particle":"","parse-names":false,"suffix":""},{"dropping-particle":"","family":"Merrill","given":"Brittany J.","non-dropping-particle":"","parse-names":false,"suffix":""}],"container-title":"American Journal of Public Health","id":"ITEM-1","issue":"6","issued":{"date-parts":[["2013","6","9"]]},"page":"1110-1115","publisher":"American Public Health Association","title":"Harvesting more than vegetables: the potential weight control benefits of community gardening.","type":"article-journal","volume":"103"},"uris":["http://www.mendeley.com/documents/?uuid=1e09a7bc-dccd-4ad8-a6b7-4dd3275273ff"]},{"id":"ITEM-2","itemData":{"DOI":"10.1016/j.jneb.2006.12.003","ISSN":"14994046","PMID":"18314085","abstract":"Objective: To determine the association between household participation in a community garden and fruit and vegetable consumption among urban adults. Design: Data were analyzed from a cross-sectional random phone survey conducted in 2003. A quota sampling strategy was used to ensure that all census tracts within the city were represented. Setting: Flint, Michigan. Participants: 766 adults. Variables Measured: Fruit and vegetable intake was measured using questionnaire items from the Behavioral Risk Factor Surveillance System. Household participation in a community garden was assessed by asking the respondent if he or she, or any member of the household, had participated in a community garden project in the last year. Analysis: Generalized linear models and logistic regression models assessed the association between household participation in a community garden and fruit and vegetable intake, controlling for demographic, neighborhood participation, and health variables. Results: Adults with a household member who participated in a community garden consumed fruits and vegetables 1.4 more times per day than those who did not participate, and they were 3.5 times more likely to consume fruits and vegetables at least 5 times daily. Conclusions and Implications: Household participation in a community garden may improve fruit and vegetable intake among urban adults. © 2008 SOCIETY FOR NUTRITION EDUCATION.","author":[{"dropping-particle":"","family":"Alaimo","given":"Katherine","non-dropping-particle":"","parse-names":false,"suffix":""},{"dropping-particle":"","family":"Packnett","given":"Elizabeth","non-dropping-particle":"","parse-names":false,"suffix":""},{"dropping-particle":"","family":"Miles","given":"Richard A.","non-dropping-particle":"","parse-names":false,"suffix":""},{"dropping-particle":"","family":"Kruger","given":"Daniel J.","non-dropping-particle":"","parse-names":false,"suffix":""}],"container-title":"Journal of Nutrition Education and Behavior","id":"ITEM-2","issue":"2","issued":{"date-parts":[["2008","3","1"]]},"page":"94-101","publisher":"Elsevier","title":"Fruit and Vegetable Intake among Urban Community Gardeners","type":"article-journal","volume":"40"},"uris":["http://www.mendeley.com/documents/?uuid=554edcb5-f8f9-42c8-834f-dcc117203a73"]},{"id":"ITEM-3","itemData":{"DOI":"10.1079/BJN20061896","ISSN":"0007-1145","abstract":"The current ecological approach in health behaviour research recognises that health behaviour needs to be understood in a broad environmental context. This has led to an exponential increase in the number of studies on this topic. It is the aim of this systematic review to summarise the existing empirical evidence pertaining to environmental influences on fruit and vegetable (FV) consumption. The environment was defined as `all factors external to the individual'. Scientific databases and reference lists of selected papers were systematically searched for observational studies among adults (18-60 years old), published in English between 1 January 1980 and 31 December 2004, with environmental factor(s) as independent factor(s), and fruit intake, vegetable intake or FV intake combined as one outcome measure as dependent factor(s). Findings showed there was a great diversity in the environmental factors studied, but that the number of replicated studies for each determinant was limited. Most evidence was found for household income, as people with lower household incomes consistently had a lower FV consumption. Married people had higher intakes than those who were single, whereas having children showed mixed results. Good local availability ( e. g. access to one's own vegetable garden, having low food insecurity) seemed to exert a positive influence on intake. Regarding the development of interventions, improved opportunities for sufficient FV consumption among low-income households are likely to lead to improved intakes. For all other environmental factors, more replicated studies are required to examine their influence on FV intake.","author":[{"dropping-particle":"","family":"Kamphuis","given":"Carlijn B M","non-dropping-particle":"","parse-names":false,"suffix":""},{"dropping-particle":"","family":"Giskes","given":"Katrina","non-dropping-particle":"","parse-names":false,"suffix":""},{"dropping-particle":"","family":"Bruijn","given":"Gert-Jan","non-dropping-particle":"de","parse-names":false,"suffix":""},{"dropping-particle":"","family":"Wendel-Vos","given":"Wanda","non-dropping-particle":"","parse-names":false,"suffix":""},{"dropping-particle":"","family":"Brug","given":"Johannes","non-dropping-particle":"","parse-names":false,"suffix":""},{"dropping-particle":"","family":"Lenthe","given":"Frank J","non-dropping-particle":"van","parse-names":false,"suffix":""}],"container-title":"British Journal of Nutrition","id":"ITEM-3","issue":"4","issued":{"date-parts":[["2006","10"]]},"page":"620-635","title":"Environmental determinants of fruit and vegetable consumption among adults: a systematic review","type":"article-journal","volume":"96"},"uris":["http://www.mendeley.com/documents/?uuid=8c860491-77ae-44fc-a1d3-c18da97e4930"]},{"id":"ITEM-4","itemData":{"DOI":"10.1016/j.jneb.2019.06.028","ISSN":"14994046","PMID":"31601420","abstract":"Objective: To elucidate the perceived health benefits of an urban home gardening and nutritional education program in a population at high cardiometabolic risk. Design: Qualitative data collected via in-depth, semistructured interviews in Spanish or English. Setting: Community-based program offering supported urban home gardening together with nutrition education in Santa Clara County, CA. Participants: A total of 32 purposively sampled low-income participants in an urban home gardening program. Participants were primarily female (n = 24) and Latino/a (n = 22). Phenomenon of Interest: Perceptions of the nutrition and health benefits of education-enhanced urban home gardening. Analysis: Bilingual researchers coded transcripts using a hybrid inductive and deductive approach. Two coders double coded at intervals, independently reviewed coding reports, organized content into key themes, and selected exemplary quotations. Results: The most salient perceived impacts were greater food access, increased consumption of fresh produce, a shift toward home cooking, and decreased fast food consumption. Participants attributed these changes to greater affordability, freshness, flavor, and convenience of their garden produce; increased health motivation owing to pride in their gardens; and improved nutritional knowledge. Participants also reported improved physical activity, mental health, and stress management; some reported improved weight and adherence to diabetes-healthy diets. Conclusions and Implications: Education-enhanced urban home gardening may facilitate multidimensional nutrition and health improvements in marginalized populations at high cardiometabolic risk.","author":[{"dropping-particle":"","family":"Palar","given":"Kartika","non-dropping-particle":"","parse-names":false,"suffix":""},{"dropping-particle":"","family":"Lemus Hufstedler","given":"Emiliano","non-dropping-particle":"","parse-names":false,"suffix":""},{"dropping-particle":"","family":"Hernandez","given":"Karen","non-dropping-particle":"","parse-names":false,"suffix":""},{"dropping-particle":"","family":"Chang","given":"Annie","non-dropping-particle":"","parse-names":false,"suffix":""},{"dropping-particle":"","family":"Ferguson","given":"Laura","non-dropping-particle":"","parse-names":false,"suffix":""},{"dropping-particle":"","family":"Lozano","given":"Raul","non-dropping-particle":"","parse-names":false,"suffix":""},{"dropping-particle":"","family":"Weiser","given":"Sheri D.","non-dropping-particle":"","parse-names":false,"suffix":""}],"container-title":"Journal of Nutrition Education and Behavior","id":"ITEM-4","issue":"9","issued":{"date-parts":[["2019","10","1"]]},"page":"1037-1046","publisher":"Elsevier Inc.","title":"Nutrition and Health Improvements After Participation in an Urban Home Garden Program","type":"article-journal","volume":"51"},"uris":["http://www.mendeley.com/documents/?uuid=e1b33981-d9e2-3723-9dbb-ae0ffdde186e"]},{"id":"ITEM-5","itemData":{"DOI":"10.1016/j.appet.2021.105218","ISSN":"01956663","author":[{"dropping-particle":"","family":"Mead","given":"Bethan R.","non-dropping-particle":"","parse-names":false,"suffix":""},{"dropping-particle":"","family":"Christiansen","given":"Paul","non-dropping-particle":"","parse-names":false,"suffix":""},{"dropping-particle":"","family":"Davies","given":"Jessica A.C.","non-dropping-particle":"","parse-names":false,"suffix":""},{"dropping-particle":"","family":"Falagán","given":"Natalia","non-dropping-particle":"","parse-names":false,"suffix":""},{"dropping-particle":"","family":"Kourmpetli","given":"Sofia","non-dropping-particle":"","parse-names":false,"suffix":""},{"dropping-particle":"","family":"Liu","given":"Lingxuan","non-dropping-particle":"","parse-names":false,"suffix":""},{"dropping-particle":"","family":"Walsh","given":"Lael","non-dropping-particle":"","parse-names":false,"suffix":""},{"dropping-particle":"","family":"Hardman","given":"Charlotte A.","non-dropping-particle":"","parse-names":false,"suffix":""}],"container-title":"Appetite","id":"ITEM-5","issued":{"date-parts":[["2021","3","18"]]},"page":"105218","publisher":"Academic Press","title":"Is urban growing of fruit and vegetables associated with better diet quality and what mediates this relationship? Evidence from a cross-sectional survey","type":"article-journal"},"uris":["http://www.mendeley.com/documents/?uuid=315a5450-13e7-3f34-8d07-c2ff291d011f"]}],"mendeley":{"formattedCitation":"(Alaimo et al., 2008; Kamphuis et al., 2006; B. R. Mead et al., 2021; Palar et al., 2019; Zick et al., 2013)","manualFormatting":"(Alaimo et al., 2008; Kamphuis et al., 2006; Mead et al., 2021; Palar et al., 2019; Zick et al., 2013)","plainTextFormattedCitation":"(Alaimo et al., 2008; Kamphuis et al., 2006; B. R. Mead et al., 2021; Palar et al., 2019; Zick et al., 2013)","previouslyFormattedCitation":"(Alaimo et al., 2008; Kamphuis et al., 2006; B. R. Mead et al., 2021; Palar et al., 2019; Zick et al., 2013)"},"properties":{"noteIndex":0},"schema":"https://github.com/citation-style-language/schema/raw/master/csl-citation.json"}</w:instrText>
      </w:r>
      <w:r w:rsidR="00EA2E7D">
        <w:fldChar w:fldCharType="separate"/>
      </w:r>
      <w:r w:rsidR="00EA2E7D" w:rsidRPr="00EA2E7D">
        <w:rPr>
          <w:noProof/>
        </w:rPr>
        <w:t xml:space="preserve">(Alaimo </w:t>
      </w:r>
      <w:r w:rsidR="00D21786" w:rsidRPr="00D21786">
        <w:rPr>
          <w:i/>
          <w:iCs/>
          <w:noProof/>
        </w:rPr>
        <w:t>et al</w:t>
      </w:r>
      <w:r w:rsidR="00EA2E7D" w:rsidRPr="00EA2E7D">
        <w:rPr>
          <w:noProof/>
        </w:rPr>
        <w:t xml:space="preserve">., 2008; Kamphuis </w:t>
      </w:r>
      <w:r w:rsidR="00D21786" w:rsidRPr="00D21786">
        <w:rPr>
          <w:i/>
          <w:iCs/>
          <w:noProof/>
        </w:rPr>
        <w:t>et al</w:t>
      </w:r>
      <w:r w:rsidR="00EA2E7D" w:rsidRPr="00EA2E7D">
        <w:rPr>
          <w:noProof/>
        </w:rPr>
        <w:t xml:space="preserve">., 2006; Mead </w:t>
      </w:r>
      <w:r w:rsidR="00D21786" w:rsidRPr="00D21786">
        <w:rPr>
          <w:i/>
          <w:iCs/>
          <w:noProof/>
        </w:rPr>
        <w:t>et al</w:t>
      </w:r>
      <w:r w:rsidR="00EA2E7D" w:rsidRPr="00EA2E7D">
        <w:rPr>
          <w:noProof/>
        </w:rPr>
        <w:t>.,</w:t>
      </w:r>
      <w:r w:rsidR="00CB7517">
        <w:rPr>
          <w:noProof/>
        </w:rPr>
        <w:t xml:space="preserve"> </w:t>
      </w:r>
      <w:r w:rsidR="0076768E">
        <w:rPr>
          <w:noProof/>
        </w:rPr>
        <w:t>2021</w:t>
      </w:r>
      <w:r w:rsidR="00EA2E7D" w:rsidRPr="00EA2E7D">
        <w:rPr>
          <w:noProof/>
        </w:rPr>
        <w:t xml:space="preserve">; Palar </w:t>
      </w:r>
      <w:r w:rsidR="00D21786" w:rsidRPr="00D21786">
        <w:rPr>
          <w:i/>
          <w:iCs/>
          <w:noProof/>
        </w:rPr>
        <w:t>et al</w:t>
      </w:r>
      <w:r w:rsidR="00EA2E7D" w:rsidRPr="00EA2E7D">
        <w:rPr>
          <w:noProof/>
        </w:rPr>
        <w:t xml:space="preserve">., 2019; Zick </w:t>
      </w:r>
      <w:r w:rsidR="00D21786" w:rsidRPr="00D21786">
        <w:rPr>
          <w:i/>
          <w:iCs/>
          <w:noProof/>
        </w:rPr>
        <w:t>et al</w:t>
      </w:r>
      <w:r w:rsidR="00EA2E7D" w:rsidRPr="00EA2E7D">
        <w:rPr>
          <w:noProof/>
        </w:rPr>
        <w:t>., 2013)</w:t>
      </w:r>
      <w:r w:rsidR="00EA2E7D">
        <w:fldChar w:fldCharType="end"/>
      </w:r>
      <w:r w:rsidR="00EA2E7D">
        <w:t xml:space="preserve">. </w:t>
      </w:r>
      <w:r>
        <w:t xml:space="preserve">With future lockdowns and social restrictions likely, </w:t>
      </w:r>
      <w:r w:rsidR="001F025A">
        <w:t>home food growing</w:t>
      </w:r>
      <w:r>
        <w:t xml:space="preserve"> should be investigated as a sustainable, holistic option for interventions that mitigate the negative consequences lockdown and the pandemic may have for food security</w:t>
      </w:r>
      <w:r w:rsidR="001F025A">
        <w:t xml:space="preserve"> and, indirectly, obesity, malnutrition and disease vulnerability.</w:t>
      </w:r>
      <w:r>
        <w:t xml:space="preserve"> </w:t>
      </w:r>
    </w:p>
    <w:p w14:paraId="3FF8A484" w14:textId="77777777" w:rsidR="009D3A72" w:rsidRDefault="009D3A72" w:rsidP="002F4BD0">
      <w:pPr>
        <w:spacing w:after="0" w:line="480" w:lineRule="auto"/>
        <w:rPr>
          <w:bCs/>
        </w:rPr>
      </w:pPr>
    </w:p>
    <w:p w14:paraId="14E78053" w14:textId="466DB18E" w:rsidR="0028414A" w:rsidRDefault="0028414A" w:rsidP="002F4BD0">
      <w:pPr>
        <w:spacing w:after="0" w:line="480" w:lineRule="auto"/>
        <w:rPr>
          <w:bCs/>
        </w:rPr>
      </w:pPr>
      <w:r>
        <w:rPr>
          <w:bCs/>
        </w:rPr>
        <w:t>Our secondary aim was to explore if opinions of UA may have shifted from 2019</w:t>
      </w:r>
      <w:r w:rsidR="0076768E">
        <w:rPr>
          <w:bCs/>
        </w:rPr>
        <w:t xml:space="preserve"> </w:t>
      </w:r>
      <w:r w:rsidR="0076768E">
        <w:rPr>
          <w:bCs/>
        </w:rPr>
        <w:fldChar w:fldCharType="begin" w:fldLock="1"/>
      </w:r>
      <w:r w:rsidR="000030E0">
        <w:rPr>
          <w:bCs/>
        </w:rPr>
        <w:instrText>ADDIN CSL_CITATION {"citationItems":[{"id":"ITEM-1","itemData":{"DOI":"10.1016/j.appet.2021.105218","ISSN":"01956663","author":[{"dropping-particle":"","family":"Mead","given":"Bethan R.","non-dropping-particle":"","parse-names":false,"suffix":""},{"dropping-particle":"","family":"Christiansen","given":"Paul","non-dropping-particle":"","parse-names":false,"suffix":""},{"dropping-particle":"","family":"Davies","given":"Jessica A.C.","non-dropping-particle":"","parse-names":false,"suffix":""},{"dropping-particle":"","family":"Falagán","given":"Natalia","non-dropping-particle":"","parse-names":false,"suffix":""},{"dropping-particle":"","family":"Kourmpetli","given":"Sofia","non-dropping-particle":"","parse-names":false,"suffix":""},{"dropping-particle":"","family":"Liu","given":"Lingxuan","non-dropping-particle":"","parse-names":false,"suffix":""},{"dropping-particle":"","family":"Walsh","given":"Lael","non-dropping-particle":"","parse-names":false,"suffix":""},{"dropping-particle":"","family":"Hardman","given":"Charlotte A.","non-dropping-particle":"","parse-names":false,"suffix":""}],"container-title":"Appetite","id":"ITEM-1","issued":{"date-parts":[["2021","3","18"]]},"page":"105218","publisher":"Academic Press","title":"Is urban growing of fruit and vegetables associated with better diet quality and what mediates this relationship? Evidence from a cross-sectional survey","type":"article-journal"},"uris":["http://www.mendeley.com/documents/?uuid=315a5450-13e7-3f34-8d07-c2ff291d011f"]}],"mendeley":{"formattedCitation":"(B. R. Mead et al., 2021)","manualFormatting":"(Mead et al., 2021)","plainTextFormattedCitation":"(B. R. Mead et al., 2021)","previouslyFormattedCitation":"(B. R. Mead et al., 2021)"},"properties":{"noteIndex":0},"schema":"https://github.com/citation-style-language/schema/raw/master/csl-citation.json"}</w:instrText>
      </w:r>
      <w:r w:rsidR="0076768E">
        <w:rPr>
          <w:bCs/>
        </w:rPr>
        <w:fldChar w:fldCharType="separate"/>
      </w:r>
      <w:r w:rsidR="0076768E" w:rsidRPr="0076768E">
        <w:rPr>
          <w:bCs/>
          <w:noProof/>
        </w:rPr>
        <w:t xml:space="preserve">(Mead </w:t>
      </w:r>
      <w:r w:rsidR="00D21786" w:rsidRPr="00D21786">
        <w:rPr>
          <w:bCs/>
          <w:i/>
          <w:iCs/>
          <w:noProof/>
        </w:rPr>
        <w:t>et al</w:t>
      </w:r>
      <w:r w:rsidR="0076768E" w:rsidRPr="0076768E">
        <w:rPr>
          <w:bCs/>
          <w:noProof/>
        </w:rPr>
        <w:t>., 2021)</w:t>
      </w:r>
      <w:r w:rsidR="0076768E">
        <w:rPr>
          <w:bCs/>
        </w:rPr>
        <w:fldChar w:fldCharType="end"/>
      </w:r>
      <w:r w:rsidR="0076768E">
        <w:rPr>
          <w:bCs/>
        </w:rPr>
        <w:t xml:space="preserve"> </w:t>
      </w:r>
      <w:r>
        <w:rPr>
          <w:bCs/>
        </w:rPr>
        <w:t xml:space="preserve">to the early stages of the pandemic. We also </w:t>
      </w:r>
      <w:r w:rsidR="003F68D2">
        <w:rPr>
          <w:bCs/>
        </w:rPr>
        <w:t xml:space="preserve">tested for differences in opinion of UA between </w:t>
      </w:r>
      <w:r w:rsidR="001F025A">
        <w:rPr>
          <w:bCs/>
        </w:rPr>
        <w:t>Growers and Non-Growers</w:t>
      </w:r>
      <w:r w:rsidR="003F68D2">
        <w:rPr>
          <w:bCs/>
        </w:rPr>
        <w:t>.</w:t>
      </w:r>
      <w:r w:rsidR="000A1CBE">
        <w:rPr>
          <w:bCs/>
        </w:rPr>
        <w:t xml:space="preserve"> In the face of global (COVID-19), environmental, and political (Brexit)</w:t>
      </w:r>
      <w:r w:rsidR="003F68D2">
        <w:rPr>
          <w:bCs/>
        </w:rPr>
        <w:t xml:space="preserve"> </w:t>
      </w:r>
      <w:r w:rsidR="000A1CBE">
        <w:rPr>
          <w:bCs/>
        </w:rPr>
        <w:t>challenges to the UK food system,</w:t>
      </w:r>
      <w:r w:rsidR="003F68D2">
        <w:rPr>
          <w:bCs/>
        </w:rPr>
        <w:t xml:space="preserve"> urban-grown food</w:t>
      </w:r>
      <w:r w:rsidR="000A1CBE">
        <w:rPr>
          <w:bCs/>
        </w:rPr>
        <w:t xml:space="preserve"> represent</w:t>
      </w:r>
      <w:r w:rsidR="008F7B64">
        <w:rPr>
          <w:bCs/>
        </w:rPr>
        <w:t>s</w:t>
      </w:r>
      <w:r w:rsidR="000A1CBE">
        <w:rPr>
          <w:bCs/>
        </w:rPr>
        <w:t xml:space="preserve"> an innovative, sustainable solution</w:t>
      </w:r>
      <w:r w:rsidR="008F7B64">
        <w:rPr>
          <w:bCs/>
        </w:rPr>
        <w:t xml:space="preserve"> to safeguarding the supply of healthy, nutritious food for the population</w:t>
      </w:r>
      <w:r w:rsidR="003F68D2">
        <w:rPr>
          <w:bCs/>
        </w:rPr>
        <w:t xml:space="preserve"> </w:t>
      </w:r>
      <w:r w:rsidR="003F68D2">
        <w:rPr>
          <w:bCs/>
        </w:rPr>
        <w:fldChar w:fldCharType="begin" w:fldLock="1"/>
      </w:r>
      <w:r w:rsidR="007A00E5">
        <w:rPr>
          <w:bCs/>
        </w:rPr>
        <w:instrText>ADDIN CSL_CITATION {"citationItems":[{"id":"ITEM-1","itemData":{"DOI":"10.1002/ppp3.20","ISSN":"2572-2611","abstract":"Own-grown fruit and vegetable production in urban areas is increasingly assumed to increase food security, however the evidence-base to support this assumption is lacking. By integrating remotely sensed GIS data, fieldwork and a citizen science project (MYHarvest) we will estimate of current levels of UK own-grown fruit and vegetable production and of how this could be increased if more urban land were made available for own-growing. This will provide the first comprehensive UK dataset on own-grown production for use by research scientists, policy-makers and the public and will highlight the importance of urban horticulture to local and national food security.","author":[{"dropping-particle":"","family":"Edmondson","given":"Jill L.","non-dropping-particle":"","parse-names":false,"suffix":""},{"dropping-particle":"","family":"Blevins","given":"Roscoe S.","non-dropping-particle":"","parse-names":false,"suffix":""},{"dropping-particle":"","family":"Cunningham","given":"Hamish","non-dropping-particle":"","parse-names":false,"suffix":""},{"dropping-particle":"","family":"Dobson","given":"Miriam C.","non-dropping-particle":"","parse-names":false,"suffix":""},{"dropping-particle":"","family":"Leake","given":"Jonathan R.","non-dropping-particle":"","parse-names":false,"suffix":""},{"dropping-particle":"","family":"Grafius","given":"Darren R.","non-dropping-particle":"","parse-names":false,"suffix":""}],"container-title":"Plants, People, Planet","id":"ITEM-1","issue":"2","issued":{"date-parts":[["2019","4","23"]]},"page":"93-97","publisher":"John Wiley &amp; Sons, Ltd","title":"Grow your own food security? Integrating science and citizen science to estimate the contribution of own growing to UK food production","type":"article-journal","volume":"1"},"uris":["http://www.mendeley.com/documents/?uuid=9bbe8d8d-bb25-4a25-b205-d10535107a31"]},{"id":"ITEM-2","itemData":{"DOI":"10.1016/j.scitotenv.2019.135930","ISSN":"00489697","abstract":"The process of urbanization has detached a large proportion of the global population from involvement with food production. However, there has been a resurgence in interest in urban agriculture and there is widespread recognition by policy-makers of its potential contribution to food security. Despite this, there is little data on urban agricultural production by non-commercial small-scale growers. We combine citizen science data for self-provisioning crop yields with field-mapping and GIS-based analysis of allotments in Leicester, UK, to provide an estimate of allotment fruit and vegetable production at a city-scale. In addition, we examine city-scale changes in allotment land provision on potential crop production over the past century. The average area of individual allotment plots used to grow crops was 52%. Per unit area yields for the majority of crops grown in allotments were similar to those of UK commercial horticulture. We estimate city-wide allotment production of &gt;1200 t of fruit and vegetables and 200 t of potatoes per annum, equivalent to feeding &gt;8500 people. If the 13% of plots that are completely uncultivated were used this could increase production to &gt;1400 t per annum, feeding -10,000 people, however this production may not be located in areas where there is greatest need for increased access to fresh fruits and vegetables. The citywide contribution of allotment cultivation peaked in the 1950s when 475 ha of land was allotments, compared to 97 ha currently. This suggests a decline from &gt;45,000 to &lt;10,000 of people fed per annum. We demonstrate that urban allotments make a small but important contribution to the fruit and vegetable diet of a UK city. However, further urban population expansion will exert development pressure on allotment land. Policy-makers should both protect allotments within cities, and embed urban agricultural land within future developments to improve local food security. (C) 2019 The Author(s). Published by Elsevier B.V.","author":[{"dropping-particle":"","family":"Edmondson","given":"Jill L","non-dropping-particle":"","parse-names":false,"suffix":""},{"dropping-particle":"","family":"Childs","given":"Dylan Z","non-dropping-particle":"","parse-names":false,"suffix":""},{"dropping-particle":"","family":"Dobson","given":"Miriam C","non-dropping-particle":"","parse-names":false,"suffix":""},{"dropping-particle":"","family":"Gaston","given":"Kevin J","non-dropping-particle":"","parse-names":false,"suffix":""},{"dropping-particle":"","family":"Warren","given":"Philip H","non-dropping-particle":"","parse-names":false,"suffix":""},{"dropping-particle":"","family":"Leake","given":"Jonathan R","non-dropping-particle":"","parse-names":false,"suffix":""}],"container-title":"Science of The Total Environment","id":"ITEM-2","issued":{"date-parts":[["2020","2"]]},"page":"135930","title":"Feeding a city – Leicester as a case study of the importance of allotments for horticultural production in the UK","type":"article-journal","volume":"705"},"uris":["http://www.mendeley.com/documents/?uuid=9af8e647-e86d-4192-82e8-816bb3b1922c"]},{"id":"ITEM-3","itemData":{"author":[{"dropping-particle":"","family":"Kourmpetli","given":"S.;","non-dropping-particle":"","parse-names":false,"suffix":""},{"dropping-particle":"","family":"Falagán","given":"N.;","non-dropping-particle":"","parse-names":false,"suffix":""},{"dropping-particle":"","family":"Hardman","given":"C. A.;","non-dropping-particle":"","parse-names":false,"suffix":""},{"dropping-particle":"","family":"Liu","given":"L.;","non-dropping-particle":"","parse-names":false,"suffix":""},{"dropping-particle":"","family":"Mead","given":"B. R.;","non-dropping-particle":"","parse-names":false,"suffix":""},{"dropping-particle":"","family":"Walsh","given":"L.;","non-dropping-particle":"","parse-names":false,"suffix":""},{"dropping-particle":"","family":"Davies","given":"J. A. C.","non-dropping-particle":"","parse-names":false,"suffix":""}],"container-title":"Int. J. Postharvest Technology and Innovation","id":"ITEM-3","issued":{"date-parts":[["2020"]]},"title":"Scaling-up urban agriculture for a healthy, sustainable and resilient food system: the postharvest benefits, challenges and key research gaps","type":"article-journal"},"uris":["http://www.mendeley.com/documents/?uuid=e4534879-2948-4c0e-9fab-1bc34fd4f735"]}],"mendeley":{"formattedCitation":"(Edmondson et al., 2019, 2020; Kourmpetli et al., 2020)","manualFormatting":"(Edmondson et al., 2019, 2020; Kourmpetli et al., in press)","plainTextFormattedCitation":"(Edmondson et al., 2019, 2020; Kourmpetli et al., 2020)","previouslyFormattedCitation":"(Edmondson et al., 2019, 2020; Kourmpetli et al., 2020)"},"properties":{"noteIndex":0},"schema":"https://github.com/citation-style-language/schema/raw/master/csl-citation.json"}</w:instrText>
      </w:r>
      <w:r w:rsidR="003F68D2">
        <w:rPr>
          <w:bCs/>
        </w:rPr>
        <w:fldChar w:fldCharType="separate"/>
      </w:r>
      <w:r w:rsidR="00EA2E7D" w:rsidRPr="00EA2E7D">
        <w:rPr>
          <w:bCs/>
          <w:noProof/>
        </w:rPr>
        <w:t xml:space="preserve">(Edmondson </w:t>
      </w:r>
      <w:r w:rsidR="00D21786" w:rsidRPr="00D21786">
        <w:rPr>
          <w:bCs/>
          <w:i/>
          <w:iCs/>
          <w:noProof/>
        </w:rPr>
        <w:t>et al</w:t>
      </w:r>
      <w:r w:rsidR="00EA2E7D" w:rsidRPr="00EA2E7D">
        <w:rPr>
          <w:bCs/>
          <w:noProof/>
        </w:rPr>
        <w:t xml:space="preserve">., 2019, 2020; Kourmpetli </w:t>
      </w:r>
      <w:r w:rsidR="00D21786" w:rsidRPr="00D21786">
        <w:rPr>
          <w:bCs/>
          <w:i/>
          <w:iCs/>
          <w:noProof/>
        </w:rPr>
        <w:t>et al</w:t>
      </w:r>
      <w:r w:rsidR="00EA2E7D" w:rsidRPr="00EA2E7D">
        <w:rPr>
          <w:bCs/>
          <w:noProof/>
        </w:rPr>
        <w:t xml:space="preserve">., </w:t>
      </w:r>
      <w:r w:rsidR="00EA2E7D">
        <w:rPr>
          <w:bCs/>
          <w:noProof/>
        </w:rPr>
        <w:t>in press</w:t>
      </w:r>
      <w:r w:rsidR="00EA2E7D" w:rsidRPr="00EA2E7D">
        <w:rPr>
          <w:bCs/>
          <w:noProof/>
        </w:rPr>
        <w:t>)</w:t>
      </w:r>
      <w:r w:rsidR="003F68D2">
        <w:rPr>
          <w:bCs/>
        </w:rPr>
        <w:fldChar w:fldCharType="end"/>
      </w:r>
      <w:r w:rsidR="00141FE4">
        <w:rPr>
          <w:bCs/>
        </w:rPr>
        <w:t xml:space="preserve">. </w:t>
      </w:r>
      <w:r w:rsidR="008D363D">
        <w:rPr>
          <w:bCs/>
        </w:rPr>
        <w:t>Furthermore,</w:t>
      </w:r>
      <w:bookmarkStart w:id="7" w:name="_Hlk57043764"/>
      <w:r w:rsidR="008D363D">
        <w:rPr>
          <w:bCs/>
        </w:rPr>
        <w:t xml:space="preserve"> the pandemic has highlighted shortcomings and inequalities in the UK food system </w:t>
      </w:r>
      <w:r w:rsidR="008D363D">
        <w:rPr>
          <w:bCs/>
        </w:rPr>
        <w:fldChar w:fldCharType="begin" w:fldLock="1"/>
      </w:r>
      <w:r w:rsidR="000E475C">
        <w:rPr>
          <w:bCs/>
        </w:rPr>
        <w:instrText>ADDIN CSL_CITATION {"citationItems":[{"id":"ITEM-1","itemData":{"author":[{"dropping-particle":"","family":"Power","given":"Madeleine","non-dropping-particle":"","parse-names":false,"suffix":""},{"dropping-particle":"","family":"Doherty","given":"Bob","non-dropping-particle":"","parse-names":false,"suffix":""},{"dropping-particle":"","family":"Pybus","given":"Katie","non-dropping-particle":"","parse-names":false,"suffix":""},{"dropping-particle":"","family":"Pickett","given":"Kate","non-dropping-particle":"","parse-names":false,"suffix":""}],"container-title":"Emerald Open Research","id":"ITEM-1","issued":{"date-parts":[["2020"]]},"page":"11","publisher":"Emerald","title":"How Covid-19 has exposed inequalities in the UK food system: The case of UK food and poverty","type":"article-journal","volume":"2"},"uris":["http://www.mendeley.com/documents/?uuid=0399d2af-689e-4005-8470-083446b4a052"]}],"mendeley":{"formattedCitation":"(Power et al., 2020)","plainTextFormattedCitation":"(Power et al., 2020)","previouslyFormattedCitation":"(Power et al., 2020)"},"properties":{"noteIndex":0},"schema":"https://github.com/citation-style-language/schema/raw/master/csl-citation.json"}</w:instrText>
      </w:r>
      <w:r w:rsidR="008D363D">
        <w:rPr>
          <w:bCs/>
        </w:rPr>
        <w:fldChar w:fldCharType="separate"/>
      </w:r>
      <w:r w:rsidR="006E5A93" w:rsidRPr="006E5A93">
        <w:rPr>
          <w:bCs/>
          <w:noProof/>
        </w:rPr>
        <w:t xml:space="preserve">(Power </w:t>
      </w:r>
      <w:r w:rsidR="00D21786" w:rsidRPr="00D21786">
        <w:rPr>
          <w:bCs/>
          <w:i/>
          <w:iCs/>
          <w:noProof/>
        </w:rPr>
        <w:t>et al</w:t>
      </w:r>
      <w:r w:rsidR="006E5A93" w:rsidRPr="006E5A93">
        <w:rPr>
          <w:bCs/>
          <w:noProof/>
        </w:rPr>
        <w:t>., 2020)</w:t>
      </w:r>
      <w:r w:rsidR="008D363D">
        <w:rPr>
          <w:bCs/>
        </w:rPr>
        <w:fldChar w:fldCharType="end"/>
      </w:r>
      <w:r w:rsidR="00371721">
        <w:rPr>
          <w:bCs/>
        </w:rPr>
        <w:t>.</w:t>
      </w:r>
      <w:r w:rsidR="008D363D">
        <w:rPr>
          <w:bCs/>
        </w:rPr>
        <w:t xml:space="preserve"> </w:t>
      </w:r>
      <w:r w:rsidR="00371721">
        <w:rPr>
          <w:bCs/>
        </w:rPr>
        <w:t>U</w:t>
      </w:r>
      <w:r w:rsidR="008D363D">
        <w:rPr>
          <w:bCs/>
        </w:rPr>
        <w:t>nderstanding the impact on opinions of UA could help to inform future efforts to expand UA as a food systems solution</w:t>
      </w:r>
      <w:bookmarkEnd w:id="7"/>
      <w:r w:rsidR="00AD454D">
        <w:rPr>
          <w:bCs/>
        </w:rPr>
        <w:t>.</w:t>
      </w:r>
      <w:r w:rsidR="008D363D">
        <w:rPr>
          <w:bCs/>
        </w:rPr>
        <w:t xml:space="preserve"> </w:t>
      </w:r>
      <w:r w:rsidR="00141FE4">
        <w:rPr>
          <w:bCs/>
        </w:rPr>
        <w:t xml:space="preserve">However, </w:t>
      </w:r>
      <w:r w:rsidR="00AD454D">
        <w:rPr>
          <w:bCs/>
        </w:rPr>
        <w:t>w</w:t>
      </w:r>
      <w:r w:rsidR="00141FE4">
        <w:rPr>
          <w:bCs/>
        </w:rPr>
        <w:t xml:space="preserve">e saw no evidence that the COVID-19 pandemic </w:t>
      </w:r>
      <w:r w:rsidR="008D363D">
        <w:rPr>
          <w:bCs/>
        </w:rPr>
        <w:t xml:space="preserve">or grower status </w:t>
      </w:r>
      <w:r w:rsidR="00141FE4">
        <w:rPr>
          <w:bCs/>
        </w:rPr>
        <w:t>were associated with opinions of urban grown food.</w:t>
      </w:r>
      <w:r w:rsidR="008D363D">
        <w:rPr>
          <w:bCs/>
        </w:rPr>
        <w:t xml:space="preserve"> Opinion of UA appeared to be</w:t>
      </w:r>
      <w:r w:rsidR="005E231E">
        <w:rPr>
          <w:bCs/>
        </w:rPr>
        <w:t xml:space="preserve"> generally</w:t>
      </w:r>
      <w:r w:rsidR="008D363D">
        <w:rPr>
          <w:bCs/>
        </w:rPr>
        <w:t xml:space="preserve"> positive</w:t>
      </w:r>
      <w:r w:rsidR="00AD454D">
        <w:rPr>
          <w:bCs/>
        </w:rPr>
        <w:t xml:space="preserve"> both</w:t>
      </w:r>
      <w:r w:rsidR="008D363D">
        <w:rPr>
          <w:bCs/>
        </w:rPr>
        <w:t xml:space="preserve"> before and at the early stages of the pandemic, and regardless of participants’ engagement in home food growing during the early UK lockdown.</w:t>
      </w:r>
      <w:r w:rsidR="00AD454D">
        <w:rPr>
          <w:bCs/>
        </w:rPr>
        <w:t xml:space="preserve"> The consistently positive opinion of UA</w:t>
      </w:r>
      <w:r w:rsidR="001B409C">
        <w:rPr>
          <w:bCs/>
        </w:rPr>
        <w:t xml:space="preserve"> in our UK-based studies</w:t>
      </w:r>
      <w:r w:rsidR="00AD454D">
        <w:rPr>
          <w:bCs/>
        </w:rPr>
        <w:t xml:space="preserve"> is promising for efforts that aim to increase the uptake of urban-grown food. This suggests that neither the pandemic </w:t>
      </w:r>
      <w:r w:rsidR="001703A9">
        <w:rPr>
          <w:bCs/>
        </w:rPr>
        <w:t>n</w:t>
      </w:r>
      <w:r w:rsidR="00AD454D">
        <w:rPr>
          <w:bCs/>
        </w:rPr>
        <w:t>or participants</w:t>
      </w:r>
      <w:r w:rsidR="001703A9">
        <w:rPr>
          <w:bCs/>
        </w:rPr>
        <w:t>’</w:t>
      </w:r>
      <w:r w:rsidR="00AD454D">
        <w:rPr>
          <w:bCs/>
        </w:rPr>
        <w:t xml:space="preserve"> engagement in home food growing </w:t>
      </w:r>
      <w:r w:rsidR="001703A9">
        <w:rPr>
          <w:bCs/>
        </w:rPr>
        <w:t xml:space="preserve">have </w:t>
      </w:r>
      <w:r w:rsidR="00AD454D">
        <w:rPr>
          <w:bCs/>
        </w:rPr>
        <w:t>had any negative effect on opinions of UA. However, specific concerns relating to urban-grown food</w:t>
      </w:r>
      <w:r w:rsidR="00371721">
        <w:rPr>
          <w:bCs/>
        </w:rPr>
        <w:t>, such as quality and safety</w:t>
      </w:r>
      <w:r w:rsidR="001703A9">
        <w:rPr>
          <w:bCs/>
        </w:rPr>
        <w:t>,</w:t>
      </w:r>
      <w:r w:rsidR="00371721">
        <w:rPr>
          <w:bCs/>
        </w:rPr>
        <w:t xml:space="preserve"> </w:t>
      </w:r>
      <w:r w:rsidR="00AD454D">
        <w:rPr>
          <w:bCs/>
        </w:rPr>
        <w:t xml:space="preserve">still need to be </w:t>
      </w:r>
      <w:r w:rsidR="000A1CBE">
        <w:rPr>
          <w:bCs/>
        </w:rPr>
        <w:t>identified and addressed as part of efforts to upscale the UK’s urban-grown food production</w:t>
      </w:r>
      <w:r w:rsidR="00E75659">
        <w:rPr>
          <w:bCs/>
        </w:rPr>
        <w:t xml:space="preserve"> </w:t>
      </w:r>
      <w:r w:rsidR="00E75659">
        <w:rPr>
          <w:bCs/>
        </w:rPr>
        <w:fldChar w:fldCharType="begin" w:fldLock="1"/>
      </w:r>
      <w:r w:rsidR="000E0418">
        <w:rPr>
          <w:bCs/>
        </w:rPr>
        <w:instrText>ADDIN CSL_CITATION {"citationItems":[{"id":"ITEM-1","itemData":{"DOI":"10.1371/journal.pone.0087913","ISSN":"1932-6203","abstract":"Although urban community gardening can offer health, social, environmental, and economic benefits, these benefits must be weighed against the potential health risks stemming from exposure to contaminants such as heavy metals and organic chemicals that may be present in urban soils. Individuals who garden at or eat food grown in contaminated urban garden sites may be at risk of exposure to such contaminants. Gardeners may be unaware of these risks and how to manage them. We used a mixed quantitative/qualitative research approach to characterize urban community gardeners' knowledge and perceptions of risks related to soil contaminant exposure. We conducted surveys with 70 gardeners from 15 community gardens in Baltimore, Maryland, and semi-structured interviews with 18 key informants knowledgeable about community gardening and soil contamination in Baltimore. We identified a range of factors, challenges, and needs related to Baltimore community gardeners' perceptions of risk related to soil contamination, including low levels of concern and inconsistent levels of knowledge about heavy metal and organic chemical contaminants, barriers to investigating a garden site's history and conducting soil tests, limited knowledge of best practices for reducing exposure, and a need for clear and concise information on how best to prevent and manage soil contamination. Key informants discussed various strategies for developing and disseminating educational materials to gardeners. For some challenges, such as barriers to conducting site history and soil tests, some informants recommended city-wide interventions that bypass the need for gardener knowledge altogether. © 2014 Kim et al.","author":[{"dropping-particle":"","family":"Kim","given":"Brent F.","non-dropping-particle":"","parse-names":false,"suffix":""},{"dropping-particle":"","family":"Poulsen","given":"Melissa N.","non-dropping-particle":"","parse-names":false,"suffix":""},{"dropping-particle":"","family":"Margulies","given":"Jared D.","non-dropping-particle":"","parse-names":false,"suffix":""},{"dropping-particle":"","family":"Dix","given":"Katie L.","non-dropping-particle":"","parse-names":false,"suffix":""},{"dropping-particle":"","family":"Palmer","given":"Anne M.","non-dropping-particle":"","parse-names":false,"suffix":""},{"dropping-particle":"","family":"Nachman","given":"Keeve E.","non-dropping-particle":"","parse-names":false,"suffix":""}],"container-title":"PLoS ONE","editor":[{"dropping-particle":"","family":"Park","given":"Sunghun","non-dropping-particle":"","parse-names":false,"suffix":""}],"id":"ITEM-1","issue":"2","issued":{"date-parts":[["2014","2","6"]]},"page":"e87913","publisher":"Public Library of Science","title":"Urban Community Gardeners' Knowledge and Perceptions of Soil Contaminant Risks","type":"article-journal","volume":"9"},"uris":["http://www.mendeley.com/documents/?uuid=4e2ebe6c-e49e-33db-b369-8e13570ed524"]},{"id":"ITEM-2","itemData":{"DOI":"10.1007/s13593-016-0355-0","ISSN":"1774-0746","abstract":"The rise of successful entrepreneurs in urban agriculture has attracted global interest. Here, we hypothesized that societal preferences and the acceptability of urban agriculture projects and products are ruling the success or failure of urban agriculture businesses. We surveyed 386 urban participants in Berlin, Germany, to identify general preferences for the productive use of urban space, the acceptance of different urban agriculture forms, and demands and expectations regarding urban agriculture products. The results show first that more than 80 % of the respondents preferred having accessible systems such as public green spaces, intercultural gardens, and rooftop gardens. Indeed, land uses that do not provide accessibility such as meadows, aquaponic farms, or intensive agricultural and horticultural landscapes showed lower acceptance, of less than 40 %. Second, 60 % of participants expressed acceptance of rooftop farming, agriculture in the urban fringe, or in inner-city brownfields, whereas 65 % rejected to have agriculture in multi-story buildings, agroparks, or aquaponic farms. Third, more than 50 % are willing to buy horticultural products, but they reject products from intensive production systems and animal-farming mechanisms, with more than 70 % rejection for animal products. Overall, this is the first study to investigate entrepreneurial urban agriculture possibilities from the perspective of potential consumers. The main insight is that the highest degree of acceptance is reached for multifunctional urban agriculture that combines commercial with ecological and social goals. As a consequence, projects that are purely production-driven or technologically intensive are more likely to be rejected.","author":[{"dropping-particle":"","family":"Specht","given":"Kathrin","non-dropping-particle":"","parse-names":false,"suffix":""},{"dropping-particle":"","family":"Weith","given":"Thomas","non-dropping-particle":"","parse-names":false,"suffix":""},{"dropping-particle":"","family":"Swoboda","given":"Kristin","non-dropping-particle":"","parse-names":false,"suffix":""},{"dropping-particle":"","family":"Siebert","given":"Rosemarie","non-dropping-particle":"","parse-names":false,"suffix":""}],"container-title":"Agronomy for Sustainable Development","id":"ITEM-2","issue":"1","issued":{"date-parts":[["2016","3","1"]]},"page":"1-14","publisher":"Springer-Verlag France","title":"Socially acceptable urban agriculture businesses","type":"article-journal","volume":"36"},"uris":["http://www.mendeley.com/documents/?uuid=978bbdd7-62e5-4fab-a9d3-ecf4ca3544f3"]},{"id":"ITEM-3","itemData":{"author":[{"dropping-particle":"","family":"Kourmpetli","given":"S.;","non-dropping-particle":"","parse-names":false,"suffix":""},{"dropping-particle":"","family":"Falagán","given":"N.;","non-dropping-particle":"","parse-names":false,"suffix":""},{"dropping-particle":"","family":"Hardman","given":"C. A.;","non-dropping-particle":"","parse-names":false,"suffix":""},{"dropping-particle":"","family":"Liu","given":"L.;","non-dropping-particle":"","parse-names":false,"suffix":""},{"dropping-particle":"","family":"Mead","given":"B. R.;","non-dropping-particle":"","parse-names":false,"suffix":""},{"dropping-particle":"","family":"Walsh","given":"L.;","non-dropping-particle":"","parse-names":false,"suffix":""},{"dropping-particle":"","family":"Davies","given":"J. A. C.","non-dropping-particle":"","parse-names":false,"suffix":""}],"container-title":"Int. J. Postharvest Technology and Innovation","id":"ITEM-3","issued":{"date-parts":[["2020"]]},"title":"Scaling-up urban agriculture for a healthy, sustainable and resilient food system: the postharvest benefits, challenges and key research gaps","type":"article-journal"},"uris":["http://www.mendeley.com/documents/?uuid=e4534879-2948-4c0e-9fab-1bc34fd4f735"]}],"mendeley":{"formattedCitation":"(Kim et al., 2014; Kourmpetli et al., 2020; Specht, Weith, et al., 2016)","manualFormatting":"(Kim et al., 2014; Kourmpetli et al., in press; Specht, Weith, et al., 2016)","plainTextFormattedCitation":"(Kim et al., 2014; Kourmpetli et al., 2020; Specht, Weith, et al., 2016)","previouslyFormattedCitation":"(Kim et al., 2014; Kourmpetli et al., 2020; Specht, Weith, et al., 2016)"},"properties":{"noteIndex":0},"schema":"https://github.com/citation-style-language/schema/raw/master/csl-citation.json"}</w:instrText>
      </w:r>
      <w:r w:rsidR="00E75659">
        <w:rPr>
          <w:bCs/>
        </w:rPr>
        <w:fldChar w:fldCharType="separate"/>
      </w:r>
      <w:r w:rsidR="00EA2E7D" w:rsidRPr="00EA2E7D">
        <w:rPr>
          <w:bCs/>
          <w:noProof/>
        </w:rPr>
        <w:t xml:space="preserve">(Kim </w:t>
      </w:r>
      <w:r w:rsidR="00D21786" w:rsidRPr="00D21786">
        <w:rPr>
          <w:bCs/>
          <w:i/>
          <w:iCs/>
          <w:noProof/>
        </w:rPr>
        <w:t>et al</w:t>
      </w:r>
      <w:r w:rsidR="00EA2E7D" w:rsidRPr="00EA2E7D">
        <w:rPr>
          <w:bCs/>
          <w:noProof/>
        </w:rPr>
        <w:t xml:space="preserve">., 2014; Kourmpetli </w:t>
      </w:r>
      <w:r w:rsidR="00D21786" w:rsidRPr="00D21786">
        <w:rPr>
          <w:bCs/>
          <w:i/>
          <w:iCs/>
          <w:noProof/>
        </w:rPr>
        <w:t>et al</w:t>
      </w:r>
      <w:r w:rsidR="00EA2E7D" w:rsidRPr="00EA2E7D">
        <w:rPr>
          <w:bCs/>
          <w:noProof/>
        </w:rPr>
        <w:t>.,</w:t>
      </w:r>
      <w:r w:rsidR="00EA2E7D">
        <w:rPr>
          <w:bCs/>
          <w:noProof/>
        </w:rPr>
        <w:t xml:space="preserve"> </w:t>
      </w:r>
      <w:r w:rsidR="00F63D81">
        <w:rPr>
          <w:bCs/>
          <w:noProof/>
        </w:rPr>
        <w:t>in press</w:t>
      </w:r>
      <w:r w:rsidR="00EA2E7D" w:rsidRPr="00EA2E7D">
        <w:rPr>
          <w:bCs/>
          <w:noProof/>
        </w:rPr>
        <w:t xml:space="preserve">; Specht, Weith, </w:t>
      </w:r>
      <w:r w:rsidR="00D21786" w:rsidRPr="00D21786">
        <w:rPr>
          <w:bCs/>
          <w:i/>
          <w:iCs/>
          <w:noProof/>
        </w:rPr>
        <w:t>et al</w:t>
      </w:r>
      <w:r w:rsidR="00EA2E7D" w:rsidRPr="00EA2E7D">
        <w:rPr>
          <w:bCs/>
          <w:noProof/>
        </w:rPr>
        <w:t>., 2016)</w:t>
      </w:r>
      <w:r w:rsidR="00E75659">
        <w:rPr>
          <w:bCs/>
        </w:rPr>
        <w:fldChar w:fldCharType="end"/>
      </w:r>
      <w:r w:rsidR="00AD454D">
        <w:rPr>
          <w:bCs/>
        </w:rPr>
        <w:t xml:space="preserve">.  </w:t>
      </w:r>
    </w:p>
    <w:p w14:paraId="336D2903" w14:textId="0630A91C" w:rsidR="002C4A73" w:rsidRDefault="002C4A73" w:rsidP="002F4BD0">
      <w:pPr>
        <w:spacing w:after="0" w:line="480" w:lineRule="auto"/>
      </w:pPr>
    </w:p>
    <w:p w14:paraId="13D44EFF" w14:textId="46E50886" w:rsidR="00FC38D3" w:rsidRPr="00896857" w:rsidRDefault="00FC38D3" w:rsidP="002F4BD0">
      <w:pPr>
        <w:spacing w:after="0" w:line="480" w:lineRule="auto"/>
        <w:rPr>
          <w:b/>
          <w:i/>
          <w:iCs/>
        </w:rPr>
      </w:pPr>
      <w:r w:rsidRPr="00896857">
        <w:rPr>
          <w:b/>
          <w:i/>
          <w:iCs/>
        </w:rPr>
        <w:t xml:space="preserve">Limitations and </w:t>
      </w:r>
      <w:r w:rsidR="001703A9" w:rsidRPr="00896857">
        <w:rPr>
          <w:b/>
          <w:i/>
          <w:iCs/>
        </w:rPr>
        <w:t>future directions</w:t>
      </w:r>
    </w:p>
    <w:p w14:paraId="24C4A9D3" w14:textId="0C241DA1" w:rsidR="00FC38D3" w:rsidRDefault="00FC38D3" w:rsidP="002F4BD0">
      <w:pPr>
        <w:spacing w:after="0" w:line="480" w:lineRule="auto"/>
      </w:pPr>
      <w:r>
        <w:t xml:space="preserve">Longitudinal data </w:t>
      </w:r>
      <w:r w:rsidR="005E231E">
        <w:t>are</w:t>
      </w:r>
      <w:r>
        <w:t xml:space="preserve"> needed to assess how </w:t>
      </w:r>
      <w:r w:rsidR="00371721">
        <w:t>home food growing</w:t>
      </w:r>
      <w:r>
        <w:t xml:space="preserve"> affects well-being and perceived experience of food insecurity as the pandemic progresses. The cross-sectional nature of this study means we are unable to test the longevity of the effects reported here</w:t>
      </w:r>
      <w:r w:rsidR="00DD39E9">
        <w:t>. F</w:t>
      </w:r>
      <w:r w:rsidR="0037632F">
        <w:t xml:space="preserve">uture work should consider assessing </w:t>
      </w:r>
      <w:r w:rsidR="00371721">
        <w:t>home food growing</w:t>
      </w:r>
      <w:r w:rsidR="0037632F">
        <w:t>, well-being and food security at multiple time points</w:t>
      </w:r>
      <w:r w:rsidR="000A1CBE">
        <w:t xml:space="preserve"> to see if these effects persist</w:t>
      </w:r>
      <w:r w:rsidR="0037632F">
        <w:t xml:space="preserve"> as the pandemic continues.</w:t>
      </w:r>
      <w:r w:rsidR="000A1CBE">
        <w:t xml:space="preserve"> With future lockdowns and social restrictions likely</w:t>
      </w:r>
      <w:r w:rsidR="00371721">
        <w:t xml:space="preserve"> </w:t>
      </w:r>
      <w:r w:rsidR="00371721">
        <w:fldChar w:fldCharType="begin" w:fldLock="1"/>
      </w:r>
      <w:r w:rsidR="00E75659">
        <w:instrText>ADDIN CSL_CITATION {"citationItems":[{"id":"ITEM-1","itemData":{"author":[{"dropping-particle":"","family":"Brown","given":"Jennifer","non-dropping-particle":"","parse-names":false,"suffix":""}],"id":"ITEM-1","issued":{"date-parts":[["2020"]]},"number-of-pages":"25","publisher":"House of Commons Library","publisher-place":"London, UK","title":"Coronavirus: the lockdown laws","type":"report"},"uris":["http://www.mendeley.com/documents/?uuid=98b08f50-117f-39de-9871-ddfe14302663"]}],"mendeley":{"formattedCitation":"(Brown, 2020)","plainTextFormattedCitation":"(Brown, 2020)","previouslyFormattedCitation":"(Brown, 2020)"},"properties":{"noteIndex":0},"schema":"https://github.com/citation-style-language/schema/raw/master/csl-citation.json"}</w:instrText>
      </w:r>
      <w:r w:rsidR="00371721">
        <w:fldChar w:fldCharType="separate"/>
      </w:r>
      <w:r w:rsidR="00371721" w:rsidRPr="00371721">
        <w:rPr>
          <w:noProof/>
        </w:rPr>
        <w:t>(Brown, 2020)</w:t>
      </w:r>
      <w:r w:rsidR="00371721">
        <w:fldChar w:fldCharType="end"/>
      </w:r>
      <w:r w:rsidR="000A1CBE">
        <w:t xml:space="preserve">, </w:t>
      </w:r>
      <w:r w:rsidR="00DD39E9">
        <w:t xml:space="preserve">innovative, sustainable activities will be needed to help mitigate the negative consequences of the pandemic.  </w:t>
      </w:r>
    </w:p>
    <w:p w14:paraId="60916BA6" w14:textId="15C53FB7" w:rsidR="003A27B0" w:rsidRDefault="003A27B0" w:rsidP="002F4BD0">
      <w:pPr>
        <w:spacing w:after="0" w:line="480" w:lineRule="auto"/>
      </w:pPr>
    </w:p>
    <w:p w14:paraId="6B7C0E22" w14:textId="0FD658A2" w:rsidR="0037632F" w:rsidRDefault="0037632F" w:rsidP="002F4BD0">
      <w:pPr>
        <w:spacing w:after="0" w:line="480" w:lineRule="auto"/>
      </w:pPr>
      <w:r>
        <w:t>We did not assess</w:t>
      </w:r>
      <w:r w:rsidR="00517290">
        <w:t xml:space="preserve"> if</w:t>
      </w:r>
      <w:r>
        <w:t xml:space="preserve"> </w:t>
      </w:r>
      <w:r w:rsidR="00466055">
        <w:t>Growers</w:t>
      </w:r>
      <w:r>
        <w:t xml:space="preserve"> were engaged in </w:t>
      </w:r>
      <w:r w:rsidR="00F04D8E">
        <w:t>home food growing</w:t>
      </w:r>
      <w:r>
        <w:t xml:space="preserve"> prior to the pandemic, or if they had recently become engaged in </w:t>
      </w:r>
      <w:r w:rsidR="00EA1F42">
        <w:t>home food growing</w:t>
      </w:r>
      <w:r>
        <w:t xml:space="preserve"> response to lockdown (new </w:t>
      </w:r>
      <w:r w:rsidR="001703A9">
        <w:t>Growers</w:t>
      </w:r>
      <w:r>
        <w:t xml:space="preserve">). It is possible that the lack of distinction may have obscured any subtle differences between the experiences </w:t>
      </w:r>
      <w:r w:rsidR="008F7B64">
        <w:t xml:space="preserve">or characteristics </w:t>
      </w:r>
      <w:r>
        <w:t xml:space="preserve">of such types of </w:t>
      </w:r>
      <w:r w:rsidR="001703A9">
        <w:t>Growers</w:t>
      </w:r>
      <w:r>
        <w:t xml:space="preserve">. Furthermore, we did not assess the </w:t>
      </w:r>
      <w:r w:rsidR="00DD39E9">
        <w:t>scale or longevity</w:t>
      </w:r>
      <w:r>
        <w:t xml:space="preserve"> of participants’ engagement with </w:t>
      </w:r>
      <w:r w:rsidR="00F04D8E">
        <w:t>home food growing</w:t>
      </w:r>
      <w:r>
        <w:t xml:space="preserve"> and if this influenced our findings. Future work may wish to consider if large-scale, established </w:t>
      </w:r>
      <w:r w:rsidR="00F04D8E">
        <w:t xml:space="preserve">home food growing, </w:t>
      </w:r>
      <w:r>
        <w:t>such as allotment growing</w:t>
      </w:r>
      <w:r w:rsidR="00F04D8E">
        <w:t>,</w:t>
      </w:r>
      <w:r>
        <w:t xml:space="preserve"> may have a different effect on well-being and food </w:t>
      </w:r>
      <w:r w:rsidR="00F04D8E">
        <w:t>in</w:t>
      </w:r>
      <w:r>
        <w:t>security than small-scale, home garden-based growing.</w:t>
      </w:r>
    </w:p>
    <w:p w14:paraId="35B7A11A" w14:textId="6822C311" w:rsidR="006E5A93" w:rsidRDefault="006E5A93" w:rsidP="002F4BD0">
      <w:pPr>
        <w:spacing w:after="0" w:line="480" w:lineRule="auto"/>
      </w:pPr>
    </w:p>
    <w:p w14:paraId="18A25512" w14:textId="4B93CA6D" w:rsidR="006E5A93" w:rsidRDefault="00B63738" w:rsidP="002F4BD0">
      <w:pPr>
        <w:spacing w:after="0" w:line="480" w:lineRule="auto"/>
      </w:pPr>
      <w:r>
        <w:t>We did not measure socioeconomic status (SES) of our participants</w:t>
      </w:r>
      <w:r w:rsidR="00ED3B96">
        <w:t>,</w:t>
      </w:r>
      <w:r>
        <w:t xml:space="preserve"> which is an additional limitation because </w:t>
      </w:r>
      <w:r w:rsidR="006E5A93">
        <w:t xml:space="preserve">SES </w:t>
      </w:r>
      <w:r>
        <w:t xml:space="preserve">could account for the </w:t>
      </w:r>
      <w:r w:rsidR="006E5A93">
        <w:t xml:space="preserve">associations between home food growing and lower food insecurity/better well-being. </w:t>
      </w:r>
      <w:r>
        <w:t xml:space="preserve">Importantly, </w:t>
      </w:r>
      <w:r w:rsidR="006E5A93">
        <w:t xml:space="preserve">participants in </w:t>
      </w:r>
      <w:r>
        <w:t xml:space="preserve">the </w:t>
      </w:r>
      <w:r w:rsidR="006E5A93">
        <w:t xml:space="preserve">different categories of growing status were well-matched for </w:t>
      </w:r>
      <w:r>
        <w:t xml:space="preserve">other </w:t>
      </w:r>
      <w:r w:rsidR="006E5A93">
        <w:t xml:space="preserve">demographic characteristics and did not differ in </w:t>
      </w:r>
      <w:r w:rsidR="00CB4F1B">
        <w:t>employment status.</w:t>
      </w:r>
      <w:r w:rsidR="005B3EDA">
        <w:t xml:space="preserve"> </w:t>
      </w:r>
      <w:r w:rsidR="003D5844">
        <w:t xml:space="preserve">Due to </w:t>
      </w:r>
      <w:r w:rsidR="005B3EDA">
        <w:t>a difference in age between t</w:t>
      </w:r>
      <w:r w:rsidR="00EF5F02">
        <w:t>w</w:t>
      </w:r>
      <w:r w:rsidR="005B3EDA">
        <w:t xml:space="preserve">o categories of grower status, </w:t>
      </w:r>
      <w:r>
        <w:t xml:space="preserve">age was </w:t>
      </w:r>
      <w:r w:rsidR="005B3EDA">
        <w:t>controlled for</w:t>
      </w:r>
      <w:r w:rsidR="00CB4F1B">
        <w:t xml:space="preserve"> </w:t>
      </w:r>
      <w:r w:rsidR="005B3EDA">
        <w:t>in the mediation model and</w:t>
      </w:r>
      <w:r>
        <w:t xml:space="preserve"> the relevant significant associations remained. </w:t>
      </w:r>
      <w:r w:rsidR="003D5844">
        <w:t>Furthermore, c</w:t>
      </w:r>
      <w:r>
        <w:t xml:space="preserve">ontrolling for age and SES in our previous study did not attenuate associations between </w:t>
      </w:r>
      <w:r w:rsidR="00CB4F1B">
        <w:t>urban agriculture</w:t>
      </w:r>
      <w:r w:rsidR="00C868BA">
        <w:t>,</w:t>
      </w:r>
      <w:r w:rsidR="00CB4F1B">
        <w:t xml:space="preserve"> diet </w:t>
      </w:r>
      <w:r w:rsidR="00CB4F1B">
        <w:lastRenderedPageBreak/>
        <w:t>quality</w:t>
      </w:r>
      <w:r w:rsidR="00C868BA">
        <w:t xml:space="preserve"> and potential mediators</w:t>
      </w:r>
      <w:r w:rsidR="00CB4F1B">
        <w:t xml:space="preserve"> (Mead </w:t>
      </w:r>
      <w:r w:rsidR="00D21786" w:rsidRPr="00D21786">
        <w:rPr>
          <w:i/>
          <w:iCs/>
        </w:rPr>
        <w:t>et al</w:t>
      </w:r>
      <w:r w:rsidR="00CB4F1B">
        <w:t xml:space="preserve">, 2021). Therefore, we tentatively suggest that differences in SES between participants </w:t>
      </w:r>
      <w:r>
        <w:t>are</w:t>
      </w:r>
      <w:r w:rsidR="00CB4F1B">
        <w:t xml:space="preserve"> unlikely to fully explain our results</w:t>
      </w:r>
      <w:r w:rsidR="003D5844">
        <w:t xml:space="preserve"> though f</w:t>
      </w:r>
      <w:r w:rsidR="00CB4F1B">
        <w:t xml:space="preserve">uture work </w:t>
      </w:r>
      <w:r w:rsidR="00C868BA">
        <w:t>is needed to confirm this.</w:t>
      </w:r>
    </w:p>
    <w:p w14:paraId="090D6619" w14:textId="3809BCF9" w:rsidR="0037632F" w:rsidRDefault="0037632F" w:rsidP="002F4BD0">
      <w:pPr>
        <w:spacing w:after="0" w:line="480" w:lineRule="auto"/>
      </w:pPr>
    </w:p>
    <w:p w14:paraId="68A35FE4" w14:textId="1CC75333" w:rsidR="0037632F" w:rsidRDefault="005118E8" w:rsidP="002F4BD0">
      <w:pPr>
        <w:spacing w:after="0" w:line="480" w:lineRule="auto"/>
      </w:pPr>
      <w:r>
        <w:t>I</w:t>
      </w:r>
      <w:r w:rsidR="0037632F">
        <w:t xml:space="preserve">t should be noted that levels of perceived experience of food insecurity in our sample were low. Although </w:t>
      </w:r>
      <w:r w:rsidR="00F04D8E">
        <w:t xml:space="preserve">we </w:t>
      </w:r>
      <w:r w:rsidR="008F7B64">
        <w:t>detected</w:t>
      </w:r>
      <w:r w:rsidR="0037632F">
        <w:t xml:space="preserve"> group differences in foo</w:t>
      </w:r>
      <w:r w:rsidR="00FF61A2">
        <w:t>d</w:t>
      </w:r>
      <w:r w:rsidR="0037632F">
        <w:t xml:space="preserve"> insecurity between </w:t>
      </w:r>
      <w:r w:rsidR="00EA1F42">
        <w:t>G</w:t>
      </w:r>
      <w:r w:rsidR="0037632F">
        <w:t xml:space="preserve">rowers and </w:t>
      </w:r>
      <w:r w:rsidR="00EA1F42">
        <w:t>N</w:t>
      </w:r>
      <w:r w:rsidR="0037632F">
        <w:t>on-growers,</w:t>
      </w:r>
      <w:r w:rsidR="00FF61A2">
        <w:t xml:space="preserve"> these findings may not be generalisable to participants or settings with high levels of food insecurity. </w:t>
      </w:r>
      <w:r w:rsidR="008F7B64">
        <w:t>We also adapted our measure of food insecurity (the FIES) to assess experience of food insecurity dues to a lack of food in shops over the preceding two weeks.</w:t>
      </w:r>
      <w:r w:rsidR="002A461E">
        <w:t xml:space="preserve"> Thus, we are unable to ascertain if the experiences of food insecurity reported by our participants were acute or chronic. </w:t>
      </w:r>
      <w:r w:rsidR="00FF61A2">
        <w:t>The experience</w:t>
      </w:r>
      <w:r w:rsidR="002A461E">
        <w:t xml:space="preserve"> of foo</w:t>
      </w:r>
      <w:r w:rsidR="00F04D8E">
        <w:t>d</w:t>
      </w:r>
      <w:r w:rsidR="002A461E">
        <w:t xml:space="preserve"> insecurity reported by participants in</w:t>
      </w:r>
      <w:r w:rsidR="00F04D8E">
        <w:t xml:space="preserve"> </w:t>
      </w:r>
      <w:r w:rsidR="002A461E">
        <w:t>th</w:t>
      </w:r>
      <w:r w:rsidR="00F04D8E">
        <w:t>e</w:t>
      </w:r>
      <w:r w:rsidR="002A461E">
        <w:t xml:space="preserve"> current study may not be comparable to that of i</w:t>
      </w:r>
      <w:r w:rsidR="00FF61A2">
        <w:t>ndividuals with</w:t>
      </w:r>
      <w:r w:rsidR="002A461E">
        <w:t xml:space="preserve"> </w:t>
      </w:r>
      <w:r w:rsidR="00FF61A2">
        <w:t xml:space="preserve">the highest levels of </w:t>
      </w:r>
      <w:r w:rsidR="002A461E">
        <w:t xml:space="preserve">chronic </w:t>
      </w:r>
      <w:r w:rsidR="00FF61A2">
        <w:t xml:space="preserve">food insecurity, therefore a more diverse sample is needed to extend these findings. </w:t>
      </w:r>
    </w:p>
    <w:p w14:paraId="25CF91D0" w14:textId="2FA9CB89" w:rsidR="005118E8" w:rsidRDefault="005118E8" w:rsidP="002F4BD0">
      <w:pPr>
        <w:spacing w:after="0" w:line="480" w:lineRule="auto"/>
      </w:pPr>
    </w:p>
    <w:p w14:paraId="4FE70AE7" w14:textId="75FC6367" w:rsidR="005118E8" w:rsidRDefault="005118E8" w:rsidP="002F4BD0">
      <w:pPr>
        <w:spacing w:after="0" w:line="480" w:lineRule="auto"/>
      </w:pPr>
      <w:r>
        <w:t xml:space="preserve">Finally, participants in the current study were predominantly white and female, thus limiting </w:t>
      </w:r>
      <w:r w:rsidR="00D80D57">
        <w:t>t</w:t>
      </w:r>
      <w:r>
        <w:t>he generalisability of these findings to more diverse groups. Although mean BMI for this sample (26.</w:t>
      </w:r>
      <w:r w:rsidR="00841A04">
        <w:t>36</w:t>
      </w:r>
      <w:r>
        <w:t>kg/m</w:t>
      </w:r>
      <w:r w:rsidRPr="009B0BBE">
        <w:rPr>
          <w:vertAlign w:val="superscript"/>
        </w:rPr>
        <w:t>2</w:t>
      </w:r>
      <w:r w:rsidRPr="005118E8">
        <w:t>)</w:t>
      </w:r>
      <w:r>
        <w:t xml:space="preserve"> was similar to the </w:t>
      </w:r>
      <w:hyperlink r:id="rId18" w:history="1">
        <w:r w:rsidRPr="000845AE">
          <w:rPr>
            <w:rStyle w:val="Hyperlink"/>
          </w:rPr>
          <w:t>estimated average BMI for England</w:t>
        </w:r>
      </w:hyperlink>
      <w:r>
        <w:t xml:space="preserve"> (27.5kg/m</w:t>
      </w:r>
      <w:r w:rsidRPr="009B0BBE">
        <w:rPr>
          <w:vertAlign w:val="superscript"/>
        </w:rPr>
        <w:t>2</w:t>
      </w:r>
      <w:r>
        <w:fldChar w:fldCharType="begin" w:fldLock="1"/>
      </w:r>
      <w:r w:rsidR="00212B7E">
        <w:instrText>ADDIN CSL_CITATION {"citationItems":[{"id":"ITEM-1","itemData":{"author":[{"dropping-particle":"","family":"NHS","given":"","non-dropping-particle":"","parse-names":false,"suffix":""}],"id":"ITEM-1","issued":{"date-parts":[["2019"]]},"title":"Health Survey for England 2018","type":"report"},"uris":["http://www.mendeley.com/documents/?uuid=440d183d-4ab1-38b9-869f-ce4632814d7b"]}],"mendeley":{"formattedCitation":"(NHS, 2019)","manualFormatting":"NHS, 2019)","plainTextFormattedCitation":"(NHS, 2019)","previouslyFormattedCitation":"(NHS, 2019)"},"properties":{"noteIndex":0},"schema":"https://github.com/citation-style-language/schema/raw/master/csl-citation.json"}</w:instrText>
      </w:r>
      <w:r>
        <w:fldChar w:fldCharType="separate"/>
      </w:r>
      <w:r w:rsidRPr="005118E8">
        <w:rPr>
          <w:noProof/>
        </w:rPr>
        <w:t>)</w:t>
      </w:r>
      <w:r>
        <w:fldChar w:fldCharType="end"/>
      </w:r>
      <w:r>
        <w:t>, this research should be repeated with a more representative sample of participants to ascertain if the findings reported in the current study are applicable to other groups.</w:t>
      </w:r>
    </w:p>
    <w:p w14:paraId="64EF74F6" w14:textId="69ECEAAF" w:rsidR="0037632F" w:rsidRDefault="0037632F" w:rsidP="002F4BD0">
      <w:pPr>
        <w:spacing w:after="0" w:line="480" w:lineRule="auto"/>
        <w:rPr>
          <w:i/>
        </w:rPr>
      </w:pPr>
    </w:p>
    <w:p w14:paraId="40F41FC1" w14:textId="02EBAB3C" w:rsidR="0037632F" w:rsidRPr="00896857" w:rsidRDefault="0037632F" w:rsidP="002F4BD0">
      <w:pPr>
        <w:spacing w:after="0" w:line="480" w:lineRule="auto"/>
        <w:rPr>
          <w:b/>
          <w:i/>
          <w:iCs/>
        </w:rPr>
      </w:pPr>
      <w:r w:rsidRPr="00896857">
        <w:rPr>
          <w:b/>
          <w:i/>
          <w:iCs/>
        </w:rPr>
        <w:t>Conclusion</w:t>
      </w:r>
    </w:p>
    <w:p w14:paraId="387BB447" w14:textId="2614DBAA" w:rsidR="0037632F" w:rsidRDefault="00F04D8E" w:rsidP="002F4BD0">
      <w:pPr>
        <w:spacing w:after="0" w:line="480" w:lineRule="auto"/>
      </w:pPr>
      <w:r>
        <w:t xml:space="preserve">Home food growing </w:t>
      </w:r>
      <w:r w:rsidR="0037632F">
        <w:t>may have</w:t>
      </w:r>
      <w:r w:rsidR="00DD39E9">
        <w:t xml:space="preserve"> had</w:t>
      </w:r>
      <w:r w:rsidR="0037632F">
        <w:t xml:space="preserve"> a protective effect</w:t>
      </w:r>
      <w:r w:rsidR="00DD39E9">
        <w:t xml:space="preserve"> on</w:t>
      </w:r>
      <w:r w:rsidR="0037632F">
        <w:t xml:space="preserve"> levels of well-being and</w:t>
      </w:r>
      <w:r w:rsidR="00FF61A2">
        <w:t xml:space="preserve"> perceived experience of</w:t>
      </w:r>
      <w:r w:rsidR="0037632F">
        <w:t xml:space="preserve"> food </w:t>
      </w:r>
      <w:r>
        <w:t>in</w:t>
      </w:r>
      <w:r w:rsidR="0037632F">
        <w:t>security at the start of the COVID-19</w:t>
      </w:r>
      <w:r w:rsidR="00FF61A2">
        <w:t xml:space="preserve"> lockdown</w:t>
      </w:r>
      <w:r w:rsidR="0037632F">
        <w:t xml:space="preserve">. Those engaged in </w:t>
      </w:r>
      <w:r>
        <w:t xml:space="preserve">home food growing </w:t>
      </w:r>
      <w:r w:rsidR="0037632F">
        <w:t xml:space="preserve">reported higher levels of well-being and lower levels of food </w:t>
      </w:r>
      <w:r w:rsidR="00FF61A2">
        <w:t xml:space="preserve">insecurity than those who were not engaged in </w:t>
      </w:r>
      <w:r>
        <w:t>home food growing</w:t>
      </w:r>
      <w:r w:rsidR="00FF61A2">
        <w:t xml:space="preserve">. </w:t>
      </w:r>
      <w:r>
        <w:t xml:space="preserve">Home food growing </w:t>
      </w:r>
      <w:r w:rsidR="00FF61A2">
        <w:t>was associated with lower food insecurity, which</w:t>
      </w:r>
      <w:r w:rsidR="00CC1031">
        <w:t>, in turn,</w:t>
      </w:r>
      <w:r w:rsidR="00FF61A2">
        <w:t xml:space="preserve"> was </w:t>
      </w:r>
      <w:r w:rsidR="00CC1031">
        <w:t>associated</w:t>
      </w:r>
      <w:r w:rsidR="00FF61A2">
        <w:t xml:space="preserve"> with better well-being. </w:t>
      </w:r>
      <w:r w:rsidR="00AD6AC1">
        <w:t>O</w:t>
      </w:r>
      <w:r>
        <w:t>pinion</w:t>
      </w:r>
      <w:r w:rsidR="00AD6AC1">
        <w:t>s</w:t>
      </w:r>
      <w:r>
        <w:t xml:space="preserve"> of UA w</w:t>
      </w:r>
      <w:r w:rsidR="00AD6AC1">
        <w:t>ere</w:t>
      </w:r>
      <w:r>
        <w:t xml:space="preserve"> </w:t>
      </w:r>
      <w:r w:rsidR="00AD6AC1">
        <w:t xml:space="preserve">generally </w:t>
      </w:r>
      <w:r>
        <w:t xml:space="preserve">positive before </w:t>
      </w:r>
      <w:r>
        <w:lastRenderedPageBreak/>
        <w:t xml:space="preserve">and during the early stages of the pandemic, and regardless of participants’ engagement in home food growing. </w:t>
      </w:r>
      <w:r w:rsidR="00FF61A2">
        <w:t xml:space="preserve">These results suggest that </w:t>
      </w:r>
      <w:r>
        <w:t xml:space="preserve">home food growing </w:t>
      </w:r>
      <w:r w:rsidR="00FF61A2">
        <w:t>may have benefits for well-being and food security during lockdown, but longitudinal assessment of this as the pandemic progresses is needed to confirm this.</w:t>
      </w:r>
      <w:r w:rsidR="00F63D81">
        <w:t xml:space="preserve"> Upscaling home food growing by increasing public interest and facilitating engagement in growing by making such opportunities more accessible could have tangible benefits for mitigating the impact of the COVID-19 pandemic on well-being</w:t>
      </w:r>
      <w:r w:rsidR="00ED3B96">
        <w:t xml:space="preserve"> and food security</w:t>
      </w:r>
      <w:r w:rsidR="00F63D81">
        <w:t xml:space="preserve">. </w:t>
      </w:r>
    </w:p>
    <w:p w14:paraId="04C9A9B1" w14:textId="477F9170" w:rsidR="001703A9" w:rsidRDefault="001703A9" w:rsidP="002F4BD0">
      <w:pPr>
        <w:spacing w:after="0" w:line="480" w:lineRule="auto"/>
      </w:pPr>
    </w:p>
    <w:p w14:paraId="03FB60FD" w14:textId="690DE4E6" w:rsidR="001703A9" w:rsidRDefault="001703A9" w:rsidP="002F4BD0">
      <w:pPr>
        <w:spacing w:after="0" w:line="480" w:lineRule="auto"/>
        <w:rPr>
          <w:b/>
          <w:bCs/>
        </w:rPr>
      </w:pPr>
      <w:r w:rsidRPr="00896857">
        <w:rPr>
          <w:b/>
          <w:bCs/>
        </w:rPr>
        <w:t>Data availability</w:t>
      </w:r>
    </w:p>
    <w:p w14:paraId="551335E1" w14:textId="578F5B55" w:rsidR="001703A9" w:rsidRPr="00EF52AB" w:rsidRDefault="001703A9" w:rsidP="002F4BD0">
      <w:pPr>
        <w:spacing w:after="0" w:line="480" w:lineRule="auto"/>
        <w:rPr>
          <w:i/>
          <w:iCs/>
        </w:rPr>
      </w:pPr>
      <w:r w:rsidRPr="00896857">
        <w:rPr>
          <w:i/>
          <w:iCs/>
        </w:rPr>
        <w:t>Underlying data</w:t>
      </w:r>
    </w:p>
    <w:p w14:paraId="3CA8BC2B" w14:textId="49659E51" w:rsidR="001703A9" w:rsidRDefault="001703A9" w:rsidP="000E1BBA">
      <w:pPr>
        <w:spacing w:after="0" w:line="480" w:lineRule="auto"/>
        <w:rPr>
          <w:rFonts w:cstheme="minorHAnsi"/>
        </w:rPr>
      </w:pPr>
      <w:r>
        <w:rPr>
          <w:rFonts w:cstheme="minorHAnsi"/>
        </w:rPr>
        <w:t xml:space="preserve">OSF: </w:t>
      </w:r>
      <w:r w:rsidRPr="001703A9">
        <w:rPr>
          <w:rFonts w:cstheme="minorHAnsi"/>
        </w:rPr>
        <w:t>Home food growing, well-being and food security during the COVID-19 UK lockdown</w:t>
      </w:r>
      <w:r>
        <w:rPr>
          <w:rFonts w:cstheme="minorHAnsi"/>
        </w:rPr>
        <w:t xml:space="preserve">. </w:t>
      </w:r>
      <w:r w:rsidR="00EF52AB">
        <w:rPr>
          <w:rFonts w:ascii="Arial" w:hAnsi="Arial" w:cs="Arial"/>
          <w:color w:val="333333"/>
          <w:sz w:val="21"/>
          <w:szCs w:val="21"/>
          <w:shd w:val="clear" w:color="auto" w:fill="FFFFFF"/>
        </w:rPr>
        <w:t>DOI 10.17605/OSF.IO/7EZJQ</w:t>
      </w:r>
    </w:p>
    <w:p w14:paraId="01BCA22C" w14:textId="29D7B07B" w:rsidR="007D63C5" w:rsidRDefault="007D63C5" w:rsidP="000E1BBA">
      <w:pPr>
        <w:spacing w:after="0" w:line="480" w:lineRule="auto"/>
        <w:rPr>
          <w:rFonts w:cstheme="minorHAnsi"/>
        </w:rPr>
      </w:pPr>
      <w:r>
        <w:rPr>
          <w:rFonts w:cstheme="minorHAnsi"/>
        </w:rPr>
        <w:t>This project contains the following underlying data:</w:t>
      </w:r>
    </w:p>
    <w:p w14:paraId="529A28A3" w14:textId="524929CE" w:rsidR="007D63C5" w:rsidRDefault="007D63C5" w:rsidP="007D63C5">
      <w:pPr>
        <w:pStyle w:val="ListParagraph"/>
        <w:numPr>
          <w:ilvl w:val="0"/>
          <w:numId w:val="6"/>
        </w:numPr>
        <w:spacing w:after="0" w:line="480" w:lineRule="auto"/>
        <w:rPr>
          <w:rFonts w:cstheme="minorHAnsi"/>
        </w:rPr>
      </w:pPr>
      <w:r w:rsidRPr="007D63C5">
        <w:rPr>
          <w:rFonts w:cstheme="minorHAnsi"/>
        </w:rPr>
        <w:t xml:space="preserve">Home food growing lockdown study data </w:t>
      </w:r>
      <w:proofErr w:type="spellStart"/>
      <w:r w:rsidRPr="007D63C5">
        <w:rPr>
          <w:rFonts w:cstheme="minorHAnsi"/>
        </w:rPr>
        <w:t>Mead.sav</w:t>
      </w:r>
      <w:proofErr w:type="spellEnd"/>
    </w:p>
    <w:p w14:paraId="0E1EA38C" w14:textId="7FECDEBE" w:rsidR="00EF52AB" w:rsidRPr="00EF52AB" w:rsidRDefault="007D63C5" w:rsidP="00EF52AB">
      <w:pPr>
        <w:pStyle w:val="ListParagraph"/>
        <w:numPr>
          <w:ilvl w:val="0"/>
          <w:numId w:val="6"/>
        </w:numPr>
        <w:spacing w:after="0" w:line="480" w:lineRule="auto"/>
        <w:rPr>
          <w:rFonts w:cstheme="minorHAnsi"/>
        </w:rPr>
      </w:pPr>
      <w:r w:rsidRPr="007D63C5">
        <w:rPr>
          <w:rFonts w:cstheme="minorHAnsi"/>
        </w:rPr>
        <w:t xml:space="preserve">pre-pandemic UA </w:t>
      </w:r>
      <w:proofErr w:type="spellStart"/>
      <w:r w:rsidRPr="007D63C5">
        <w:rPr>
          <w:rFonts w:cstheme="minorHAnsi"/>
        </w:rPr>
        <w:t>opinon</w:t>
      </w:r>
      <w:proofErr w:type="spellEnd"/>
      <w:r w:rsidRPr="007D63C5">
        <w:rPr>
          <w:rFonts w:cstheme="minorHAnsi"/>
        </w:rPr>
        <w:t xml:space="preserve"> </w:t>
      </w:r>
      <w:proofErr w:type="spellStart"/>
      <w:r w:rsidRPr="007D63C5">
        <w:rPr>
          <w:rFonts w:cstheme="minorHAnsi"/>
        </w:rPr>
        <w:t>comparison.sav</w:t>
      </w:r>
      <w:proofErr w:type="spellEnd"/>
    </w:p>
    <w:p w14:paraId="2F098E5B" w14:textId="28902478" w:rsidR="007D63C5" w:rsidRDefault="007D63C5" w:rsidP="007D63C5">
      <w:pPr>
        <w:spacing w:after="0" w:line="480" w:lineRule="auto"/>
        <w:rPr>
          <w:rStyle w:val="eop"/>
          <w:rFonts w:ascii="Calibri" w:hAnsi="Calibri" w:cs="Calibri"/>
          <w:color w:val="4472C4"/>
          <w:shd w:val="clear" w:color="auto" w:fill="FFFFFF"/>
        </w:rPr>
      </w:pPr>
      <w:r>
        <w:rPr>
          <w:rStyle w:val="normaltextrun"/>
          <w:rFonts w:ascii="Calibri" w:hAnsi="Calibri" w:cs="Calibri"/>
          <w:color w:val="4472C4"/>
          <w:shd w:val="clear" w:color="auto" w:fill="FFFFFF"/>
        </w:rPr>
        <w:t>Data are available under the terms of the </w:t>
      </w:r>
      <w:r w:rsidR="00792BC6" w:rsidRPr="00792BC6">
        <w:t>Creative Commons Attribution 4.0 International</w:t>
      </w:r>
      <w:r w:rsidR="00792BC6">
        <w:t xml:space="preserve"> </w:t>
      </w:r>
      <w:r w:rsidR="00042E50">
        <w:t>(CC BY 4.0)</w:t>
      </w:r>
    </w:p>
    <w:p w14:paraId="2F8841DD" w14:textId="19538DA2" w:rsidR="007D63C5" w:rsidRDefault="007D63C5" w:rsidP="007D63C5">
      <w:pPr>
        <w:spacing w:after="0" w:line="480" w:lineRule="auto"/>
        <w:rPr>
          <w:rStyle w:val="eop"/>
          <w:rFonts w:ascii="Calibri" w:hAnsi="Calibri" w:cs="Calibri"/>
          <w:color w:val="4472C4"/>
          <w:shd w:val="clear" w:color="auto" w:fill="FFFFFF"/>
        </w:rPr>
      </w:pPr>
    </w:p>
    <w:p w14:paraId="356D4B3B" w14:textId="02346DDA" w:rsidR="007D63C5" w:rsidRDefault="007D63C5" w:rsidP="007D63C5">
      <w:pPr>
        <w:spacing w:after="0" w:line="480" w:lineRule="auto"/>
        <w:rPr>
          <w:rStyle w:val="eop"/>
          <w:rFonts w:ascii="Calibri" w:hAnsi="Calibri" w:cs="Calibri"/>
          <w:i/>
          <w:iCs/>
          <w:color w:val="4472C4"/>
          <w:shd w:val="clear" w:color="auto" w:fill="FFFFFF"/>
        </w:rPr>
      </w:pPr>
      <w:r>
        <w:rPr>
          <w:rStyle w:val="eop"/>
          <w:rFonts w:ascii="Calibri" w:hAnsi="Calibri" w:cs="Calibri"/>
          <w:i/>
          <w:iCs/>
          <w:color w:val="4472C4"/>
          <w:shd w:val="clear" w:color="auto" w:fill="FFFFFF"/>
        </w:rPr>
        <w:t>Extended data</w:t>
      </w:r>
    </w:p>
    <w:p w14:paraId="306705FC" w14:textId="5591B429" w:rsidR="0039548E" w:rsidRDefault="00EF52AB" w:rsidP="007D63C5">
      <w:pPr>
        <w:spacing w:after="0" w:line="480" w:lineRule="auto"/>
        <w:rPr>
          <w:rFonts w:cstheme="minorHAnsi"/>
          <w:iCs/>
        </w:rPr>
      </w:pPr>
      <w:r>
        <w:rPr>
          <w:rFonts w:cstheme="minorHAnsi"/>
          <w:iCs/>
        </w:rPr>
        <w:t>Supplementary analyses, additional sample information and copies of the questionnaires completed by participants are presented as Extended Data:</w:t>
      </w:r>
    </w:p>
    <w:p w14:paraId="51B9795C" w14:textId="6FE63559" w:rsidR="00EF52AB" w:rsidRPr="00EF52AB" w:rsidRDefault="00EF52AB" w:rsidP="00EF52AB">
      <w:pPr>
        <w:pStyle w:val="ListParagraph"/>
        <w:numPr>
          <w:ilvl w:val="0"/>
          <w:numId w:val="7"/>
        </w:numPr>
        <w:spacing w:after="0" w:line="480" w:lineRule="auto"/>
        <w:rPr>
          <w:rFonts w:cstheme="minorHAnsi"/>
          <w:iCs/>
        </w:rPr>
      </w:pPr>
      <w:r w:rsidRPr="00EF52AB">
        <w:rPr>
          <w:rFonts w:cstheme="minorHAnsi"/>
          <w:iCs/>
        </w:rPr>
        <w:t>Mead et al HFG, well-being, FIS - Extended data.docx</w:t>
      </w:r>
    </w:p>
    <w:p w14:paraId="1E70C4C8" w14:textId="77777777" w:rsidR="007D63C5" w:rsidRPr="007D63C5" w:rsidRDefault="007D63C5" w:rsidP="007D63C5">
      <w:pPr>
        <w:spacing w:after="0" w:line="480" w:lineRule="auto"/>
        <w:rPr>
          <w:rFonts w:cstheme="minorHAnsi"/>
        </w:rPr>
      </w:pPr>
    </w:p>
    <w:p w14:paraId="56D5C4B1" w14:textId="3CD3D9B3" w:rsidR="000E1BBA" w:rsidRPr="00EF52AB" w:rsidRDefault="000E1BBA" w:rsidP="000E1BBA">
      <w:pPr>
        <w:spacing w:after="0" w:line="480" w:lineRule="auto"/>
        <w:rPr>
          <w:rFonts w:cstheme="minorHAnsi"/>
          <w:b/>
          <w:bCs/>
        </w:rPr>
      </w:pPr>
      <w:r>
        <w:rPr>
          <w:rFonts w:cstheme="minorHAnsi"/>
          <w:b/>
          <w:bCs/>
        </w:rPr>
        <w:t>Grant information</w:t>
      </w:r>
    </w:p>
    <w:p w14:paraId="61E7963C" w14:textId="77777777" w:rsidR="000E1BBA" w:rsidRDefault="000E1BBA" w:rsidP="000E1BBA">
      <w:pPr>
        <w:spacing w:after="0" w:line="480" w:lineRule="auto"/>
        <w:rPr>
          <w:rFonts w:cstheme="minorHAnsi"/>
        </w:rPr>
        <w:sectPr w:rsidR="000E1BBA" w:rsidSect="000E1BBA">
          <w:headerReference w:type="default" r:id="rId19"/>
          <w:footerReference w:type="default" r:id="rId20"/>
          <w:type w:val="continuous"/>
          <w:pgSz w:w="11906" w:h="16838"/>
          <w:pgMar w:top="1440" w:right="1440" w:bottom="1440" w:left="1440" w:header="708" w:footer="708" w:gutter="0"/>
          <w:cols w:space="708"/>
          <w:docGrid w:linePitch="360"/>
        </w:sectPr>
      </w:pPr>
      <w:r>
        <w:rPr>
          <w:rFonts w:cstheme="minorHAnsi"/>
        </w:rPr>
        <w:t>This research was funded by t</w:t>
      </w:r>
      <w:r>
        <w:rPr>
          <w:rStyle w:val="normaltextrun"/>
          <w:color w:val="000000"/>
          <w:shd w:val="clear" w:color="auto" w:fill="FFFFFF"/>
        </w:rPr>
        <w:t>he Global Food Security’s ‘Resilience of the UK Food System Programme’, with support from BBSRC, ESRC, NERC and the Scottish Government (BB/S01425X/1).</w:t>
      </w:r>
      <w:r>
        <w:rPr>
          <w:rStyle w:val="eop"/>
          <w:color w:val="000000"/>
          <w:shd w:val="clear" w:color="auto" w:fill="FFFFFF"/>
        </w:rPr>
        <w:t> </w:t>
      </w:r>
    </w:p>
    <w:p w14:paraId="79698C43" w14:textId="7FA5D456" w:rsidR="007D4680" w:rsidRDefault="007D4680" w:rsidP="002F4BD0">
      <w:pPr>
        <w:spacing w:after="0" w:line="480" w:lineRule="auto"/>
      </w:pPr>
    </w:p>
    <w:p w14:paraId="3556A7B2" w14:textId="77777777" w:rsidR="007D4680" w:rsidRDefault="007D4680" w:rsidP="007D4680">
      <w:pPr>
        <w:spacing w:after="0" w:line="480" w:lineRule="auto"/>
        <w:rPr>
          <w:rFonts w:cstheme="minorHAnsi"/>
        </w:rPr>
      </w:pPr>
      <w:r w:rsidRPr="00386743">
        <w:rPr>
          <w:rFonts w:cstheme="minorHAnsi"/>
          <w:b/>
          <w:bCs/>
        </w:rPr>
        <w:lastRenderedPageBreak/>
        <w:t>Competing interests</w:t>
      </w:r>
    </w:p>
    <w:p w14:paraId="586C1DDF" w14:textId="77777777" w:rsidR="007D4680" w:rsidRPr="00A17556" w:rsidRDefault="007D4680" w:rsidP="007D4680">
      <w:pPr>
        <w:spacing w:after="0" w:line="480" w:lineRule="auto"/>
        <w:rPr>
          <w:rFonts w:cstheme="minorHAnsi"/>
        </w:rPr>
      </w:pPr>
      <w:r w:rsidRPr="00FA091C">
        <w:rPr>
          <w:rFonts w:cstheme="minorHAnsi"/>
        </w:rPr>
        <w:t xml:space="preserve">BRM has received funding to their institution from WW (formerly Weight Watchers International) for her PhD studentship. </w:t>
      </w:r>
      <w:r w:rsidRPr="00FA091C">
        <w:rPr>
          <w:rFonts w:cstheme="minorHAnsi"/>
          <w:color w:val="000000" w:themeColor="text1"/>
        </w:rPr>
        <w:t xml:space="preserve">CAH has received research funding from the American Beverage Association and speaker fees from the International Sweeteners Association for work outside of the submitted manuscript. </w:t>
      </w:r>
      <w:r w:rsidRPr="00F4383D">
        <w:rPr>
          <w:rFonts w:cstheme="minorHAnsi"/>
          <w:color w:val="000000" w:themeColor="text1"/>
        </w:rPr>
        <w:t xml:space="preserve">NF, </w:t>
      </w:r>
      <w:r>
        <w:rPr>
          <w:rFonts w:cstheme="minorHAnsi"/>
          <w:color w:val="000000" w:themeColor="text1"/>
        </w:rPr>
        <w:t xml:space="preserve">JACD, SK, </w:t>
      </w:r>
      <w:r w:rsidRPr="00F4383D">
        <w:rPr>
          <w:rFonts w:cstheme="minorHAnsi"/>
          <w:color w:val="000000" w:themeColor="text1"/>
        </w:rPr>
        <w:t xml:space="preserve">and </w:t>
      </w:r>
      <w:r>
        <w:rPr>
          <w:rFonts w:cstheme="minorHAnsi"/>
          <w:color w:val="000000" w:themeColor="text1"/>
        </w:rPr>
        <w:t>LL</w:t>
      </w:r>
      <w:r w:rsidRPr="00F4383D">
        <w:rPr>
          <w:rFonts w:cstheme="minorHAnsi"/>
          <w:color w:val="000000" w:themeColor="text1"/>
        </w:rPr>
        <w:t xml:space="preserve"> declare that they have no conflict of interest.</w:t>
      </w:r>
    </w:p>
    <w:p w14:paraId="1498A8B1" w14:textId="77777777" w:rsidR="001703A9" w:rsidRPr="0037632F" w:rsidRDefault="001703A9" w:rsidP="002F4BD0">
      <w:pPr>
        <w:spacing w:after="0" w:line="480" w:lineRule="auto"/>
      </w:pPr>
    </w:p>
    <w:p w14:paraId="0AA49F47" w14:textId="77777777" w:rsidR="00F63D81" w:rsidRPr="00CB7517" w:rsidRDefault="00F63D81" w:rsidP="002F4BD0">
      <w:pPr>
        <w:spacing w:after="0" w:line="480" w:lineRule="auto"/>
        <w:rPr>
          <w:b/>
        </w:rPr>
      </w:pPr>
    </w:p>
    <w:p w14:paraId="01854CE8" w14:textId="77777777" w:rsidR="008A50F4" w:rsidRPr="00CB7517" w:rsidRDefault="008A50F4" w:rsidP="002F4BD0">
      <w:pPr>
        <w:spacing w:after="0" w:line="480" w:lineRule="auto"/>
        <w:rPr>
          <w:b/>
        </w:rPr>
        <w:sectPr w:rsidR="008A50F4" w:rsidRPr="00CB7517" w:rsidSect="00EF52AB">
          <w:type w:val="continuous"/>
          <w:pgSz w:w="11906" w:h="16838"/>
          <w:pgMar w:top="1440" w:right="1440" w:bottom="1440" w:left="1440" w:header="708" w:footer="708" w:gutter="0"/>
          <w:cols w:space="708"/>
          <w:docGrid w:linePitch="360"/>
        </w:sectPr>
      </w:pPr>
    </w:p>
    <w:p w14:paraId="74D72218" w14:textId="6D997BF4" w:rsidR="00001FED" w:rsidRPr="00EF52AB" w:rsidRDefault="008E113D" w:rsidP="002F4BD0">
      <w:pPr>
        <w:spacing w:after="0" w:line="480" w:lineRule="auto"/>
        <w:rPr>
          <w:b/>
          <w:bCs/>
          <w:iCs/>
        </w:rPr>
      </w:pPr>
      <w:r w:rsidRPr="00EF52AB">
        <w:rPr>
          <w:b/>
          <w:bCs/>
          <w:iCs/>
        </w:rPr>
        <w:t>References</w:t>
      </w:r>
    </w:p>
    <w:p w14:paraId="08AFB977" w14:textId="53550DDA" w:rsidR="00212B7E" w:rsidRPr="00212B7E" w:rsidRDefault="008E113D" w:rsidP="00212B7E">
      <w:pPr>
        <w:widowControl w:val="0"/>
        <w:autoSpaceDE w:val="0"/>
        <w:autoSpaceDN w:val="0"/>
        <w:adjustRightInd w:val="0"/>
        <w:spacing w:after="0" w:line="480" w:lineRule="auto"/>
        <w:ind w:left="480" w:hanging="480"/>
        <w:rPr>
          <w:rFonts w:ascii="Calibri" w:hAnsi="Calibri" w:cs="Calibri"/>
          <w:noProof/>
          <w:szCs w:val="24"/>
        </w:rPr>
      </w:pPr>
      <w:r>
        <w:rPr>
          <w:b/>
          <w:bCs/>
        </w:rPr>
        <w:fldChar w:fldCharType="begin" w:fldLock="1"/>
      </w:r>
      <w:r>
        <w:rPr>
          <w:b/>
          <w:bCs/>
        </w:rPr>
        <w:instrText xml:space="preserve">ADDIN Mendeley Bibliography CSL_BIBLIOGRAPHY </w:instrText>
      </w:r>
      <w:r>
        <w:rPr>
          <w:b/>
          <w:bCs/>
        </w:rPr>
        <w:fldChar w:fldCharType="separate"/>
      </w:r>
      <w:r w:rsidR="00212B7E" w:rsidRPr="00212B7E">
        <w:rPr>
          <w:rFonts w:ascii="Calibri" w:hAnsi="Calibri" w:cs="Calibri"/>
          <w:noProof/>
          <w:szCs w:val="24"/>
        </w:rPr>
        <w:t xml:space="preserve">Alaimo, K., Packnett, E., Miles, R. A., &amp; Kruger, D. J. (2008). Fruit and Vegetable Intake among Urban Community Gardeners. </w:t>
      </w:r>
      <w:r w:rsidR="00212B7E" w:rsidRPr="00212B7E">
        <w:rPr>
          <w:rFonts w:ascii="Calibri" w:hAnsi="Calibri" w:cs="Calibri"/>
          <w:i/>
          <w:iCs/>
          <w:noProof/>
          <w:szCs w:val="24"/>
        </w:rPr>
        <w:t>Journal of Nutrition Education and Behavior</w:t>
      </w:r>
      <w:r w:rsidR="00212B7E" w:rsidRPr="00212B7E">
        <w:rPr>
          <w:rFonts w:ascii="Calibri" w:hAnsi="Calibri" w:cs="Calibri"/>
          <w:noProof/>
          <w:szCs w:val="24"/>
        </w:rPr>
        <w:t xml:space="preserve">, </w:t>
      </w:r>
      <w:r w:rsidR="00212B7E" w:rsidRPr="00212B7E">
        <w:rPr>
          <w:rFonts w:ascii="Calibri" w:hAnsi="Calibri" w:cs="Calibri"/>
          <w:i/>
          <w:iCs/>
          <w:noProof/>
          <w:szCs w:val="24"/>
        </w:rPr>
        <w:t>40</w:t>
      </w:r>
      <w:r w:rsidR="00212B7E" w:rsidRPr="00212B7E">
        <w:rPr>
          <w:rFonts w:ascii="Calibri" w:hAnsi="Calibri" w:cs="Calibri"/>
          <w:noProof/>
          <w:szCs w:val="24"/>
        </w:rPr>
        <w:t>(2), 94–101. https://doi.org/10.1016/j.jneb.2006.12.003</w:t>
      </w:r>
    </w:p>
    <w:p w14:paraId="586AB071"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Algert, S., Diekmann, L., Renvall, M., &amp; Gray, L. (2016). Community and home gardens increase vegetable intake and food security of residents in San Jose, California. </w:t>
      </w:r>
      <w:r w:rsidRPr="00212B7E">
        <w:rPr>
          <w:rFonts w:ascii="Calibri" w:hAnsi="Calibri" w:cs="Calibri"/>
          <w:i/>
          <w:iCs/>
          <w:noProof/>
          <w:szCs w:val="24"/>
        </w:rPr>
        <w:t>California Agriculture</w:t>
      </w:r>
      <w:r w:rsidRPr="00212B7E">
        <w:rPr>
          <w:rFonts w:ascii="Calibri" w:hAnsi="Calibri" w:cs="Calibri"/>
          <w:noProof/>
          <w:szCs w:val="24"/>
        </w:rPr>
        <w:t xml:space="preserve">, </w:t>
      </w:r>
      <w:r w:rsidRPr="00212B7E">
        <w:rPr>
          <w:rFonts w:ascii="Calibri" w:hAnsi="Calibri" w:cs="Calibri"/>
          <w:i/>
          <w:iCs/>
          <w:noProof/>
          <w:szCs w:val="24"/>
        </w:rPr>
        <w:t>70</w:t>
      </w:r>
      <w:r w:rsidRPr="00212B7E">
        <w:rPr>
          <w:rFonts w:ascii="Calibri" w:hAnsi="Calibri" w:cs="Calibri"/>
          <w:noProof/>
          <w:szCs w:val="24"/>
        </w:rPr>
        <w:t>(2), 77–82. https://doi.org/10.3733/ca.v070n02p77</w:t>
      </w:r>
    </w:p>
    <w:p w14:paraId="0FFFD152"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Audate, P. P., Fernandez, M. A., Cloutier, G., &amp; Lebel, A. (2019). Scoping review of the impacts of urban agriculture on the determinants of health. </w:t>
      </w:r>
      <w:r w:rsidRPr="00212B7E">
        <w:rPr>
          <w:rFonts w:ascii="Calibri" w:hAnsi="Calibri" w:cs="Calibri"/>
          <w:i/>
          <w:iCs/>
          <w:noProof/>
          <w:szCs w:val="24"/>
        </w:rPr>
        <w:t>BMC Public Health</w:t>
      </w:r>
      <w:r w:rsidRPr="00212B7E">
        <w:rPr>
          <w:rFonts w:ascii="Calibri" w:hAnsi="Calibri" w:cs="Calibri"/>
          <w:noProof/>
          <w:szCs w:val="24"/>
        </w:rPr>
        <w:t xml:space="preserve">, </w:t>
      </w:r>
      <w:r w:rsidRPr="00212B7E">
        <w:rPr>
          <w:rFonts w:ascii="Calibri" w:hAnsi="Calibri" w:cs="Calibri"/>
          <w:i/>
          <w:iCs/>
          <w:noProof/>
          <w:szCs w:val="24"/>
        </w:rPr>
        <w:t>19</w:t>
      </w:r>
      <w:r w:rsidRPr="00212B7E">
        <w:rPr>
          <w:rFonts w:ascii="Calibri" w:hAnsi="Calibri" w:cs="Calibri"/>
          <w:noProof/>
          <w:szCs w:val="24"/>
        </w:rPr>
        <w:t>(1), 672. https://doi.org/10.1186/s12889-019-6885-z</w:t>
      </w:r>
    </w:p>
    <w:p w14:paraId="04E3E440"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Brown, J. (2020). </w:t>
      </w:r>
      <w:r w:rsidRPr="00212B7E">
        <w:rPr>
          <w:rFonts w:ascii="Calibri" w:hAnsi="Calibri" w:cs="Calibri"/>
          <w:i/>
          <w:iCs/>
          <w:noProof/>
          <w:szCs w:val="24"/>
        </w:rPr>
        <w:t>Coronavirus: the lockdown laws</w:t>
      </w:r>
      <w:r w:rsidRPr="00212B7E">
        <w:rPr>
          <w:rFonts w:ascii="Calibri" w:hAnsi="Calibri" w:cs="Calibri"/>
          <w:noProof/>
          <w:szCs w:val="24"/>
        </w:rPr>
        <w:t>. House of Commons Library.</w:t>
      </w:r>
    </w:p>
    <w:p w14:paraId="35B81A28"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Daly, M., Sutin, A., &amp; Robinson, E. (2020). Longitudinal changes in mental health and the COVID-19 pandemic: Evidence from the UK Household Longitudinal Study. </w:t>
      </w:r>
      <w:r w:rsidRPr="00212B7E">
        <w:rPr>
          <w:rFonts w:ascii="Calibri" w:hAnsi="Calibri" w:cs="Calibri"/>
          <w:i/>
          <w:iCs/>
          <w:noProof/>
          <w:szCs w:val="24"/>
        </w:rPr>
        <w:t>Psychological Medicine</w:t>
      </w:r>
      <w:r w:rsidRPr="00212B7E">
        <w:rPr>
          <w:rFonts w:ascii="Calibri" w:hAnsi="Calibri" w:cs="Calibri"/>
          <w:noProof/>
          <w:szCs w:val="24"/>
        </w:rPr>
        <w:t xml:space="preserve">, </w:t>
      </w:r>
      <w:r w:rsidRPr="00212B7E">
        <w:rPr>
          <w:rFonts w:ascii="Calibri" w:hAnsi="Calibri" w:cs="Calibri"/>
          <w:i/>
          <w:iCs/>
          <w:noProof/>
          <w:szCs w:val="24"/>
        </w:rPr>
        <w:t>18</w:t>
      </w:r>
      <w:r w:rsidRPr="00212B7E">
        <w:rPr>
          <w:rFonts w:ascii="Calibri" w:hAnsi="Calibri" w:cs="Calibri"/>
          <w:noProof/>
          <w:szCs w:val="24"/>
        </w:rPr>
        <w:t>, 1–37. https://doi.org/10.1017/S0033291720004432</w:t>
      </w:r>
    </w:p>
    <w:p w14:paraId="72D03F21"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Dobson, M. C., Reynolds, C., Warren, P. H., &amp; Edmondson, J. L. (2020). “My little piece of the planet”: the multiplicity of well-being benefits from allotment gardening. </w:t>
      </w:r>
      <w:r w:rsidRPr="00212B7E">
        <w:rPr>
          <w:rFonts w:ascii="Calibri" w:hAnsi="Calibri" w:cs="Calibri"/>
          <w:i/>
          <w:iCs/>
          <w:noProof/>
          <w:szCs w:val="24"/>
        </w:rPr>
        <w:t>British Food Journal</w:t>
      </w:r>
      <w:r w:rsidRPr="00212B7E">
        <w:rPr>
          <w:rFonts w:ascii="Calibri" w:hAnsi="Calibri" w:cs="Calibri"/>
          <w:noProof/>
          <w:szCs w:val="24"/>
        </w:rPr>
        <w:t xml:space="preserve">, </w:t>
      </w:r>
      <w:r w:rsidRPr="00212B7E">
        <w:rPr>
          <w:rFonts w:ascii="Calibri" w:hAnsi="Calibri" w:cs="Calibri"/>
          <w:i/>
          <w:iCs/>
          <w:noProof/>
          <w:szCs w:val="24"/>
        </w:rPr>
        <w:t>123</w:t>
      </w:r>
      <w:r w:rsidRPr="00212B7E">
        <w:rPr>
          <w:rFonts w:ascii="Calibri" w:hAnsi="Calibri" w:cs="Calibri"/>
          <w:noProof/>
          <w:szCs w:val="24"/>
        </w:rPr>
        <w:t>(3), 1012–1023. https://doi.org/10.1108/BFJ-07-2020-0593</w:t>
      </w:r>
    </w:p>
    <w:p w14:paraId="3A12C395"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Edmondson, J. L., Blevins, R. S., Cunningham, H., Dobson, M. C., Leake, J. R., &amp; Grafius, D. R. (2019). Grow your own food security? Integrating science and citizen science to estimate the </w:t>
      </w:r>
      <w:r w:rsidRPr="00212B7E">
        <w:rPr>
          <w:rFonts w:ascii="Calibri" w:hAnsi="Calibri" w:cs="Calibri"/>
          <w:noProof/>
          <w:szCs w:val="24"/>
        </w:rPr>
        <w:lastRenderedPageBreak/>
        <w:t xml:space="preserve">contribution of own growing to UK food production. </w:t>
      </w:r>
      <w:r w:rsidRPr="00212B7E">
        <w:rPr>
          <w:rFonts w:ascii="Calibri" w:hAnsi="Calibri" w:cs="Calibri"/>
          <w:i/>
          <w:iCs/>
          <w:noProof/>
          <w:szCs w:val="24"/>
        </w:rPr>
        <w:t>Plants, People, Planet</w:t>
      </w:r>
      <w:r w:rsidRPr="00212B7E">
        <w:rPr>
          <w:rFonts w:ascii="Calibri" w:hAnsi="Calibri" w:cs="Calibri"/>
          <w:noProof/>
          <w:szCs w:val="24"/>
        </w:rPr>
        <w:t xml:space="preserve">, </w:t>
      </w:r>
      <w:r w:rsidRPr="00212B7E">
        <w:rPr>
          <w:rFonts w:ascii="Calibri" w:hAnsi="Calibri" w:cs="Calibri"/>
          <w:i/>
          <w:iCs/>
          <w:noProof/>
          <w:szCs w:val="24"/>
        </w:rPr>
        <w:t>1</w:t>
      </w:r>
      <w:r w:rsidRPr="00212B7E">
        <w:rPr>
          <w:rFonts w:ascii="Calibri" w:hAnsi="Calibri" w:cs="Calibri"/>
          <w:noProof/>
          <w:szCs w:val="24"/>
        </w:rPr>
        <w:t>(2), 93–97. https://doi.org/10.1002/ppp3.20</w:t>
      </w:r>
    </w:p>
    <w:p w14:paraId="7CE608DC"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Edmondson, J. L., Childs, D. Z., Dobson, M. C., Gaston, K. J., Warren, P. H., &amp; Leake, J. R. (2020). Feeding a city – Leicester as a case study of the importance of allotments for horticultural production in the UK. </w:t>
      </w:r>
      <w:r w:rsidRPr="00212B7E">
        <w:rPr>
          <w:rFonts w:ascii="Calibri" w:hAnsi="Calibri" w:cs="Calibri"/>
          <w:i/>
          <w:iCs/>
          <w:noProof/>
          <w:szCs w:val="24"/>
        </w:rPr>
        <w:t>Science of The Total Environment</w:t>
      </w:r>
      <w:r w:rsidRPr="00212B7E">
        <w:rPr>
          <w:rFonts w:ascii="Calibri" w:hAnsi="Calibri" w:cs="Calibri"/>
          <w:noProof/>
          <w:szCs w:val="24"/>
        </w:rPr>
        <w:t xml:space="preserve">, </w:t>
      </w:r>
      <w:r w:rsidRPr="00212B7E">
        <w:rPr>
          <w:rFonts w:ascii="Calibri" w:hAnsi="Calibri" w:cs="Calibri"/>
          <w:i/>
          <w:iCs/>
          <w:noProof/>
          <w:szCs w:val="24"/>
        </w:rPr>
        <w:t>705</w:t>
      </w:r>
      <w:r w:rsidRPr="00212B7E">
        <w:rPr>
          <w:rFonts w:ascii="Calibri" w:hAnsi="Calibri" w:cs="Calibri"/>
          <w:noProof/>
          <w:szCs w:val="24"/>
        </w:rPr>
        <w:t>, 135930. https://doi.org/10.1016/j.scitotenv.2019.135930</w:t>
      </w:r>
    </w:p>
    <w:p w14:paraId="1FEEE90B"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Frongillo, E. A., Nguyen, H. T., Smith, M. D., &amp; Coleman-Jensen, A. (2019). Food Insecurity Is More Strongly Associated with Poor Subjective Well-Being in More-Developed Countries than in Less-Developed Countries. </w:t>
      </w:r>
      <w:r w:rsidRPr="00212B7E">
        <w:rPr>
          <w:rFonts w:ascii="Calibri" w:hAnsi="Calibri" w:cs="Calibri"/>
          <w:i/>
          <w:iCs/>
          <w:noProof/>
          <w:szCs w:val="24"/>
        </w:rPr>
        <w:t>Journal of Nutrition</w:t>
      </w:r>
      <w:r w:rsidRPr="00212B7E">
        <w:rPr>
          <w:rFonts w:ascii="Calibri" w:hAnsi="Calibri" w:cs="Calibri"/>
          <w:noProof/>
          <w:szCs w:val="24"/>
        </w:rPr>
        <w:t xml:space="preserve">, </w:t>
      </w:r>
      <w:r w:rsidRPr="00212B7E">
        <w:rPr>
          <w:rFonts w:ascii="Calibri" w:hAnsi="Calibri" w:cs="Calibri"/>
          <w:i/>
          <w:iCs/>
          <w:noProof/>
          <w:szCs w:val="24"/>
        </w:rPr>
        <w:t>149</w:t>
      </w:r>
      <w:r w:rsidRPr="00212B7E">
        <w:rPr>
          <w:rFonts w:ascii="Calibri" w:hAnsi="Calibri" w:cs="Calibri"/>
          <w:noProof/>
          <w:szCs w:val="24"/>
        </w:rPr>
        <w:t>(2), 330–335. https://doi.org/10.1093/jn/nxy261</w:t>
      </w:r>
    </w:p>
    <w:p w14:paraId="2B6F0E0F"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Galhena, D. H., Freed, R., &amp; Maredia, K. M. (2013). Home gardens: A promising approach to enhance household food security and wellbeing. In </w:t>
      </w:r>
      <w:r w:rsidRPr="00212B7E">
        <w:rPr>
          <w:rFonts w:ascii="Calibri" w:hAnsi="Calibri" w:cs="Calibri"/>
          <w:i/>
          <w:iCs/>
          <w:noProof/>
          <w:szCs w:val="24"/>
        </w:rPr>
        <w:t>Agriculture and Food Security</w:t>
      </w:r>
      <w:r w:rsidRPr="00212B7E">
        <w:rPr>
          <w:rFonts w:ascii="Calibri" w:hAnsi="Calibri" w:cs="Calibri"/>
          <w:noProof/>
          <w:szCs w:val="24"/>
        </w:rPr>
        <w:t xml:space="preserve"> (Vol. 2, Issue 1). BioMed Central Ltd. https://doi.org/10.1186/2048-7010-2-8</w:t>
      </w:r>
    </w:p>
    <w:p w14:paraId="5E7B1EBA"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Gao, F., Zheng, K. I., Wang, X. B., Sun, Q. F., Pan, K. H., Wang, T. Y., Chen, Y. P., Targher, G., Byrne, C. D., George, J., &amp; Zheng, M. H. (2020). Obesity Is a Risk Factor for Greater COVID-19 Severity. In </w:t>
      </w:r>
      <w:r w:rsidRPr="00212B7E">
        <w:rPr>
          <w:rFonts w:ascii="Calibri" w:hAnsi="Calibri" w:cs="Calibri"/>
          <w:i/>
          <w:iCs/>
          <w:noProof/>
          <w:szCs w:val="24"/>
        </w:rPr>
        <w:t>Diabetes Care</w:t>
      </w:r>
      <w:r w:rsidRPr="00212B7E">
        <w:rPr>
          <w:rFonts w:ascii="Calibri" w:hAnsi="Calibri" w:cs="Calibri"/>
          <w:noProof/>
          <w:szCs w:val="24"/>
        </w:rPr>
        <w:t xml:space="preserve"> (Vol. 43, Issue 7, pp. E72–E74). American Diabetes Association Inc. https://doi.org/10.2337/dc20-0682</w:t>
      </w:r>
    </w:p>
    <w:p w14:paraId="3456B823"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Garnett, P., Doherty, B., &amp; Heron, T. (2020). Vulnerability of the United Kingdom’s food supply chains exposed by COVID-19. </w:t>
      </w:r>
      <w:r w:rsidRPr="00212B7E">
        <w:rPr>
          <w:rFonts w:ascii="Calibri" w:hAnsi="Calibri" w:cs="Calibri"/>
          <w:i/>
          <w:iCs/>
          <w:noProof/>
          <w:szCs w:val="24"/>
        </w:rPr>
        <w:t>Nature Food</w:t>
      </w:r>
      <w:r w:rsidRPr="00212B7E">
        <w:rPr>
          <w:rFonts w:ascii="Calibri" w:hAnsi="Calibri" w:cs="Calibri"/>
          <w:noProof/>
          <w:szCs w:val="24"/>
        </w:rPr>
        <w:t xml:space="preserve">, </w:t>
      </w:r>
      <w:r w:rsidRPr="00212B7E">
        <w:rPr>
          <w:rFonts w:ascii="Calibri" w:hAnsi="Calibri" w:cs="Calibri"/>
          <w:i/>
          <w:iCs/>
          <w:noProof/>
          <w:szCs w:val="24"/>
        </w:rPr>
        <w:t>1</w:t>
      </w:r>
      <w:r w:rsidRPr="00212B7E">
        <w:rPr>
          <w:rFonts w:ascii="Calibri" w:hAnsi="Calibri" w:cs="Calibri"/>
          <w:noProof/>
          <w:szCs w:val="24"/>
        </w:rPr>
        <w:t>(6), 315–318. https://doi.org/10.1038/s43016-020-0097-7</w:t>
      </w:r>
    </w:p>
    <w:p w14:paraId="7DE2E623"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Genter, C., Roberts, A., Richardson, J., &amp; Sheaff, M. (2015). The contribution of allotment gardening to health and wellbeing: A systematic review of the literature. In </w:t>
      </w:r>
      <w:r w:rsidRPr="00212B7E">
        <w:rPr>
          <w:rFonts w:ascii="Calibri" w:hAnsi="Calibri" w:cs="Calibri"/>
          <w:i/>
          <w:iCs/>
          <w:noProof/>
          <w:szCs w:val="24"/>
        </w:rPr>
        <w:t>British Journal of Occupational Therapy</w:t>
      </w:r>
      <w:r w:rsidRPr="00212B7E">
        <w:rPr>
          <w:rFonts w:ascii="Calibri" w:hAnsi="Calibri" w:cs="Calibri"/>
          <w:noProof/>
          <w:szCs w:val="24"/>
        </w:rPr>
        <w:t xml:space="preserve"> (Vol. 78, Issue 10, pp. 593–605). https://doi.org/10.1177/0308022615599408</w:t>
      </w:r>
    </w:p>
    <w:p w14:paraId="04A3BB3D"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Grebitus, C., Chenarides, L., Muenich, R., &amp; Mahalov, A. (2020). Consumers’ Perception of Urban Farming—An Exploratory Study. </w:t>
      </w:r>
      <w:r w:rsidRPr="00212B7E">
        <w:rPr>
          <w:rFonts w:ascii="Calibri" w:hAnsi="Calibri" w:cs="Calibri"/>
          <w:i/>
          <w:iCs/>
          <w:noProof/>
          <w:szCs w:val="24"/>
        </w:rPr>
        <w:t>Frontiers in Sustainable Food Systems</w:t>
      </w:r>
      <w:r w:rsidRPr="00212B7E">
        <w:rPr>
          <w:rFonts w:ascii="Calibri" w:hAnsi="Calibri" w:cs="Calibri"/>
          <w:noProof/>
          <w:szCs w:val="24"/>
        </w:rPr>
        <w:t xml:space="preserve">, </w:t>
      </w:r>
      <w:r w:rsidRPr="00212B7E">
        <w:rPr>
          <w:rFonts w:ascii="Calibri" w:hAnsi="Calibri" w:cs="Calibri"/>
          <w:i/>
          <w:iCs/>
          <w:noProof/>
          <w:szCs w:val="24"/>
        </w:rPr>
        <w:t>4</w:t>
      </w:r>
      <w:r w:rsidRPr="00212B7E">
        <w:rPr>
          <w:rFonts w:ascii="Calibri" w:hAnsi="Calibri" w:cs="Calibri"/>
          <w:noProof/>
          <w:szCs w:val="24"/>
        </w:rPr>
        <w:t>, 79. https://doi.org/10.3389/fsufs.2020.00079</w:t>
      </w:r>
    </w:p>
    <w:p w14:paraId="1852C3A4"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Hayes, A. F. (2018). </w:t>
      </w:r>
      <w:r w:rsidRPr="00212B7E">
        <w:rPr>
          <w:rFonts w:ascii="Calibri" w:hAnsi="Calibri" w:cs="Calibri"/>
          <w:i/>
          <w:iCs/>
          <w:noProof/>
          <w:szCs w:val="24"/>
        </w:rPr>
        <w:t xml:space="preserve">Introduction to Mediation, Moderation, and Conditional Process Analysis: A </w:t>
      </w:r>
      <w:r w:rsidRPr="00212B7E">
        <w:rPr>
          <w:rFonts w:ascii="Calibri" w:hAnsi="Calibri" w:cs="Calibri"/>
          <w:i/>
          <w:iCs/>
          <w:noProof/>
          <w:szCs w:val="24"/>
        </w:rPr>
        <w:lastRenderedPageBreak/>
        <w:t>Regession Approach</w:t>
      </w:r>
      <w:r w:rsidRPr="00212B7E">
        <w:rPr>
          <w:rFonts w:ascii="Calibri" w:hAnsi="Calibri" w:cs="Calibri"/>
          <w:noProof/>
          <w:szCs w:val="24"/>
        </w:rPr>
        <w:t xml:space="preserve"> (2nd editio). Guilford Press.</w:t>
      </w:r>
    </w:p>
    <w:p w14:paraId="3A28320F"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Holmes, E. A., O’Connor, R. C., Perry, V. H., Tracey, I., Wessely, S., Arseneault, L., Ballard, C., Christensen, H., Cohen Silver, R., Everall, I., Ford, T., John, A., Kabir, T., King, K., Madan, I., Michie, S., Przybylski, A. K., Shafran, R., Sweeney, A., … Bullmore, E. (2020). Multidisciplinary research priorities for the COVID-19 pandemic: a call for action for mental health science. </w:t>
      </w:r>
      <w:r w:rsidRPr="00212B7E">
        <w:rPr>
          <w:rFonts w:ascii="Calibri" w:hAnsi="Calibri" w:cs="Calibri"/>
          <w:i/>
          <w:iCs/>
          <w:noProof/>
          <w:szCs w:val="24"/>
        </w:rPr>
        <w:t>The Lancet. Psychiatry</w:t>
      </w:r>
      <w:r w:rsidRPr="00212B7E">
        <w:rPr>
          <w:rFonts w:ascii="Calibri" w:hAnsi="Calibri" w:cs="Calibri"/>
          <w:noProof/>
          <w:szCs w:val="24"/>
        </w:rPr>
        <w:t>. https://doi.org/10.1016/S2215-0366(20)30168-1</w:t>
      </w:r>
    </w:p>
    <w:p w14:paraId="33154E3B"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Howarth, M., Brettle, A., Hardman, M., &amp; Maden, M. (2020). What is the evidence for the impact of gardens and gardening on health and well-being: a scoping review and evidence-based logic model to guide healthcare strategy decision making on the use of gardening approaches as a social prescription. </w:t>
      </w:r>
      <w:r w:rsidRPr="00212B7E">
        <w:rPr>
          <w:rFonts w:ascii="Calibri" w:hAnsi="Calibri" w:cs="Calibri"/>
          <w:i/>
          <w:iCs/>
          <w:noProof/>
          <w:szCs w:val="24"/>
        </w:rPr>
        <w:t>BMJ Open</w:t>
      </w:r>
      <w:r w:rsidRPr="00212B7E">
        <w:rPr>
          <w:rFonts w:ascii="Calibri" w:hAnsi="Calibri" w:cs="Calibri"/>
          <w:noProof/>
          <w:szCs w:val="24"/>
        </w:rPr>
        <w:t xml:space="preserve">, </w:t>
      </w:r>
      <w:r w:rsidRPr="00212B7E">
        <w:rPr>
          <w:rFonts w:ascii="Calibri" w:hAnsi="Calibri" w:cs="Calibri"/>
          <w:i/>
          <w:iCs/>
          <w:noProof/>
          <w:szCs w:val="24"/>
        </w:rPr>
        <w:t>10</w:t>
      </w:r>
      <w:r w:rsidRPr="00212B7E">
        <w:rPr>
          <w:rFonts w:ascii="Calibri" w:hAnsi="Calibri" w:cs="Calibri"/>
          <w:noProof/>
          <w:szCs w:val="24"/>
        </w:rPr>
        <w:t>(7), e036923. https://doi.org/10.1136/bmjopen-2020-036923</w:t>
      </w:r>
    </w:p>
    <w:p w14:paraId="5366ECAC"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Huizar, M. I., Arena, R., &amp; Laddu, D. R. (2020). The global food syndemic: The impact of food insecurity, Malnutrition and obesity on the healthspan amid the COVID-19 pandemic. </w:t>
      </w:r>
      <w:r w:rsidRPr="00212B7E">
        <w:rPr>
          <w:rFonts w:ascii="Calibri" w:hAnsi="Calibri" w:cs="Calibri"/>
          <w:i/>
          <w:iCs/>
          <w:noProof/>
          <w:szCs w:val="24"/>
        </w:rPr>
        <w:t>Progress in Cardiovascular Diseases</w:t>
      </w:r>
      <w:r w:rsidRPr="00212B7E">
        <w:rPr>
          <w:rFonts w:ascii="Calibri" w:hAnsi="Calibri" w:cs="Calibri"/>
          <w:noProof/>
          <w:szCs w:val="24"/>
        </w:rPr>
        <w:t>. https://doi.org/10.1016/j.pcad.2020.07.002</w:t>
      </w:r>
    </w:p>
    <w:p w14:paraId="2E926803"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Jones, A. D. (2017). Food Insecurity and Mental Health Status: A Global Analysis of 149 Countries. </w:t>
      </w:r>
      <w:r w:rsidRPr="00212B7E">
        <w:rPr>
          <w:rFonts w:ascii="Calibri" w:hAnsi="Calibri" w:cs="Calibri"/>
          <w:i/>
          <w:iCs/>
          <w:noProof/>
          <w:szCs w:val="24"/>
        </w:rPr>
        <w:t>American Journal of Preventive Medicine</w:t>
      </w:r>
      <w:r w:rsidRPr="00212B7E">
        <w:rPr>
          <w:rFonts w:ascii="Calibri" w:hAnsi="Calibri" w:cs="Calibri"/>
          <w:noProof/>
          <w:szCs w:val="24"/>
        </w:rPr>
        <w:t xml:space="preserve">, </w:t>
      </w:r>
      <w:r w:rsidRPr="00212B7E">
        <w:rPr>
          <w:rFonts w:ascii="Calibri" w:hAnsi="Calibri" w:cs="Calibri"/>
          <w:i/>
          <w:iCs/>
          <w:noProof/>
          <w:szCs w:val="24"/>
        </w:rPr>
        <w:t>53</w:t>
      </w:r>
      <w:r w:rsidRPr="00212B7E">
        <w:rPr>
          <w:rFonts w:ascii="Calibri" w:hAnsi="Calibri" w:cs="Calibri"/>
          <w:noProof/>
          <w:szCs w:val="24"/>
        </w:rPr>
        <w:t>(2), 264–273. https://doi.org/10.1016/j.amepre.2017.04.008</w:t>
      </w:r>
    </w:p>
    <w:p w14:paraId="41AD19A6"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Kamphuis, C. B. M., Giskes, K., de Bruijn, G.-J., Wendel-Vos, W., Brug, J., &amp; van Lenthe, F. J. (2006). Environmental determinants of fruit and vegetable consumption among adults: a systematic review. </w:t>
      </w:r>
      <w:r w:rsidRPr="00212B7E">
        <w:rPr>
          <w:rFonts w:ascii="Calibri" w:hAnsi="Calibri" w:cs="Calibri"/>
          <w:i/>
          <w:iCs/>
          <w:noProof/>
          <w:szCs w:val="24"/>
        </w:rPr>
        <w:t>British Journal of Nutrition</w:t>
      </w:r>
      <w:r w:rsidRPr="00212B7E">
        <w:rPr>
          <w:rFonts w:ascii="Calibri" w:hAnsi="Calibri" w:cs="Calibri"/>
          <w:noProof/>
          <w:szCs w:val="24"/>
        </w:rPr>
        <w:t xml:space="preserve">, </w:t>
      </w:r>
      <w:r w:rsidRPr="00212B7E">
        <w:rPr>
          <w:rFonts w:ascii="Calibri" w:hAnsi="Calibri" w:cs="Calibri"/>
          <w:i/>
          <w:iCs/>
          <w:noProof/>
          <w:szCs w:val="24"/>
        </w:rPr>
        <w:t>96</w:t>
      </w:r>
      <w:r w:rsidRPr="00212B7E">
        <w:rPr>
          <w:rFonts w:ascii="Calibri" w:hAnsi="Calibri" w:cs="Calibri"/>
          <w:noProof/>
          <w:szCs w:val="24"/>
        </w:rPr>
        <w:t>(4), 620–635. https://doi.org/10.1079/BJN20061896</w:t>
      </w:r>
    </w:p>
    <w:p w14:paraId="28BDD7FD"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Kim, B. F., Poulsen, M. N., Margulies, J. D., Dix, K. L., Palmer, A. M., &amp; Nachman, K. E. (2014). Urban Community Gardeners’ Knowledge and Perceptions of Soil Contaminant Risks. </w:t>
      </w:r>
      <w:r w:rsidRPr="00212B7E">
        <w:rPr>
          <w:rFonts w:ascii="Calibri" w:hAnsi="Calibri" w:cs="Calibri"/>
          <w:i/>
          <w:iCs/>
          <w:noProof/>
          <w:szCs w:val="24"/>
        </w:rPr>
        <w:t>PLoS ONE</w:t>
      </w:r>
      <w:r w:rsidRPr="00212B7E">
        <w:rPr>
          <w:rFonts w:ascii="Calibri" w:hAnsi="Calibri" w:cs="Calibri"/>
          <w:noProof/>
          <w:szCs w:val="24"/>
        </w:rPr>
        <w:t xml:space="preserve">, </w:t>
      </w:r>
      <w:r w:rsidRPr="00212B7E">
        <w:rPr>
          <w:rFonts w:ascii="Calibri" w:hAnsi="Calibri" w:cs="Calibri"/>
          <w:i/>
          <w:iCs/>
          <w:noProof/>
          <w:szCs w:val="24"/>
        </w:rPr>
        <w:t>9</w:t>
      </w:r>
      <w:r w:rsidRPr="00212B7E">
        <w:rPr>
          <w:rFonts w:ascii="Calibri" w:hAnsi="Calibri" w:cs="Calibri"/>
          <w:noProof/>
          <w:szCs w:val="24"/>
        </w:rPr>
        <w:t>(2), e87913. https://doi.org/10.1371/journal.pone.0087913</w:t>
      </w:r>
    </w:p>
    <w:p w14:paraId="1613C0DB"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Kingsley, J. Y., Townsend, M., &amp; Henderson-Wilson, C. (2009). Cultivating health and wellbeing: Members’ perceptions of the health benefits of a Port Melbourne community garden. </w:t>
      </w:r>
      <w:r w:rsidRPr="00212B7E">
        <w:rPr>
          <w:rFonts w:ascii="Calibri" w:hAnsi="Calibri" w:cs="Calibri"/>
          <w:i/>
          <w:iCs/>
          <w:noProof/>
          <w:szCs w:val="24"/>
        </w:rPr>
        <w:t>Leisure Studies</w:t>
      </w:r>
      <w:r w:rsidRPr="00212B7E">
        <w:rPr>
          <w:rFonts w:ascii="Calibri" w:hAnsi="Calibri" w:cs="Calibri"/>
          <w:noProof/>
          <w:szCs w:val="24"/>
        </w:rPr>
        <w:t xml:space="preserve">, </w:t>
      </w:r>
      <w:r w:rsidRPr="00212B7E">
        <w:rPr>
          <w:rFonts w:ascii="Calibri" w:hAnsi="Calibri" w:cs="Calibri"/>
          <w:i/>
          <w:iCs/>
          <w:noProof/>
          <w:szCs w:val="24"/>
        </w:rPr>
        <w:t>28</w:t>
      </w:r>
      <w:r w:rsidRPr="00212B7E">
        <w:rPr>
          <w:rFonts w:ascii="Calibri" w:hAnsi="Calibri" w:cs="Calibri"/>
          <w:noProof/>
          <w:szCs w:val="24"/>
        </w:rPr>
        <w:t>(2), 207–219. https://doi.org/10.1080/02614360902769894</w:t>
      </w:r>
    </w:p>
    <w:p w14:paraId="0EDA5107"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Kortright, R., &amp; Wakefield, S. (2011). Edible backyards: a qualitative study of household food growing </w:t>
      </w:r>
      <w:r w:rsidRPr="00212B7E">
        <w:rPr>
          <w:rFonts w:ascii="Calibri" w:hAnsi="Calibri" w:cs="Calibri"/>
          <w:noProof/>
          <w:szCs w:val="24"/>
        </w:rPr>
        <w:lastRenderedPageBreak/>
        <w:t xml:space="preserve">and its contributions to food security. </w:t>
      </w:r>
      <w:r w:rsidRPr="00212B7E">
        <w:rPr>
          <w:rFonts w:ascii="Calibri" w:hAnsi="Calibri" w:cs="Calibri"/>
          <w:i/>
          <w:iCs/>
          <w:noProof/>
          <w:szCs w:val="24"/>
        </w:rPr>
        <w:t>Agriculture and Human Values</w:t>
      </w:r>
      <w:r w:rsidRPr="00212B7E">
        <w:rPr>
          <w:rFonts w:ascii="Calibri" w:hAnsi="Calibri" w:cs="Calibri"/>
          <w:noProof/>
          <w:szCs w:val="24"/>
        </w:rPr>
        <w:t xml:space="preserve">, </w:t>
      </w:r>
      <w:r w:rsidRPr="00212B7E">
        <w:rPr>
          <w:rFonts w:ascii="Calibri" w:hAnsi="Calibri" w:cs="Calibri"/>
          <w:i/>
          <w:iCs/>
          <w:noProof/>
          <w:szCs w:val="24"/>
        </w:rPr>
        <w:t>28</w:t>
      </w:r>
      <w:r w:rsidRPr="00212B7E">
        <w:rPr>
          <w:rFonts w:ascii="Calibri" w:hAnsi="Calibri" w:cs="Calibri"/>
          <w:noProof/>
          <w:szCs w:val="24"/>
        </w:rPr>
        <w:t>(1), 39–53. https://doi.org/10.1007/s10460-009-9254-1</w:t>
      </w:r>
    </w:p>
    <w:p w14:paraId="6863273F"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Kourmpetli, S. ., Falagán, N. ., Hardman, C. A. ., Liu, L. ., Mead, B. R. ., Walsh, L. ., &amp; Davies, J. A. C. (2020). Scaling-up urban agriculture for a healthy, sustainable and resilient food system: the postharvest benefits, challenges and key research gaps. </w:t>
      </w:r>
      <w:r w:rsidRPr="00212B7E">
        <w:rPr>
          <w:rFonts w:ascii="Calibri" w:hAnsi="Calibri" w:cs="Calibri"/>
          <w:i/>
          <w:iCs/>
          <w:noProof/>
          <w:szCs w:val="24"/>
        </w:rPr>
        <w:t>Int. J. Postharvest Technology and Innovation</w:t>
      </w:r>
      <w:r w:rsidRPr="00212B7E">
        <w:rPr>
          <w:rFonts w:ascii="Calibri" w:hAnsi="Calibri" w:cs="Calibri"/>
          <w:noProof/>
          <w:szCs w:val="24"/>
        </w:rPr>
        <w:t>.</w:t>
      </w:r>
    </w:p>
    <w:p w14:paraId="3EE59472"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Lal, R. (2020). Home gardening and urban agriculture for advancing food and nutritional security in response to the COVID-19 pandemic. In </w:t>
      </w:r>
      <w:r w:rsidRPr="00212B7E">
        <w:rPr>
          <w:rFonts w:ascii="Calibri" w:hAnsi="Calibri" w:cs="Calibri"/>
          <w:i/>
          <w:iCs/>
          <w:noProof/>
          <w:szCs w:val="24"/>
        </w:rPr>
        <w:t>Food Security</w:t>
      </w:r>
      <w:r w:rsidRPr="00212B7E">
        <w:rPr>
          <w:rFonts w:ascii="Calibri" w:hAnsi="Calibri" w:cs="Calibri"/>
          <w:noProof/>
          <w:szCs w:val="24"/>
        </w:rPr>
        <w:t>. Springer. https://doi.org/10.1007/s12571-020-01058-3</w:t>
      </w:r>
    </w:p>
    <w:p w14:paraId="087CBD39" w14:textId="63358C84"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Loopstra, R. (2020). </w:t>
      </w:r>
      <w:r w:rsidRPr="00212B7E">
        <w:rPr>
          <w:rFonts w:ascii="Calibri" w:hAnsi="Calibri" w:cs="Calibri"/>
          <w:i/>
          <w:iCs/>
          <w:noProof/>
          <w:szCs w:val="24"/>
        </w:rPr>
        <w:t>Vulnerability to food insecurity since the COVID-19 lockdown</w:t>
      </w:r>
      <w:r w:rsidR="00123CA5">
        <w:rPr>
          <w:rFonts w:ascii="Calibri" w:hAnsi="Calibri" w:cs="Calibri"/>
          <w:i/>
          <w:iCs/>
          <w:noProof/>
          <w:szCs w:val="24"/>
        </w:rPr>
        <w:t>.</w:t>
      </w:r>
      <w:r w:rsidRPr="00212B7E">
        <w:rPr>
          <w:rFonts w:ascii="Calibri" w:hAnsi="Calibri" w:cs="Calibri"/>
          <w:i/>
          <w:iCs/>
          <w:noProof/>
          <w:szCs w:val="24"/>
        </w:rPr>
        <w:t xml:space="preserve"> Preliminary report</w:t>
      </w:r>
      <w:r w:rsidRPr="00212B7E">
        <w:rPr>
          <w:rFonts w:ascii="Calibri" w:hAnsi="Calibri" w:cs="Calibri"/>
          <w:noProof/>
          <w:szCs w:val="24"/>
        </w:rPr>
        <w:t>.</w:t>
      </w:r>
      <w:r w:rsidR="00123CA5">
        <w:rPr>
          <w:rFonts w:ascii="Calibri" w:hAnsi="Calibri" w:cs="Calibri"/>
          <w:noProof/>
          <w:szCs w:val="24"/>
        </w:rPr>
        <w:t xml:space="preserve"> The Food Foundation. </w:t>
      </w:r>
      <w:r w:rsidR="00123CA5" w:rsidRPr="00123CA5">
        <w:rPr>
          <w:rFonts w:ascii="Calibri" w:hAnsi="Calibri" w:cs="Calibri"/>
          <w:noProof/>
          <w:szCs w:val="24"/>
        </w:rPr>
        <w:t>https://foodfoundation.org.uk/wp-content/uploads/2020/04/Report_COVID19FoodInsecurity-final.pdf</w:t>
      </w:r>
    </w:p>
    <w:p w14:paraId="3473E516"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Lovell, R., Husk, K., Bethel, A., &amp; Garside, R. (2014). What are the health and well-being impacts of community gardening for adults and children: A mixed method systematic review protocol. </w:t>
      </w:r>
      <w:r w:rsidRPr="00212B7E">
        <w:rPr>
          <w:rFonts w:ascii="Calibri" w:hAnsi="Calibri" w:cs="Calibri"/>
          <w:i/>
          <w:iCs/>
          <w:noProof/>
          <w:szCs w:val="24"/>
        </w:rPr>
        <w:t>Environmental Evidence</w:t>
      </w:r>
      <w:r w:rsidRPr="00212B7E">
        <w:rPr>
          <w:rFonts w:ascii="Calibri" w:hAnsi="Calibri" w:cs="Calibri"/>
          <w:noProof/>
          <w:szCs w:val="24"/>
        </w:rPr>
        <w:t xml:space="preserve">, </w:t>
      </w:r>
      <w:r w:rsidRPr="00212B7E">
        <w:rPr>
          <w:rFonts w:ascii="Calibri" w:hAnsi="Calibri" w:cs="Calibri"/>
          <w:i/>
          <w:iCs/>
          <w:noProof/>
          <w:szCs w:val="24"/>
        </w:rPr>
        <w:t>3</w:t>
      </w:r>
      <w:r w:rsidRPr="00212B7E">
        <w:rPr>
          <w:rFonts w:ascii="Calibri" w:hAnsi="Calibri" w:cs="Calibri"/>
          <w:noProof/>
          <w:szCs w:val="24"/>
        </w:rPr>
        <w:t>(1). https://doi.org/10.1186/2047-2382-3-20</w:t>
      </w:r>
    </w:p>
    <w:p w14:paraId="5D284B5E"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Marroquín, B., Vine, V., &amp; Morgan, R. (2020). Mental health during the COVID-19 pandemic: Effects of stay-at-home policies, social distancing behavior, and social resources. </w:t>
      </w:r>
      <w:r w:rsidRPr="00212B7E">
        <w:rPr>
          <w:rFonts w:ascii="Calibri" w:hAnsi="Calibri" w:cs="Calibri"/>
          <w:i/>
          <w:iCs/>
          <w:noProof/>
          <w:szCs w:val="24"/>
        </w:rPr>
        <w:t>Psychiatry Research</w:t>
      </w:r>
      <w:r w:rsidRPr="00212B7E">
        <w:rPr>
          <w:rFonts w:ascii="Calibri" w:hAnsi="Calibri" w:cs="Calibri"/>
          <w:noProof/>
          <w:szCs w:val="24"/>
        </w:rPr>
        <w:t xml:space="preserve">, </w:t>
      </w:r>
      <w:r w:rsidRPr="00212B7E">
        <w:rPr>
          <w:rFonts w:ascii="Calibri" w:hAnsi="Calibri" w:cs="Calibri"/>
          <w:i/>
          <w:iCs/>
          <w:noProof/>
          <w:szCs w:val="24"/>
        </w:rPr>
        <w:t>293</w:t>
      </w:r>
      <w:r w:rsidRPr="00212B7E">
        <w:rPr>
          <w:rFonts w:ascii="Calibri" w:hAnsi="Calibri" w:cs="Calibri"/>
          <w:noProof/>
          <w:szCs w:val="24"/>
        </w:rPr>
        <w:t>, 113419. https://doi.org/10.1016/j.psychres.2020.113419</w:t>
      </w:r>
    </w:p>
    <w:p w14:paraId="6DE02ED6"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Mead, B. R. ., Davies, E. B., Davies, J. A. C. ., Falagán, N. ., Kourmpetli, S. ., Liu, L. ., Walsh, L. ., &amp; Hardman, C. A. (2020). BFDG2020 ABSTRACTS. </w:t>
      </w:r>
      <w:r w:rsidRPr="00212B7E">
        <w:rPr>
          <w:rFonts w:ascii="Calibri" w:hAnsi="Calibri" w:cs="Calibri"/>
          <w:i/>
          <w:iCs/>
          <w:noProof/>
          <w:szCs w:val="24"/>
        </w:rPr>
        <w:t>Appetite</w:t>
      </w:r>
      <w:r w:rsidRPr="00212B7E">
        <w:rPr>
          <w:rFonts w:ascii="Calibri" w:hAnsi="Calibri" w:cs="Calibri"/>
          <w:noProof/>
          <w:szCs w:val="24"/>
        </w:rPr>
        <w:t>, 104845. https://doi.org/10.1016/j.appet.2020.104845</w:t>
      </w:r>
    </w:p>
    <w:p w14:paraId="4C71B1D7"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Mead, B. R., Christiansen, P., Davies, J. A. C., Falagán, N., Kourmpetli, S., Liu, L., Walsh, L., &amp; Hardman, C. A. (2021). Is urban growing of fruit and vegetables associated with better diet quality and what mediates this relationship? Evidence from a cross-sectional survey. </w:t>
      </w:r>
      <w:r w:rsidRPr="00212B7E">
        <w:rPr>
          <w:rFonts w:ascii="Calibri" w:hAnsi="Calibri" w:cs="Calibri"/>
          <w:i/>
          <w:iCs/>
          <w:noProof/>
          <w:szCs w:val="24"/>
        </w:rPr>
        <w:t>Appetite</w:t>
      </w:r>
      <w:r w:rsidRPr="00212B7E">
        <w:rPr>
          <w:rFonts w:ascii="Calibri" w:hAnsi="Calibri" w:cs="Calibri"/>
          <w:noProof/>
          <w:szCs w:val="24"/>
        </w:rPr>
        <w:t>, 105218. https://doi.org/10.1016/j.appet.2021.105218</w:t>
      </w:r>
    </w:p>
    <w:p w14:paraId="40C066BD"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Mok, H.-F. F., Williamson, V. G., Grove, J. R., Burry, K., Barker, S. F., &amp; Hamilton, A. J. (2014). </w:t>
      </w:r>
      <w:r w:rsidRPr="00212B7E">
        <w:rPr>
          <w:rFonts w:ascii="Calibri" w:hAnsi="Calibri" w:cs="Calibri"/>
          <w:noProof/>
          <w:szCs w:val="24"/>
        </w:rPr>
        <w:lastRenderedPageBreak/>
        <w:t xml:space="preserve">Strawberry fields forever? Urban agriculture in developed countries: A review. </w:t>
      </w:r>
      <w:r w:rsidRPr="00212B7E">
        <w:rPr>
          <w:rFonts w:ascii="Calibri" w:hAnsi="Calibri" w:cs="Calibri"/>
          <w:i/>
          <w:iCs/>
          <w:noProof/>
          <w:szCs w:val="24"/>
        </w:rPr>
        <w:t>Agronomy for Sustainable Development</w:t>
      </w:r>
      <w:r w:rsidRPr="00212B7E">
        <w:rPr>
          <w:rFonts w:ascii="Calibri" w:hAnsi="Calibri" w:cs="Calibri"/>
          <w:noProof/>
          <w:szCs w:val="24"/>
        </w:rPr>
        <w:t xml:space="preserve">, </w:t>
      </w:r>
      <w:r w:rsidRPr="00212B7E">
        <w:rPr>
          <w:rFonts w:ascii="Calibri" w:hAnsi="Calibri" w:cs="Calibri"/>
          <w:i/>
          <w:iCs/>
          <w:noProof/>
          <w:szCs w:val="24"/>
        </w:rPr>
        <w:t>34</w:t>
      </w:r>
      <w:r w:rsidRPr="00212B7E">
        <w:rPr>
          <w:rFonts w:ascii="Calibri" w:hAnsi="Calibri" w:cs="Calibri"/>
          <w:noProof/>
          <w:szCs w:val="24"/>
        </w:rPr>
        <w:t>(1), 21–43. https://doi.org/10.1007/s13593-013-0156-7</w:t>
      </w:r>
    </w:p>
    <w:p w14:paraId="1020C784"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O’Connell, M., de Paula, Á., &amp; Kate Smith. (2020). </w:t>
      </w:r>
      <w:r w:rsidRPr="00212B7E">
        <w:rPr>
          <w:rFonts w:ascii="Calibri" w:hAnsi="Calibri" w:cs="Calibri"/>
          <w:i/>
          <w:iCs/>
          <w:noProof/>
          <w:szCs w:val="24"/>
        </w:rPr>
        <w:t>Preparing for a pandemic: spending dynamics and panic buying during the COVID-19 first wave</w:t>
      </w:r>
      <w:r w:rsidRPr="00212B7E">
        <w:rPr>
          <w:rFonts w:ascii="Calibri" w:hAnsi="Calibri" w:cs="Calibri"/>
          <w:noProof/>
          <w:szCs w:val="24"/>
        </w:rPr>
        <w:t>. The IFS. https://doi.org/10.1920/wp.ifs.2020.3420</w:t>
      </w:r>
    </w:p>
    <w:p w14:paraId="5492BB6A"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O’Shea, N. (2020). </w:t>
      </w:r>
      <w:r w:rsidRPr="00212B7E">
        <w:rPr>
          <w:rFonts w:ascii="Calibri" w:hAnsi="Calibri" w:cs="Calibri"/>
          <w:i/>
          <w:iCs/>
          <w:noProof/>
          <w:szCs w:val="24"/>
        </w:rPr>
        <w:t>Covid-19 and the nation’s mental health: Forecasting needs and risks in the UK</w:t>
      </w:r>
      <w:r w:rsidRPr="00212B7E">
        <w:rPr>
          <w:rFonts w:ascii="Calibri" w:hAnsi="Calibri" w:cs="Calibri"/>
          <w:noProof/>
          <w:szCs w:val="24"/>
        </w:rPr>
        <w:t>.</w:t>
      </w:r>
    </w:p>
    <w:p w14:paraId="1C2CAEA5"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Palar, K., Lemus Hufstedler, E., Hernandez, K., Chang, A., Ferguson, L., Lozano, R., &amp; Weiser, S. D. (2019). Nutrition and Health Improvements After Participation in an Urban Home Garden Program. </w:t>
      </w:r>
      <w:r w:rsidRPr="00212B7E">
        <w:rPr>
          <w:rFonts w:ascii="Calibri" w:hAnsi="Calibri" w:cs="Calibri"/>
          <w:i/>
          <w:iCs/>
          <w:noProof/>
          <w:szCs w:val="24"/>
        </w:rPr>
        <w:t>Journal of Nutrition Education and Behavior</w:t>
      </w:r>
      <w:r w:rsidRPr="00212B7E">
        <w:rPr>
          <w:rFonts w:ascii="Calibri" w:hAnsi="Calibri" w:cs="Calibri"/>
          <w:noProof/>
          <w:szCs w:val="24"/>
        </w:rPr>
        <w:t xml:space="preserve">, </w:t>
      </w:r>
      <w:r w:rsidRPr="00212B7E">
        <w:rPr>
          <w:rFonts w:ascii="Calibri" w:hAnsi="Calibri" w:cs="Calibri"/>
          <w:i/>
          <w:iCs/>
          <w:noProof/>
          <w:szCs w:val="24"/>
        </w:rPr>
        <w:t>51</w:t>
      </w:r>
      <w:r w:rsidRPr="00212B7E">
        <w:rPr>
          <w:rFonts w:ascii="Calibri" w:hAnsi="Calibri" w:cs="Calibri"/>
          <w:noProof/>
          <w:szCs w:val="24"/>
        </w:rPr>
        <w:t>(9), 1037–1046. https://doi.org/10.1016/j.jneb.2019.06.028</w:t>
      </w:r>
    </w:p>
    <w:p w14:paraId="77E8FDF0"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Pierce, M., Hope, H., Ford, T., Hatch, S., Hotopf, M., John, A., Kontopantelis, E., Webb, R., Wessely, S., McManus, S., &amp; Abel, K. M. (2020). Mental health before and during the COVID-19 pandemic: a longitudinal probability sample survey of the UK population. </w:t>
      </w:r>
      <w:r w:rsidRPr="00212B7E">
        <w:rPr>
          <w:rFonts w:ascii="Calibri" w:hAnsi="Calibri" w:cs="Calibri"/>
          <w:i/>
          <w:iCs/>
          <w:noProof/>
          <w:szCs w:val="24"/>
        </w:rPr>
        <w:t>The Lancet Psychiatry</w:t>
      </w:r>
      <w:r w:rsidRPr="00212B7E">
        <w:rPr>
          <w:rFonts w:ascii="Calibri" w:hAnsi="Calibri" w:cs="Calibri"/>
          <w:noProof/>
          <w:szCs w:val="24"/>
        </w:rPr>
        <w:t xml:space="preserve">, </w:t>
      </w:r>
      <w:r w:rsidRPr="00212B7E">
        <w:rPr>
          <w:rFonts w:ascii="Calibri" w:hAnsi="Calibri" w:cs="Calibri"/>
          <w:i/>
          <w:iCs/>
          <w:noProof/>
          <w:szCs w:val="24"/>
        </w:rPr>
        <w:t>7</w:t>
      </w:r>
      <w:r w:rsidRPr="00212B7E">
        <w:rPr>
          <w:rFonts w:ascii="Calibri" w:hAnsi="Calibri" w:cs="Calibri"/>
          <w:noProof/>
          <w:szCs w:val="24"/>
        </w:rPr>
        <w:t>(10), 883–892. https://doi.org/10.1016/S2215-0366(20)30308-4</w:t>
      </w:r>
    </w:p>
    <w:p w14:paraId="4062E556"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Pourmotabbed, A., Moradi, S., Babaei, A., Ghavami, A., Mohammadi, H., Jalili, C., Symonds, M. E., &amp; Miraghajani, M. (2020). Food insecurity and mental health: a systematic review and meta-analysis - CORRIGENDUM. </w:t>
      </w:r>
      <w:r w:rsidRPr="00212B7E">
        <w:rPr>
          <w:rFonts w:ascii="Calibri" w:hAnsi="Calibri" w:cs="Calibri"/>
          <w:i/>
          <w:iCs/>
          <w:noProof/>
          <w:szCs w:val="24"/>
        </w:rPr>
        <w:t>Public Health Nutrition</w:t>
      </w:r>
      <w:r w:rsidRPr="00212B7E">
        <w:rPr>
          <w:rFonts w:ascii="Calibri" w:hAnsi="Calibri" w:cs="Calibri"/>
          <w:noProof/>
          <w:szCs w:val="24"/>
        </w:rPr>
        <w:t xml:space="preserve">, </w:t>
      </w:r>
      <w:r w:rsidRPr="00212B7E">
        <w:rPr>
          <w:rFonts w:ascii="Calibri" w:hAnsi="Calibri" w:cs="Calibri"/>
          <w:i/>
          <w:iCs/>
          <w:noProof/>
          <w:szCs w:val="24"/>
        </w:rPr>
        <w:t>23</w:t>
      </w:r>
      <w:r w:rsidRPr="00212B7E">
        <w:rPr>
          <w:rFonts w:ascii="Calibri" w:hAnsi="Calibri" w:cs="Calibri"/>
          <w:noProof/>
          <w:szCs w:val="24"/>
        </w:rPr>
        <w:t>(10), 1854. https://doi.org/10.1017/S136898001900435X</w:t>
      </w:r>
    </w:p>
    <w:p w14:paraId="2D04E58A"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Power, M., Doherty, B., Pybus, K., &amp; Pickett, K. (2020). How Covid-19 has exposed inequalities in the UK food system: The case of UK food and poverty. </w:t>
      </w:r>
      <w:r w:rsidRPr="00212B7E">
        <w:rPr>
          <w:rFonts w:ascii="Calibri" w:hAnsi="Calibri" w:cs="Calibri"/>
          <w:i/>
          <w:iCs/>
          <w:noProof/>
          <w:szCs w:val="24"/>
        </w:rPr>
        <w:t>Emerald Open Research</w:t>
      </w:r>
      <w:r w:rsidRPr="00212B7E">
        <w:rPr>
          <w:rFonts w:ascii="Calibri" w:hAnsi="Calibri" w:cs="Calibri"/>
          <w:noProof/>
          <w:szCs w:val="24"/>
        </w:rPr>
        <w:t xml:space="preserve">, </w:t>
      </w:r>
      <w:r w:rsidRPr="00212B7E">
        <w:rPr>
          <w:rFonts w:ascii="Calibri" w:hAnsi="Calibri" w:cs="Calibri"/>
          <w:i/>
          <w:iCs/>
          <w:noProof/>
          <w:szCs w:val="24"/>
        </w:rPr>
        <w:t>2</w:t>
      </w:r>
      <w:r w:rsidRPr="00212B7E">
        <w:rPr>
          <w:rFonts w:ascii="Calibri" w:hAnsi="Calibri" w:cs="Calibri"/>
          <w:noProof/>
          <w:szCs w:val="24"/>
        </w:rPr>
        <w:t>, 11.</w:t>
      </w:r>
    </w:p>
    <w:p w14:paraId="2FE6BC0C"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Rajkumar, R. P. (2020). COVID-19 and mental health: A review of the existing literature. </w:t>
      </w:r>
      <w:r w:rsidRPr="00212B7E">
        <w:rPr>
          <w:rFonts w:ascii="Calibri" w:hAnsi="Calibri" w:cs="Calibri"/>
          <w:i/>
          <w:iCs/>
          <w:noProof/>
          <w:szCs w:val="24"/>
        </w:rPr>
        <w:t>Asian Journal of Psychiatry</w:t>
      </w:r>
      <w:r w:rsidRPr="00212B7E">
        <w:rPr>
          <w:rFonts w:ascii="Calibri" w:hAnsi="Calibri" w:cs="Calibri"/>
          <w:noProof/>
          <w:szCs w:val="24"/>
        </w:rPr>
        <w:t xml:space="preserve">, </w:t>
      </w:r>
      <w:r w:rsidRPr="00212B7E">
        <w:rPr>
          <w:rFonts w:ascii="Calibri" w:hAnsi="Calibri" w:cs="Calibri"/>
          <w:i/>
          <w:iCs/>
          <w:noProof/>
          <w:szCs w:val="24"/>
        </w:rPr>
        <w:t>52</w:t>
      </w:r>
      <w:r w:rsidRPr="00212B7E">
        <w:rPr>
          <w:rFonts w:ascii="Calibri" w:hAnsi="Calibri" w:cs="Calibri"/>
          <w:noProof/>
          <w:szCs w:val="24"/>
        </w:rPr>
        <w:t>, 102066. https://doi.org/10.1016/j.ajp.2020.102066</w:t>
      </w:r>
    </w:p>
    <w:p w14:paraId="41C8D4D4"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Sani, G., Janiri, D., Di Nicola, M., Janiri, L., Ferretti, S., &amp; Chieffo, D. (2020). Mental health during and after the COVID-19 emergency in Italy. </w:t>
      </w:r>
      <w:r w:rsidRPr="00212B7E">
        <w:rPr>
          <w:rFonts w:ascii="Calibri" w:hAnsi="Calibri" w:cs="Calibri"/>
          <w:i/>
          <w:iCs/>
          <w:noProof/>
          <w:szCs w:val="24"/>
        </w:rPr>
        <w:t>Psychiatry and Clinical Neurosciences</w:t>
      </w:r>
      <w:r w:rsidRPr="00212B7E">
        <w:rPr>
          <w:rFonts w:ascii="Calibri" w:hAnsi="Calibri" w:cs="Calibri"/>
          <w:noProof/>
          <w:szCs w:val="24"/>
        </w:rPr>
        <w:t>. https://doi.org/10.1111/pcn.13004</w:t>
      </w:r>
    </w:p>
    <w:p w14:paraId="509992E5"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Schupp, J. L., Som Castellano, R. L., Sharp, J. S., &amp; Bean, M. (2016). Exploring barriers to home </w:t>
      </w:r>
      <w:r w:rsidRPr="00212B7E">
        <w:rPr>
          <w:rFonts w:ascii="Calibri" w:hAnsi="Calibri" w:cs="Calibri"/>
          <w:noProof/>
          <w:szCs w:val="24"/>
        </w:rPr>
        <w:lastRenderedPageBreak/>
        <w:t xml:space="preserve">gardening in Ohio households. </w:t>
      </w:r>
      <w:r w:rsidRPr="00212B7E">
        <w:rPr>
          <w:rFonts w:ascii="Calibri" w:hAnsi="Calibri" w:cs="Calibri"/>
          <w:i/>
          <w:iCs/>
          <w:noProof/>
          <w:szCs w:val="24"/>
        </w:rPr>
        <w:t>Local Environment</w:t>
      </w:r>
      <w:r w:rsidRPr="00212B7E">
        <w:rPr>
          <w:rFonts w:ascii="Calibri" w:hAnsi="Calibri" w:cs="Calibri"/>
          <w:noProof/>
          <w:szCs w:val="24"/>
        </w:rPr>
        <w:t xml:space="preserve">, </w:t>
      </w:r>
      <w:r w:rsidRPr="00212B7E">
        <w:rPr>
          <w:rFonts w:ascii="Calibri" w:hAnsi="Calibri" w:cs="Calibri"/>
          <w:i/>
          <w:iCs/>
          <w:noProof/>
          <w:szCs w:val="24"/>
        </w:rPr>
        <w:t>21</w:t>
      </w:r>
      <w:r w:rsidRPr="00212B7E">
        <w:rPr>
          <w:rFonts w:ascii="Calibri" w:hAnsi="Calibri" w:cs="Calibri"/>
          <w:noProof/>
          <w:szCs w:val="24"/>
        </w:rPr>
        <w:t>(6), 752–767. https://doi.org/10.1080/13549839.2015.1017807</w:t>
      </w:r>
    </w:p>
    <w:p w14:paraId="2EA538C7"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Smith, M. D., Rabbitt, M. P., &amp; Coleman- Jensen, A. (2017). Who are the World’s Food Insecure? New Evidence from the Food and Agriculture Organization’s Food Insecurity Experience Scale. </w:t>
      </w:r>
      <w:r w:rsidRPr="00212B7E">
        <w:rPr>
          <w:rFonts w:ascii="Calibri" w:hAnsi="Calibri" w:cs="Calibri"/>
          <w:i/>
          <w:iCs/>
          <w:noProof/>
          <w:szCs w:val="24"/>
        </w:rPr>
        <w:t>World Development</w:t>
      </w:r>
      <w:r w:rsidRPr="00212B7E">
        <w:rPr>
          <w:rFonts w:ascii="Calibri" w:hAnsi="Calibri" w:cs="Calibri"/>
          <w:noProof/>
          <w:szCs w:val="24"/>
        </w:rPr>
        <w:t xml:space="preserve">, </w:t>
      </w:r>
      <w:r w:rsidRPr="00212B7E">
        <w:rPr>
          <w:rFonts w:ascii="Calibri" w:hAnsi="Calibri" w:cs="Calibri"/>
          <w:i/>
          <w:iCs/>
          <w:noProof/>
          <w:szCs w:val="24"/>
        </w:rPr>
        <w:t>93</w:t>
      </w:r>
      <w:r w:rsidRPr="00212B7E">
        <w:rPr>
          <w:rFonts w:ascii="Calibri" w:hAnsi="Calibri" w:cs="Calibri"/>
          <w:noProof/>
          <w:szCs w:val="24"/>
        </w:rPr>
        <w:t>, 402–412. https://doi.org/10.1016/j.worlddev.2017.01.006</w:t>
      </w:r>
    </w:p>
    <w:p w14:paraId="137FFF1D"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Soga, M., Cox, D. T. C., Yamaura, Y., Gaston, K. J., Kurisu, K., &amp; Hanaki, K. (2017). Health benefits of urban allotment gardening: Improved physical and psychological well-being and social integration. </w:t>
      </w:r>
      <w:r w:rsidRPr="00212B7E">
        <w:rPr>
          <w:rFonts w:ascii="Calibri" w:hAnsi="Calibri" w:cs="Calibri"/>
          <w:i/>
          <w:iCs/>
          <w:noProof/>
          <w:szCs w:val="24"/>
        </w:rPr>
        <w:t>International Journal of Environmental Research and Public Health</w:t>
      </w:r>
      <w:r w:rsidRPr="00212B7E">
        <w:rPr>
          <w:rFonts w:ascii="Calibri" w:hAnsi="Calibri" w:cs="Calibri"/>
          <w:noProof/>
          <w:szCs w:val="24"/>
        </w:rPr>
        <w:t xml:space="preserve">, </w:t>
      </w:r>
      <w:r w:rsidRPr="00212B7E">
        <w:rPr>
          <w:rFonts w:ascii="Calibri" w:hAnsi="Calibri" w:cs="Calibri"/>
          <w:i/>
          <w:iCs/>
          <w:noProof/>
          <w:szCs w:val="24"/>
        </w:rPr>
        <w:t>14</w:t>
      </w:r>
      <w:r w:rsidRPr="00212B7E">
        <w:rPr>
          <w:rFonts w:ascii="Calibri" w:hAnsi="Calibri" w:cs="Calibri"/>
          <w:noProof/>
          <w:szCs w:val="24"/>
        </w:rPr>
        <w:t>(1), 71. https://doi.org/10.3390/ijerph14010071</w:t>
      </w:r>
    </w:p>
    <w:p w14:paraId="306AC6B1"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Specht, K., Siebert, R., &amp; Thomaier, S. (2016). Perception and acceptance of agricultural production in and on urban buildings (ZFarming): a qualitative study from Berlin, Germany. </w:t>
      </w:r>
      <w:r w:rsidRPr="00212B7E">
        <w:rPr>
          <w:rFonts w:ascii="Calibri" w:hAnsi="Calibri" w:cs="Calibri"/>
          <w:i/>
          <w:iCs/>
          <w:noProof/>
          <w:szCs w:val="24"/>
        </w:rPr>
        <w:t>Agriculture and Human Values</w:t>
      </w:r>
      <w:r w:rsidRPr="00212B7E">
        <w:rPr>
          <w:rFonts w:ascii="Calibri" w:hAnsi="Calibri" w:cs="Calibri"/>
          <w:noProof/>
          <w:szCs w:val="24"/>
        </w:rPr>
        <w:t xml:space="preserve">, </w:t>
      </w:r>
      <w:r w:rsidRPr="00212B7E">
        <w:rPr>
          <w:rFonts w:ascii="Calibri" w:hAnsi="Calibri" w:cs="Calibri"/>
          <w:i/>
          <w:iCs/>
          <w:noProof/>
          <w:szCs w:val="24"/>
        </w:rPr>
        <w:t>33</w:t>
      </w:r>
      <w:r w:rsidRPr="00212B7E">
        <w:rPr>
          <w:rFonts w:ascii="Calibri" w:hAnsi="Calibri" w:cs="Calibri"/>
          <w:noProof/>
          <w:szCs w:val="24"/>
        </w:rPr>
        <w:t>(4), 753–769. https://doi.org/10.1007/s10460-015-9658-z</w:t>
      </w:r>
    </w:p>
    <w:p w14:paraId="0B552EE6"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Specht, K., Weith, T., Swoboda, K., &amp; Siebert, R. (2016). Socially acceptable urban agriculture businesses. </w:t>
      </w:r>
      <w:r w:rsidRPr="00212B7E">
        <w:rPr>
          <w:rFonts w:ascii="Calibri" w:hAnsi="Calibri" w:cs="Calibri"/>
          <w:i/>
          <w:iCs/>
          <w:noProof/>
          <w:szCs w:val="24"/>
        </w:rPr>
        <w:t>Agronomy for Sustainable Development</w:t>
      </w:r>
      <w:r w:rsidRPr="00212B7E">
        <w:rPr>
          <w:rFonts w:ascii="Calibri" w:hAnsi="Calibri" w:cs="Calibri"/>
          <w:noProof/>
          <w:szCs w:val="24"/>
        </w:rPr>
        <w:t xml:space="preserve">, </w:t>
      </w:r>
      <w:r w:rsidRPr="00212B7E">
        <w:rPr>
          <w:rFonts w:ascii="Calibri" w:hAnsi="Calibri" w:cs="Calibri"/>
          <w:i/>
          <w:iCs/>
          <w:noProof/>
          <w:szCs w:val="24"/>
        </w:rPr>
        <w:t>36</w:t>
      </w:r>
      <w:r w:rsidRPr="00212B7E">
        <w:rPr>
          <w:rFonts w:ascii="Calibri" w:hAnsi="Calibri" w:cs="Calibri"/>
          <w:noProof/>
          <w:szCs w:val="24"/>
        </w:rPr>
        <w:t>(1), 1–14. https://doi.org/10.1007/s13593-016-0355-0</w:t>
      </w:r>
    </w:p>
    <w:p w14:paraId="5DF4E2AD"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Tan, M., He, F. J., &amp; MacGregor, G. A. (2020). Obesity and covid-19: the role of the food industry. </w:t>
      </w:r>
      <w:r w:rsidRPr="00212B7E">
        <w:rPr>
          <w:rFonts w:ascii="Calibri" w:hAnsi="Calibri" w:cs="Calibri"/>
          <w:i/>
          <w:iCs/>
          <w:noProof/>
          <w:szCs w:val="24"/>
        </w:rPr>
        <w:t>BMJ</w:t>
      </w:r>
      <w:r w:rsidRPr="00212B7E">
        <w:rPr>
          <w:rFonts w:ascii="Calibri" w:hAnsi="Calibri" w:cs="Calibri"/>
          <w:noProof/>
          <w:szCs w:val="24"/>
        </w:rPr>
        <w:t>, m2237. https://doi.org/10.1136/bmj.m2237</w:t>
      </w:r>
    </w:p>
    <w:p w14:paraId="16A8FEBC" w14:textId="7CE7C81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Taylor, A., &amp; Loopstra, R. (2016). </w:t>
      </w:r>
      <w:r w:rsidRPr="00212B7E">
        <w:rPr>
          <w:rFonts w:ascii="Calibri" w:hAnsi="Calibri" w:cs="Calibri"/>
          <w:i/>
          <w:iCs/>
          <w:noProof/>
          <w:szCs w:val="24"/>
        </w:rPr>
        <w:t>Too Poor to Eat Food insecurity in the UK</w:t>
      </w:r>
      <w:r w:rsidRPr="00212B7E">
        <w:rPr>
          <w:rFonts w:ascii="Calibri" w:hAnsi="Calibri" w:cs="Calibri"/>
          <w:noProof/>
          <w:szCs w:val="24"/>
        </w:rPr>
        <w:t>.</w:t>
      </w:r>
      <w:r w:rsidR="00123CA5">
        <w:rPr>
          <w:rFonts w:ascii="Calibri" w:hAnsi="Calibri" w:cs="Calibri"/>
          <w:noProof/>
          <w:szCs w:val="24"/>
        </w:rPr>
        <w:t xml:space="preserve"> The Food Foundation. </w:t>
      </w:r>
      <w:r w:rsidR="00123CA5" w:rsidRPr="00123CA5">
        <w:rPr>
          <w:rFonts w:ascii="Calibri" w:hAnsi="Calibri" w:cs="Calibri"/>
          <w:noProof/>
          <w:szCs w:val="24"/>
        </w:rPr>
        <w:t>https://enuf.org.uk/resources/too-poor-eat-food-insecurity-uk</w:t>
      </w:r>
    </w:p>
    <w:p w14:paraId="1DEAC538"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Topp, C. W., Østergaard, S. D., Søndergaard, S., &amp; Bech, P. (2015). The WHO-5 Well-Being Index: A Systematic Review of the Literature. </w:t>
      </w:r>
      <w:r w:rsidRPr="00212B7E">
        <w:rPr>
          <w:rFonts w:ascii="Calibri" w:hAnsi="Calibri" w:cs="Calibri"/>
          <w:i/>
          <w:iCs/>
          <w:noProof/>
          <w:szCs w:val="24"/>
        </w:rPr>
        <w:t>Psychotherapy and Psychosomatics</w:t>
      </w:r>
      <w:r w:rsidRPr="00212B7E">
        <w:rPr>
          <w:rFonts w:ascii="Calibri" w:hAnsi="Calibri" w:cs="Calibri"/>
          <w:noProof/>
          <w:szCs w:val="24"/>
        </w:rPr>
        <w:t xml:space="preserve">, </w:t>
      </w:r>
      <w:r w:rsidRPr="00212B7E">
        <w:rPr>
          <w:rFonts w:ascii="Calibri" w:hAnsi="Calibri" w:cs="Calibri"/>
          <w:i/>
          <w:iCs/>
          <w:noProof/>
          <w:szCs w:val="24"/>
        </w:rPr>
        <w:t>84</w:t>
      </w:r>
      <w:r w:rsidRPr="00212B7E">
        <w:rPr>
          <w:rFonts w:ascii="Calibri" w:hAnsi="Calibri" w:cs="Calibri"/>
          <w:noProof/>
          <w:szCs w:val="24"/>
        </w:rPr>
        <w:t>(3), 167–176. https://doi.org/10.1159/000376585</w:t>
      </w:r>
    </w:p>
    <w:p w14:paraId="529CC07F"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Torales, J., O’Higgins, M., Castaldelli-Maia, J. M., &amp; Ventriglio, A. (2020). The outbreak of COVID-19 coronavirus and its impact on global mental health. </w:t>
      </w:r>
      <w:r w:rsidRPr="00212B7E">
        <w:rPr>
          <w:rFonts w:ascii="Calibri" w:hAnsi="Calibri" w:cs="Calibri"/>
          <w:i/>
          <w:iCs/>
          <w:noProof/>
          <w:szCs w:val="24"/>
        </w:rPr>
        <w:t>International Journal of Social Psychiatry</w:t>
      </w:r>
      <w:r w:rsidRPr="00212B7E">
        <w:rPr>
          <w:rFonts w:ascii="Calibri" w:hAnsi="Calibri" w:cs="Calibri"/>
          <w:noProof/>
          <w:szCs w:val="24"/>
        </w:rPr>
        <w:t xml:space="preserve">, </w:t>
      </w:r>
      <w:r w:rsidRPr="00212B7E">
        <w:rPr>
          <w:rFonts w:ascii="Calibri" w:hAnsi="Calibri" w:cs="Calibri"/>
          <w:i/>
          <w:iCs/>
          <w:noProof/>
          <w:szCs w:val="24"/>
        </w:rPr>
        <w:t>66</w:t>
      </w:r>
      <w:r w:rsidRPr="00212B7E">
        <w:rPr>
          <w:rFonts w:ascii="Calibri" w:hAnsi="Calibri" w:cs="Calibri"/>
          <w:noProof/>
          <w:szCs w:val="24"/>
        </w:rPr>
        <w:t>(4), 317–320. https://doi.org/10.1177/0020764020915212</w:t>
      </w:r>
    </w:p>
    <w:p w14:paraId="0910D936"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Van Den Berg, A. E., &amp; Custers, M. H. G. (2011). Gardening promotes neuroendocrine and affective </w:t>
      </w:r>
      <w:r w:rsidRPr="00212B7E">
        <w:rPr>
          <w:rFonts w:ascii="Calibri" w:hAnsi="Calibri" w:cs="Calibri"/>
          <w:noProof/>
          <w:szCs w:val="24"/>
        </w:rPr>
        <w:lastRenderedPageBreak/>
        <w:t xml:space="preserve">restoration from stress. </w:t>
      </w:r>
      <w:r w:rsidRPr="00212B7E">
        <w:rPr>
          <w:rFonts w:ascii="Calibri" w:hAnsi="Calibri" w:cs="Calibri"/>
          <w:i/>
          <w:iCs/>
          <w:noProof/>
          <w:szCs w:val="24"/>
        </w:rPr>
        <w:t>Journal of Health Psychology</w:t>
      </w:r>
      <w:r w:rsidRPr="00212B7E">
        <w:rPr>
          <w:rFonts w:ascii="Calibri" w:hAnsi="Calibri" w:cs="Calibri"/>
          <w:noProof/>
          <w:szCs w:val="24"/>
        </w:rPr>
        <w:t xml:space="preserve">, </w:t>
      </w:r>
      <w:r w:rsidRPr="00212B7E">
        <w:rPr>
          <w:rFonts w:ascii="Calibri" w:hAnsi="Calibri" w:cs="Calibri"/>
          <w:i/>
          <w:iCs/>
          <w:noProof/>
          <w:szCs w:val="24"/>
        </w:rPr>
        <w:t>16</w:t>
      </w:r>
      <w:r w:rsidRPr="00212B7E">
        <w:rPr>
          <w:rFonts w:ascii="Calibri" w:hAnsi="Calibri" w:cs="Calibri"/>
          <w:noProof/>
          <w:szCs w:val="24"/>
        </w:rPr>
        <w:t>(1), 3–11. https://doi.org/10.1177/1359105310365577</w:t>
      </w:r>
    </w:p>
    <w:p w14:paraId="666997C6"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szCs w:val="24"/>
        </w:rPr>
      </w:pPr>
      <w:r w:rsidRPr="00212B7E">
        <w:rPr>
          <w:rFonts w:ascii="Calibri" w:hAnsi="Calibri" w:cs="Calibri"/>
          <w:noProof/>
          <w:szCs w:val="24"/>
        </w:rPr>
        <w:t xml:space="preserve">Zhang, Y., &amp; Ma, Z. F. (2020). Impact of the COVID-19 Pandemic on Mental Health and Quality of Life among Local Residents in Liaoning Province, China: A Cross-Sectional Study. </w:t>
      </w:r>
      <w:r w:rsidRPr="00212B7E">
        <w:rPr>
          <w:rFonts w:ascii="Calibri" w:hAnsi="Calibri" w:cs="Calibri"/>
          <w:i/>
          <w:iCs/>
          <w:noProof/>
          <w:szCs w:val="24"/>
        </w:rPr>
        <w:t>International Journal of Environmental Research and Public Health</w:t>
      </w:r>
      <w:r w:rsidRPr="00212B7E">
        <w:rPr>
          <w:rFonts w:ascii="Calibri" w:hAnsi="Calibri" w:cs="Calibri"/>
          <w:noProof/>
          <w:szCs w:val="24"/>
        </w:rPr>
        <w:t xml:space="preserve">, </w:t>
      </w:r>
      <w:r w:rsidRPr="00212B7E">
        <w:rPr>
          <w:rFonts w:ascii="Calibri" w:hAnsi="Calibri" w:cs="Calibri"/>
          <w:i/>
          <w:iCs/>
          <w:noProof/>
          <w:szCs w:val="24"/>
        </w:rPr>
        <w:t>17</w:t>
      </w:r>
      <w:r w:rsidRPr="00212B7E">
        <w:rPr>
          <w:rFonts w:ascii="Calibri" w:hAnsi="Calibri" w:cs="Calibri"/>
          <w:noProof/>
          <w:szCs w:val="24"/>
        </w:rPr>
        <w:t>(7), 2381. https://doi.org/10.3390/ijerph17072381</w:t>
      </w:r>
    </w:p>
    <w:p w14:paraId="7BF078BE" w14:textId="77777777" w:rsidR="00212B7E" w:rsidRPr="00212B7E" w:rsidRDefault="00212B7E" w:rsidP="00212B7E">
      <w:pPr>
        <w:widowControl w:val="0"/>
        <w:autoSpaceDE w:val="0"/>
        <w:autoSpaceDN w:val="0"/>
        <w:adjustRightInd w:val="0"/>
        <w:spacing w:after="0" w:line="480" w:lineRule="auto"/>
        <w:ind w:left="480" w:hanging="480"/>
        <w:rPr>
          <w:rFonts w:ascii="Calibri" w:hAnsi="Calibri" w:cs="Calibri"/>
          <w:noProof/>
        </w:rPr>
      </w:pPr>
      <w:r w:rsidRPr="00212B7E">
        <w:rPr>
          <w:rFonts w:ascii="Calibri" w:hAnsi="Calibri" w:cs="Calibri"/>
          <w:noProof/>
          <w:szCs w:val="24"/>
        </w:rPr>
        <w:t xml:space="preserve">Zick, C. D., Smith, K. R., Kowaleski-Jones, L., Uno, C., &amp; Merrill, B. J. (2013). Harvesting more than vegetables: the potential weight control benefits of community gardening. </w:t>
      </w:r>
      <w:r w:rsidRPr="00212B7E">
        <w:rPr>
          <w:rFonts w:ascii="Calibri" w:hAnsi="Calibri" w:cs="Calibri"/>
          <w:i/>
          <w:iCs/>
          <w:noProof/>
          <w:szCs w:val="24"/>
        </w:rPr>
        <w:t>American Journal of Public Health</w:t>
      </w:r>
      <w:r w:rsidRPr="00212B7E">
        <w:rPr>
          <w:rFonts w:ascii="Calibri" w:hAnsi="Calibri" w:cs="Calibri"/>
          <w:noProof/>
          <w:szCs w:val="24"/>
        </w:rPr>
        <w:t xml:space="preserve">, </w:t>
      </w:r>
      <w:r w:rsidRPr="00212B7E">
        <w:rPr>
          <w:rFonts w:ascii="Calibri" w:hAnsi="Calibri" w:cs="Calibri"/>
          <w:i/>
          <w:iCs/>
          <w:noProof/>
          <w:szCs w:val="24"/>
        </w:rPr>
        <w:t>103</w:t>
      </w:r>
      <w:r w:rsidRPr="00212B7E">
        <w:rPr>
          <w:rFonts w:ascii="Calibri" w:hAnsi="Calibri" w:cs="Calibri"/>
          <w:noProof/>
          <w:szCs w:val="24"/>
        </w:rPr>
        <w:t>(6), 1110–1115. https://doi.org/10.2105/AJPH.2012.301009</w:t>
      </w:r>
    </w:p>
    <w:p w14:paraId="6E8FB4D7" w14:textId="17E7EB11" w:rsidR="000030E0" w:rsidRPr="00FB63DE" w:rsidRDefault="008E113D" w:rsidP="002F4BD0">
      <w:pPr>
        <w:spacing w:after="0" w:line="480" w:lineRule="auto"/>
        <w:rPr>
          <w:b/>
          <w:bCs/>
        </w:rPr>
      </w:pPr>
      <w:r>
        <w:rPr>
          <w:b/>
          <w:bCs/>
        </w:rPr>
        <w:fldChar w:fldCharType="end"/>
      </w:r>
    </w:p>
    <w:sectPr w:rsidR="000030E0" w:rsidRPr="00FB63DE" w:rsidSect="00EF52AB">
      <w:type w:val="continuous"/>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78E6" w16cex:dateUtc="2021-04-14T13:21:00Z"/>
  <w16cex:commentExtensible w16cex:durableId="2423E738" w16cex:dateUtc="2021-04-16T09:36:00Z"/>
  <w16cex:commentExtensible w16cex:durableId="2423E809" w16cex:dateUtc="2021-04-16T09:40:00Z"/>
  <w16cex:commentExtensible w16cex:durableId="2423E998" w16cex:dateUtc="2021-04-16T09: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DA147" w14:textId="77777777" w:rsidR="00407556" w:rsidRDefault="00407556" w:rsidP="00C94410">
      <w:pPr>
        <w:spacing w:after="0" w:line="240" w:lineRule="auto"/>
      </w:pPr>
      <w:r>
        <w:separator/>
      </w:r>
    </w:p>
  </w:endnote>
  <w:endnote w:type="continuationSeparator" w:id="0">
    <w:p w14:paraId="4F29D3A6" w14:textId="77777777" w:rsidR="00407556" w:rsidRDefault="00407556" w:rsidP="00C94410">
      <w:pPr>
        <w:spacing w:after="0" w:line="240" w:lineRule="auto"/>
      </w:pPr>
      <w:r>
        <w:continuationSeparator/>
      </w:r>
    </w:p>
  </w:endnote>
  <w:endnote w:type="continuationNotice" w:id="1">
    <w:p w14:paraId="07DB104A" w14:textId="77777777" w:rsidR="00407556" w:rsidRDefault="004075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836267"/>
      <w:docPartObj>
        <w:docPartGallery w:val="Page Numbers (Bottom of Page)"/>
        <w:docPartUnique/>
      </w:docPartObj>
    </w:sdtPr>
    <w:sdtEndPr>
      <w:rPr>
        <w:noProof/>
      </w:rPr>
    </w:sdtEndPr>
    <w:sdtContent>
      <w:p w14:paraId="5131DBB6" w14:textId="77777777" w:rsidR="00407556" w:rsidRDefault="004075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C6C43D" w14:textId="77777777" w:rsidR="00407556" w:rsidRDefault="00407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403E5" w14:textId="77777777" w:rsidR="00407556" w:rsidRDefault="00407556" w:rsidP="00C94410">
      <w:pPr>
        <w:spacing w:after="0" w:line="240" w:lineRule="auto"/>
      </w:pPr>
      <w:r>
        <w:separator/>
      </w:r>
    </w:p>
  </w:footnote>
  <w:footnote w:type="continuationSeparator" w:id="0">
    <w:p w14:paraId="2F93A332" w14:textId="77777777" w:rsidR="00407556" w:rsidRDefault="00407556" w:rsidP="00C94410">
      <w:pPr>
        <w:spacing w:after="0" w:line="240" w:lineRule="auto"/>
      </w:pPr>
      <w:r>
        <w:continuationSeparator/>
      </w:r>
    </w:p>
  </w:footnote>
  <w:footnote w:type="continuationNotice" w:id="1">
    <w:p w14:paraId="6B3F0800" w14:textId="77777777" w:rsidR="00407556" w:rsidRDefault="00407556">
      <w:pPr>
        <w:spacing w:after="0" w:line="240" w:lineRule="auto"/>
      </w:pPr>
    </w:p>
  </w:footnote>
  <w:footnote w:id="2">
    <w:p w14:paraId="7278FF38" w14:textId="53B6B14A" w:rsidR="00407556" w:rsidRDefault="00407556" w:rsidP="0054603A">
      <w:pPr>
        <w:pStyle w:val="FootnoteText"/>
      </w:pPr>
      <w:r>
        <w:rPr>
          <w:rStyle w:val="FootnoteReference"/>
        </w:rPr>
        <w:footnoteRef/>
      </w:r>
      <w:r>
        <w:t xml:space="preserve"> Keyworker occupations are related to maintaining essential services, public health and safety, such as health and social care staff, utility workers, teachers, food producers and distributors. Participants were provided with the following link to the UK government websites for clarification of keyworker definitions if needed:</w:t>
      </w:r>
      <w:r w:rsidRPr="00C94410">
        <w:t xml:space="preserve"> </w:t>
      </w:r>
      <w:hyperlink r:id="rId1" w:history="1">
        <w:r w:rsidRPr="00811223">
          <w:rPr>
            <w:rStyle w:val="Hyperlink"/>
          </w:rPr>
          <w:t>https://www.gov.uk/government/publications/coronavirus-covid-19-maintaining-educational-provision/guidance-for-schools-colleges-and-local-authorities-on-maintaining-educational-provision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405FB" w14:textId="77777777" w:rsidR="00407556" w:rsidRPr="000E475C" w:rsidRDefault="00407556">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038A"/>
    <w:multiLevelType w:val="hybridMultilevel"/>
    <w:tmpl w:val="049E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92CB3"/>
    <w:multiLevelType w:val="hybridMultilevel"/>
    <w:tmpl w:val="A27AC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B2589"/>
    <w:multiLevelType w:val="hybridMultilevel"/>
    <w:tmpl w:val="55CE2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CB78AE"/>
    <w:multiLevelType w:val="hybridMultilevel"/>
    <w:tmpl w:val="EBA0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93D8E"/>
    <w:multiLevelType w:val="hybridMultilevel"/>
    <w:tmpl w:val="6ABAD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2046F5"/>
    <w:multiLevelType w:val="hybridMultilevel"/>
    <w:tmpl w:val="36F25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B8122C"/>
    <w:multiLevelType w:val="hybridMultilevel"/>
    <w:tmpl w:val="2FD8F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DE"/>
    <w:rsid w:val="00001FED"/>
    <w:rsid w:val="000030E0"/>
    <w:rsid w:val="0000322A"/>
    <w:rsid w:val="000052BE"/>
    <w:rsid w:val="000077B5"/>
    <w:rsid w:val="000079AC"/>
    <w:rsid w:val="000109C6"/>
    <w:rsid w:val="00011CA9"/>
    <w:rsid w:val="0001447A"/>
    <w:rsid w:val="0002050A"/>
    <w:rsid w:val="00033568"/>
    <w:rsid w:val="00036276"/>
    <w:rsid w:val="00036494"/>
    <w:rsid w:val="0004298F"/>
    <w:rsid w:val="00042E50"/>
    <w:rsid w:val="00053BF9"/>
    <w:rsid w:val="00055F86"/>
    <w:rsid w:val="00063551"/>
    <w:rsid w:val="00065694"/>
    <w:rsid w:val="00067D75"/>
    <w:rsid w:val="000845AE"/>
    <w:rsid w:val="00086339"/>
    <w:rsid w:val="00086CB7"/>
    <w:rsid w:val="00087B22"/>
    <w:rsid w:val="000912BE"/>
    <w:rsid w:val="00091525"/>
    <w:rsid w:val="00091F56"/>
    <w:rsid w:val="000A1CBE"/>
    <w:rsid w:val="000A6654"/>
    <w:rsid w:val="000B499E"/>
    <w:rsid w:val="000B4ECB"/>
    <w:rsid w:val="000C42E7"/>
    <w:rsid w:val="000C594C"/>
    <w:rsid w:val="000C770C"/>
    <w:rsid w:val="000C7CC3"/>
    <w:rsid w:val="000E0418"/>
    <w:rsid w:val="000E1BBA"/>
    <w:rsid w:val="000E475C"/>
    <w:rsid w:val="000F1050"/>
    <w:rsid w:val="00100C98"/>
    <w:rsid w:val="00103A98"/>
    <w:rsid w:val="001064A5"/>
    <w:rsid w:val="00115ABE"/>
    <w:rsid w:val="00123CA5"/>
    <w:rsid w:val="00126663"/>
    <w:rsid w:val="00136239"/>
    <w:rsid w:val="00141FE4"/>
    <w:rsid w:val="001427AB"/>
    <w:rsid w:val="00143B29"/>
    <w:rsid w:val="00146BFB"/>
    <w:rsid w:val="0015152F"/>
    <w:rsid w:val="00164ACA"/>
    <w:rsid w:val="00165C69"/>
    <w:rsid w:val="00167396"/>
    <w:rsid w:val="001703A9"/>
    <w:rsid w:val="0017095B"/>
    <w:rsid w:val="00181BDE"/>
    <w:rsid w:val="0018444A"/>
    <w:rsid w:val="0018510B"/>
    <w:rsid w:val="00185DDC"/>
    <w:rsid w:val="0018751D"/>
    <w:rsid w:val="00191EC8"/>
    <w:rsid w:val="001B250D"/>
    <w:rsid w:val="001B409C"/>
    <w:rsid w:val="001B6C6B"/>
    <w:rsid w:val="001B71B3"/>
    <w:rsid w:val="001C1788"/>
    <w:rsid w:val="001D132D"/>
    <w:rsid w:val="001E7444"/>
    <w:rsid w:val="001F025A"/>
    <w:rsid w:val="001F52EE"/>
    <w:rsid w:val="002038D4"/>
    <w:rsid w:val="00204184"/>
    <w:rsid w:val="00212B7E"/>
    <w:rsid w:val="00213A14"/>
    <w:rsid w:val="00214667"/>
    <w:rsid w:val="002214BE"/>
    <w:rsid w:val="00224DDB"/>
    <w:rsid w:val="00226F37"/>
    <w:rsid w:val="00227770"/>
    <w:rsid w:val="002348FE"/>
    <w:rsid w:val="00235196"/>
    <w:rsid w:val="002351DF"/>
    <w:rsid w:val="00235E87"/>
    <w:rsid w:val="00244A8B"/>
    <w:rsid w:val="00244C69"/>
    <w:rsid w:val="0026288C"/>
    <w:rsid w:val="00263577"/>
    <w:rsid w:val="002637BB"/>
    <w:rsid w:val="002655B3"/>
    <w:rsid w:val="0028414A"/>
    <w:rsid w:val="0028676F"/>
    <w:rsid w:val="00294EFC"/>
    <w:rsid w:val="002A0E43"/>
    <w:rsid w:val="002A2859"/>
    <w:rsid w:val="002A461E"/>
    <w:rsid w:val="002B262C"/>
    <w:rsid w:val="002C3A6C"/>
    <w:rsid w:val="002C431C"/>
    <w:rsid w:val="002C4A73"/>
    <w:rsid w:val="002C5262"/>
    <w:rsid w:val="002C60D5"/>
    <w:rsid w:val="002D28F8"/>
    <w:rsid w:val="002F2E0A"/>
    <w:rsid w:val="002F4BD0"/>
    <w:rsid w:val="002F6D78"/>
    <w:rsid w:val="0030067D"/>
    <w:rsid w:val="00302867"/>
    <w:rsid w:val="00304DA3"/>
    <w:rsid w:val="003071B1"/>
    <w:rsid w:val="00314322"/>
    <w:rsid w:val="00327C1D"/>
    <w:rsid w:val="00332284"/>
    <w:rsid w:val="00333393"/>
    <w:rsid w:val="00333C29"/>
    <w:rsid w:val="003468F3"/>
    <w:rsid w:val="00347FB7"/>
    <w:rsid w:val="0035586F"/>
    <w:rsid w:val="00364419"/>
    <w:rsid w:val="003661D6"/>
    <w:rsid w:val="00371696"/>
    <w:rsid w:val="00371721"/>
    <w:rsid w:val="00373325"/>
    <w:rsid w:val="0037632F"/>
    <w:rsid w:val="003835D5"/>
    <w:rsid w:val="00385960"/>
    <w:rsid w:val="00390F4D"/>
    <w:rsid w:val="0039548E"/>
    <w:rsid w:val="003A27B0"/>
    <w:rsid w:val="003A2A6B"/>
    <w:rsid w:val="003A5284"/>
    <w:rsid w:val="003A6DBD"/>
    <w:rsid w:val="003B14F9"/>
    <w:rsid w:val="003B775F"/>
    <w:rsid w:val="003D5215"/>
    <w:rsid w:val="003D5844"/>
    <w:rsid w:val="003D649A"/>
    <w:rsid w:val="003E6A94"/>
    <w:rsid w:val="003E7DEA"/>
    <w:rsid w:val="003F09CE"/>
    <w:rsid w:val="003F68D2"/>
    <w:rsid w:val="00402B9A"/>
    <w:rsid w:val="00404823"/>
    <w:rsid w:val="00405058"/>
    <w:rsid w:val="00406FC2"/>
    <w:rsid w:val="00407556"/>
    <w:rsid w:val="00420078"/>
    <w:rsid w:val="00421193"/>
    <w:rsid w:val="004220DB"/>
    <w:rsid w:val="00422824"/>
    <w:rsid w:val="00423D42"/>
    <w:rsid w:val="0042555B"/>
    <w:rsid w:val="00425B80"/>
    <w:rsid w:val="0042656A"/>
    <w:rsid w:val="00430481"/>
    <w:rsid w:val="00433B13"/>
    <w:rsid w:val="004359DF"/>
    <w:rsid w:val="00440BB6"/>
    <w:rsid w:val="00441D6D"/>
    <w:rsid w:val="00443DBB"/>
    <w:rsid w:val="00452C29"/>
    <w:rsid w:val="00454E10"/>
    <w:rsid w:val="00456E72"/>
    <w:rsid w:val="0046503D"/>
    <w:rsid w:val="0046528B"/>
    <w:rsid w:val="00465BD7"/>
    <w:rsid w:val="00466055"/>
    <w:rsid w:val="00471449"/>
    <w:rsid w:val="00471478"/>
    <w:rsid w:val="00485DE3"/>
    <w:rsid w:val="00486986"/>
    <w:rsid w:val="00487E09"/>
    <w:rsid w:val="00492CF1"/>
    <w:rsid w:val="00495106"/>
    <w:rsid w:val="004B547B"/>
    <w:rsid w:val="004B6FD3"/>
    <w:rsid w:val="004C12EC"/>
    <w:rsid w:val="004C15C1"/>
    <w:rsid w:val="004C4519"/>
    <w:rsid w:val="004D17F5"/>
    <w:rsid w:val="004D1C02"/>
    <w:rsid w:val="004D3FC7"/>
    <w:rsid w:val="004E262A"/>
    <w:rsid w:val="004F2718"/>
    <w:rsid w:val="004F6DC0"/>
    <w:rsid w:val="00500CF6"/>
    <w:rsid w:val="00505438"/>
    <w:rsid w:val="00507B76"/>
    <w:rsid w:val="005118E8"/>
    <w:rsid w:val="00514664"/>
    <w:rsid w:val="00517290"/>
    <w:rsid w:val="00517E60"/>
    <w:rsid w:val="0052185F"/>
    <w:rsid w:val="00522870"/>
    <w:rsid w:val="0052396E"/>
    <w:rsid w:val="0053794C"/>
    <w:rsid w:val="00540587"/>
    <w:rsid w:val="00543A5D"/>
    <w:rsid w:val="0054603A"/>
    <w:rsid w:val="00550CF9"/>
    <w:rsid w:val="00553E0E"/>
    <w:rsid w:val="00562DB5"/>
    <w:rsid w:val="0056579C"/>
    <w:rsid w:val="00570A09"/>
    <w:rsid w:val="00572905"/>
    <w:rsid w:val="00573333"/>
    <w:rsid w:val="005772AA"/>
    <w:rsid w:val="00584A0D"/>
    <w:rsid w:val="00585D81"/>
    <w:rsid w:val="00596E52"/>
    <w:rsid w:val="005A37EE"/>
    <w:rsid w:val="005B3EDA"/>
    <w:rsid w:val="005B6BDD"/>
    <w:rsid w:val="005B7628"/>
    <w:rsid w:val="005C0A30"/>
    <w:rsid w:val="005C65B7"/>
    <w:rsid w:val="005C771D"/>
    <w:rsid w:val="005D5222"/>
    <w:rsid w:val="005E0B5D"/>
    <w:rsid w:val="005E22B5"/>
    <w:rsid w:val="005E231E"/>
    <w:rsid w:val="005E2C4C"/>
    <w:rsid w:val="005E4698"/>
    <w:rsid w:val="005E4CB0"/>
    <w:rsid w:val="005E6664"/>
    <w:rsid w:val="005F065B"/>
    <w:rsid w:val="005F3CEB"/>
    <w:rsid w:val="00601A06"/>
    <w:rsid w:val="006059F3"/>
    <w:rsid w:val="00606CB2"/>
    <w:rsid w:val="0061020D"/>
    <w:rsid w:val="0061065C"/>
    <w:rsid w:val="006110CC"/>
    <w:rsid w:val="0062114C"/>
    <w:rsid w:val="00621746"/>
    <w:rsid w:val="00623871"/>
    <w:rsid w:val="00624AF6"/>
    <w:rsid w:val="00631EB5"/>
    <w:rsid w:val="006339A6"/>
    <w:rsid w:val="0063403C"/>
    <w:rsid w:val="00645A27"/>
    <w:rsid w:val="006617D7"/>
    <w:rsid w:val="006670D1"/>
    <w:rsid w:val="0067232C"/>
    <w:rsid w:val="00672843"/>
    <w:rsid w:val="00676624"/>
    <w:rsid w:val="0068482B"/>
    <w:rsid w:val="00694D9B"/>
    <w:rsid w:val="006A1FB2"/>
    <w:rsid w:val="006A42EE"/>
    <w:rsid w:val="006B07F1"/>
    <w:rsid w:val="006B7B58"/>
    <w:rsid w:val="006C04A9"/>
    <w:rsid w:val="006C2C6A"/>
    <w:rsid w:val="006C621E"/>
    <w:rsid w:val="006D2644"/>
    <w:rsid w:val="006D4102"/>
    <w:rsid w:val="006D5978"/>
    <w:rsid w:val="006D7146"/>
    <w:rsid w:val="006E0B2F"/>
    <w:rsid w:val="006E3C85"/>
    <w:rsid w:val="006E5A93"/>
    <w:rsid w:val="006E5F27"/>
    <w:rsid w:val="006E7CBA"/>
    <w:rsid w:val="006E7F53"/>
    <w:rsid w:val="006F58F7"/>
    <w:rsid w:val="006F7A6B"/>
    <w:rsid w:val="006F7EB4"/>
    <w:rsid w:val="00700AAB"/>
    <w:rsid w:val="007037C9"/>
    <w:rsid w:val="007078BA"/>
    <w:rsid w:val="00712137"/>
    <w:rsid w:val="007171D6"/>
    <w:rsid w:val="007254F0"/>
    <w:rsid w:val="0073308E"/>
    <w:rsid w:val="007337C0"/>
    <w:rsid w:val="007350CA"/>
    <w:rsid w:val="00745DD0"/>
    <w:rsid w:val="007472DB"/>
    <w:rsid w:val="00753424"/>
    <w:rsid w:val="0075607D"/>
    <w:rsid w:val="00757B91"/>
    <w:rsid w:val="0076768E"/>
    <w:rsid w:val="007700AF"/>
    <w:rsid w:val="00772D0F"/>
    <w:rsid w:val="00775BFF"/>
    <w:rsid w:val="007807BB"/>
    <w:rsid w:val="00785D0D"/>
    <w:rsid w:val="00792BC6"/>
    <w:rsid w:val="007969DF"/>
    <w:rsid w:val="007A00E5"/>
    <w:rsid w:val="007A4292"/>
    <w:rsid w:val="007A4A94"/>
    <w:rsid w:val="007B074E"/>
    <w:rsid w:val="007B0A20"/>
    <w:rsid w:val="007B0A27"/>
    <w:rsid w:val="007B1B9E"/>
    <w:rsid w:val="007B25B3"/>
    <w:rsid w:val="007B29EE"/>
    <w:rsid w:val="007B518D"/>
    <w:rsid w:val="007B74D3"/>
    <w:rsid w:val="007C0470"/>
    <w:rsid w:val="007C35D2"/>
    <w:rsid w:val="007C6C3E"/>
    <w:rsid w:val="007C78B8"/>
    <w:rsid w:val="007D1239"/>
    <w:rsid w:val="007D205D"/>
    <w:rsid w:val="007D40E3"/>
    <w:rsid w:val="007D4680"/>
    <w:rsid w:val="007D60C0"/>
    <w:rsid w:val="007D63C5"/>
    <w:rsid w:val="007D7048"/>
    <w:rsid w:val="007D7329"/>
    <w:rsid w:val="007E2EF3"/>
    <w:rsid w:val="007E656D"/>
    <w:rsid w:val="007E723B"/>
    <w:rsid w:val="007F79DD"/>
    <w:rsid w:val="00804850"/>
    <w:rsid w:val="00806E24"/>
    <w:rsid w:val="00807AE1"/>
    <w:rsid w:val="00822724"/>
    <w:rsid w:val="008261E1"/>
    <w:rsid w:val="008272B6"/>
    <w:rsid w:val="00831429"/>
    <w:rsid w:val="0084186B"/>
    <w:rsid w:val="00841A04"/>
    <w:rsid w:val="00841B1E"/>
    <w:rsid w:val="00844FE0"/>
    <w:rsid w:val="008474DF"/>
    <w:rsid w:val="008539BE"/>
    <w:rsid w:val="008627E2"/>
    <w:rsid w:val="008628A1"/>
    <w:rsid w:val="008652FF"/>
    <w:rsid w:val="00870FF6"/>
    <w:rsid w:val="00886B5D"/>
    <w:rsid w:val="008920CB"/>
    <w:rsid w:val="00896857"/>
    <w:rsid w:val="00897F21"/>
    <w:rsid w:val="008A50F4"/>
    <w:rsid w:val="008B3730"/>
    <w:rsid w:val="008B3FBC"/>
    <w:rsid w:val="008C4AF7"/>
    <w:rsid w:val="008C63F9"/>
    <w:rsid w:val="008C7642"/>
    <w:rsid w:val="008D247B"/>
    <w:rsid w:val="008D363D"/>
    <w:rsid w:val="008E0A0A"/>
    <w:rsid w:val="008E113D"/>
    <w:rsid w:val="008E2326"/>
    <w:rsid w:val="008E52C3"/>
    <w:rsid w:val="008F0F0F"/>
    <w:rsid w:val="008F2298"/>
    <w:rsid w:val="008F39D1"/>
    <w:rsid w:val="008F79BD"/>
    <w:rsid w:val="008F7B64"/>
    <w:rsid w:val="0090057B"/>
    <w:rsid w:val="00903454"/>
    <w:rsid w:val="00904D07"/>
    <w:rsid w:val="0090673D"/>
    <w:rsid w:val="00920E91"/>
    <w:rsid w:val="0092344D"/>
    <w:rsid w:val="00924C1B"/>
    <w:rsid w:val="0092614D"/>
    <w:rsid w:val="009343D5"/>
    <w:rsid w:val="00936975"/>
    <w:rsid w:val="0094507B"/>
    <w:rsid w:val="00945791"/>
    <w:rsid w:val="00947248"/>
    <w:rsid w:val="00951742"/>
    <w:rsid w:val="00954211"/>
    <w:rsid w:val="009578AE"/>
    <w:rsid w:val="009650DC"/>
    <w:rsid w:val="00967DB1"/>
    <w:rsid w:val="00983F9C"/>
    <w:rsid w:val="00987D81"/>
    <w:rsid w:val="0099006F"/>
    <w:rsid w:val="00991B04"/>
    <w:rsid w:val="00997836"/>
    <w:rsid w:val="009A315B"/>
    <w:rsid w:val="009B0BBE"/>
    <w:rsid w:val="009B319E"/>
    <w:rsid w:val="009B70F6"/>
    <w:rsid w:val="009C0C08"/>
    <w:rsid w:val="009C1753"/>
    <w:rsid w:val="009C18C0"/>
    <w:rsid w:val="009C3249"/>
    <w:rsid w:val="009C6F5E"/>
    <w:rsid w:val="009C7364"/>
    <w:rsid w:val="009D10EF"/>
    <w:rsid w:val="009D11EF"/>
    <w:rsid w:val="009D1C86"/>
    <w:rsid w:val="009D3A72"/>
    <w:rsid w:val="009E0DB6"/>
    <w:rsid w:val="009F0E14"/>
    <w:rsid w:val="009F35A4"/>
    <w:rsid w:val="009F3DF4"/>
    <w:rsid w:val="00A00193"/>
    <w:rsid w:val="00A065BA"/>
    <w:rsid w:val="00A13BF5"/>
    <w:rsid w:val="00A14F29"/>
    <w:rsid w:val="00A156B3"/>
    <w:rsid w:val="00A1720D"/>
    <w:rsid w:val="00A22806"/>
    <w:rsid w:val="00A22E5F"/>
    <w:rsid w:val="00A260DB"/>
    <w:rsid w:val="00A325A1"/>
    <w:rsid w:val="00A340E0"/>
    <w:rsid w:val="00A426E4"/>
    <w:rsid w:val="00A47F64"/>
    <w:rsid w:val="00A5095B"/>
    <w:rsid w:val="00A50E01"/>
    <w:rsid w:val="00A519EA"/>
    <w:rsid w:val="00A52D39"/>
    <w:rsid w:val="00A533BA"/>
    <w:rsid w:val="00A53C40"/>
    <w:rsid w:val="00A609DD"/>
    <w:rsid w:val="00A6268F"/>
    <w:rsid w:val="00A62B8A"/>
    <w:rsid w:val="00A667B3"/>
    <w:rsid w:val="00A9016F"/>
    <w:rsid w:val="00A95412"/>
    <w:rsid w:val="00A95AB3"/>
    <w:rsid w:val="00A95DBE"/>
    <w:rsid w:val="00AA1CE0"/>
    <w:rsid w:val="00AC4539"/>
    <w:rsid w:val="00AC63B0"/>
    <w:rsid w:val="00AC7DAA"/>
    <w:rsid w:val="00AC7F9A"/>
    <w:rsid w:val="00AD11C3"/>
    <w:rsid w:val="00AD454D"/>
    <w:rsid w:val="00AD61E8"/>
    <w:rsid w:val="00AD6AC1"/>
    <w:rsid w:val="00AD7551"/>
    <w:rsid w:val="00AD7A1A"/>
    <w:rsid w:val="00AE1D19"/>
    <w:rsid w:val="00AF0504"/>
    <w:rsid w:val="00AF3213"/>
    <w:rsid w:val="00B00203"/>
    <w:rsid w:val="00B02C71"/>
    <w:rsid w:val="00B0683E"/>
    <w:rsid w:val="00B07FAA"/>
    <w:rsid w:val="00B16902"/>
    <w:rsid w:val="00B17934"/>
    <w:rsid w:val="00B216D5"/>
    <w:rsid w:val="00B21E08"/>
    <w:rsid w:val="00B22DE7"/>
    <w:rsid w:val="00B24C0B"/>
    <w:rsid w:val="00B251CE"/>
    <w:rsid w:val="00B26058"/>
    <w:rsid w:val="00B32536"/>
    <w:rsid w:val="00B3647B"/>
    <w:rsid w:val="00B4407C"/>
    <w:rsid w:val="00B446F8"/>
    <w:rsid w:val="00B45A1E"/>
    <w:rsid w:val="00B5058A"/>
    <w:rsid w:val="00B51854"/>
    <w:rsid w:val="00B632C7"/>
    <w:rsid w:val="00B63738"/>
    <w:rsid w:val="00B6379A"/>
    <w:rsid w:val="00B663E0"/>
    <w:rsid w:val="00B761E6"/>
    <w:rsid w:val="00B76A22"/>
    <w:rsid w:val="00B8350E"/>
    <w:rsid w:val="00B96DC2"/>
    <w:rsid w:val="00BA11F7"/>
    <w:rsid w:val="00BA3624"/>
    <w:rsid w:val="00BA41DF"/>
    <w:rsid w:val="00BB7826"/>
    <w:rsid w:val="00BC4A96"/>
    <w:rsid w:val="00BC5AA2"/>
    <w:rsid w:val="00BE065A"/>
    <w:rsid w:val="00BE565E"/>
    <w:rsid w:val="00BE6B70"/>
    <w:rsid w:val="00BF3883"/>
    <w:rsid w:val="00BF4949"/>
    <w:rsid w:val="00BF6B55"/>
    <w:rsid w:val="00C03B45"/>
    <w:rsid w:val="00C11A8F"/>
    <w:rsid w:val="00C1238A"/>
    <w:rsid w:val="00C16B68"/>
    <w:rsid w:val="00C232C5"/>
    <w:rsid w:val="00C277E7"/>
    <w:rsid w:val="00C3366C"/>
    <w:rsid w:val="00C3597E"/>
    <w:rsid w:val="00C35D07"/>
    <w:rsid w:val="00C3643C"/>
    <w:rsid w:val="00C425A1"/>
    <w:rsid w:val="00C42A98"/>
    <w:rsid w:val="00C46C18"/>
    <w:rsid w:val="00C47C75"/>
    <w:rsid w:val="00C626A7"/>
    <w:rsid w:val="00C66853"/>
    <w:rsid w:val="00C704EF"/>
    <w:rsid w:val="00C7640F"/>
    <w:rsid w:val="00C8409D"/>
    <w:rsid w:val="00C868BA"/>
    <w:rsid w:val="00C94410"/>
    <w:rsid w:val="00C949C1"/>
    <w:rsid w:val="00C94BB0"/>
    <w:rsid w:val="00CA1713"/>
    <w:rsid w:val="00CA1F2A"/>
    <w:rsid w:val="00CA2FCF"/>
    <w:rsid w:val="00CA358C"/>
    <w:rsid w:val="00CA48A1"/>
    <w:rsid w:val="00CA4A12"/>
    <w:rsid w:val="00CB4F1B"/>
    <w:rsid w:val="00CB5660"/>
    <w:rsid w:val="00CB7517"/>
    <w:rsid w:val="00CC1031"/>
    <w:rsid w:val="00CC178E"/>
    <w:rsid w:val="00CC597E"/>
    <w:rsid w:val="00CC5F6F"/>
    <w:rsid w:val="00CC64B3"/>
    <w:rsid w:val="00CD42CE"/>
    <w:rsid w:val="00CD5E0A"/>
    <w:rsid w:val="00CE1250"/>
    <w:rsid w:val="00CE1349"/>
    <w:rsid w:val="00CE1784"/>
    <w:rsid w:val="00CE6D30"/>
    <w:rsid w:val="00CF2E56"/>
    <w:rsid w:val="00CF3A0E"/>
    <w:rsid w:val="00D05487"/>
    <w:rsid w:val="00D06AC6"/>
    <w:rsid w:val="00D16542"/>
    <w:rsid w:val="00D21786"/>
    <w:rsid w:val="00D2481D"/>
    <w:rsid w:val="00D26537"/>
    <w:rsid w:val="00D35B73"/>
    <w:rsid w:val="00D43A94"/>
    <w:rsid w:val="00D4653B"/>
    <w:rsid w:val="00D5028E"/>
    <w:rsid w:val="00D503AB"/>
    <w:rsid w:val="00D52835"/>
    <w:rsid w:val="00D529B7"/>
    <w:rsid w:val="00D52D07"/>
    <w:rsid w:val="00D52D26"/>
    <w:rsid w:val="00D53D59"/>
    <w:rsid w:val="00D56205"/>
    <w:rsid w:val="00D573B2"/>
    <w:rsid w:val="00D64651"/>
    <w:rsid w:val="00D66CF9"/>
    <w:rsid w:val="00D71A2E"/>
    <w:rsid w:val="00D7756B"/>
    <w:rsid w:val="00D80D57"/>
    <w:rsid w:val="00D83743"/>
    <w:rsid w:val="00D92675"/>
    <w:rsid w:val="00D96FB8"/>
    <w:rsid w:val="00DA2539"/>
    <w:rsid w:val="00DA59C2"/>
    <w:rsid w:val="00DB2CCD"/>
    <w:rsid w:val="00DC00FF"/>
    <w:rsid w:val="00DC2EBF"/>
    <w:rsid w:val="00DD0A7F"/>
    <w:rsid w:val="00DD39E9"/>
    <w:rsid w:val="00DD51EC"/>
    <w:rsid w:val="00DE2A15"/>
    <w:rsid w:val="00DF23C6"/>
    <w:rsid w:val="00DF6B14"/>
    <w:rsid w:val="00DF70A5"/>
    <w:rsid w:val="00E04AC0"/>
    <w:rsid w:val="00E069FB"/>
    <w:rsid w:val="00E07E00"/>
    <w:rsid w:val="00E165C4"/>
    <w:rsid w:val="00E25244"/>
    <w:rsid w:val="00E33E0C"/>
    <w:rsid w:val="00E40F6E"/>
    <w:rsid w:val="00E53A3C"/>
    <w:rsid w:val="00E66698"/>
    <w:rsid w:val="00E67032"/>
    <w:rsid w:val="00E75659"/>
    <w:rsid w:val="00E85D37"/>
    <w:rsid w:val="00E87AFE"/>
    <w:rsid w:val="00EA1F42"/>
    <w:rsid w:val="00EA2E7D"/>
    <w:rsid w:val="00EA3B17"/>
    <w:rsid w:val="00EA4CFF"/>
    <w:rsid w:val="00EB37AF"/>
    <w:rsid w:val="00EC29D7"/>
    <w:rsid w:val="00EC3315"/>
    <w:rsid w:val="00ED2B04"/>
    <w:rsid w:val="00ED3B96"/>
    <w:rsid w:val="00ED7F09"/>
    <w:rsid w:val="00EE3EBA"/>
    <w:rsid w:val="00EF30FB"/>
    <w:rsid w:val="00EF52AB"/>
    <w:rsid w:val="00EF5F02"/>
    <w:rsid w:val="00F04D8E"/>
    <w:rsid w:val="00F108BB"/>
    <w:rsid w:val="00F21060"/>
    <w:rsid w:val="00F24EE4"/>
    <w:rsid w:val="00F31370"/>
    <w:rsid w:val="00F36063"/>
    <w:rsid w:val="00F46AD7"/>
    <w:rsid w:val="00F63D81"/>
    <w:rsid w:val="00F65593"/>
    <w:rsid w:val="00F67335"/>
    <w:rsid w:val="00F71F14"/>
    <w:rsid w:val="00F80090"/>
    <w:rsid w:val="00F81C91"/>
    <w:rsid w:val="00F83A83"/>
    <w:rsid w:val="00F95634"/>
    <w:rsid w:val="00F97CA1"/>
    <w:rsid w:val="00FA75F0"/>
    <w:rsid w:val="00FB63DE"/>
    <w:rsid w:val="00FC38D3"/>
    <w:rsid w:val="00FC3927"/>
    <w:rsid w:val="00FC5A35"/>
    <w:rsid w:val="00FD2307"/>
    <w:rsid w:val="00FE1251"/>
    <w:rsid w:val="00FE2692"/>
    <w:rsid w:val="00FE7ADD"/>
    <w:rsid w:val="00FF05D6"/>
    <w:rsid w:val="00FF2265"/>
    <w:rsid w:val="00FF61A2"/>
    <w:rsid w:val="02C47E02"/>
    <w:rsid w:val="02C6A1E1"/>
    <w:rsid w:val="039A30AD"/>
    <w:rsid w:val="03D429DF"/>
    <w:rsid w:val="097CBDAF"/>
    <w:rsid w:val="09B9309B"/>
    <w:rsid w:val="0A5213CF"/>
    <w:rsid w:val="0F02B893"/>
    <w:rsid w:val="100342EE"/>
    <w:rsid w:val="11D7C17C"/>
    <w:rsid w:val="1205922D"/>
    <w:rsid w:val="14F96922"/>
    <w:rsid w:val="151AA4A8"/>
    <w:rsid w:val="16102051"/>
    <w:rsid w:val="197B3E5B"/>
    <w:rsid w:val="1BB99534"/>
    <w:rsid w:val="1C1B5190"/>
    <w:rsid w:val="1C54D936"/>
    <w:rsid w:val="1C77C4CA"/>
    <w:rsid w:val="1E0C2DB5"/>
    <w:rsid w:val="1ED1FA66"/>
    <w:rsid w:val="1FABD600"/>
    <w:rsid w:val="200A1083"/>
    <w:rsid w:val="20E9CEE0"/>
    <w:rsid w:val="21A5E0E4"/>
    <w:rsid w:val="226537BB"/>
    <w:rsid w:val="22E2397F"/>
    <w:rsid w:val="23458AA6"/>
    <w:rsid w:val="23B614AA"/>
    <w:rsid w:val="245CF4DF"/>
    <w:rsid w:val="26794EB3"/>
    <w:rsid w:val="27FBFA0B"/>
    <w:rsid w:val="29559A21"/>
    <w:rsid w:val="2956938A"/>
    <w:rsid w:val="29E05BBC"/>
    <w:rsid w:val="2B44BF3B"/>
    <w:rsid w:val="2CA49CD8"/>
    <w:rsid w:val="2CDB9DFD"/>
    <w:rsid w:val="2D3D35C3"/>
    <w:rsid w:val="2DD50504"/>
    <w:rsid w:val="2EF97184"/>
    <w:rsid w:val="2FAB3916"/>
    <w:rsid w:val="307A4AC2"/>
    <w:rsid w:val="31000BE0"/>
    <w:rsid w:val="31E89A20"/>
    <w:rsid w:val="31F65DC7"/>
    <w:rsid w:val="32216146"/>
    <w:rsid w:val="3251DB26"/>
    <w:rsid w:val="34DBD5C6"/>
    <w:rsid w:val="3591C9C6"/>
    <w:rsid w:val="36CFC3CB"/>
    <w:rsid w:val="38F0A9E2"/>
    <w:rsid w:val="393B3494"/>
    <w:rsid w:val="3E909E9E"/>
    <w:rsid w:val="3F90CA85"/>
    <w:rsid w:val="40239C86"/>
    <w:rsid w:val="414D976F"/>
    <w:rsid w:val="415DC36B"/>
    <w:rsid w:val="429654CA"/>
    <w:rsid w:val="44E207FF"/>
    <w:rsid w:val="45E7B754"/>
    <w:rsid w:val="4812ECA1"/>
    <w:rsid w:val="493DA6EE"/>
    <w:rsid w:val="4A7D922E"/>
    <w:rsid w:val="4A95EA1B"/>
    <w:rsid w:val="4B8358E0"/>
    <w:rsid w:val="4C1F1C9A"/>
    <w:rsid w:val="4CA56289"/>
    <w:rsid w:val="4CAE01AB"/>
    <w:rsid w:val="4D5ECE59"/>
    <w:rsid w:val="4D8F083A"/>
    <w:rsid w:val="4D97F326"/>
    <w:rsid w:val="4F477CF9"/>
    <w:rsid w:val="4F6ECA3E"/>
    <w:rsid w:val="50AF2282"/>
    <w:rsid w:val="51C53ACD"/>
    <w:rsid w:val="5211F565"/>
    <w:rsid w:val="56963B21"/>
    <w:rsid w:val="587FBC27"/>
    <w:rsid w:val="5924AC33"/>
    <w:rsid w:val="5BCB4F81"/>
    <w:rsid w:val="5CAC324F"/>
    <w:rsid w:val="5CDAAD18"/>
    <w:rsid w:val="5D0FDAFA"/>
    <w:rsid w:val="5DB1C493"/>
    <w:rsid w:val="5DDD207F"/>
    <w:rsid w:val="5DEFEE18"/>
    <w:rsid w:val="5E4D62AF"/>
    <w:rsid w:val="5F7AB5E5"/>
    <w:rsid w:val="6222DC1B"/>
    <w:rsid w:val="624D2486"/>
    <w:rsid w:val="653090D8"/>
    <w:rsid w:val="6757F081"/>
    <w:rsid w:val="68536B8F"/>
    <w:rsid w:val="693D8C50"/>
    <w:rsid w:val="6B8D4F4E"/>
    <w:rsid w:val="6B9B577F"/>
    <w:rsid w:val="6D0CD667"/>
    <w:rsid w:val="6E446159"/>
    <w:rsid w:val="6EC3870F"/>
    <w:rsid w:val="6F07E45B"/>
    <w:rsid w:val="70353490"/>
    <w:rsid w:val="71C14197"/>
    <w:rsid w:val="71E719E1"/>
    <w:rsid w:val="71EEA5B2"/>
    <w:rsid w:val="7228F099"/>
    <w:rsid w:val="7290427E"/>
    <w:rsid w:val="72953B93"/>
    <w:rsid w:val="73B7F31E"/>
    <w:rsid w:val="74644A65"/>
    <w:rsid w:val="76001AC6"/>
    <w:rsid w:val="766FE393"/>
    <w:rsid w:val="76B55093"/>
    <w:rsid w:val="7D9C1533"/>
    <w:rsid w:val="7F1C6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9D1513"/>
  <w15:chartTrackingRefBased/>
  <w15:docId w15:val="{BA9CDF6C-8642-4842-840B-CC849746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3DE"/>
    <w:pPr>
      <w:ind w:left="720"/>
      <w:contextualSpacing/>
    </w:pPr>
  </w:style>
  <w:style w:type="paragraph" w:styleId="BalloonText">
    <w:name w:val="Balloon Text"/>
    <w:basedOn w:val="Normal"/>
    <w:link w:val="BalloonTextChar"/>
    <w:uiPriority w:val="99"/>
    <w:semiHidden/>
    <w:unhideWhenUsed/>
    <w:rsid w:val="002A2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859"/>
    <w:rPr>
      <w:rFonts w:ascii="Segoe UI" w:hAnsi="Segoe UI" w:cs="Segoe UI"/>
      <w:sz w:val="18"/>
      <w:szCs w:val="18"/>
    </w:rPr>
  </w:style>
  <w:style w:type="table" w:styleId="TableGrid">
    <w:name w:val="Table Grid"/>
    <w:basedOn w:val="TableNormal"/>
    <w:uiPriority w:val="39"/>
    <w:rsid w:val="00D2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F7EB4"/>
  </w:style>
  <w:style w:type="character" w:customStyle="1" w:styleId="eop">
    <w:name w:val="eop"/>
    <w:basedOn w:val="DefaultParagraphFont"/>
    <w:rsid w:val="006F7EB4"/>
  </w:style>
  <w:style w:type="character" w:styleId="Hyperlink">
    <w:name w:val="Hyperlink"/>
    <w:basedOn w:val="DefaultParagraphFont"/>
    <w:uiPriority w:val="99"/>
    <w:unhideWhenUsed/>
    <w:rsid w:val="006F7EB4"/>
    <w:rPr>
      <w:color w:val="0563C1" w:themeColor="hyperlink"/>
      <w:u w:val="single"/>
    </w:rPr>
  </w:style>
  <w:style w:type="character" w:styleId="UnresolvedMention">
    <w:name w:val="Unresolved Mention"/>
    <w:basedOn w:val="DefaultParagraphFont"/>
    <w:uiPriority w:val="99"/>
    <w:semiHidden/>
    <w:unhideWhenUsed/>
    <w:rsid w:val="006F7EB4"/>
    <w:rPr>
      <w:color w:val="605E5C"/>
      <w:shd w:val="clear" w:color="auto" w:fill="E1DFDD"/>
    </w:rPr>
  </w:style>
  <w:style w:type="character" w:styleId="LineNumber">
    <w:name w:val="line number"/>
    <w:basedOn w:val="DefaultParagraphFont"/>
    <w:uiPriority w:val="99"/>
    <w:semiHidden/>
    <w:unhideWhenUsed/>
    <w:rsid w:val="007C78B8"/>
  </w:style>
  <w:style w:type="character" w:styleId="CommentReference">
    <w:name w:val="annotation reference"/>
    <w:basedOn w:val="DefaultParagraphFont"/>
    <w:uiPriority w:val="99"/>
    <w:semiHidden/>
    <w:unhideWhenUsed/>
    <w:rsid w:val="00425B80"/>
    <w:rPr>
      <w:sz w:val="16"/>
      <w:szCs w:val="16"/>
    </w:rPr>
  </w:style>
  <w:style w:type="paragraph" w:styleId="CommentText">
    <w:name w:val="annotation text"/>
    <w:basedOn w:val="Normal"/>
    <w:link w:val="CommentTextChar"/>
    <w:uiPriority w:val="99"/>
    <w:semiHidden/>
    <w:unhideWhenUsed/>
    <w:rsid w:val="00425B80"/>
    <w:pPr>
      <w:spacing w:line="240" w:lineRule="auto"/>
    </w:pPr>
    <w:rPr>
      <w:sz w:val="20"/>
      <w:szCs w:val="20"/>
    </w:rPr>
  </w:style>
  <w:style w:type="character" w:customStyle="1" w:styleId="CommentTextChar">
    <w:name w:val="Comment Text Char"/>
    <w:basedOn w:val="DefaultParagraphFont"/>
    <w:link w:val="CommentText"/>
    <w:uiPriority w:val="99"/>
    <w:semiHidden/>
    <w:rsid w:val="00425B80"/>
    <w:rPr>
      <w:sz w:val="20"/>
      <w:szCs w:val="20"/>
    </w:rPr>
  </w:style>
  <w:style w:type="paragraph" w:styleId="CommentSubject">
    <w:name w:val="annotation subject"/>
    <w:basedOn w:val="CommentText"/>
    <w:next w:val="CommentText"/>
    <w:link w:val="CommentSubjectChar"/>
    <w:uiPriority w:val="99"/>
    <w:semiHidden/>
    <w:unhideWhenUsed/>
    <w:rsid w:val="00425B80"/>
    <w:rPr>
      <w:b/>
      <w:bCs/>
    </w:rPr>
  </w:style>
  <w:style w:type="character" w:customStyle="1" w:styleId="CommentSubjectChar">
    <w:name w:val="Comment Subject Char"/>
    <w:basedOn w:val="CommentTextChar"/>
    <w:link w:val="CommentSubject"/>
    <w:uiPriority w:val="99"/>
    <w:semiHidden/>
    <w:rsid w:val="00425B80"/>
    <w:rPr>
      <w:b/>
      <w:bCs/>
      <w:sz w:val="20"/>
      <w:szCs w:val="20"/>
    </w:rPr>
  </w:style>
  <w:style w:type="paragraph" w:customStyle="1" w:styleId="Default">
    <w:name w:val="Default"/>
    <w:rsid w:val="008E113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944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410"/>
    <w:rPr>
      <w:sz w:val="20"/>
      <w:szCs w:val="20"/>
    </w:rPr>
  </w:style>
  <w:style w:type="character" w:styleId="FootnoteReference">
    <w:name w:val="footnote reference"/>
    <w:basedOn w:val="DefaultParagraphFont"/>
    <w:uiPriority w:val="99"/>
    <w:semiHidden/>
    <w:unhideWhenUsed/>
    <w:rsid w:val="00C94410"/>
    <w:rPr>
      <w:vertAlign w:val="superscript"/>
    </w:rPr>
  </w:style>
  <w:style w:type="table" w:customStyle="1" w:styleId="TableGrid1">
    <w:name w:val="Table Grid1"/>
    <w:basedOn w:val="TableNormal"/>
    <w:next w:val="TableGrid"/>
    <w:uiPriority w:val="39"/>
    <w:rsid w:val="0020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2EE"/>
  </w:style>
  <w:style w:type="paragraph" w:styleId="Footer">
    <w:name w:val="footer"/>
    <w:basedOn w:val="Normal"/>
    <w:link w:val="FooterChar"/>
    <w:uiPriority w:val="99"/>
    <w:unhideWhenUsed/>
    <w:rsid w:val="001F5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2EE"/>
  </w:style>
  <w:style w:type="paragraph" w:styleId="Revision">
    <w:name w:val="Revision"/>
    <w:hidden/>
    <w:uiPriority w:val="99"/>
    <w:semiHidden/>
    <w:rsid w:val="003F09CE"/>
    <w:pPr>
      <w:spacing w:after="0" w:line="240" w:lineRule="auto"/>
    </w:pPr>
  </w:style>
  <w:style w:type="paragraph" w:styleId="NormalWeb">
    <w:name w:val="Normal (Web)"/>
    <w:basedOn w:val="Normal"/>
    <w:uiPriority w:val="99"/>
    <w:semiHidden/>
    <w:unhideWhenUsed/>
    <w:rsid w:val="000030E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48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scn.org/en/news-events/recent-news?idnews=2065" TargetMode="External"/><Relationship Id="rId18" Type="http://schemas.openxmlformats.org/officeDocument/2006/relationships/hyperlink" Target="https://digital.nhs.uk/data-and-information/publications/statistical/health-survey-for-england/201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bc.co.uk/news/business-51883440" TargetMode="External"/><Relationship Id="rId17" Type="http://schemas.openxmlformats.org/officeDocument/2006/relationships/hyperlink" Target="https://www.bbc.co.uk/news/business-51883440"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mead@liverpool.ac.uk" TargetMode="External"/><Relationship Id="rId5" Type="http://schemas.openxmlformats.org/officeDocument/2006/relationships/numbering" Target="numbering.xml"/><Relationship Id="rId15" Type="http://schemas.openxmlformats.org/officeDocument/2006/relationships/hyperlink" Target="https://www.nsalg.org.uk/news/national-allotments-week-2020-10-to-16-augus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guardian.com/environment/2020/may/08/gardens-bloom-under-lockdown-with-record-demand-for-seeds"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ronavirus-covid-19-maintaining-educational-provision/guidance-for-schools-colleges-and-local-authorities-on-maintaining-educational-pro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EEB5AD3857DA49A7745C43B6608EEA" ma:contentTypeVersion="12" ma:contentTypeDescription="Create a new document." ma:contentTypeScope="" ma:versionID="56cce4efd1acc231eae486dd62dbfa01">
  <xsd:schema xmlns:xsd="http://www.w3.org/2001/XMLSchema" xmlns:xs="http://www.w3.org/2001/XMLSchema" xmlns:p="http://schemas.microsoft.com/office/2006/metadata/properties" xmlns:ns2="7929c210-2a83-47c0-b2cb-628f8ec19383" xmlns:ns3="fe5420d7-dc53-4216-b80f-5a4c00b784d7" targetNamespace="http://schemas.microsoft.com/office/2006/metadata/properties" ma:root="true" ma:fieldsID="6a3bdb913551004fdbaf56507f49850e" ns2:_="" ns3:_="">
    <xsd:import namespace="7929c210-2a83-47c0-b2cb-628f8ec19383"/>
    <xsd:import namespace="fe5420d7-dc53-4216-b80f-5a4c00b7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9c210-2a83-47c0-b2cb-628f8ec19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420d7-dc53-4216-b80f-5a4c00b7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443CD-FA32-4FC5-A777-18189A18DF6E}">
  <ds:schemaRefs>
    <ds:schemaRef ds:uri="http://schemas.microsoft.com/sharepoint/v3/contenttype/forms"/>
  </ds:schemaRefs>
</ds:datastoreItem>
</file>

<file path=customXml/itemProps2.xml><?xml version="1.0" encoding="utf-8"?>
<ds:datastoreItem xmlns:ds="http://schemas.openxmlformats.org/officeDocument/2006/customXml" ds:itemID="{58842D71-08D6-4BBB-BFDC-ECA10F54EF77}">
  <ds:schemaRefs>
    <ds:schemaRef ds:uri="http://www.w3.org/XML/1998/namespace"/>
    <ds:schemaRef ds:uri="http://purl.org/dc/elements/1.1/"/>
    <ds:schemaRef ds:uri="7929c210-2a83-47c0-b2cb-628f8ec19383"/>
    <ds:schemaRef ds:uri="http://schemas.openxmlformats.org/package/2006/metadata/core-properties"/>
    <ds:schemaRef ds:uri="fe5420d7-dc53-4216-b80f-5a4c00b784d7"/>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5D570A4A-49DC-460A-8528-8F1CB26A2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9c210-2a83-47c0-b2cb-628f8ec19383"/>
    <ds:schemaRef ds:uri="fe5420d7-dc53-4216-b80f-5a4c00b7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1EDA3-B384-434E-8AC5-E09E142F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38585</Words>
  <Characters>219936</Characters>
  <Application>Microsoft Office Word</Application>
  <DocSecurity>4</DocSecurity>
  <Lines>1832</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Mead</dc:creator>
  <cp:keywords/>
  <dc:description/>
  <cp:lastModifiedBy>Hardman, Charlotte [cah]</cp:lastModifiedBy>
  <cp:revision>2</cp:revision>
  <dcterms:created xsi:type="dcterms:W3CDTF">2021-04-22T16:17:00Z</dcterms:created>
  <dcterms:modified xsi:type="dcterms:W3CDTF">2021-04-22T16:17:00Z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c12d6dbd-f074-3a53-8786-a11cda087b62</vt:lpwstr>
  </property>
  <property fmtid="{D5CDD505-2E9C-101B-9397-08002B2CF9AE}" pid="24" name="Mendeley Citation Style_1">
    <vt:lpwstr>http://www.zotero.org/styles/apa</vt:lpwstr>
  </property>
  <property fmtid="{D5CDD505-2E9C-101B-9397-08002B2CF9AE}" pid="25" name="ContentTypeId">
    <vt:lpwstr>0x010100D1EEB5AD3857DA49A7745C43B6608EEA</vt:lpwstr>
  </property>
</Properties>
</file>