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0AE8B" w14:textId="77777777" w:rsidR="00A435A4" w:rsidRPr="00453626" w:rsidRDefault="00A435A4" w:rsidP="00A435A4">
      <w:pPr>
        <w:spacing w:line="360" w:lineRule="auto"/>
        <w:jc w:val="center"/>
        <w:rPr>
          <w:rFonts w:ascii="Times New Roman" w:hAnsi="Times New Roman" w:cs="Times New Roman"/>
          <w:b/>
          <w:sz w:val="24"/>
        </w:rPr>
      </w:pPr>
      <w:bookmarkStart w:id="0" w:name="_Hlk46330611"/>
      <w:bookmarkStart w:id="1" w:name="_Hlk46331118"/>
      <w:bookmarkStart w:id="2" w:name="_GoBack"/>
      <w:bookmarkEnd w:id="2"/>
      <w:r w:rsidRPr="00453626">
        <w:rPr>
          <w:rFonts w:ascii="Times New Roman" w:hAnsi="Times New Roman" w:cs="Times New Roman"/>
          <w:b/>
          <w:sz w:val="24"/>
        </w:rPr>
        <w:t>The energy and nutritional content of snacks sold at supermarkets and coffee-shops in the UK</w:t>
      </w:r>
    </w:p>
    <w:bookmarkEnd w:id="0"/>
    <w:p w14:paraId="4EE4BF8B" w14:textId="77777777" w:rsidR="00A435A4" w:rsidRPr="00453626" w:rsidRDefault="00A435A4" w:rsidP="00A435A4">
      <w:pPr>
        <w:spacing w:line="360" w:lineRule="auto"/>
        <w:jc w:val="center"/>
        <w:rPr>
          <w:rFonts w:ascii="Times New Roman" w:hAnsi="Times New Roman" w:cs="Times New Roman"/>
          <w:sz w:val="24"/>
        </w:rPr>
      </w:pPr>
      <w:r w:rsidRPr="00453626">
        <w:rPr>
          <w:rFonts w:ascii="Times New Roman" w:hAnsi="Times New Roman" w:cs="Times New Roman"/>
          <w:sz w:val="24"/>
        </w:rPr>
        <w:t xml:space="preserve">Lucile Marty, Rebecca Evans, Florence Sheen, Gabrielle Humphreys, Andrew Jones, Emma </w:t>
      </w:r>
      <w:proofErr w:type="spellStart"/>
      <w:r w:rsidRPr="00453626">
        <w:rPr>
          <w:rFonts w:ascii="Times New Roman" w:hAnsi="Times New Roman" w:cs="Times New Roman"/>
          <w:sz w:val="24"/>
        </w:rPr>
        <w:t>Boyland</w:t>
      </w:r>
      <w:proofErr w:type="spellEnd"/>
      <w:r w:rsidRPr="00453626">
        <w:rPr>
          <w:rFonts w:ascii="Times New Roman" w:hAnsi="Times New Roman" w:cs="Times New Roman"/>
          <w:sz w:val="24"/>
        </w:rPr>
        <w:t>, Eric Robinson</w:t>
      </w:r>
    </w:p>
    <w:bookmarkEnd w:id="1"/>
    <w:p w14:paraId="3895286A" w14:textId="77777777" w:rsidR="00A435A4" w:rsidRPr="00453626" w:rsidRDefault="00A435A4" w:rsidP="00A435A4">
      <w:pPr>
        <w:spacing w:line="360" w:lineRule="auto"/>
        <w:rPr>
          <w:rStyle w:val="Emphasis"/>
          <w:rFonts w:eastAsiaTheme="minorEastAsia"/>
          <w:i w:val="0"/>
          <w:spacing w:val="15"/>
        </w:rPr>
      </w:pPr>
      <w:r w:rsidRPr="00453626">
        <w:rPr>
          <w:rStyle w:val="Emphasis"/>
          <w:rFonts w:eastAsiaTheme="minorEastAsia"/>
          <w:spacing w:val="15"/>
          <w:sz w:val="24"/>
        </w:rPr>
        <w:t>Affiliations</w:t>
      </w:r>
    </w:p>
    <w:p w14:paraId="4D3C3A15" w14:textId="77777777" w:rsidR="00A435A4" w:rsidRPr="00453626" w:rsidRDefault="00A435A4" w:rsidP="00A435A4">
      <w:pPr>
        <w:spacing w:line="360" w:lineRule="auto"/>
        <w:rPr>
          <w:rFonts w:ascii="Times New Roman" w:hAnsi="Times New Roman" w:cs="Times New Roman"/>
        </w:rPr>
      </w:pPr>
      <w:r w:rsidRPr="00453626">
        <w:rPr>
          <w:rFonts w:ascii="Times New Roman" w:hAnsi="Times New Roman" w:cs="Times New Roman"/>
          <w:sz w:val="24"/>
        </w:rPr>
        <w:t xml:space="preserve">Lucile Marty*, Department of Psychology, University of Liverpool, Eleanor Rathbone Building, Bedford Street South, Liverpool L69 7ZA, UK, </w:t>
      </w:r>
      <w:hyperlink r:id="rId8" w:history="1">
        <w:r w:rsidRPr="00453626">
          <w:rPr>
            <w:rStyle w:val="Hyperlink"/>
            <w:rFonts w:ascii="Times New Roman" w:hAnsi="Times New Roman" w:cs="Times New Roman"/>
            <w:color w:val="auto"/>
            <w:sz w:val="24"/>
          </w:rPr>
          <w:t>lucile.marty@liv.ac.uk</w:t>
        </w:r>
      </w:hyperlink>
    </w:p>
    <w:p w14:paraId="1A8D0DB9" w14:textId="77777777" w:rsidR="00A435A4" w:rsidRPr="00453626" w:rsidRDefault="00A435A4" w:rsidP="00A435A4">
      <w:pPr>
        <w:spacing w:line="360" w:lineRule="auto"/>
        <w:rPr>
          <w:rFonts w:ascii="Times New Roman" w:hAnsi="Times New Roman" w:cs="Times New Roman"/>
          <w:sz w:val="24"/>
        </w:rPr>
      </w:pPr>
      <w:r w:rsidRPr="00453626">
        <w:rPr>
          <w:rFonts w:ascii="Times New Roman" w:hAnsi="Times New Roman" w:cs="Times New Roman"/>
          <w:sz w:val="24"/>
        </w:rPr>
        <w:t>Rebecca Evans,</w:t>
      </w:r>
      <w:bookmarkStart w:id="3" w:name="_Hlk46331144"/>
      <w:r w:rsidRPr="00453626">
        <w:rPr>
          <w:rFonts w:ascii="Times New Roman" w:hAnsi="Times New Roman" w:cs="Times New Roman"/>
          <w:sz w:val="24"/>
        </w:rPr>
        <w:t xml:space="preserve"> Department of Psychology, University of Liverpool</w:t>
      </w:r>
      <w:bookmarkEnd w:id="3"/>
      <w:r w:rsidRPr="00453626">
        <w:rPr>
          <w:rFonts w:ascii="Times New Roman" w:hAnsi="Times New Roman" w:cs="Times New Roman"/>
          <w:sz w:val="24"/>
        </w:rPr>
        <w:t>, Liverpool, UK</w:t>
      </w:r>
    </w:p>
    <w:p w14:paraId="305440BC" w14:textId="77777777" w:rsidR="00A435A4" w:rsidRPr="00453626" w:rsidRDefault="00A435A4" w:rsidP="00A435A4">
      <w:pPr>
        <w:spacing w:line="360" w:lineRule="auto"/>
        <w:rPr>
          <w:rFonts w:ascii="Times New Roman" w:hAnsi="Times New Roman" w:cs="Times New Roman"/>
          <w:sz w:val="24"/>
        </w:rPr>
      </w:pPr>
      <w:r w:rsidRPr="00453626">
        <w:rPr>
          <w:rFonts w:ascii="Times New Roman" w:hAnsi="Times New Roman" w:cs="Times New Roman"/>
          <w:sz w:val="24"/>
        </w:rPr>
        <w:t>Florence Sheen, Department of Psychology, University of Liverpool, Liverpool, UK</w:t>
      </w:r>
    </w:p>
    <w:p w14:paraId="2B442D90" w14:textId="77777777" w:rsidR="00A435A4" w:rsidRPr="00453626" w:rsidRDefault="00A435A4" w:rsidP="00A435A4">
      <w:pPr>
        <w:spacing w:line="360" w:lineRule="auto"/>
        <w:rPr>
          <w:rFonts w:ascii="Times New Roman" w:hAnsi="Times New Roman" w:cs="Times New Roman"/>
          <w:sz w:val="24"/>
        </w:rPr>
      </w:pPr>
      <w:r w:rsidRPr="00453626">
        <w:rPr>
          <w:rFonts w:ascii="Times New Roman" w:hAnsi="Times New Roman" w:cs="Times New Roman"/>
          <w:sz w:val="24"/>
        </w:rPr>
        <w:t>Gabrielle Humphreys, Department of Psychology, University of Liverpool, Liverpool, UK</w:t>
      </w:r>
    </w:p>
    <w:p w14:paraId="7194A8CE" w14:textId="77777777" w:rsidR="00A435A4" w:rsidRPr="00453626" w:rsidRDefault="00A435A4" w:rsidP="00A435A4">
      <w:pPr>
        <w:spacing w:line="360" w:lineRule="auto"/>
        <w:rPr>
          <w:rFonts w:ascii="Times New Roman" w:hAnsi="Times New Roman" w:cs="Times New Roman"/>
          <w:sz w:val="24"/>
        </w:rPr>
      </w:pPr>
      <w:r w:rsidRPr="00453626">
        <w:rPr>
          <w:rFonts w:ascii="Times New Roman" w:hAnsi="Times New Roman" w:cs="Times New Roman"/>
          <w:sz w:val="24"/>
        </w:rPr>
        <w:t xml:space="preserve">Andrew Jones, Department of Psychology, University of Liverpool, Liverpool, UK </w:t>
      </w:r>
    </w:p>
    <w:p w14:paraId="6F1CC937" w14:textId="77777777" w:rsidR="00A435A4" w:rsidRPr="00453626" w:rsidRDefault="00A435A4" w:rsidP="00A435A4">
      <w:pPr>
        <w:spacing w:line="360" w:lineRule="auto"/>
        <w:rPr>
          <w:rFonts w:ascii="Times New Roman" w:hAnsi="Times New Roman" w:cs="Times New Roman"/>
          <w:sz w:val="24"/>
        </w:rPr>
      </w:pPr>
      <w:r w:rsidRPr="00453626">
        <w:rPr>
          <w:rFonts w:ascii="Times New Roman" w:hAnsi="Times New Roman" w:cs="Times New Roman"/>
          <w:sz w:val="24"/>
        </w:rPr>
        <w:t xml:space="preserve">Emma </w:t>
      </w:r>
      <w:proofErr w:type="spellStart"/>
      <w:r w:rsidRPr="00453626">
        <w:rPr>
          <w:rFonts w:ascii="Times New Roman" w:hAnsi="Times New Roman" w:cs="Times New Roman"/>
          <w:sz w:val="24"/>
        </w:rPr>
        <w:t>Boyland</w:t>
      </w:r>
      <w:proofErr w:type="spellEnd"/>
      <w:r w:rsidRPr="00453626">
        <w:rPr>
          <w:rFonts w:ascii="Times New Roman" w:hAnsi="Times New Roman" w:cs="Times New Roman"/>
          <w:sz w:val="24"/>
        </w:rPr>
        <w:t>, Department of Psychology, University of Liverpool, Liverpool, UK</w:t>
      </w:r>
    </w:p>
    <w:p w14:paraId="3E602FDA" w14:textId="77777777" w:rsidR="00A435A4" w:rsidRPr="00453626" w:rsidRDefault="00A435A4" w:rsidP="00A435A4">
      <w:pPr>
        <w:spacing w:line="360" w:lineRule="auto"/>
        <w:rPr>
          <w:rFonts w:ascii="Times New Roman" w:hAnsi="Times New Roman" w:cs="Times New Roman"/>
          <w:sz w:val="24"/>
        </w:rPr>
      </w:pPr>
      <w:r w:rsidRPr="00453626">
        <w:rPr>
          <w:rFonts w:ascii="Times New Roman" w:hAnsi="Times New Roman" w:cs="Times New Roman"/>
          <w:sz w:val="24"/>
        </w:rPr>
        <w:t xml:space="preserve">Eric Robinson*, Department of Psychology, University of Liverpool, Eleanor Rathbone Building, Bedford Street South, Liverpool L69 7ZA, UK, </w:t>
      </w:r>
      <w:hyperlink r:id="rId9" w:history="1">
        <w:r w:rsidRPr="00453626">
          <w:rPr>
            <w:rStyle w:val="Hyperlink"/>
            <w:rFonts w:ascii="Times New Roman" w:hAnsi="Times New Roman" w:cs="Times New Roman"/>
            <w:color w:val="auto"/>
            <w:sz w:val="24"/>
          </w:rPr>
          <w:t>eric.robinson@liv.ac.uk</w:t>
        </w:r>
      </w:hyperlink>
    </w:p>
    <w:p w14:paraId="0B189531" w14:textId="77777777" w:rsidR="00A435A4" w:rsidRPr="00453626" w:rsidRDefault="00A435A4" w:rsidP="00A435A4">
      <w:pPr>
        <w:spacing w:line="360" w:lineRule="auto"/>
        <w:rPr>
          <w:rFonts w:ascii="Times New Roman" w:hAnsi="Times New Roman" w:cs="Times New Roman"/>
          <w:sz w:val="24"/>
        </w:rPr>
      </w:pPr>
      <w:r w:rsidRPr="00453626">
        <w:rPr>
          <w:rFonts w:ascii="Times New Roman" w:hAnsi="Times New Roman" w:cs="Times New Roman"/>
          <w:sz w:val="24"/>
        </w:rPr>
        <w:t>*corresponding authors</w:t>
      </w:r>
    </w:p>
    <w:p w14:paraId="492027DB" w14:textId="77777777" w:rsidR="00A435A4" w:rsidRPr="00453626" w:rsidRDefault="00A435A4" w:rsidP="00A435A4">
      <w:pPr>
        <w:spacing w:line="360" w:lineRule="auto"/>
        <w:rPr>
          <w:rStyle w:val="Emphasis"/>
          <w:rFonts w:eastAsiaTheme="minorEastAsia"/>
          <w:i w:val="0"/>
          <w:spacing w:val="15"/>
        </w:rPr>
      </w:pPr>
      <w:r w:rsidRPr="00453626">
        <w:rPr>
          <w:rStyle w:val="Emphasis"/>
          <w:rFonts w:eastAsiaTheme="minorEastAsia"/>
          <w:spacing w:val="15"/>
          <w:sz w:val="24"/>
        </w:rPr>
        <w:t>Keywords</w:t>
      </w:r>
    </w:p>
    <w:p w14:paraId="71A5D918" w14:textId="77777777" w:rsidR="00A435A4" w:rsidRPr="00453626" w:rsidRDefault="00A435A4" w:rsidP="00A435A4">
      <w:pPr>
        <w:spacing w:line="360" w:lineRule="auto"/>
        <w:rPr>
          <w:rFonts w:ascii="Times New Roman" w:hAnsi="Times New Roman" w:cs="Times New Roman"/>
        </w:rPr>
      </w:pPr>
      <w:r w:rsidRPr="00453626">
        <w:rPr>
          <w:rFonts w:ascii="Times New Roman" w:hAnsi="Times New Roman" w:cs="Times New Roman"/>
          <w:bCs/>
          <w:iCs/>
          <w:sz w:val="24"/>
        </w:rPr>
        <w:t>snacking; energy content; nutritional quality; supermarket; coffee shop</w:t>
      </w:r>
    </w:p>
    <w:p w14:paraId="02865413" w14:textId="77777777" w:rsidR="00A435A4" w:rsidRPr="00453626" w:rsidRDefault="00A435A4" w:rsidP="00A435A4">
      <w:pPr>
        <w:spacing w:line="360" w:lineRule="auto"/>
        <w:rPr>
          <w:rStyle w:val="Emphasis"/>
          <w:rFonts w:eastAsiaTheme="minorEastAsia"/>
          <w:i w:val="0"/>
          <w:spacing w:val="15"/>
        </w:rPr>
      </w:pPr>
      <w:r w:rsidRPr="00453626">
        <w:rPr>
          <w:rStyle w:val="Emphasis"/>
          <w:rFonts w:eastAsiaTheme="minorEastAsia"/>
          <w:spacing w:val="15"/>
          <w:sz w:val="24"/>
        </w:rPr>
        <w:t>Acknowledgments</w:t>
      </w:r>
    </w:p>
    <w:p w14:paraId="7654152C" w14:textId="77777777" w:rsidR="00A435A4" w:rsidRPr="00453626" w:rsidRDefault="00A435A4" w:rsidP="00A435A4">
      <w:pPr>
        <w:spacing w:line="360" w:lineRule="auto"/>
        <w:rPr>
          <w:rFonts w:ascii="Times New Roman" w:hAnsi="Times New Roman" w:cs="Times New Roman"/>
          <w:bCs/>
        </w:rPr>
      </w:pPr>
      <w:r w:rsidRPr="00453626">
        <w:rPr>
          <w:rFonts w:ascii="Times New Roman" w:hAnsi="Times New Roman" w:cs="Times New Roman"/>
          <w:bCs/>
          <w:sz w:val="24"/>
        </w:rPr>
        <w:t>This research did not receive any specific grant from funding agencies in the public, commercial, or not-for-profit sectors.</w:t>
      </w:r>
    </w:p>
    <w:p w14:paraId="12BD22A4" w14:textId="77777777" w:rsidR="00A435A4" w:rsidRPr="00453626" w:rsidRDefault="00A435A4" w:rsidP="00A435A4">
      <w:pPr>
        <w:spacing w:line="360" w:lineRule="auto"/>
        <w:rPr>
          <w:rStyle w:val="Emphasis"/>
          <w:rFonts w:eastAsiaTheme="minorEastAsia"/>
          <w:i w:val="0"/>
          <w:spacing w:val="15"/>
        </w:rPr>
      </w:pPr>
      <w:r w:rsidRPr="00453626">
        <w:rPr>
          <w:rStyle w:val="Emphasis"/>
          <w:rFonts w:eastAsiaTheme="minorEastAsia"/>
          <w:spacing w:val="15"/>
          <w:sz w:val="24"/>
        </w:rPr>
        <w:t>Conflicts of interest</w:t>
      </w:r>
    </w:p>
    <w:p w14:paraId="7CE6961C" w14:textId="77777777" w:rsidR="00A435A4" w:rsidRPr="00453626" w:rsidRDefault="00A435A4" w:rsidP="00A435A4">
      <w:pPr>
        <w:tabs>
          <w:tab w:val="left" w:pos="1875"/>
        </w:tabs>
        <w:spacing w:line="360" w:lineRule="auto"/>
        <w:rPr>
          <w:rFonts w:ascii="Times New Roman" w:hAnsi="Times New Roman" w:cs="Times New Roman"/>
          <w:bCs/>
        </w:rPr>
      </w:pPr>
      <w:r w:rsidRPr="00453626">
        <w:rPr>
          <w:rFonts w:ascii="Times New Roman" w:hAnsi="Times New Roman" w:cs="Times New Roman"/>
          <w:bCs/>
          <w:iCs/>
          <w:sz w:val="24"/>
        </w:rPr>
        <w:t>ER has previously received research funding to his institution from the American Beverage Association and Unilever for unrelated research. Other authors declared no conflicts of interest.</w:t>
      </w:r>
    </w:p>
    <w:p w14:paraId="3519BAA4" w14:textId="77777777" w:rsidR="00A435A4" w:rsidRPr="00453626" w:rsidRDefault="00A435A4" w:rsidP="00A435A4">
      <w:pPr>
        <w:spacing w:line="360" w:lineRule="auto"/>
        <w:rPr>
          <w:rStyle w:val="Emphasis"/>
          <w:rFonts w:eastAsiaTheme="minorEastAsia"/>
          <w:i w:val="0"/>
          <w:spacing w:val="15"/>
        </w:rPr>
      </w:pPr>
      <w:r w:rsidRPr="00453626">
        <w:rPr>
          <w:rStyle w:val="Emphasis"/>
          <w:rFonts w:eastAsiaTheme="minorEastAsia"/>
          <w:spacing w:val="15"/>
          <w:sz w:val="24"/>
        </w:rPr>
        <w:t>Transparency declaration</w:t>
      </w:r>
    </w:p>
    <w:p w14:paraId="6A0CC103" w14:textId="05ED5D73" w:rsidR="000F0266" w:rsidRPr="00453626" w:rsidRDefault="00A435A4" w:rsidP="00A435A4">
      <w:pPr>
        <w:tabs>
          <w:tab w:val="left" w:pos="1875"/>
        </w:tabs>
        <w:spacing w:line="360" w:lineRule="auto"/>
        <w:rPr>
          <w:rFonts w:ascii="Times New Roman" w:hAnsi="Times New Roman" w:cs="Times New Roman"/>
        </w:rPr>
      </w:pPr>
      <w:r w:rsidRPr="00453626">
        <w:rPr>
          <w:rFonts w:ascii="Times New Roman" w:hAnsi="Times New Roman" w:cs="Times New Roman"/>
          <w:bCs/>
          <w:iCs/>
          <w:sz w:val="24"/>
        </w:rPr>
        <w:t xml:space="preserve">The lead authors affirm that this manuscript is an honest, accurate, and transparent account of the study being reported. The lead authors affirm that no important aspects of the study have been omitted and that any discrepancies from the study as planned (Open Science Framework, reference 8z7t5, </w:t>
      </w:r>
      <w:hyperlink r:id="rId10" w:history="1">
        <w:r w:rsidRPr="00453626">
          <w:rPr>
            <w:rStyle w:val="Hyperlink"/>
            <w:rFonts w:ascii="Times New Roman" w:hAnsi="Times New Roman" w:cs="Times New Roman"/>
            <w:color w:val="auto"/>
            <w:sz w:val="24"/>
          </w:rPr>
          <w:t>https://osf.io/8z7t5/</w:t>
        </w:r>
      </w:hyperlink>
      <w:r w:rsidRPr="00453626">
        <w:rPr>
          <w:rFonts w:ascii="Times New Roman" w:hAnsi="Times New Roman" w:cs="Times New Roman"/>
          <w:bCs/>
          <w:iCs/>
          <w:sz w:val="24"/>
        </w:rPr>
        <w:t>) have been explained.</w:t>
      </w:r>
      <w:r w:rsidR="000F0266" w:rsidRPr="00453626">
        <w:rPr>
          <w:rFonts w:ascii="Times New Roman" w:hAnsi="Times New Roman" w:cs="Times New Roman"/>
          <w:sz w:val="24"/>
        </w:rPr>
        <w:br w:type="page"/>
      </w:r>
    </w:p>
    <w:p w14:paraId="06558AD4" w14:textId="77777777" w:rsidR="00785E43" w:rsidRPr="00453626" w:rsidRDefault="00785E43" w:rsidP="00396F23">
      <w:pPr>
        <w:spacing w:line="360" w:lineRule="auto"/>
        <w:rPr>
          <w:rFonts w:ascii="Times New Roman" w:hAnsi="Times New Roman" w:cs="Times New Roman"/>
          <w:b/>
          <w:sz w:val="24"/>
        </w:rPr>
      </w:pPr>
      <w:r w:rsidRPr="00453626">
        <w:rPr>
          <w:rFonts w:ascii="Times New Roman" w:hAnsi="Times New Roman" w:cs="Times New Roman"/>
          <w:b/>
          <w:sz w:val="24"/>
        </w:rPr>
        <w:lastRenderedPageBreak/>
        <w:t>Abstract</w:t>
      </w:r>
    </w:p>
    <w:p w14:paraId="4C55CF36" w14:textId="012AA3D4" w:rsidR="00396F23" w:rsidRPr="00453626" w:rsidRDefault="00396F23" w:rsidP="00396F23">
      <w:pPr>
        <w:spacing w:line="360" w:lineRule="auto"/>
        <w:rPr>
          <w:rStyle w:val="Emphasis"/>
          <w:rFonts w:ascii="Times New Roman" w:eastAsiaTheme="minorEastAsia" w:hAnsi="Times New Roman" w:cs="Times New Roman"/>
          <w:i w:val="0"/>
          <w:spacing w:val="15"/>
          <w:sz w:val="24"/>
        </w:rPr>
      </w:pPr>
      <w:r w:rsidRPr="00453626">
        <w:rPr>
          <w:rStyle w:val="Emphasis"/>
          <w:rFonts w:ascii="Times New Roman" w:eastAsiaTheme="minorEastAsia" w:hAnsi="Times New Roman" w:cs="Times New Roman"/>
          <w:i w:val="0"/>
          <w:spacing w:val="15"/>
          <w:sz w:val="24"/>
        </w:rPr>
        <w:t>Background</w:t>
      </w:r>
    </w:p>
    <w:p w14:paraId="40B63698" w14:textId="77777777" w:rsidR="00396F23" w:rsidRPr="00453626" w:rsidRDefault="00810445" w:rsidP="00396F23">
      <w:pPr>
        <w:spacing w:line="360" w:lineRule="auto"/>
        <w:rPr>
          <w:rFonts w:ascii="Times New Roman" w:hAnsi="Times New Roman" w:cs="Times New Roman"/>
          <w:sz w:val="24"/>
        </w:rPr>
      </w:pPr>
      <w:r w:rsidRPr="00453626">
        <w:rPr>
          <w:rFonts w:ascii="Times New Roman" w:hAnsi="Times New Roman" w:cs="Times New Roman"/>
          <w:sz w:val="24"/>
        </w:rPr>
        <w:t xml:space="preserve">Snacking being associated with higher </w:t>
      </w:r>
      <w:r w:rsidR="00CB0F1B" w:rsidRPr="00453626">
        <w:rPr>
          <w:rFonts w:ascii="Times New Roman" w:hAnsi="Times New Roman" w:cs="Times New Roman"/>
          <w:sz w:val="24"/>
        </w:rPr>
        <w:t xml:space="preserve">daily </w:t>
      </w:r>
      <w:r w:rsidRPr="00453626">
        <w:rPr>
          <w:rFonts w:ascii="Times New Roman" w:hAnsi="Times New Roman" w:cs="Times New Roman"/>
          <w:sz w:val="24"/>
        </w:rPr>
        <w:t xml:space="preserve">energy </w:t>
      </w:r>
      <w:proofErr w:type="gramStart"/>
      <w:r w:rsidRPr="00453626">
        <w:rPr>
          <w:rFonts w:ascii="Times New Roman" w:hAnsi="Times New Roman" w:cs="Times New Roman"/>
          <w:sz w:val="24"/>
        </w:rPr>
        <w:t>intake,</w:t>
      </w:r>
      <w:proofErr w:type="gramEnd"/>
      <w:r w:rsidRPr="00453626">
        <w:rPr>
          <w:rFonts w:ascii="Times New Roman" w:hAnsi="Times New Roman" w:cs="Times New Roman"/>
          <w:sz w:val="24"/>
        </w:rPr>
        <w:t xml:space="preserve"> d</w:t>
      </w:r>
      <w:r w:rsidR="005F5AEF" w:rsidRPr="00453626">
        <w:rPr>
          <w:rFonts w:ascii="Times New Roman" w:hAnsi="Times New Roman" w:cs="Times New Roman"/>
          <w:sz w:val="24"/>
        </w:rPr>
        <w:t>ietary guidelines recommend snack</w:t>
      </w:r>
      <w:r w:rsidR="00CD7C4E" w:rsidRPr="00453626">
        <w:rPr>
          <w:rFonts w:ascii="Times New Roman" w:hAnsi="Times New Roman" w:cs="Times New Roman"/>
          <w:sz w:val="24"/>
        </w:rPr>
        <w:t>s</w:t>
      </w:r>
      <w:r w:rsidR="005F5AEF" w:rsidRPr="00453626">
        <w:rPr>
          <w:rFonts w:ascii="Times New Roman" w:hAnsi="Times New Roman" w:cs="Times New Roman"/>
          <w:sz w:val="24"/>
        </w:rPr>
        <w:t xml:space="preserve"> </w:t>
      </w:r>
      <w:r w:rsidRPr="00453626">
        <w:rPr>
          <w:rFonts w:ascii="Times New Roman" w:hAnsi="Times New Roman" w:cs="Times New Roman"/>
          <w:sz w:val="24"/>
        </w:rPr>
        <w:t>of</w:t>
      </w:r>
      <w:r w:rsidR="005F5AEF" w:rsidRPr="00453626">
        <w:rPr>
          <w:rFonts w:ascii="Times New Roman" w:hAnsi="Times New Roman" w:cs="Times New Roman"/>
          <w:sz w:val="24"/>
        </w:rPr>
        <w:t xml:space="preserve"> no more than 200 kcal for adults and 100 kcal for children. </w:t>
      </w:r>
      <w:r w:rsidRPr="00453626">
        <w:rPr>
          <w:rFonts w:ascii="Times New Roman" w:hAnsi="Times New Roman" w:cs="Times New Roman"/>
          <w:sz w:val="24"/>
        </w:rPr>
        <w:t>This study</w:t>
      </w:r>
      <w:r w:rsidR="000F7E58" w:rsidRPr="00453626">
        <w:rPr>
          <w:rFonts w:ascii="Times New Roman" w:hAnsi="Times New Roman" w:cs="Times New Roman"/>
          <w:sz w:val="24"/>
        </w:rPr>
        <w:t xml:space="preserve"> examine</w:t>
      </w:r>
      <w:r w:rsidRPr="00453626">
        <w:rPr>
          <w:rFonts w:ascii="Times New Roman" w:hAnsi="Times New Roman" w:cs="Times New Roman"/>
          <w:sz w:val="24"/>
        </w:rPr>
        <w:t>s</w:t>
      </w:r>
      <w:r w:rsidR="000F7E58" w:rsidRPr="00453626">
        <w:rPr>
          <w:rFonts w:ascii="Times New Roman" w:hAnsi="Times New Roman" w:cs="Times New Roman"/>
          <w:sz w:val="24"/>
        </w:rPr>
        <w:t xml:space="preserve"> the energy content</w:t>
      </w:r>
      <w:r w:rsidR="008D0B8B" w:rsidRPr="00453626">
        <w:rPr>
          <w:rFonts w:ascii="Times New Roman" w:hAnsi="Times New Roman" w:cs="Times New Roman"/>
          <w:sz w:val="24"/>
        </w:rPr>
        <w:t>,</w:t>
      </w:r>
      <w:r w:rsidR="009A20C9" w:rsidRPr="00453626">
        <w:rPr>
          <w:rFonts w:ascii="Times New Roman" w:hAnsi="Times New Roman" w:cs="Times New Roman"/>
          <w:sz w:val="24"/>
        </w:rPr>
        <w:t xml:space="preserve"> </w:t>
      </w:r>
      <w:r w:rsidR="00142C73" w:rsidRPr="00453626">
        <w:rPr>
          <w:rFonts w:ascii="Times New Roman" w:hAnsi="Times New Roman" w:cs="Times New Roman"/>
          <w:sz w:val="24"/>
        </w:rPr>
        <w:t>nutritional quality</w:t>
      </w:r>
      <w:r w:rsidR="008D0B8B" w:rsidRPr="00453626">
        <w:rPr>
          <w:rFonts w:ascii="Times New Roman" w:hAnsi="Times New Roman" w:cs="Times New Roman"/>
          <w:sz w:val="24"/>
        </w:rPr>
        <w:t>, and price</w:t>
      </w:r>
      <w:r w:rsidR="00F03CE2" w:rsidRPr="00453626">
        <w:rPr>
          <w:rFonts w:ascii="Times New Roman" w:hAnsi="Times New Roman" w:cs="Times New Roman"/>
          <w:sz w:val="24"/>
        </w:rPr>
        <w:t xml:space="preserve"> </w:t>
      </w:r>
      <w:r w:rsidR="000F7E58" w:rsidRPr="00453626">
        <w:rPr>
          <w:rFonts w:ascii="Times New Roman" w:hAnsi="Times New Roman" w:cs="Times New Roman"/>
          <w:sz w:val="24"/>
        </w:rPr>
        <w:t>of single</w:t>
      </w:r>
      <w:r w:rsidR="00DE11B6" w:rsidRPr="00453626">
        <w:rPr>
          <w:rFonts w:ascii="Times New Roman" w:hAnsi="Times New Roman" w:cs="Times New Roman"/>
          <w:sz w:val="24"/>
        </w:rPr>
        <w:t>-</w:t>
      </w:r>
      <w:r w:rsidR="000F7E58" w:rsidRPr="00453626">
        <w:rPr>
          <w:rFonts w:ascii="Times New Roman" w:hAnsi="Times New Roman" w:cs="Times New Roman"/>
          <w:sz w:val="24"/>
        </w:rPr>
        <w:t xml:space="preserve">serving snack </w:t>
      </w:r>
      <w:r w:rsidR="00CB0F1B" w:rsidRPr="00453626">
        <w:rPr>
          <w:rFonts w:ascii="Times New Roman" w:hAnsi="Times New Roman" w:cs="Times New Roman"/>
          <w:sz w:val="24"/>
        </w:rPr>
        <w:t xml:space="preserve">food </w:t>
      </w:r>
      <w:r w:rsidR="000F7E58" w:rsidRPr="00453626">
        <w:rPr>
          <w:rFonts w:ascii="Times New Roman" w:hAnsi="Times New Roman" w:cs="Times New Roman"/>
          <w:sz w:val="24"/>
        </w:rPr>
        <w:t xml:space="preserve">products sold by major </w:t>
      </w:r>
      <w:r w:rsidR="00CC6D9F" w:rsidRPr="00453626">
        <w:rPr>
          <w:rFonts w:ascii="Times New Roman" w:hAnsi="Times New Roman" w:cs="Times New Roman"/>
          <w:sz w:val="24"/>
        </w:rPr>
        <w:t>chain</w:t>
      </w:r>
      <w:r w:rsidR="005C3C7D" w:rsidRPr="00453626">
        <w:rPr>
          <w:rFonts w:ascii="Times New Roman" w:hAnsi="Times New Roman" w:cs="Times New Roman"/>
          <w:sz w:val="24"/>
        </w:rPr>
        <w:t>s</w:t>
      </w:r>
      <w:r w:rsidR="000F7E58" w:rsidRPr="00453626">
        <w:rPr>
          <w:rFonts w:ascii="Times New Roman" w:hAnsi="Times New Roman" w:cs="Times New Roman"/>
          <w:sz w:val="24"/>
        </w:rPr>
        <w:t xml:space="preserve"> in the UK</w:t>
      </w:r>
      <w:r w:rsidR="0031614A" w:rsidRPr="00453626">
        <w:rPr>
          <w:rFonts w:ascii="Times New Roman" w:hAnsi="Times New Roman" w:cs="Times New Roman"/>
          <w:sz w:val="24"/>
        </w:rPr>
        <w:t>.</w:t>
      </w:r>
    </w:p>
    <w:p w14:paraId="70FD2A3B" w14:textId="67D4D47C" w:rsidR="00396F23" w:rsidRPr="00453626" w:rsidRDefault="00396F23" w:rsidP="00396F23">
      <w:pPr>
        <w:spacing w:line="360" w:lineRule="auto"/>
        <w:rPr>
          <w:rStyle w:val="Emphasis"/>
          <w:rFonts w:ascii="Times New Roman" w:eastAsiaTheme="minorEastAsia" w:hAnsi="Times New Roman" w:cs="Times New Roman"/>
          <w:i w:val="0"/>
          <w:spacing w:val="15"/>
          <w:sz w:val="24"/>
        </w:rPr>
      </w:pPr>
      <w:r w:rsidRPr="00453626">
        <w:rPr>
          <w:rStyle w:val="Emphasis"/>
          <w:rFonts w:ascii="Times New Roman" w:eastAsiaTheme="minorEastAsia" w:hAnsi="Times New Roman" w:cs="Times New Roman"/>
          <w:i w:val="0"/>
          <w:spacing w:val="15"/>
          <w:sz w:val="24"/>
        </w:rPr>
        <w:t>Methods</w:t>
      </w:r>
    </w:p>
    <w:p w14:paraId="3D8BAB26" w14:textId="77777777" w:rsidR="00396F23" w:rsidRPr="00453626" w:rsidRDefault="007F6ECB" w:rsidP="00396F23">
      <w:pPr>
        <w:spacing w:line="360" w:lineRule="auto"/>
        <w:rPr>
          <w:rFonts w:ascii="Times New Roman" w:hAnsi="Times New Roman" w:cs="Times New Roman"/>
          <w:sz w:val="24"/>
        </w:rPr>
      </w:pPr>
      <w:r w:rsidRPr="00453626">
        <w:rPr>
          <w:rFonts w:ascii="Times New Roman" w:hAnsi="Times New Roman" w:cs="Times New Roman"/>
          <w:sz w:val="24"/>
        </w:rPr>
        <w:t>E</w:t>
      </w:r>
      <w:r w:rsidR="00F03CE2" w:rsidRPr="00453626">
        <w:rPr>
          <w:rFonts w:ascii="Times New Roman" w:hAnsi="Times New Roman" w:cs="Times New Roman"/>
          <w:sz w:val="24"/>
        </w:rPr>
        <w:t xml:space="preserve">nergy </w:t>
      </w:r>
      <w:r w:rsidRPr="00453626">
        <w:rPr>
          <w:rFonts w:ascii="Times New Roman" w:hAnsi="Times New Roman" w:cs="Times New Roman"/>
          <w:sz w:val="24"/>
        </w:rPr>
        <w:t xml:space="preserve">content, nutritional </w:t>
      </w:r>
      <w:r w:rsidR="00F03CE2" w:rsidRPr="00453626">
        <w:rPr>
          <w:rFonts w:ascii="Times New Roman" w:hAnsi="Times New Roman" w:cs="Times New Roman"/>
          <w:sz w:val="24"/>
        </w:rPr>
        <w:t xml:space="preserve">content </w:t>
      </w:r>
      <w:r w:rsidRPr="00453626">
        <w:rPr>
          <w:rFonts w:ascii="Times New Roman" w:hAnsi="Times New Roman" w:cs="Times New Roman"/>
          <w:sz w:val="24"/>
        </w:rPr>
        <w:t xml:space="preserve">and price </w:t>
      </w:r>
      <w:r w:rsidR="00F03CE2" w:rsidRPr="00453626">
        <w:rPr>
          <w:rFonts w:ascii="Times New Roman" w:hAnsi="Times New Roman" w:cs="Times New Roman"/>
          <w:sz w:val="24"/>
        </w:rPr>
        <w:t>of single</w:t>
      </w:r>
      <w:r w:rsidR="00DE11B6" w:rsidRPr="00453626">
        <w:rPr>
          <w:rFonts w:ascii="Times New Roman" w:hAnsi="Times New Roman" w:cs="Times New Roman"/>
          <w:sz w:val="24"/>
        </w:rPr>
        <w:t>-</w:t>
      </w:r>
      <w:r w:rsidR="00F03CE2" w:rsidRPr="00453626">
        <w:rPr>
          <w:rFonts w:ascii="Times New Roman" w:hAnsi="Times New Roman" w:cs="Times New Roman"/>
          <w:sz w:val="24"/>
        </w:rPr>
        <w:t>serving snack products</w:t>
      </w:r>
      <w:r w:rsidRPr="00453626">
        <w:rPr>
          <w:rFonts w:ascii="Times New Roman" w:hAnsi="Times New Roman" w:cs="Times New Roman"/>
          <w:sz w:val="24"/>
        </w:rPr>
        <w:t xml:space="preserve"> were recorded</w:t>
      </w:r>
      <w:r w:rsidR="004F67E4" w:rsidRPr="00453626">
        <w:rPr>
          <w:rFonts w:ascii="Times New Roman" w:hAnsi="Times New Roman" w:cs="Times New Roman"/>
          <w:sz w:val="24"/>
        </w:rPr>
        <w:t xml:space="preserve"> in 2019</w:t>
      </w:r>
      <w:r w:rsidRPr="00453626">
        <w:rPr>
          <w:rFonts w:ascii="Times New Roman" w:hAnsi="Times New Roman" w:cs="Times New Roman"/>
          <w:sz w:val="24"/>
        </w:rPr>
        <w:t xml:space="preserve"> via the websites of 14 </w:t>
      </w:r>
      <w:r w:rsidR="00CB0F1B" w:rsidRPr="00453626">
        <w:rPr>
          <w:rFonts w:ascii="Times New Roman" w:hAnsi="Times New Roman" w:cs="Times New Roman"/>
          <w:sz w:val="24"/>
        </w:rPr>
        <w:t xml:space="preserve">major </w:t>
      </w:r>
      <w:r w:rsidRPr="00453626">
        <w:rPr>
          <w:rFonts w:ascii="Times New Roman" w:hAnsi="Times New Roman" w:cs="Times New Roman"/>
          <w:sz w:val="24"/>
        </w:rPr>
        <w:t>chains (7 supermarkets; 7 coffee shops).</w:t>
      </w:r>
    </w:p>
    <w:p w14:paraId="5BA70CE6" w14:textId="48B7AF1F" w:rsidR="00396F23" w:rsidRPr="00453626" w:rsidRDefault="00396F23" w:rsidP="00396F23">
      <w:pPr>
        <w:spacing w:line="360" w:lineRule="auto"/>
        <w:rPr>
          <w:rStyle w:val="Emphasis"/>
          <w:rFonts w:ascii="Times New Roman" w:eastAsiaTheme="minorEastAsia" w:hAnsi="Times New Roman" w:cs="Times New Roman"/>
          <w:i w:val="0"/>
          <w:spacing w:val="15"/>
          <w:sz w:val="24"/>
        </w:rPr>
      </w:pPr>
      <w:r w:rsidRPr="00453626">
        <w:rPr>
          <w:rStyle w:val="Emphasis"/>
          <w:rFonts w:ascii="Times New Roman" w:eastAsiaTheme="minorEastAsia" w:hAnsi="Times New Roman" w:cs="Times New Roman"/>
          <w:i w:val="0"/>
          <w:spacing w:val="15"/>
          <w:sz w:val="24"/>
        </w:rPr>
        <w:t>Results</w:t>
      </w:r>
    </w:p>
    <w:p w14:paraId="46F0645F" w14:textId="77777777" w:rsidR="00396F23" w:rsidRPr="00453626" w:rsidRDefault="00207D25" w:rsidP="00396F23">
      <w:pPr>
        <w:spacing w:line="360" w:lineRule="auto"/>
        <w:rPr>
          <w:rFonts w:ascii="Times New Roman" w:hAnsi="Times New Roman" w:cs="Times New Roman"/>
          <w:sz w:val="24"/>
        </w:rPr>
      </w:pPr>
      <w:r w:rsidRPr="00453626">
        <w:rPr>
          <w:rFonts w:ascii="Times New Roman" w:hAnsi="Times New Roman" w:cs="Times New Roman"/>
          <w:sz w:val="24"/>
        </w:rPr>
        <w:t>The mean energy content of all eligible snack products (</w:t>
      </w:r>
      <w:r w:rsidR="008D0B8B" w:rsidRPr="00453626">
        <w:rPr>
          <w:rFonts w:ascii="Times New Roman" w:hAnsi="Times New Roman" w:cs="Times New Roman"/>
          <w:sz w:val="24"/>
        </w:rPr>
        <w:t>n=</w:t>
      </w:r>
      <w:r w:rsidRPr="00453626">
        <w:rPr>
          <w:rFonts w:ascii="Times New Roman" w:hAnsi="Times New Roman" w:cs="Times New Roman"/>
          <w:sz w:val="24"/>
        </w:rPr>
        <w:t>22</w:t>
      </w:r>
      <w:r w:rsidR="00C0035E" w:rsidRPr="00453626">
        <w:rPr>
          <w:rFonts w:ascii="Times New Roman" w:hAnsi="Times New Roman" w:cs="Times New Roman"/>
          <w:sz w:val="24"/>
        </w:rPr>
        <w:t>83</w:t>
      </w:r>
      <w:r w:rsidRPr="00453626">
        <w:rPr>
          <w:rFonts w:ascii="Times New Roman" w:hAnsi="Times New Roman" w:cs="Times New Roman"/>
          <w:sz w:val="24"/>
        </w:rPr>
        <w:t>) was</w:t>
      </w:r>
      <w:r w:rsidR="00CE77B5" w:rsidRPr="00453626">
        <w:rPr>
          <w:rFonts w:ascii="Times New Roman" w:hAnsi="Times New Roman" w:cs="Times New Roman"/>
          <w:sz w:val="24"/>
        </w:rPr>
        <w:t xml:space="preserve"> 186</w:t>
      </w:r>
      <w:r w:rsidRPr="00453626">
        <w:rPr>
          <w:rFonts w:ascii="Times New Roman" w:hAnsi="Times New Roman" w:cs="Times New Roman"/>
          <w:sz w:val="24"/>
        </w:rPr>
        <w:t xml:space="preserve"> </w:t>
      </w:r>
      <w:r w:rsidR="00CC6D9F" w:rsidRPr="00453626">
        <w:rPr>
          <w:rFonts w:ascii="Times New Roman" w:hAnsi="Times New Roman" w:cs="Times New Roman"/>
          <w:sz w:val="24"/>
        </w:rPr>
        <w:t xml:space="preserve">kcal </w:t>
      </w:r>
      <w:r w:rsidRPr="00453626">
        <w:rPr>
          <w:rFonts w:ascii="Times New Roman" w:hAnsi="Times New Roman" w:cs="Times New Roman"/>
          <w:sz w:val="24"/>
        </w:rPr>
        <w:t xml:space="preserve">(95% </w:t>
      </w:r>
      <w:r w:rsidR="005C3C7D" w:rsidRPr="00453626">
        <w:rPr>
          <w:rFonts w:ascii="Times New Roman" w:hAnsi="Times New Roman" w:cs="Times New Roman"/>
          <w:sz w:val="24"/>
        </w:rPr>
        <w:t>CI:</w:t>
      </w:r>
      <w:r w:rsidRPr="00453626">
        <w:rPr>
          <w:rFonts w:ascii="Times New Roman" w:hAnsi="Times New Roman" w:cs="Times New Roman"/>
          <w:sz w:val="24"/>
        </w:rPr>
        <w:t xml:space="preserve"> </w:t>
      </w:r>
      <w:r w:rsidR="00CE77B5" w:rsidRPr="00453626">
        <w:rPr>
          <w:rFonts w:ascii="Times New Roman" w:hAnsi="Times New Roman" w:cs="Times New Roman"/>
          <w:sz w:val="24"/>
        </w:rPr>
        <w:t xml:space="preserve">182 </w:t>
      </w:r>
      <w:r w:rsidRPr="00453626">
        <w:rPr>
          <w:rFonts w:ascii="Times New Roman" w:hAnsi="Times New Roman" w:cs="Times New Roman"/>
          <w:sz w:val="24"/>
        </w:rPr>
        <w:t>to</w:t>
      </w:r>
      <w:r w:rsidR="00CE77B5" w:rsidRPr="00453626">
        <w:rPr>
          <w:rFonts w:ascii="Times New Roman" w:hAnsi="Times New Roman" w:cs="Times New Roman"/>
          <w:sz w:val="24"/>
        </w:rPr>
        <w:t xml:space="preserve"> 190</w:t>
      </w:r>
      <w:r w:rsidRPr="00453626">
        <w:rPr>
          <w:rFonts w:ascii="Times New Roman" w:hAnsi="Times New Roman" w:cs="Times New Roman"/>
          <w:sz w:val="24"/>
        </w:rPr>
        <w:t xml:space="preserve">). The </w:t>
      </w:r>
      <w:r w:rsidR="0031614A" w:rsidRPr="00453626">
        <w:rPr>
          <w:rFonts w:ascii="Times New Roman" w:hAnsi="Times New Roman" w:cs="Times New Roman"/>
          <w:sz w:val="24"/>
        </w:rPr>
        <w:t xml:space="preserve">mean </w:t>
      </w:r>
      <w:r w:rsidRPr="00453626">
        <w:rPr>
          <w:rFonts w:ascii="Times New Roman" w:hAnsi="Times New Roman" w:cs="Times New Roman"/>
          <w:sz w:val="24"/>
        </w:rPr>
        <w:t>energy content of the snack products sold at coffee shops (n=</w:t>
      </w:r>
      <w:r w:rsidR="009E221E" w:rsidRPr="00453626">
        <w:rPr>
          <w:rFonts w:ascii="Times New Roman" w:hAnsi="Times New Roman" w:cs="Times New Roman"/>
          <w:sz w:val="24"/>
        </w:rPr>
        <w:t>379</w:t>
      </w:r>
      <w:r w:rsidRPr="00453626">
        <w:rPr>
          <w:rFonts w:ascii="Times New Roman" w:hAnsi="Times New Roman" w:cs="Times New Roman"/>
          <w:sz w:val="24"/>
        </w:rPr>
        <w:t xml:space="preserve">; </w:t>
      </w:r>
      <w:r w:rsidR="009E221E" w:rsidRPr="00453626">
        <w:rPr>
          <w:rFonts w:ascii="Times New Roman" w:hAnsi="Times New Roman" w:cs="Times New Roman"/>
          <w:sz w:val="24"/>
        </w:rPr>
        <w:t xml:space="preserve">282 </w:t>
      </w:r>
      <w:r w:rsidRPr="00453626">
        <w:rPr>
          <w:rFonts w:ascii="Times New Roman" w:hAnsi="Times New Roman" w:cs="Times New Roman"/>
          <w:sz w:val="24"/>
        </w:rPr>
        <w:t xml:space="preserve">kcal; 95% </w:t>
      </w:r>
      <w:r w:rsidR="005C3C7D" w:rsidRPr="00453626">
        <w:rPr>
          <w:rFonts w:ascii="Times New Roman" w:hAnsi="Times New Roman" w:cs="Times New Roman"/>
          <w:sz w:val="24"/>
        </w:rPr>
        <w:t>CI</w:t>
      </w:r>
      <w:r w:rsidR="00CC6D9F" w:rsidRPr="00453626">
        <w:rPr>
          <w:rFonts w:ascii="Times New Roman" w:hAnsi="Times New Roman" w:cs="Times New Roman"/>
          <w:sz w:val="24"/>
        </w:rPr>
        <w:t>:</w:t>
      </w:r>
      <w:r w:rsidRPr="00453626">
        <w:rPr>
          <w:rFonts w:ascii="Times New Roman" w:hAnsi="Times New Roman" w:cs="Times New Roman"/>
          <w:sz w:val="24"/>
        </w:rPr>
        <w:t xml:space="preserve"> </w:t>
      </w:r>
      <w:r w:rsidR="00830476" w:rsidRPr="00453626">
        <w:rPr>
          <w:rFonts w:ascii="Times New Roman" w:hAnsi="Times New Roman" w:cs="Times New Roman"/>
          <w:sz w:val="24"/>
        </w:rPr>
        <w:t xml:space="preserve">269 </w:t>
      </w:r>
      <w:r w:rsidRPr="00453626">
        <w:rPr>
          <w:rFonts w:ascii="Times New Roman" w:hAnsi="Times New Roman" w:cs="Times New Roman"/>
          <w:sz w:val="24"/>
        </w:rPr>
        <w:t>to</w:t>
      </w:r>
      <w:r w:rsidR="00830476" w:rsidRPr="00453626">
        <w:rPr>
          <w:rFonts w:ascii="Times New Roman" w:hAnsi="Times New Roman" w:cs="Times New Roman"/>
          <w:sz w:val="24"/>
        </w:rPr>
        <w:t xml:space="preserve"> 295</w:t>
      </w:r>
      <w:r w:rsidRPr="00453626">
        <w:rPr>
          <w:rFonts w:ascii="Times New Roman" w:hAnsi="Times New Roman" w:cs="Times New Roman"/>
          <w:sz w:val="24"/>
        </w:rPr>
        <w:t>) was significantly higher than the energy content of the snack products sold at supermarket</w:t>
      </w:r>
      <w:r w:rsidR="008D0B8B" w:rsidRPr="00453626">
        <w:rPr>
          <w:rFonts w:ascii="Times New Roman" w:hAnsi="Times New Roman" w:cs="Times New Roman"/>
          <w:sz w:val="24"/>
        </w:rPr>
        <w:t>s</w:t>
      </w:r>
      <w:r w:rsidRPr="00453626">
        <w:rPr>
          <w:rFonts w:ascii="Times New Roman" w:hAnsi="Times New Roman" w:cs="Times New Roman"/>
          <w:sz w:val="24"/>
        </w:rPr>
        <w:t xml:space="preserve"> (n=</w:t>
      </w:r>
      <w:r w:rsidR="009E221E" w:rsidRPr="00453626">
        <w:rPr>
          <w:rFonts w:ascii="Times New Roman" w:hAnsi="Times New Roman" w:cs="Times New Roman"/>
          <w:sz w:val="24"/>
        </w:rPr>
        <w:t>1904</w:t>
      </w:r>
      <w:r w:rsidRPr="00453626">
        <w:rPr>
          <w:rFonts w:ascii="Times New Roman" w:hAnsi="Times New Roman" w:cs="Times New Roman"/>
          <w:sz w:val="24"/>
        </w:rPr>
        <w:t xml:space="preserve">; </w:t>
      </w:r>
      <w:r w:rsidR="00830476" w:rsidRPr="00453626">
        <w:rPr>
          <w:rFonts w:ascii="Times New Roman" w:hAnsi="Times New Roman" w:cs="Times New Roman"/>
          <w:sz w:val="24"/>
        </w:rPr>
        <w:t xml:space="preserve">167 </w:t>
      </w:r>
      <w:r w:rsidRPr="00453626">
        <w:rPr>
          <w:rFonts w:ascii="Times New Roman" w:hAnsi="Times New Roman" w:cs="Times New Roman"/>
          <w:sz w:val="24"/>
        </w:rPr>
        <w:t xml:space="preserve">kcal; 95% </w:t>
      </w:r>
      <w:r w:rsidR="005C3C7D" w:rsidRPr="00453626">
        <w:rPr>
          <w:rFonts w:ascii="Times New Roman" w:hAnsi="Times New Roman" w:cs="Times New Roman"/>
          <w:sz w:val="24"/>
        </w:rPr>
        <w:t>CI</w:t>
      </w:r>
      <w:r w:rsidR="00CC6D9F" w:rsidRPr="00453626">
        <w:rPr>
          <w:rFonts w:ascii="Times New Roman" w:hAnsi="Times New Roman" w:cs="Times New Roman"/>
          <w:sz w:val="24"/>
        </w:rPr>
        <w:t>:</w:t>
      </w:r>
      <w:r w:rsidRPr="00453626">
        <w:rPr>
          <w:rFonts w:ascii="Times New Roman" w:hAnsi="Times New Roman" w:cs="Times New Roman"/>
          <w:sz w:val="24"/>
        </w:rPr>
        <w:t xml:space="preserve"> </w:t>
      </w:r>
      <w:r w:rsidR="00830476" w:rsidRPr="00453626">
        <w:rPr>
          <w:rFonts w:ascii="Times New Roman" w:hAnsi="Times New Roman" w:cs="Times New Roman"/>
          <w:sz w:val="24"/>
        </w:rPr>
        <w:t xml:space="preserve">164 </w:t>
      </w:r>
      <w:r w:rsidRPr="00453626">
        <w:rPr>
          <w:rFonts w:ascii="Times New Roman" w:hAnsi="Times New Roman" w:cs="Times New Roman"/>
          <w:sz w:val="24"/>
        </w:rPr>
        <w:t>to</w:t>
      </w:r>
      <w:r w:rsidR="00830476" w:rsidRPr="00453626">
        <w:rPr>
          <w:rFonts w:ascii="Times New Roman" w:hAnsi="Times New Roman" w:cs="Times New Roman"/>
          <w:sz w:val="24"/>
        </w:rPr>
        <w:t xml:space="preserve"> 170</w:t>
      </w:r>
      <w:r w:rsidRPr="00453626">
        <w:rPr>
          <w:rFonts w:ascii="Times New Roman" w:hAnsi="Times New Roman" w:cs="Times New Roman"/>
          <w:sz w:val="24"/>
        </w:rPr>
        <w:t xml:space="preserve">). </w:t>
      </w:r>
      <w:r w:rsidR="004C0C70" w:rsidRPr="00453626">
        <w:rPr>
          <w:rFonts w:ascii="Times New Roman" w:hAnsi="Times New Roman" w:cs="Times New Roman"/>
          <w:sz w:val="24"/>
        </w:rPr>
        <w:t>79% of s</w:t>
      </w:r>
      <w:r w:rsidRPr="00453626">
        <w:rPr>
          <w:rFonts w:ascii="Times New Roman" w:hAnsi="Times New Roman" w:cs="Times New Roman"/>
          <w:sz w:val="24"/>
        </w:rPr>
        <w:t xml:space="preserve">upermarket </w:t>
      </w:r>
      <w:r w:rsidR="004C0C70" w:rsidRPr="00453626">
        <w:rPr>
          <w:rFonts w:ascii="Times New Roman" w:hAnsi="Times New Roman" w:cs="Times New Roman"/>
          <w:sz w:val="24"/>
        </w:rPr>
        <w:t>snacks</w:t>
      </w:r>
      <w:r w:rsidRPr="00453626">
        <w:rPr>
          <w:rFonts w:ascii="Times New Roman" w:hAnsi="Times New Roman" w:cs="Times New Roman"/>
          <w:sz w:val="24"/>
        </w:rPr>
        <w:t xml:space="preserve"> </w:t>
      </w:r>
      <w:r w:rsidR="00812423" w:rsidRPr="00453626">
        <w:rPr>
          <w:rFonts w:ascii="Times New Roman" w:hAnsi="Times New Roman" w:cs="Times New Roman"/>
          <w:sz w:val="24"/>
        </w:rPr>
        <w:t>exceeded</w:t>
      </w:r>
      <w:r w:rsidRPr="00453626">
        <w:rPr>
          <w:rFonts w:ascii="Times New Roman" w:hAnsi="Times New Roman" w:cs="Times New Roman"/>
          <w:sz w:val="24"/>
        </w:rPr>
        <w:t xml:space="preserve"> </w:t>
      </w:r>
      <w:r w:rsidR="00142C73" w:rsidRPr="00453626">
        <w:rPr>
          <w:rFonts w:ascii="Times New Roman" w:hAnsi="Times New Roman" w:cs="Times New Roman"/>
          <w:sz w:val="24"/>
        </w:rPr>
        <w:t xml:space="preserve">energy </w:t>
      </w:r>
      <w:r w:rsidRPr="00453626">
        <w:rPr>
          <w:rFonts w:ascii="Times New Roman" w:hAnsi="Times New Roman" w:cs="Times New Roman"/>
          <w:sz w:val="24"/>
        </w:rPr>
        <w:t>recommendation</w:t>
      </w:r>
      <w:r w:rsidR="00142C73" w:rsidRPr="00453626">
        <w:rPr>
          <w:rFonts w:ascii="Times New Roman" w:hAnsi="Times New Roman" w:cs="Times New Roman"/>
          <w:sz w:val="24"/>
        </w:rPr>
        <w:t>s</w:t>
      </w:r>
      <w:r w:rsidRPr="00453626">
        <w:rPr>
          <w:rFonts w:ascii="Times New Roman" w:hAnsi="Times New Roman" w:cs="Times New Roman"/>
          <w:sz w:val="24"/>
        </w:rPr>
        <w:t xml:space="preserve"> for children and </w:t>
      </w:r>
      <w:r w:rsidR="009E0204" w:rsidRPr="00453626">
        <w:rPr>
          <w:rFonts w:ascii="Times New Roman" w:hAnsi="Times New Roman" w:cs="Times New Roman"/>
          <w:sz w:val="24"/>
        </w:rPr>
        <w:t>32</w:t>
      </w:r>
      <w:r w:rsidRPr="00453626">
        <w:rPr>
          <w:rFonts w:ascii="Times New Roman" w:hAnsi="Times New Roman" w:cs="Times New Roman"/>
          <w:sz w:val="24"/>
        </w:rPr>
        <w:t xml:space="preserve">% for adults. </w:t>
      </w:r>
      <w:r w:rsidR="004C0C70" w:rsidRPr="00453626">
        <w:rPr>
          <w:rFonts w:ascii="Times New Roman" w:hAnsi="Times New Roman" w:cs="Times New Roman"/>
          <w:sz w:val="24"/>
        </w:rPr>
        <w:t>In</w:t>
      </w:r>
      <w:r w:rsidRPr="00453626">
        <w:rPr>
          <w:rFonts w:ascii="Times New Roman" w:hAnsi="Times New Roman" w:cs="Times New Roman"/>
          <w:sz w:val="24"/>
        </w:rPr>
        <w:t xml:space="preserve"> coffee shops</w:t>
      </w:r>
      <w:r w:rsidR="005C3C7D" w:rsidRPr="00453626">
        <w:rPr>
          <w:rFonts w:ascii="Times New Roman" w:hAnsi="Times New Roman" w:cs="Times New Roman"/>
          <w:sz w:val="24"/>
        </w:rPr>
        <w:t>,</w:t>
      </w:r>
      <w:r w:rsidRPr="00453626">
        <w:rPr>
          <w:rFonts w:ascii="Times New Roman" w:hAnsi="Times New Roman" w:cs="Times New Roman"/>
          <w:sz w:val="24"/>
        </w:rPr>
        <w:t xml:space="preserve"> </w:t>
      </w:r>
      <w:r w:rsidR="009E0204" w:rsidRPr="00453626">
        <w:rPr>
          <w:rFonts w:ascii="Times New Roman" w:hAnsi="Times New Roman" w:cs="Times New Roman"/>
          <w:sz w:val="24"/>
        </w:rPr>
        <w:t>91</w:t>
      </w:r>
      <w:r w:rsidRPr="00453626">
        <w:rPr>
          <w:rFonts w:ascii="Times New Roman" w:hAnsi="Times New Roman" w:cs="Times New Roman"/>
          <w:sz w:val="24"/>
        </w:rPr>
        <w:t>%</w:t>
      </w:r>
      <w:r w:rsidR="00812423" w:rsidRPr="00453626">
        <w:rPr>
          <w:rFonts w:ascii="Times New Roman" w:hAnsi="Times New Roman" w:cs="Times New Roman"/>
          <w:sz w:val="24"/>
        </w:rPr>
        <w:t xml:space="preserve"> exceeded recommendations</w:t>
      </w:r>
      <w:r w:rsidRPr="00453626">
        <w:rPr>
          <w:rFonts w:ascii="Times New Roman" w:hAnsi="Times New Roman" w:cs="Times New Roman"/>
          <w:sz w:val="24"/>
        </w:rPr>
        <w:t xml:space="preserve"> for children and </w:t>
      </w:r>
      <w:r w:rsidR="009E0204" w:rsidRPr="00453626">
        <w:rPr>
          <w:rFonts w:ascii="Times New Roman" w:hAnsi="Times New Roman" w:cs="Times New Roman"/>
          <w:sz w:val="24"/>
        </w:rPr>
        <w:t>73</w:t>
      </w:r>
      <w:r w:rsidRPr="00453626">
        <w:rPr>
          <w:rFonts w:ascii="Times New Roman" w:hAnsi="Times New Roman" w:cs="Times New Roman"/>
          <w:sz w:val="24"/>
        </w:rPr>
        <w:t>% for adults.</w:t>
      </w:r>
      <w:r w:rsidR="00142C73" w:rsidRPr="00453626">
        <w:rPr>
          <w:rFonts w:ascii="Times New Roman" w:hAnsi="Times New Roman" w:cs="Times New Roman"/>
          <w:sz w:val="24"/>
        </w:rPr>
        <w:t xml:space="preserve"> 42% of </w:t>
      </w:r>
      <w:r w:rsidR="00CD7C4E" w:rsidRPr="00453626">
        <w:rPr>
          <w:rFonts w:ascii="Times New Roman" w:hAnsi="Times New Roman" w:cs="Times New Roman"/>
          <w:sz w:val="24"/>
        </w:rPr>
        <w:t>snack</w:t>
      </w:r>
      <w:r w:rsidR="00142C73" w:rsidRPr="00453626">
        <w:rPr>
          <w:rFonts w:ascii="Times New Roman" w:hAnsi="Times New Roman" w:cs="Times New Roman"/>
          <w:sz w:val="24"/>
        </w:rPr>
        <w:t>s were high in saturated fat, 39% were high in sugar and 7% were high in salt.</w:t>
      </w:r>
      <w:r w:rsidR="00CE2DBB" w:rsidRPr="00453626">
        <w:rPr>
          <w:rFonts w:ascii="Times New Roman" w:hAnsi="Times New Roman" w:cs="Times New Roman"/>
          <w:sz w:val="24"/>
        </w:rPr>
        <w:t xml:space="preserve"> Cheaper snack products were more likely to be of low</w:t>
      </w:r>
      <w:r w:rsidR="00812423" w:rsidRPr="00453626">
        <w:rPr>
          <w:rFonts w:ascii="Times New Roman" w:hAnsi="Times New Roman" w:cs="Times New Roman"/>
          <w:sz w:val="24"/>
        </w:rPr>
        <w:t>er</w:t>
      </w:r>
      <w:r w:rsidR="00CE2DBB" w:rsidRPr="00453626">
        <w:rPr>
          <w:rFonts w:ascii="Times New Roman" w:hAnsi="Times New Roman" w:cs="Times New Roman"/>
          <w:sz w:val="24"/>
        </w:rPr>
        <w:t xml:space="preserve"> nutritional quality.</w:t>
      </w:r>
    </w:p>
    <w:p w14:paraId="76A0A2C4" w14:textId="1E8DBCD7" w:rsidR="00396F23" w:rsidRPr="00453626" w:rsidRDefault="00396F23" w:rsidP="00396F23">
      <w:pPr>
        <w:spacing w:line="360" w:lineRule="auto"/>
        <w:rPr>
          <w:rStyle w:val="Emphasis"/>
          <w:rFonts w:ascii="Times New Roman" w:eastAsiaTheme="minorEastAsia" w:hAnsi="Times New Roman" w:cs="Times New Roman"/>
          <w:i w:val="0"/>
          <w:spacing w:val="15"/>
          <w:sz w:val="24"/>
        </w:rPr>
      </w:pPr>
      <w:r w:rsidRPr="00453626">
        <w:rPr>
          <w:rStyle w:val="Emphasis"/>
          <w:rFonts w:ascii="Times New Roman" w:eastAsiaTheme="minorEastAsia" w:hAnsi="Times New Roman" w:cs="Times New Roman"/>
          <w:i w:val="0"/>
          <w:spacing w:val="15"/>
          <w:sz w:val="24"/>
        </w:rPr>
        <w:t>Conclusions</w:t>
      </w:r>
    </w:p>
    <w:p w14:paraId="37DCB30B" w14:textId="0B87DFC8" w:rsidR="00785E43" w:rsidRPr="00453626" w:rsidRDefault="00F96F44" w:rsidP="00396F23">
      <w:pPr>
        <w:spacing w:line="360" w:lineRule="auto"/>
        <w:rPr>
          <w:rFonts w:ascii="Times New Roman" w:hAnsi="Times New Roman" w:cs="Times New Roman"/>
          <w:sz w:val="24"/>
        </w:rPr>
      </w:pPr>
      <w:r w:rsidRPr="00453626">
        <w:rPr>
          <w:rFonts w:ascii="Times New Roman" w:hAnsi="Times New Roman" w:cs="Times New Roman"/>
          <w:bCs/>
          <w:iCs/>
          <w:sz w:val="24"/>
        </w:rPr>
        <w:t xml:space="preserve">The </w:t>
      </w:r>
      <w:r w:rsidR="00A575EA" w:rsidRPr="00453626">
        <w:rPr>
          <w:rFonts w:ascii="Times New Roman" w:hAnsi="Times New Roman" w:cs="Times New Roman"/>
          <w:bCs/>
          <w:iCs/>
          <w:sz w:val="24"/>
        </w:rPr>
        <w:t xml:space="preserve">high </w:t>
      </w:r>
      <w:r w:rsidRPr="00453626">
        <w:rPr>
          <w:rFonts w:ascii="Times New Roman" w:hAnsi="Times New Roman" w:cs="Times New Roman"/>
          <w:bCs/>
          <w:iCs/>
          <w:sz w:val="24"/>
        </w:rPr>
        <w:t>pr</w:t>
      </w:r>
      <w:r w:rsidR="00A575EA" w:rsidRPr="00453626">
        <w:rPr>
          <w:rFonts w:ascii="Times New Roman" w:hAnsi="Times New Roman" w:cs="Times New Roman"/>
          <w:bCs/>
          <w:iCs/>
          <w:sz w:val="24"/>
        </w:rPr>
        <w:t>oportion</w:t>
      </w:r>
      <w:r w:rsidRPr="00453626">
        <w:rPr>
          <w:rFonts w:ascii="Times New Roman" w:hAnsi="Times New Roman" w:cs="Times New Roman"/>
          <w:bCs/>
          <w:iCs/>
          <w:sz w:val="24"/>
        </w:rPr>
        <w:t xml:space="preserve"> of snack products that d</w:t>
      </w:r>
      <w:r w:rsidR="00142C73" w:rsidRPr="00453626">
        <w:rPr>
          <w:rFonts w:ascii="Times New Roman" w:hAnsi="Times New Roman" w:cs="Times New Roman"/>
          <w:bCs/>
          <w:iCs/>
          <w:sz w:val="24"/>
        </w:rPr>
        <w:t>o</w:t>
      </w:r>
      <w:r w:rsidRPr="00453626">
        <w:rPr>
          <w:rFonts w:ascii="Times New Roman" w:hAnsi="Times New Roman" w:cs="Times New Roman"/>
          <w:bCs/>
          <w:iCs/>
          <w:sz w:val="24"/>
        </w:rPr>
        <w:t xml:space="preserve"> not meet public health recommendation</w:t>
      </w:r>
      <w:r w:rsidR="0031614A" w:rsidRPr="00453626">
        <w:rPr>
          <w:rFonts w:ascii="Times New Roman" w:hAnsi="Times New Roman" w:cs="Times New Roman"/>
          <w:bCs/>
          <w:iCs/>
          <w:sz w:val="24"/>
        </w:rPr>
        <w:t>s for</w:t>
      </w:r>
      <w:r w:rsidRPr="00453626">
        <w:rPr>
          <w:rFonts w:ascii="Times New Roman" w:hAnsi="Times New Roman" w:cs="Times New Roman"/>
          <w:bCs/>
          <w:iCs/>
          <w:sz w:val="24"/>
        </w:rPr>
        <w:t xml:space="preserve"> energy content may contribute to </w:t>
      </w:r>
      <w:r w:rsidR="0029512C" w:rsidRPr="00453626">
        <w:rPr>
          <w:rFonts w:ascii="Times New Roman" w:hAnsi="Times New Roman" w:cs="Times New Roman"/>
          <w:bCs/>
          <w:iCs/>
          <w:sz w:val="24"/>
        </w:rPr>
        <w:t xml:space="preserve">the </w:t>
      </w:r>
      <w:r w:rsidRPr="00453626">
        <w:rPr>
          <w:rFonts w:ascii="Times New Roman" w:hAnsi="Times New Roman" w:cs="Times New Roman"/>
          <w:bCs/>
          <w:iCs/>
          <w:sz w:val="24"/>
        </w:rPr>
        <w:t xml:space="preserve">association between snacking and </w:t>
      </w:r>
      <w:r w:rsidR="0029512C" w:rsidRPr="00453626">
        <w:rPr>
          <w:rFonts w:ascii="Times New Roman" w:hAnsi="Times New Roman" w:cs="Times New Roman"/>
          <w:bCs/>
          <w:iCs/>
          <w:sz w:val="24"/>
        </w:rPr>
        <w:t xml:space="preserve">increased </w:t>
      </w:r>
      <w:r w:rsidRPr="00453626">
        <w:rPr>
          <w:rFonts w:ascii="Times New Roman" w:hAnsi="Times New Roman" w:cs="Times New Roman"/>
          <w:bCs/>
          <w:iCs/>
          <w:sz w:val="24"/>
        </w:rPr>
        <w:t>energy intake.</w:t>
      </w:r>
      <w:r w:rsidR="00A575EA" w:rsidRPr="00453626">
        <w:rPr>
          <w:rFonts w:ascii="Times New Roman" w:hAnsi="Times New Roman" w:cs="Times New Roman"/>
          <w:bCs/>
          <w:iCs/>
          <w:sz w:val="24"/>
        </w:rPr>
        <w:t xml:space="preserve"> </w:t>
      </w:r>
      <w:r w:rsidR="005C3C7D" w:rsidRPr="00453626">
        <w:rPr>
          <w:rFonts w:ascii="Times New Roman" w:hAnsi="Times New Roman" w:cs="Times New Roman"/>
          <w:bCs/>
          <w:iCs/>
          <w:sz w:val="24"/>
        </w:rPr>
        <w:t>Public health m</w:t>
      </w:r>
      <w:r w:rsidR="00241F0E" w:rsidRPr="00453626">
        <w:rPr>
          <w:rFonts w:ascii="Times New Roman" w:hAnsi="Times New Roman" w:cs="Times New Roman"/>
          <w:bCs/>
          <w:iCs/>
          <w:sz w:val="24"/>
        </w:rPr>
        <w:t>e</w:t>
      </w:r>
      <w:r w:rsidR="00CE2DBB" w:rsidRPr="00453626">
        <w:rPr>
          <w:rFonts w:ascii="Times New Roman" w:hAnsi="Times New Roman" w:cs="Times New Roman"/>
          <w:bCs/>
          <w:iCs/>
          <w:sz w:val="24"/>
        </w:rPr>
        <w:t>asures to increase</w:t>
      </w:r>
      <w:r w:rsidR="00A575EA" w:rsidRPr="00453626">
        <w:rPr>
          <w:rFonts w:ascii="Times New Roman" w:hAnsi="Times New Roman" w:cs="Times New Roman"/>
          <w:bCs/>
          <w:iCs/>
          <w:sz w:val="24"/>
        </w:rPr>
        <w:t xml:space="preserve"> the availability</w:t>
      </w:r>
      <w:r w:rsidR="005C3C7D" w:rsidRPr="00453626">
        <w:rPr>
          <w:rFonts w:ascii="Times New Roman" w:hAnsi="Times New Roman" w:cs="Times New Roman"/>
          <w:bCs/>
          <w:iCs/>
          <w:sz w:val="24"/>
        </w:rPr>
        <w:t xml:space="preserve"> and reduce the </w:t>
      </w:r>
      <w:r w:rsidR="00CC6D9F" w:rsidRPr="00453626">
        <w:rPr>
          <w:rFonts w:ascii="Times New Roman" w:hAnsi="Times New Roman" w:cs="Times New Roman"/>
          <w:bCs/>
          <w:iCs/>
          <w:sz w:val="24"/>
        </w:rPr>
        <w:t>price</w:t>
      </w:r>
      <w:r w:rsidR="00A575EA" w:rsidRPr="00453626">
        <w:rPr>
          <w:rFonts w:ascii="Times New Roman" w:hAnsi="Times New Roman" w:cs="Times New Roman"/>
          <w:bCs/>
          <w:iCs/>
          <w:sz w:val="24"/>
        </w:rPr>
        <w:t xml:space="preserve"> of snack products </w:t>
      </w:r>
      <w:r w:rsidR="00CE2DBB" w:rsidRPr="00453626">
        <w:rPr>
          <w:rFonts w:ascii="Times New Roman" w:hAnsi="Times New Roman" w:cs="Times New Roman"/>
          <w:bCs/>
          <w:iCs/>
          <w:sz w:val="24"/>
        </w:rPr>
        <w:t xml:space="preserve">that </w:t>
      </w:r>
      <w:r w:rsidR="0031614A" w:rsidRPr="00453626">
        <w:rPr>
          <w:rFonts w:ascii="Times New Roman" w:hAnsi="Times New Roman" w:cs="Times New Roman"/>
          <w:bCs/>
          <w:iCs/>
          <w:sz w:val="24"/>
        </w:rPr>
        <w:t>meet public health energy content recommendations</w:t>
      </w:r>
      <w:r w:rsidR="00DB1D1A" w:rsidRPr="00453626">
        <w:rPr>
          <w:rFonts w:ascii="Times New Roman" w:hAnsi="Times New Roman" w:cs="Times New Roman"/>
          <w:bCs/>
          <w:iCs/>
          <w:sz w:val="24"/>
        </w:rPr>
        <w:t xml:space="preserve"> </w:t>
      </w:r>
      <w:r w:rsidR="005C3C7D" w:rsidRPr="00453626">
        <w:rPr>
          <w:rFonts w:ascii="Times New Roman" w:hAnsi="Times New Roman" w:cs="Times New Roman"/>
          <w:bCs/>
          <w:iCs/>
          <w:sz w:val="24"/>
        </w:rPr>
        <w:t xml:space="preserve">may </w:t>
      </w:r>
      <w:r w:rsidR="0031614A" w:rsidRPr="00453626">
        <w:rPr>
          <w:rFonts w:ascii="Times New Roman" w:hAnsi="Times New Roman" w:cs="Times New Roman"/>
          <w:bCs/>
          <w:iCs/>
          <w:sz w:val="24"/>
        </w:rPr>
        <w:t xml:space="preserve">reduce </w:t>
      </w:r>
      <w:r w:rsidR="005C3C7D" w:rsidRPr="00453626">
        <w:rPr>
          <w:rFonts w:ascii="Times New Roman" w:hAnsi="Times New Roman" w:cs="Times New Roman"/>
          <w:bCs/>
          <w:iCs/>
          <w:sz w:val="24"/>
        </w:rPr>
        <w:t>population level obesity</w:t>
      </w:r>
      <w:r w:rsidR="00A575EA" w:rsidRPr="00453626">
        <w:rPr>
          <w:rFonts w:ascii="Times New Roman" w:hAnsi="Times New Roman" w:cs="Times New Roman"/>
          <w:bCs/>
          <w:iCs/>
          <w:sz w:val="24"/>
        </w:rPr>
        <w:t>.</w:t>
      </w:r>
    </w:p>
    <w:p w14:paraId="553DDC6C" w14:textId="77777777" w:rsidR="00635443" w:rsidRPr="00453626" w:rsidRDefault="00635443" w:rsidP="00396F23">
      <w:pPr>
        <w:spacing w:line="360" w:lineRule="auto"/>
        <w:rPr>
          <w:rFonts w:ascii="Times New Roman" w:hAnsi="Times New Roman" w:cs="Times New Roman"/>
          <w:bCs/>
          <w:iCs/>
          <w:sz w:val="24"/>
        </w:rPr>
      </w:pPr>
      <w:r w:rsidRPr="00453626">
        <w:rPr>
          <w:rFonts w:ascii="Times New Roman" w:hAnsi="Times New Roman" w:cs="Times New Roman"/>
          <w:bCs/>
          <w:iCs/>
          <w:sz w:val="24"/>
        </w:rPr>
        <w:br w:type="page"/>
      </w:r>
    </w:p>
    <w:p w14:paraId="28CD6F4F" w14:textId="77777777" w:rsidR="000F0266" w:rsidRPr="00453626" w:rsidRDefault="000F0266" w:rsidP="00396F23">
      <w:pPr>
        <w:spacing w:line="360" w:lineRule="auto"/>
        <w:rPr>
          <w:rFonts w:ascii="Times New Roman" w:hAnsi="Times New Roman" w:cs="Times New Roman"/>
          <w:b/>
          <w:sz w:val="24"/>
        </w:rPr>
      </w:pPr>
      <w:r w:rsidRPr="00453626">
        <w:rPr>
          <w:rFonts w:ascii="Times New Roman" w:hAnsi="Times New Roman" w:cs="Times New Roman"/>
          <w:b/>
          <w:sz w:val="24"/>
        </w:rPr>
        <w:lastRenderedPageBreak/>
        <w:t>Introduction</w:t>
      </w:r>
    </w:p>
    <w:p w14:paraId="43FBC300" w14:textId="0CFCB0C4" w:rsidR="00785A67" w:rsidRPr="00453626" w:rsidRDefault="008B1FBC" w:rsidP="00396F23">
      <w:pPr>
        <w:spacing w:line="360" w:lineRule="auto"/>
        <w:rPr>
          <w:rFonts w:ascii="Times New Roman" w:hAnsi="Times New Roman" w:cs="Times New Roman"/>
          <w:bCs/>
          <w:sz w:val="24"/>
        </w:rPr>
      </w:pPr>
      <w:r w:rsidRPr="00453626">
        <w:rPr>
          <w:rFonts w:ascii="Times New Roman" w:hAnsi="Times New Roman" w:cs="Times New Roman"/>
          <w:sz w:val="24"/>
        </w:rPr>
        <w:t xml:space="preserve">Increases in </w:t>
      </w:r>
      <w:r w:rsidR="00CE2DBB" w:rsidRPr="00453626">
        <w:rPr>
          <w:rFonts w:ascii="Times New Roman" w:hAnsi="Times New Roman" w:cs="Times New Roman"/>
          <w:sz w:val="24"/>
        </w:rPr>
        <w:t xml:space="preserve">daily </w:t>
      </w:r>
      <w:r w:rsidRPr="00453626">
        <w:rPr>
          <w:rFonts w:ascii="Times New Roman" w:hAnsi="Times New Roman" w:cs="Times New Roman"/>
          <w:sz w:val="24"/>
        </w:rPr>
        <w:t xml:space="preserve">energy intake triggered by major changes to the food environment have been identified as a key </w:t>
      </w:r>
      <w:r w:rsidR="00CE2DBB" w:rsidRPr="00453626">
        <w:rPr>
          <w:rFonts w:ascii="Times New Roman" w:hAnsi="Times New Roman" w:cs="Times New Roman"/>
          <w:sz w:val="24"/>
        </w:rPr>
        <w:t>contributor</w:t>
      </w:r>
      <w:r w:rsidR="0097777B" w:rsidRPr="00453626">
        <w:rPr>
          <w:rFonts w:ascii="Times New Roman" w:hAnsi="Times New Roman" w:cs="Times New Roman"/>
          <w:sz w:val="24"/>
        </w:rPr>
        <w:t xml:space="preserve"> to</w:t>
      </w:r>
      <w:r w:rsidRPr="00453626">
        <w:rPr>
          <w:rFonts w:ascii="Times New Roman" w:hAnsi="Times New Roman" w:cs="Times New Roman"/>
          <w:sz w:val="24"/>
        </w:rPr>
        <w:t xml:space="preserve"> overweight and obesity </w:t>
      </w:r>
      <w:r w:rsidR="00CD590F" w:rsidRPr="00453626">
        <w:rPr>
          <w:rFonts w:ascii="Times New Roman" w:hAnsi="Times New Roman" w:cs="Times New Roman"/>
          <w:sz w:val="24"/>
        </w:rPr>
        <w:t>worldwide</w:t>
      </w:r>
      <w:r w:rsidR="00A534A9" w:rsidRPr="00453626">
        <w:rPr>
          <w:rFonts w:ascii="Times New Roman" w:hAnsi="Times New Roman" w:cs="Times New Roman"/>
          <w:sz w:val="24"/>
        </w:rPr>
        <w:t>.</w:t>
      </w:r>
      <w:r w:rsidR="00C86CE8" w:rsidRPr="00453626">
        <w:rPr>
          <w:rFonts w:ascii="Times New Roman" w:hAnsi="Times New Roman" w:cs="Times New Roman"/>
          <w:sz w:val="24"/>
        </w:rPr>
        <w:fldChar w:fldCharType="begin" w:fldLock="1"/>
      </w:r>
      <w:r w:rsidR="001E7A57" w:rsidRPr="00453626">
        <w:rPr>
          <w:rFonts w:ascii="Times New Roman" w:hAnsi="Times New Roman" w:cs="Times New Roman"/>
          <w:sz w:val="24"/>
        </w:rPr>
        <w:instrText>ADDIN CSL_CITATION {"citationItems":[{"id":"ITEM-1","itemData":{"DOI":"10.3945/ajcn.2009.28595.1","author":[{"dropping-particle":"","family":"Swinburn","given":"Boyd","non-dropping-particle":"","parse-names":false,"suffix":""},{"dropping-particle":"","family":"Sacks","given":"Gary","non-dropping-particle":"","parse-names":false,"suffix":""},{"dropping-particle":"","family":"Ravussin","given":"Eric","non-dropping-particle":"","parse-names":false,"suffix":""}],"container-title":"American Journal of Clinical Nutrition","id":"ITEM-1","issued":{"date-parts":[["2009"]]},"page":"1453-1456","title":"Increased food energy supply is more than sufficient to explain the US epidemic of obesity","type":"article-journal","volume":"90"},"uris":["http://www.mendeley.com/documents/?uuid=a9b08c28-ee3d-472d-8887-1e094fa3093d"]},{"id":"ITEM-2","itemData":{"DOI":"10.2471/blt.14.150565","ISSN":"0042-9686","abstract":"Objective We investigated associations between changes in national food energy supply and in average population body weight. Methods We collected data from 24 high-, 27 middle- and 18 low-income countries on the average measured body weight from global databases, national health and nutrition survey reports and peer-reviewed papers. Changes in average body weight were derived from study pairs that were at least four years apart (various years, 1971–2010). Selected study pairs were considered to be representative of an adolescent or adult population, at national or subnational scale. Food energy supply data were retrieved from the Food and Agriculture Organization of the United Nations food balance sheets. We estimated the population energy requirements at survey time points using Institute of Medicine equations. Finally, we estimated the change in energy intake that could theoretically account for the observed change in average body weight using an experimentally-validated model. Findings In 56 countries, an increase in food energy supply was associated with an increase in average body weight. In 45 countries, the increase in food energy supply was higher than the model-predicted increase in energy intake. The association between change in food energy supply and change in body weight was statistically significant overall and for high-income countries (P &lt; 0.001). Conclusion The findings suggest that increases in food energy supply are sufficient to explain increases in average population body weight, especially in high-income countries. Policy efforts are needed to improve the healthiness of food systems and environments to reduce global obesity.","author":[{"dropping-particle":"","family":"Vandevijvere","given":"Stefanie","non-dropping-particle":"","parse-names":false,"suffix":""},{"dropping-particle":"","family":"Chow","given":"Carson C","non-dropping-particle":"","parse-names":false,"suffix":""},{"dropping-particle":"","family":"Hall","given":"Kevin D","non-dropping-particle":"","parse-names":false,"suffix":""},{"dropping-particle":"","family":"Umali","given":"Elaine","non-dropping-particle":"","parse-names":false,"suffix":""},{"dropping-particle":"","family":"Swinburn","given":"Boyd A","non-dropping-particle":"","parse-names":false,"suffix":""}],"container-title":"Bulletin of the World Health Organization","id":"ITEM-2","issue":"7","issued":{"date-parts":[["2015"]]},"page":"446-456","title":"Increased food energy supply as a major driver of the obesity epidemic: a global analysis","type":"article-journal","volume":"93"},"uris":["http://www.mendeley.com/documents/?uuid=8fd1e2e9-9e61-4dfb-8895-2bbfc9c471ac"]},{"id":"ITEM-3","itemData":{"DOI":"10.1016/S0140-6736(11)60813-1","ISSN":"01406736","abstract":"The simultaneous increases in obesity in almost all countries seem to be driven mainly by changes in the global food system, which is producing more processed, affordable, and effectively marketed food than ever before. This passive overconsumption of energy leading to obesity is a predictable outcome of market economies predicated on consumption-based growth. The global food system drivers interact with local environmental factors to create a wide variation in obesity prevalence between populations. Within populations, the interactions between environmental and individual factors, including genetic makeup, explain variability in body size between individuals. However, even with this individual variation, the epidemic has predictable patterns in subpopulations. In low-income countries, obesity mostly affects middle-aged adults (especially women) from wealthy, urban environments; whereas in high-income countries it affects both sexes and all ages, but is disproportionately greater in disadvantaged groups. Unlike other major causes of preventable death and disability, such as tobacco use, injuries, and infectious diseases, there are no exemplar populations in which the obesity epidemic has been reversed by public health measures. This absence increases the urgency for evidence-creating policy action, with a priority on reduction of the supply-side drivers. © 2011 Elsevier Ltd.","author":[{"dropping-particle":"","family":"Swinburn","given":"Boyd A.","non-dropping-particle":"","parse-names":false,"suffix":""},{"dropping-particle":"","family":"Sacks","given":"Gary","non-dropping-particle":"","parse-names":false,"suffix":""},{"dropping-particle":"","family":"Hall","given":"Kevin D.","non-dropping-particle":"","parse-names":false,"suffix":""},{"dropping-particle":"","family":"McPherson","given":"Klim","non-dropping-particle":"","parse-names":false,"suffix":""},{"dropping-particle":"","family":"Finegood","given":"Diane T.","non-dropping-particle":"","parse-names":false,"suffix":""},{"dropping-particle":"","family":"Moodie","given":"Marjory L.","non-dropping-particle":"","parse-names":false,"suffix":""},{"dropping-particle":"","family":"Gortmaker","given":"Steven L.","non-dropping-particle":"","parse-names":false,"suffix":""}],"container-title":"The Lancet","id":"ITEM-3","issue":"9793","issued":{"date-parts":[["2011"]]},"page":"804-814","title":"The global obesity pandemic: Shaped by global drivers and local environments","type":"article-journal","volume":"378"},"uris":["http://www.mendeley.com/documents/?uuid=ec00072b-afdf-4a49-9dc7-349c01bb4169"]},{"id":"ITEM-4","itemData":{"DOI":"10.1016/S0140-6736(14)60460-8","ISSN":"1474547X","PMID":"24880830","abstract":"Background In 2010, overweight and obesity were estimated to cause 3·4 million deaths, 3·9% of years of life lost, and 3·8% of disability-adjusted life-years (DALYs) worldwide. The rise in obesity has led to widespread calls for regular monitoring of changes in overweight and obesity prevalence in all populations. Comparable, up-to-date information about levels and trends is essential to quantify population health effects and to prompt decision makers to prioritise action. We estimate the global, regional, and national prevalence of overweight and obesity in children and adults during 1980-2013. Methods We systematically identified surveys, reports, and published studies (n=1769) that included data for height and weight, both through physical measurements and self-reports. We used mixed effects linear regression to correct for bias in self-reports. We obtained data for prevalence of obesity and overweight by age, sex, country, and year (n=19 244) with a spatiotemporal Gaussian process regression model to estimate prevalence with 95% uncertainty intervals (UIs). Findings Worldwide, the proportion of adults with a body-mass index (BMI) of 25 kg/m2 or greater increased between 1980 and 2013 from 28·8% (95% UI 28·4-29·3) to 36·9% (36·3-37·4) in men, and from 29·8% (29·3- 30·2) to 38·0% (37·5-38·5) in women. Prevalence has increased substantially in children and adolescents in developed countries; 23·8% (22·9-24·7) of boys and 22·6% (21·7-23·6) of girls were overweight or obese in 2013. The prevalence of overweight and obesity has also increased in children and adolescents in developing countries, from 8·1% (7·7-8·6) to 12·9% (12·3-13·5) in 2013 for boys and from 8·4% (8·1-8·8) to 13·4% (13·0-13·9) in girls. In adults, estimated prevalence of obesity exceeded 50% in men in Tonga and in women in Kuwait, Kiribati, Federated States of Micronesia, Libya, Qatar, Tonga, and Samoa. Since 2006, the increase in adult obesity in developed countries has slowed down. Interpretation Because of the established health risks and substantial increases in prevalence, obesity has become a major global health challenge. Not only is obesity increasing, but no national success stories have been reported in the past 33 years. Urgent global action and leadership is needed to help countries to more effectively intervene. Funding Bill &amp; Melinda Gates Foundation. © 2014 Elsevier Ltd.","author":[{"dropping-particle":"","family":"Ng","given":"Marie","non-dropping-particle":"","parse-names":false,"suffix":""},{"dropping-particle":"","family":"Fleming","given":"Tom","non-dropping-particle":"","parse-names":false,"suffix":""},{"dropping-particle":"","family":"Robinson","given":"Margaret","non-dropping-particle":"","parse-names":false,"suffix":""},{"dropping-particle":"","family":"Thomson","given":"Blake","non-dropping-particle":"","parse-names":false,"suffix":""},{"dropping-particle":"","family":"Graetz","given":"Nicholas","non-dropping-particle":"","parse-names":false,"suffix":""},{"dropping-particle":"","family":"Margono","given":"Christopher","non-dropping-particle":"","parse-names":false,"suffix":""},{"dropping-particle":"","family":"Mullany","given":"Erin C.","non-dropping-particle":"","parse-names":false,"suffix":""},{"dropping-particle":"","family":"Biryukov","given":"Stan","non-dropping-particle":"","parse-names":false,"suffix":""},{"dropping-particle":"","family":"Abbafati","given":"Cristiana","non-dropping-particle":"","parse-names":false,"suffix":""},{"dropping-particle":"","family":"Abera","given":"Semaw Ferede","non-dropping-particle":"","parse-names":false,"suffix":""},{"dropping-particle":"","family":"Abraham","given":"Jerry P.","non-dropping-particle":"","parse-names":false,"suffix":""},{"dropping-particle":"","family":"Abu-Rmeileh","given":"Niveen M.E.","non-dropping-particle":"","parse-names":false,"suffix":""},{"dropping-particle":"","family":"Achoki","given":"Tom","non-dropping-particle":"","parse-names":false,"suffix":""},{"dropping-particle":"","family":"Albuhairan","given":"Fadia S.","non-dropping-particle":"","parse-names":false,"suffix":""},{"dropping-particle":"","family":"Alemu","given":"Zewdie A.","non-dropping-particle":"","parse-names":false,"suffix":""},{"dropping-particle":"","family":"Alfonso","given":"Rafael","non-dropping-particle":"","parse-names":false,"suffix":""},{"dropping-particle":"","family":"Ali","given":"Mohammed K.","non-dropping-particle":"","parse-names":false,"suffix":""},{"dropping-particle":"","family":"Ali","given":"Raghib","non-dropping-particle":"","parse-names":false,"suffix":""},{"dropping-particle":"","family":"Guzman","given":"Nelson Alvis","non-dropping-particle":"","parse-names":false,"suffix":""},{"dropping-particle":"","family":"Ammar","given":"Walid","non-dropping-particle":"","parse-names":false,"suffix":""},{"dropping-particle":"","family":"Anwari","given":"Palwasha","non-dropping-particle":"","parse-names":false,"suffix":""},{"dropping-particle":"","family":"Banerjee","given":"Amitava","non-dropping-particle":"","parse-names":false,"suffix":""},{"dropping-particle":"","family":"Barquera","given":"Simon","non-dropping-particle":"","parse-names":false,"suffix":""},{"dropping-particle":"","family":"Basu","given":"Sanjay","non-dropping-particle":"","parse-names":false,"suffix":""},{"dropping-particle":"","family":"Bennett","given":"Derrick A.","non-dropping-particle":"","parse-names":false,"suffix":""},{"dropping-particle":"","family":"Bhutta","given":"Zulfiqar","non-dropping-particle":"","parse-names":false,"suffix":""},{"dropping-particle":"","family":"Blore","given":"Jed","non-dropping-particle":"","parse-names":false,"suffix":""},{"dropping-particle":"","family":"Cabral","given":"Norberto","non-dropping-particle":"","parse-names":false,"suffix":""},{"dropping-particle":"","family":"Nonato","given":"Ismael Campos","non-dropping-particle":"","parse-names":false,"suffix":""},{"dropping-particle":"","family":"Chang","given":"Jung Chen","non-dropping-particle":"","parse-names":false,"suffix":""},{"dropping-particle":"","family":"Chowdhury","given":"Rajiv","non-dropping-particle":"","parse-names":false,"suffix":""},{"dropping-particle":"","family":"Courville","given":"Karen J.","non-dropping-particle":"","parse-names":false,"suffix":""},{"dropping-particle":"","family":"Criqui","given":"Michael H.","non-dropping-particle":"","parse-names":false,"suffix":""},{"dropping-particle":"","family":"Cundiff","given":"David K.","non-dropping-particle":"","parse-names":false,"suffix":""},{"dropping-particle":"","family":"Dabhadkar","given":"Kaustubh C.","non-dropping-particle":"","parse-names":false,"suffix":""},{"dropping-particle":"","family":"Dandona","given":"Lalit","non-dropping-particle":"","parse-names":false,"suffix":""},{"dropping-particle":"","family":"Davis","given":"Adrian","non-dropping-particle":"","parse-names":false,"suffix":""},{"dropping-particle":"","family":"Dayama","given":"Anand","non-dropping-particle":"","parse-names":false,"suffix":""},{"dropping-particle":"","family":"Dharmaratne","given":"Samath D.","non-dropping-particle":"","parse-names":false,"suffix":""},{"dropping-particle":"","family":"Ding","given":"Eric L.","non-dropping-particle":"","parse-names":false,"suffix":""},{"dropping-particle":"","family":"Durrani","given":"Adnan M.","non-dropping-particle":"","parse-names":false,"suffix":""},{"dropping-particle":"","family":"Esteghamati","given":"Alireza","non-dropping-particle":"","parse-names":false,"suffix":""},{"dropping-particle":"","family":"Farzadfar","given":"Farshad","non-dropping-particle":"","parse-names":false,"suffix":""},{"dropping-particle":"","family":"Fay","given":"Derek F.J.","non-dropping-particle":"","parse-names":false,"suffix":""},{"dropping-particle":"","family":"Feigin","given":"Valery L.","non-dropping-particle":"","parse-names":false,"suffix":""},{"dropping-particle":"","family":"Flaxman","given":"Abraham","non-dropping-particle":"","parse-names":false,"suffix":""},{"dropping-particle":"","family":"Forouzanfar","given":"Mohammad H.","non-dropping-particle":"","parse-names":false,"suffix":""},{"dropping-particle":"","family":"Goto","given":"Atsushi","non-dropping-particle":"","parse-names":false,"suffix":""},{"dropping-particle":"","family":"Green","given":"Mark A.","non-dropping-particle":"","parse-names":false,"suffix":""},{"dropping-particle":"","family":"Gupta","given":"Rajeev","non-dropping-particle":"","parse-names":false,"suffix":""},{"dropping-particle":"","family":"Hafezi-Nejad","given":"Nima","non-dropping-particle":"","parse-names":false,"suffix":""},{"dropping-particle":"","family":"Hankey","given":"Graeme J.","non-dropping-particle":"","parse-names":false,"suffix":""},{"dropping-particle":"","family":"Harewood","given":"Heather C.","non-dropping-particle":"","parse-names":false,"suffix":""},{"dropping-particle":"","family":"Havmoeller","given":"Rasmus","non-dropping-particle":"","parse-names":false,"suffix":""},{"dropping-particle":"","family":"Hay","given":"Simon","non-dropping-particle":"","parse-names":false,"suffix":""},{"dropping-particle":"","family":"Hernandez","given":"Lucia","non-dropping-particle":"","parse-names":false,"suffix":""},{"dropping-particle":"","family":"Husseini","given":"Abdullatif","non-dropping-particle":"","parse-names":false,"suffix":""},{"dropping-particle":"","family":"Idrisov","given":"Bulat T.","non-dropping-particle":"","parse-names":false,"suffix":""},{"dropping-particle":"","family":"Ikeda","given":"Nayu","non-dropping-particle":"","parse-names":false,"suffix":""},{"dropping-particle":"","family":"Islami","given":"Farhad","non-dropping-particle":"","parse-names":false,"suffix":""},{"dropping-particle":"","family":"Jahangir","given":"Eiman","non-dropping-particle":"","parse-names":false,"suffix":""},{"dropping-particle":"","family":"Jassal","given":"Simerjot K.","non-dropping-particle":"","parse-names":false,"suffix":""},{"dropping-particle":"","family":"Jee","given":"Sun Ha","non-dropping-particle":"","parse-names":false,"suffix":""},{"dropping-particle":"","family":"Jeffreys","given":"Mona","non-dropping-particle":"","parse-names":false,"suffix":""},{"dropping-particle":"","family":"Jonas","given":"Jost B.","non-dropping-particle":"","parse-names":false,"suffix":""},{"dropping-particle":"","family":"Kabagambe","given":"Edmond K.","non-dropping-particle":"","parse-names":false,"suffix":""},{"dropping-particle":"","family":"Khalifa","given":"Shams Eldin Ali Hassan","non-dropping-particle":"","parse-names":false,"suffix":""},{"dropping-particle":"","family":"Kengne","given":"Andre Pascal","non-dropping-particle":"","parse-names":false,"suffix":""},{"dropping-particle":"","family":"Khader","given":"Yousef Saleh","non-dropping-particle":"","parse-names":false,"suffix":""},{"dropping-particle":"","family":"Khang","given":"Young Ho","non-dropping-particle":"","parse-names":false,"suffix":""},{"dropping-particle":"","family":"Kim","given":"Daniel","non-dropping-particle":"","parse-names":false,"suffix":""},{"dropping-particle":"","family":"Kimokoti","given":"Ruth W.","non-dropping-particle":"","parse-names":false,"suffix":""},{"dropping-particle":"","family":"Kinge","given":"Jonas M.","non-dropping-particle":"","parse-names":false,"suffix":""},{"dropping-particle":"","family":"Kokubo","given":"Yoshihiro","non-dropping-particle":"","parse-names":false,"suffix":""},{"dropping-particle":"","family":"Kosen","given":"Soewarta","non-dropping-particle":"","parse-names":false,"suffix":""},{"dropping-particle":"","family":"Kwan","given":"Gene","non-dropping-particle":"","parse-names":false,"suffix":""},{"dropping-particle":"","family":"Lai","given":"Taavi","non-dropping-particle":"","parse-names":false,"suffix":""},{"dropping-particle":"","family":"Leinsalu","given":"Mall","non-dropping-particle":"","parse-names":false,"suffix":""},{"dropping-particle":"","family":"Li","given":"Yichong","non-dropping-particle":"","parse-names":false,"suffix":""},{"dropping-particle":"","family":"Liang","given":"Xiaofeng","non-dropping-particle":"","parse-names":false,"suffix":""},{"dropping-particle":"","family":"Liu","given":"Shiwei","non-dropping-particle":"","parse-names":false,"suffix":""},{"dropping-particle":"","family":"Logroscino","given":"Giancarlo","non-dropping-particle":"","parse-names":false,"suffix":""},{"dropping-particle":"","family":"Lotufo","given":"Paulo A.","non-dropping-particle":"","parse-names":false,"suffix":""},{"dropping-particle":"","family":"Lu","given":"Yuan","non-dropping-particle":"","parse-names":false,"suffix":""},{"dropping-particle":"","family":"Ma","given":"Jixiang","non-dropping-particle":"","parse-names":false,"suffix":""},{"dropping-particle":"","family":"Mainoo","given":"Nana Kwaku","non-dropping-particle":"","parse-names":false,"suffix":""},{"dropping-particle":"","family":"Mensah","given":"George A.","non-dropping-particle":"","parse-names":false,"suffix":""},{"dropping-particle":"","family":"Merriman","given":"Tony R.","non-dropping-particle":"","parse-names":false,"suffix":""},{"dropping-particle":"","family":"Mokdad","given":"Ali H.","non-dropping-particle":"","parse-names":false,"suffix":""},{"dropping-particle":"","family":"Moschandreas","given":"Joanna","non-dropping-particle":"","parse-names":false,"suffix":""},{"dropping-particle":"","family":"Naghavi","given":"Mohsen","non-dropping-particle":"","parse-names":false,"suffix":""},{"dropping-particle":"","family":"Naheed","given":"Aliya","non-dropping-particle":"","parse-names":false,"suffix":""},{"dropping-particle":"","family":"Nand","given":"Devina","non-dropping-particle":"","parse-names":false,"suffix":""},{"dropping-particle":"","family":"Narayan","given":"K. M.Venkat","non-dropping-particle":"","parse-names":false,"suffix":""},{"dropping-particle":"","family":"Nelson","given":"Erica Leigh","non-dropping-particle":"","parse-names":false,"suffix":""},{"dropping-particle":"","family":"Neuhouser","given":"Marian L.","non-dropping-particle":"","parse-names":false,"suffix":""},{"dropping-particle":"","family":"Nisar","given":"Muhammad Imran","non-dropping-particle":"","parse-names":false,"suffix":""},{"dropping-particle":"","family":"Ohkubo","given":"Takayoshi","non-dropping-particle":"","parse-names":false,"suffix":""},{"dropping-particle":"","family":"Oti","given":"Samuel O.","non-dropping-particle":"","parse-names":false,"suffix":""},{"dropping-particle":"","family":"Pedroza","given":"Andrea","non-dropping-particle":"","parse-names":false,"suffix":""},{"dropping-particle":"","family":"Prabhakaran","given":"Dorairaj","non-dropping-particle":"","parse-names":false,"suffix":""},{"dropping-particle":"","family":"Roy","given":"Nobhojit","non-dropping-particle":"","parse-names":false,"suffix":""},{"dropping-particle":"","family":"Sampson","given":"Uchechukwu","non-dropping-particle":"","parse-names":false,"suffix":""},{"dropping-particle":"","family":"Seo","given":"Hyeyoung","non-dropping-particle":"","parse-names":false,"suffix":""},{"dropping-particle":"","family":"Sepanlou","given":"Sadaf G.","non-dropping-particle":"","parse-names":false,"suffix":""},{"dropping-particle":"","family":"Shibuya","given":"Kenji","non-dropping-particle":"","parse-names":false,"suffix":""},{"dropping-particle":"","family":"Shiri","given":"Rahman","non-dropping-particle":"","parse-names":false,"suffix":""},{"dropping-particle":"","family":"Shiue","given":"Ivy","non-dropping-particle":"","parse-names":false,"suffix":""},{"dropping-particle":"","family":"Singh","given":"Gitanjali M.","non-dropping-particle":"","parse-names":false,"suffix":""},{"dropping-particle":"","family":"Singh","given":"Jasvinder A.","non-dropping-particle":"","parse-names":false,"suffix":""},{"dropping-particle":"","family":"Skirbekk","given":"Vegard","non-dropping-particle":"","parse-names":false,"suffix":""},{"dropping-particle":"","family":"Stapelberg","given":"Nicolas J.C.","non-dropping-particle":"","parse-names":false,"suffix":""},{"dropping-particle":"","family":"Sturua","given":"Lela","non-dropping-particle":"","parse-names":false,"suffix":""},{"dropping-particle":"","family":"Sykes","given":"Bryan L.","non-dropping-particle":"","parse-names":false,"suffix":""},{"dropping-particle":"","family":"Tobias","given":"Martin","non-dropping-particle":"","parse-names":false,"suffix":""},{"dropping-particle":"","family":"Tran","given":"Bach X.","non-dropping-particle":"","parse-names":false,"suffix":""},{"dropping-particle":"","family":"Trasande","given":"Leonardo","non-dropping-particle":"","parse-names":false,"suffix":""},{"dropping-particle":"","family":"Toyoshima","given":"Hideaki","non-dropping-particle":"","parse-names":false,"suffix":""},{"dropping-particle":"","family":"Vijver","given":"Steven","non-dropping-particle":"Van De","parse-names":false,"suffix":""},{"dropping-particle":"","family":"Vasankari","given":"Tommi J.","non-dropping-particle":"","parse-names":false,"suffix":""},{"dropping-particle":"","family":"Veerman","given":"J. Lennert","non-dropping-particle":"","parse-names":false,"suffix":""},{"dropping-particle":"","family":"Velasquez-Melendez","given":"Gustavo","non-dropping-particle":"","parse-names":false,"suffix":""},{"dropping-particle":"","family":"Vlassov","given":"Vasiliy Victorovich","non-dropping-particle":"","parse-names":false,"suffix":""},{"dropping-particle":"","family":"Vollset","given":"Stein Emil","non-dropping-particle":"","parse-names":false,"suffix":""},{"dropping-particle":"","family":"Vos","given":"Theo","non-dropping-particle":"","parse-names":false,"suffix":""},{"dropping-particle":"","family":"Wang","given":"Claire","non-dropping-particle":"","parse-names":false,"suffix":""},{"dropping-particle":"","family":"Wang","given":"Xiaorong","non-dropping-particle":"","parse-names":false,"suffix":""},{"dropping-particle":"","family":"Weiderpass","given":"Elisabete","non-dropping-particle":"","parse-names":false,"suffix":""},{"dropping-particle":"","family":"Werdecker","given":"Andrea","non-dropping-particle":"","parse-names":false,"suffix":""},{"dropping-particle":"","family":"Wright","given":"Jonathan L.","non-dropping-particle":"","parse-names":false,"suffix":""},{"dropping-particle":"","family":"Yang","given":"Y. Claire","non-dropping-particle":"","parse-names":false,"suffix":""},{"dropping-particle":"","family":"Yatsuya","given":"Hiroshi","non-dropping-particle":"","parse-names":false,"suffix":""},{"dropping-particle":"","family":"Yoon","given":"Jihyun","non-dropping-particle":"","parse-names":false,"suffix":""},{"dropping-particle":"","family":"Yoon","given":"Seok Jun","non-dropping-particle":"","parse-names":false,"suffix":""},{"dropping-particle":"","family":"Zhao","given":"Yong","non-dropping-particle":"","parse-names":false,"suffix":""},{"dropping-particle":"","family":"Zhou","given":"Maigeng","non-dropping-particle":"","parse-names":false,"suffix":""},{"dropping-particle":"","family":"Zhu","given":"Shankuan","non-dropping-particle":"","parse-names":false,"suffix":""},{"dropping-particle":"","family":"Lopez","given":"Alan D.","non-dropping-particle":"","parse-names":false,"suffix":""},{"dropping-particle":"","family":"Murray","given":"Christopher J.L.","non-dropping-particle":"","parse-names":false,"suffix":""},{"dropping-particle":"","family":"Gakidou","given":"Emmanuela","non-dropping-particle":"","parse-names":false,"suffix":""}],"container-title":"The Lancet","id":"ITEM-4","issue":"9945","issued":{"date-parts":[["2014"]]},"page":"766-781","title":"Global, regional, and national prevalence of overweight and obesity in children and adults during 1980-2013: A systematic analysis for the Global Burden of Disease Study 2013","type":"article-journal","volume":"384"},"uris":["http://www.mendeley.com/documents/?uuid=182c00dd-8086-4181-9be9-6ce464bd982c"]}],"mendeley":{"formattedCitation":"&lt;sup&gt;(1–4)&lt;/sup&gt;","plainTextFormattedCitation":"(1–4)","previouslyFormattedCitation":"&lt;sup&gt;(1–4)&lt;/sup&gt;"},"properties":{"noteIndex":0},"schema":"https://github.com/citation-style-language/schema/raw/master/csl-citation.json"}</w:instrText>
      </w:r>
      <w:r w:rsidR="00C86CE8" w:rsidRPr="00453626">
        <w:rPr>
          <w:rFonts w:ascii="Times New Roman" w:hAnsi="Times New Roman" w:cs="Times New Roman"/>
          <w:sz w:val="24"/>
        </w:rPr>
        <w:fldChar w:fldCharType="separate"/>
      </w:r>
      <w:r w:rsidR="000A6B3B" w:rsidRPr="00453626">
        <w:rPr>
          <w:rFonts w:ascii="Times New Roman" w:hAnsi="Times New Roman" w:cs="Times New Roman"/>
          <w:noProof/>
          <w:sz w:val="24"/>
          <w:vertAlign w:val="superscript"/>
        </w:rPr>
        <w:t>(1–4)</w:t>
      </w:r>
      <w:r w:rsidR="00C86CE8" w:rsidRPr="00453626">
        <w:rPr>
          <w:rFonts w:ascii="Times New Roman" w:hAnsi="Times New Roman" w:cs="Times New Roman"/>
          <w:sz w:val="24"/>
        </w:rPr>
        <w:fldChar w:fldCharType="end"/>
      </w:r>
      <w:r w:rsidR="00933087" w:rsidRPr="00453626">
        <w:rPr>
          <w:rFonts w:ascii="Times New Roman" w:hAnsi="Times New Roman" w:cs="Times New Roman"/>
          <w:sz w:val="24"/>
        </w:rPr>
        <w:t xml:space="preserve"> </w:t>
      </w:r>
      <w:r w:rsidR="00223A37" w:rsidRPr="00453626">
        <w:rPr>
          <w:rFonts w:ascii="Times New Roman" w:hAnsi="Times New Roman" w:cs="Times New Roman"/>
          <w:sz w:val="24"/>
        </w:rPr>
        <w:t>Over recent decades,</w:t>
      </w:r>
      <w:r w:rsidR="006644BC" w:rsidRPr="00453626">
        <w:rPr>
          <w:rFonts w:ascii="Times New Roman" w:hAnsi="Times New Roman" w:cs="Times New Roman"/>
          <w:sz w:val="24"/>
        </w:rPr>
        <w:t xml:space="preserve"> </w:t>
      </w:r>
      <w:r w:rsidR="00223A37" w:rsidRPr="00453626">
        <w:rPr>
          <w:rFonts w:ascii="Times New Roman" w:hAnsi="Times New Roman" w:cs="Times New Roman"/>
          <w:sz w:val="24"/>
        </w:rPr>
        <w:t xml:space="preserve">changes </w:t>
      </w:r>
      <w:r w:rsidR="00CE2DBB" w:rsidRPr="00453626">
        <w:rPr>
          <w:rFonts w:ascii="Times New Roman" w:hAnsi="Times New Roman" w:cs="Times New Roman"/>
          <w:sz w:val="24"/>
        </w:rPr>
        <w:t>to</w:t>
      </w:r>
      <w:r w:rsidR="00223A37" w:rsidRPr="00453626">
        <w:rPr>
          <w:rFonts w:ascii="Times New Roman" w:hAnsi="Times New Roman" w:cs="Times New Roman"/>
          <w:sz w:val="24"/>
        </w:rPr>
        <w:t xml:space="preserve"> the food environment have </w:t>
      </w:r>
      <w:r w:rsidR="00CE2DBB" w:rsidRPr="00453626">
        <w:rPr>
          <w:rFonts w:ascii="Times New Roman" w:hAnsi="Times New Roman" w:cs="Times New Roman"/>
          <w:sz w:val="24"/>
        </w:rPr>
        <w:t xml:space="preserve">also </w:t>
      </w:r>
      <w:r w:rsidR="00223A37" w:rsidRPr="00453626">
        <w:rPr>
          <w:rFonts w:ascii="Times New Roman" w:hAnsi="Times New Roman" w:cs="Times New Roman"/>
          <w:sz w:val="24"/>
        </w:rPr>
        <w:t xml:space="preserve">been accompanied by </w:t>
      </w:r>
      <w:r w:rsidR="006644BC" w:rsidRPr="00453626">
        <w:rPr>
          <w:rFonts w:ascii="Times New Roman" w:hAnsi="Times New Roman" w:cs="Times New Roman"/>
          <w:sz w:val="24"/>
        </w:rPr>
        <w:t>changes in eating patterns</w:t>
      </w:r>
      <w:r w:rsidR="00582A86" w:rsidRPr="00453626">
        <w:rPr>
          <w:rFonts w:ascii="Times New Roman" w:hAnsi="Times New Roman" w:cs="Times New Roman"/>
          <w:sz w:val="24"/>
        </w:rPr>
        <w:t>. S</w:t>
      </w:r>
      <w:r w:rsidR="006644BC" w:rsidRPr="00453626">
        <w:rPr>
          <w:rFonts w:ascii="Times New Roman" w:hAnsi="Times New Roman" w:cs="Times New Roman"/>
          <w:sz w:val="24"/>
        </w:rPr>
        <w:t>nacking</w:t>
      </w:r>
      <w:r w:rsidR="00933087" w:rsidRPr="00453626">
        <w:rPr>
          <w:rFonts w:ascii="Times New Roman" w:hAnsi="Times New Roman" w:cs="Times New Roman"/>
          <w:sz w:val="24"/>
        </w:rPr>
        <w:t xml:space="preserve">, defined as eating occasions </w:t>
      </w:r>
      <w:r w:rsidR="00CE2DBB" w:rsidRPr="00453626">
        <w:rPr>
          <w:rFonts w:ascii="Times New Roman" w:hAnsi="Times New Roman" w:cs="Times New Roman"/>
          <w:sz w:val="24"/>
        </w:rPr>
        <w:t>between</w:t>
      </w:r>
      <w:r w:rsidR="00933087" w:rsidRPr="00453626">
        <w:rPr>
          <w:rFonts w:ascii="Times New Roman" w:hAnsi="Times New Roman" w:cs="Times New Roman"/>
          <w:sz w:val="24"/>
        </w:rPr>
        <w:t xml:space="preserve"> main meals, has </w:t>
      </w:r>
      <w:r w:rsidR="00CE2DBB" w:rsidRPr="00453626">
        <w:rPr>
          <w:rFonts w:ascii="Times New Roman" w:hAnsi="Times New Roman" w:cs="Times New Roman"/>
          <w:sz w:val="24"/>
        </w:rPr>
        <w:t xml:space="preserve">become more common and its </w:t>
      </w:r>
      <w:r w:rsidR="00516683" w:rsidRPr="00453626">
        <w:rPr>
          <w:rFonts w:ascii="Times New Roman" w:hAnsi="Times New Roman" w:cs="Times New Roman"/>
          <w:sz w:val="24"/>
        </w:rPr>
        <w:t>contribution to total energy intake</w:t>
      </w:r>
      <w:r w:rsidR="00CE2DBB" w:rsidRPr="00453626">
        <w:rPr>
          <w:rFonts w:ascii="Times New Roman" w:hAnsi="Times New Roman" w:cs="Times New Roman"/>
          <w:sz w:val="24"/>
        </w:rPr>
        <w:t xml:space="preserve"> has increased</w:t>
      </w:r>
      <w:r w:rsidR="00A534A9" w:rsidRPr="00453626">
        <w:rPr>
          <w:rFonts w:ascii="Times New Roman" w:hAnsi="Times New Roman" w:cs="Times New Roman"/>
          <w:sz w:val="24"/>
        </w:rPr>
        <w:t>.</w:t>
      </w:r>
      <w:r w:rsidR="00FA4D49" w:rsidRPr="00453626">
        <w:rPr>
          <w:rFonts w:ascii="Times New Roman" w:hAnsi="Times New Roman" w:cs="Times New Roman"/>
          <w:sz w:val="24"/>
        </w:rPr>
        <w:fldChar w:fldCharType="begin" w:fldLock="1"/>
      </w:r>
      <w:r w:rsidR="001E7A57" w:rsidRPr="00453626">
        <w:rPr>
          <w:rFonts w:ascii="Times New Roman" w:hAnsi="Times New Roman" w:cs="Times New Roman"/>
          <w:sz w:val="24"/>
        </w:rPr>
        <w:instrText>ADDIN CSL_CITATION {"citationItems":[{"id":"ITEM-1","itemData":{"DOI":"10.3945/jn.109.112763.selected","abstract":"OBJECTIVE: Data from household food budget surveys were examined in order to describe the regional and socio-economic distribution of household food availability in Brazil in 2002-2003 and trends from 1974 to 2003. METHODS: The study uses data from the \"Pesquisa de Orçamento Familiar 2002-2003\" budget survey conducted by the Brazilian Institute for Geography and Statistics (Instituto Brasileiro de Geografia e Estatística) from July 2002 to June 2003, including a national sample of 48,470 households. In each household, during seven consecutive days, all monetary and non-monetary expenses with food and beverages for family consumption were registered. Crude weights of purchased foods were transformed into calories and nutrients with the use of food composition tables. RESULTS: Adequate protein content and a high proportion of animal protein were found in all regions and income strata. These were the most important positive aspects identified in the household food availability in Brazil. On the other hand, all regions and socio-economic strata showed excess calories from sugar and little availability of fruits and vegetables. An excessive proportion of calories came from total and saturated fat in the more economically developed regions and in the urban milieu, as well as among higher-income families. Time-trends in metropolitan areas indicated a decline in the consumption of basic, traditional foods, such as rice and beans; notable increases (up to 400%) in the consumption of processed food items, such as cookies and soft drinks; maintenance of the excessive consumption of sugar; and a continuous increase in total fat and saturated fat content in the diet. CONCLUSIONS: Patterns and trends regarding household food availability in Brazil are consistent with the increasing participation of chronic non-communicable diseases in morbidity and mortality and with the continuous increase in the prevalence of obesity.","author":[{"dropping-particle":"","family":"Piernas","given":"Carmen","non-dropping-particle":"","parse-names":false,"suffix":""},{"dropping-particle":"","family":"Popkin","given":"Barry M","non-dropping-particle":"","parse-names":false,"suffix":""}],"container-title":"The Journal of Nutrition","id":"ITEM-1","issued":{"date-parts":[["2010"]]},"page":"325-331","title":"Snacking Increased among U.S. Adults between 1977 and 2006","type":"article-journal","volume":"140"},"uris":["http://www.mendeley.com/documents/?uuid=bcb3e04a-7da5-4075-9a33-ce9f091af4e5"]},{"id":"ITEM-2","itemData":{"DOI":"10.1161/CIRCULATIONAHA.110.956839","ISBN":"6176321972","ISSN":"15378276","PMID":"1000000221","abstract":"With the effectiveness of therapeutic agents ever decreasing and the increased incidence of multi-drug resistant pathogens, there is a clear need for administration of more potent, potentially more toxic, drugs. Alternatively, biopharmaceuticals may hold potential but require specialised protection from premature in vivo degradation. Thus, a paralleled need for specialised drug delivery systems has arisen. Although cell-mediated drug delivery is not a completely novel concept, the few applications described to date are not yet ready for in vivo application, for various reasons such as drug-induced carrier cell death, limited control over the site and timing of drug release and/or drug degradation by the host immune system. Here, we present our hypothesis for a new drug delivery system, which aims to negate these limitations. We propose transport of nanoparticle-encapsulated drugs inside autologous macrophages polarised to M1 phenotype for high mobility and treated to induce transient phagosome maturation arrest. In addition, we propose a significant shift of existing paradigms in the study of host-microbe interactions, in order to study microbial host immune evasion and dissemination patterns for their therapeutic utilisation in the context of drug delivery. We describe a system in which microbial strategies may be adopted to facilitate absolute control over drug delivery, and without sacrificing the host carrier cells. We provide a comprehensive summary of the lessons we can learn from microbes in the context of drug delivery and discuss their feasibility for in vivo therapeutic application. We then describe our proposed “synthetic microbe drug delivery system” in detail. In our opinion, this multidisciplinary approach may hold the solution to effective, controlled drug delivery.","author":[{"dropping-particle":"","family":"Ashima K. Kant","given":"","non-dropping-particle":"","parse-names":false,"suffix":""},{"dropping-particle":"","family":"Graubard","given":"Barry I.","non-dropping-particle":"","parse-names":false,"suffix":""}],"container-title":"Journal of the Academy of Nutrition and Dietetics","id":"ITEM-2","issue":"1","issued":{"date-parts":[["2015"]]},"page":"50-63","title":"40-year trends in meal and snack eating behaviors of American adults","type":"article-journal","volume":"115"},"uris":["http://www.mendeley.com/documents/?uuid=43098a50-235c-4cbb-be9c-aa40b1393613"]}],"mendeley":{"formattedCitation":"&lt;sup&gt;(5,6)&lt;/sup&gt;","plainTextFormattedCitation":"(5,6)","previouslyFormattedCitation":"&lt;sup&gt;(5,6)&lt;/sup&gt;"},"properties":{"noteIndex":0},"schema":"https://github.com/citation-style-language/schema/raw/master/csl-citation.json"}</w:instrText>
      </w:r>
      <w:r w:rsidR="00FA4D49" w:rsidRPr="00453626">
        <w:rPr>
          <w:rFonts w:ascii="Times New Roman" w:hAnsi="Times New Roman" w:cs="Times New Roman"/>
          <w:sz w:val="24"/>
        </w:rPr>
        <w:fldChar w:fldCharType="separate"/>
      </w:r>
      <w:r w:rsidR="000A6B3B" w:rsidRPr="00453626">
        <w:rPr>
          <w:rFonts w:ascii="Times New Roman" w:hAnsi="Times New Roman" w:cs="Times New Roman"/>
          <w:noProof/>
          <w:sz w:val="24"/>
          <w:vertAlign w:val="superscript"/>
        </w:rPr>
        <w:t>(5,6)</w:t>
      </w:r>
      <w:r w:rsidR="00FA4D49" w:rsidRPr="00453626">
        <w:rPr>
          <w:rFonts w:ascii="Times New Roman" w:hAnsi="Times New Roman" w:cs="Times New Roman"/>
          <w:sz w:val="24"/>
        </w:rPr>
        <w:fldChar w:fldCharType="end"/>
      </w:r>
      <w:r w:rsidR="00FA4D49" w:rsidRPr="00453626">
        <w:rPr>
          <w:rFonts w:ascii="Times New Roman" w:hAnsi="Times New Roman" w:cs="Times New Roman"/>
          <w:sz w:val="24"/>
        </w:rPr>
        <w:t xml:space="preserve"> In the US, between 1977 and 2003</w:t>
      </w:r>
      <w:r w:rsidR="00582A86" w:rsidRPr="00453626">
        <w:rPr>
          <w:rFonts w:ascii="Times New Roman" w:hAnsi="Times New Roman" w:cs="Times New Roman"/>
          <w:sz w:val="24"/>
        </w:rPr>
        <w:t>,</w:t>
      </w:r>
      <w:r w:rsidR="00FA4D49" w:rsidRPr="00453626">
        <w:rPr>
          <w:rFonts w:ascii="Times New Roman" w:hAnsi="Times New Roman" w:cs="Times New Roman"/>
          <w:sz w:val="24"/>
        </w:rPr>
        <w:t xml:space="preserve"> the p</w:t>
      </w:r>
      <w:r w:rsidR="00C76B2D" w:rsidRPr="00453626">
        <w:rPr>
          <w:rFonts w:ascii="Times New Roman" w:hAnsi="Times New Roman" w:cs="Times New Roman"/>
          <w:sz w:val="24"/>
        </w:rPr>
        <w:t xml:space="preserve">ercentage of people who </w:t>
      </w:r>
      <w:r w:rsidR="00E5733F" w:rsidRPr="00453626">
        <w:rPr>
          <w:rFonts w:ascii="Times New Roman" w:hAnsi="Times New Roman" w:cs="Times New Roman"/>
          <w:sz w:val="24"/>
        </w:rPr>
        <w:t>consumed snacks</w:t>
      </w:r>
      <w:r w:rsidR="00FA4D49" w:rsidRPr="00453626">
        <w:rPr>
          <w:rFonts w:ascii="Times New Roman" w:hAnsi="Times New Roman" w:cs="Times New Roman"/>
          <w:sz w:val="24"/>
        </w:rPr>
        <w:t xml:space="preserve"> increased from 71% to 97% and the number of snacks per day</w:t>
      </w:r>
      <w:r w:rsidR="00542B62" w:rsidRPr="00453626">
        <w:rPr>
          <w:rFonts w:ascii="Times New Roman" w:hAnsi="Times New Roman" w:cs="Times New Roman"/>
          <w:sz w:val="24"/>
        </w:rPr>
        <w:t xml:space="preserve"> increased</w:t>
      </w:r>
      <w:r w:rsidR="00FA4D49" w:rsidRPr="00453626">
        <w:rPr>
          <w:rFonts w:ascii="Times New Roman" w:hAnsi="Times New Roman" w:cs="Times New Roman"/>
          <w:sz w:val="24"/>
        </w:rPr>
        <w:t xml:space="preserve"> from 1.</w:t>
      </w:r>
      <w:r w:rsidR="003E09DF" w:rsidRPr="00453626">
        <w:rPr>
          <w:rFonts w:ascii="Times New Roman" w:hAnsi="Times New Roman" w:cs="Times New Roman"/>
          <w:sz w:val="24"/>
        </w:rPr>
        <w:t>4</w:t>
      </w:r>
      <w:r w:rsidR="00FA4D49" w:rsidRPr="00453626">
        <w:rPr>
          <w:rFonts w:ascii="Times New Roman" w:hAnsi="Times New Roman" w:cs="Times New Roman"/>
          <w:sz w:val="24"/>
        </w:rPr>
        <w:t xml:space="preserve"> to 2.2 on average</w:t>
      </w:r>
      <w:r w:rsidR="00A534A9" w:rsidRPr="00453626">
        <w:rPr>
          <w:rFonts w:ascii="Times New Roman" w:hAnsi="Times New Roman" w:cs="Times New Roman"/>
          <w:sz w:val="24"/>
        </w:rPr>
        <w:t>.</w:t>
      </w:r>
      <w:r w:rsidR="00FA4D49" w:rsidRPr="00453626">
        <w:rPr>
          <w:rFonts w:ascii="Times New Roman" w:hAnsi="Times New Roman" w:cs="Times New Roman"/>
          <w:sz w:val="24"/>
        </w:rPr>
        <w:fldChar w:fldCharType="begin" w:fldLock="1"/>
      </w:r>
      <w:r w:rsidR="001E7A57" w:rsidRPr="00453626">
        <w:rPr>
          <w:rFonts w:ascii="Times New Roman" w:hAnsi="Times New Roman" w:cs="Times New Roman"/>
          <w:sz w:val="24"/>
        </w:rPr>
        <w:instrText>ADDIN CSL_CITATION {"citationItems":[{"id":"ITEM-1","itemData":{"DOI":"10.3945/jn.109.112763.selected","abstract":"OBJECTIVE: Data from household food budget surveys were examined in order to describe the regional and socio-economic distribution of household food availability in Brazil in 2002-2003 and trends from 1974 to 2003. METHODS: The study uses data from the \"Pesquisa de Orçamento Familiar 2002-2003\" budget survey conducted by the Brazilian Institute for Geography and Statistics (Instituto Brasileiro de Geografia e Estatística) from July 2002 to June 2003, including a national sample of 48,470 households. In each household, during seven consecutive days, all monetary and non-monetary expenses with food and beverages for family consumption were registered. Crude weights of purchased foods were transformed into calories and nutrients with the use of food composition tables. RESULTS: Adequate protein content and a high proportion of animal protein were found in all regions and income strata. These were the most important positive aspects identified in the household food availability in Brazil. On the other hand, all regions and socio-economic strata showed excess calories from sugar and little availability of fruits and vegetables. An excessive proportion of calories came from total and saturated fat in the more economically developed regions and in the urban milieu, as well as among higher-income families. Time-trends in metropolitan areas indicated a decline in the consumption of basic, traditional foods, such as rice and beans; notable increases (up to 400%) in the consumption of processed food items, such as cookies and soft drinks; maintenance of the excessive consumption of sugar; and a continuous increase in total fat and saturated fat content in the diet. CONCLUSIONS: Patterns and trends regarding household food availability in Brazil are consistent with the increasing participation of chronic non-communicable diseases in morbidity and mortality and with the continuous increase in the prevalence of obesity.","author":[{"dropping-particle":"","family":"Piernas","given":"Carmen","non-dropping-particle":"","parse-names":false,"suffix":""},{"dropping-particle":"","family":"Popkin","given":"Barry M","non-dropping-particle":"","parse-names":false,"suffix":""}],"container-title":"The Journal of Nutrition","id":"ITEM-1","issued":{"date-parts":[["2010"]]},"page":"325-331","title":"Snacking Increased among U.S. Adults between 1977 and 2006","type":"article-journal","volume":"140"},"uris":["http://www.mendeley.com/documents/?uuid=bcb3e04a-7da5-4075-9a33-ce9f091af4e5"]}],"mendeley":{"formattedCitation":"&lt;sup&gt;(5)&lt;/sup&gt;","plainTextFormattedCitation":"(5)","previouslyFormattedCitation":"&lt;sup&gt;(5)&lt;/sup&gt;"},"properties":{"noteIndex":0},"schema":"https://github.com/citation-style-language/schema/raw/master/csl-citation.json"}</w:instrText>
      </w:r>
      <w:r w:rsidR="00FA4D49" w:rsidRPr="00453626">
        <w:rPr>
          <w:rFonts w:ascii="Times New Roman" w:hAnsi="Times New Roman" w:cs="Times New Roman"/>
          <w:sz w:val="24"/>
        </w:rPr>
        <w:fldChar w:fldCharType="separate"/>
      </w:r>
      <w:r w:rsidR="000A6B3B" w:rsidRPr="00453626">
        <w:rPr>
          <w:rFonts w:ascii="Times New Roman" w:hAnsi="Times New Roman" w:cs="Times New Roman"/>
          <w:noProof/>
          <w:sz w:val="24"/>
          <w:vertAlign w:val="superscript"/>
        </w:rPr>
        <w:t>(5)</w:t>
      </w:r>
      <w:r w:rsidR="00FA4D49" w:rsidRPr="00453626">
        <w:rPr>
          <w:rFonts w:ascii="Times New Roman" w:hAnsi="Times New Roman" w:cs="Times New Roman"/>
          <w:sz w:val="24"/>
        </w:rPr>
        <w:fldChar w:fldCharType="end"/>
      </w:r>
      <w:r w:rsidR="00FA4D49" w:rsidRPr="00453626">
        <w:rPr>
          <w:rFonts w:ascii="Times New Roman" w:hAnsi="Times New Roman" w:cs="Times New Roman"/>
          <w:sz w:val="24"/>
        </w:rPr>
        <w:t xml:space="preserve"> </w:t>
      </w:r>
      <w:r w:rsidR="00441843" w:rsidRPr="00453626">
        <w:rPr>
          <w:rFonts w:ascii="Times New Roman" w:hAnsi="Times New Roman" w:cs="Times New Roman"/>
          <w:sz w:val="24"/>
        </w:rPr>
        <w:t xml:space="preserve">In the UK, energy intake from snacking has been </w:t>
      </w:r>
      <w:r w:rsidR="00CE2DBB" w:rsidRPr="00453626">
        <w:rPr>
          <w:rFonts w:ascii="Times New Roman" w:hAnsi="Times New Roman" w:cs="Times New Roman"/>
          <w:sz w:val="24"/>
        </w:rPr>
        <w:t xml:space="preserve">estimated </w:t>
      </w:r>
      <w:r w:rsidR="00441843" w:rsidRPr="00453626">
        <w:rPr>
          <w:rFonts w:ascii="Times New Roman" w:hAnsi="Times New Roman" w:cs="Times New Roman"/>
          <w:sz w:val="24"/>
        </w:rPr>
        <w:t xml:space="preserve">to contribute </w:t>
      </w:r>
      <w:r w:rsidR="004C0C70" w:rsidRPr="00453626">
        <w:rPr>
          <w:rFonts w:ascii="Times New Roman" w:hAnsi="Times New Roman" w:cs="Times New Roman"/>
          <w:sz w:val="24"/>
        </w:rPr>
        <w:t xml:space="preserve">between </w:t>
      </w:r>
      <w:r w:rsidR="00441843" w:rsidRPr="00453626">
        <w:rPr>
          <w:rFonts w:ascii="Times New Roman" w:hAnsi="Times New Roman" w:cs="Times New Roman"/>
          <w:sz w:val="24"/>
        </w:rPr>
        <w:t>16% to 36% of total energy intake</w:t>
      </w:r>
      <w:r w:rsidR="00A534A9" w:rsidRPr="00453626">
        <w:rPr>
          <w:rFonts w:ascii="Times New Roman" w:hAnsi="Times New Roman" w:cs="Times New Roman"/>
          <w:sz w:val="24"/>
        </w:rPr>
        <w:t>.</w:t>
      </w:r>
      <w:r w:rsidR="00441843" w:rsidRPr="00453626">
        <w:rPr>
          <w:rFonts w:ascii="Times New Roman" w:hAnsi="Times New Roman" w:cs="Times New Roman"/>
          <w:sz w:val="24"/>
        </w:rPr>
        <w:fldChar w:fldCharType="begin" w:fldLock="1"/>
      </w:r>
      <w:r w:rsidR="001E7A57" w:rsidRPr="00453626">
        <w:rPr>
          <w:rFonts w:ascii="Times New Roman" w:hAnsi="Times New Roman" w:cs="Times New Roman"/>
          <w:sz w:val="24"/>
        </w:rPr>
        <w:instrText>ADDIN CSL_CITATION {"citationItems":[{"id":"ITEM-1","itemData":{"DOI":"10.1186/s12937-017-0283-0","ISSN":"14752891","abstract":"Background: Studies examining meal and snack eating behaviors in relation to overall diet and health markers are limited, at least partly because there is no definitive consensus about what constitutes a snack, a meal, or an eating occasion. This cross-sectional study examined how nutritional quality of meals and snacks is associated with overall diet quality, body mass index (BMI), and waist circumference. Methods: Based on 7-d weighed dietary record data, all eating occasions were divided into meals or snacks based on time (meals: 0600-1000, 1200-1500, and 1800-2100 h; snacks: others) or contribution to energy intake (EI) (meals: ≥15%; snacks: &lt;15%) in 1451 British adults aged 19-64 years participating in the National Diet and Nutrition Survey. Nutritional quality of meals and snacks was assessed as the arithmetic EI-weighted means of the British Food Standards Agency (FSA) nutrient profiling system score of each food and beverage consumed, based on the contents of energy, saturated fatty acid, total sugar, sodium, fruits/vegetables/nuts, dietary fiber, and protein per 100 g. Results: Irrespective of the definition of meals and snacks, higher FSA scores (lower nutritional quality) of both meals and snacks were associated with unfavorable profiles of individual components of overall diet, including lower intakes of fruits/vegetables/nuts and higher intakes of biscuits/cakes/pastries, total fat, and saturated fatty acid. The FSA scores of meals and snacks were also inversely associated with overall diet quality assessed by the healthy diet indicator (regression coefficient (β) = -0.22 to -0.17 and -0.06 to -0.03, respectively) and Mediterranean diet score (β = -0.25 to -0.19 and -0.08 to -0.05, respectively) in both sexes (P ≤ 0.005). However, the associations were stronger for meals, mainly due to their larger contribution to total EI (64% to 84%). After adjustment for potential confounders, only the FSA score of snacks based on EI contribution was positively associated with BMI and waist circumference in women (P ≤ 0.005). Conclusions: Although lower nutritional quality of both meals and snacks assessed by the FSA score was associated with adverse profiles of overall diet quality (but not necessarily adiposity measures), stronger associations were observed for nutritional quality of meals.","author":[{"dropping-particle":"","family":"Murakami","given":"Kentaro","non-dropping-particle":"","parse-names":false,"suffix":""}],"container-title":"Nutrition Journal","id":"ITEM-1","issue":"1","issued":{"date-parts":[["2017"]]},"page":"1-12","publisher":"Nutrition Journal","title":"Nutritional quality of meals and snacks assessed by the Food Standards Agency nutrient profiling system in relation to overall diet quality, body mass index, and waist circumference in British adults","type":"article-journal","volume":"16"},"uris":["http://www.mendeley.com/documents/?uuid=3977f0c8-f36b-461e-92d8-a9fe22eab133"]}],"mendeley":{"formattedCitation":"&lt;sup&gt;(7)&lt;/sup&gt;","plainTextFormattedCitation":"(7)","previouslyFormattedCitation":"&lt;sup&gt;(7)&lt;/sup&gt;"},"properties":{"noteIndex":0},"schema":"https://github.com/citation-style-language/schema/raw/master/csl-citation.json"}</w:instrText>
      </w:r>
      <w:r w:rsidR="00441843" w:rsidRPr="00453626">
        <w:rPr>
          <w:rFonts w:ascii="Times New Roman" w:hAnsi="Times New Roman" w:cs="Times New Roman"/>
          <w:sz w:val="24"/>
        </w:rPr>
        <w:fldChar w:fldCharType="separate"/>
      </w:r>
      <w:r w:rsidR="000A6B3B" w:rsidRPr="00453626">
        <w:rPr>
          <w:rFonts w:ascii="Times New Roman" w:hAnsi="Times New Roman" w:cs="Times New Roman"/>
          <w:noProof/>
          <w:sz w:val="24"/>
          <w:vertAlign w:val="superscript"/>
        </w:rPr>
        <w:t>(7)</w:t>
      </w:r>
      <w:r w:rsidR="00441843" w:rsidRPr="00453626">
        <w:rPr>
          <w:rFonts w:ascii="Times New Roman" w:hAnsi="Times New Roman" w:cs="Times New Roman"/>
          <w:sz w:val="24"/>
        </w:rPr>
        <w:fldChar w:fldCharType="end"/>
      </w:r>
      <w:r w:rsidR="00441843" w:rsidRPr="00453626">
        <w:rPr>
          <w:rFonts w:ascii="Times New Roman" w:hAnsi="Times New Roman" w:cs="Times New Roman"/>
          <w:sz w:val="24"/>
        </w:rPr>
        <w:t xml:space="preserve"> </w:t>
      </w:r>
      <w:r w:rsidR="00582A86" w:rsidRPr="00453626">
        <w:rPr>
          <w:rFonts w:ascii="Times New Roman" w:hAnsi="Times New Roman" w:cs="Times New Roman"/>
          <w:sz w:val="24"/>
        </w:rPr>
        <w:t xml:space="preserve">Evidence </w:t>
      </w:r>
      <w:r w:rsidR="004C0C70" w:rsidRPr="00453626">
        <w:rPr>
          <w:rFonts w:ascii="Times New Roman" w:hAnsi="Times New Roman" w:cs="Times New Roman"/>
          <w:sz w:val="24"/>
        </w:rPr>
        <w:t>for</w:t>
      </w:r>
      <w:r w:rsidR="00582A86" w:rsidRPr="00453626">
        <w:rPr>
          <w:rFonts w:ascii="Times New Roman" w:hAnsi="Times New Roman" w:cs="Times New Roman"/>
          <w:sz w:val="24"/>
        </w:rPr>
        <w:t xml:space="preserve"> </w:t>
      </w:r>
      <w:r w:rsidR="001A6F06" w:rsidRPr="00453626">
        <w:rPr>
          <w:rFonts w:ascii="Times New Roman" w:hAnsi="Times New Roman" w:cs="Times New Roman"/>
          <w:sz w:val="24"/>
        </w:rPr>
        <w:t xml:space="preserve">an </w:t>
      </w:r>
      <w:r w:rsidR="00582A86" w:rsidRPr="00453626">
        <w:rPr>
          <w:rFonts w:ascii="Times New Roman" w:hAnsi="Times New Roman" w:cs="Times New Roman"/>
          <w:sz w:val="24"/>
        </w:rPr>
        <w:t>association between snacking and body weight ha</w:t>
      </w:r>
      <w:r w:rsidR="0004455B" w:rsidRPr="00453626">
        <w:rPr>
          <w:rFonts w:ascii="Times New Roman" w:hAnsi="Times New Roman" w:cs="Times New Roman"/>
          <w:sz w:val="24"/>
        </w:rPr>
        <w:t>ve</w:t>
      </w:r>
      <w:r w:rsidR="00582A86" w:rsidRPr="00453626">
        <w:rPr>
          <w:rFonts w:ascii="Times New Roman" w:hAnsi="Times New Roman" w:cs="Times New Roman"/>
          <w:sz w:val="24"/>
        </w:rPr>
        <w:t xml:space="preserve"> been found to be equivocal</w:t>
      </w:r>
      <w:r w:rsidR="00A534A9" w:rsidRPr="00453626">
        <w:rPr>
          <w:rFonts w:ascii="Times New Roman" w:hAnsi="Times New Roman" w:cs="Times New Roman"/>
          <w:sz w:val="24"/>
        </w:rPr>
        <w:t>,</w:t>
      </w:r>
      <w:r w:rsidR="00582A86" w:rsidRPr="00453626">
        <w:rPr>
          <w:rFonts w:ascii="Times New Roman" w:hAnsi="Times New Roman" w:cs="Times New Roman"/>
          <w:sz w:val="24"/>
        </w:rPr>
        <w:fldChar w:fldCharType="begin" w:fldLock="1"/>
      </w:r>
      <w:r w:rsidR="001E7A57" w:rsidRPr="00453626">
        <w:rPr>
          <w:rFonts w:ascii="Times New Roman" w:hAnsi="Times New Roman" w:cs="Times New Roman"/>
          <w:sz w:val="24"/>
        </w:rPr>
        <w:instrText>ADDIN CSL_CITATION {"citationItems":[{"id":"ITEM-1","itemData":{"DOI":"10.1080/10408398.2014.922044","abstract":"Ultimate Limit State Calculation of Sway Frames with Rigid Joints,","author":[{"dropping-particle":"","family":"Krista Casazza","given":"","non-dropping-particle":"","parse-names":false,"suffix":""},{"dropping-particle":"","family":"Brown","given":"Andrew","non-dropping-particle":"","parse-names":false,"suffix":""},{"dropping-particle":"","family":"Astrup","given":"Arne","non-dropping-particle":"","parse-names":false,"suffix":""},{"dropping-particle":"","family":"Bertz","given":"Fredrik","non-dropping-particle":"","parse-names":false,"suffix":""},{"dropping-particle":"","family":"Baum","given":"Charles","non-dropping-particle":"","parse-names":false,"suffix":""},{"dropping-particle":"","family":"Brown","given":"Michelle Bohan","non-dropping-particle":"","parse-names":false,"suffix":""},{"dropping-particle":"","family":"Dawson","given":"John","non-dropping-particle":"","parse-names":false,"suffix":""},{"dropping-particle":"","family":"Durant","given":"Nefertiti","non-dropping-particle":"","parse-names":false,"suffix":""},{"dropping-particle":"","family":"Dutton","given":"Gareth","non-dropping-particle":"","parse-names":false,"suffix":""},{"dropping-particle":"","family":"Fields","given":"David A.","non-dropping-particle":"","parse-names":false,"suffix":""},{"dropping-particle":"","family":"Fontaine","given":"Kevin R.","non-dropping-particle":"","parse-names":false,"suffix":""},{"dropping-particle":"","family":"Levitsky","given":"David","non-dropping-particle":"","parse-names":false,"suffix":""},{"dropping-particle":"","family":"Mehta","given":"Tapan","non-dropping-particle":"","parse-names":false,"suffix":""},{"dropping-particle":"","family":"Menachemi","given":"Nir","non-dropping-particle":"","parse-names":false,"suffix":""},{"dropping-particle":"","family":"Newby","given":"PK","non-dropping-particle":"","parse-names":false,"suffix":""},{"dropping-particle":"","family":"Pate","given":"Russell","non-dropping-particle":"","parse-names":false,"suffix":""},{"dropping-particle":"","family":"Raynor","given":"Hollie","non-dropping-particle":"","parse-names":false,"suffix":""},{"dropping-particle":"","family":"Rolls","given":"Barbara J.","non-dropping-particle":"","parse-names":false,"suffix":""},{"dropping-particle":"","family":"Sen","given":"Bisakha","non-dropping-particle":"","parse-names":false,"suffix":""},{"dropping-particle":"","family":"Jr.","given":"Daniel L. Smith","non-dropping-particle":"","parse-names":false,"suffix":""},{"dropping-particle":"","family":"Thomas","given":"Diana","non-dropping-particle":"","parse-names":false,"suffix":""},{"dropping-particle":"","family":"Wansink","given":"Brian","non-dropping-particle":"","parse-names":false,"suffix":""},{"dropping-particle":"","family":"Allison","given":"David B.","non-dropping-particle":"","parse-names":false,"suffix":""}],"container-title":"Critical Reviews in Food Science and Nutrition","id":"ITEM-1","issue":"14","issued":{"date-parts":[["2015"]]},"page":"2014-2053","title":"Weighing the Evidence of Common Beliefs in Obesity Research","type":"article-journal","volume":"55"},"uris":["http://www.mendeley.com/documents/?uuid=ccc2ed7a-4d45-415a-9e16-5651efe8d8df"]}],"mendeley":{"formattedCitation":"&lt;sup&gt;(8)&lt;/sup&gt;","plainTextFormattedCitation":"(8)","previouslyFormattedCitation":"&lt;sup&gt;(8)&lt;/sup&gt;"},"properties":{"noteIndex":0},"schema":"https://github.com/citation-style-language/schema/raw/master/csl-citation.json"}</w:instrText>
      </w:r>
      <w:r w:rsidR="00582A86" w:rsidRPr="00453626">
        <w:rPr>
          <w:rFonts w:ascii="Times New Roman" w:hAnsi="Times New Roman" w:cs="Times New Roman"/>
          <w:sz w:val="24"/>
        </w:rPr>
        <w:fldChar w:fldCharType="separate"/>
      </w:r>
      <w:r w:rsidR="000A6B3B" w:rsidRPr="00453626">
        <w:rPr>
          <w:rFonts w:ascii="Times New Roman" w:hAnsi="Times New Roman" w:cs="Times New Roman"/>
          <w:noProof/>
          <w:sz w:val="24"/>
          <w:vertAlign w:val="superscript"/>
        </w:rPr>
        <w:t>(8)</w:t>
      </w:r>
      <w:r w:rsidR="00582A86" w:rsidRPr="00453626">
        <w:rPr>
          <w:rFonts w:ascii="Times New Roman" w:hAnsi="Times New Roman" w:cs="Times New Roman"/>
          <w:sz w:val="24"/>
        </w:rPr>
        <w:fldChar w:fldCharType="end"/>
      </w:r>
      <w:r w:rsidR="009E6750" w:rsidRPr="00453626">
        <w:rPr>
          <w:rFonts w:ascii="Times New Roman" w:hAnsi="Times New Roman" w:cs="Times New Roman"/>
          <w:sz w:val="24"/>
        </w:rPr>
        <w:t xml:space="preserve"> but s</w:t>
      </w:r>
      <w:r w:rsidR="00183F6A" w:rsidRPr="00453626">
        <w:rPr>
          <w:rFonts w:ascii="Times New Roman" w:hAnsi="Times New Roman" w:cs="Times New Roman"/>
          <w:sz w:val="24"/>
        </w:rPr>
        <w:t xml:space="preserve">everal studies </w:t>
      </w:r>
      <w:r w:rsidR="000C22BF" w:rsidRPr="00453626">
        <w:rPr>
          <w:rFonts w:ascii="Times New Roman" w:hAnsi="Times New Roman" w:cs="Times New Roman"/>
          <w:sz w:val="24"/>
        </w:rPr>
        <w:t xml:space="preserve">have </w:t>
      </w:r>
      <w:r w:rsidR="00183F6A" w:rsidRPr="00453626">
        <w:rPr>
          <w:rFonts w:ascii="Times New Roman" w:hAnsi="Times New Roman" w:cs="Times New Roman"/>
          <w:sz w:val="24"/>
        </w:rPr>
        <w:t>found</w:t>
      </w:r>
      <w:r w:rsidR="000C22BF" w:rsidRPr="00453626">
        <w:rPr>
          <w:rFonts w:ascii="Times New Roman" w:hAnsi="Times New Roman" w:cs="Times New Roman"/>
          <w:sz w:val="24"/>
        </w:rPr>
        <w:t xml:space="preserve"> that </w:t>
      </w:r>
      <w:r w:rsidR="00CE2DBB" w:rsidRPr="00453626">
        <w:rPr>
          <w:rFonts w:ascii="Times New Roman" w:hAnsi="Times New Roman" w:cs="Times New Roman"/>
          <w:sz w:val="24"/>
        </w:rPr>
        <w:t xml:space="preserve">daily </w:t>
      </w:r>
      <w:r w:rsidR="00183F6A" w:rsidRPr="00453626">
        <w:rPr>
          <w:rFonts w:ascii="Times New Roman" w:hAnsi="Times New Roman" w:cs="Times New Roman"/>
          <w:sz w:val="24"/>
        </w:rPr>
        <w:t>energy intake</w:t>
      </w:r>
      <w:r w:rsidR="000C22BF" w:rsidRPr="00453626">
        <w:rPr>
          <w:rFonts w:ascii="Times New Roman" w:hAnsi="Times New Roman" w:cs="Times New Roman"/>
          <w:sz w:val="24"/>
        </w:rPr>
        <w:t xml:space="preserve"> tends to be higher</w:t>
      </w:r>
      <w:r w:rsidR="00183F6A" w:rsidRPr="00453626">
        <w:rPr>
          <w:rFonts w:ascii="Times New Roman" w:hAnsi="Times New Roman" w:cs="Times New Roman"/>
          <w:sz w:val="24"/>
        </w:rPr>
        <w:t xml:space="preserve"> in people who report snacking episodes than in people who d</w:t>
      </w:r>
      <w:r w:rsidR="009D356E" w:rsidRPr="00453626">
        <w:rPr>
          <w:rFonts w:ascii="Times New Roman" w:hAnsi="Times New Roman" w:cs="Times New Roman"/>
          <w:sz w:val="24"/>
        </w:rPr>
        <w:t xml:space="preserve">o </w:t>
      </w:r>
      <w:r w:rsidR="00183F6A" w:rsidRPr="00453626">
        <w:rPr>
          <w:rFonts w:ascii="Times New Roman" w:hAnsi="Times New Roman" w:cs="Times New Roman"/>
          <w:sz w:val="24"/>
        </w:rPr>
        <w:t>not</w:t>
      </w:r>
      <w:r w:rsidR="00A534A9" w:rsidRPr="00453626">
        <w:rPr>
          <w:rFonts w:ascii="Times New Roman" w:hAnsi="Times New Roman" w:cs="Times New Roman"/>
          <w:sz w:val="24"/>
        </w:rPr>
        <w:t>.</w:t>
      </w:r>
      <w:r w:rsidR="00183F6A" w:rsidRPr="00453626">
        <w:rPr>
          <w:rFonts w:ascii="Times New Roman" w:hAnsi="Times New Roman" w:cs="Times New Roman"/>
          <w:sz w:val="24"/>
        </w:rPr>
        <w:fldChar w:fldCharType="begin" w:fldLock="1"/>
      </w:r>
      <w:r w:rsidR="001E7A57" w:rsidRPr="00453626">
        <w:rPr>
          <w:rFonts w:ascii="Times New Roman" w:hAnsi="Times New Roman" w:cs="Times New Roman"/>
          <w:sz w:val="24"/>
        </w:rPr>
        <w:instrText>ADDIN CSL_CITATION {"citationItems":[{"id":"ITEM-1","itemData":{"DOI":"10.1016/j.jada.2005.09.045","ISSN":"00028223","abstract":"Objective: This study was undertaken to test the hypothesis that specific meal and snack patterns are associated with selected nutrient intakes in US adults. Design: Using the 24-hour dietary recall from the Third National Health and Nutrition Examination Survey, meal and snack patterns were described in relation to nutrient intakes. Subjects: The study included US adults aged 20 years or older (n=15,978). Statistical analyses performed: All statistical analyses accounted for the survey design and sample weights. Linear regression analyses controlled for confounding factors, including energy intakes. Wald F tests were used for determination of significance between means of nutrient intakes by daily eating frequency or meal pattern groups. Results: Daily eating frequency was positively related to carbohydrate, folic acid, vitamin C, calcium, magnesium, iron, potassium, and fiber intakes and inversely related to protein, total fat, cholesterol, and sodium intakes. Meal patterns were further categorized into the five most commonly reported meal and snack combinations by population percentages including breakfast (B), lunch (L), dinner (D), and &lt;2 snacks (S) (31.6%); B, L, D and 1 S (15.4%); B, D and &lt;2 S (13.1%); B, L, D (8.3%); and L, D and &lt;2 S (7.6%). Groups reporting B, L, D and 1 S and B, L, D and &lt;2 S had the highest intakes of all micronutrients examined except cholesterol, vitamin B-6, and sodium. Breakfast skippers (L, D and &lt;2 S) had the lowest intakes of all micronutrients examined except sodium. Conclusions: Findings from this cross-sectional survey suggest that meal and snack patterns may be markers for nutrient intakes and therefore diet quality. Complete nutrient intakes should be considered in investigations of meal patterns and health outcomes. Copyright © 2006 by the American Dietetic Association.","author":[{"dropping-particle":"","family":"Kerver","given":"Jean M.","non-dropping-particle":"","parse-names":false,"suffix":""},{"dropping-particle":"","family":"Yang","given":"Eun Ju","non-dropping-particle":"","parse-names":false,"suffix":""},{"dropping-particle":"","family":"Obayashi","given":"Saori","non-dropping-particle":"","parse-names":false,"suffix":""},{"dropping-particle":"","family":"Bianchi","given":"Leonard","non-dropping-particle":"","parse-names":false,"suffix":""},{"dropping-particle":"","family":"Song","given":"Won O.","non-dropping-particle":"","parse-names":false,"suffix":""}],"container-title":"Journal of the American Dietetic Association","id":"ITEM-1","issue":"1","issued":{"date-parts":[["2006"]]},"page":"46-53","title":"Meal and snack patterns are associated with dietary intake of energy and nutrients in US adults","type":"article-journal","volume":"106"},"uris":["http://www.mendeley.com/documents/?uuid=dcd95926-09db-4256-a314-9d40bceb732f"]},{"id":"ITEM-2","itemData":{"DOI":"10.3945/jn.116.230334","ISSN":"0022-3166","abstract":"© 2016 American Society for Nutrition. Background: Most adolescents consume ≥1 snack/d; exploring the relevance of snacking patterns for overall diet and weight status is important to guide dietary counseling and public health strategies for obesity prevention. Objective: This study examined intake of common energy-dense snack foods, total number of snacks consumed, frequency of consuming snacks prepared away from home, and frequency of snacking while watching television in adolescents and how these behaviors may be linked to diet and weight status. Relations were examined with attention to potential confounders that may help explain the mixed findings of previous research. Methods: Survey measures of snacking behavior, a food-frequency questionnaire, and anthropometric measurements were completed by 2793 adolescents (53.2% girls, mean age = 14.4 y) in Minneapolis-St. Paul school classrooms in 2009-2010. Linear regression was used to examine associations with adjustment for sociodemographic characteristics and other potential confounding factors, such as meal skipping, underreporting energy intake, dieting to lose weight, and physical activity. Results: Adolescents reported consuming a mean of 2.2 energy-dense snack food servings/d and 4.3 snacks/d and purchasing snacks prepared away from home on 3.2 occasions/wk. More than two-thirds of adolescents reported that they sometimes, usually, or always consumed a snack while watching television. The measures of snacking were directly associated (P &lt; 0.01) with higher energy, lower fruit/vegetable, higher sugar-sweetened beverage, and more frequent fast-food intakes in all models except for one: Energy-dense snack food servings were not related to sugar-sweetened beverage intake. A direct relation between daily servings of energy-dense snack foods and body mass index (BMI) z score was found; however, the snacking behaviors were inversely related to BMI z score (P &lt; 0.01). Conclusions: The observed cross-sectional associations suggest that snack consumption is a risk factor for poor diet, but unless energy-dense foods are consumed, snacking does not consistently contribute to overweight in US adolescents.","author":[{"dropping-particle":"","family":"Larson","given":"Nicole I","non-dropping-particle":"","parse-names":false,"suffix":""},{"dropping-particle":"","family":"Miller","given":"Jonathan M","non-dropping-particle":"","parse-names":false,"suffix":""},{"dropping-particle":"","family":"Watts","given":"Allison W","non-dropping-particle":"","parse-names":false,"suffix":""},{"dropping-particle":"","family":"Story","given":"Mary T","non-dropping-particle":"","parse-names":false,"suffix":""},{"dropping-particle":"","family":"Neumark-Sztainer","given":"Dianne R","non-dropping-particle":"","parse-names":false,"suffix":""}],"container-title":"The Journal of Nutrition","id":"ITEM-2","issue":"7","issued":{"date-parts":[["2016"]]},"page":"1348-1355","title":"Adolescent Snacking Behaviors Are Associated with Dietary Intake and Weight Status","type":"article-journal","volume":"146"},"uris":["http://www.mendeley.com/documents/?uuid=2dddb735-e0ed-439f-99d6-2dff2a43aaf2"]},{"id":"ITEM-3","itemData":{"DOI":"10.1038/sj.ejcn.1602343","ISSN":"09543007","abstract":"Background: An increasing frequency of snacks has been observed in meal pattern studies. Snacks can alter the diet because of their high-energy density and low-nutrient content or on the contrary. Objective: The prominence of snacks in energy intake and food consumption was assessed. Design: Dietary data were collected for 2007 adults by using a computer-assisted 48-h dietary recall in the national FINDIET 2002 survey. Energy intakes and food consumption were aggregated for snacks and for main meals. Results: Daily energy was mostly derived from main meals comprising traditional mixed dishes, milk and bread. However, a snack-dominating meal pattern was observed in 19% of men and 24% of women. This meal pattern was associated with urbanization in both genders and with physical work in men. Higher sucrose intake and lower intake of micronutrients were typical of the snack-dominating meal pattern compared to the others. Conclusions: As snacks appear to have a higher energy density and a lower content of micronutrients than main meals, a snack dominating meal pattern is inadvisable. However, further studies are needed to examine the association between meal pattern and health status. © 2006 Nature Publishing Group All rights reserved.","author":[{"dropping-particle":"","family":"Ovaskainen","given":"Marja Leena","non-dropping-particle":"","parse-names":false,"suffix":""},{"dropping-particle":"","family":"Reinivuo","given":"H.","non-dropping-particle":"","parse-names":false,"suffix":""},{"dropping-particle":"","family":"Tapanainen","given":"H.","non-dropping-particle":"","parse-names":false,"suffix":""},{"dropping-particle":"","family":"Hannila","given":"M. L.","non-dropping-particle":"","parse-names":false,"suffix":""},{"dropping-particle":"","family":"Korhonen","given":"T.","non-dropping-particle":"","parse-names":false,"suffix":""},{"dropping-particle":"","family":"Pakkala","given":"H.","non-dropping-particle":"","parse-names":false,"suffix":""}],"container-title":"European Journal of Clinical Nutrition","id":"ITEM-3","issue":"4","issued":{"date-parts":[["2006"]]},"page":"494-501","title":"Snacks as an element of energy intake and food consumption","type":"article-journal","volume":"60"},"uris":["http://www.mendeley.com/documents/?uuid=9eb405d2-7ec0-4d86-99cb-23b481440f83"]},{"id":"ITEM-4","itemData":{"DOI":"10.1038/ejcn.2013.60","ISSN":"09543007","abstract":"Background/Objectives:Snacking has increased globally. We examine snacking patterns and common snack foods in Brazil.Subjects/Methods:Data from the first of two non-consecutive food diaries from 34 003 individuals (aged ≥10 years) in the first Brazillian nationally representative dietary survey (2008-2009) were used. Meals were defined as the largest (kcal) eating event reported during select times of the day (Breakfast, 0600-1000 hours; Lunch, 1200-1500 hours; Dinner, 1800-2100 hours); all other eating occasions were considered snacks. We estimate daily energy intake, percentage of persons consuming snacks, number of daily snacks and per capita and per consumer energy from snacks (kcal/day, kcal/snack and % of daily energy from snacks).Results:In all, 74% of Brazilians (≥10 years) snacked, reporting an average 1.6 snacks/day. Also, 23% of the sample were heavy snackers (≥3 snacks/day). Snacking accounted for 21% of daily energy intake in the full sample but 35.5% among heavy snackers. Compared with non-snackers (1548 kcal/day), light (1-2 snacks/day) and heavy snackers consumed more daily energy (1929 and 2334 kcal/day, respectively). Taking into account time of day, the largest percentage of persons reported afternoon/early evening snacking (1501-1759 hours, 47.7%). Sweetened coffee and tea, sweets and desserts, fruit, sugar-sweetened beverages, and high-calorie salgados (fried/baked dough with meat/cheese/vegetable) were the top five most commonly consumed snacks. Differences were observed by age groups. Trends in commercial sales were observed, especially for sugar-sweetened beverages.Conclusions:Many commonly consumed snack foods in Brazil are classified, in the US, as being high in solid fats and added sugars. The public health impact of snacking in Brazil requires further exploration. © 2013 Macmillan Publishers Limited. All rights reserved.","author":[{"dropping-particle":"","family":"Duffey","given":"K. J.","non-dropping-particle":"","parse-names":false,"suffix":""},{"dropping-particle":"","family":"Pereira","given":"R. A.","non-dropping-particle":"","parse-names":false,"suffix":""},{"dropping-particle":"","family":"Popkin","given":"B. M.","non-dropping-particle":"","parse-names":false,"suffix":""}],"container-title":"European Journal of Clinical Nutrition","id":"ITEM-4","issue":"8","issued":{"date-parts":[["2013"]]},"page":"868-874","publisher":"Nature Publishing Group","title":"Prevalence and energy intake from snacking in Brazil: Analysis of the first nationwide individual survey","type":"article-journal","volume":"67"},"uris":["http://www.mendeley.com/documents/?uuid=4115a90b-d39b-4d88-9eaa-a93943a3711f"]}],"mendeley":{"formattedCitation":"&lt;sup&gt;(9–12)&lt;/sup&gt;","plainTextFormattedCitation":"(9–12)","previouslyFormattedCitation":"&lt;sup&gt;(9–12)&lt;/sup&gt;"},"properties":{"noteIndex":0},"schema":"https://github.com/citation-style-language/schema/raw/master/csl-citation.json"}</w:instrText>
      </w:r>
      <w:r w:rsidR="00183F6A" w:rsidRPr="00453626">
        <w:rPr>
          <w:rFonts w:ascii="Times New Roman" w:hAnsi="Times New Roman" w:cs="Times New Roman"/>
          <w:sz w:val="24"/>
        </w:rPr>
        <w:fldChar w:fldCharType="separate"/>
      </w:r>
      <w:r w:rsidR="000A6B3B" w:rsidRPr="00453626">
        <w:rPr>
          <w:rFonts w:ascii="Times New Roman" w:hAnsi="Times New Roman" w:cs="Times New Roman"/>
          <w:noProof/>
          <w:sz w:val="24"/>
          <w:vertAlign w:val="superscript"/>
        </w:rPr>
        <w:t>(9–12)</w:t>
      </w:r>
      <w:r w:rsidR="00183F6A" w:rsidRPr="00453626">
        <w:rPr>
          <w:rFonts w:ascii="Times New Roman" w:hAnsi="Times New Roman" w:cs="Times New Roman"/>
          <w:sz w:val="24"/>
        </w:rPr>
        <w:fldChar w:fldCharType="end"/>
      </w:r>
      <w:r w:rsidR="001E7A57" w:rsidRPr="00453626">
        <w:rPr>
          <w:rFonts w:ascii="Times New Roman" w:hAnsi="Times New Roman" w:cs="Times New Roman"/>
          <w:sz w:val="24"/>
        </w:rPr>
        <w:t xml:space="preserve"> </w:t>
      </w:r>
      <w:r w:rsidR="000C22BF" w:rsidRPr="00453626">
        <w:rPr>
          <w:rFonts w:ascii="Times New Roman" w:hAnsi="Times New Roman" w:cs="Times New Roman"/>
          <w:sz w:val="24"/>
        </w:rPr>
        <w:t>Yet</w:t>
      </w:r>
      <w:r w:rsidR="002F7870" w:rsidRPr="00453626">
        <w:rPr>
          <w:rFonts w:ascii="Times New Roman" w:hAnsi="Times New Roman" w:cs="Times New Roman"/>
          <w:sz w:val="24"/>
        </w:rPr>
        <w:t xml:space="preserve">, </w:t>
      </w:r>
      <w:r w:rsidR="007D2CAB" w:rsidRPr="00453626">
        <w:rPr>
          <w:rFonts w:ascii="Times New Roman" w:hAnsi="Times New Roman" w:cs="Times New Roman"/>
          <w:sz w:val="24"/>
        </w:rPr>
        <w:t xml:space="preserve">it </w:t>
      </w:r>
      <w:r w:rsidR="009E6750" w:rsidRPr="00453626">
        <w:rPr>
          <w:rFonts w:ascii="Times New Roman" w:hAnsi="Times New Roman" w:cs="Times New Roman"/>
          <w:sz w:val="24"/>
        </w:rPr>
        <w:t>remains</w:t>
      </w:r>
      <w:r w:rsidR="007D2CAB" w:rsidRPr="00453626">
        <w:rPr>
          <w:rFonts w:ascii="Times New Roman" w:hAnsi="Times New Roman" w:cs="Times New Roman"/>
          <w:sz w:val="24"/>
        </w:rPr>
        <w:t xml:space="preserve"> </w:t>
      </w:r>
      <w:r w:rsidR="00CE2DBB" w:rsidRPr="00453626">
        <w:rPr>
          <w:rFonts w:ascii="Times New Roman" w:hAnsi="Times New Roman" w:cs="Times New Roman"/>
          <w:sz w:val="24"/>
        </w:rPr>
        <w:t>un</w:t>
      </w:r>
      <w:r w:rsidR="007D2CAB" w:rsidRPr="00453626">
        <w:rPr>
          <w:rFonts w:ascii="Times New Roman" w:hAnsi="Times New Roman" w:cs="Times New Roman"/>
          <w:sz w:val="24"/>
        </w:rPr>
        <w:t>clear whether snacking may contribute to positive energy balance due to increased frequency of eating or</w:t>
      </w:r>
      <w:r w:rsidR="00B76116" w:rsidRPr="00453626">
        <w:rPr>
          <w:rFonts w:ascii="Times New Roman" w:hAnsi="Times New Roman" w:cs="Times New Roman"/>
          <w:sz w:val="24"/>
        </w:rPr>
        <w:t xml:space="preserve"> </w:t>
      </w:r>
      <w:r w:rsidR="00AE4207" w:rsidRPr="00453626">
        <w:rPr>
          <w:rFonts w:ascii="Times New Roman" w:hAnsi="Times New Roman" w:cs="Times New Roman"/>
          <w:sz w:val="24"/>
        </w:rPr>
        <w:t xml:space="preserve">due </w:t>
      </w:r>
      <w:r w:rsidR="00B76116" w:rsidRPr="00453626">
        <w:rPr>
          <w:rFonts w:ascii="Times New Roman" w:hAnsi="Times New Roman" w:cs="Times New Roman"/>
          <w:sz w:val="24"/>
        </w:rPr>
        <w:t xml:space="preserve">to the </w:t>
      </w:r>
      <w:r w:rsidR="00CE2DBB" w:rsidRPr="00453626">
        <w:rPr>
          <w:rFonts w:ascii="Times New Roman" w:hAnsi="Times New Roman" w:cs="Times New Roman"/>
          <w:sz w:val="24"/>
        </w:rPr>
        <w:t xml:space="preserve">typical </w:t>
      </w:r>
      <w:r w:rsidR="001E7A57" w:rsidRPr="00453626">
        <w:rPr>
          <w:rFonts w:ascii="Times New Roman" w:hAnsi="Times New Roman" w:cs="Times New Roman"/>
          <w:sz w:val="24"/>
        </w:rPr>
        <w:t xml:space="preserve">energy and </w:t>
      </w:r>
      <w:r w:rsidR="00777647" w:rsidRPr="00453626">
        <w:rPr>
          <w:rFonts w:ascii="Times New Roman" w:hAnsi="Times New Roman" w:cs="Times New Roman"/>
          <w:sz w:val="24"/>
        </w:rPr>
        <w:t>nutritio</w:t>
      </w:r>
      <w:r w:rsidR="001E7A57" w:rsidRPr="00453626">
        <w:rPr>
          <w:rFonts w:ascii="Times New Roman" w:hAnsi="Times New Roman" w:cs="Times New Roman"/>
          <w:sz w:val="24"/>
        </w:rPr>
        <w:t xml:space="preserve">nal </w:t>
      </w:r>
      <w:r w:rsidR="00CE2DBB" w:rsidRPr="00453626">
        <w:rPr>
          <w:rFonts w:ascii="Times New Roman" w:hAnsi="Times New Roman" w:cs="Times New Roman"/>
          <w:sz w:val="24"/>
        </w:rPr>
        <w:t>content of snacks</w:t>
      </w:r>
      <w:r w:rsidR="00B76116" w:rsidRPr="00453626">
        <w:rPr>
          <w:rFonts w:ascii="Times New Roman" w:hAnsi="Times New Roman" w:cs="Times New Roman"/>
          <w:sz w:val="24"/>
        </w:rPr>
        <w:t>.</w:t>
      </w:r>
      <w:r w:rsidR="001E7A57" w:rsidRPr="00453626">
        <w:rPr>
          <w:rFonts w:ascii="Times New Roman" w:hAnsi="Times New Roman" w:cs="Times New Roman"/>
          <w:sz w:val="24"/>
        </w:rPr>
        <w:t xml:space="preserve"> Self-reported dietary data indicates higher energy density and lower nutrient density of foods consumed as snacks compared to foods consumed as part of meals </w:t>
      </w:r>
      <w:r w:rsidR="001E7A57" w:rsidRPr="00453626">
        <w:rPr>
          <w:rFonts w:ascii="Times New Roman" w:hAnsi="Times New Roman" w:cs="Times New Roman"/>
          <w:sz w:val="24"/>
        </w:rPr>
        <w:fldChar w:fldCharType="begin" w:fldLock="1"/>
      </w:r>
      <w:r w:rsidR="0027432A" w:rsidRPr="00453626">
        <w:rPr>
          <w:rFonts w:ascii="Times New Roman" w:hAnsi="Times New Roman" w:cs="Times New Roman"/>
          <w:sz w:val="24"/>
        </w:rPr>
        <w:instrText>ADDIN CSL_CITATION {"citationItems":[{"id":"ITEM-1","itemData":{"DOI":"10.1016/j.physbeh.2018.03.022","ISSN":"1873507X","abstract":"The objective of this paper is to update knowledge of eating patterns of US adults with sex and ethnicity specific estimates and discuss the implications of reported patterns with respect to current resurgence of interest in the topic. The eating patterns data were from the NHANES 2009–2014 (n = 15,341 adults). Overall, American adults reported 4.96 ± 0.03 eating episodes in the recall. Women were more likely to report each of the three main meals and all three meals plus one or more snacks relative to men (P &lt; 0.0001). Relative to other ethnic groups, non-Hispanic blacks were less likely to report each meal or a snack or all three meals, and the foods reported for meals and snacks were higher in energy density (P = 0.0001). Of the three meals, the dinner meal, and among snacks, the after-dinner snack, were reported by the highest percentage of Americans; these two eating episodes provided nearly 45% of the 24-h energy intake. The average dinnertime was 6:24 pm, and the average time of the last eating episode of the 24-h ingestive period was 8:18 pm. Given these findings, adoption of eating patterns that advocate less frequent eating and shift in the time of eating are likely to present a challenge. We know little about the validity of eating patterns determined from 24-h recalls or questionnaire instruments. The extent of within person variability and reporting errors in different eating pattern components also need further research.","author":[{"dropping-particle":"","family":"Kant","given":"Ashima K.","non-dropping-particle":"","parse-names":false,"suffix":""}],"container-title":"Physiology and Behavior","id":"ITEM-1","issue":"March","issued":{"date-parts":[["2018"]]},"page":"270-278","publisher":"Elsevier","title":"Eating patterns of US adults: Meals, snacks, and time of eating","type":"article-journal","volume":"193"},"uris":["http://www.mendeley.com/documents/?uuid=13d82429-c0c2-4c8e-a3ef-840fd6e5e440"]},{"id":"ITEM-2","itemData":{"DOI":"10.1017/S0007114516003573","ISBN":"0007114516","ISSN":"14752662","abstract":"This cross-sectional study examined how energy density (ED) in meals and snacks is associated with overall diet quality, BMI and waist circumference (WC). On the basis of the data from 7-d weighed dietary record, all eating occasions were divided into meals or snacks based on time (meals: 06.00-10.00, 12.00-15.00 and 18.00-21.00 hours; snacks: others) or contribution to energy intake (EI) (meals: ≥15; snacks: &lt;15%) in 1451 British adults aged 19-64 years. Irrespective of the definition of meals and snacks, both meal ED and snack ED (kJ/g; calculated on the basis of solid food only) were inversely associated with overall diet quality assessed by the healthy diet indicator (regression coefficient (β)=-0·29 to -0·21 and -0·07 to -0·04, respectively) and Mediterranean diet score (β=-0·43 to -0·30 and -0·13 to -0·06, respectively) in both sexes (P≤0·002), although the associations were stronger for meal ED. After adjustment for potential confounders, in both men and women, meal ED based on EI contribution showed positive associations with BMI (β=0·34; 95% CI 0·06, 0·62 and β=0·31; 95% CI 0·01, 0·61, respectively) and WC (β=0·96; 95% CI 0·27, 1·66 and β=0·67; 95% CI 0·04, 1·30, respectively). In addition, meal ED based on time was positively associated with WC in men (β=0·59; 95% CI 0·07, 1·10) and snack ED based on time was positively associated with BMI in women (β=0·15; 95% CI 0·04, 0·27). In analyses in which only acceptable EI reporters were included, similar results were obtained. In conclusion, the findings suggest stronger associations of meal ED with overall diet quality, BMI and WC compared with snack ED.","author":[{"dropping-particle":"","family":"Murakami","given":"Kentaro","non-dropping-particle":"","parse-names":false,"suffix":""},{"dropping-particle":"","family":"Livingstone","given":"M. Barbara E.","non-dropping-particle":"","parse-names":false,"suffix":""}],"container-title":"British Journal of Nutrition","id":"ITEM-2","issue":"8","issued":{"date-parts":[["2016"]]},"page":"1479-1489","title":"Energy density of meals and snacks in the British diet in relation to overall diet quality, BMI and waist circumference: Findings from the National Diet and Nutrition Survey","type":"article-journal","volume":"116"},"uris":["http://www.mendeley.com/documents/?uuid=2045d056-db77-4d36-8567-404876c56c10"]},{"id":"ITEM-3","itemData":{"DOI":"10.1186/s12937-018-0336-z","ISSN":"14752891","PMID":"29486784","abstract":"Background: Snacking raises concern since it may lead to an additional energy intake and poor nutrient quality. A snacking occasion can be defined as any eating occasion apart from main meals, regardless of the amount or type of foods consumed. We described the frequency of snacking occasions according to daily timing in French adults, and compared them between each other, and with the main meals, in terms of energy intake, energy and nutrient density, and food content. Methods: This cross-sectional analysis included 104,265 adults from the NutriNet-Santé cohort. Food intake was estimated using 24-h records of weekdays. For each eating occasion, nutrient density and energy content and density were computed. Results: After weighting, 47.6% of our sample were men and mean age was 45.6 (15.3). Overall, 68% of participants ate at least one snack during the reported record, mainly in the morning or afternoon. Overall snack had a lower nutrient density [22.8 (SD = 278.3)] than main meals [25.8 (36.9) to 30.0 (30.4)]; but higher energy density [222.2 (163.3) kcal/100 g] than meals [133.9 (57.3) to 175.9 (99.6) kcal/100 g]. Morning snack was the snacking occasion with the lowest energy density [211 kcal/100 g], the lowest energy intake [104.1 kcal] and the highest nutrient density [60.1]. Afternoon and evening snacks had the highest energy loads [192.4 kcal and 207.6 kcal], but low nutrient scores [16 and 13, respectively]. The main food groups contributing to energy intake from snacks were fatty-sweet and sugary foods, fruit, hot beverages, and bread. Conclusions: Our findings highlight the frequency of snacking and the varying nutritional quality of snacks over the day. The morning snack was shown to be healthier than afternoon and evening snacks. Trial registration: This study was conducted according to guidelines laid down in the Declaration of Helsinki, and all procedures were approved by the Institutional Review Board of the French Institute for Health and Medical Research (IRB Inserm No. 0000388FWA00005831) and the French Data Protection Authority (Commission Nationale Informatique et Libertés No. 908450 and No. 909216). Electronic informed consent was obtained from all participants (Clinical Trial no. NCT03335644).","author":[{"dropping-particle":"","family":"Si Hassen","given":"Wendy","non-dropping-particle":"","parse-names":false,"suffix":""},{"dropping-particle":"","family":"Castetbon","given":"Katia","non-dropping-particle":"","parse-names":false,"suffix":""},{"dropping-particle":"","family":"Tichit","given":"Christine","non-dropping-particle":"","parse-names":false,"suffix":""},{"dropping-particle":"","family":"Péneau","given":"Sandrine","non-dropping-particle":"","parse-names":false,"suffix":""},{"dropping-particle":"","family":"Nechba","given":"Anouar","non-dropping-particle":"","parse-names":false,"suffix":""},{"dropping-particle":"","family":"Ducrot","given":"Pauline","non-dropping-particle":"","parse-names":false,"suffix":""},{"dropping-particle":"","family":"Lampuré","given":"Aurélie","non-dropping-particle":"","parse-names":false,"suffix":""},{"dropping-particle":"","family":"Bellisle","given":"France","non-dropping-particle":"","parse-names":false,"suffix":""},{"dropping-particle":"","family":"Hercberg","given":"Serge","non-dropping-particle":"","parse-names":false,"suffix":""},{"dropping-particle":"","family":"Méjean","given":"Caroline","non-dropping-particle":"","parse-names":false,"suffix":""}],"container-title":"Nutrition Journal","id":"ITEM-3","issue":"1","issued":{"date-parts":[["2018"]]},"page":"1-9","publisher":"Nutrition Journal","title":"Energy, nutrient and food content of snacks in French adults","type":"article-journal","volume":"17"},"uris":["http://www.mendeley.com/documents/?uuid=851d2717-ef67-42df-85aa-ce6ce1fb0329"]}],"mendeley":{"formattedCitation":"&lt;sup&gt;(13–15)&lt;/sup&gt;","plainTextFormattedCitation":"(13–15)","previouslyFormattedCitation":"&lt;sup&gt;(13,14)&lt;/sup&gt;"},"properties":{"noteIndex":0},"schema":"https://github.com/citation-style-language/schema/raw/master/csl-citation.json"}</w:instrText>
      </w:r>
      <w:r w:rsidR="001E7A57" w:rsidRPr="00453626">
        <w:rPr>
          <w:rFonts w:ascii="Times New Roman" w:hAnsi="Times New Roman" w:cs="Times New Roman"/>
          <w:sz w:val="24"/>
        </w:rPr>
        <w:fldChar w:fldCharType="separate"/>
      </w:r>
      <w:r w:rsidR="0027432A" w:rsidRPr="00453626">
        <w:rPr>
          <w:rFonts w:ascii="Times New Roman" w:hAnsi="Times New Roman" w:cs="Times New Roman"/>
          <w:noProof/>
          <w:sz w:val="24"/>
          <w:vertAlign w:val="superscript"/>
        </w:rPr>
        <w:t>(13–15)</w:t>
      </w:r>
      <w:r w:rsidR="001E7A57" w:rsidRPr="00453626">
        <w:rPr>
          <w:rFonts w:ascii="Times New Roman" w:hAnsi="Times New Roman" w:cs="Times New Roman"/>
          <w:sz w:val="24"/>
        </w:rPr>
        <w:fldChar w:fldCharType="end"/>
      </w:r>
      <w:r w:rsidR="001E7A57" w:rsidRPr="00453626">
        <w:rPr>
          <w:rFonts w:ascii="Times New Roman" w:hAnsi="Times New Roman" w:cs="Times New Roman"/>
          <w:sz w:val="24"/>
        </w:rPr>
        <w:t>.</w:t>
      </w:r>
      <w:r w:rsidR="0027432A" w:rsidRPr="00453626">
        <w:rPr>
          <w:rFonts w:ascii="Times New Roman" w:hAnsi="Times New Roman" w:cs="Times New Roman"/>
          <w:sz w:val="24"/>
        </w:rPr>
        <w:t xml:space="preserve"> </w:t>
      </w:r>
      <w:r w:rsidR="001E7A57" w:rsidRPr="00453626">
        <w:rPr>
          <w:rFonts w:ascii="Times New Roman" w:hAnsi="Times New Roman" w:cs="Times New Roman"/>
          <w:sz w:val="24"/>
        </w:rPr>
        <w:t xml:space="preserve">Furthermore, in one UK study consumption of snacks lower in nutritional quality was associated with higher BMI and waist circumference in women </w:t>
      </w:r>
      <w:r w:rsidR="001E7A57" w:rsidRPr="00453626">
        <w:rPr>
          <w:rFonts w:ascii="Times New Roman" w:hAnsi="Times New Roman" w:cs="Times New Roman"/>
          <w:sz w:val="24"/>
        </w:rPr>
        <w:fldChar w:fldCharType="begin" w:fldLock="1"/>
      </w:r>
      <w:r w:rsidR="0027432A" w:rsidRPr="00453626">
        <w:rPr>
          <w:rFonts w:ascii="Times New Roman" w:hAnsi="Times New Roman" w:cs="Times New Roman"/>
          <w:sz w:val="24"/>
        </w:rPr>
        <w:instrText>ADDIN CSL_CITATION {"citationItems":[{"id":"ITEM-1","itemData":{"DOI":"10.1186/s12937-017-0283-0","ISSN":"14752891","abstract":"Background: Studies examining meal and snack eating behaviors in relation to overall diet and health markers are limited, at least partly because there is no definitive consensus about what constitutes a snack, a meal, or an eating occasion. This cross-sectional study examined how nutritional quality of meals and snacks is associated with overall diet quality, body mass index (BMI), and waist circumference. Methods: Based on 7-d weighed dietary record data, all eating occasions were divided into meals or snacks based on time (meals: 0600-1000, 1200-1500, and 1800-2100 h; snacks: others) or contribution to energy intake (EI) (meals: ≥15%; snacks: &lt;15%) in 1451 British adults aged 19-64 years participating in the National Diet and Nutrition Survey. Nutritional quality of meals and snacks was assessed as the arithmetic EI-weighted means of the British Food Standards Agency (FSA) nutrient profiling system score of each food and beverage consumed, based on the contents of energy, saturated fatty acid, total sugar, sodium, fruits/vegetables/nuts, dietary fiber, and protein per 100 g. Results: Irrespective of the definition of meals and snacks, higher FSA scores (lower nutritional quality) of both meals and snacks were associated with unfavorable profiles of individual components of overall diet, including lower intakes of fruits/vegetables/nuts and higher intakes of biscuits/cakes/pastries, total fat, and saturated fatty acid. The FSA scores of meals and snacks were also inversely associated with overall diet quality assessed by the healthy diet indicator (regression coefficient (β) = -0.22 to -0.17 and -0.06 to -0.03, respectively) and Mediterranean diet score (β = -0.25 to -0.19 and -0.08 to -0.05, respectively) in both sexes (P ≤ 0.005). However, the associations were stronger for meals, mainly due to their larger contribution to total EI (64% to 84%). After adjustment for potential confounders, only the FSA score of snacks based on EI contribution was positively associated with BMI and waist circumference in women (P ≤ 0.005). Conclusions: Although lower nutritional quality of both meals and snacks assessed by the FSA score was associated with adverse profiles of overall diet quality (but not necessarily adiposity measures), stronger associations were observed for nutritional quality of meals.","author":[{"dropping-particle":"","family":"Murakami","given":"Kentaro","non-dropping-particle":"","parse-names":false,"suffix":""}],"container-title":"Nutrition Journal","id":"ITEM-1","issue":"1","issued":{"date-parts":[["2017"]]},"page":"1-12","publisher":"Nutrition Journal","title":"Nutritional quality of meals and snacks assessed by the Food Standards Agency nutrient profiling system in relation to overall diet quality, body mass index, and waist circumference in British adults","type":"article-journal","volume":"16"},"uris":["http://www.mendeley.com/documents/?uuid=3977f0c8-f36b-461e-92d8-a9fe22eab133"]}],"mendeley":{"formattedCitation":"&lt;sup&gt;(7)&lt;/sup&gt;","plainTextFormattedCitation":"(7)","previouslyFormattedCitation":"&lt;sup&gt;(7)&lt;/sup&gt;"},"properties":{"noteIndex":0},"schema":"https://github.com/citation-style-language/schema/raw/master/csl-citation.json"}</w:instrText>
      </w:r>
      <w:r w:rsidR="001E7A57" w:rsidRPr="00453626">
        <w:rPr>
          <w:rFonts w:ascii="Times New Roman" w:hAnsi="Times New Roman" w:cs="Times New Roman"/>
          <w:sz w:val="24"/>
        </w:rPr>
        <w:fldChar w:fldCharType="separate"/>
      </w:r>
      <w:r w:rsidR="001E7A57" w:rsidRPr="00453626">
        <w:rPr>
          <w:rFonts w:ascii="Times New Roman" w:hAnsi="Times New Roman" w:cs="Times New Roman"/>
          <w:noProof/>
          <w:sz w:val="24"/>
          <w:vertAlign w:val="superscript"/>
        </w:rPr>
        <w:t>(7)</w:t>
      </w:r>
      <w:r w:rsidR="001E7A57" w:rsidRPr="00453626">
        <w:rPr>
          <w:rFonts w:ascii="Times New Roman" w:hAnsi="Times New Roman" w:cs="Times New Roman"/>
          <w:sz w:val="24"/>
        </w:rPr>
        <w:fldChar w:fldCharType="end"/>
      </w:r>
      <w:r w:rsidR="001E7A57" w:rsidRPr="00453626">
        <w:rPr>
          <w:rFonts w:ascii="Times New Roman" w:hAnsi="Times New Roman" w:cs="Times New Roman"/>
          <w:sz w:val="24"/>
        </w:rPr>
        <w:t>.</w:t>
      </w:r>
      <w:r w:rsidR="0027432A" w:rsidRPr="00453626">
        <w:rPr>
          <w:rFonts w:ascii="Times New Roman" w:hAnsi="Times New Roman" w:cs="Times New Roman"/>
          <w:sz w:val="24"/>
        </w:rPr>
        <w:t xml:space="preserve"> </w:t>
      </w:r>
      <w:r w:rsidR="006B7CF7" w:rsidRPr="00453626">
        <w:rPr>
          <w:rFonts w:ascii="Times New Roman" w:hAnsi="Times New Roman" w:cs="Times New Roman"/>
          <w:sz w:val="24"/>
        </w:rPr>
        <w:t>T</w:t>
      </w:r>
      <w:r w:rsidR="002C1698" w:rsidRPr="00453626">
        <w:rPr>
          <w:rFonts w:ascii="Times New Roman" w:hAnsi="Times New Roman" w:cs="Times New Roman"/>
          <w:sz w:val="24"/>
        </w:rPr>
        <w:t xml:space="preserve">here has been </w:t>
      </w:r>
      <w:r w:rsidR="005E5231" w:rsidRPr="00453626">
        <w:rPr>
          <w:rFonts w:ascii="Times New Roman" w:hAnsi="Times New Roman" w:cs="Times New Roman"/>
          <w:sz w:val="24"/>
        </w:rPr>
        <w:t xml:space="preserve">no </w:t>
      </w:r>
      <w:r w:rsidR="002C1698" w:rsidRPr="00453626">
        <w:rPr>
          <w:rFonts w:ascii="Times New Roman" w:hAnsi="Times New Roman" w:cs="Times New Roman"/>
          <w:sz w:val="24"/>
        </w:rPr>
        <w:t xml:space="preserve">research on the </w:t>
      </w:r>
      <w:r w:rsidR="003D0B44" w:rsidRPr="00453626">
        <w:rPr>
          <w:rFonts w:ascii="Times New Roman" w:hAnsi="Times New Roman" w:cs="Times New Roman"/>
          <w:sz w:val="24"/>
        </w:rPr>
        <w:t xml:space="preserve">energy content and </w:t>
      </w:r>
      <w:r w:rsidR="002C1698" w:rsidRPr="00453626">
        <w:rPr>
          <w:rFonts w:ascii="Times New Roman" w:hAnsi="Times New Roman" w:cs="Times New Roman"/>
          <w:sz w:val="24"/>
        </w:rPr>
        <w:t>nutritional quality of snack products</w:t>
      </w:r>
      <w:r w:rsidR="005E5231" w:rsidRPr="00453626">
        <w:rPr>
          <w:rFonts w:ascii="Times New Roman" w:hAnsi="Times New Roman" w:cs="Times New Roman"/>
          <w:sz w:val="24"/>
        </w:rPr>
        <w:t xml:space="preserve"> being sold in the UK</w:t>
      </w:r>
      <w:r w:rsidR="007E4B29" w:rsidRPr="00453626">
        <w:rPr>
          <w:rFonts w:ascii="Times New Roman" w:hAnsi="Times New Roman" w:cs="Times New Roman"/>
          <w:sz w:val="24"/>
        </w:rPr>
        <w:t xml:space="preserve">. </w:t>
      </w:r>
      <w:r w:rsidR="005E5231" w:rsidRPr="00453626">
        <w:rPr>
          <w:rFonts w:ascii="Times New Roman" w:hAnsi="Times New Roman" w:cs="Times New Roman"/>
          <w:bCs/>
          <w:sz w:val="24"/>
        </w:rPr>
        <w:t xml:space="preserve">Given that a large </w:t>
      </w:r>
      <w:r w:rsidR="007F09C6" w:rsidRPr="00453626">
        <w:rPr>
          <w:rFonts w:ascii="Times New Roman" w:hAnsi="Times New Roman" w:cs="Times New Roman"/>
          <w:bCs/>
          <w:sz w:val="24"/>
        </w:rPr>
        <w:t xml:space="preserve">and increasing </w:t>
      </w:r>
      <w:r w:rsidR="005E5231" w:rsidRPr="00453626">
        <w:rPr>
          <w:rFonts w:ascii="Times New Roman" w:hAnsi="Times New Roman" w:cs="Times New Roman"/>
          <w:bCs/>
          <w:sz w:val="24"/>
        </w:rPr>
        <w:t>amount of food is bought and consumed outside of the home</w:t>
      </w:r>
      <w:r w:rsidR="005F388F" w:rsidRPr="00453626">
        <w:rPr>
          <w:rFonts w:ascii="Times New Roman" w:hAnsi="Times New Roman" w:cs="Times New Roman"/>
          <w:bCs/>
          <w:sz w:val="24"/>
        </w:rPr>
        <w:t xml:space="preserve"> </w:t>
      </w:r>
      <w:r w:rsidR="005E5231" w:rsidRPr="00453626">
        <w:rPr>
          <w:rFonts w:ascii="Times New Roman" w:hAnsi="Times New Roman" w:cs="Times New Roman"/>
          <w:bCs/>
          <w:sz w:val="24"/>
        </w:rPr>
        <w:t xml:space="preserve">and snacking </w:t>
      </w:r>
      <w:r w:rsidR="00777647" w:rsidRPr="00453626">
        <w:rPr>
          <w:rFonts w:ascii="Times New Roman" w:hAnsi="Times New Roman" w:cs="Times New Roman"/>
          <w:bCs/>
          <w:sz w:val="24"/>
        </w:rPr>
        <w:t>may</w:t>
      </w:r>
      <w:r w:rsidR="005E5231" w:rsidRPr="00453626">
        <w:rPr>
          <w:rFonts w:ascii="Times New Roman" w:hAnsi="Times New Roman" w:cs="Times New Roman"/>
          <w:bCs/>
          <w:sz w:val="24"/>
        </w:rPr>
        <w:t xml:space="preserve"> occur ‘on the go’,</w:t>
      </w:r>
      <w:r w:rsidR="00A534A9" w:rsidRPr="00453626">
        <w:rPr>
          <w:rFonts w:ascii="Times New Roman" w:hAnsi="Times New Roman" w:cs="Times New Roman"/>
          <w:bCs/>
          <w:sz w:val="24"/>
        </w:rPr>
        <w:fldChar w:fldCharType="begin" w:fldLock="1"/>
      </w:r>
      <w:r w:rsidR="0027432A" w:rsidRPr="00453626">
        <w:rPr>
          <w:rFonts w:ascii="Times New Roman" w:hAnsi="Times New Roman" w:cs="Times New Roman"/>
          <w:bCs/>
          <w:sz w:val="24"/>
        </w:rPr>
        <w:instrText>ADDIN CSL_CITATION {"citationItems":[{"id":"ITEM-1","itemData":{"DOI":"10.1186/s12966-015-0210-8","ISBN":"1479-5868 (Electronic) 1479-5868 (Linking)","ISSN":"14795868","PMID":"25889159","abstract":"BACKGROUND: Food prepared out-of-home tends to be less healthful than food prepared at home, with a positive association between frequency of consumption and both fat intake and body fatness. There is little current data on who eats out-of-home food. We explored frequency and socio-demographic correlates of eating meals out and take-away meals at home, using data from a large, UK, population representative study.\\n\\nMETHODS: Data were from waves 1-4 of the UK National Diet and Nutrition Survey (2008-12). Socio-demographic variables of interest were gender, age group, and socio-economic position. Self-reported frequency of consuming meals out and take-away meals at home was categorised as: less than once per week and once per week or more. Analyses were performed separately for adults (aged 18 years or older) and children.\\n\\nRESULTS: Data from 2001 adults and 1963 children were included. More than one quarter (27.1%) of adults and one fifth (19.0%) of children ate meals out once per week or more. One fifth of adults (21.1%) and children (21.0%) ate take-away meals at home once per week or more. There were no gender differences in consumption of meals out, but more boys than girls ate take-away meals at home at least weekly. The proportion of participants eating both meals out and take-away meals at home at least weekly peaked in young adults aged 19-29 years. Adults living in more affluent households were more likely to eat meals out at least once per week, but children living in less affluent households were more likely to eat take-away meals at home at least once per week. There was no relationship between socio-economic position and consumption of take-away meals at home in adults.\\n\\nCONCLUSIONS: One-fifth to one-quarter of individuals eat meals prepared out-of-home weekly. Interventions seeking to improve dietary intake by reducing consumption of out-of-home food may be more effective if tailored to and targeted at adults aged less than 30 years. It may also be important to develop interventions to help children and adolescents avoid becoming frequent consumers of out-of-home food.","author":[{"dropping-particle":"","family":"Adams","given":"Jean","non-dropping-particle":"","parse-names":false,"suffix":""},{"dropping-particle":"","family":"Goffe","given":"Louis","non-dropping-particle":"","parse-names":false,"suffix":""},{"dropping-particle":"","family":"Brown","given":"Tamara","non-dropping-particle":"","parse-names":false,"suffix":""},{"dropping-particle":"","family":"Lake","given":"Amelia A.","non-dropping-particle":"","parse-names":false,"suffix":""},{"dropping-particle":"","family":"Summerbell","given":"Carolyn","non-dropping-particle":"","parse-names":false,"suffix":""},{"dropping-particle":"","family":"White","given":"Martin","non-dropping-particle":"","parse-names":false,"suffix":""},{"dropping-particle":"","family":"Wrieden","given":"Wendy","non-dropping-particle":"","parse-names":false,"suffix":""},{"dropping-particle":"","family":"Adamson","given":"Ashley J.","non-dropping-particle":"","parse-names":false,"suffix":""}],"container-title":"International Journal of Behavioral Nutrition and Physical Activity","id":"ITEM-1","issue":"1","issued":{"date-parts":[["2015"]]},"page":"1-9","title":"Frequency and socio-demographic correlates of eating meals out and take-away meals at home: Cross-sectional analysis of the UK national diet and nutrition survey, waves 1-4 (2008-12)","type":"article-journal","volume":"12"},"uris":["http://www.mendeley.com/documents/?uuid=6038e155-25b1-430e-952c-0625cbb67b4c"]}],"mendeley":{"formattedCitation":"&lt;sup&gt;(16)&lt;/sup&gt;","plainTextFormattedCitation":"(16)","previouslyFormattedCitation":"&lt;sup&gt;(15)&lt;/sup&gt;"},"properties":{"noteIndex":0},"schema":"https://github.com/citation-style-language/schema/raw/master/csl-citation.json"}</w:instrText>
      </w:r>
      <w:r w:rsidR="00A534A9" w:rsidRPr="00453626">
        <w:rPr>
          <w:rFonts w:ascii="Times New Roman" w:hAnsi="Times New Roman" w:cs="Times New Roman"/>
          <w:bCs/>
          <w:sz w:val="24"/>
        </w:rPr>
        <w:fldChar w:fldCharType="separate"/>
      </w:r>
      <w:r w:rsidR="0027432A" w:rsidRPr="00453626">
        <w:rPr>
          <w:rFonts w:ascii="Times New Roman" w:hAnsi="Times New Roman" w:cs="Times New Roman"/>
          <w:bCs/>
          <w:noProof/>
          <w:sz w:val="24"/>
          <w:vertAlign w:val="superscript"/>
        </w:rPr>
        <w:t>(16)</w:t>
      </w:r>
      <w:r w:rsidR="00A534A9" w:rsidRPr="00453626">
        <w:rPr>
          <w:rFonts w:ascii="Times New Roman" w:hAnsi="Times New Roman" w:cs="Times New Roman"/>
          <w:bCs/>
          <w:sz w:val="24"/>
        </w:rPr>
        <w:fldChar w:fldCharType="end"/>
      </w:r>
      <w:r w:rsidR="005E5231" w:rsidRPr="00453626">
        <w:rPr>
          <w:rFonts w:ascii="Times New Roman" w:hAnsi="Times New Roman" w:cs="Times New Roman"/>
          <w:bCs/>
          <w:sz w:val="24"/>
        </w:rPr>
        <w:t xml:space="preserve"> characterising the nutritional quality of </w:t>
      </w:r>
      <w:r w:rsidR="00777647" w:rsidRPr="00453626">
        <w:rPr>
          <w:rFonts w:ascii="Times New Roman" w:hAnsi="Times New Roman" w:cs="Times New Roman"/>
          <w:bCs/>
          <w:sz w:val="24"/>
        </w:rPr>
        <w:t xml:space="preserve">ready-to-eat </w:t>
      </w:r>
      <w:r w:rsidR="005E5231" w:rsidRPr="00453626">
        <w:rPr>
          <w:rFonts w:ascii="Times New Roman" w:hAnsi="Times New Roman" w:cs="Times New Roman"/>
          <w:bCs/>
          <w:sz w:val="24"/>
        </w:rPr>
        <w:t>snack products available to consumers is of importance.</w:t>
      </w:r>
    </w:p>
    <w:p w14:paraId="6E18B43D" w14:textId="1EDE0159" w:rsidR="00390A8A" w:rsidRPr="00453626" w:rsidRDefault="00A73507" w:rsidP="00396F23">
      <w:pPr>
        <w:spacing w:line="360" w:lineRule="auto"/>
        <w:rPr>
          <w:rFonts w:ascii="Times New Roman" w:hAnsi="Times New Roman" w:cs="Times New Roman"/>
          <w:sz w:val="24"/>
        </w:rPr>
      </w:pPr>
      <w:r w:rsidRPr="00453626">
        <w:rPr>
          <w:rFonts w:ascii="Times New Roman" w:hAnsi="Times New Roman" w:cs="Times New Roman"/>
          <w:sz w:val="24"/>
        </w:rPr>
        <w:t xml:space="preserve">In an attempt to reduce obesity in the UK, </w:t>
      </w:r>
      <w:r w:rsidR="004D5393" w:rsidRPr="00453626">
        <w:rPr>
          <w:rFonts w:ascii="Times New Roman" w:hAnsi="Times New Roman" w:cs="Times New Roman"/>
          <w:sz w:val="24"/>
        </w:rPr>
        <w:t>Public Health England</w:t>
      </w:r>
      <w:r w:rsidR="00C07B0C" w:rsidRPr="00453626">
        <w:rPr>
          <w:rFonts w:ascii="Times New Roman" w:hAnsi="Times New Roman" w:cs="Times New Roman"/>
          <w:sz w:val="24"/>
        </w:rPr>
        <w:t xml:space="preserve"> (PHE)</w:t>
      </w:r>
      <w:r w:rsidR="004D5393" w:rsidRPr="00453626">
        <w:rPr>
          <w:rFonts w:ascii="Times New Roman" w:hAnsi="Times New Roman" w:cs="Times New Roman"/>
          <w:sz w:val="24"/>
        </w:rPr>
        <w:t xml:space="preserve"> </w:t>
      </w:r>
      <w:r w:rsidR="005E5231" w:rsidRPr="00453626">
        <w:rPr>
          <w:rFonts w:ascii="Times New Roman" w:hAnsi="Times New Roman" w:cs="Times New Roman"/>
          <w:sz w:val="24"/>
        </w:rPr>
        <w:t xml:space="preserve">have provided guidelines </w:t>
      </w:r>
      <w:r w:rsidR="004D5393" w:rsidRPr="00453626">
        <w:rPr>
          <w:rFonts w:ascii="Times New Roman" w:hAnsi="Times New Roman" w:cs="Times New Roman"/>
          <w:sz w:val="24"/>
        </w:rPr>
        <w:t>that adults should</w:t>
      </w:r>
      <w:r w:rsidR="00183AB1" w:rsidRPr="00453626">
        <w:rPr>
          <w:rFonts w:ascii="Times New Roman" w:hAnsi="Times New Roman" w:cs="Times New Roman"/>
          <w:sz w:val="24"/>
        </w:rPr>
        <w:t xml:space="preserve"> </w:t>
      </w:r>
      <w:r w:rsidR="004D5393" w:rsidRPr="00453626">
        <w:rPr>
          <w:rFonts w:ascii="Times New Roman" w:hAnsi="Times New Roman" w:cs="Times New Roman"/>
          <w:sz w:val="24"/>
        </w:rPr>
        <w:t>consume snack</w:t>
      </w:r>
      <w:r w:rsidR="00A66299" w:rsidRPr="00453626">
        <w:rPr>
          <w:rFonts w:ascii="Times New Roman" w:hAnsi="Times New Roman" w:cs="Times New Roman"/>
          <w:sz w:val="24"/>
        </w:rPr>
        <w:t xml:space="preserve"> products</w:t>
      </w:r>
      <w:r w:rsidR="004D5393" w:rsidRPr="00453626">
        <w:rPr>
          <w:rFonts w:ascii="Times New Roman" w:hAnsi="Times New Roman" w:cs="Times New Roman"/>
          <w:sz w:val="24"/>
        </w:rPr>
        <w:t xml:space="preserve"> that are </w:t>
      </w:r>
      <w:r w:rsidR="00183AB1" w:rsidRPr="00453626">
        <w:rPr>
          <w:rFonts w:ascii="Times New Roman" w:hAnsi="Times New Roman" w:cs="Times New Roman"/>
          <w:sz w:val="24"/>
        </w:rPr>
        <w:t xml:space="preserve">no </w:t>
      </w:r>
      <w:r w:rsidR="004D5393" w:rsidRPr="00453626">
        <w:rPr>
          <w:rFonts w:ascii="Times New Roman" w:hAnsi="Times New Roman" w:cs="Times New Roman"/>
          <w:sz w:val="24"/>
        </w:rPr>
        <w:t>more than 200 kcal</w:t>
      </w:r>
      <w:r w:rsidR="006B7CF7" w:rsidRPr="00453626">
        <w:rPr>
          <w:rFonts w:ascii="Times New Roman" w:hAnsi="Times New Roman" w:cs="Times New Roman"/>
          <w:sz w:val="24"/>
        </w:rPr>
        <w:t xml:space="preserve"> (1</w:t>
      </w:r>
      <w:r w:rsidR="00DE11B6" w:rsidRPr="00453626">
        <w:rPr>
          <w:rFonts w:ascii="Times New Roman" w:hAnsi="Times New Roman" w:cs="Times New Roman"/>
          <w:sz w:val="24"/>
        </w:rPr>
        <w:t>00 kcal for children</w:t>
      </w:r>
      <w:r w:rsidR="006B7CF7" w:rsidRPr="00453626">
        <w:rPr>
          <w:rFonts w:ascii="Times New Roman" w:hAnsi="Times New Roman" w:cs="Times New Roman"/>
          <w:sz w:val="24"/>
        </w:rPr>
        <w:t>).</w:t>
      </w:r>
      <w:r w:rsidR="006B7CF7" w:rsidRPr="00453626">
        <w:rPr>
          <w:rFonts w:ascii="Times New Roman" w:hAnsi="Times New Roman" w:cs="Times New Roman"/>
          <w:sz w:val="24"/>
        </w:rPr>
        <w:fldChar w:fldCharType="begin" w:fldLock="1"/>
      </w:r>
      <w:r w:rsidR="0027432A" w:rsidRPr="00453626">
        <w:rPr>
          <w:rFonts w:ascii="Times New Roman" w:hAnsi="Times New Roman" w:cs="Times New Roman"/>
          <w:sz w:val="24"/>
        </w:rPr>
        <w:instrText>ADDIN CSL_CITATION {"citationItems":[{"id":"ITEM-1","itemData":{"URL":"https://www.nhs.uk/oneyou/for-your-body/eat-better/keep-track-of-calories-400-600-600/","accessed":{"date-parts":[["2020","7","22"]]},"author":[{"dropping-particle":"","family":"Public Health England","given":"","non-dropping-particle":"","parse-names":false,"suffix":""}],"container-title":"2020","id":"ITEM-1","issued":{"date-parts":[["0"]]},"title":"One you - Keep track of calories with 400-600-600","type":"webpage"},"uris":["http://www.mendeley.com/documents/?uuid=adfcf28a-57ee-4dc7-ae4c-da5ae4340e40"]},{"id":"ITEM-2","itemData":{"URL":"https://www.nhs.uk/change4life/food-facts/healthier-snacks-for-kids","accessed":{"date-parts":[["2020","7","22"]]},"author":[{"dropping-particle":"","family":"Public Health England","given":"","non-dropping-particle":"","parse-names":false,"suffix":""}],"container-title":"2020","id":"ITEM-2","issued":{"date-parts":[["0"]]},"title":"Healthier snacks for kids.","type":"webpage"},"uris":["http://www.mendeley.com/documents/?uuid=1d1d3ca7-2729-4675-9c13-3045cbe21491"]}],"mendeley":{"formattedCitation":"&lt;sup&gt;(17,18)&lt;/sup&gt;","plainTextFormattedCitation":"(17,18)","previouslyFormattedCitation":"&lt;sup&gt;(16,17)&lt;/sup&gt;"},"properties":{"noteIndex":0},"schema":"https://github.com/citation-style-language/schema/raw/master/csl-citation.json"}</w:instrText>
      </w:r>
      <w:r w:rsidR="006B7CF7" w:rsidRPr="00453626">
        <w:rPr>
          <w:rFonts w:ascii="Times New Roman" w:hAnsi="Times New Roman" w:cs="Times New Roman"/>
          <w:sz w:val="24"/>
        </w:rPr>
        <w:fldChar w:fldCharType="separate"/>
      </w:r>
      <w:r w:rsidR="0027432A" w:rsidRPr="00453626">
        <w:rPr>
          <w:rFonts w:ascii="Times New Roman" w:hAnsi="Times New Roman" w:cs="Times New Roman"/>
          <w:noProof/>
          <w:sz w:val="24"/>
          <w:vertAlign w:val="superscript"/>
        </w:rPr>
        <w:t>(17,18)</w:t>
      </w:r>
      <w:r w:rsidR="006B7CF7" w:rsidRPr="00453626">
        <w:rPr>
          <w:rFonts w:ascii="Times New Roman" w:hAnsi="Times New Roman" w:cs="Times New Roman"/>
          <w:sz w:val="24"/>
        </w:rPr>
        <w:fldChar w:fldCharType="end"/>
      </w:r>
      <w:r w:rsidR="00183AB1" w:rsidRPr="00453626">
        <w:rPr>
          <w:rFonts w:ascii="Times New Roman" w:hAnsi="Times New Roman" w:cs="Times New Roman"/>
          <w:sz w:val="24"/>
        </w:rPr>
        <w:t xml:space="preserve"> </w:t>
      </w:r>
      <w:r w:rsidR="003766EA" w:rsidRPr="00453626">
        <w:rPr>
          <w:rFonts w:ascii="Times New Roman" w:hAnsi="Times New Roman" w:cs="Times New Roman"/>
          <w:sz w:val="24"/>
        </w:rPr>
        <w:t xml:space="preserve">The recommendation adds that the consumers should prioritise snack products with more greens and ambers </w:t>
      </w:r>
      <w:r w:rsidR="007C2823" w:rsidRPr="00453626">
        <w:rPr>
          <w:rFonts w:ascii="Times New Roman" w:hAnsi="Times New Roman" w:cs="Times New Roman"/>
          <w:sz w:val="24"/>
        </w:rPr>
        <w:t xml:space="preserve">as opposed to reds </w:t>
      </w:r>
      <w:r w:rsidR="003766EA" w:rsidRPr="00453626">
        <w:rPr>
          <w:rFonts w:ascii="Times New Roman" w:hAnsi="Times New Roman" w:cs="Times New Roman"/>
          <w:sz w:val="24"/>
        </w:rPr>
        <w:t xml:space="preserve">on </w:t>
      </w:r>
      <w:r w:rsidR="005E5231" w:rsidRPr="00453626">
        <w:rPr>
          <w:rFonts w:ascii="Times New Roman" w:hAnsi="Times New Roman" w:cs="Times New Roman"/>
          <w:sz w:val="24"/>
        </w:rPr>
        <w:t>the</w:t>
      </w:r>
      <w:r w:rsidR="004C0C70" w:rsidRPr="00453626">
        <w:rPr>
          <w:rFonts w:ascii="Times New Roman" w:hAnsi="Times New Roman" w:cs="Times New Roman"/>
          <w:sz w:val="24"/>
        </w:rPr>
        <w:t xml:space="preserve"> UK</w:t>
      </w:r>
      <w:r w:rsidR="003766EA" w:rsidRPr="00453626">
        <w:rPr>
          <w:rFonts w:ascii="Times New Roman" w:hAnsi="Times New Roman" w:cs="Times New Roman"/>
          <w:sz w:val="24"/>
        </w:rPr>
        <w:t xml:space="preserve"> traffic light label</w:t>
      </w:r>
      <w:r w:rsidR="005E5231" w:rsidRPr="00453626">
        <w:rPr>
          <w:rFonts w:ascii="Times New Roman" w:hAnsi="Times New Roman" w:cs="Times New Roman"/>
          <w:sz w:val="24"/>
        </w:rPr>
        <w:t xml:space="preserve"> system</w:t>
      </w:r>
      <w:r w:rsidR="007C2823" w:rsidRPr="00453626">
        <w:rPr>
          <w:rFonts w:ascii="Times New Roman" w:hAnsi="Times New Roman" w:cs="Times New Roman"/>
          <w:sz w:val="24"/>
        </w:rPr>
        <w:t xml:space="preserve"> which indicates low</w:t>
      </w:r>
      <w:r w:rsidR="007F09C6" w:rsidRPr="00453626">
        <w:rPr>
          <w:rFonts w:ascii="Times New Roman" w:hAnsi="Times New Roman" w:cs="Times New Roman"/>
          <w:sz w:val="24"/>
        </w:rPr>
        <w:t xml:space="preserve"> (green)</w:t>
      </w:r>
      <w:r w:rsidR="007C2823" w:rsidRPr="00453626">
        <w:rPr>
          <w:rFonts w:ascii="Times New Roman" w:hAnsi="Times New Roman" w:cs="Times New Roman"/>
          <w:sz w:val="24"/>
        </w:rPr>
        <w:t>, medium</w:t>
      </w:r>
      <w:r w:rsidR="007F09C6" w:rsidRPr="00453626">
        <w:rPr>
          <w:rFonts w:ascii="Times New Roman" w:hAnsi="Times New Roman" w:cs="Times New Roman"/>
          <w:sz w:val="24"/>
        </w:rPr>
        <w:t xml:space="preserve"> (amber)</w:t>
      </w:r>
      <w:r w:rsidR="007C2823" w:rsidRPr="00453626">
        <w:rPr>
          <w:rFonts w:ascii="Times New Roman" w:hAnsi="Times New Roman" w:cs="Times New Roman"/>
          <w:sz w:val="24"/>
        </w:rPr>
        <w:t xml:space="preserve"> or high</w:t>
      </w:r>
      <w:r w:rsidR="007F09C6" w:rsidRPr="00453626">
        <w:rPr>
          <w:rFonts w:ascii="Times New Roman" w:hAnsi="Times New Roman" w:cs="Times New Roman"/>
          <w:sz w:val="24"/>
        </w:rPr>
        <w:t xml:space="preserve"> (red)</w:t>
      </w:r>
      <w:r w:rsidR="007C2823" w:rsidRPr="00453626">
        <w:rPr>
          <w:rFonts w:ascii="Times New Roman" w:hAnsi="Times New Roman" w:cs="Times New Roman"/>
          <w:sz w:val="24"/>
        </w:rPr>
        <w:t xml:space="preserve"> content of four harmful nutrients (fat, saturated fat, sugars and salt)</w:t>
      </w:r>
      <w:r w:rsidR="00A534A9" w:rsidRPr="00453626">
        <w:rPr>
          <w:rFonts w:ascii="Times New Roman" w:hAnsi="Times New Roman" w:cs="Times New Roman"/>
          <w:sz w:val="24"/>
        </w:rPr>
        <w:t>.</w:t>
      </w:r>
      <w:r w:rsidR="007C2823" w:rsidRPr="00453626">
        <w:rPr>
          <w:rFonts w:ascii="Times New Roman" w:hAnsi="Times New Roman" w:cs="Times New Roman"/>
          <w:sz w:val="24"/>
        </w:rPr>
        <w:fldChar w:fldCharType="begin" w:fldLock="1"/>
      </w:r>
      <w:r w:rsidR="0027432A" w:rsidRPr="00453626">
        <w:rPr>
          <w:rFonts w:ascii="Times New Roman" w:hAnsi="Times New Roman" w:cs="Times New Roman"/>
          <w:sz w:val="24"/>
        </w:rPr>
        <w:instrText>ADDIN CSL_CITATION {"citationItems":[{"id":"ITEM-1","itemData":{"abstract":"This guidance supports the development of front of pack nutrition labels that are compliant with the UK Health Ministers’ Recommendation on the use of colour coding as an additional form of expression and with EU Regulation No. 1169/2011 on the provision of food information to consumers (EU FIC). The guidance was developed by the Department of Health, the Food Standards Agency, and devolved administrations in Scotland, Northern Ireland and Wales in collaboration with the British Retail Consortium.","author":[{"dropping-particle":"","family":"Department of Health","given":"","non-dropping-particle":"","parse-names":false,"suffix":""},{"dropping-particle":"","family":"Food Standards Agency","given":"","non-dropping-particle":"","parse-names":false,"suffix":""}],"id":"ITEM-1","issue":"November","issued":{"date-parts":[["2016"]]},"title":"Guide to creating a front of pack (FoP) nutrition label for pre-packed products sold through retail outlets","type":"report"},"uris":["http://www.mendeley.com/documents/?uuid=5be9b4fd-39ee-4b8c-b7b6-5548814bcb02"]}],"mendeley":{"formattedCitation":"&lt;sup&gt;(19)&lt;/sup&gt;","plainTextFormattedCitation":"(19)","previouslyFormattedCitation":"&lt;sup&gt;(18)&lt;/sup&gt;"},"properties":{"noteIndex":0},"schema":"https://github.com/citation-style-language/schema/raw/master/csl-citation.json"}</w:instrText>
      </w:r>
      <w:r w:rsidR="007C2823" w:rsidRPr="00453626">
        <w:rPr>
          <w:rFonts w:ascii="Times New Roman" w:hAnsi="Times New Roman" w:cs="Times New Roman"/>
          <w:sz w:val="24"/>
        </w:rPr>
        <w:fldChar w:fldCharType="separate"/>
      </w:r>
      <w:r w:rsidR="0027432A" w:rsidRPr="00453626">
        <w:rPr>
          <w:rFonts w:ascii="Times New Roman" w:hAnsi="Times New Roman" w:cs="Times New Roman"/>
          <w:noProof/>
          <w:sz w:val="24"/>
          <w:vertAlign w:val="superscript"/>
        </w:rPr>
        <w:t>(19)</w:t>
      </w:r>
      <w:r w:rsidR="007C2823" w:rsidRPr="00453626">
        <w:rPr>
          <w:rFonts w:ascii="Times New Roman" w:hAnsi="Times New Roman" w:cs="Times New Roman"/>
          <w:sz w:val="24"/>
        </w:rPr>
        <w:fldChar w:fldCharType="end"/>
      </w:r>
      <w:r w:rsidR="007C2823" w:rsidRPr="00453626">
        <w:rPr>
          <w:rFonts w:ascii="Times New Roman" w:hAnsi="Times New Roman" w:cs="Times New Roman"/>
          <w:sz w:val="24"/>
        </w:rPr>
        <w:t xml:space="preserve"> </w:t>
      </w:r>
      <w:r w:rsidRPr="00453626">
        <w:rPr>
          <w:rFonts w:ascii="Times New Roman" w:hAnsi="Times New Roman" w:cs="Times New Roman"/>
          <w:sz w:val="24"/>
        </w:rPr>
        <w:t xml:space="preserve">However, it is </w:t>
      </w:r>
      <w:r w:rsidR="005E5231" w:rsidRPr="00453626">
        <w:rPr>
          <w:rFonts w:ascii="Times New Roman" w:hAnsi="Times New Roman" w:cs="Times New Roman"/>
          <w:sz w:val="24"/>
        </w:rPr>
        <w:t>unclear</w:t>
      </w:r>
      <w:r w:rsidRPr="00453626">
        <w:rPr>
          <w:rFonts w:ascii="Times New Roman" w:hAnsi="Times New Roman" w:cs="Times New Roman"/>
          <w:sz w:val="24"/>
        </w:rPr>
        <w:t xml:space="preserve"> how easy </w:t>
      </w:r>
      <w:r w:rsidR="005E5231" w:rsidRPr="00453626">
        <w:rPr>
          <w:rFonts w:ascii="Times New Roman" w:hAnsi="Times New Roman" w:cs="Times New Roman"/>
          <w:sz w:val="24"/>
        </w:rPr>
        <w:t xml:space="preserve">it is to </w:t>
      </w:r>
      <w:r w:rsidRPr="00453626">
        <w:rPr>
          <w:rFonts w:ascii="Times New Roman" w:hAnsi="Times New Roman" w:cs="Times New Roman"/>
          <w:sz w:val="24"/>
        </w:rPr>
        <w:t>adher</w:t>
      </w:r>
      <w:r w:rsidR="005E5231" w:rsidRPr="00453626">
        <w:rPr>
          <w:rFonts w:ascii="Times New Roman" w:hAnsi="Times New Roman" w:cs="Times New Roman"/>
          <w:sz w:val="24"/>
        </w:rPr>
        <w:t>e</w:t>
      </w:r>
      <w:r w:rsidRPr="00453626">
        <w:rPr>
          <w:rFonts w:ascii="Times New Roman" w:hAnsi="Times New Roman" w:cs="Times New Roman"/>
          <w:sz w:val="24"/>
        </w:rPr>
        <w:t xml:space="preserve"> to this public health recommendation</w:t>
      </w:r>
      <w:r w:rsidR="005E5231" w:rsidRPr="00453626">
        <w:rPr>
          <w:rFonts w:ascii="Times New Roman" w:hAnsi="Times New Roman" w:cs="Times New Roman"/>
          <w:sz w:val="24"/>
        </w:rPr>
        <w:t xml:space="preserve"> in the UK, in terms of </w:t>
      </w:r>
      <w:r w:rsidR="00441099" w:rsidRPr="00453626">
        <w:rPr>
          <w:rFonts w:ascii="Times New Roman" w:hAnsi="Times New Roman" w:cs="Times New Roman"/>
          <w:sz w:val="24"/>
        </w:rPr>
        <w:t>the availability and accessibility</w:t>
      </w:r>
      <w:r w:rsidR="00CD7C4E" w:rsidRPr="00453626">
        <w:rPr>
          <w:rFonts w:ascii="Times New Roman" w:hAnsi="Times New Roman" w:cs="Times New Roman"/>
          <w:sz w:val="24"/>
        </w:rPr>
        <w:t xml:space="preserve"> (e.g., price)</w:t>
      </w:r>
      <w:r w:rsidR="00441099" w:rsidRPr="00453626">
        <w:rPr>
          <w:rFonts w:ascii="Times New Roman" w:hAnsi="Times New Roman" w:cs="Times New Roman"/>
          <w:sz w:val="24"/>
        </w:rPr>
        <w:t xml:space="preserve"> of </w:t>
      </w:r>
      <w:r w:rsidR="005E5231" w:rsidRPr="00453626">
        <w:rPr>
          <w:rFonts w:ascii="Times New Roman" w:hAnsi="Times New Roman" w:cs="Times New Roman"/>
          <w:sz w:val="24"/>
        </w:rPr>
        <w:t xml:space="preserve">lower </w:t>
      </w:r>
      <w:r w:rsidR="00CD7C4E" w:rsidRPr="00453626">
        <w:rPr>
          <w:rFonts w:ascii="Times New Roman" w:hAnsi="Times New Roman" w:cs="Times New Roman"/>
          <w:sz w:val="24"/>
        </w:rPr>
        <w:t>energy</w:t>
      </w:r>
      <w:r w:rsidR="005E5231" w:rsidRPr="00453626">
        <w:rPr>
          <w:rFonts w:ascii="Times New Roman" w:hAnsi="Times New Roman" w:cs="Times New Roman"/>
          <w:sz w:val="24"/>
        </w:rPr>
        <w:t xml:space="preserve"> </w:t>
      </w:r>
      <w:r w:rsidR="000C22BF" w:rsidRPr="00453626">
        <w:rPr>
          <w:rFonts w:ascii="Times New Roman" w:hAnsi="Times New Roman" w:cs="Times New Roman"/>
          <w:sz w:val="24"/>
        </w:rPr>
        <w:t xml:space="preserve">snack </w:t>
      </w:r>
      <w:r w:rsidR="005E5231" w:rsidRPr="00453626">
        <w:rPr>
          <w:rFonts w:ascii="Times New Roman" w:hAnsi="Times New Roman" w:cs="Times New Roman"/>
          <w:sz w:val="24"/>
        </w:rPr>
        <w:t xml:space="preserve">products. </w:t>
      </w:r>
      <w:r w:rsidR="00D548C3" w:rsidRPr="00453626">
        <w:rPr>
          <w:rFonts w:ascii="Times New Roman" w:hAnsi="Times New Roman" w:cs="Times New Roman"/>
          <w:sz w:val="24"/>
        </w:rPr>
        <w:t xml:space="preserve">These considerations are important </w:t>
      </w:r>
      <w:r w:rsidR="008E112B" w:rsidRPr="00453626">
        <w:rPr>
          <w:rFonts w:ascii="Times New Roman" w:hAnsi="Times New Roman" w:cs="Times New Roman"/>
          <w:sz w:val="24"/>
        </w:rPr>
        <w:t>because</w:t>
      </w:r>
      <w:r w:rsidR="00D548C3" w:rsidRPr="00453626">
        <w:rPr>
          <w:rFonts w:ascii="Times New Roman" w:hAnsi="Times New Roman" w:cs="Times New Roman"/>
          <w:sz w:val="24"/>
        </w:rPr>
        <w:t xml:space="preserve"> both </w:t>
      </w:r>
      <w:r w:rsidR="000C22BF" w:rsidRPr="00453626">
        <w:rPr>
          <w:rFonts w:ascii="Times New Roman" w:hAnsi="Times New Roman" w:cs="Times New Roman"/>
          <w:sz w:val="24"/>
        </w:rPr>
        <w:t xml:space="preserve">the availability and price of products </w:t>
      </w:r>
      <w:r w:rsidR="00617221" w:rsidRPr="00453626">
        <w:rPr>
          <w:rFonts w:ascii="Times New Roman" w:hAnsi="Times New Roman" w:cs="Times New Roman"/>
          <w:sz w:val="24"/>
        </w:rPr>
        <w:t>are major drivers of food choice</w:t>
      </w:r>
      <w:r w:rsidR="00A534A9" w:rsidRPr="00453626">
        <w:rPr>
          <w:rFonts w:ascii="Times New Roman" w:hAnsi="Times New Roman" w:cs="Times New Roman"/>
          <w:sz w:val="24"/>
        </w:rPr>
        <w:t>.</w:t>
      </w:r>
      <w:r w:rsidR="003210DD" w:rsidRPr="00453626">
        <w:rPr>
          <w:rFonts w:ascii="Times New Roman" w:hAnsi="Times New Roman" w:cs="Times New Roman"/>
          <w:sz w:val="24"/>
        </w:rPr>
        <w:fldChar w:fldCharType="begin" w:fldLock="1"/>
      </w:r>
      <w:r w:rsidR="0027432A" w:rsidRPr="00453626">
        <w:rPr>
          <w:rFonts w:ascii="Times New Roman" w:hAnsi="Times New Roman" w:cs="Times New Roman"/>
          <w:sz w:val="24"/>
        </w:rPr>
        <w:instrText>ADDIN CSL_CITATION {"citationItems":[{"id":"ITEM-1","itemData":{"abstract":"Individual dietary choices are primarily influenced by such considerations as taste, cost, convenience and nutritional value of foods. The current obesity epidemic has been linked to excessive consumption of added sugars and fat, as well as to sedentary lifestyles. Fat and sugar provide dietary energy at very low cost. Food pricing and marketing practices are therefore an essential component of the eating environment. Recent studies have applied economic theories to changing dietary behavior. Price reduction strategies promote the choice of targeted foods by lowering their cost relative to alternative food choices. Two community-based intervention studies used price reductions to promote the increased purchase of targeted foods. The first study examined lower prices and point-of-purchase promotion on sales of lower fat vending machine snacks in 12 work sites and 12 secondary schools. Price reductions of 10%, 25% and 50% on lower fat snacks resulted in an increase in sales of 9%, 39% and 93%, respectively, compared with usual price conditions. The second study examined the impact of a 50% price reduction on fresh fruit and baby carrots in two secondary school cafeterias. Compared with usual price conditions, price reductions resulted in a four-fold increase in fresh fruit sales and a two-fold increase in baby carrot sales. Both studies demonstrate that price reductions are an effective strategy to increase the purchase of more healthful foods in community-based settings such as work sites and schools. Results were generalizable across various food types and populations. Reducing prices on healthful foods is a public health strategy that should be implemented through policy initiatives and industry collaborations.","author":[{"dropping-particle":"","family":"French","given":"S A","non-dropping-particle":"","parse-names":false,"suffix":""}],"container-title":"The Journal of Nutrition","id":"ITEM-1","issue":"12","issued":{"date-parts":[["2003"]]},"page":"841S-843S","title":"Pricing Effects on Food Choices","type":"article-journal","volume":"133"},"uris":["http://www.mendeley.com/documents/?uuid=a8f21d26-8c43-4c8f-b988-e13d2cfcf18e"]},{"id":"ITEM-2","itemData":{"DOI":"10.1002/14651858.CD012573","ISSN":"1469493X","PMID":"31482606","abstract":"This is a protocol for a Cochrane Review (Intervention). The objectives are as follows:1. To assess the impact of altering the availability or proximity of: a) food products (including non-alcoholic beverages); b) alcohol products; and c) tobacco products on their selection or consumption.2. For each of the above products, to assess the extent to which the impact of such interventions is modified by: i) study characteristics; ii) intervention characteristics; and iii) participant characteristics.","author":[{"dropping-particle":"","family":"Hollands","given":"Gareth J.","non-dropping-particle":"","parse-names":false,"suffix":""},{"dropping-particle":"","family":"Carter","given":"Patrice","non-dropping-particle":"","parse-names":false,"suffix":""},{"dropping-particle":"","family":"Shemilt","given":"Ian","non-dropping-particle":"","parse-names":false,"suffix":""},{"dropping-particle":"","family":"Marteau","given":"Theresa M.","non-dropping-particle":"","parse-names":false,"suffix":""},{"dropping-particle":"","family":"Jebb","given":"Susan A.","non-dropping-particle":"","parse-names":false,"suffix":""},{"dropping-particle":"","family":"Higgins","given":"Julian","non-dropping-particle":"","parse-names":false,"suffix":""},{"dropping-particle":"","family":"Ogilvie","given":"David","non-dropping-particle":"","parse-names":false,"suffix":""}],"container-title":"Cochrane Database of Systematic Reviews","id":"ITEM-2","issued":{"date-parts":[["2019"]]},"page":"CD012573","title":"Altering the availability or proximity of food, alcohol and tobacco products to change their selection and consumption","type":"article-journal","volume":"9"},"uris":["http://www.mendeley.com/documents/?uuid=ecd6f7de-919d-408b-ab21-590d7dd0cb10"]}],"mendeley":{"formattedCitation":"&lt;sup&gt;(20,21)&lt;/sup&gt;","plainTextFormattedCitation":"(20,21)","previouslyFormattedCitation":"&lt;sup&gt;(19,20)&lt;/sup&gt;"},"properties":{"noteIndex":0},"schema":"https://github.com/citation-style-language/schema/raw/master/csl-citation.json"}</w:instrText>
      </w:r>
      <w:r w:rsidR="003210DD" w:rsidRPr="00453626">
        <w:rPr>
          <w:rFonts w:ascii="Times New Roman" w:hAnsi="Times New Roman" w:cs="Times New Roman"/>
          <w:sz w:val="24"/>
        </w:rPr>
        <w:fldChar w:fldCharType="separate"/>
      </w:r>
      <w:r w:rsidR="0027432A" w:rsidRPr="00453626">
        <w:rPr>
          <w:rFonts w:ascii="Times New Roman" w:hAnsi="Times New Roman" w:cs="Times New Roman"/>
          <w:noProof/>
          <w:sz w:val="24"/>
          <w:vertAlign w:val="superscript"/>
        </w:rPr>
        <w:t>(20,21)</w:t>
      </w:r>
      <w:r w:rsidR="003210DD" w:rsidRPr="00453626">
        <w:rPr>
          <w:rFonts w:ascii="Times New Roman" w:hAnsi="Times New Roman" w:cs="Times New Roman"/>
          <w:sz w:val="24"/>
        </w:rPr>
        <w:fldChar w:fldCharType="end"/>
      </w:r>
    </w:p>
    <w:p w14:paraId="365CBA38" w14:textId="598D449C" w:rsidR="007B5000" w:rsidRPr="00453626" w:rsidRDefault="00203387" w:rsidP="00396F23">
      <w:pPr>
        <w:spacing w:line="360" w:lineRule="auto"/>
        <w:rPr>
          <w:rFonts w:ascii="Times New Roman" w:hAnsi="Times New Roman" w:cs="Times New Roman"/>
          <w:sz w:val="24"/>
        </w:rPr>
      </w:pPr>
      <w:r w:rsidRPr="00453626">
        <w:rPr>
          <w:rFonts w:ascii="Times New Roman" w:hAnsi="Times New Roman" w:cs="Times New Roman"/>
          <w:sz w:val="24"/>
        </w:rPr>
        <w:t xml:space="preserve">We aimed to examine the energy content, nutritional quality </w:t>
      </w:r>
      <w:r w:rsidR="00847A0F" w:rsidRPr="00453626">
        <w:rPr>
          <w:rFonts w:ascii="Times New Roman" w:hAnsi="Times New Roman" w:cs="Times New Roman"/>
          <w:sz w:val="24"/>
        </w:rPr>
        <w:t xml:space="preserve">and price </w:t>
      </w:r>
      <w:r w:rsidRPr="00453626">
        <w:rPr>
          <w:rFonts w:ascii="Times New Roman" w:hAnsi="Times New Roman" w:cs="Times New Roman"/>
          <w:sz w:val="24"/>
        </w:rPr>
        <w:t xml:space="preserve">of </w:t>
      </w:r>
      <w:r w:rsidR="000F4170" w:rsidRPr="00453626">
        <w:rPr>
          <w:rFonts w:ascii="Times New Roman" w:hAnsi="Times New Roman" w:cs="Times New Roman"/>
          <w:sz w:val="24"/>
        </w:rPr>
        <w:t>single</w:t>
      </w:r>
      <w:r w:rsidR="00DE11B6" w:rsidRPr="00453626">
        <w:rPr>
          <w:rFonts w:ascii="Times New Roman" w:hAnsi="Times New Roman" w:cs="Times New Roman"/>
          <w:sz w:val="24"/>
        </w:rPr>
        <w:t>-</w:t>
      </w:r>
      <w:r w:rsidR="000F4170" w:rsidRPr="00453626">
        <w:rPr>
          <w:rFonts w:ascii="Times New Roman" w:hAnsi="Times New Roman" w:cs="Times New Roman"/>
          <w:sz w:val="24"/>
        </w:rPr>
        <w:t xml:space="preserve">serving </w:t>
      </w:r>
      <w:r w:rsidRPr="00453626">
        <w:rPr>
          <w:rFonts w:ascii="Times New Roman" w:hAnsi="Times New Roman" w:cs="Times New Roman"/>
          <w:sz w:val="24"/>
        </w:rPr>
        <w:t xml:space="preserve">snack </w:t>
      </w:r>
      <w:r w:rsidR="00CD7C4E" w:rsidRPr="00453626">
        <w:rPr>
          <w:rFonts w:ascii="Times New Roman" w:hAnsi="Times New Roman" w:cs="Times New Roman"/>
          <w:sz w:val="24"/>
        </w:rPr>
        <w:t xml:space="preserve">food </w:t>
      </w:r>
      <w:r w:rsidRPr="00453626">
        <w:rPr>
          <w:rFonts w:ascii="Times New Roman" w:hAnsi="Times New Roman" w:cs="Times New Roman"/>
          <w:sz w:val="24"/>
        </w:rPr>
        <w:t xml:space="preserve">products </w:t>
      </w:r>
      <w:r w:rsidR="000F4170" w:rsidRPr="00453626">
        <w:rPr>
          <w:rFonts w:ascii="Times New Roman" w:hAnsi="Times New Roman" w:cs="Times New Roman"/>
          <w:sz w:val="24"/>
        </w:rPr>
        <w:t xml:space="preserve">sold by major </w:t>
      </w:r>
      <w:r w:rsidR="000C22BF" w:rsidRPr="00453626">
        <w:rPr>
          <w:rFonts w:ascii="Times New Roman" w:hAnsi="Times New Roman" w:cs="Times New Roman"/>
          <w:sz w:val="24"/>
        </w:rPr>
        <w:t xml:space="preserve">chain </w:t>
      </w:r>
      <w:r w:rsidR="000F4170" w:rsidRPr="00453626">
        <w:rPr>
          <w:rFonts w:ascii="Times New Roman" w:hAnsi="Times New Roman" w:cs="Times New Roman"/>
          <w:sz w:val="24"/>
        </w:rPr>
        <w:t xml:space="preserve">retailers </w:t>
      </w:r>
      <w:r w:rsidRPr="00453626">
        <w:rPr>
          <w:rFonts w:ascii="Times New Roman" w:hAnsi="Times New Roman" w:cs="Times New Roman"/>
          <w:sz w:val="24"/>
        </w:rPr>
        <w:t>in the UK</w:t>
      </w:r>
      <w:r w:rsidR="000C22BF" w:rsidRPr="00453626">
        <w:rPr>
          <w:rFonts w:ascii="Times New Roman" w:hAnsi="Times New Roman" w:cs="Times New Roman"/>
          <w:sz w:val="24"/>
        </w:rPr>
        <w:t xml:space="preserve">. </w:t>
      </w:r>
      <w:bookmarkStart w:id="4" w:name="_Hlk60929235"/>
      <w:r w:rsidR="000C22BF" w:rsidRPr="00453626">
        <w:rPr>
          <w:rFonts w:ascii="Times New Roman" w:hAnsi="Times New Roman" w:cs="Times New Roman"/>
          <w:sz w:val="24"/>
        </w:rPr>
        <w:t xml:space="preserve">We were able to sample snack products from major </w:t>
      </w:r>
      <w:r w:rsidR="00A759F6" w:rsidRPr="00453626">
        <w:rPr>
          <w:rFonts w:ascii="Times New Roman" w:hAnsi="Times New Roman" w:cs="Times New Roman"/>
          <w:sz w:val="24"/>
        </w:rPr>
        <w:t>supermarket and coffee shop</w:t>
      </w:r>
      <w:r w:rsidR="00D1416E" w:rsidRPr="00453626">
        <w:rPr>
          <w:rFonts w:ascii="Times New Roman" w:hAnsi="Times New Roman" w:cs="Times New Roman"/>
          <w:sz w:val="24"/>
        </w:rPr>
        <w:t xml:space="preserve"> chains</w:t>
      </w:r>
      <w:r w:rsidR="00EA20B9" w:rsidRPr="00453626">
        <w:rPr>
          <w:rFonts w:ascii="Times New Roman" w:hAnsi="Times New Roman" w:cs="Times New Roman"/>
          <w:sz w:val="24"/>
        </w:rPr>
        <w:t>. T</w:t>
      </w:r>
      <w:r w:rsidR="000C22BF" w:rsidRPr="00453626">
        <w:rPr>
          <w:rFonts w:ascii="Times New Roman" w:hAnsi="Times New Roman" w:cs="Times New Roman"/>
          <w:sz w:val="24"/>
        </w:rPr>
        <w:t>his allowed us to compare nutritional quality of snacks across these two business types</w:t>
      </w:r>
      <w:r w:rsidR="00EA20B9" w:rsidRPr="00453626">
        <w:rPr>
          <w:rFonts w:ascii="Times New Roman" w:hAnsi="Times New Roman" w:cs="Times New Roman"/>
          <w:sz w:val="24"/>
        </w:rPr>
        <w:t xml:space="preserve"> where </w:t>
      </w:r>
      <w:r w:rsidR="00C0154D" w:rsidRPr="00453626">
        <w:rPr>
          <w:rFonts w:ascii="Times New Roman" w:hAnsi="Times New Roman" w:cs="Times New Roman"/>
          <w:sz w:val="24"/>
        </w:rPr>
        <w:t>consumers</w:t>
      </w:r>
      <w:r w:rsidR="00EA20B9" w:rsidRPr="00453626">
        <w:rPr>
          <w:rFonts w:ascii="Times New Roman" w:hAnsi="Times New Roman" w:cs="Times New Roman"/>
          <w:sz w:val="24"/>
        </w:rPr>
        <w:t xml:space="preserve"> </w:t>
      </w:r>
      <w:r w:rsidR="00C0154D" w:rsidRPr="00453626">
        <w:rPr>
          <w:rFonts w:ascii="Times New Roman" w:hAnsi="Times New Roman" w:cs="Times New Roman"/>
          <w:sz w:val="24"/>
        </w:rPr>
        <w:t>buy</w:t>
      </w:r>
      <w:r w:rsidR="00783FE6" w:rsidRPr="00453626">
        <w:rPr>
          <w:rFonts w:ascii="Times New Roman" w:hAnsi="Times New Roman" w:cs="Times New Roman"/>
          <w:sz w:val="24"/>
        </w:rPr>
        <w:t xml:space="preserve"> single-serving snacks for th</w:t>
      </w:r>
      <w:r w:rsidR="00C5634B" w:rsidRPr="00453626">
        <w:rPr>
          <w:rFonts w:ascii="Times New Roman" w:hAnsi="Times New Roman" w:cs="Times New Roman"/>
          <w:sz w:val="24"/>
        </w:rPr>
        <w:t xml:space="preserve">emselves. </w:t>
      </w:r>
      <w:bookmarkEnd w:id="4"/>
      <w:r w:rsidR="00CB5127" w:rsidRPr="00453626">
        <w:rPr>
          <w:rFonts w:ascii="Times New Roman" w:hAnsi="Times New Roman" w:cs="Times New Roman"/>
          <w:sz w:val="24"/>
        </w:rPr>
        <w:t>P</w:t>
      </w:r>
      <w:r w:rsidR="004D5393" w:rsidRPr="00453626">
        <w:rPr>
          <w:rFonts w:ascii="Times New Roman" w:hAnsi="Times New Roman" w:cs="Times New Roman"/>
          <w:sz w:val="24"/>
        </w:rPr>
        <w:t>ublic health action on improving the nutritional quality of food</w:t>
      </w:r>
      <w:r w:rsidR="00ED3A7A" w:rsidRPr="00453626">
        <w:rPr>
          <w:rFonts w:ascii="Times New Roman" w:hAnsi="Times New Roman" w:cs="Times New Roman"/>
          <w:sz w:val="24"/>
        </w:rPr>
        <w:t xml:space="preserve"> </w:t>
      </w:r>
      <w:r w:rsidR="004D5393" w:rsidRPr="00453626">
        <w:rPr>
          <w:rFonts w:ascii="Times New Roman" w:hAnsi="Times New Roman" w:cs="Times New Roman"/>
          <w:sz w:val="24"/>
        </w:rPr>
        <w:t xml:space="preserve">has to date focused largely on </w:t>
      </w:r>
      <w:r w:rsidR="009D356E" w:rsidRPr="00453626">
        <w:rPr>
          <w:rFonts w:ascii="Times New Roman" w:hAnsi="Times New Roman" w:cs="Times New Roman"/>
          <w:sz w:val="24"/>
        </w:rPr>
        <w:t>voluntary</w:t>
      </w:r>
      <w:r w:rsidR="004D5393" w:rsidRPr="00453626">
        <w:rPr>
          <w:rFonts w:ascii="Times New Roman" w:hAnsi="Times New Roman" w:cs="Times New Roman"/>
          <w:sz w:val="24"/>
        </w:rPr>
        <w:t xml:space="preserve"> </w:t>
      </w:r>
      <w:r w:rsidR="004D5393" w:rsidRPr="00453626">
        <w:rPr>
          <w:rFonts w:ascii="Times New Roman" w:hAnsi="Times New Roman" w:cs="Times New Roman"/>
          <w:sz w:val="24"/>
        </w:rPr>
        <w:lastRenderedPageBreak/>
        <w:t xml:space="preserve">food industry </w:t>
      </w:r>
      <w:r w:rsidR="009D356E" w:rsidRPr="00453626">
        <w:rPr>
          <w:rFonts w:ascii="Times New Roman" w:hAnsi="Times New Roman" w:cs="Times New Roman"/>
          <w:sz w:val="24"/>
        </w:rPr>
        <w:t>action</w:t>
      </w:r>
      <w:r w:rsidR="00ED3A7A" w:rsidRPr="00453626">
        <w:rPr>
          <w:rFonts w:ascii="Times New Roman" w:hAnsi="Times New Roman" w:cs="Times New Roman"/>
          <w:sz w:val="24"/>
        </w:rPr>
        <w:t>, either through reformulation plan</w:t>
      </w:r>
      <w:r w:rsidR="00441099" w:rsidRPr="00453626">
        <w:rPr>
          <w:rFonts w:ascii="Times New Roman" w:hAnsi="Times New Roman" w:cs="Times New Roman"/>
          <w:sz w:val="24"/>
        </w:rPr>
        <w:t>s</w:t>
      </w:r>
      <w:r w:rsidR="0027432A" w:rsidRPr="00453626">
        <w:rPr>
          <w:rFonts w:ascii="Times New Roman" w:hAnsi="Times New Roman" w:cs="Times New Roman"/>
          <w:sz w:val="24"/>
        </w:rPr>
        <w:t xml:space="preserve"> (e.g., providing sugar and salt reduction targets)</w:t>
      </w:r>
      <w:r w:rsidR="00A534A9" w:rsidRPr="00453626">
        <w:rPr>
          <w:rFonts w:ascii="Times New Roman" w:hAnsi="Times New Roman" w:cs="Times New Roman"/>
          <w:sz w:val="24"/>
        </w:rPr>
        <w:t>,</w:t>
      </w:r>
      <w:r w:rsidR="003210DD" w:rsidRPr="00453626">
        <w:rPr>
          <w:rFonts w:ascii="Times New Roman" w:hAnsi="Times New Roman" w:cs="Times New Roman"/>
          <w:sz w:val="24"/>
        </w:rPr>
        <w:fldChar w:fldCharType="begin" w:fldLock="1"/>
      </w:r>
      <w:r w:rsidR="0027432A" w:rsidRPr="00453626">
        <w:rPr>
          <w:rFonts w:ascii="Times New Roman" w:hAnsi="Times New Roman" w:cs="Times New Roman"/>
          <w:sz w:val="24"/>
        </w:rPr>
        <w:instrText>ADDIN CSL_CITATION {"citationItems":[{"id":"ITEM-1","itemData":{"URL":"https://www.gov.uk/government/publications/sugar-reduction-from-evidence-into-action","abstract":"Sugar Reduction: The evidence for action 2 About Public Health England Public Health England exists to protect and improve the nation's health and wellbeing, and reduce health inequalities. It does this through world-class science, knowledge and intelligence, advocacy, partnerships and the delivery of specialist public health services. PHE is an operationally autonomous executive agency of the Department of Health.","accessed":{"date-parts":[["2020","7","22"]]},"author":[{"dropping-particle":"","family":"Public Health England","given":"","non-dropping-particle":"","parse-names":false,"suffix":""}],"id":"ITEM-1","issue":"October","issued":{"date-parts":[["2015"]]},"title":"Sugar Reduction: The evidence for action","type":"webpage"},"uris":["http://www.mendeley.com/documents/?uuid=19260bb5-de95-4983-a7fb-b006186a51ed"]},{"id":"ITEM-2","itemData":{"URL":"https://www.gov.uk/government/publications/salt-reduction-targets-for-2017","accessed":{"date-parts":[["2020","7","22"]]},"author":[{"dropping-particle":"","family":"Public Health England","given":"","non-dropping-particle":"","parse-names":false,"suffix":""}],"id":"ITEM-2","issue":"March","issued":{"date-parts":[["2017"]]},"title":"Salt Reduction Targets for 2017","type":"webpage"},"uris":["http://www.mendeley.com/documents/?uuid=8d5f2282-db9f-41b7-bc5e-a0f70b0219c6"]}],"mendeley":{"formattedCitation":"&lt;sup&gt;(22,23)&lt;/sup&gt;","plainTextFormattedCitation":"(22,23)","previouslyFormattedCitation":"&lt;sup&gt;(21,22)&lt;/sup&gt;"},"properties":{"noteIndex":0},"schema":"https://github.com/citation-style-language/schema/raw/master/csl-citation.json"}</w:instrText>
      </w:r>
      <w:r w:rsidR="003210DD" w:rsidRPr="00453626">
        <w:rPr>
          <w:rFonts w:ascii="Times New Roman" w:hAnsi="Times New Roman" w:cs="Times New Roman"/>
          <w:sz w:val="24"/>
        </w:rPr>
        <w:fldChar w:fldCharType="separate"/>
      </w:r>
      <w:r w:rsidR="0027432A" w:rsidRPr="00453626">
        <w:rPr>
          <w:rFonts w:ascii="Times New Roman" w:hAnsi="Times New Roman" w:cs="Times New Roman"/>
          <w:noProof/>
          <w:sz w:val="24"/>
          <w:vertAlign w:val="superscript"/>
        </w:rPr>
        <w:t>(22,23)</w:t>
      </w:r>
      <w:r w:rsidR="003210DD" w:rsidRPr="00453626">
        <w:rPr>
          <w:rFonts w:ascii="Times New Roman" w:hAnsi="Times New Roman" w:cs="Times New Roman"/>
          <w:sz w:val="24"/>
        </w:rPr>
        <w:fldChar w:fldCharType="end"/>
      </w:r>
      <w:r w:rsidR="00ED3A7A" w:rsidRPr="00453626">
        <w:rPr>
          <w:rFonts w:ascii="Times New Roman" w:hAnsi="Times New Roman" w:cs="Times New Roman"/>
          <w:sz w:val="24"/>
        </w:rPr>
        <w:t xml:space="preserve"> or </w:t>
      </w:r>
      <w:r w:rsidR="00D8685A" w:rsidRPr="00453626">
        <w:rPr>
          <w:rFonts w:ascii="Times New Roman" w:hAnsi="Times New Roman" w:cs="Times New Roman"/>
          <w:sz w:val="24"/>
        </w:rPr>
        <w:t xml:space="preserve">by </w:t>
      </w:r>
      <w:r w:rsidR="003210DD" w:rsidRPr="00453626">
        <w:rPr>
          <w:rFonts w:ascii="Times New Roman" w:hAnsi="Times New Roman" w:cs="Times New Roman"/>
          <w:sz w:val="24"/>
        </w:rPr>
        <w:t xml:space="preserve">encouraging the </w:t>
      </w:r>
      <w:r w:rsidR="00FE7924" w:rsidRPr="00453626">
        <w:rPr>
          <w:rFonts w:ascii="Times New Roman" w:hAnsi="Times New Roman" w:cs="Times New Roman"/>
          <w:sz w:val="24"/>
        </w:rPr>
        <w:t>incorporation of the UK traffic light label into the</w:t>
      </w:r>
      <w:r w:rsidR="00D8685A" w:rsidRPr="00453626">
        <w:rPr>
          <w:rFonts w:ascii="Times New Roman" w:hAnsi="Times New Roman" w:cs="Times New Roman"/>
          <w:sz w:val="24"/>
        </w:rPr>
        <w:t xml:space="preserve"> </w:t>
      </w:r>
      <w:r w:rsidR="003210DD" w:rsidRPr="00453626">
        <w:rPr>
          <w:rFonts w:ascii="Times New Roman" w:hAnsi="Times New Roman" w:cs="Times New Roman"/>
          <w:sz w:val="24"/>
        </w:rPr>
        <w:t xml:space="preserve">front of pack nutrition </w:t>
      </w:r>
      <w:r w:rsidR="00ED3A7A" w:rsidRPr="00453626">
        <w:rPr>
          <w:rFonts w:ascii="Times New Roman" w:hAnsi="Times New Roman" w:cs="Times New Roman"/>
          <w:sz w:val="24"/>
        </w:rPr>
        <w:t>label</w:t>
      </w:r>
      <w:r w:rsidR="00A534A9" w:rsidRPr="00453626">
        <w:rPr>
          <w:rFonts w:ascii="Times New Roman" w:hAnsi="Times New Roman" w:cs="Times New Roman"/>
          <w:sz w:val="24"/>
        </w:rPr>
        <w:t>.</w:t>
      </w:r>
      <w:r w:rsidR="00D8685A" w:rsidRPr="00453626">
        <w:rPr>
          <w:rFonts w:ascii="Times New Roman" w:hAnsi="Times New Roman" w:cs="Times New Roman"/>
          <w:sz w:val="24"/>
        </w:rPr>
        <w:fldChar w:fldCharType="begin" w:fldLock="1"/>
      </w:r>
      <w:r w:rsidR="0027432A" w:rsidRPr="00453626">
        <w:rPr>
          <w:rFonts w:ascii="Times New Roman" w:hAnsi="Times New Roman" w:cs="Times New Roman"/>
          <w:sz w:val="24"/>
        </w:rPr>
        <w:instrText>ADDIN CSL_CITATION {"citationItems":[{"id":"ITEM-1","itemData":{"abstract":"This guidance supports the development of front of pack nutrition labels that are compliant with the UK Health Ministers’ Recommendation on the use of colour coding as an additional form of expression and with EU Regulation No. 1169/2011 on the provision of food information to consumers (EU FIC). The guidance was developed by the Department of Health, the Food Standards Agency, and devolved administrations in Scotland, Northern Ireland and Wales in collaboration with the British Retail Consortium.","author":[{"dropping-particle":"","family":"Department of Health","given":"","non-dropping-particle":"","parse-names":false,"suffix":""},{"dropping-particle":"","family":"Food Standards Agency","given":"","non-dropping-particle":"","parse-names":false,"suffix":""}],"id":"ITEM-1","issue":"November","issued":{"date-parts":[["2016"]]},"title":"Guide to creating a front of pack (FoP) nutrition label for pre-packed products sold through retail outlets","type":"report"},"uris":["http://www.mendeley.com/documents/?uuid=5be9b4fd-39ee-4b8c-b7b6-5548814bcb02"]}],"mendeley":{"formattedCitation":"&lt;sup&gt;(19)&lt;/sup&gt;","plainTextFormattedCitation":"(19)","previouslyFormattedCitation":"&lt;sup&gt;(18)&lt;/sup&gt;"},"properties":{"noteIndex":0},"schema":"https://github.com/citation-style-language/schema/raw/master/csl-citation.json"}</w:instrText>
      </w:r>
      <w:r w:rsidR="00D8685A" w:rsidRPr="00453626">
        <w:rPr>
          <w:rFonts w:ascii="Times New Roman" w:hAnsi="Times New Roman" w:cs="Times New Roman"/>
          <w:sz w:val="24"/>
        </w:rPr>
        <w:fldChar w:fldCharType="separate"/>
      </w:r>
      <w:r w:rsidR="0027432A" w:rsidRPr="00453626">
        <w:rPr>
          <w:rFonts w:ascii="Times New Roman" w:hAnsi="Times New Roman" w:cs="Times New Roman"/>
          <w:noProof/>
          <w:sz w:val="24"/>
          <w:vertAlign w:val="superscript"/>
        </w:rPr>
        <w:t>(19)</w:t>
      </w:r>
      <w:r w:rsidR="00D8685A" w:rsidRPr="00453626">
        <w:rPr>
          <w:rFonts w:ascii="Times New Roman" w:hAnsi="Times New Roman" w:cs="Times New Roman"/>
          <w:sz w:val="24"/>
        </w:rPr>
        <w:fldChar w:fldCharType="end"/>
      </w:r>
      <w:r w:rsidR="005E5231" w:rsidRPr="00453626">
        <w:rPr>
          <w:rFonts w:ascii="Times New Roman" w:hAnsi="Times New Roman" w:cs="Times New Roman"/>
          <w:sz w:val="24"/>
        </w:rPr>
        <w:t xml:space="preserve"> Because this action has primarily been direct</w:t>
      </w:r>
      <w:r w:rsidR="00C12964" w:rsidRPr="00453626">
        <w:rPr>
          <w:rFonts w:ascii="Times New Roman" w:hAnsi="Times New Roman" w:cs="Times New Roman"/>
          <w:sz w:val="24"/>
        </w:rPr>
        <w:t>ed</w:t>
      </w:r>
      <w:r w:rsidR="005E5231" w:rsidRPr="00453626">
        <w:rPr>
          <w:rFonts w:ascii="Times New Roman" w:hAnsi="Times New Roman" w:cs="Times New Roman"/>
          <w:sz w:val="24"/>
        </w:rPr>
        <w:t xml:space="preserve"> a</w:t>
      </w:r>
      <w:r w:rsidR="00F5393C" w:rsidRPr="00453626">
        <w:rPr>
          <w:rFonts w:ascii="Times New Roman" w:hAnsi="Times New Roman" w:cs="Times New Roman"/>
          <w:sz w:val="24"/>
        </w:rPr>
        <w:t>t</w:t>
      </w:r>
      <w:r w:rsidR="005E5231" w:rsidRPr="00453626">
        <w:rPr>
          <w:rFonts w:ascii="Times New Roman" w:hAnsi="Times New Roman" w:cs="Times New Roman"/>
          <w:sz w:val="24"/>
        </w:rPr>
        <w:t xml:space="preserve"> supermarkets</w:t>
      </w:r>
      <w:r w:rsidR="00A534A9" w:rsidRPr="00453626">
        <w:rPr>
          <w:rFonts w:ascii="Times New Roman" w:hAnsi="Times New Roman" w:cs="Times New Roman"/>
          <w:sz w:val="24"/>
        </w:rPr>
        <w:t>,</w:t>
      </w:r>
      <w:r w:rsidR="004F380E" w:rsidRPr="00453626">
        <w:rPr>
          <w:rFonts w:ascii="Times New Roman" w:hAnsi="Times New Roman" w:cs="Times New Roman"/>
          <w:sz w:val="24"/>
        </w:rPr>
        <w:fldChar w:fldCharType="begin" w:fldLock="1"/>
      </w:r>
      <w:r w:rsidR="0027432A" w:rsidRPr="00453626">
        <w:rPr>
          <w:rFonts w:ascii="Times New Roman" w:hAnsi="Times New Roman" w:cs="Times New Roman"/>
          <w:sz w:val="24"/>
        </w:rPr>
        <w:instrText>ADDIN CSL_CITATION {"citationItems":[{"id":"ITEM-1","itemData":{"URL":"https://www.foodnavigator.com/Article/2019/09/12/Campaigners-slam-out-of-home-operators-as-supermarkets-make-more-progress-on-reformulation-and-labelling","accessed":{"date-parts":[["2020","7","22"]]},"author":[{"dropping-particle":"","family":"Askew","given":"Katy","non-dropping-particle":"","parse-names":false,"suffix":""}],"container-title":"Food Navigator","id":"ITEM-1","issued":{"date-parts":[["2019"]]},"title":"‘A mandatory approach may be necessary’: Campaigners slam out of home operators as supermarkets make more progress on reformulation and labelling","type":"webpage"},"uris":["http://www.mendeley.com/documents/?uuid=5f764635-bb00-4fcc-b971-f2e8eb80c097","http://www.mendeley.com/documents/?uuid=05994dea-49bb-4e6c-8b5b-06bd945c203e"]}],"mendeley":{"formattedCitation":"&lt;sup&gt;(24)&lt;/sup&gt;","plainTextFormattedCitation":"(24)","previouslyFormattedCitation":"&lt;sup&gt;(23)&lt;/sup&gt;"},"properties":{"noteIndex":0},"schema":"https://github.com/citation-style-language/schema/raw/master/csl-citation.json"}</w:instrText>
      </w:r>
      <w:r w:rsidR="004F380E" w:rsidRPr="00453626">
        <w:rPr>
          <w:rFonts w:ascii="Times New Roman" w:hAnsi="Times New Roman" w:cs="Times New Roman"/>
          <w:sz w:val="24"/>
        </w:rPr>
        <w:fldChar w:fldCharType="separate"/>
      </w:r>
      <w:r w:rsidR="0027432A" w:rsidRPr="00453626">
        <w:rPr>
          <w:rFonts w:ascii="Times New Roman" w:hAnsi="Times New Roman" w:cs="Times New Roman"/>
          <w:noProof/>
          <w:sz w:val="24"/>
          <w:vertAlign w:val="superscript"/>
        </w:rPr>
        <w:t>(24)</w:t>
      </w:r>
      <w:r w:rsidR="004F380E" w:rsidRPr="00453626">
        <w:rPr>
          <w:rFonts w:ascii="Times New Roman" w:hAnsi="Times New Roman" w:cs="Times New Roman"/>
          <w:sz w:val="24"/>
        </w:rPr>
        <w:fldChar w:fldCharType="end"/>
      </w:r>
      <w:r w:rsidR="005E5231" w:rsidRPr="00453626">
        <w:rPr>
          <w:rFonts w:ascii="Times New Roman" w:hAnsi="Times New Roman" w:cs="Times New Roman"/>
          <w:sz w:val="24"/>
        </w:rPr>
        <w:t xml:space="preserve"> we reasoned that there may be differences between the nutritional quality of snack products in supermarkets </w:t>
      </w:r>
      <w:r w:rsidR="00CD7C4E" w:rsidRPr="00453626">
        <w:rPr>
          <w:rFonts w:ascii="Times New Roman" w:hAnsi="Times New Roman" w:cs="Times New Roman"/>
          <w:sz w:val="24"/>
        </w:rPr>
        <w:t>and</w:t>
      </w:r>
      <w:r w:rsidR="005E5231" w:rsidRPr="00453626">
        <w:rPr>
          <w:rFonts w:ascii="Times New Roman" w:hAnsi="Times New Roman" w:cs="Times New Roman"/>
          <w:sz w:val="24"/>
        </w:rPr>
        <w:t xml:space="preserve"> coffee shops.</w:t>
      </w:r>
    </w:p>
    <w:p w14:paraId="4FC87ED0" w14:textId="77777777" w:rsidR="00AC1448" w:rsidRPr="00453626" w:rsidRDefault="00AC1448" w:rsidP="00396F23">
      <w:pPr>
        <w:spacing w:line="360" w:lineRule="auto"/>
        <w:rPr>
          <w:rFonts w:ascii="Times New Roman" w:hAnsi="Times New Roman" w:cs="Times New Roman"/>
          <w:sz w:val="24"/>
        </w:rPr>
      </w:pPr>
    </w:p>
    <w:p w14:paraId="210B873B" w14:textId="77777777" w:rsidR="000F0266" w:rsidRPr="00453626" w:rsidRDefault="000F0266" w:rsidP="00396F23">
      <w:pPr>
        <w:spacing w:line="360" w:lineRule="auto"/>
        <w:rPr>
          <w:rFonts w:ascii="Times New Roman" w:hAnsi="Times New Roman" w:cs="Times New Roman"/>
          <w:b/>
          <w:sz w:val="24"/>
        </w:rPr>
      </w:pPr>
      <w:r w:rsidRPr="00453626">
        <w:rPr>
          <w:rFonts w:ascii="Times New Roman" w:hAnsi="Times New Roman" w:cs="Times New Roman"/>
          <w:b/>
          <w:sz w:val="24"/>
        </w:rPr>
        <w:t>Methods</w:t>
      </w:r>
    </w:p>
    <w:p w14:paraId="524FAE2F" w14:textId="41D98617" w:rsidR="00277CBE" w:rsidRPr="00453626" w:rsidRDefault="00277CBE" w:rsidP="00396F23">
      <w:pPr>
        <w:pStyle w:val="Subtitle"/>
        <w:spacing w:line="360" w:lineRule="auto"/>
        <w:rPr>
          <w:rStyle w:val="Emphasis"/>
          <w:rFonts w:ascii="Times New Roman" w:hAnsi="Times New Roman" w:cs="Times New Roman"/>
          <w:i w:val="0"/>
          <w:color w:val="auto"/>
          <w:sz w:val="24"/>
        </w:rPr>
      </w:pPr>
      <w:r w:rsidRPr="00453626">
        <w:rPr>
          <w:rStyle w:val="Emphasis"/>
          <w:rFonts w:ascii="Times New Roman" w:hAnsi="Times New Roman" w:cs="Times New Roman"/>
          <w:i w:val="0"/>
          <w:color w:val="auto"/>
          <w:sz w:val="24"/>
        </w:rPr>
        <w:t>Businesses and snack products identification</w:t>
      </w:r>
    </w:p>
    <w:p w14:paraId="7F50242F" w14:textId="074BCA02" w:rsidR="002815CD" w:rsidRPr="00453626" w:rsidRDefault="00D82EC5" w:rsidP="00396F23">
      <w:pPr>
        <w:spacing w:line="360" w:lineRule="auto"/>
        <w:rPr>
          <w:rFonts w:ascii="Times New Roman" w:hAnsi="Times New Roman" w:cs="Times New Roman"/>
          <w:sz w:val="24"/>
        </w:rPr>
      </w:pPr>
      <w:r w:rsidRPr="00453626">
        <w:rPr>
          <w:rFonts w:ascii="Times New Roman" w:hAnsi="Times New Roman" w:cs="Times New Roman"/>
          <w:sz w:val="24"/>
        </w:rPr>
        <w:t>We sampled</w:t>
      </w:r>
      <w:r w:rsidR="00295EA9" w:rsidRPr="00453626">
        <w:rPr>
          <w:rFonts w:ascii="Times New Roman" w:hAnsi="Times New Roman" w:cs="Times New Roman"/>
          <w:sz w:val="24"/>
        </w:rPr>
        <w:t xml:space="preserve"> </w:t>
      </w:r>
      <w:r w:rsidRPr="00453626">
        <w:rPr>
          <w:rFonts w:ascii="Times New Roman" w:hAnsi="Times New Roman" w:cs="Times New Roman"/>
          <w:sz w:val="24"/>
        </w:rPr>
        <w:t xml:space="preserve">major </w:t>
      </w:r>
      <w:r w:rsidR="00295EA9" w:rsidRPr="00453626">
        <w:rPr>
          <w:rFonts w:ascii="Times New Roman" w:hAnsi="Times New Roman" w:cs="Times New Roman"/>
          <w:sz w:val="24"/>
        </w:rPr>
        <w:t>chai</w:t>
      </w:r>
      <w:r w:rsidR="00570F72" w:rsidRPr="00453626">
        <w:rPr>
          <w:rFonts w:ascii="Times New Roman" w:hAnsi="Times New Roman" w:cs="Times New Roman"/>
          <w:sz w:val="24"/>
        </w:rPr>
        <w:t>ns</w:t>
      </w:r>
      <w:r w:rsidR="00295EA9" w:rsidRPr="00453626">
        <w:rPr>
          <w:rFonts w:ascii="Times New Roman" w:hAnsi="Times New Roman" w:cs="Times New Roman"/>
          <w:sz w:val="24"/>
        </w:rPr>
        <w:t xml:space="preserve"> that sell</w:t>
      </w:r>
      <w:r w:rsidR="00F2764E" w:rsidRPr="00453626">
        <w:rPr>
          <w:rFonts w:ascii="Times New Roman" w:hAnsi="Times New Roman" w:cs="Times New Roman"/>
          <w:sz w:val="24"/>
        </w:rPr>
        <w:t xml:space="preserve"> </w:t>
      </w:r>
      <w:r w:rsidR="00295EA9" w:rsidRPr="00453626">
        <w:rPr>
          <w:rFonts w:ascii="Times New Roman" w:hAnsi="Times New Roman" w:cs="Times New Roman"/>
          <w:sz w:val="24"/>
        </w:rPr>
        <w:t>single</w:t>
      </w:r>
      <w:r w:rsidR="00DE11B6" w:rsidRPr="00453626">
        <w:rPr>
          <w:rFonts w:ascii="Times New Roman" w:hAnsi="Times New Roman" w:cs="Times New Roman"/>
          <w:sz w:val="24"/>
        </w:rPr>
        <w:t>-</w:t>
      </w:r>
      <w:r w:rsidR="00295EA9" w:rsidRPr="00453626">
        <w:rPr>
          <w:rFonts w:ascii="Times New Roman" w:hAnsi="Times New Roman" w:cs="Times New Roman"/>
          <w:sz w:val="24"/>
        </w:rPr>
        <w:t>serving snack products</w:t>
      </w:r>
      <w:r w:rsidR="00F2764E" w:rsidRPr="00453626">
        <w:rPr>
          <w:rFonts w:ascii="Times New Roman" w:hAnsi="Times New Roman" w:cs="Times New Roman"/>
          <w:sz w:val="24"/>
        </w:rPr>
        <w:t xml:space="preserve"> in physical outlets</w:t>
      </w:r>
      <w:r w:rsidR="00295EA9" w:rsidRPr="00453626">
        <w:rPr>
          <w:rFonts w:ascii="Times New Roman" w:hAnsi="Times New Roman" w:cs="Times New Roman"/>
          <w:sz w:val="24"/>
        </w:rPr>
        <w:t xml:space="preserve"> and provide online nutritional information for these products</w:t>
      </w:r>
      <w:r w:rsidRPr="00453626">
        <w:rPr>
          <w:rFonts w:ascii="Times New Roman" w:hAnsi="Times New Roman" w:cs="Times New Roman"/>
          <w:sz w:val="24"/>
        </w:rPr>
        <w:t xml:space="preserve"> (i.e. supermarkets and coffee shops).</w:t>
      </w:r>
      <w:r w:rsidR="00F2764E" w:rsidRPr="00453626">
        <w:rPr>
          <w:rFonts w:ascii="Times New Roman" w:hAnsi="Times New Roman" w:cs="Times New Roman"/>
          <w:sz w:val="24"/>
        </w:rPr>
        <w:t xml:space="preserve"> </w:t>
      </w:r>
      <w:r w:rsidR="007D4944" w:rsidRPr="00453626">
        <w:rPr>
          <w:rFonts w:ascii="Times New Roman" w:hAnsi="Times New Roman" w:cs="Times New Roman"/>
          <w:sz w:val="24"/>
        </w:rPr>
        <w:t xml:space="preserve">We defined supermarket chains as </w:t>
      </w:r>
      <w:r w:rsidR="003B0D3D" w:rsidRPr="00453626">
        <w:rPr>
          <w:rFonts w:ascii="Times New Roman" w:hAnsi="Times New Roman" w:cs="Times New Roman"/>
          <w:sz w:val="24"/>
        </w:rPr>
        <w:t>businesses</w:t>
      </w:r>
      <w:r w:rsidR="007D4944" w:rsidRPr="00453626">
        <w:rPr>
          <w:rFonts w:ascii="Times New Roman" w:hAnsi="Times New Roman" w:cs="Times New Roman"/>
          <w:sz w:val="24"/>
        </w:rPr>
        <w:t xml:space="preserve"> that sell foods and household goods on a self-service basis, and coffee shop chains as </w:t>
      </w:r>
      <w:r w:rsidR="00570F72" w:rsidRPr="00453626">
        <w:rPr>
          <w:rFonts w:ascii="Times New Roman" w:hAnsi="Times New Roman" w:cs="Times New Roman"/>
          <w:sz w:val="24"/>
        </w:rPr>
        <w:t>businesses</w:t>
      </w:r>
      <w:r w:rsidR="007D4944" w:rsidRPr="00453626">
        <w:rPr>
          <w:rFonts w:ascii="Times New Roman" w:hAnsi="Times New Roman" w:cs="Times New Roman"/>
          <w:sz w:val="24"/>
        </w:rPr>
        <w:t xml:space="preserve"> that do not tend to provide table service and predominantly sell drinks and snacks as opposed to full meals.</w:t>
      </w:r>
      <w:r w:rsidR="003B0D3D" w:rsidRPr="00453626">
        <w:rPr>
          <w:rFonts w:ascii="Times New Roman" w:hAnsi="Times New Roman" w:cs="Times New Roman"/>
          <w:sz w:val="24"/>
        </w:rPr>
        <w:t xml:space="preserve"> We also examined whether snack products were sold by major fast food chains, but only one chain had a snacking menu section and we therefore excluded fast food chains from analyses (see online supplementary materials</w:t>
      </w:r>
      <w:r w:rsidR="000B1E72" w:rsidRPr="00453626">
        <w:rPr>
          <w:rFonts w:ascii="Times New Roman" w:hAnsi="Times New Roman" w:cs="Times New Roman"/>
          <w:sz w:val="24"/>
        </w:rPr>
        <w:t xml:space="preserve">, </w:t>
      </w:r>
      <w:r w:rsidR="000B1E72" w:rsidRPr="00453626">
        <w:rPr>
          <w:rFonts w:ascii="Times New Roman" w:hAnsi="Times New Roman" w:cs="Times New Roman"/>
          <w:b/>
          <w:sz w:val="24"/>
        </w:rPr>
        <w:t>Table S1</w:t>
      </w:r>
      <w:r w:rsidR="003B0D3D" w:rsidRPr="00453626">
        <w:rPr>
          <w:rFonts w:ascii="Times New Roman" w:hAnsi="Times New Roman" w:cs="Times New Roman"/>
          <w:sz w:val="24"/>
        </w:rPr>
        <w:t>).</w:t>
      </w:r>
      <w:r w:rsidR="005A6A0F" w:rsidRPr="00453626">
        <w:rPr>
          <w:rFonts w:ascii="Times New Roman" w:hAnsi="Times New Roman" w:cs="Times New Roman"/>
          <w:sz w:val="24"/>
        </w:rPr>
        <w:t xml:space="preserve"> </w:t>
      </w:r>
      <w:r w:rsidR="00277CBE" w:rsidRPr="00453626">
        <w:rPr>
          <w:rFonts w:ascii="Times New Roman" w:hAnsi="Times New Roman" w:cs="Times New Roman"/>
          <w:sz w:val="24"/>
        </w:rPr>
        <w:t>We</w:t>
      </w:r>
      <w:r w:rsidR="002815CD" w:rsidRPr="00453626">
        <w:rPr>
          <w:rFonts w:ascii="Times New Roman" w:hAnsi="Times New Roman" w:cs="Times New Roman"/>
          <w:sz w:val="24"/>
        </w:rPr>
        <w:t xml:space="preserve"> aimed to</w:t>
      </w:r>
      <w:r w:rsidR="00277CBE" w:rsidRPr="00453626">
        <w:rPr>
          <w:rFonts w:ascii="Times New Roman" w:hAnsi="Times New Roman" w:cs="Times New Roman"/>
          <w:sz w:val="24"/>
        </w:rPr>
        <w:t xml:space="preserve"> identif</w:t>
      </w:r>
      <w:r w:rsidR="002815CD" w:rsidRPr="00453626">
        <w:rPr>
          <w:rFonts w:ascii="Times New Roman" w:hAnsi="Times New Roman" w:cs="Times New Roman"/>
          <w:sz w:val="24"/>
        </w:rPr>
        <w:t>y</w:t>
      </w:r>
      <w:r w:rsidR="00295EA9" w:rsidRPr="00453626">
        <w:rPr>
          <w:rFonts w:ascii="Times New Roman" w:hAnsi="Times New Roman" w:cs="Times New Roman"/>
          <w:sz w:val="24"/>
        </w:rPr>
        <w:t xml:space="preserve"> the </w:t>
      </w:r>
      <w:r w:rsidR="00C449D4" w:rsidRPr="00453626">
        <w:rPr>
          <w:rFonts w:ascii="Times New Roman" w:hAnsi="Times New Roman" w:cs="Times New Roman"/>
          <w:sz w:val="24"/>
        </w:rPr>
        <w:t>ten</w:t>
      </w:r>
      <w:r w:rsidR="00295EA9" w:rsidRPr="00453626">
        <w:rPr>
          <w:rFonts w:ascii="Times New Roman" w:hAnsi="Times New Roman" w:cs="Times New Roman"/>
          <w:sz w:val="24"/>
        </w:rPr>
        <w:t xml:space="preserve"> largest supermarket </w:t>
      </w:r>
      <w:r w:rsidR="003479BE" w:rsidRPr="00453626">
        <w:rPr>
          <w:rFonts w:ascii="Times New Roman" w:hAnsi="Times New Roman" w:cs="Times New Roman"/>
          <w:sz w:val="24"/>
        </w:rPr>
        <w:t xml:space="preserve">and coffee shop </w:t>
      </w:r>
      <w:r w:rsidR="00295EA9" w:rsidRPr="00453626">
        <w:rPr>
          <w:rFonts w:ascii="Times New Roman" w:hAnsi="Times New Roman" w:cs="Times New Roman"/>
          <w:sz w:val="24"/>
        </w:rPr>
        <w:t>chains in the UK based on market share reports</w:t>
      </w:r>
      <w:r w:rsidR="003479BE" w:rsidRPr="00453626">
        <w:rPr>
          <w:rFonts w:ascii="Times New Roman" w:hAnsi="Times New Roman" w:cs="Times New Roman"/>
          <w:sz w:val="24"/>
        </w:rPr>
        <w:t xml:space="preserve"> and previous research. </w:t>
      </w:r>
      <w:r w:rsidR="003479BE" w:rsidRPr="00453626">
        <w:rPr>
          <w:rFonts w:ascii="Times New Roman" w:hAnsi="Times New Roman" w:cs="Times New Roman"/>
          <w:sz w:val="24"/>
        </w:rPr>
        <w:fldChar w:fldCharType="begin" w:fldLock="1"/>
      </w:r>
      <w:r w:rsidR="0027432A" w:rsidRPr="00453626">
        <w:rPr>
          <w:rFonts w:ascii="Times New Roman" w:hAnsi="Times New Roman" w:cs="Times New Roman"/>
          <w:sz w:val="24"/>
        </w:rPr>
        <w:instrText>ADDIN CSL_CITATION {"citationItems":[{"id":"ITEM-1","itemData":{"URL":"https://www.kantarworldpanel.com/en/grocery-market-share/great-britain","accessed":{"date-parts":[["2020","7","22"]]},"author":[{"dropping-particle":"","family":"Kantar Worldpanel","given":"","non-dropping-particle":"","parse-names":false,"suffix":""}],"id":"ITEM-1","issued":{"date-parts":[["2019"]]},"title":"Grocery Market Share","type":"webpage"},"uris":["http://www.mendeley.com/documents/?uuid=8b4d1543-352b-416f-8114-b01ef43c475a"]},{"id":"ITEM-2","itemData":{"URL":"https://www.statista.com/statistics/280208/grocery-market-share-in-the-united-kingdom-uk/","accessed":{"date-parts":[["2020","7","22"]]},"author":[{"dropping-particle":"","family":"Statista","given":"","non-dropping-particle":"","parse-names":false,"suffix":""}],"id":"ITEM-2","issued":{"date-parts":[["2019"]]},"title":"Market share of grocery stores in Great Britain from January 2015 to March 2019","type":"webpage"},"uris":["http://www.mendeley.com/documents/?uuid=42e7b954-5b54-4816-8c69-0ebe1c7bde41"]},{"id":"ITEM-3","itemData":{"ISBN":"1288901970175","author":[{"dropping-particle":"","family":"Robinson","given":"Eric","non-dropping-particle":"","parse-names":false,"suffix":""},{"dropping-particle":"","family":"Burton","given":"Sam","non-dropping-particle":"","parse-names":false,"suffix":""},{"dropping-particle":"","family":"Gough","given":"Tom","non-dropping-particle":"","parse-names":false,"suffix":""},{"dropping-particle":"","family":"Jones","given":"Andrew","non-dropping-particle":"","parse-names":false,"suffix":""},{"dropping-particle":"","family":"Haynes","given":"Ashleigh","non-dropping-particle":"","parse-names":false,"suffix":""}],"container-title":"BMC Public Health","id":"ITEM-3","issue":"649","issued":{"date-parts":[["2019"]]},"page":"1-6","publisher":"BMC Public Health","title":"Point of choice kilocalorie labelling in the UK eating out of home sector: a descriptive study of major chains","type":"article-journal","volume":"19"},"uris":["http://www.mendeley.com/documents/?uuid=52f32309-21aa-4f15-8fc1-b7cde5d51ca0"]}],"mendeley":{"formattedCitation":"&lt;sup&gt;(25–27)&lt;/sup&gt;","plainTextFormattedCitation":"(25–27)","previouslyFormattedCitation":"&lt;sup&gt;(24–26)&lt;/sup&gt;"},"properties":{"noteIndex":0},"schema":"https://github.com/citation-style-language/schema/raw/master/csl-citation.json"}</w:instrText>
      </w:r>
      <w:r w:rsidR="003479BE" w:rsidRPr="00453626">
        <w:rPr>
          <w:rFonts w:ascii="Times New Roman" w:hAnsi="Times New Roman" w:cs="Times New Roman"/>
          <w:sz w:val="24"/>
        </w:rPr>
        <w:fldChar w:fldCharType="separate"/>
      </w:r>
      <w:r w:rsidR="0027432A" w:rsidRPr="00453626">
        <w:rPr>
          <w:rFonts w:ascii="Times New Roman" w:hAnsi="Times New Roman" w:cs="Times New Roman"/>
          <w:noProof/>
          <w:sz w:val="24"/>
          <w:vertAlign w:val="superscript"/>
        </w:rPr>
        <w:t>(25–27)</w:t>
      </w:r>
      <w:r w:rsidR="003479BE" w:rsidRPr="00453626">
        <w:rPr>
          <w:rFonts w:ascii="Times New Roman" w:hAnsi="Times New Roman" w:cs="Times New Roman"/>
          <w:sz w:val="24"/>
        </w:rPr>
        <w:fldChar w:fldCharType="end"/>
      </w:r>
      <w:r w:rsidR="005A6A0F" w:rsidRPr="00453626">
        <w:rPr>
          <w:rFonts w:ascii="Times New Roman" w:hAnsi="Times New Roman" w:cs="Times New Roman"/>
          <w:sz w:val="24"/>
        </w:rPr>
        <w:t xml:space="preserve"> </w:t>
      </w:r>
      <w:r w:rsidR="002815CD" w:rsidRPr="00453626">
        <w:rPr>
          <w:rFonts w:ascii="Times New Roman" w:hAnsi="Times New Roman" w:cs="Times New Roman"/>
          <w:sz w:val="24"/>
        </w:rPr>
        <w:t>We included nine supermarket chains from the market share reports (there was no clear largest 10</w:t>
      </w:r>
      <w:r w:rsidR="002815CD" w:rsidRPr="00453626">
        <w:rPr>
          <w:rFonts w:ascii="Times New Roman" w:hAnsi="Times New Roman" w:cs="Times New Roman"/>
          <w:sz w:val="24"/>
          <w:vertAlign w:val="superscript"/>
        </w:rPr>
        <w:t>th</w:t>
      </w:r>
      <w:r w:rsidR="002815CD" w:rsidRPr="00453626">
        <w:rPr>
          <w:rFonts w:ascii="Times New Roman" w:hAnsi="Times New Roman" w:cs="Times New Roman"/>
          <w:sz w:val="24"/>
        </w:rPr>
        <w:t>).</w:t>
      </w:r>
      <w:r w:rsidR="00AC47B1" w:rsidRPr="00453626">
        <w:rPr>
          <w:rFonts w:ascii="Times New Roman" w:hAnsi="Times New Roman" w:cs="Times New Roman"/>
          <w:sz w:val="24"/>
        </w:rPr>
        <w:t xml:space="preserve"> Two chains were excluded because there was a lack of nutritional information on their websites. For the coffee shops, among the ten largest chains, three did not provide sufficient nutritional information on their websites.</w:t>
      </w:r>
      <w:r w:rsidR="002815CD" w:rsidRPr="00453626">
        <w:rPr>
          <w:rFonts w:ascii="Times New Roman" w:hAnsi="Times New Roman" w:cs="Times New Roman"/>
          <w:sz w:val="24"/>
        </w:rPr>
        <w:t xml:space="preserve"> The final sample consisted of seven supermarket chains and seven coffee shop chains.</w:t>
      </w:r>
    </w:p>
    <w:p w14:paraId="520AA992" w14:textId="63DD46FD" w:rsidR="00276737" w:rsidRPr="00453626" w:rsidRDefault="008643F9" w:rsidP="00396F23">
      <w:pPr>
        <w:spacing w:line="360" w:lineRule="auto"/>
        <w:rPr>
          <w:rFonts w:ascii="Times New Roman" w:hAnsi="Times New Roman" w:cs="Times New Roman"/>
          <w:sz w:val="24"/>
        </w:rPr>
      </w:pPr>
      <w:r w:rsidRPr="00453626">
        <w:rPr>
          <w:rFonts w:ascii="Times New Roman" w:hAnsi="Times New Roman" w:cs="Times New Roman"/>
          <w:sz w:val="24"/>
        </w:rPr>
        <w:t>B</w:t>
      </w:r>
      <w:r w:rsidR="007E70C8" w:rsidRPr="00453626">
        <w:rPr>
          <w:rFonts w:ascii="Times New Roman" w:hAnsi="Times New Roman" w:cs="Times New Roman"/>
          <w:sz w:val="24"/>
        </w:rPr>
        <w:t>ased</w:t>
      </w:r>
      <w:r w:rsidR="00A92176" w:rsidRPr="00453626">
        <w:rPr>
          <w:rFonts w:ascii="Times New Roman" w:hAnsi="Times New Roman" w:cs="Times New Roman"/>
          <w:sz w:val="24"/>
        </w:rPr>
        <w:t xml:space="preserve"> on </w:t>
      </w:r>
      <w:r w:rsidR="007E70C8" w:rsidRPr="00453626">
        <w:rPr>
          <w:rFonts w:ascii="Times New Roman" w:hAnsi="Times New Roman" w:cs="Times New Roman"/>
          <w:sz w:val="24"/>
        </w:rPr>
        <w:t>previous studies</w:t>
      </w:r>
      <w:r w:rsidR="00A534A9" w:rsidRPr="00453626">
        <w:rPr>
          <w:rFonts w:ascii="Times New Roman" w:hAnsi="Times New Roman" w:cs="Times New Roman"/>
          <w:sz w:val="24"/>
        </w:rPr>
        <w:t>,</w:t>
      </w:r>
      <w:r w:rsidR="004746B3" w:rsidRPr="00453626">
        <w:rPr>
          <w:rFonts w:ascii="Times New Roman" w:hAnsi="Times New Roman" w:cs="Times New Roman"/>
          <w:sz w:val="24"/>
        </w:rPr>
        <w:fldChar w:fldCharType="begin" w:fldLock="1"/>
      </w:r>
      <w:r w:rsidR="0027432A" w:rsidRPr="00453626">
        <w:rPr>
          <w:rFonts w:ascii="Times New Roman" w:hAnsi="Times New Roman" w:cs="Times New Roman"/>
          <w:sz w:val="24"/>
        </w:rPr>
        <w:instrText>ADDIN CSL_CITATION {"citationItems":[{"id":"ITEM-1","itemData":{"DOI":"10.1016/S0195-6663(03)00036-9","ISSN":"01956663","abstract":"Research into least fattening eating patterns indicates that in England 'a snack' is a term that refers to different eating habits from 'snacking' and that neither pattern of behaviour necessarily involves 'snack food'. These hypotheses were tested by randomised mailings to a convenience sample of university campus addressees with the subject heading of the message and the topic of questions in it being one of the terms, a snack, snacking or snack food. Responses to all three terms much more often referred to eating between mealtimes than eating at mealtimes but this contrast was less for a snack, especially at lunchtime. Previous and subsequent eating occasions therefore tended to be at mealtimes, but again less so for a snack. A snack also differed from snacking or eating snack food in eliciting more reports by women of eating in the home than out, and more eating alone than in company. However, reports by men contributed most to differences between snack terms in the foods reported: more men ate bread in a snack than when snacking but more ate sweet items when snacking than in a snack. More men reported savoury items (e.g. potato crisps) as snack food than in response to the other two terms; however, when savouries were combined with bread-containing items, the women were unlike the men in that more of them referred to such items when snacking. Thus, for these people in England, having a snack is not the same thing as snacking or eating snack food. Because of these ambiguities in use of the root word snack, it may be best to avoid all its derivatives in questions to research participants, discussion among investigators and educational messages. © 2003 Elsevier Ltd. All rights reserved.","author":[{"dropping-particle":"","family":"Chamontin","given":"Aïnhoa","non-dropping-particle":"","parse-names":false,"suffix":""},{"dropping-particle":"","family":"Pretzer","given":"Gabriele","non-dropping-particle":"","parse-names":false,"suffix":""},{"dropping-particle":"","family":"Booth","given":"David A.","non-dropping-particle":"","parse-names":false,"suffix":""}],"container-title":"Appetite","id":"ITEM-1","issue":"1","issued":{"date-parts":[["2003"]]},"page":"21-29","title":"Ambiguity of ‘snack’ in British usage","type":"article-journal","volume":"41"},"uris":["http://www.mendeley.com/documents/?uuid=0d38f194-68a1-4e29-a78d-814c5b94b866"]},{"id":"ITEM-2","itemData":{"DOI":"10.1016/S0950-3293(02)00015-0","ISBN":"1508233411","ISSN":"09503293","abstract":"This paper reports on the findings from research into the relationship between eating occasions, location and meal construction. It draws on data collected from two convenience samples - British students and Australian students - and examines what they selected as appropriate foods for certain eating occasions (lunch, dinner, and snack) while constrained by physical location. In the present study, we sought to explore ways of dealing with the complex volume of data created when studying meals and food choice using a mixture of correspondence, cluster, and discriminate analysis. The study illustrates the utility of this approach for dealing with complex data and the analysis reveals the complexity between eating occasions, location and food choice. © 2002 Published by Elsevier Science Ltd.","author":[{"dropping-particle":"","family":"Marshall","given":"David","non-dropping-particle":"","parse-names":false,"suffix":""},{"dropping-particle":"","family":"Bell","given":"Rick","non-dropping-particle":"","parse-names":false,"suffix":""}],"container-title":"Food Quality and Preference","id":"ITEM-2","issue":"1","issued":{"date-parts":[["2003"]]},"page":"53-64","title":"Meal construction: Exploring the relationship between eating occasion and location","type":"article-journal","volume":"14"},"uris":["http://www.mendeley.com/documents/?uuid=ad321dc3-3571-4e32-a460-c783622d210c"]}],"mendeley":{"formattedCitation":"&lt;sup&gt;(28,29)&lt;/sup&gt;","plainTextFormattedCitation":"(28,29)","previouslyFormattedCitation":"&lt;sup&gt;(27,28)&lt;/sup&gt;"},"properties":{"noteIndex":0},"schema":"https://github.com/citation-style-language/schema/raw/master/csl-citation.json"}</w:instrText>
      </w:r>
      <w:r w:rsidR="004746B3" w:rsidRPr="00453626">
        <w:rPr>
          <w:rFonts w:ascii="Times New Roman" w:hAnsi="Times New Roman" w:cs="Times New Roman"/>
          <w:sz w:val="24"/>
        </w:rPr>
        <w:fldChar w:fldCharType="separate"/>
      </w:r>
      <w:r w:rsidR="0027432A" w:rsidRPr="00453626">
        <w:rPr>
          <w:rFonts w:ascii="Times New Roman" w:hAnsi="Times New Roman" w:cs="Times New Roman"/>
          <w:noProof/>
          <w:sz w:val="24"/>
          <w:vertAlign w:val="superscript"/>
        </w:rPr>
        <w:t>(28,29)</w:t>
      </w:r>
      <w:r w:rsidR="004746B3" w:rsidRPr="00453626">
        <w:rPr>
          <w:rFonts w:ascii="Times New Roman" w:hAnsi="Times New Roman" w:cs="Times New Roman"/>
          <w:sz w:val="24"/>
        </w:rPr>
        <w:fldChar w:fldCharType="end"/>
      </w:r>
      <w:r w:rsidR="00A92176" w:rsidRPr="00453626">
        <w:rPr>
          <w:rFonts w:ascii="Times New Roman" w:hAnsi="Times New Roman" w:cs="Times New Roman"/>
          <w:sz w:val="24"/>
        </w:rPr>
        <w:t xml:space="preserve"> </w:t>
      </w:r>
      <w:r w:rsidR="006728B1" w:rsidRPr="00453626">
        <w:rPr>
          <w:rFonts w:ascii="Times New Roman" w:hAnsi="Times New Roman" w:cs="Times New Roman"/>
          <w:sz w:val="24"/>
        </w:rPr>
        <w:t>w</w:t>
      </w:r>
      <w:r w:rsidR="00C449D4" w:rsidRPr="00453626">
        <w:rPr>
          <w:rFonts w:ascii="Times New Roman" w:hAnsi="Times New Roman" w:cs="Times New Roman"/>
          <w:sz w:val="24"/>
        </w:rPr>
        <w:t>e defined a snack product as being a single</w:t>
      </w:r>
      <w:r w:rsidR="00DE11B6" w:rsidRPr="00453626">
        <w:rPr>
          <w:rFonts w:ascii="Times New Roman" w:hAnsi="Times New Roman" w:cs="Times New Roman"/>
          <w:sz w:val="24"/>
        </w:rPr>
        <w:t>-</w:t>
      </w:r>
      <w:r w:rsidR="00C449D4" w:rsidRPr="00453626">
        <w:rPr>
          <w:rFonts w:ascii="Times New Roman" w:hAnsi="Times New Roman" w:cs="Times New Roman"/>
          <w:sz w:val="24"/>
        </w:rPr>
        <w:t>serving portion of food (i.e. no multipacks, share bags or products with serving sizes for more than one person)</w:t>
      </w:r>
      <w:r w:rsidR="00917D25" w:rsidRPr="00453626">
        <w:rPr>
          <w:rFonts w:ascii="Times New Roman" w:hAnsi="Times New Roman" w:cs="Times New Roman"/>
          <w:sz w:val="24"/>
        </w:rPr>
        <w:t>,</w:t>
      </w:r>
      <w:r w:rsidR="00C449D4" w:rsidRPr="00453626">
        <w:rPr>
          <w:rFonts w:ascii="Times New Roman" w:hAnsi="Times New Roman" w:cs="Times New Roman"/>
          <w:sz w:val="24"/>
        </w:rPr>
        <w:t xml:space="preserve"> consumable </w:t>
      </w:r>
      <w:r w:rsidR="009924EA" w:rsidRPr="00453626">
        <w:rPr>
          <w:rFonts w:ascii="Times New Roman" w:hAnsi="Times New Roman" w:cs="Times New Roman"/>
          <w:sz w:val="24"/>
        </w:rPr>
        <w:t xml:space="preserve">“on the go” </w:t>
      </w:r>
      <w:r w:rsidR="00C449D4" w:rsidRPr="00453626">
        <w:rPr>
          <w:rFonts w:ascii="Times New Roman" w:hAnsi="Times New Roman" w:cs="Times New Roman"/>
          <w:sz w:val="24"/>
        </w:rPr>
        <w:t xml:space="preserve">without cooking or preparation and </w:t>
      </w:r>
      <w:r w:rsidR="00917D25" w:rsidRPr="00453626">
        <w:rPr>
          <w:rFonts w:ascii="Times New Roman" w:hAnsi="Times New Roman" w:cs="Times New Roman"/>
          <w:sz w:val="24"/>
        </w:rPr>
        <w:t xml:space="preserve">that </w:t>
      </w:r>
      <w:r w:rsidR="00C449D4" w:rsidRPr="00453626">
        <w:rPr>
          <w:rFonts w:ascii="Times New Roman" w:hAnsi="Times New Roman" w:cs="Times New Roman"/>
          <w:sz w:val="24"/>
        </w:rPr>
        <w:t>only require a small amount of time to consume</w:t>
      </w:r>
      <w:r w:rsidR="000F31E6" w:rsidRPr="00453626">
        <w:rPr>
          <w:rFonts w:ascii="Times New Roman" w:hAnsi="Times New Roman" w:cs="Times New Roman"/>
          <w:sz w:val="24"/>
        </w:rPr>
        <w:t xml:space="preserve">. </w:t>
      </w:r>
      <w:r w:rsidR="00697D18" w:rsidRPr="00453626">
        <w:rPr>
          <w:rFonts w:ascii="Times New Roman" w:hAnsi="Times New Roman" w:cs="Times New Roman"/>
          <w:sz w:val="24"/>
        </w:rPr>
        <w:t xml:space="preserve">Our definition </w:t>
      </w:r>
      <w:r w:rsidR="000F31E6" w:rsidRPr="00453626">
        <w:rPr>
          <w:rFonts w:ascii="Times New Roman" w:hAnsi="Times New Roman" w:cs="Times New Roman"/>
          <w:sz w:val="24"/>
        </w:rPr>
        <w:t>excluded</w:t>
      </w:r>
      <w:r w:rsidR="00917D25" w:rsidRPr="00453626">
        <w:rPr>
          <w:rFonts w:ascii="Times New Roman" w:hAnsi="Times New Roman" w:cs="Times New Roman"/>
          <w:sz w:val="24"/>
        </w:rPr>
        <w:t xml:space="preserve"> ready</w:t>
      </w:r>
      <w:r w:rsidR="00FC2850" w:rsidRPr="00453626">
        <w:rPr>
          <w:rFonts w:ascii="Times New Roman" w:hAnsi="Times New Roman" w:cs="Times New Roman"/>
          <w:sz w:val="24"/>
        </w:rPr>
        <w:t>-</w:t>
      </w:r>
      <w:r w:rsidR="00697D18" w:rsidRPr="00453626">
        <w:rPr>
          <w:rFonts w:ascii="Times New Roman" w:hAnsi="Times New Roman" w:cs="Times New Roman"/>
          <w:sz w:val="24"/>
        </w:rPr>
        <w:t xml:space="preserve">made </w:t>
      </w:r>
      <w:r w:rsidR="00917D25" w:rsidRPr="00453626">
        <w:rPr>
          <w:rFonts w:ascii="Times New Roman" w:hAnsi="Times New Roman" w:cs="Times New Roman"/>
          <w:sz w:val="24"/>
        </w:rPr>
        <w:t xml:space="preserve">meals (e.g., sandwiches, </w:t>
      </w:r>
      <w:r w:rsidR="000F347B" w:rsidRPr="00453626">
        <w:rPr>
          <w:rFonts w:ascii="Times New Roman" w:hAnsi="Times New Roman" w:cs="Times New Roman"/>
          <w:sz w:val="24"/>
        </w:rPr>
        <w:t xml:space="preserve">savoury pastries, </w:t>
      </w:r>
      <w:r w:rsidR="00917D25" w:rsidRPr="00453626">
        <w:rPr>
          <w:rFonts w:ascii="Times New Roman" w:hAnsi="Times New Roman" w:cs="Times New Roman"/>
          <w:sz w:val="24"/>
        </w:rPr>
        <w:t>pre-prepared main course)</w:t>
      </w:r>
      <w:r w:rsidR="0024668D" w:rsidRPr="00453626">
        <w:rPr>
          <w:rFonts w:ascii="Times New Roman" w:hAnsi="Times New Roman" w:cs="Times New Roman"/>
          <w:sz w:val="24"/>
        </w:rPr>
        <w:t xml:space="preserve"> but </w:t>
      </w:r>
      <w:r w:rsidR="002D75DF" w:rsidRPr="00453626">
        <w:rPr>
          <w:rFonts w:ascii="Times New Roman" w:hAnsi="Times New Roman" w:cs="Times New Roman"/>
          <w:sz w:val="24"/>
        </w:rPr>
        <w:t xml:space="preserve">included </w:t>
      </w:r>
      <w:r w:rsidR="0024668D" w:rsidRPr="00453626">
        <w:rPr>
          <w:rFonts w:ascii="Times New Roman" w:hAnsi="Times New Roman" w:cs="Times New Roman"/>
          <w:sz w:val="24"/>
        </w:rPr>
        <w:t xml:space="preserve">products that would require the use of disposable cutlery </w:t>
      </w:r>
      <w:r w:rsidR="001669CC" w:rsidRPr="00453626">
        <w:rPr>
          <w:rFonts w:ascii="Times New Roman" w:hAnsi="Times New Roman" w:cs="Times New Roman"/>
          <w:sz w:val="24"/>
        </w:rPr>
        <w:t>were</w:t>
      </w:r>
      <w:r w:rsidR="0024668D" w:rsidRPr="00453626">
        <w:rPr>
          <w:rFonts w:ascii="Times New Roman" w:hAnsi="Times New Roman" w:cs="Times New Roman"/>
          <w:sz w:val="24"/>
        </w:rPr>
        <w:t xml:space="preserve"> eligible</w:t>
      </w:r>
      <w:r w:rsidR="000B2A88" w:rsidRPr="00453626">
        <w:rPr>
          <w:rFonts w:ascii="Times New Roman" w:hAnsi="Times New Roman" w:cs="Times New Roman"/>
          <w:sz w:val="24"/>
        </w:rPr>
        <w:t>.</w:t>
      </w:r>
      <w:r w:rsidR="00A814DF" w:rsidRPr="00453626">
        <w:rPr>
          <w:rFonts w:ascii="Times New Roman" w:hAnsi="Times New Roman" w:cs="Times New Roman"/>
          <w:sz w:val="24"/>
        </w:rPr>
        <w:t xml:space="preserve"> </w:t>
      </w:r>
      <w:r w:rsidR="00C12964" w:rsidRPr="00453626">
        <w:rPr>
          <w:rFonts w:ascii="Times New Roman" w:hAnsi="Times New Roman" w:cs="Times New Roman"/>
          <w:sz w:val="24"/>
        </w:rPr>
        <w:t>We limited our scope to</w:t>
      </w:r>
      <w:r w:rsidR="00EB43D4" w:rsidRPr="00453626">
        <w:rPr>
          <w:rFonts w:ascii="Times New Roman" w:hAnsi="Times New Roman" w:cs="Times New Roman"/>
          <w:sz w:val="24"/>
        </w:rPr>
        <w:t xml:space="preserve"> single-serving products </w:t>
      </w:r>
      <w:r w:rsidR="0077104C" w:rsidRPr="00453626">
        <w:rPr>
          <w:rFonts w:ascii="Times New Roman" w:hAnsi="Times New Roman" w:cs="Times New Roman"/>
          <w:sz w:val="24"/>
        </w:rPr>
        <w:t xml:space="preserve">because </w:t>
      </w:r>
      <w:bookmarkStart w:id="5" w:name="_Hlk60927673"/>
      <w:r w:rsidR="0077104C" w:rsidRPr="00453626">
        <w:rPr>
          <w:rFonts w:ascii="Times New Roman" w:hAnsi="Times New Roman" w:cs="Times New Roman"/>
          <w:sz w:val="24"/>
        </w:rPr>
        <w:t xml:space="preserve">they are </w:t>
      </w:r>
      <w:r w:rsidR="00C12964" w:rsidRPr="00453626">
        <w:rPr>
          <w:rFonts w:ascii="Times New Roman" w:hAnsi="Times New Roman" w:cs="Times New Roman"/>
          <w:sz w:val="24"/>
        </w:rPr>
        <w:t xml:space="preserve">most </w:t>
      </w:r>
      <w:r w:rsidR="0077104C" w:rsidRPr="00453626">
        <w:rPr>
          <w:rFonts w:ascii="Times New Roman" w:hAnsi="Times New Roman" w:cs="Times New Roman"/>
          <w:sz w:val="24"/>
        </w:rPr>
        <w:t xml:space="preserve">likely to be consumed </w:t>
      </w:r>
      <w:r w:rsidR="00697D18" w:rsidRPr="00453626">
        <w:rPr>
          <w:rFonts w:ascii="Times New Roman" w:hAnsi="Times New Roman" w:cs="Times New Roman"/>
          <w:sz w:val="24"/>
        </w:rPr>
        <w:t>in their entirety by a single person</w:t>
      </w:r>
      <w:r w:rsidR="00F673B1" w:rsidRPr="00453626">
        <w:rPr>
          <w:rFonts w:ascii="Times New Roman" w:hAnsi="Times New Roman" w:cs="Times New Roman"/>
          <w:sz w:val="24"/>
        </w:rPr>
        <w:t>, so the energy content of the product reflect</w:t>
      </w:r>
      <w:r w:rsidR="004E12D6" w:rsidRPr="00453626">
        <w:rPr>
          <w:rFonts w:ascii="Times New Roman" w:hAnsi="Times New Roman" w:cs="Times New Roman"/>
          <w:sz w:val="24"/>
        </w:rPr>
        <w:t>s</w:t>
      </w:r>
      <w:r w:rsidR="00C12964" w:rsidRPr="00453626">
        <w:rPr>
          <w:rFonts w:ascii="Times New Roman" w:hAnsi="Times New Roman" w:cs="Times New Roman"/>
          <w:sz w:val="24"/>
        </w:rPr>
        <w:t xml:space="preserve"> likely</w:t>
      </w:r>
      <w:r w:rsidR="00F673B1" w:rsidRPr="00453626">
        <w:rPr>
          <w:rFonts w:ascii="Times New Roman" w:hAnsi="Times New Roman" w:cs="Times New Roman"/>
          <w:sz w:val="24"/>
        </w:rPr>
        <w:t xml:space="preserve"> energy intake</w:t>
      </w:r>
      <w:bookmarkEnd w:id="5"/>
      <w:r w:rsidR="00F673B1" w:rsidRPr="00453626">
        <w:rPr>
          <w:rFonts w:ascii="Times New Roman" w:hAnsi="Times New Roman" w:cs="Times New Roman"/>
          <w:sz w:val="24"/>
        </w:rPr>
        <w:t xml:space="preserve">. </w:t>
      </w:r>
      <w:r w:rsidR="00C449D4" w:rsidRPr="00453626">
        <w:rPr>
          <w:rFonts w:ascii="Times New Roman" w:hAnsi="Times New Roman" w:cs="Times New Roman"/>
          <w:sz w:val="24"/>
        </w:rPr>
        <w:t xml:space="preserve">Beverages </w:t>
      </w:r>
      <w:r w:rsidR="000F31E6" w:rsidRPr="00453626">
        <w:rPr>
          <w:rFonts w:ascii="Times New Roman" w:hAnsi="Times New Roman" w:cs="Times New Roman"/>
          <w:sz w:val="24"/>
        </w:rPr>
        <w:t>were not included as we did not consider them to be a type of snack food</w:t>
      </w:r>
      <w:r w:rsidR="00585282" w:rsidRPr="00453626">
        <w:rPr>
          <w:rFonts w:ascii="Times New Roman" w:hAnsi="Times New Roman" w:cs="Times New Roman"/>
          <w:sz w:val="24"/>
        </w:rPr>
        <w:t xml:space="preserve">. </w:t>
      </w:r>
      <w:r w:rsidR="00435E44" w:rsidRPr="00453626">
        <w:rPr>
          <w:rFonts w:ascii="Times New Roman" w:hAnsi="Times New Roman" w:cs="Times New Roman"/>
          <w:sz w:val="24"/>
        </w:rPr>
        <w:t>In order to minimize ambiguity between snack product</w:t>
      </w:r>
      <w:r w:rsidR="00585282" w:rsidRPr="00453626">
        <w:rPr>
          <w:rFonts w:ascii="Times New Roman" w:hAnsi="Times New Roman" w:cs="Times New Roman"/>
          <w:sz w:val="24"/>
        </w:rPr>
        <w:t>s</w:t>
      </w:r>
      <w:r w:rsidR="00435E44" w:rsidRPr="00453626">
        <w:rPr>
          <w:rFonts w:ascii="Times New Roman" w:hAnsi="Times New Roman" w:cs="Times New Roman"/>
          <w:sz w:val="24"/>
        </w:rPr>
        <w:t xml:space="preserve"> and small meal</w:t>
      </w:r>
      <w:r w:rsidR="00585282" w:rsidRPr="00453626">
        <w:rPr>
          <w:rFonts w:ascii="Times New Roman" w:hAnsi="Times New Roman" w:cs="Times New Roman"/>
          <w:sz w:val="24"/>
        </w:rPr>
        <w:t>s</w:t>
      </w:r>
      <w:r w:rsidR="00435E44" w:rsidRPr="00453626">
        <w:rPr>
          <w:rFonts w:ascii="Times New Roman" w:hAnsi="Times New Roman" w:cs="Times New Roman"/>
          <w:sz w:val="24"/>
        </w:rPr>
        <w:t xml:space="preserve"> at coffee shops</w:t>
      </w:r>
      <w:r w:rsidR="00A534A9" w:rsidRPr="00453626">
        <w:rPr>
          <w:rFonts w:ascii="Times New Roman" w:hAnsi="Times New Roman" w:cs="Times New Roman"/>
          <w:sz w:val="24"/>
        </w:rPr>
        <w:t>,</w:t>
      </w:r>
      <w:r w:rsidR="00435E44" w:rsidRPr="00453626">
        <w:rPr>
          <w:rFonts w:ascii="Times New Roman" w:hAnsi="Times New Roman" w:cs="Times New Roman"/>
          <w:sz w:val="24"/>
        </w:rPr>
        <w:fldChar w:fldCharType="begin" w:fldLock="1"/>
      </w:r>
      <w:r w:rsidR="0027432A" w:rsidRPr="00453626">
        <w:rPr>
          <w:rFonts w:ascii="Times New Roman" w:hAnsi="Times New Roman" w:cs="Times New Roman"/>
          <w:sz w:val="24"/>
        </w:rPr>
        <w:instrText>ADDIN CSL_CITATION {"citationItems":[{"id":"ITEM-1","itemData":{"DOI":"10.1016/j.appet.2012.02.006","ISSN":"01956663","abstract":"The cognitive representation of a food as being a \"snack\" or a \"meal\" influences eating behavior. We found previously that subjects who considered a particular food to be a 'snack' ate significantly more calories when tested later than subjects who considered the same foods as a 'meal'. We conducted two surveys to determine the categorization of foods as \"snacks\" or \"meals\" Survey 2 included a larger variety of foods with detailed descriptions and a response option of \"never tried\" Both surveys found that potato chips, crackers, cookies, and nuts were consistently viewed as snacks, while soups, burritos, pizza, and pancakes were consistently viewed as meals. Useful for future research are foods we found that students varied in considering a snack or meal. Survey 1 found that half the respondents viewed toast, cheese on toast, muffins, and French fries as snacks and the other half as meals. Similarly, in Survey 2 potato salad, toast with jam, English muffin, cinnamon rolls, and nachos were categorized almost equally as snack and meal. These foods can be used in studies looking at the effects of categorizing a food as a meal or snack on other behaviors or categorization, while controlling for the food item. © 2012 Elsevier Ltd.","author":[{"dropping-particle":"","family":"Wadhera","given":"Devina","non-dropping-particle":"","parse-names":false,"suffix":""},{"dropping-particle":"","family":"Capaldi","given":"Elizabeth D.","non-dropping-particle":"","parse-names":false,"suffix":""}],"container-title":"Appetite","id":"ITEM-1","issue":"3","issued":{"date-parts":[["2012"]]},"page":"882-888","title":"Categorization of foods as \"snack\" and \"meal\" by college students","type":"article-journal","volume":"58"},"uris":["http://www.mendeley.com/documents/?uuid=1a761408-aa13-43fc-a345-62ed4fe98f95"]}],"mendeley":{"formattedCitation":"&lt;sup&gt;(30)&lt;/sup&gt;","plainTextFormattedCitation":"(30)","previouslyFormattedCitation":"&lt;sup&gt;(29)&lt;/sup&gt;"},"properties":{"noteIndex":0},"schema":"https://github.com/citation-style-language/schema/raw/master/csl-citation.json"}</w:instrText>
      </w:r>
      <w:r w:rsidR="00435E44" w:rsidRPr="00453626">
        <w:rPr>
          <w:rFonts w:ascii="Times New Roman" w:hAnsi="Times New Roman" w:cs="Times New Roman"/>
          <w:sz w:val="24"/>
        </w:rPr>
        <w:fldChar w:fldCharType="separate"/>
      </w:r>
      <w:r w:rsidR="0027432A" w:rsidRPr="00453626">
        <w:rPr>
          <w:rFonts w:ascii="Times New Roman" w:hAnsi="Times New Roman" w:cs="Times New Roman"/>
          <w:noProof/>
          <w:sz w:val="24"/>
          <w:vertAlign w:val="superscript"/>
        </w:rPr>
        <w:t>(30)</w:t>
      </w:r>
      <w:r w:rsidR="00435E44" w:rsidRPr="00453626">
        <w:rPr>
          <w:rFonts w:ascii="Times New Roman" w:hAnsi="Times New Roman" w:cs="Times New Roman"/>
          <w:sz w:val="24"/>
        </w:rPr>
        <w:fldChar w:fldCharType="end"/>
      </w:r>
      <w:r w:rsidR="00435E44" w:rsidRPr="00453626">
        <w:rPr>
          <w:rFonts w:ascii="Times New Roman" w:hAnsi="Times New Roman" w:cs="Times New Roman"/>
          <w:sz w:val="24"/>
        </w:rPr>
        <w:t xml:space="preserve"> savoury items outside of the snack section were not considered as snack products</w:t>
      </w:r>
      <w:r w:rsidR="004746B3" w:rsidRPr="00453626">
        <w:rPr>
          <w:rFonts w:ascii="Times New Roman" w:hAnsi="Times New Roman" w:cs="Times New Roman"/>
          <w:sz w:val="24"/>
        </w:rPr>
        <w:t xml:space="preserve"> (e.g.,</w:t>
      </w:r>
      <w:r w:rsidR="00A32AAD" w:rsidRPr="00453626">
        <w:rPr>
          <w:rFonts w:ascii="Times New Roman" w:hAnsi="Times New Roman" w:cs="Times New Roman"/>
          <w:sz w:val="24"/>
        </w:rPr>
        <w:t xml:space="preserve"> toasties</w:t>
      </w:r>
      <w:r w:rsidR="00C57D8A" w:rsidRPr="00453626">
        <w:rPr>
          <w:rFonts w:ascii="Times New Roman" w:hAnsi="Times New Roman" w:cs="Times New Roman"/>
          <w:sz w:val="24"/>
        </w:rPr>
        <w:t>)</w:t>
      </w:r>
      <w:r w:rsidR="00435E44" w:rsidRPr="00453626">
        <w:rPr>
          <w:rFonts w:ascii="Times New Roman" w:hAnsi="Times New Roman" w:cs="Times New Roman"/>
          <w:sz w:val="24"/>
        </w:rPr>
        <w:t>.</w:t>
      </w:r>
      <w:r w:rsidR="00697D18" w:rsidRPr="00453626">
        <w:rPr>
          <w:rFonts w:ascii="Times New Roman" w:hAnsi="Times New Roman" w:cs="Times New Roman"/>
          <w:sz w:val="24"/>
        </w:rPr>
        <w:t xml:space="preserve"> Examples of eligible products were single</w:t>
      </w:r>
      <w:r w:rsidR="00DE11B6" w:rsidRPr="00453626">
        <w:rPr>
          <w:rFonts w:ascii="Times New Roman" w:hAnsi="Times New Roman" w:cs="Times New Roman"/>
          <w:sz w:val="24"/>
        </w:rPr>
        <w:t>-serving</w:t>
      </w:r>
      <w:r w:rsidR="00697D18" w:rsidRPr="00453626">
        <w:rPr>
          <w:rFonts w:ascii="Times New Roman" w:hAnsi="Times New Roman" w:cs="Times New Roman"/>
          <w:sz w:val="24"/>
        </w:rPr>
        <w:t xml:space="preserve"> packets of crisps, fruit pots and </w:t>
      </w:r>
      <w:r w:rsidR="009F7B8A" w:rsidRPr="00453626">
        <w:rPr>
          <w:rFonts w:ascii="Times New Roman" w:hAnsi="Times New Roman" w:cs="Times New Roman"/>
          <w:sz w:val="24"/>
        </w:rPr>
        <w:t>cereal bars</w:t>
      </w:r>
      <w:r w:rsidR="00FC2850" w:rsidRPr="00453626">
        <w:rPr>
          <w:rFonts w:ascii="Times New Roman" w:hAnsi="Times New Roman" w:cs="Times New Roman"/>
          <w:sz w:val="24"/>
        </w:rPr>
        <w:t xml:space="preserve">. </w:t>
      </w:r>
      <w:r w:rsidR="00C449D4" w:rsidRPr="00453626">
        <w:rPr>
          <w:rFonts w:ascii="Times New Roman" w:hAnsi="Times New Roman" w:cs="Times New Roman"/>
          <w:sz w:val="24"/>
        </w:rPr>
        <w:t xml:space="preserve">To </w:t>
      </w:r>
      <w:r w:rsidR="00C12964" w:rsidRPr="00453626">
        <w:rPr>
          <w:rFonts w:ascii="Times New Roman" w:hAnsi="Times New Roman" w:cs="Times New Roman"/>
          <w:sz w:val="24"/>
        </w:rPr>
        <w:t xml:space="preserve">characterise </w:t>
      </w:r>
      <w:r w:rsidR="00C449D4" w:rsidRPr="00453626">
        <w:rPr>
          <w:rFonts w:ascii="Times New Roman" w:hAnsi="Times New Roman" w:cs="Times New Roman"/>
          <w:sz w:val="24"/>
        </w:rPr>
        <w:t>the</w:t>
      </w:r>
      <w:r w:rsidR="005A61D4" w:rsidRPr="00453626">
        <w:rPr>
          <w:rFonts w:ascii="Times New Roman" w:hAnsi="Times New Roman" w:cs="Times New Roman"/>
          <w:sz w:val="24"/>
        </w:rPr>
        <w:t xml:space="preserve"> different</w:t>
      </w:r>
      <w:r w:rsidR="00C449D4" w:rsidRPr="00453626">
        <w:rPr>
          <w:rFonts w:ascii="Times New Roman" w:hAnsi="Times New Roman" w:cs="Times New Roman"/>
          <w:sz w:val="24"/>
        </w:rPr>
        <w:t xml:space="preserve"> types of snack products </w:t>
      </w:r>
      <w:r w:rsidR="004557FF" w:rsidRPr="00453626">
        <w:rPr>
          <w:rFonts w:ascii="Times New Roman" w:hAnsi="Times New Roman" w:cs="Times New Roman"/>
          <w:sz w:val="24"/>
        </w:rPr>
        <w:t>identified</w:t>
      </w:r>
      <w:r w:rsidR="00C449D4" w:rsidRPr="00453626">
        <w:rPr>
          <w:rFonts w:ascii="Times New Roman" w:hAnsi="Times New Roman" w:cs="Times New Roman"/>
          <w:sz w:val="24"/>
        </w:rPr>
        <w:t xml:space="preserve">, each product </w:t>
      </w:r>
      <w:r w:rsidR="004557FF" w:rsidRPr="00453626">
        <w:rPr>
          <w:rFonts w:ascii="Times New Roman" w:hAnsi="Times New Roman" w:cs="Times New Roman"/>
          <w:sz w:val="24"/>
        </w:rPr>
        <w:t>was</w:t>
      </w:r>
      <w:r w:rsidR="00C449D4" w:rsidRPr="00453626">
        <w:rPr>
          <w:rFonts w:ascii="Times New Roman" w:hAnsi="Times New Roman" w:cs="Times New Roman"/>
          <w:sz w:val="24"/>
        </w:rPr>
        <w:t xml:space="preserve"> c</w:t>
      </w:r>
      <w:r w:rsidR="004557FF" w:rsidRPr="00453626">
        <w:rPr>
          <w:rFonts w:ascii="Times New Roman" w:hAnsi="Times New Roman" w:cs="Times New Roman"/>
          <w:sz w:val="24"/>
        </w:rPr>
        <w:t>lassified</w:t>
      </w:r>
      <w:r w:rsidR="00C449D4" w:rsidRPr="00453626">
        <w:rPr>
          <w:rFonts w:ascii="Times New Roman" w:hAnsi="Times New Roman" w:cs="Times New Roman"/>
          <w:sz w:val="24"/>
        </w:rPr>
        <w:t xml:space="preserve"> based on </w:t>
      </w:r>
      <w:r w:rsidR="00E3788C" w:rsidRPr="00453626">
        <w:rPr>
          <w:rFonts w:ascii="Times New Roman" w:hAnsi="Times New Roman" w:cs="Times New Roman"/>
          <w:sz w:val="24"/>
        </w:rPr>
        <w:t xml:space="preserve">20 </w:t>
      </w:r>
      <w:r w:rsidR="00922749" w:rsidRPr="00453626">
        <w:rPr>
          <w:rFonts w:ascii="Times New Roman" w:hAnsi="Times New Roman" w:cs="Times New Roman"/>
          <w:sz w:val="24"/>
        </w:rPr>
        <w:t xml:space="preserve">snack food </w:t>
      </w:r>
      <w:r w:rsidR="00C449D4" w:rsidRPr="00453626">
        <w:rPr>
          <w:rFonts w:ascii="Times New Roman" w:hAnsi="Times New Roman" w:cs="Times New Roman"/>
          <w:sz w:val="24"/>
        </w:rPr>
        <w:lastRenderedPageBreak/>
        <w:t xml:space="preserve">categories </w:t>
      </w:r>
      <w:r w:rsidR="00E3788C" w:rsidRPr="00453626">
        <w:rPr>
          <w:rFonts w:ascii="Times New Roman" w:hAnsi="Times New Roman" w:cs="Times New Roman"/>
          <w:sz w:val="24"/>
        </w:rPr>
        <w:t xml:space="preserve">adapted </w:t>
      </w:r>
      <w:r w:rsidR="00C449D4" w:rsidRPr="00453626">
        <w:rPr>
          <w:rFonts w:ascii="Times New Roman" w:hAnsi="Times New Roman" w:cs="Times New Roman"/>
          <w:sz w:val="24"/>
        </w:rPr>
        <w:t>from a similar US study to reflect the UK market</w:t>
      </w:r>
      <w:r w:rsidR="00CA159F" w:rsidRPr="00453626">
        <w:rPr>
          <w:rFonts w:ascii="Times New Roman" w:hAnsi="Times New Roman" w:cs="Times New Roman"/>
          <w:sz w:val="24"/>
        </w:rPr>
        <w:t xml:space="preserve"> (e.g., yoghurts, baked goods</w:t>
      </w:r>
      <w:r w:rsidR="000F31E6" w:rsidRPr="00453626">
        <w:rPr>
          <w:rFonts w:ascii="Times New Roman" w:hAnsi="Times New Roman" w:cs="Times New Roman"/>
          <w:sz w:val="24"/>
        </w:rPr>
        <w:t>).</w:t>
      </w:r>
      <w:r w:rsidR="00A534A9" w:rsidRPr="00453626">
        <w:rPr>
          <w:rFonts w:ascii="Times New Roman" w:hAnsi="Times New Roman" w:cs="Times New Roman"/>
          <w:sz w:val="24"/>
        </w:rPr>
        <w:fldChar w:fldCharType="begin" w:fldLock="1"/>
      </w:r>
      <w:r w:rsidR="0027432A" w:rsidRPr="00453626">
        <w:rPr>
          <w:rFonts w:ascii="Times New Roman" w:hAnsi="Times New Roman" w:cs="Times New Roman"/>
          <w:sz w:val="24"/>
        </w:rPr>
        <w:instrText>ADDIN CSL_CITATION {"citationItems":[{"id":"ITEM-1","itemData":{"DOI":"10.1016/j.jnim.2017.07.001","ISSN":"23523859","abstract":"Snacking (eating between meals) is a common behaviour, which is often blamed for poor diets because snack foods can be high in sodium, fat and sugar. In addition, uncompensated calories from snacking could contribute to overweight and obesity. However, the evidence is inconclusive, and to some extent this could be explained by the lack of a universal definition as to what counts as a snack. The present study looks at snack foods as defined by USDA in the LanguaL Thesaurus, and evaluated their nutritional quality using the Nutrient Balance Concept. It also explored whether these USDA-defined snacks could be incorporated into a healthy menu plan (US MyPlate). The results of this study showed that only about a sixth are high in nutrients considered as potentially harmful for human health when consumed in high amounts. By contrast almost three-quarters of these snack foods are poor in nutrients that are considered essential (or very important) for human health. However, overall diet quality, assessed using the Nutrient Balance Concept, was compromised only by those snack foods that are especially high in sodium and/or saturated fatty acids.","author":[{"dropping-particle":"","family":"Green","given":"Hilary","non-dropping-particle":"","parse-names":false,"suffix":""},{"dropping-particle":"","family":"Siwajek","given":"Patricia","non-dropping-particle":"","parse-names":false,"suffix":""},{"dropping-particle":"","family":"Roulin","given":"Anne","non-dropping-particle":"","parse-names":false,"suffix":""}],"container-title":"Journal of Nutrition and Intermediary Metabolism","id":"ITEM-1","issued":{"date-parts":[["2017"]]},"page":"1-5","publisher":"Elsevier Inc","title":"Use of nutrient profiling to identify healthy versus unhealthy snack foods and whether they can be part of a healthy menu plan","type":"article-journal","volume":"9"},"uris":["http://www.mendeley.com/documents/?uuid=3e6cffa8-a961-4aa7-b373-9c7d0a3ff894"]}],"mendeley":{"formattedCitation":"&lt;sup&gt;(31)&lt;/sup&gt;","plainTextFormattedCitation":"(31)","previouslyFormattedCitation":"&lt;sup&gt;(30)&lt;/sup&gt;"},"properties":{"noteIndex":0},"schema":"https://github.com/citation-style-language/schema/raw/master/csl-citation.json"}</w:instrText>
      </w:r>
      <w:r w:rsidR="00A534A9" w:rsidRPr="00453626">
        <w:rPr>
          <w:rFonts w:ascii="Times New Roman" w:hAnsi="Times New Roman" w:cs="Times New Roman"/>
          <w:sz w:val="24"/>
        </w:rPr>
        <w:fldChar w:fldCharType="separate"/>
      </w:r>
      <w:r w:rsidR="0027432A" w:rsidRPr="00453626">
        <w:rPr>
          <w:rFonts w:ascii="Times New Roman" w:hAnsi="Times New Roman" w:cs="Times New Roman"/>
          <w:noProof/>
          <w:sz w:val="24"/>
          <w:vertAlign w:val="superscript"/>
        </w:rPr>
        <w:t>(31)</w:t>
      </w:r>
      <w:r w:rsidR="00A534A9" w:rsidRPr="00453626">
        <w:rPr>
          <w:rFonts w:ascii="Times New Roman" w:hAnsi="Times New Roman" w:cs="Times New Roman"/>
          <w:sz w:val="24"/>
        </w:rPr>
        <w:fldChar w:fldCharType="end"/>
      </w:r>
      <w:r w:rsidR="00276737" w:rsidRPr="00453626">
        <w:rPr>
          <w:rFonts w:ascii="Times New Roman" w:hAnsi="Times New Roman" w:cs="Times New Roman"/>
          <w:sz w:val="24"/>
        </w:rPr>
        <w:t xml:space="preserve"> For definitions and examples of snack type categories see online supplementary materials, </w:t>
      </w:r>
      <w:r w:rsidR="00276737" w:rsidRPr="00453626">
        <w:rPr>
          <w:rFonts w:ascii="Times New Roman" w:hAnsi="Times New Roman" w:cs="Times New Roman"/>
          <w:b/>
          <w:sz w:val="24"/>
        </w:rPr>
        <w:t>Table S2</w:t>
      </w:r>
      <w:r w:rsidR="00276737" w:rsidRPr="00453626">
        <w:rPr>
          <w:rFonts w:ascii="Times New Roman" w:hAnsi="Times New Roman" w:cs="Times New Roman"/>
          <w:sz w:val="24"/>
        </w:rPr>
        <w:t>.</w:t>
      </w:r>
    </w:p>
    <w:p w14:paraId="4679B2D9" w14:textId="77777777" w:rsidR="005A61D4" w:rsidRPr="00453626" w:rsidRDefault="00A47074" w:rsidP="00396F23">
      <w:pPr>
        <w:pStyle w:val="Subtitle"/>
        <w:spacing w:line="360" w:lineRule="auto"/>
        <w:rPr>
          <w:rStyle w:val="Emphasis"/>
          <w:rFonts w:ascii="Times New Roman" w:hAnsi="Times New Roman" w:cs="Times New Roman"/>
          <w:i w:val="0"/>
          <w:color w:val="auto"/>
          <w:sz w:val="24"/>
        </w:rPr>
      </w:pPr>
      <w:r w:rsidRPr="00453626">
        <w:rPr>
          <w:rStyle w:val="Emphasis"/>
          <w:rFonts w:ascii="Times New Roman" w:hAnsi="Times New Roman" w:cs="Times New Roman"/>
          <w:i w:val="0"/>
          <w:color w:val="auto"/>
          <w:sz w:val="24"/>
        </w:rPr>
        <w:t>Online d</w:t>
      </w:r>
      <w:r w:rsidR="000B2A88" w:rsidRPr="00453626">
        <w:rPr>
          <w:rStyle w:val="Emphasis"/>
          <w:rFonts w:ascii="Times New Roman" w:hAnsi="Times New Roman" w:cs="Times New Roman"/>
          <w:i w:val="0"/>
          <w:color w:val="auto"/>
          <w:sz w:val="24"/>
        </w:rPr>
        <w:t>ata extraction</w:t>
      </w:r>
    </w:p>
    <w:p w14:paraId="1C89440E" w14:textId="6A2F2013" w:rsidR="007873CA" w:rsidRPr="00453626" w:rsidRDefault="00922749" w:rsidP="00396F23">
      <w:pPr>
        <w:spacing w:line="360" w:lineRule="auto"/>
        <w:rPr>
          <w:rFonts w:ascii="Times New Roman" w:hAnsi="Times New Roman" w:cs="Times New Roman"/>
          <w:sz w:val="24"/>
        </w:rPr>
      </w:pPr>
      <w:r w:rsidRPr="00453626">
        <w:rPr>
          <w:rFonts w:ascii="Times New Roman" w:hAnsi="Times New Roman" w:cs="Times New Roman"/>
          <w:sz w:val="24"/>
        </w:rPr>
        <w:t>T</w:t>
      </w:r>
      <w:r w:rsidR="000B2A88" w:rsidRPr="00453626">
        <w:rPr>
          <w:rFonts w:ascii="Times New Roman" w:hAnsi="Times New Roman" w:cs="Times New Roman"/>
          <w:sz w:val="24"/>
        </w:rPr>
        <w:t>he UK websites of all chains</w:t>
      </w:r>
      <w:r w:rsidRPr="00453626">
        <w:rPr>
          <w:rFonts w:ascii="Times New Roman" w:hAnsi="Times New Roman" w:cs="Times New Roman"/>
          <w:sz w:val="24"/>
        </w:rPr>
        <w:t xml:space="preserve"> were accessed </w:t>
      </w:r>
      <w:r w:rsidR="00CE27EF" w:rsidRPr="00453626">
        <w:rPr>
          <w:rFonts w:ascii="Times New Roman" w:hAnsi="Times New Roman" w:cs="Times New Roman"/>
          <w:sz w:val="24"/>
        </w:rPr>
        <w:t xml:space="preserve">in 2019 </w:t>
      </w:r>
      <w:r w:rsidRPr="00453626">
        <w:rPr>
          <w:rFonts w:ascii="Times New Roman" w:hAnsi="Times New Roman" w:cs="Times New Roman"/>
          <w:sz w:val="24"/>
        </w:rPr>
        <w:t>by two independent researchers who extracted the name</w:t>
      </w:r>
      <w:r w:rsidR="00F5393C" w:rsidRPr="00453626">
        <w:rPr>
          <w:rFonts w:ascii="Times New Roman" w:hAnsi="Times New Roman" w:cs="Times New Roman"/>
          <w:sz w:val="24"/>
        </w:rPr>
        <w:t>s</w:t>
      </w:r>
      <w:r w:rsidRPr="00453626">
        <w:rPr>
          <w:rFonts w:ascii="Times New Roman" w:hAnsi="Times New Roman" w:cs="Times New Roman"/>
          <w:sz w:val="24"/>
        </w:rPr>
        <w:t xml:space="preserve"> of all eligible snack products and classified them into the different snack food categories.</w:t>
      </w:r>
      <w:r w:rsidR="00B3107E" w:rsidRPr="00453626">
        <w:rPr>
          <w:rFonts w:ascii="Times New Roman" w:hAnsi="Times New Roman" w:cs="Times New Roman"/>
          <w:sz w:val="24"/>
        </w:rPr>
        <w:t xml:space="preserve"> </w:t>
      </w:r>
      <w:r w:rsidR="00875E96" w:rsidRPr="00453626">
        <w:rPr>
          <w:rFonts w:ascii="Times New Roman" w:hAnsi="Times New Roman" w:cs="Times New Roman"/>
          <w:sz w:val="24"/>
        </w:rPr>
        <w:t>Researchers</w:t>
      </w:r>
      <w:r w:rsidR="006704F3" w:rsidRPr="00453626">
        <w:rPr>
          <w:rFonts w:ascii="Times New Roman" w:hAnsi="Times New Roman" w:cs="Times New Roman"/>
          <w:sz w:val="24"/>
        </w:rPr>
        <w:t xml:space="preserve"> located </w:t>
      </w:r>
      <w:r w:rsidR="00875E96" w:rsidRPr="00453626">
        <w:rPr>
          <w:rFonts w:ascii="Times New Roman" w:hAnsi="Times New Roman" w:cs="Times New Roman"/>
          <w:sz w:val="24"/>
        </w:rPr>
        <w:t>sub</w:t>
      </w:r>
      <w:r w:rsidR="006704F3" w:rsidRPr="00453626">
        <w:rPr>
          <w:rFonts w:ascii="Times New Roman" w:hAnsi="Times New Roman" w:cs="Times New Roman"/>
          <w:sz w:val="24"/>
        </w:rPr>
        <w:t xml:space="preserve">sections of the websites that </w:t>
      </w:r>
      <w:r w:rsidR="00875E96" w:rsidRPr="00453626">
        <w:rPr>
          <w:rFonts w:ascii="Times New Roman" w:hAnsi="Times New Roman" w:cs="Times New Roman"/>
          <w:sz w:val="24"/>
        </w:rPr>
        <w:t xml:space="preserve">sold </w:t>
      </w:r>
      <w:r w:rsidR="006704F3" w:rsidRPr="00453626">
        <w:rPr>
          <w:rFonts w:ascii="Times New Roman" w:hAnsi="Times New Roman" w:cs="Times New Roman"/>
          <w:sz w:val="24"/>
        </w:rPr>
        <w:t>snack products</w:t>
      </w:r>
      <w:r w:rsidR="00875E96" w:rsidRPr="00453626">
        <w:rPr>
          <w:rFonts w:ascii="Times New Roman" w:hAnsi="Times New Roman" w:cs="Times New Roman"/>
          <w:sz w:val="24"/>
        </w:rPr>
        <w:t xml:space="preserve"> (e.g. ‘</w:t>
      </w:r>
      <w:r w:rsidR="00732012" w:rsidRPr="00453626">
        <w:rPr>
          <w:rFonts w:ascii="Times New Roman" w:hAnsi="Times New Roman" w:cs="Times New Roman"/>
          <w:sz w:val="24"/>
        </w:rPr>
        <w:t>Single Chocolate Bars and Bags’</w:t>
      </w:r>
      <w:r w:rsidR="00875E96" w:rsidRPr="00453626">
        <w:rPr>
          <w:rFonts w:ascii="Times New Roman" w:hAnsi="Times New Roman" w:cs="Times New Roman"/>
          <w:sz w:val="24"/>
        </w:rPr>
        <w:t xml:space="preserve">) and searched </w:t>
      </w:r>
      <w:r w:rsidR="006704F3" w:rsidRPr="00453626">
        <w:rPr>
          <w:rFonts w:ascii="Times New Roman" w:hAnsi="Times New Roman" w:cs="Times New Roman"/>
          <w:sz w:val="24"/>
        </w:rPr>
        <w:t>all products to identify eligible products.</w:t>
      </w:r>
      <w:r w:rsidR="00123641" w:rsidRPr="00453626">
        <w:rPr>
          <w:rFonts w:ascii="Times New Roman" w:hAnsi="Times New Roman" w:cs="Times New Roman"/>
          <w:sz w:val="24"/>
        </w:rPr>
        <w:t xml:space="preserve"> </w:t>
      </w:r>
      <w:r w:rsidR="001566B2" w:rsidRPr="00453626">
        <w:rPr>
          <w:rFonts w:ascii="Times New Roman" w:hAnsi="Times New Roman" w:cs="Times New Roman"/>
          <w:sz w:val="24"/>
        </w:rPr>
        <w:t xml:space="preserve">When the number of servings </w:t>
      </w:r>
      <w:r w:rsidR="00424484" w:rsidRPr="00453626">
        <w:rPr>
          <w:rFonts w:ascii="Times New Roman" w:hAnsi="Times New Roman" w:cs="Times New Roman"/>
          <w:sz w:val="24"/>
        </w:rPr>
        <w:t>in a snack product was</w:t>
      </w:r>
      <w:r w:rsidR="001566B2" w:rsidRPr="00453626">
        <w:rPr>
          <w:rFonts w:ascii="Times New Roman" w:hAnsi="Times New Roman" w:cs="Times New Roman"/>
          <w:sz w:val="24"/>
        </w:rPr>
        <w:t xml:space="preserve"> not explicit</w:t>
      </w:r>
      <w:r w:rsidR="001E4FAF" w:rsidRPr="00453626">
        <w:rPr>
          <w:rFonts w:ascii="Times New Roman" w:hAnsi="Times New Roman" w:cs="Times New Roman"/>
          <w:sz w:val="24"/>
        </w:rPr>
        <w:t>ly mentioned on a website</w:t>
      </w:r>
      <w:r w:rsidR="00424484" w:rsidRPr="00453626">
        <w:rPr>
          <w:rFonts w:ascii="Times New Roman" w:hAnsi="Times New Roman" w:cs="Times New Roman"/>
          <w:sz w:val="24"/>
        </w:rPr>
        <w:t>,</w:t>
      </w:r>
      <w:r w:rsidR="00FB399B" w:rsidRPr="00453626">
        <w:rPr>
          <w:rFonts w:ascii="Times New Roman" w:hAnsi="Times New Roman" w:cs="Times New Roman"/>
          <w:sz w:val="24"/>
        </w:rPr>
        <w:t xml:space="preserve"> </w:t>
      </w:r>
      <w:r w:rsidR="00875E96" w:rsidRPr="00453626">
        <w:rPr>
          <w:rFonts w:ascii="Times New Roman" w:hAnsi="Times New Roman" w:cs="Times New Roman"/>
          <w:sz w:val="24"/>
        </w:rPr>
        <w:t>we determined whether the product was likely to be single</w:t>
      </w:r>
      <w:r w:rsidR="00DE11B6" w:rsidRPr="00453626">
        <w:rPr>
          <w:rFonts w:ascii="Times New Roman" w:hAnsi="Times New Roman" w:cs="Times New Roman"/>
          <w:sz w:val="24"/>
        </w:rPr>
        <w:t>-</w:t>
      </w:r>
      <w:r w:rsidR="00875E96" w:rsidRPr="00453626">
        <w:rPr>
          <w:rFonts w:ascii="Times New Roman" w:hAnsi="Times New Roman" w:cs="Times New Roman"/>
          <w:sz w:val="24"/>
        </w:rPr>
        <w:t xml:space="preserve">serving </w:t>
      </w:r>
      <w:r w:rsidR="008643F9" w:rsidRPr="00453626">
        <w:rPr>
          <w:rFonts w:ascii="Times New Roman" w:hAnsi="Times New Roman" w:cs="Times New Roman"/>
          <w:sz w:val="24"/>
        </w:rPr>
        <w:t xml:space="preserve">by </w:t>
      </w:r>
      <w:r w:rsidR="00875E96" w:rsidRPr="00453626">
        <w:rPr>
          <w:rFonts w:ascii="Times New Roman" w:hAnsi="Times New Roman" w:cs="Times New Roman"/>
          <w:sz w:val="24"/>
        </w:rPr>
        <w:t>comparing product</w:t>
      </w:r>
      <w:r w:rsidR="001E4FAF" w:rsidRPr="00453626">
        <w:rPr>
          <w:rFonts w:ascii="Times New Roman" w:hAnsi="Times New Roman" w:cs="Times New Roman"/>
          <w:sz w:val="24"/>
        </w:rPr>
        <w:t xml:space="preserve"> weight </w:t>
      </w:r>
      <w:r w:rsidR="00875E96" w:rsidRPr="00453626">
        <w:rPr>
          <w:rFonts w:ascii="Times New Roman" w:hAnsi="Times New Roman" w:cs="Times New Roman"/>
          <w:sz w:val="24"/>
        </w:rPr>
        <w:t>to</w:t>
      </w:r>
      <w:r w:rsidR="001E4FAF" w:rsidRPr="00453626">
        <w:rPr>
          <w:rFonts w:ascii="Times New Roman" w:hAnsi="Times New Roman" w:cs="Times New Roman"/>
          <w:sz w:val="24"/>
        </w:rPr>
        <w:t xml:space="preserve"> other single</w:t>
      </w:r>
      <w:r w:rsidR="00DE11B6" w:rsidRPr="00453626">
        <w:rPr>
          <w:rFonts w:ascii="Times New Roman" w:hAnsi="Times New Roman" w:cs="Times New Roman"/>
          <w:sz w:val="24"/>
        </w:rPr>
        <w:t>-</w:t>
      </w:r>
      <w:r w:rsidR="001E4FAF" w:rsidRPr="00453626">
        <w:rPr>
          <w:rFonts w:ascii="Times New Roman" w:hAnsi="Times New Roman" w:cs="Times New Roman"/>
          <w:sz w:val="24"/>
        </w:rPr>
        <w:t xml:space="preserve">serving snack products from the same snack food category </w:t>
      </w:r>
      <w:r w:rsidR="00FB399B" w:rsidRPr="00453626">
        <w:rPr>
          <w:rFonts w:ascii="Times New Roman" w:hAnsi="Times New Roman" w:cs="Times New Roman"/>
          <w:sz w:val="24"/>
        </w:rPr>
        <w:t>(</w:t>
      </w:r>
      <w:r w:rsidR="00875E96" w:rsidRPr="00453626">
        <w:rPr>
          <w:rFonts w:ascii="Times New Roman" w:hAnsi="Times New Roman" w:cs="Times New Roman"/>
          <w:sz w:val="24"/>
        </w:rPr>
        <w:t xml:space="preserve">e.g. </w:t>
      </w:r>
      <w:r w:rsidR="00123641" w:rsidRPr="00453626">
        <w:rPr>
          <w:rFonts w:ascii="Times New Roman" w:hAnsi="Times New Roman" w:cs="Times New Roman"/>
          <w:sz w:val="24"/>
        </w:rPr>
        <w:t xml:space="preserve">20-50g for crisps). </w:t>
      </w:r>
      <w:r w:rsidR="000A3617" w:rsidRPr="00453626">
        <w:rPr>
          <w:rFonts w:ascii="Times New Roman" w:hAnsi="Times New Roman" w:cs="Times New Roman"/>
          <w:sz w:val="24"/>
        </w:rPr>
        <w:t xml:space="preserve">Discrepancies in eligibility and categorisation were resolved </w:t>
      </w:r>
      <w:r w:rsidR="00082D37" w:rsidRPr="00453626">
        <w:rPr>
          <w:rFonts w:ascii="Times New Roman" w:hAnsi="Times New Roman" w:cs="Times New Roman"/>
          <w:sz w:val="24"/>
        </w:rPr>
        <w:t>by a third researcher.</w:t>
      </w:r>
      <w:r w:rsidR="00A5778A" w:rsidRPr="00453626">
        <w:rPr>
          <w:rFonts w:ascii="Times New Roman" w:hAnsi="Times New Roman" w:cs="Times New Roman"/>
          <w:sz w:val="24"/>
        </w:rPr>
        <w:t xml:space="preserve"> Inter-coder eligibility consistency was </w:t>
      </w:r>
      <w:r w:rsidR="009F7B8A" w:rsidRPr="00453626">
        <w:rPr>
          <w:rFonts w:ascii="Times New Roman" w:hAnsi="Times New Roman" w:cs="Times New Roman"/>
          <w:sz w:val="24"/>
        </w:rPr>
        <w:t xml:space="preserve">examined </w:t>
      </w:r>
      <w:r w:rsidR="00A5778A" w:rsidRPr="00453626">
        <w:rPr>
          <w:rFonts w:ascii="Times New Roman" w:hAnsi="Times New Roman" w:cs="Times New Roman"/>
          <w:sz w:val="24"/>
        </w:rPr>
        <w:t xml:space="preserve">by </w:t>
      </w:r>
      <w:r w:rsidR="009F7B8A" w:rsidRPr="00453626">
        <w:rPr>
          <w:rFonts w:ascii="Times New Roman" w:hAnsi="Times New Roman" w:cs="Times New Roman"/>
          <w:sz w:val="24"/>
        </w:rPr>
        <w:t>comparing</w:t>
      </w:r>
      <w:r w:rsidR="00A5778A" w:rsidRPr="00453626">
        <w:rPr>
          <w:rFonts w:ascii="Times New Roman" w:hAnsi="Times New Roman" w:cs="Times New Roman"/>
          <w:sz w:val="24"/>
        </w:rPr>
        <w:t xml:space="preserve"> the number of snack products identified online that were deemed eligible by both researchers independently</w:t>
      </w:r>
      <w:r w:rsidR="005C6EA7" w:rsidRPr="00453626">
        <w:rPr>
          <w:rFonts w:ascii="Times New Roman" w:hAnsi="Times New Roman" w:cs="Times New Roman"/>
          <w:sz w:val="24"/>
        </w:rPr>
        <w:t>,</w:t>
      </w:r>
      <w:r w:rsidR="00A5778A" w:rsidRPr="00453626">
        <w:rPr>
          <w:rFonts w:ascii="Times New Roman" w:hAnsi="Times New Roman" w:cs="Times New Roman"/>
          <w:sz w:val="24"/>
        </w:rPr>
        <w:t xml:space="preserve"> compared with the number of snack products identified by one of the researchers but not the other. </w:t>
      </w:r>
      <w:r w:rsidR="004D7D80" w:rsidRPr="00453626">
        <w:rPr>
          <w:rFonts w:ascii="Times New Roman" w:hAnsi="Times New Roman" w:cs="Times New Roman"/>
          <w:sz w:val="24"/>
        </w:rPr>
        <w:t xml:space="preserve">To examine inter-coder consistency for snack product categorisation we used the percentage of eligible snack products that both researchers </w:t>
      </w:r>
      <w:r w:rsidR="005C6EA7" w:rsidRPr="00453626">
        <w:rPr>
          <w:rFonts w:ascii="Times New Roman" w:hAnsi="Times New Roman" w:cs="Times New Roman"/>
          <w:sz w:val="24"/>
        </w:rPr>
        <w:t xml:space="preserve">coded as </w:t>
      </w:r>
      <w:r w:rsidR="008643F9" w:rsidRPr="00453626">
        <w:rPr>
          <w:rFonts w:ascii="Times New Roman" w:hAnsi="Times New Roman" w:cs="Times New Roman"/>
          <w:sz w:val="24"/>
        </w:rPr>
        <w:t xml:space="preserve">being </w:t>
      </w:r>
      <w:r w:rsidR="004D7D80" w:rsidRPr="00453626">
        <w:rPr>
          <w:rFonts w:ascii="Times New Roman" w:hAnsi="Times New Roman" w:cs="Times New Roman"/>
          <w:sz w:val="24"/>
        </w:rPr>
        <w:t xml:space="preserve">in the same category. </w:t>
      </w:r>
      <w:r w:rsidR="007873CA" w:rsidRPr="00453626">
        <w:rPr>
          <w:rFonts w:ascii="Times New Roman" w:hAnsi="Times New Roman" w:cs="Times New Roman"/>
          <w:sz w:val="24"/>
        </w:rPr>
        <w:t xml:space="preserve">For each eligible snack product, price, weight, total energy </w:t>
      </w:r>
      <w:r w:rsidR="00E52BFB" w:rsidRPr="00453626">
        <w:rPr>
          <w:rFonts w:ascii="Times New Roman" w:hAnsi="Times New Roman" w:cs="Times New Roman"/>
          <w:sz w:val="24"/>
        </w:rPr>
        <w:t>in kcal</w:t>
      </w:r>
      <w:r w:rsidR="007873CA" w:rsidRPr="00453626">
        <w:rPr>
          <w:rFonts w:ascii="Times New Roman" w:hAnsi="Times New Roman" w:cs="Times New Roman"/>
          <w:sz w:val="24"/>
        </w:rPr>
        <w:t>, and nutritional values per 100g (energy, fat, saturated fat, carbohydrates</w:t>
      </w:r>
      <w:r w:rsidR="00E52BFB" w:rsidRPr="00453626">
        <w:rPr>
          <w:rFonts w:ascii="Times New Roman" w:hAnsi="Times New Roman" w:cs="Times New Roman"/>
          <w:sz w:val="24"/>
        </w:rPr>
        <w:t>, sugars, fibre, protein, salt)</w:t>
      </w:r>
      <w:r w:rsidR="007873CA" w:rsidRPr="00453626">
        <w:rPr>
          <w:rFonts w:ascii="Times New Roman" w:hAnsi="Times New Roman" w:cs="Times New Roman"/>
          <w:sz w:val="24"/>
        </w:rPr>
        <w:t xml:space="preserve"> were extracted from the chains websites </w:t>
      </w:r>
      <w:r w:rsidR="005A15B0" w:rsidRPr="00453626">
        <w:rPr>
          <w:rFonts w:ascii="Times New Roman" w:hAnsi="Times New Roman" w:cs="Times New Roman"/>
          <w:sz w:val="24"/>
        </w:rPr>
        <w:t xml:space="preserve">by one researcher </w:t>
      </w:r>
      <w:r w:rsidR="00E52BFB" w:rsidRPr="00453626">
        <w:rPr>
          <w:rFonts w:ascii="Times New Roman" w:hAnsi="Times New Roman" w:cs="Times New Roman"/>
          <w:sz w:val="24"/>
        </w:rPr>
        <w:t xml:space="preserve">and </w:t>
      </w:r>
      <w:r w:rsidR="00585282" w:rsidRPr="00453626">
        <w:rPr>
          <w:rFonts w:ascii="Times New Roman" w:hAnsi="Times New Roman" w:cs="Times New Roman"/>
          <w:sz w:val="24"/>
        </w:rPr>
        <w:t>verified</w:t>
      </w:r>
      <w:r w:rsidR="00E52BFB" w:rsidRPr="00453626">
        <w:rPr>
          <w:rFonts w:ascii="Times New Roman" w:hAnsi="Times New Roman" w:cs="Times New Roman"/>
          <w:sz w:val="24"/>
        </w:rPr>
        <w:t xml:space="preserve"> by a second researcher.</w:t>
      </w:r>
      <w:r w:rsidR="00F672BF" w:rsidRPr="00453626">
        <w:rPr>
          <w:rFonts w:ascii="Times New Roman" w:hAnsi="Times New Roman" w:cs="Times New Roman"/>
          <w:sz w:val="24"/>
        </w:rPr>
        <w:t xml:space="preserve"> See online supplementary materials for more details on the online data extraction</w:t>
      </w:r>
      <w:r w:rsidR="00DE11B6" w:rsidRPr="00453626">
        <w:rPr>
          <w:rFonts w:ascii="Times New Roman" w:hAnsi="Times New Roman" w:cs="Times New Roman"/>
          <w:sz w:val="24"/>
        </w:rPr>
        <w:t>.</w:t>
      </w:r>
    </w:p>
    <w:p w14:paraId="40B19706" w14:textId="77777777" w:rsidR="00D05C2C" w:rsidRPr="00453626" w:rsidRDefault="00D05C2C" w:rsidP="00396F23">
      <w:pPr>
        <w:pStyle w:val="Subtitle"/>
        <w:spacing w:line="360" w:lineRule="auto"/>
        <w:rPr>
          <w:rStyle w:val="Emphasis"/>
          <w:rFonts w:ascii="Times New Roman" w:hAnsi="Times New Roman" w:cs="Times New Roman"/>
          <w:i w:val="0"/>
          <w:color w:val="auto"/>
          <w:sz w:val="24"/>
        </w:rPr>
      </w:pPr>
      <w:r w:rsidRPr="00453626">
        <w:rPr>
          <w:rStyle w:val="Emphasis"/>
          <w:rFonts w:ascii="Times New Roman" w:hAnsi="Times New Roman" w:cs="Times New Roman"/>
          <w:i w:val="0"/>
          <w:color w:val="auto"/>
          <w:sz w:val="24"/>
        </w:rPr>
        <w:t>In-store visits</w:t>
      </w:r>
    </w:p>
    <w:p w14:paraId="77FB8DAE" w14:textId="25080D0C" w:rsidR="00D05C2C" w:rsidRPr="00453626" w:rsidRDefault="00D05C2C" w:rsidP="00396F23">
      <w:pPr>
        <w:spacing w:line="360" w:lineRule="auto"/>
        <w:rPr>
          <w:rFonts w:ascii="Times New Roman" w:hAnsi="Times New Roman" w:cs="Times New Roman"/>
          <w:sz w:val="24"/>
        </w:rPr>
      </w:pPr>
      <w:r w:rsidRPr="00453626">
        <w:rPr>
          <w:rFonts w:ascii="Times New Roman" w:hAnsi="Times New Roman" w:cs="Times New Roman"/>
          <w:sz w:val="24"/>
        </w:rPr>
        <w:t>We also conducted in-store visits (Liverpool, Merseyside) to examine whether the energy content of snack products online was broadly similar to snack products sold in stores and to collect missing price information for eligible snack products identified online</w:t>
      </w:r>
      <w:r w:rsidR="00B86692" w:rsidRPr="00453626">
        <w:rPr>
          <w:rFonts w:ascii="Times New Roman" w:hAnsi="Times New Roman" w:cs="Times New Roman"/>
          <w:sz w:val="24"/>
        </w:rPr>
        <w:t xml:space="preserve"> (see online supplementary materials, </w:t>
      </w:r>
      <w:r w:rsidR="00B86692" w:rsidRPr="00453626">
        <w:rPr>
          <w:rFonts w:ascii="Times New Roman" w:hAnsi="Times New Roman" w:cs="Times New Roman"/>
          <w:b/>
          <w:sz w:val="24"/>
        </w:rPr>
        <w:t>Table S3)</w:t>
      </w:r>
      <w:r w:rsidRPr="00453626">
        <w:rPr>
          <w:rFonts w:ascii="Times New Roman" w:hAnsi="Times New Roman" w:cs="Times New Roman"/>
          <w:sz w:val="24"/>
        </w:rPr>
        <w:t xml:space="preserve">. </w:t>
      </w:r>
      <w:bookmarkStart w:id="6" w:name="_Hlk44663658"/>
      <w:r w:rsidRPr="00453626">
        <w:rPr>
          <w:rFonts w:ascii="Times New Roman" w:hAnsi="Times New Roman" w:cs="Times New Roman"/>
          <w:sz w:val="24"/>
        </w:rPr>
        <w:t xml:space="preserve">Two researchers visited eligible chains and recorded all eligible single serving snack products in the ‘snack’ section of the store. </w:t>
      </w:r>
      <w:bookmarkEnd w:id="6"/>
      <w:r w:rsidRPr="00453626">
        <w:rPr>
          <w:rFonts w:ascii="Times New Roman" w:hAnsi="Times New Roman" w:cs="Times New Roman"/>
          <w:sz w:val="24"/>
        </w:rPr>
        <w:t>For more information about in store visits see the online supplementary materials.</w:t>
      </w:r>
    </w:p>
    <w:p w14:paraId="1804B279" w14:textId="292058B1" w:rsidR="008E3CE6" w:rsidRPr="00453626" w:rsidRDefault="008E3CE6" w:rsidP="00396F23">
      <w:pPr>
        <w:pStyle w:val="Subtitle"/>
        <w:spacing w:line="360" w:lineRule="auto"/>
        <w:rPr>
          <w:rStyle w:val="Emphasis"/>
          <w:rFonts w:ascii="Times New Roman" w:hAnsi="Times New Roman" w:cs="Times New Roman"/>
          <w:i w:val="0"/>
          <w:color w:val="auto"/>
          <w:sz w:val="24"/>
        </w:rPr>
      </w:pPr>
      <w:r w:rsidRPr="00453626">
        <w:rPr>
          <w:rStyle w:val="Emphasis"/>
          <w:rFonts w:ascii="Times New Roman" w:hAnsi="Times New Roman" w:cs="Times New Roman"/>
          <w:i w:val="0"/>
          <w:color w:val="auto"/>
          <w:sz w:val="24"/>
        </w:rPr>
        <w:t>Statistical analyses</w:t>
      </w:r>
    </w:p>
    <w:p w14:paraId="201E4708" w14:textId="00CADE9F" w:rsidR="00B7660C" w:rsidRPr="00453626" w:rsidRDefault="00B7660C" w:rsidP="00396F23">
      <w:pPr>
        <w:spacing w:line="360" w:lineRule="auto"/>
        <w:rPr>
          <w:rFonts w:ascii="Times New Roman" w:hAnsi="Times New Roman" w:cs="Times New Roman"/>
          <w:sz w:val="24"/>
        </w:rPr>
      </w:pPr>
      <w:r w:rsidRPr="00453626">
        <w:rPr>
          <w:rFonts w:ascii="Times New Roman" w:hAnsi="Times New Roman" w:cs="Times New Roman"/>
          <w:sz w:val="24"/>
        </w:rPr>
        <w:t xml:space="preserve">We characterised the proportion of snack products that </w:t>
      </w:r>
      <w:r w:rsidR="00C3266B" w:rsidRPr="00453626">
        <w:rPr>
          <w:rFonts w:ascii="Times New Roman" w:hAnsi="Times New Roman" w:cs="Times New Roman"/>
          <w:sz w:val="24"/>
        </w:rPr>
        <w:t xml:space="preserve">were </w:t>
      </w:r>
      <w:r w:rsidRPr="00453626">
        <w:rPr>
          <w:rFonts w:ascii="Times New Roman" w:hAnsi="Times New Roman" w:cs="Times New Roman"/>
          <w:sz w:val="24"/>
        </w:rPr>
        <w:t>‘green’, ‘amber’ and ‘red’ for fat, saturated fat, sugars and salt according to Food Standards Agency Traffic Light Labelling guidance</w:t>
      </w:r>
      <w:r w:rsidR="00A534A9" w:rsidRPr="00453626">
        <w:rPr>
          <w:rFonts w:ascii="Times New Roman" w:hAnsi="Times New Roman" w:cs="Times New Roman"/>
          <w:sz w:val="24"/>
        </w:rPr>
        <w:t>.</w:t>
      </w:r>
      <w:r w:rsidRPr="00453626">
        <w:rPr>
          <w:rFonts w:ascii="Times New Roman" w:hAnsi="Times New Roman" w:cs="Times New Roman"/>
          <w:sz w:val="24"/>
        </w:rPr>
        <w:fldChar w:fldCharType="begin" w:fldLock="1"/>
      </w:r>
      <w:r w:rsidR="0027432A" w:rsidRPr="00453626">
        <w:rPr>
          <w:rFonts w:ascii="Times New Roman" w:hAnsi="Times New Roman" w:cs="Times New Roman"/>
          <w:sz w:val="24"/>
        </w:rPr>
        <w:instrText>ADDIN CSL_CITATION {"citationItems":[{"id":"ITEM-1","itemData":{"abstract":"This guidance supports the development of front of pack nutrition labels that are compliant with the UK Health Ministers’ Recommendation on the use of colour coding as an additional form of expression and with EU Regulation No. 1169/2011 on the provision of food information to consumers (EU FIC). The guidance was developed by the Department of Health, the Food Standards Agency, and devolved administrations in Scotland, Northern Ireland and Wales in collaboration with the British Retail Consortium.","author":[{"dropping-particle":"","family":"Department of Health","given":"","non-dropping-particle":"","parse-names":false,"suffix":""},{"dropping-particle":"","family":"Food Standards Agency","given":"","non-dropping-particle":"","parse-names":false,"suffix":""}],"id":"ITEM-1","issue":"November","issued":{"date-parts":[["2016"]]},"title":"Guide to creating a front of pack (FoP) nutrition label for pre-packed products sold through retail outlets","type":"report"},"uris":["http://www.mendeley.com/documents/?uuid=5be9b4fd-39ee-4b8c-b7b6-5548814bcb02"]}],"mendeley":{"formattedCitation":"&lt;sup&gt;(19)&lt;/sup&gt;","plainTextFormattedCitation":"(19)","previouslyFormattedCitation":"&lt;sup&gt;(18)&lt;/sup&gt;"},"properties":{"noteIndex":0},"schema":"https://github.com/citation-style-language/schema/raw/master/csl-citation.json"}</w:instrText>
      </w:r>
      <w:r w:rsidRPr="00453626">
        <w:rPr>
          <w:rFonts w:ascii="Times New Roman" w:hAnsi="Times New Roman" w:cs="Times New Roman"/>
          <w:sz w:val="24"/>
        </w:rPr>
        <w:fldChar w:fldCharType="separate"/>
      </w:r>
      <w:r w:rsidR="0027432A" w:rsidRPr="00453626">
        <w:rPr>
          <w:rFonts w:ascii="Times New Roman" w:hAnsi="Times New Roman" w:cs="Times New Roman"/>
          <w:noProof/>
          <w:sz w:val="24"/>
          <w:vertAlign w:val="superscript"/>
        </w:rPr>
        <w:t>(19)</w:t>
      </w:r>
      <w:r w:rsidRPr="00453626">
        <w:rPr>
          <w:rFonts w:ascii="Times New Roman" w:hAnsi="Times New Roman" w:cs="Times New Roman"/>
          <w:sz w:val="24"/>
        </w:rPr>
        <w:fldChar w:fldCharType="end"/>
      </w:r>
      <w:r w:rsidRPr="00453626">
        <w:rPr>
          <w:rFonts w:ascii="Times New Roman" w:hAnsi="Times New Roman" w:cs="Times New Roman"/>
          <w:sz w:val="24"/>
        </w:rPr>
        <w:t xml:space="preserve"> We also characterised the proportion of snacks that </w:t>
      </w:r>
      <w:r w:rsidR="00C3266B" w:rsidRPr="00453626">
        <w:rPr>
          <w:rFonts w:ascii="Times New Roman" w:hAnsi="Times New Roman" w:cs="Times New Roman"/>
          <w:sz w:val="24"/>
        </w:rPr>
        <w:t>were</w:t>
      </w:r>
      <w:r w:rsidRPr="00453626">
        <w:rPr>
          <w:rFonts w:ascii="Times New Roman" w:hAnsi="Times New Roman" w:cs="Times New Roman"/>
          <w:sz w:val="24"/>
        </w:rPr>
        <w:t xml:space="preserve"> 100 kcal or lower </w:t>
      </w:r>
      <w:r w:rsidR="006B7CF7" w:rsidRPr="00453626">
        <w:rPr>
          <w:rFonts w:ascii="Times New Roman" w:hAnsi="Times New Roman" w:cs="Times New Roman"/>
          <w:sz w:val="24"/>
        </w:rPr>
        <w:t>and</w:t>
      </w:r>
      <w:r w:rsidR="000E317B" w:rsidRPr="00453626">
        <w:rPr>
          <w:rFonts w:ascii="Times New Roman" w:hAnsi="Times New Roman" w:cs="Times New Roman"/>
          <w:sz w:val="24"/>
        </w:rPr>
        <w:t xml:space="preserve"> </w:t>
      </w:r>
      <w:r w:rsidRPr="00453626">
        <w:rPr>
          <w:rFonts w:ascii="Times New Roman" w:hAnsi="Times New Roman" w:cs="Times New Roman"/>
          <w:sz w:val="24"/>
        </w:rPr>
        <w:t xml:space="preserve">200 </w:t>
      </w:r>
      <w:r w:rsidRPr="00453626">
        <w:rPr>
          <w:rFonts w:ascii="Times New Roman" w:hAnsi="Times New Roman" w:cs="Times New Roman"/>
          <w:sz w:val="24"/>
        </w:rPr>
        <w:lastRenderedPageBreak/>
        <w:t>kcal or lower</w:t>
      </w:r>
      <w:r w:rsidR="006B7CF7" w:rsidRPr="00453626">
        <w:rPr>
          <w:rFonts w:ascii="Times New Roman" w:hAnsi="Times New Roman" w:cs="Times New Roman"/>
          <w:sz w:val="24"/>
        </w:rPr>
        <w:t>.</w:t>
      </w:r>
      <w:r w:rsidR="006B7CF7" w:rsidRPr="00453626">
        <w:rPr>
          <w:rFonts w:ascii="Times New Roman" w:hAnsi="Times New Roman" w:cs="Times New Roman"/>
          <w:sz w:val="24"/>
        </w:rPr>
        <w:fldChar w:fldCharType="begin" w:fldLock="1"/>
      </w:r>
      <w:r w:rsidR="0027432A" w:rsidRPr="00453626">
        <w:rPr>
          <w:rFonts w:ascii="Times New Roman" w:hAnsi="Times New Roman" w:cs="Times New Roman"/>
          <w:sz w:val="24"/>
        </w:rPr>
        <w:instrText>ADDIN CSL_CITATION {"citationItems":[{"id":"ITEM-1","itemData":{"URL":"https://www.nhs.uk/oneyou/for-your-body/eat-better/keep-track-of-calories-400-600-600/","accessed":{"date-parts":[["2020","7","22"]]},"author":[{"dropping-particle":"","family":"Public Health England","given":"","non-dropping-particle":"","parse-names":false,"suffix":""}],"container-title":"2020","id":"ITEM-1","issued":{"date-parts":[["0"]]},"title":"One you - Keep track of calories with 400-600-600","type":"webpage"},"uris":["http://www.mendeley.com/documents/?uuid=adfcf28a-57ee-4dc7-ae4c-da5ae4340e40"]},{"id":"ITEM-2","itemData":{"URL":"https://www.nhs.uk/change4life/food-facts/healthier-snacks-for-kids","accessed":{"date-parts":[["2020","7","22"]]},"author":[{"dropping-particle":"","family":"Public Health England","given":"","non-dropping-particle":"","parse-names":false,"suffix":""}],"container-title":"2020","id":"ITEM-2","issued":{"date-parts":[["0"]]},"title":"Healthier snacks for kids.","type":"webpage"},"uris":["http://www.mendeley.com/documents/?uuid=1d1d3ca7-2729-4675-9c13-3045cbe21491"]}],"mendeley":{"formattedCitation":"&lt;sup&gt;(17,18)&lt;/sup&gt;","plainTextFormattedCitation":"(17,18)","previouslyFormattedCitation":"&lt;sup&gt;(16,17)&lt;/sup&gt;"},"properties":{"noteIndex":0},"schema":"https://github.com/citation-style-language/schema/raw/master/csl-citation.json"}</w:instrText>
      </w:r>
      <w:r w:rsidR="006B7CF7" w:rsidRPr="00453626">
        <w:rPr>
          <w:rFonts w:ascii="Times New Roman" w:hAnsi="Times New Roman" w:cs="Times New Roman"/>
          <w:sz w:val="24"/>
        </w:rPr>
        <w:fldChar w:fldCharType="separate"/>
      </w:r>
      <w:r w:rsidR="0027432A" w:rsidRPr="00453626">
        <w:rPr>
          <w:rFonts w:ascii="Times New Roman" w:hAnsi="Times New Roman" w:cs="Times New Roman"/>
          <w:noProof/>
          <w:sz w:val="24"/>
          <w:vertAlign w:val="superscript"/>
        </w:rPr>
        <w:t>(17,18)</w:t>
      </w:r>
      <w:r w:rsidR="006B7CF7" w:rsidRPr="00453626">
        <w:rPr>
          <w:rFonts w:ascii="Times New Roman" w:hAnsi="Times New Roman" w:cs="Times New Roman"/>
          <w:sz w:val="24"/>
        </w:rPr>
        <w:fldChar w:fldCharType="end"/>
      </w:r>
      <w:r w:rsidR="006B7CF7" w:rsidRPr="00453626">
        <w:rPr>
          <w:rFonts w:ascii="Times New Roman" w:hAnsi="Times New Roman" w:cs="Times New Roman"/>
          <w:sz w:val="24"/>
        </w:rPr>
        <w:t xml:space="preserve"> </w:t>
      </w:r>
      <w:r w:rsidR="00534158" w:rsidRPr="00453626">
        <w:rPr>
          <w:rFonts w:ascii="Times New Roman" w:hAnsi="Times New Roman" w:cs="Times New Roman"/>
          <w:sz w:val="24"/>
        </w:rPr>
        <w:t xml:space="preserve">Products with missing nutrition information were excluded from descriptive analyses relating to the missing data but included in descriptive analyses </w:t>
      </w:r>
      <w:r w:rsidR="00C3266B" w:rsidRPr="00453626">
        <w:rPr>
          <w:rFonts w:ascii="Times New Roman" w:hAnsi="Times New Roman" w:cs="Times New Roman"/>
          <w:sz w:val="24"/>
        </w:rPr>
        <w:t>unrelated to missing data</w:t>
      </w:r>
      <w:r w:rsidR="00534158" w:rsidRPr="00453626">
        <w:rPr>
          <w:rFonts w:ascii="Times New Roman" w:hAnsi="Times New Roman" w:cs="Times New Roman"/>
          <w:sz w:val="24"/>
        </w:rPr>
        <w:t>.</w:t>
      </w:r>
    </w:p>
    <w:p w14:paraId="58F73B24" w14:textId="6B6107CF" w:rsidR="00B94938" w:rsidRPr="00453626" w:rsidRDefault="009E6936" w:rsidP="00396F23">
      <w:pPr>
        <w:spacing w:line="360" w:lineRule="auto"/>
        <w:rPr>
          <w:rFonts w:ascii="Times New Roman" w:hAnsi="Times New Roman" w:cs="Times New Roman"/>
          <w:sz w:val="24"/>
        </w:rPr>
      </w:pPr>
      <w:r w:rsidRPr="00453626">
        <w:rPr>
          <w:rFonts w:ascii="Times New Roman" w:hAnsi="Times New Roman" w:cs="Times New Roman"/>
          <w:sz w:val="24"/>
        </w:rPr>
        <w:t>Mixed models were run to examine differences in the energy content, price</w:t>
      </w:r>
      <w:r w:rsidR="008643F9" w:rsidRPr="00453626">
        <w:rPr>
          <w:rFonts w:ascii="Times New Roman" w:hAnsi="Times New Roman" w:cs="Times New Roman"/>
          <w:sz w:val="24"/>
        </w:rPr>
        <w:t>,</w:t>
      </w:r>
      <w:r w:rsidRPr="00453626">
        <w:rPr>
          <w:rFonts w:ascii="Times New Roman" w:hAnsi="Times New Roman" w:cs="Times New Roman"/>
          <w:sz w:val="24"/>
        </w:rPr>
        <w:t xml:space="preserve"> and number of harmful nutrients in excess in snack products</w:t>
      </w:r>
      <w:r w:rsidR="006967F2" w:rsidRPr="00453626">
        <w:rPr>
          <w:rFonts w:ascii="Times New Roman" w:hAnsi="Times New Roman" w:cs="Times New Roman"/>
          <w:sz w:val="24"/>
        </w:rPr>
        <w:t xml:space="preserve"> (number of red traffic lights, from 0 to 4)</w:t>
      </w:r>
      <w:r w:rsidRPr="00453626">
        <w:rPr>
          <w:rFonts w:ascii="Times New Roman" w:hAnsi="Times New Roman" w:cs="Times New Roman"/>
          <w:sz w:val="24"/>
        </w:rPr>
        <w:t xml:space="preserve"> based on </w:t>
      </w:r>
      <w:r w:rsidR="00C3266B" w:rsidRPr="00453626">
        <w:rPr>
          <w:rFonts w:ascii="Times New Roman" w:hAnsi="Times New Roman" w:cs="Times New Roman"/>
          <w:sz w:val="24"/>
        </w:rPr>
        <w:t>business type</w:t>
      </w:r>
      <w:r w:rsidR="00C07B0C" w:rsidRPr="00453626">
        <w:rPr>
          <w:rFonts w:ascii="Times New Roman" w:hAnsi="Times New Roman" w:cs="Times New Roman"/>
          <w:sz w:val="24"/>
        </w:rPr>
        <w:t xml:space="preserve"> </w:t>
      </w:r>
      <w:r w:rsidR="00C3266B" w:rsidRPr="00453626">
        <w:rPr>
          <w:rFonts w:ascii="Times New Roman" w:hAnsi="Times New Roman" w:cs="Times New Roman"/>
          <w:sz w:val="24"/>
        </w:rPr>
        <w:t>(</w:t>
      </w:r>
      <w:r w:rsidR="00E55F11" w:rsidRPr="00453626">
        <w:rPr>
          <w:rFonts w:ascii="Times New Roman" w:hAnsi="Times New Roman" w:cs="Times New Roman"/>
          <w:sz w:val="24"/>
        </w:rPr>
        <w:t xml:space="preserve">coffee shop </w:t>
      </w:r>
      <w:r w:rsidR="00C3266B" w:rsidRPr="00453626">
        <w:rPr>
          <w:rFonts w:ascii="Times New Roman" w:hAnsi="Times New Roman" w:cs="Times New Roman"/>
          <w:sz w:val="24"/>
        </w:rPr>
        <w:t xml:space="preserve">vs. </w:t>
      </w:r>
      <w:r w:rsidR="00E55F11" w:rsidRPr="00453626">
        <w:rPr>
          <w:rFonts w:ascii="Times New Roman" w:hAnsi="Times New Roman" w:cs="Times New Roman"/>
          <w:sz w:val="24"/>
        </w:rPr>
        <w:t>supermarket</w:t>
      </w:r>
      <w:r w:rsidR="00C3266B" w:rsidRPr="00453626">
        <w:rPr>
          <w:rFonts w:ascii="Times New Roman" w:hAnsi="Times New Roman" w:cs="Times New Roman"/>
          <w:sz w:val="24"/>
        </w:rPr>
        <w:t>)</w:t>
      </w:r>
      <w:r w:rsidRPr="00453626">
        <w:rPr>
          <w:rFonts w:ascii="Times New Roman" w:hAnsi="Times New Roman" w:cs="Times New Roman"/>
          <w:sz w:val="24"/>
        </w:rPr>
        <w:t>.</w:t>
      </w:r>
      <w:r w:rsidR="00171CBF" w:rsidRPr="00453626">
        <w:rPr>
          <w:rFonts w:ascii="Times New Roman" w:hAnsi="Times New Roman" w:cs="Times New Roman"/>
          <w:sz w:val="24"/>
        </w:rPr>
        <w:t xml:space="preserve"> </w:t>
      </w:r>
      <w:r w:rsidR="00320D35" w:rsidRPr="00453626">
        <w:rPr>
          <w:rFonts w:ascii="Times New Roman" w:hAnsi="Times New Roman" w:cs="Times New Roman"/>
          <w:sz w:val="24"/>
        </w:rPr>
        <w:t xml:space="preserve">The number of </w:t>
      </w:r>
      <w:r w:rsidR="000F31E6" w:rsidRPr="00453626">
        <w:rPr>
          <w:rFonts w:ascii="Times New Roman" w:hAnsi="Times New Roman" w:cs="Times New Roman"/>
          <w:sz w:val="24"/>
        </w:rPr>
        <w:t>red</w:t>
      </w:r>
      <w:r w:rsidR="002F5257" w:rsidRPr="00453626">
        <w:rPr>
          <w:rFonts w:ascii="Times New Roman" w:hAnsi="Times New Roman" w:cs="Times New Roman"/>
          <w:sz w:val="24"/>
        </w:rPr>
        <w:t xml:space="preserve"> traffic lights </w:t>
      </w:r>
      <w:r w:rsidR="00320D35" w:rsidRPr="00453626">
        <w:rPr>
          <w:rFonts w:ascii="Times New Roman" w:hAnsi="Times New Roman" w:cs="Times New Roman"/>
          <w:sz w:val="24"/>
        </w:rPr>
        <w:t xml:space="preserve">was chosen as an indicator of </w:t>
      </w:r>
      <w:r w:rsidR="000C7573" w:rsidRPr="00453626">
        <w:rPr>
          <w:rFonts w:ascii="Times New Roman" w:hAnsi="Times New Roman" w:cs="Times New Roman"/>
          <w:sz w:val="24"/>
        </w:rPr>
        <w:t>poor nutritional quality</w:t>
      </w:r>
      <w:r w:rsidR="00A63E61" w:rsidRPr="00453626">
        <w:rPr>
          <w:rFonts w:ascii="Times New Roman" w:hAnsi="Times New Roman" w:cs="Times New Roman"/>
          <w:sz w:val="24"/>
        </w:rPr>
        <w:t xml:space="preserve"> as it </w:t>
      </w:r>
      <w:r w:rsidR="008643F9" w:rsidRPr="00453626">
        <w:rPr>
          <w:rFonts w:ascii="Times New Roman" w:hAnsi="Times New Roman" w:cs="Times New Roman"/>
          <w:sz w:val="24"/>
        </w:rPr>
        <w:t>reflects</w:t>
      </w:r>
      <w:r w:rsidR="0020600C" w:rsidRPr="00453626">
        <w:rPr>
          <w:rFonts w:ascii="Times New Roman" w:hAnsi="Times New Roman" w:cs="Times New Roman"/>
          <w:sz w:val="24"/>
        </w:rPr>
        <w:t xml:space="preserve"> adherence to traffic light label</w:t>
      </w:r>
      <w:r w:rsidR="000F31E6" w:rsidRPr="00453626">
        <w:rPr>
          <w:rFonts w:ascii="Times New Roman" w:hAnsi="Times New Roman" w:cs="Times New Roman"/>
          <w:sz w:val="24"/>
        </w:rPr>
        <w:t>ling recommendations</w:t>
      </w:r>
      <w:r w:rsidR="0020600C" w:rsidRPr="00453626">
        <w:rPr>
          <w:rFonts w:ascii="Times New Roman" w:hAnsi="Times New Roman" w:cs="Times New Roman"/>
          <w:sz w:val="24"/>
        </w:rPr>
        <w:t>.</w:t>
      </w:r>
      <w:r w:rsidR="00570F72" w:rsidRPr="00453626">
        <w:rPr>
          <w:rFonts w:ascii="Times New Roman" w:hAnsi="Times New Roman" w:cs="Times New Roman"/>
          <w:sz w:val="24"/>
        </w:rPr>
        <w:t xml:space="preserve"> </w:t>
      </w:r>
      <w:r w:rsidR="007D3A99" w:rsidRPr="00453626">
        <w:rPr>
          <w:rFonts w:ascii="Times New Roman" w:hAnsi="Times New Roman" w:cs="Times New Roman"/>
          <w:sz w:val="24"/>
        </w:rPr>
        <w:t>All mixed m</w:t>
      </w:r>
      <w:r w:rsidR="00C3266B" w:rsidRPr="00453626">
        <w:rPr>
          <w:rFonts w:ascii="Times New Roman" w:hAnsi="Times New Roman" w:cs="Times New Roman"/>
          <w:sz w:val="24"/>
        </w:rPr>
        <w:t>odels</w:t>
      </w:r>
      <w:r w:rsidRPr="00453626">
        <w:rPr>
          <w:rFonts w:ascii="Times New Roman" w:hAnsi="Times New Roman" w:cs="Times New Roman"/>
          <w:sz w:val="24"/>
        </w:rPr>
        <w:t xml:space="preserve"> included </w:t>
      </w:r>
      <w:r w:rsidR="00A91A7C" w:rsidRPr="00453626">
        <w:rPr>
          <w:rFonts w:ascii="Times New Roman" w:hAnsi="Times New Roman" w:cs="Times New Roman"/>
          <w:sz w:val="24"/>
        </w:rPr>
        <w:t xml:space="preserve">the </w:t>
      </w:r>
      <w:r w:rsidR="00C3266B" w:rsidRPr="00453626">
        <w:rPr>
          <w:rFonts w:ascii="Times New Roman" w:hAnsi="Times New Roman" w:cs="Times New Roman"/>
          <w:sz w:val="24"/>
        </w:rPr>
        <w:t xml:space="preserve">chain </w:t>
      </w:r>
      <w:r w:rsidRPr="00453626">
        <w:rPr>
          <w:rFonts w:ascii="Times New Roman" w:hAnsi="Times New Roman" w:cs="Times New Roman"/>
          <w:sz w:val="24"/>
        </w:rPr>
        <w:t>as</w:t>
      </w:r>
      <w:r w:rsidR="00A91A7C" w:rsidRPr="00453626">
        <w:rPr>
          <w:rFonts w:ascii="Times New Roman" w:hAnsi="Times New Roman" w:cs="Times New Roman"/>
          <w:sz w:val="24"/>
        </w:rPr>
        <w:t xml:space="preserve"> </w:t>
      </w:r>
      <w:r w:rsidRPr="00453626">
        <w:rPr>
          <w:rFonts w:ascii="Times New Roman" w:hAnsi="Times New Roman" w:cs="Times New Roman"/>
          <w:sz w:val="24"/>
        </w:rPr>
        <w:t>random effect to account for potential correlation</w:t>
      </w:r>
      <w:r w:rsidR="000E317B" w:rsidRPr="00453626">
        <w:rPr>
          <w:rFonts w:ascii="Times New Roman" w:hAnsi="Times New Roman" w:cs="Times New Roman"/>
          <w:sz w:val="24"/>
        </w:rPr>
        <w:t>s</w:t>
      </w:r>
      <w:r w:rsidRPr="00453626">
        <w:rPr>
          <w:rFonts w:ascii="Times New Roman" w:hAnsi="Times New Roman" w:cs="Times New Roman"/>
          <w:sz w:val="24"/>
        </w:rPr>
        <w:t xml:space="preserve"> between energy content, price and nutritional values of the snack products sold by the same </w:t>
      </w:r>
      <w:r w:rsidR="00C3266B" w:rsidRPr="00453626">
        <w:rPr>
          <w:rFonts w:ascii="Times New Roman" w:hAnsi="Times New Roman" w:cs="Times New Roman"/>
          <w:sz w:val="24"/>
        </w:rPr>
        <w:t>chain</w:t>
      </w:r>
      <w:r w:rsidRPr="00453626">
        <w:rPr>
          <w:rFonts w:ascii="Times New Roman" w:hAnsi="Times New Roman" w:cs="Times New Roman"/>
          <w:sz w:val="24"/>
        </w:rPr>
        <w:t>.</w:t>
      </w:r>
      <w:r w:rsidR="006967F2" w:rsidRPr="00453626">
        <w:rPr>
          <w:rFonts w:ascii="Times New Roman" w:hAnsi="Times New Roman" w:cs="Times New Roman"/>
          <w:sz w:val="24"/>
        </w:rPr>
        <w:t xml:space="preserve"> </w:t>
      </w:r>
      <w:r w:rsidR="00C51F0D" w:rsidRPr="00453626">
        <w:rPr>
          <w:rFonts w:ascii="Times New Roman" w:hAnsi="Times New Roman" w:cs="Times New Roman"/>
          <w:sz w:val="24"/>
        </w:rPr>
        <w:t xml:space="preserve">As there </w:t>
      </w:r>
      <w:r w:rsidR="00A91A7C" w:rsidRPr="00453626">
        <w:rPr>
          <w:rFonts w:ascii="Times New Roman" w:hAnsi="Times New Roman" w:cs="Times New Roman"/>
          <w:sz w:val="24"/>
        </w:rPr>
        <w:t xml:space="preserve">was </w:t>
      </w:r>
      <w:r w:rsidR="00C51F0D" w:rsidRPr="00453626">
        <w:rPr>
          <w:rFonts w:ascii="Times New Roman" w:hAnsi="Times New Roman" w:cs="Times New Roman"/>
          <w:sz w:val="24"/>
        </w:rPr>
        <w:t xml:space="preserve">variability in the numbers of snack products sold by each chain, weighted mixed models were run so that all the </w:t>
      </w:r>
      <w:r w:rsidR="00CC133B" w:rsidRPr="00453626">
        <w:rPr>
          <w:rFonts w:ascii="Times New Roman" w:hAnsi="Times New Roman" w:cs="Times New Roman"/>
          <w:sz w:val="24"/>
        </w:rPr>
        <w:t>chains</w:t>
      </w:r>
      <w:r w:rsidR="00C51F0D" w:rsidRPr="00453626">
        <w:rPr>
          <w:rFonts w:ascii="Times New Roman" w:hAnsi="Times New Roman" w:cs="Times New Roman"/>
          <w:sz w:val="24"/>
        </w:rPr>
        <w:t xml:space="preserve"> had the same weight in the analyses</w:t>
      </w:r>
      <w:r w:rsidR="004B1C00" w:rsidRPr="00453626">
        <w:rPr>
          <w:rFonts w:ascii="Times New Roman" w:hAnsi="Times New Roman" w:cs="Times New Roman"/>
          <w:sz w:val="24"/>
        </w:rPr>
        <w:t xml:space="preserve">. For each snack product </w:t>
      </w:r>
      <w:proofErr w:type="spellStart"/>
      <w:r w:rsidR="004B1C00" w:rsidRPr="00453626">
        <w:rPr>
          <w:rFonts w:ascii="Times New Roman" w:hAnsi="Times New Roman" w:cs="Times New Roman"/>
          <w:i/>
          <w:sz w:val="24"/>
        </w:rPr>
        <w:t>i</w:t>
      </w:r>
      <w:proofErr w:type="spellEnd"/>
      <w:r w:rsidR="004B1C00" w:rsidRPr="00453626">
        <w:rPr>
          <w:rFonts w:ascii="Times New Roman" w:hAnsi="Times New Roman" w:cs="Times New Roman"/>
          <w:sz w:val="24"/>
        </w:rPr>
        <w:t xml:space="preserve"> </w:t>
      </w:r>
      <w:r w:rsidR="00C51F0D" w:rsidRPr="00453626">
        <w:rPr>
          <w:rFonts w:ascii="Times New Roman" w:hAnsi="Times New Roman" w:cs="Times New Roman"/>
          <w:sz w:val="24"/>
        </w:rPr>
        <w:t>sold by chain</w:t>
      </w:r>
      <w:r w:rsidR="004B1C00" w:rsidRPr="00453626">
        <w:rPr>
          <w:rFonts w:ascii="Times New Roman" w:hAnsi="Times New Roman" w:cs="Times New Roman"/>
          <w:sz w:val="24"/>
        </w:rPr>
        <w:t xml:space="preserve"> </w:t>
      </w:r>
      <w:r w:rsidR="004B1C00" w:rsidRPr="00453626">
        <w:rPr>
          <w:rFonts w:ascii="Times New Roman" w:hAnsi="Times New Roman" w:cs="Times New Roman"/>
          <w:i/>
          <w:sz w:val="24"/>
        </w:rPr>
        <w:t>j</w:t>
      </w:r>
      <w:r w:rsidR="004B1C00" w:rsidRPr="00453626">
        <w:rPr>
          <w:rFonts w:ascii="Times New Roman" w:hAnsi="Times New Roman" w:cs="Times New Roman"/>
          <w:sz w:val="24"/>
        </w:rPr>
        <w:t>, the weight was calculated as</w:t>
      </w:r>
      <w:r w:rsidR="000A0726" w:rsidRPr="00453626">
        <w:rPr>
          <w:rFonts w:ascii="Times New Roman" w:hAnsi="Times New Roman" w:cs="Times New Roman"/>
          <w:sz w:val="24"/>
        </w:rPr>
        <w:t xml:space="preserve"> </w:t>
      </w:r>
      <w:proofErr w:type="spellStart"/>
      <w:proofErr w:type="gramStart"/>
      <w:r w:rsidR="000A0726" w:rsidRPr="00453626">
        <w:rPr>
          <w:rFonts w:ascii="Times New Roman" w:hAnsi="Times New Roman" w:cs="Times New Roman"/>
          <w:sz w:val="24"/>
        </w:rPr>
        <w:t>w</w:t>
      </w:r>
      <w:r w:rsidR="000A0726" w:rsidRPr="00453626">
        <w:rPr>
          <w:rFonts w:ascii="Times New Roman" w:hAnsi="Times New Roman" w:cs="Times New Roman"/>
          <w:sz w:val="24"/>
          <w:vertAlign w:val="subscript"/>
        </w:rPr>
        <w:t>i,j</w:t>
      </w:r>
      <w:proofErr w:type="spellEnd"/>
      <w:proofErr w:type="gramEnd"/>
      <w:r w:rsidR="000A0726" w:rsidRPr="00453626">
        <w:rPr>
          <w:rFonts w:ascii="Times New Roman" w:hAnsi="Times New Roman" w:cs="Times New Roman"/>
          <w:sz w:val="24"/>
          <w:vertAlign w:val="subscript"/>
        </w:rPr>
        <w:t xml:space="preserve"> </w:t>
      </w:r>
      <w:r w:rsidR="000A0726" w:rsidRPr="00453626">
        <w:rPr>
          <w:rFonts w:ascii="Times New Roman" w:hAnsi="Times New Roman" w:cs="Times New Roman"/>
          <w:sz w:val="24"/>
        </w:rPr>
        <w:t>= 1</w:t>
      </w:r>
      <w:r w:rsidR="001025E9" w:rsidRPr="00453626">
        <w:rPr>
          <w:rFonts w:ascii="Times New Roman" w:hAnsi="Times New Roman" w:cs="Times New Roman"/>
          <w:sz w:val="24"/>
        </w:rPr>
        <w:t xml:space="preserve"> </w:t>
      </w:r>
      <w:r w:rsidR="000A0726" w:rsidRPr="00453626">
        <w:rPr>
          <w:rFonts w:ascii="Times New Roman" w:hAnsi="Times New Roman" w:cs="Times New Roman"/>
          <w:sz w:val="24"/>
        </w:rPr>
        <w:t>/</w:t>
      </w:r>
      <w:r w:rsidR="001025E9" w:rsidRPr="00453626">
        <w:rPr>
          <w:rFonts w:ascii="Times New Roman" w:hAnsi="Times New Roman" w:cs="Times New Roman"/>
          <w:sz w:val="24"/>
        </w:rPr>
        <w:t xml:space="preserve"> </w:t>
      </w:r>
      <w:r w:rsidR="000A0726" w:rsidRPr="00453626">
        <w:rPr>
          <w:rFonts w:ascii="Times New Roman" w:hAnsi="Times New Roman" w:cs="Times New Roman"/>
          <w:sz w:val="24"/>
        </w:rPr>
        <w:t xml:space="preserve">(number of </w:t>
      </w:r>
      <w:proofErr w:type="spellStart"/>
      <w:r w:rsidR="000A0726" w:rsidRPr="00453626">
        <w:rPr>
          <w:rFonts w:ascii="Times New Roman" w:hAnsi="Times New Roman" w:cs="Times New Roman"/>
          <w:sz w:val="24"/>
        </w:rPr>
        <w:t>snacks</w:t>
      </w:r>
      <w:r w:rsidR="000A0726" w:rsidRPr="00453626">
        <w:rPr>
          <w:rFonts w:ascii="Times New Roman" w:hAnsi="Times New Roman" w:cs="Times New Roman"/>
          <w:sz w:val="24"/>
          <w:vertAlign w:val="subscript"/>
        </w:rPr>
        <w:t>j</w:t>
      </w:r>
      <w:proofErr w:type="spellEnd"/>
      <w:r w:rsidR="001025E9" w:rsidRPr="00453626">
        <w:rPr>
          <w:rFonts w:ascii="Times New Roman" w:hAnsi="Times New Roman" w:cs="Times New Roman"/>
          <w:sz w:val="24"/>
        </w:rPr>
        <w:t xml:space="preserve"> / </w:t>
      </w:r>
      <w:r w:rsidR="000A0726" w:rsidRPr="00453626">
        <w:rPr>
          <w:rFonts w:ascii="Times New Roman" w:hAnsi="Times New Roman" w:cs="Times New Roman"/>
          <w:sz w:val="24"/>
        </w:rPr>
        <w:t>number of snacks in total).</w:t>
      </w:r>
    </w:p>
    <w:p w14:paraId="286C95DC" w14:textId="11338CBA" w:rsidR="00C14F3F" w:rsidRPr="00453626" w:rsidRDefault="00C14F3F" w:rsidP="00396F23">
      <w:pPr>
        <w:spacing w:line="360" w:lineRule="auto"/>
        <w:rPr>
          <w:rFonts w:ascii="Times New Roman" w:hAnsi="Times New Roman" w:cs="Times New Roman"/>
          <w:sz w:val="24"/>
        </w:rPr>
      </w:pPr>
      <w:r w:rsidRPr="00453626">
        <w:rPr>
          <w:rFonts w:ascii="Times New Roman" w:hAnsi="Times New Roman" w:cs="Times New Roman"/>
          <w:sz w:val="24"/>
        </w:rPr>
        <w:t>We also examined the price of snack products based on energy content.</w:t>
      </w:r>
      <w:r w:rsidR="00532AF3" w:rsidRPr="00453626">
        <w:rPr>
          <w:rFonts w:ascii="Times New Roman" w:hAnsi="Times New Roman" w:cs="Times New Roman"/>
          <w:sz w:val="24"/>
        </w:rPr>
        <w:t xml:space="preserve"> </w:t>
      </w:r>
      <w:r w:rsidRPr="00453626">
        <w:rPr>
          <w:rFonts w:ascii="Times New Roman" w:hAnsi="Times New Roman" w:cs="Times New Roman"/>
          <w:sz w:val="24"/>
        </w:rPr>
        <w:t xml:space="preserve">Based on </w:t>
      </w:r>
      <w:r w:rsidR="00532AF3" w:rsidRPr="00453626">
        <w:rPr>
          <w:rFonts w:ascii="Times New Roman" w:hAnsi="Times New Roman" w:cs="Times New Roman"/>
          <w:sz w:val="24"/>
        </w:rPr>
        <w:t>P</w:t>
      </w:r>
      <w:r w:rsidR="00C3266B" w:rsidRPr="00453626">
        <w:rPr>
          <w:rFonts w:ascii="Times New Roman" w:hAnsi="Times New Roman" w:cs="Times New Roman"/>
          <w:sz w:val="24"/>
        </w:rPr>
        <w:t>HE</w:t>
      </w:r>
      <w:r w:rsidR="00C07B0C" w:rsidRPr="00453626">
        <w:rPr>
          <w:rFonts w:ascii="Times New Roman" w:hAnsi="Times New Roman" w:cs="Times New Roman"/>
          <w:sz w:val="24"/>
        </w:rPr>
        <w:t xml:space="preserve"> </w:t>
      </w:r>
      <w:r w:rsidRPr="00453626">
        <w:rPr>
          <w:rFonts w:ascii="Times New Roman" w:hAnsi="Times New Roman" w:cs="Times New Roman"/>
          <w:sz w:val="24"/>
        </w:rPr>
        <w:t>recommendations</w:t>
      </w:r>
      <w:r w:rsidR="000F31E6" w:rsidRPr="00453626">
        <w:rPr>
          <w:rFonts w:ascii="Times New Roman" w:hAnsi="Times New Roman" w:cs="Times New Roman"/>
          <w:sz w:val="24"/>
        </w:rPr>
        <w:t>,</w:t>
      </w:r>
      <w:r w:rsidRPr="00453626">
        <w:rPr>
          <w:rFonts w:ascii="Times New Roman" w:hAnsi="Times New Roman" w:cs="Times New Roman"/>
          <w:sz w:val="24"/>
        </w:rPr>
        <w:t xml:space="preserve"> we compared the price of snack products that were 200 kcal or less and more than 200 kcal at supermarkets and coffee shops. We used mixed models with price (per snack, £) as the dependant variable, energy content category</w:t>
      </w:r>
      <w:r w:rsidR="00DE71D7" w:rsidRPr="00453626">
        <w:rPr>
          <w:rFonts w:ascii="Times New Roman" w:hAnsi="Times New Roman" w:cs="Times New Roman"/>
          <w:sz w:val="24"/>
        </w:rPr>
        <w:t xml:space="preserve"> </w:t>
      </w:r>
      <w:r w:rsidR="00DE71D7" w:rsidRPr="00453626">
        <w:rPr>
          <w:rFonts w:ascii="Times New Roman" w:hAnsi="Times New Roman" w:cs="Times New Roman"/>
          <w:bCs/>
          <w:sz w:val="24"/>
        </w:rPr>
        <w:t>(≤ 200 kcal vs. &gt; 200 kcal</w:t>
      </w:r>
      <w:r w:rsidRPr="00453626">
        <w:rPr>
          <w:rFonts w:ascii="Times New Roman" w:hAnsi="Times New Roman" w:cs="Times New Roman"/>
          <w:sz w:val="24"/>
        </w:rPr>
        <w:t>, business type</w:t>
      </w:r>
      <w:r w:rsidR="002219C8" w:rsidRPr="00453626">
        <w:rPr>
          <w:rFonts w:ascii="Times New Roman" w:hAnsi="Times New Roman" w:cs="Times New Roman"/>
          <w:sz w:val="24"/>
        </w:rPr>
        <w:t xml:space="preserve"> (coffee shop vs. supermarket)</w:t>
      </w:r>
      <w:r w:rsidRPr="00453626">
        <w:rPr>
          <w:rFonts w:ascii="Times New Roman" w:hAnsi="Times New Roman" w:cs="Times New Roman"/>
          <w:sz w:val="24"/>
        </w:rPr>
        <w:t xml:space="preserve"> and the interaction between energy content category and business type as fixed effects.</w:t>
      </w:r>
      <w:r w:rsidR="00BF336B" w:rsidRPr="00453626">
        <w:rPr>
          <w:rFonts w:ascii="Times New Roman" w:hAnsi="Times New Roman" w:cs="Times New Roman"/>
          <w:sz w:val="24"/>
        </w:rPr>
        <w:t xml:space="preserve"> </w:t>
      </w:r>
      <w:r w:rsidR="00C3266B" w:rsidRPr="00453626">
        <w:rPr>
          <w:rFonts w:ascii="Times New Roman" w:hAnsi="Times New Roman" w:cs="Times New Roman"/>
          <w:sz w:val="24"/>
        </w:rPr>
        <w:t xml:space="preserve">We </w:t>
      </w:r>
      <w:r w:rsidR="000E317B" w:rsidRPr="00453626">
        <w:rPr>
          <w:rFonts w:ascii="Times New Roman" w:hAnsi="Times New Roman" w:cs="Times New Roman"/>
          <w:sz w:val="24"/>
        </w:rPr>
        <w:t xml:space="preserve">also </w:t>
      </w:r>
      <w:r w:rsidR="00BF336B" w:rsidRPr="00453626">
        <w:rPr>
          <w:rFonts w:ascii="Times New Roman" w:hAnsi="Times New Roman" w:cs="Times New Roman"/>
          <w:sz w:val="24"/>
        </w:rPr>
        <w:t xml:space="preserve">examined the relationship between price and the number of </w:t>
      </w:r>
      <w:r w:rsidR="000F31E6" w:rsidRPr="00453626">
        <w:rPr>
          <w:rFonts w:ascii="Times New Roman" w:hAnsi="Times New Roman" w:cs="Times New Roman"/>
          <w:sz w:val="24"/>
        </w:rPr>
        <w:t>red traffic lights</w:t>
      </w:r>
      <w:r w:rsidR="00BF336B" w:rsidRPr="00453626">
        <w:rPr>
          <w:rFonts w:ascii="Times New Roman" w:hAnsi="Times New Roman" w:cs="Times New Roman"/>
          <w:sz w:val="24"/>
        </w:rPr>
        <w:t xml:space="preserve"> at supermarkets and coffee shops. We used mixed models with price (per snack and per 100 kcal, £) as the dependant variables, </w:t>
      </w:r>
      <w:r w:rsidR="00DE71D7" w:rsidRPr="00453626">
        <w:rPr>
          <w:rFonts w:ascii="Times New Roman" w:hAnsi="Times New Roman" w:cs="Times New Roman"/>
          <w:sz w:val="24"/>
        </w:rPr>
        <w:t>number of red traffic lights</w:t>
      </w:r>
      <w:r w:rsidR="00BF336B" w:rsidRPr="00453626">
        <w:rPr>
          <w:rFonts w:ascii="Times New Roman" w:hAnsi="Times New Roman" w:cs="Times New Roman"/>
          <w:sz w:val="24"/>
        </w:rPr>
        <w:t>, business type</w:t>
      </w:r>
      <w:r w:rsidR="00DE71D7" w:rsidRPr="00453626">
        <w:rPr>
          <w:rFonts w:ascii="Times New Roman" w:hAnsi="Times New Roman" w:cs="Times New Roman"/>
          <w:sz w:val="24"/>
        </w:rPr>
        <w:t xml:space="preserve"> (coffee shop vs. supermarket)</w:t>
      </w:r>
      <w:r w:rsidR="00BF336B" w:rsidRPr="00453626">
        <w:rPr>
          <w:rFonts w:ascii="Times New Roman" w:hAnsi="Times New Roman" w:cs="Times New Roman"/>
          <w:sz w:val="24"/>
        </w:rPr>
        <w:t xml:space="preserve"> and the interaction between number of red</w:t>
      </w:r>
      <w:r w:rsidR="000F31E6" w:rsidRPr="00453626">
        <w:rPr>
          <w:rFonts w:ascii="Times New Roman" w:hAnsi="Times New Roman" w:cs="Times New Roman"/>
          <w:sz w:val="24"/>
        </w:rPr>
        <w:t xml:space="preserve"> traffic light</w:t>
      </w:r>
      <w:r w:rsidR="00BF336B" w:rsidRPr="00453626">
        <w:rPr>
          <w:rFonts w:ascii="Times New Roman" w:hAnsi="Times New Roman" w:cs="Times New Roman"/>
          <w:sz w:val="24"/>
        </w:rPr>
        <w:t>s and business type as fixed effects.</w:t>
      </w:r>
    </w:p>
    <w:p w14:paraId="01AA85E7" w14:textId="77777777" w:rsidR="00AC1448" w:rsidRPr="00453626" w:rsidRDefault="00AC1448" w:rsidP="00396F23">
      <w:pPr>
        <w:spacing w:line="360" w:lineRule="auto"/>
        <w:rPr>
          <w:rFonts w:ascii="Times New Roman" w:hAnsi="Times New Roman" w:cs="Times New Roman"/>
          <w:sz w:val="24"/>
        </w:rPr>
      </w:pPr>
    </w:p>
    <w:p w14:paraId="64E76D5A" w14:textId="77777777" w:rsidR="000F0266" w:rsidRPr="00453626" w:rsidRDefault="000F0266" w:rsidP="00396F23">
      <w:pPr>
        <w:spacing w:line="360" w:lineRule="auto"/>
        <w:rPr>
          <w:rFonts w:ascii="Times New Roman" w:hAnsi="Times New Roman" w:cs="Times New Roman"/>
          <w:b/>
          <w:sz w:val="24"/>
        </w:rPr>
      </w:pPr>
      <w:r w:rsidRPr="00453626">
        <w:rPr>
          <w:rFonts w:ascii="Times New Roman" w:hAnsi="Times New Roman" w:cs="Times New Roman"/>
          <w:b/>
          <w:sz w:val="24"/>
        </w:rPr>
        <w:t>Results</w:t>
      </w:r>
    </w:p>
    <w:p w14:paraId="087A7FAE" w14:textId="0D6CE3AA" w:rsidR="00CA3BDB" w:rsidRPr="00453626" w:rsidRDefault="00CA3BDB" w:rsidP="00396F23">
      <w:pPr>
        <w:spacing w:line="360" w:lineRule="auto"/>
        <w:rPr>
          <w:rFonts w:ascii="Times New Roman" w:hAnsi="Times New Roman" w:cs="Times New Roman"/>
          <w:sz w:val="24"/>
        </w:rPr>
      </w:pPr>
      <w:r w:rsidRPr="00453626">
        <w:rPr>
          <w:rFonts w:ascii="Times New Roman" w:hAnsi="Times New Roman" w:cs="Times New Roman"/>
          <w:sz w:val="24"/>
        </w:rPr>
        <w:t>Of the snack products identified</w:t>
      </w:r>
      <w:r w:rsidR="002624EC" w:rsidRPr="00453626">
        <w:rPr>
          <w:rFonts w:ascii="Times New Roman" w:hAnsi="Times New Roman" w:cs="Times New Roman"/>
          <w:sz w:val="24"/>
        </w:rPr>
        <w:t xml:space="preserve"> online</w:t>
      </w:r>
      <w:r w:rsidRPr="00453626">
        <w:rPr>
          <w:rFonts w:ascii="Times New Roman" w:hAnsi="Times New Roman" w:cs="Times New Roman"/>
          <w:sz w:val="24"/>
        </w:rPr>
        <w:t xml:space="preserve"> by the first coder (2238 products), 91% were also identified by the second coder, and of the snack products identified </w:t>
      </w:r>
      <w:r w:rsidR="002624EC" w:rsidRPr="00453626">
        <w:rPr>
          <w:rFonts w:ascii="Times New Roman" w:hAnsi="Times New Roman" w:cs="Times New Roman"/>
          <w:sz w:val="24"/>
        </w:rPr>
        <w:t xml:space="preserve">online </w:t>
      </w:r>
      <w:r w:rsidRPr="00453626">
        <w:rPr>
          <w:rFonts w:ascii="Times New Roman" w:hAnsi="Times New Roman" w:cs="Times New Roman"/>
          <w:sz w:val="24"/>
        </w:rPr>
        <w:t xml:space="preserve">by the second coder (2207 products), 92% were identified by the first coder, indicating </w:t>
      </w:r>
      <w:r w:rsidR="00B35762" w:rsidRPr="00453626">
        <w:rPr>
          <w:rFonts w:ascii="Times New Roman" w:hAnsi="Times New Roman" w:cs="Times New Roman"/>
          <w:sz w:val="24"/>
        </w:rPr>
        <w:t>reasonable</w:t>
      </w:r>
      <w:r w:rsidR="007F09C6" w:rsidRPr="00453626">
        <w:rPr>
          <w:rFonts w:ascii="Times New Roman" w:hAnsi="Times New Roman" w:cs="Times New Roman"/>
          <w:sz w:val="24"/>
        </w:rPr>
        <w:t xml:space="preserve"> </w:t>
      </w:r>
      <w:r w:rsidRPr="00453626">
        <w:rPr>
          <w:rFonts w:ascii="Times New Roman" w:hAnsi="Times New Roman" w:cs="Times New Roman"/>
          <w:sz w:val="24"/>
        </w:rPr>
        <w:t>consistency between the two coders. After discrepancies between the two coders were resolved, the final number of eligible snack products was 2283</w:t>
      </w:r>
      <w:r w:rsidR="0038188A" w:rsidRPr="00453626">
        <w:rPr>
          <w:rFonts w:ascii="Times New Roman" w:hAnsi="Times New Roman" w:cs="Times New Roman"/>
          <w:sz w:val="24"/>
        </w:rPr>
        <w:t>.</w:t>
      </w:r>
    </w:p>
    <w:p w14:paraId="569BDDDF" w14:textId="74D1EDF9" w:rsidR="007F2301" w:rsidRPr="00453626" w:rsidRDefault="00CA3BDB" w:rsidP="00396F23">
      <w:pPr>
        <w:spacing w:line="360" w:lineRule="auto"/>
        <w:rPr>
          <w:rFonts w:ascii="Times New Roman" w:hAnsi="Times New Roman" w:cs="Times New Roman"/>
          <w:sz w:val="24"/>
        </w:rPr>
      </w:pPr>
      <w:r w:rsidRPr="00453626">
        <w:rPr>
          <w:rFonts w:ascii="Times New Roman" w:hAnsi="Times New Roman" w:cs="Times New Roman"/>
          <w:sz w:val="24"/>
        </w:rPr>
        <w:t xml:space="preserve">Of the eligible snack products, 86% were classified in the same </w:t>
      </w:r>
      <w:r w:rsidR="007C399C" w:rsidRPr="00453626">
        <w:rPr>
          <w:rFonts w:ascii="Times New Roman" w:hAnsi="Times New Roman" w:cs="Times New Roman"/>
          <w:sz w:val="24"/>
        </w:rPr>
        <w:t xml:space="preserve">snack food </w:t>
      </w:r>
      <w:r w:rsidRPr="00453626">
        <w:rPr>
          <w:rFonts w:ascii="Times New Roman" w:hAnsi="Times New Roman" w:cs="Times New Roman"/>
          <w:sz w:val="24"/>
        </w:rPr>
        <w:t xml:space="preserve">category by the first and the second </w:t>
      </w:r>
      <w:r w:rsidR="00181715" w:rsidRPr="00453626">
        <w:rPr>
          <w:rFonts w:ascii="Times New Roman" w:hAnsi="Times New Roman" w:cs="Times New Roman"/>
          <w:sz w:val="24"/>
        </w:rPr>
        <w:t>coder</w:t>
      </w:r>
      <w:r w:rsidR="00335823" w:rsidRPr="00453626">
        <w:rPr>
          <w:rFonts w:ascii="Times New Roman" w:hAnsi="Times New Roman" w:cs="Times New Roman"/>
          <w:sz w:val="24"/>
        </w:rPr>
        <w:t>.</w:t>
      </w:r>
      <w:r w:rsidRPr="00453626">
        <w:rPr>
          <w:rFonts w:ascii="Times New Roman" w:hAnsi="Times New Roman" w:cs="Times New Roman"/>
          <w:sz w:val="24"/>
        </w:rPr>
        <w:t xml:space="preserve"> The initial 20 categories were recoded into </w:t>
      </w:r>
      <w:bookmarkStart w:id="7" w:name="_Hlk61370642"/>
      <w:r w:rsidRPr="00453626">
        <w:rPr>
          <w:rFonts w:ascii="Times New Roman" w:hAnsi="Times New Roman" w:cs="Times New Roman"/>
          <w:sz w:val="24"/>
        </w:rPr>
        <w:t xml:space="preserve">16 categories </w:t>
      </w:r>
      <w:bookmarkEnd w:id="7"/>
      <w:r w:rsidRPr="00453626">
        <w:rPr>
          <w:rFonts w:ascii="Times New Roman" w:hAnsi="Times New Roman" w:cs="Times New Roman"/>
          <w:sz w:val="24"/>
        </w:rPr>
        <w:t xml:space="preserve">by combining categories with less than 30 items with another </w:t>
      </w:r>
      <w:r w:rsidR="00DF5C2A" w:rsidRPr="00453626">
        <w:rPr>
          <w:rFonts w:ascii="Times New Roman" w:hAnsi="Times New Roman" w:cs="Times New Roman"/>
          <w:sz w:val="24"/>
        </w:rPr>
        <w:t xml:space="preserve">similar </w:t>
      </w:r>
      <w:r w:rsidRPr="00453626">
        <w:rPr>
          <w:rFonts w:ascii="Times New Roman" w:hAnsi="Times New Roman" w:cs="Times New Roman"/>
          <w:sz w:val="24"/>
        </w:rPr>
        <w:t>category</w:t>
      </w:r>
      <w:r w:rsidR="00335823" w:rsidRPr="00453626">
        <w:rPr>
          <w:rFonts w:ascii="Times New Roman" w:hAnsi="Times New Roman" w:cs="Times New Roman"/>
          <w:sz w:val="24"/>
        </w:rPr>
        <w:t xml:space="preserve"> (e.g., chocolate bags </w:t>
      </w:r>
      <w:r w:rsidR="00181715" w:rsidRPr="00453626">
        <w:rPr>
          <w:rFonts w:ascii="Times New Roman" w:hAnsi="Times New Roman" w:cs="Times New Roman"/>
          <w:sz w:val="24"/>
        </w:rPr>
        <w:t>with</w:t>
      </w:r>
      <w:r w:rsidR="00335823" w:rsidRPr="00453626">
        <w:rPr>
          <w:rFonts w:ascii="Times New Roman" w:hAnsi="Times New Roman" w:cs="Times New Roman"/>
          <w:sz w:val="24"/>
        </w:rPr>
        <w:t xml:space="preserve"> other chocolate snacks)</w:t>
      </w:r>
      <w:r w:rsidRPr="00453626">
        <w:rPr>
          <w:rFonts w:ascii="Times New Roman" w:hAnsi="Times New Roman" w:cs="Times New Roman"/>
          <w:sz w:val="24"/>
        </w:rPr>
        <w:t xml:space="preserve">. The type of snack products sold by </w:t>
      </w:r>
      <w:r w:rsidR="00A91A7C" w:rsidRPr="00453626">
        <w:rPr>
          <w:rFonts w:ascii="Times New Roman" w:hAnsi="Times New Roman" w:cs="Times New Roman"/>
          <w:sz w:val="24"/>
        </w:rPr>
        <w:t xml:space="preserve">the different </w:t>
      </w:r>
      <w:r w:rsidRPr="00453626">
        <w:rPr>
          <w:rFonts w:ascii="Times New Roman" w:hAnsi="Times New Roman" w:cs="Times New Roman"/>
          <w:sz w:val="24"/>
        </w:rPr>
        <w:t>business type</w:t>
      </w:r>
      <w:r w:rsidR="00A91A7C" w:rsidRPr="00453626">
        <w:rPr>
          <w:rFonts w:ascii="Times New Roman" w:hAnsi="Times New Roman" w:cs="Times New Roman"/>
          <w:sz w:val="24"/>
        </w:rPr>
        <w:t>s</w:t>
      </w:r>
      <w:r w:rsidRPr="00453626">
        <w:rPr>
          <w:rFonts w:ascii="Times New Roman" w:hAnsi="Times New Roman" w:cs="Times New Roman"/>
          <w:sz w:val="24"/>
        </w:rPr>
        <w:t xml:space="preserve"> are shown</w:t>
      </w:r>
      <w:r w:rsidR="002B0729" w:rsidRPr="00453626">
        <w:rPr>
          <w:rFonts w:ascii="Times New Roman" w:hAnsi="Times New Roman" w:cs="Times New Roman"/>
          <w:sz w:val="24"/>
        </w:rPr>
        <w:t xml:space="preserve"> in</w:t>
      </w:r>
      <w:r w:rsidRPr="00453626">
        <w:rPr>
          <w:rFonts w:ascii="Times New Roman" w:hAnsi="Times New Roman" w:cs="Times New Roman"/>
          <w:sz w:val="24"/>
        </w:rPr>
        <w:t xml:space="preserve"> </w:t>
      </w:r>
      <w:r w:rsidRPr="00453626">
        <w:rPr>
          <w:rFonts w:ascii="Times New Roman" w:hAnsi="Times New Roman" w:cs="Times New Roman"/>
          <w:b/>
          <w:bCs/>
          <w:sz w:val="24"/>
        </w:rPr>
        <w:t>Table 1</w:t>
      </w:r>
      <w:r w:rsidRPr="00453626">
        <w:rPr>
          <w:rFonts w:ascii="Times New Roman" w:hAnsi="Times New Roman" w:cs="Times New Roman"/>
          <w:sz w:val="24"/>
        </w:rPr>
        <w:t>.</w:t>
      </w:r>
      <w:r w:rsidR="00F42E76" w:rsidRPr="00453626">
        <w:rPr>
          <w:rFonts w:ascii="Times New Roman" w:hAnsi="Times New Roman" w:cs="Times New Roman"/>
          <w:sz w:val="24"/>
        </w:rPr>
        <w:t xml:space="preserve"> </w:t>
      </w:r>
      <w:r w:rsidR="00DE7801" w:rsidRPr="00453626">
        <w:rPr>
          <w:rFonts w:ascii="Times New Roman" w:hAnsi="Times New Roman" w:cs="Times New Roman"/>
          <w:sz w:val="24"/>
        </w:rPr>
        <w:t>The most common type of snack products sold at supermarket</w:t>
      </w:r>
      <w:r w:rsidR="00F42E76" w:rsidRPr="00453626">
        <w:rPr>
          <w:rFonts w:ascii="Times New Roman" w:hAnsi="Times New Roman" w:cs="Times New Roman"/>
          <w:sz w:val="24"/>
        </w:rPr>
        <w:t>s</w:t>
      </w:r>
      <w:r w:rsidR="00DE7801" w:rsidRPr="00453626">
        <w:rPr>
          <w:rFonts w:ascii="Times New Roman" w:hAnsi="Times New Roman" w:cs="Times New Roman"/>
          <w:sz w:val="24"/>
        </w:rPr>
        <w:t xml:space="preserve"> were yoghurts (26%) followed by </w:t>
      </w:r>
      <w:r w:rsidR="00DE7801" w:rsidRPr="00453626">
        <w:rPr>
          <w:rFonts w:ascii="Times New Roman" w:hAnsi="Times New Roman" w:cs="Times New Roman"/>
          <w:sz w:val="24"/>
        </w:rPr>
        <w:lastRenderedPageBreak/>
        <w:t xml:space="preserve">chocolate bars (11%). </w:t>
      </w:r>
      <w:r w:rsidR="00F42E76" w:rsidRPr="00453626">
        <w:rPr>
          <w:rFonts w:ascii="Times New Roman" w:hAnsi="Times New Roman" w:cs="Times New Roman"/>
          <w:sz w:val="24"/>
        </w:rPr>
        <w:t xml:space="preserve">At coffee shops, </w:t>
      </w:r>
      <w:r w:rsidR="004A76E4" w:rsidRPr="00453626">
        <w:rPr>
          <w:rFonts w:ascii="Times New Roman" w:hAnsi="Times New Roman" w:cs="Times New Roman"/>
          <w:sz w:val="24"/>
        </w:rPr>
        <w:t>b</w:t>
      </w:r>
      <w:r w:rsidR="00DE7801" w:rsidRPr="00453626">
        <w:rPr>
          <w:rFonts w:ascii="Times New Roman" w:hAnsi="Times New Roman" w:cs="Times New Roman"/>
          <w:sz w:val="24"/>
        </w:rPr>
        <w:t>aked goods (</w:t>
      </w:r>
      <w:r w:rsidR="00DF5C2A" w:rsidRPr="00453626">
        <w:rPr>
          <w:rFonts w:ascii="Times New Roman" w:hAnsi="Times New Roman" w:cs="Times New Roman"/>
          <w:sz w:val="24"/>
        </w:rPr>
        <w:t>e.g.</w:t>
      </w:r>
      <w:r w:rsidR="0075014A" w:rsidRPr="00453626">
        <w:rPr>
          <w:rFonts w:ascii="Times New Roman" w:hAnsi="Times New Roman" w:cs="Times New Roman"/>
          <w:sz w:val="24"/>
        </w:rPr>
        <w:t xml:space="preserve"> </w:t>
      </w:r>
      <w:r w:rsidR="00DE7801" w:rsidRPr="00453626">
        <w:rPr>
          <w:rFonts w:ascii="Times New Roman" w:hAnsi="Times New Roman" w:cs="Times New Roman"/>
          <w:sz w:val="24"/>
        </w:rPr>
        <w:t>pastries)</w:t>
      </w:r>
      <w:r w:rsidR="00F42E76" w:rsidRPr="00453626">
        <w:rPr>
          <w:rFonts w:ascii="Times New Roman" w:hAnsi="Times New Roman" w:cs="Times New Roman"/>
          <w:sz w:val="24"/>
        </w:rPr>
        <w:t xml:space="preserve"> were the most common snack products (51%)</w:t>
      </w:r>
      <w:r w:rsidR="00350156" w:rsidRPr="00453626">
        <w:rPr>
          <w:rFonts w:ascii="Times New Roman" w:hAnsi="Times New Roman" w:cs="Times New Roman"/>
          <w:sz w:val="24"/>
        </w:rPr>
        <w:t>.</w:t>
      </w:r>
    </w:p>
    <w:p w14:paraId="442AF4E4" w14:textId="77777777" w:rsidR="00D66180" w:rsidRPr="00453626" w:rsidRDefault="00D66180" w:rsidP="00D66180">
      <w:pPr>
        <w:spacing w:line="360" w:lineRule="auto"/>
        <w:rPr>
          <w:rFonts w:ascii="Times New Roman" w:hAnsi="Times New Roman" w:cs="Times New Roman"/>
          <w:sz w:val="24"/>
        </w:rPr>
      </w:pPr>
      <w:r w:rsidRPr="00453626">
        <w:rPr>
          <w:rFonts w:ascii="Times New Roman" w:hAnsi="Times New Roman" w:cs="Times New Roman"/>
          <w:b/>
          <w:bCs/>
          <w:sz w:val="24"/>
        </w:rPr>
        <w:t>Table 1.</w:t>
      </w:r>
      <w:r w:rsidRPr="00453626">
        <w:rPr>
          <w:rFonts w:ascii="Times New Roman" w:hAnsi="Times New Roman" w:cs="Times New Roman"/>
          <w:sz w:val="24"/>
        </w:rPr>
        <w:t xml:space="preserve"> Number and percentage of snack products by category and business type (online sampling)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3"/>
        <w:gridCol w:w="1885"/>
        <w:gridCol w:w="1887"/>
        <w:gridCol w:w="1883"/>
      </w:tblGrid>
      <w:tr w:rsidR="00453626" w:rsidRPr="00453626" w14:paraId="78AA7696" w14:textId="77777777" w:rsidTr="00D66180">
        <w:tc>
          <w:tcPr>
            <w:tcW w:w="2066" w:type="pct"/>
            <w:tcBorders>
              <w:top w:val="single" w:sz="4" w:space="0" w:color="auto"/>
              <w:left w:val="nil"/>
              <w:bottom w:val="single" w:sz="4" w:space="0" w:color="auto"/>
              <w:right w:val="nil"/>
            </w:tcBorders>
            <w:vAlign w:val="center"/>
            <w:hideMark/>
          </w:tcPr>
          <w:p w14:paraId="3F01B149" w14:textId="77777777" w:rsidR="00D66180" w:rsidRPr="00453626" w:rsidRDefault="00D66180">
            <w:pPr>
              <w:spacing w:line="360" w:lineRule="auto"/>
              <w:rPr>
                <w:rFonts w:ascii="Times New Roman" w:hAnsi="Times New Roman" w:cs="Times New Roman"/>
                <w:b/>
              </w:rPr>
            </w:pPr>
            <w:r w:rsidRPr="00453626">
              <w:rPr>
                <w:rFonts w:ascii="Times New Roman" w:hAnsi="Times New Roman" w:cs="Times New Roman"/>
                <w:b/>
              </w:rPr>
              <w:t>Category</w:t>
            </w:r>
          </w:p>
        </w:tc>
        <w:tc>
          <w:tcPr>
            <w:tcW w:w="978" w:type="pct"/>
            <w:tcBorders>
              <w:top w:val="single" w:sz="4" w:space="0" w:color="auto"/>
              <w:left w:val="nil"/>
              <w:bottom w:val="single" w:sz="4" w:space="0" w:color="auto"/>
              <w:right w:val="nil"/>
            </w:tcBorders>
            <w:vAlign w:val="center"/>
            <w:hideMark/>
          </w:tcPr>
          <w:p w14:paraId="3EFB0AEC" w14:textId="77777777" w:rsidR="00D66180" w:rsidRPr="00453626" w:rsidRDefault="00D66180">
            <w:pPr>
              <w:spacing w:line="360" w:lineRule="auto"/>
              <w:jc w:val="center"/>
              <w:rPr>
                <w:rFonts w:ascii="Times New Roman" w:hAnsi="Times New Roman" w:cs="Times New Roman"/>
                <w:b/>
              </w:rPr>
            </w:pPr>
            <w:r w:rsidRPr="00453626">
              <w:rPr>
                <w:rFonts w:ascii="Times New Roman" w:hAnsi="Times New Roman" w:cs="Times New Roman"/>
                <w:b/>
              </w:rPr>
              <w:t>Overall</w:t>
            </w:r>
          </w:p>
          <w:p w14:paraId="3FDECB90"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n (%) of snacks</w:t>
            </w:r>
          </w:p>
        </w:tc>
        <w:tc>
          <w:tcPr>
            <w:tcW w:w="979" w:type="pct"/>
            <w:tcBorders>
              <w:top w:val="single" w:sz="4" w:space="0" w:color="auto"/>
              <w:left w:val="nil"/>
              <w:bottom w:val="single" w:sz="4" w:space="0" w:color="auto"/>
              <w:right w:val="nil"/>
            </w:tcBorders>
            <w:vAlign w:val="center"/>
            <w:hideMark/>
          </w:tcPr>
          <w:p w14:paraId="61342642" w14:textId="77777777" w:rsidR="00D66180" w:rsidRPr="00453626" w:rsidRDefault="00D66180">
            <w:pPr>
              <w:spacing w:line="360" w:lineRule="auto"/>
              <w:jc w:val="center"/>
              <w:rPr>
                <w:rFonts w:ascii="Times New Roman" w:hAnsi="Times New Roman" w:cs="Times New Roman"/>
                <w:b/>
              </w:rPr>
            </w:pPr>
            <w:r w:rsidRPr="00453626">
              <w:rPr>
                <w:rFonts w:ascii="Times New Roman" w:hAnsi="Times New Roman" w:cs="Times New Roman"/>
                <w:b/>
              </w:rPr>
              <w:t>Supermarkets</w:t>
            </w:r>
          </w:p>
          <w:p w14:paraId="28AC8EBD"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n (%) of snacks</w:t>
            </w:r>
          </w:p>
        </w:tc>
        <w:tc>
          <w:tcPr>
            <w:tcW w:w="977" w:type="pct"/>
            <w:tcBorders>
              <w:top w:val="single" w:sz="4" w:space="0" w:color="auto"/>
              <w:left w:val="nil"/>
              <w:bottom w:val="single" w:sz="4" w:space="0" w:color="auto"/>
              <w:right w:val="nil"/>
            </w:tcBorders>
            <w:vAlign w:val="center"/>
            <w:hideMark/>
          </w:tcPr>
          <w:p w14:paraId="7EECBD8D" w14:textId="77777777" w:rsidR="00D66180" w:rsidRPr="00453626" w:rsidRDefault="00D66180">
            <w:pPr>
              <w:spacing w:line="360" w:lineRule="auto"/>
              <w:jc w:val="center"/>
              <w:rPr>
                <w:rFonts w:ascii="Times New Roman" w:hAnsi="Times New Roman" w:cs="Times New Roman"/>
                <w:b/>
              </w:rPr>
            </w:pPr>
            <w:r w:rsidRPr="00453626">
              <w:rPr>
                <w:rFonts w:ascii="Times New Roman" w:hAnsi="Times New Roman" w:cs="Times New Roman"/>
                <w:b/>
              </w:rPr>
              <w:t>Coffee shops</w:t>
            </w:r>
          </w:p>
          <w:p w14:paraId="5B30C2B5" w14:textId="77777777" w:rsidR="00D66180" w:rsidRPr="00453626" w:rsidRDefault="00D66180">
            <w:pPr>
              <w:spacing w:line="360" w:lineRule="auto"/>
              <w:jc w:val="center"/>
              <w:rPr>
                <w:rFonts w:ascii="Times New Roman" w:hAnsi="Times New Roman" w:cs="Times New Roman"/>
                <w:b/>
              </w:rPr>
            </w:pPr>
            <w:r w:rsidRPr="00453626">
              <w:rPr>
                <w:rFonts w:ascii="Times New Roman" w:hAnsi="Times New Roman" w:cs="Times New Roman"/>
              </w:rPr>
              <w:t>n (%) of snacks</w:t>
            </w:r>
          </w:p>
        </w:tc>
      </w:tr>
      <w:tr w:rsidR="00453626" w:rsidRPr="00453626" w14:paraId="3FEFAD63" w14:textId="77777777" w:rsidTr="00D66180">
        <w:tc>
          <w:tcPr>
            <w:tcW w:w="2066" w:type="pct"/>
            <w:tcBorders>
              <w:top w:val="single" w:sz="4" w:space="0" w:color="auto"/>
              <w:left w:val="nil"/>
              <w:bottom w:val="nil"/>
              <w:right w:val="nil"/>
            </w:tcBorders>
            <w:vAlign w:val="center"/>
            <w:hideMark/>
          </w:tcPr>
          <w:p w14:paraId="3E945AB8"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Yoghurts</w:t>
            </w:r>
          </w:p>
        </w:tc>
        <w:tc>
          <w:tcPr>
            <w:tcW w:w="978" w:type="pct"/>
            <w:tcBorders>
              <w:top w:val="single" w:sz="4" w:space="0" w:color="auto"/>
              <w:left w:val="nil"/>
              <w:bottom w:val="nil"/>
              <w:right w:val="nil"/>
            </w:tcBorders>
            <w:vAlign w:val="center"/>
            <w:hideMark/>
          </w:tcPr>
          <w:p w14:paraId="5C6912FE"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515 (22)</w:t>
            </w:r>
          </w:p>
        </w:tc>
        <w:tc>
          <w:tcPr>
            <w:tcW w:w="979" w:type="pct"/>
            <w:tcBorders>
              <w:top w:val="single" w:sz="4" w:space="0" w:color="auto"/>
              <w:left w:val="nil"/>
              <w:bottom w:val="nil"/>
              <w:right w:val="nil"/>
            </w:tcBorders>
            <w:vAlign w:val="center"/>
            <w:hideMark/>
          </w:tcPr>
          <w:p w14:paraId="460A856C"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495 (26)</w:t>
            </w:r>
          </w:p>
        </w:tc>
        <w:tc>
          <w:tcPr>
            <w:tcW w:w="977" w:type="pct"/>
            <w:tcBorders>
              <w:top w:val="single" w:sz="4" w:space="0" w:color="auto"/>
              <w:left w:val="nil"/>
              <w:bottom w:val="nil"/>
              <w:right w:val="nil"/>
            </w:tcBorders>
            <w:vAlign w:val="center"/>
            <w:hideMark/>
          </w:tcPr>
          <w:p w14:paraId="1CAD5056"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20 (5)</w:t>
            </w:r>
          </w:p>
        </w:tc>
      </w:tr>
      <w:tr w:rsidR="00453626" w:rsidRPr="00453626" w14:paraId="4145B006" w14:textId="77777777" w:rsidTr="00D66180">
        <w:tc>
          <w:tcPr>
            <w:tcW w:w="2066" w:type="pct"/>
            <w:vAlign w:val="center"/>
            <w:hideMark/>
          </w:tcPr>
          <w:p w14:paraId="68DB8701"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Baked goods</w:t>
            </w:r>
          </w:p>
        </w:tc>
        <w:tc>
          <w:tcPr>
            <w:tcW w:w="978" w:type="pct"/>
            <w:vAlign w:val="center"/>
            <w:hideMark/>
          </w:tcPr>
          <w:p w14:paraId="48D71B9D"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289 (13)</w:t>
            </w:r>
          </w:p>
        </w:tc>
        <w:tc>
          <w:tcPr>
            <w:tcW w:w="979" w:type="pct"/>
            <w:vAlign w:val="center"/>
            <w:hideMark/>
          </w:tcPr>
          <w:p w14:paraId="7F4B1F3D"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97 (5)</w:t>
            </w:r>
          </w:p>
        </w:tc>
        <w:tc>
          <w:tcPr>
            <w:tcW w:w="977" w:type="pct"/>
            <w:vAlign w:val="center"/>
            <w:hideMark/>
          </w:tcPr>
          <w:p w14:paraId="7FFA52C1"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192 (51)</w:t>
            </w:r>
          </w:p>
        </w:tc>
      </w:tr>
      <w:tr w:rsidR="00453626" w:rsidRPr="00453626" w14:paraId="3DECFD2B" w14:textId="77777777" w:rsidTr="00D66180">
        <w:tc>
          <w:tcPr>
            <w:tcW w:w="2066" w:type="pct"/>
            <w:vAlign w:val="center"/>
            <w:hideMark/>
          </w:tcPr>
          <w:p w14:paraId="297E9E0A"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Nuts and seeds bars</w:t>
            </w:r>
          </w:p>
        </w:tc>
        <w:tc>
          <w:tcPr>
            <w:tcW w:w="978" w:type="pct"/>
            <w:vAlign w:val="center"/>
            <w:hideMark/>
          </w:tcPr>
          <w:p w14:paraId="7981A086"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219 (9)</w:t>
            </w:r>
          </w:p>
        </w:tc>
        <w:tc>
          <w:tcPr>
            <w:tcW w:w="979" w:type="pct"/>
            <w:vAlign w:val="center"/>
            <w:hideMark/>
          </w:tcPr>
          <w:p w14:paraId="7CF82C09"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196 (10)</w:t>
            </w:r>
          </w:p>
        </w:tc>
        <w:tc>
          <w:tcPr>
            <w:tcW w:w="977" w:type="pct"/>
            <w:vAlign w:val="center"/>
            <w:hideMark/>
          </w:tcPr>
          <w:p w14:paraId="57BE631C"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23 (6)</w:t>
            </w:r>
          </w:p>
        </w:tc>
      </w:tr>
      <w:tr w:rsidR="00453626" w:rsidRPr="00453626" w14:paraId="7FDF9013" w14:textId="77777777" w:rsidTr="00D66180">
        <w:tc>
          <w:tcPr>
            <w:tcW w:w="2066" w:type="pct"/>
            <w:vAlign w:val="center"/>
            <w:hideMark/>
          </w:tcPr>
          <w:p w14:paraId="47B925D9"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 xml:space="preserve">Chocolate bars </w:t>
            </w:r>
          </w:p>
        </w:tc>
        <w:tc>
          <w:tcPr>
            <w:tcW w:w="978" w:type="pct"/>
            <w:vAlign w:val="center"/>
            <w:hideMark/>
          </w:tcPr>
          <w:p w14:paraId="24EDDDC2"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215 (9)</w:t>
            </w:r>
          </w:p>
        </w:tc>
        <w:tc>
          <w:tcPr>
            <w:tcW w:w="979" w:type="pct"/>
            <w:vAlign w:val="center"/>
            <w:hideMark/>
          </w:tcPr>
          <w:p w14:paraId="546132D8"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204 (11)</w:t>
            </w:r>
          </w:p>
        </w:tc>
        <w:tc>
          <w:tcPr>
            <w:tcW w:w="977" w:type="pct"/>
            <w:vAlign w:val="center"/>
            <w:hideMark/>
          </w:tcPr>
          <w:p w14:paraId="2FE85A5E"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11 (3)</w:t>
            </w:r>
          </w:p>
        </w:tc>
      </w:tr>
      <w:tr w:rsidR="00453626" w:rsidRPr="00453626" w14:paraId="3D2491CB" w14:textId="77777777" w:rsidTr="00D66180">
        <w:tc>
          <w:tcPr>
            <w:tcW w:w="2066" w:type="pct"/>
            <w:vAlign w:val="center"/>
            <w:hideMark/>
          </w:tcPr>
          <w:p w14:paraId="3EA7377E"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Crisps</w:t>
            </w:r>
          </w:p>
        </w:tc>
        <w:tc>
          <w:tcPr>
            <w:tcW w:w="978" w:type="pct"/>
            <w:vAlign w:val="center"/>
            <w:hideMark/>
          </w:tcPr>
          <w:p w14:paraId="3008A9BA"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158 (7)</w:t>
            </w:r>
          </w:p>
        </w:tc>
        <w:tc>
          <w:tcPr>
            <w:tcW w:w="979" w:type="pct"/>
            <w:vAlign w:val="center"/>
            <w:hideMark/>
          </w:tcPr>
          <w:p w14:paraId="57640CF3"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136 (7)</w:t>
            </w:r>
          </w:p>
        </w:tc>
        <w:tc>
          <w:tcPr>
            <w:tcW w:w="977" w:type="pct"/>
            <w:vAlign w:val="center"/>
            <w:hideMark/>
          </w:tcPr>
          <w:p w14:paraId="3451B1F3"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22 (6)</w:t>
            </w:r>
          </w:p>
        </w:tc>
      </w:tr>
      <w:tr w:rsidR="00453626" w:rsidRPr="00453626" w14:paraId="1EC4AFF0" w14:textId="77777777" w:rsidTr="00D66180">
        <w:tc>
          <w:tcPr>
            <w:tcW w:w="2066" w:type="pct"/>
            <w:vAlign w:val="center"/>
            <w:hideMark/>
          </w:tcPr>
          <w:p w14:paraId="3EF9DC68"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Fruit</w:t>
            </w:r>
          </w:p>
        </w:tc>
        <w:tc>
          <w:tcPr>
            <w:tcW w:w="978" w:type="pct"/>
            <w:vAlign w:val="center"/>
            <w:hideMark/>
          </w:tcPr>
          <w:p w14:paraId="12895C73"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138 (6)</w:t>
            </w:r>
          </w:p>
        </w:tc>
        <w:tc>
          <w:tcPr>
            <w:tcW w:w="979" w:type="pct"/>
            <w:vAlign w:val="center"/>
            <w:hideMark/>
          </w:tcPr>
          <w:p w14:paraId="3AAC5303"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114 (6)</w:t>
            </w:r>
          </w:p>
        </w:tc>
        <w:tc>
          <w:tcPr>
            <w:tcW w:w="977" w:type="pct"/>
            <w:vAlign w:val="center"/>
            <w:hideMark/>
          </w:tcPr>
          <w:p w14:paraId="7FF96C82"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24 (6)</w:t>
            </w:r>
          </w:p>
        </w:tc>
      </w:tr>
      <w:tr w:rsidR="00453626" w:rsidRPr="00453626" w14:paraId="062E165A" w14:textId="77777777" w:rsidTr="00D66180">
        <w:tc>
          <w:tcPr>
            <w:tcW w:w="2066" w:type="pct"/>
            <w:vAlign w:val="center"/>
            <w:hideMark/>
          </w:tcPr>
          <w:p w14:paraId="7A9E55A3"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Other bars</w:t>
            </w:r>
          </w:p>
        </w:tc>
        <w:tc>
          <w:tcPr>
            <w:tcW w:w="978" w:type="pct"/>
            <w:vAlign w:val="center"/>
            <w:hideMark/>
          </w:tcPr>
          <w:p w14:paraId="27484B0C"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131 (6)</w:t>
            </w:r>
          </w:p>
        </w:tc>
        <w:tc>
          <w:tcPr>
            <w:tcW w:w="979" w:type="pct"/>
            <w:vAlign w:val="center"/>
            <w:hideMark/>
          </w:tcPr>
          <w:p w14:paraId="1B73D684"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130 (7)</w:t>
            </w:r>
          </w:p>
        </w:tc>
        <w:tc>
          <w:tcPr>
            <w:tcW w:w="977" w:type="pct"/>
            <w:vAlign w:val="center"/>
            <w:hideMark/>
          </w:tcPr>
          <w:p w14:paraId="45F9408C"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 (1)</w:t>
            </w:r>
          </w:p>
        </w:tc>
      </w:tr>
      <w:tr w:rsidR="00453626" w:rsidRPr="00453626" w14:paraId="2AAC52AA" w14:textId="77777777" w:rsidTr="00D66180">
        <w:tc>
          <w:tcPr>
            <w:tcW w:w="2066" w:type="pct"/>
            <w:vAlign w:val="center"/>
            <w:hideMark/>
          </w:tcPr>
          <w:p w14:paraId="311C25DB"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Meat- and cheese-based snacks</w:t>
            </w:r>
            <w:r w:rsidRPr="00453626">
              <w:rPr>
                <w:rFonts w:ascii="Times New Roman" w:hAnsi="Times New Roman" w:cs="Times New Roman"/>
                <w:vertAlign w:val="superscript"/>
              </w:rPr>
              <w:t>1</w:t>
            </w:r>
          </w:p>
        </w:tc>
        <w:tc>
          <w:tcPr>
            <w:tcW w:w="978" w:type="pct"/>
            <w:vAlign w:val="center"/>
            <w:hideMark/>
          </w:tcPr>
          <w:p w14:paraId="1FE50E03"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108 (5)</w:t>
            </w:r>
          </w:p>
        </w:tc>
        <w:tc>
          <w:tcPr>
            <w:tcW w:w="979" w:type="pct"/>
            <w:vAlign w:val="center"/>
            <w:hideMark/>
          </w:tcPr>
          <w:p w14:paraId="31575F8F"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93 (5)</w:t>
            </w:r>
          </w:p>
        </w:tc>
        <w:tc>
          <w:tcPr>
            <w:tcW w:w="977" w:type="pct"/>
            <w:vAlign w:val="center"/>
            <w:hideMark/>
          </w:tcPr>
          <w:p w14:paraId="7FF9BBF3"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15 (4)</w:t>
            </w:r>
          </w:p>
        </w:tc>
      </w:tr>
      <w:tr w:rsidR="00453626" w:rsidRPr="00453626" w14:paraId="40E15764" w14:textId="77777777" w:rsidTr="00D66180">
        <w:tc>
          <w:tcPr>
            <w:tcW w:w="2066" w:type="pct"/>
            <w:vAlign w:val="center"/>
            <w:hideMark/>
          </w:tcPr>
          <w:p w14:paraId="2FEC0120"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Sweets</w:t>
            </w:r>
          </w:p>
        </w:tc>
        <w:tc>
          <w:tcPr>
            <w:tcW w:w="978" w:type="pct"/>
            <w:vAlign w:val="center"/>
            <w:hideMark/>
          </w:tcPr>
          <w:p w14:paraId="0BF3F967"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105 (5)</w:t>
            </w:r>
          </w:p>
        </w:tc>
        <w:tc>
          <w:tcPr>
            <w:tcW w:w="979" w:type="pct"/>
            <w:vAlign w:val="center"/>
            <w:hideMark/>
          </w:tcPr>
          <w:p w14:paraId="29B3908D"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100 (5)</w:t>
            </w:r>
          </w:p>
        </w:tc>
        <w:tc>
          <w:tcPr>
            <w:tcW w:w="977" w:type="pct"/>
            <w:vAlign w:val="center"/>
            <w:hideMark/>
          </w:tcPr>
          <w:p w14:paraId="68BD4A89"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5 (1)</w:t>
            </w:r>
          </w:p>
        </w:tc>
      </w:tr>
      <w:tr w:rsidR="00453626" w:rsidRPr="00453626" w14:paraId="150B1BBB" w14:textId="77777777" w:rsidTr="00D66180">
        <w:tc>
          <w:tcPr>
            <w:tcW w:w="2066" w:type="pct"/>
            <w:vAlign w:val="center"/>
            <w:hideMark/>
          </w:tcPr>
          <w:p w14:paraId="1FE26734"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Bags and other chocolate snacks</w:t>
            </w:r>
            <w:r w:rsidRPr="00453626">
              <w:rPr>
                <w:rFonts w:ascii="Times New Roman" w:hAnsi="Times New Roman" w:cs="Times New Roman"/>
                <w:vertAlign w:val="superscript"/>
              </w:rPr>
              <w:t>2</w:t>
            </w:r>
          </w:p>
        </w:tc>
        <w:tc>
          <w:tcPr>
            <w:tcW w:w="978" w:type="pct"/>
            <w:vAlign w:val="center"/>
            <w:hideMark/>
          </w:tcPr>
          <w:p w14:paraId="4B9E017E"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95 (4)</w:t>
            </w:r>
          </w:p>
        </w:tc>
        <w:tc>
          <w:tcPr>
            <w:tcW w:w="979" w:type="pct"/>
            <w:vAlign w:val="center"/>
            <w:hideMark/>
          </w:tcPr>
          <w:p w14:paraId="07AC232E"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84 (4)</w:t>
            </w:r>
          </w:p>
        </w:tc>
        <w:tc>
          <w:tcPr>
            <w:tcW w:w="977" w:type="pct"/>
            <w:vAlign w:val="center"/>
            <w:hideMark/>
          </w:tcPr>
          <w:p w14:paraId="71CE5E78"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11 (3)</w:t>
            </w:r>
          </w:p>
        </w:tc>
      </w:tr>
      <w:tr w:rsidR="00453626" w:rsidRPr="00453626" w14:paraId="6F0A922E" w14:textId="77777777" w:rsidTr="00D66180">
        <w:tc>
          <w:tcPr>
            <w:tcW w:w="2066" w:type="pct"/>
            <w:vAlign w:val="center"/>
            <w:hideMark/>
          </w:tcPr>
          <w:p w14:paraId="66338B68"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Fruit-based snacks/bars</w:t>
            </w:r>
          </w:p>
        </w:tc>
        <w:tc>
          <w:tcPr>
            <w:tcW w:w="978" w:type="pct"/>
            <w:vAlign w:val="center"/>
            <w:hideMark/>
          </w:tcPr>
          <w:p w14:paraId="6277F0A4"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86 (4)</w:t>
            </w:r>
          </w:p>
        </w:tc>
        <w:tc>
          <w:tcPr>
            <w:tcW w:w="979" w:type="pct"/>
            <w:vAlign w:val="center"/>
            <w:hideMark/>
          </w:tcPr>
          <w:p w14:paraId="2E57B7F1"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80 (4)</w:t>
            </w:r>
          </w:p>
        </w:tc>
        <w:tc>
          <w:tcPr>
            <w:tcW w:w="977" w:type="pct"/>
            <w:vAlign w:val="center"/>
            <w:hideMark/>
          </w:tcPr>
          <w:p w14:paraId="763875C2"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6 (2)</w:t>
            </w:r>
          </w:p>
        </w:tc>
      </w:tr>
      <w:tr w:rsidR="00453626" w:rsidRPr="00453626" w14:paraId="5ECE6288" w14:textId="77777777" w:rsidTr="00D66180">
        <w:tc>
          <w:tcPr>
            <w:tcW w:w="2066" w:type="pct"/>
            <w:vAlign w:val="center"/>
            <w:hideMark/>
          </w:tcPr>
          <w:p w14:paraId="0396CE8C"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Cereal or granola bars</w:t>
            </w:r>
          </w:p>
        </w:tc>
        <w:tc>
          <w:tcPr>
            <w:tcW w:w="978" w:type="pct"/>
            <w:vAlign w:val="center"/>
            <w:hideMark/>
          </w:tcPr>
          <w:p w14:paraId="4B7E909F"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58 (3)</w:t>
            </w:r>
          </w:p>
        </w:tc>
        <w:tc>
          <w:tcPr>
            <w:tcW w:w="979" w:type="pct"/>
            <w:vAlign w:val="center"/>
            <w:hideMark/>
          </w:tcPr>
          <w:p w14:paraId="517F13B4"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53 (3)</w:t>
            </w:r>
          </w:p>
        </w:tc>
        <w:tc>
          <w:tcPr>
            <w:tcW w:w="977" w:type="pct"/>
            <w:vAlign w:val="center"/>
            <w:hideMark/>
          </w:tcPr>
          <w:p w14:paraId="1323C878"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5 (1)</w:t>
            </w:r>
          </w:p>
        </w:tc>
      </w:tr>
      <w:tr w:rsidR="00453626" w:rsidRPr="00453626" w14:paraId="2FADC55B" w14:textId="77777777" w:rsidTr="00D66180">
        <w:tc>
          <w:tcPr>
            <w:tcW w:w="2066" w:type="pct"/>
            <w:vAlign w:val="center"/>
            <w:hideMark/>
          </w:tcPr>
          <w:p w14:paraId="2EA6EB6D"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Popcorn, rice, corn, and oatcakes</w:t>
            </w:r>
            <w:r w:rsidRPr="00453626">
              <w:rPr>
                <w:rFonts w:ascii="Times New Roman" w:hAnsi="Times New Roman" w:cs="Times New Roman"/>
                <w:vertAlign w:val="superscript"/>
              </w:rPr>
              <w:t>3</w:t>
            </w:r>
          </w:p>
        </w:tc>
        <w:tc>
          <w:tcPr>
            <w:tcW w:w="978" w:type="pct"/>
            <w:vAlign w:val="center"/>
            <w:hideMark/>
          </w:tcPr>
          <w:p w14:paraId="54A27D47"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51 (2)</w:t>
            </w:r>
          </w:p>
        </w:tc>
        <w:tc>
          <w:tcPr>
            <w:tcW w:w="979" w:type="pct"/>
            <w:vAlign w:val="center"/>
            <w:hideMark/>
          </w:tcPr>
          <w:p w14:paraId="78ACEDF9"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42 (2)</w:t>
            </w:r>
          </w:p>
        </w:tc>
        <w:tc>
          <w:tcPr>
            <w:tcW w:w="977" w:type="pct"/>
            <w:vAlign w:val="center"/>
            <w:hideMark/>
          </w:tcPr>
          <w:p w14:paraId="1D3259DA"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9 (2)</w:t>
            </w:r>
          </w:p>
        </w:tc>
      </w:tr>
      <w:tr w:rsidR="00453626" w:rsidRPr="00453626" w14:paraId="1A4B4929" w14:textId="77777777" w:rsidTr="00D66180">
        <w:tc>
          <w:tcPr>
            <w:tcW w:w="2066" w:type="pct"/>
            <w:vAlign w:val="center"/>
            <w:hideMark/>
          </w:tcPr>
          <w:p w14:paraId="387900A3"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Biscuits and crackers</w:t>
            </w:r>
          </w:p>
        </w:tc>
        <w:tc>
          <w:tcPr>
            <w:tcW w:w="978" w:type="pct"/>
            <w:vAlign w:val="center"/>
            <w:hideMark/>
          </w:tcPr>
          <w:p w14:paraId="151A391F"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51 (2)</w:t>
            </w:r>
          </w:p>
        </w:tc>
        <w:tc>
          <w:tcPr>
            <w:tcW w:w="979" w:type="pct"/>
            <w:vAlign w:val="center"/>
            <w:hideMark/>
          </w:tcPr>
          <w:p w14:paraId="2A0E0DD0"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27 (1)</w:t>
            </w:r>
          </w:p>
        </w:tc>
        <w:tc>
          <w:tcPr>
            <w:tcW w:w="977" w:type="pct"/>
            <w:vAlign w:val="center"/>
            <w:hideMark/>
          </w:tcPr>
          <w:p w14:paraId="7834BD33"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24 (6)</w:t>
            </w:r>
          </w:p>
        </w:tc>
      </w:tr>
      <w:tr w:rsidR="00453626" w:rsidRPr="00453626" w14:paraId="1F28DC72" w14:textId="77777777" w:rsidTr="00D66180">
        <w:tc>
          <w:tcPr>
            <w:tcW w:w="2066" w:type="pct"/>
            <w:vAlign w:val="center"/>
            <w:hideMark/>
          </w:tcPr>
          <w:p w14:paraId="554278A5"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Vegetable- and bean-based snacks</w:t>
            </w:r>
            <w:r w:rsidRPr="00453626">
              <w:rPr>
                <w:rFonts w:ascii="Times New Roman" w:hAnsi="Times New Roman" w:cs="Times New Roman"/>
                <w:vertAlign w:val="superscript"/>
              </w:rPr>
              <w:t>4</w:t>
            </w:r>
          </w:p>
        </w:tc>
        <w:tc>
          <w:tcPr>
            <w:tcW w:w="978" w:type="pct"/>
            <w:vAlign w:val="center"/>
            <w:hideMark/>
          </w:tcPr>
          <w:p w14:paraId="721B281B"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22 (1)</w:t>
            </w:r>
          </w:p>
        </w:tc>
        <w:tc>
          <w:tcPr>
            <w:tcW w:w="979" w:type="pct"/>
            <w:vAlign w:val="center"/>
            <w:hideMark/>
          </w:tcPr>
          <w:p w14:paraId="16DE8FAB"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16 (1)</w:t>
            </w:r>
          </w:p>
        </w:tc>
        <w:tc>
          <w:tcPr>
            <w:tcW w:w="977" w:type="pct"/>
            <w:vAlign w:val="center"/>
            <w:hideMark/>
          </w:tcPr>
          <w:p w14:paraId="733A5056"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6 (2)</w:t>
            </w:r>
          </w:p>
        </w:tc>
      </w:tr>
      <w:tr w:rsidR="00453626" w:rsidRPr="00453626" w14:paraId="3C73A533" w14:textId="77777777" w:rsidTr="00D66180">
        <w:tc>
          <w:tcPr>
            <w:tcW w:w="2066" w:type="pct"/>
            <w:vAlign w:val="center"/>
            <w:hideMark/>
          </w:tcPr>
          <w:p w14:paraId="7D9DB5C9"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Other</w:t>
            </w:r>
          </w:p>
        </w:tc>
        <w:tc>
          <w:tcPr>
            <w:tcW w:w="978" w:type="pct"/>
            <w:vAlign w:val="center"/>
            <w:hideMark/>
          </w:tcPr>
          <w:p w14:paraId="2653DEF3"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42 (2)</w:t>
            </w:r>
          </w:p>
        </w:tc>
        <w:tc>
          <w:tcPr>
            <w:tcW w:w="979" w:type="pct"/>
            <w:vAlign w:val="center"/>
            <w:hideMark/>
          </w:tcPr>
          <w:p w14:paraId="7A9CDEB9"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37 (2)</w:t>
            </w:r>
          </w:p>
        </w:tc>
        <w:tc>
          <w:tcPr>
            <w:tcW w:w="977" w:type="pct"/>
            <w:vAlign w:val="center"/>
            <w:hideMark/>
          </w:tcPr>
          <w:p w14:paraId="6F19663A"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5 (1)</w:t>
            </w:r>
          </w:p>
        </w:tc>
      </w:tr>
      <w:tr w:rsidR="00453626" w:rsidRPr="00453626" w14:paraId="3830349C" w14:textId="77777777" w:rsidTr="00D66180">
        <w:tc>
          <w:tcPr>
            <w:tcW w:w="2066" w:type="pct"/>
            <w:tcBorders>
              <w:top w:val="nil"/>
              <w:left w:val="nil"/>
              <w:bottom w:val="single" w:sz="4" w:space="0" w:color="auto"/>
              <w:right w:val="nil"/>
            </w:tcBorders>
            <w:vAlign w:val="center"/>
            <w:hideMark/>
          </w:tcPr>
          <w:p w14:paraId="3B955F2F" w14:textId="77777777" w:rsidR="00D66180" w:rsidRPr="00453626" w:rsidRDefault="00D66180">
            <w:pPr>
              <w:spacing w:line="360" w:lineRule="auto"/>
              <w:rPr>
                <w:rFonts w:ascii="Times New Roman" w:hAnsi="Times New Roman" w:cs="Times New Roman"/>
                <w:b/>
              </w:rPr>
            </w:pPr>
            <w:r w:rsidRPr="00453626">
              <w:rPr>
                <w:rFonts w:ascii="Times New Roman" w:hAnsi="Times New Roman" w:cs="Times New Roman"/>
                <w:b/>
              </w:rPr>
              <w:t>TOTAL</w:t>
            </w:r>
          </w:p>
        </w:tc>
        <w:tc>
          <w:tcPr>
            <w:tcW w:w="978" w:type="pct"/>
            <w:tcBorders>
              <w:top w:val="nil"/>
              <w:left w:val="nil"/>
              <w:bottom w:val="single" w:sz="4" w:space="0" w:color="auto"/>
              <w:right w:val="nil"/>
            </w:tcBorders>
            <w:vAlign w:val="center"/>
            <w:hideMark/>
          </w:tcPr>
          <w:p w14:paraId="6C7156C1"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2283</w:t>
            </w:r>
          </w:p>
        </w:tc>
        <w:tc>
          <w:tcPr>
            <w:tcW w:w="979" w:type="pct"/>
            <w:tcBorders>
              <w:top w:val="nil"/>
              <w:left w:val="nil"/>
              <w:bottom w:val="single" w:sz="4" w:space="0" w:color="auto"/>
              <w:right w:val="nil"/>
            </w:tcBorders>
            <w:vAlign w:val="center"/>
            <w:hideMark/>
          </w:tcPr>
          <w:p w14:paraId="531A0B4B"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1904</w:t>
            </w:r>
            <w:r w:rsidRPr="00453626">
              <w:rPr>
                <w:rFonts w:ascii="Times New Roman" w:hAnsi="Times New Roman" w:cs="Times New Roman"/>
                <w:vertAlign w:val="superscript"/>
              </w:rPr>
              <w:t>5</w:t>
            </w:r>
          </w:p>
        </w:tc>
        <w:tc>
          <w:tcPr>
            <w:tcW w:w="977" w:type="pct"/>
            <w:tcBorders>
              <w:top w:val="nil"/>
              <w:left w:val="nil"/>
              <w:bottom w:val="single" w:sz="4" w:space="0" w:color="auto"/>
              <w:right w:val="nil"/>
            </w:tcBorders>
            <w:vAlign w:val="center"/>
            <w:hideMark/>
          </w:tcPr>
          <w:p w14:paraId="29302CB7"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379</w:t>
            </w:r>
            <w:r w:rsidRPr="00453626">
              <w:rPr>
                <w:rFonts w:ascii="Times New Roman" w:hAnsi="Times New Roman" w:cs="Times New Roman"/>
                <w:vertAlign w:val="superscript"/>
              </w:rPr>
              <w:t>6</w:t>
            </w:r>
          </w:p>
        </w:tc>
      </w:tr>
    </w:tbl>
    <w:p w14:paraId="34A35880" w14:textId="4E16CEB7" w:rsidR="00D66180" w:rsidRPr="00453626" w:rsidRDefault="00D66180" w:rsidP="00396F23">
      <w:pPr>
        <w:spacing w:line="360" w:lineRule="auto"/>
        <w:rPr>
          <w:rFonts w:ascii="Times New Roman" w:hAnsi="Times New Roman" w:cs="Times New Roman"/>
          <w:sz w:val="24"/>
        </w:rPr>
      </w:pPr>
      <w:r w:rsidRPr="00453626">
        <w:rPr>
          <w:rFonts w:ascii="Times New Roman" w:hAnsi="Times New Roman" w:cs="Times New Roman"/>
          <w:szCs w:val="24"/>
          <w:vertAlign w:val="superscript"/>
        </w:rPr>
        <w:t>1</w:t>
      </w:r>
      <w:r w:rsidRPr="00453626">
        <w:rPr>
          <w:rFonts w:ascii="Times New Roman" w:hAnsi="Times New Roman" w:cs="Times New Roman"/>
          <w:szCs w:val="24"/>
        </w:rPr>
        <w:t xml:space="preserve"> Cheese-based snacks and Meat-based snacks initial categories combined. </w:t>
      </w:r>
      <w:r w:rsidRPr="00453626">
        <w:rPr>
          <w:rFonts w:ascii="Times New Roman" w:hAnsi="Times New Roman" w:cs="Times New Roman"/>
          <w:szCs w:val="24"/>
          <w:vertAlign w:val="superscript"/>
        </w:rPr>
        <w:t>2</w:t>
      </w:r>
      <w:r w:rsidRPr="00453626">
        <w:rPr>
          <w:rFonts w:ascii="Times New Roman" w:hAnsi="Times New Roman" w:cs="Times New Roman"/>
          <w:szCs w:val="24"/>
        </w:rPr>
        <w:t xml:space="preserve"> Chocolate bags and Other chocolate snacks initial categories combined. </w:t>
      </w:r>
      <w:r w:rsidRPr="00453626">
        <w:rPr>
          <w:rFonts w:ascii="Times New Roman" w:hAnsi="Times New Roman" w:cs="Times New Roman"/>
          <w:szCs w:val="24"/>
          <w:vertAlign w:val="superscript"/>
        </w:rPr>
        <w:t>3</w:t>
      </w:r>
      <w:r w:rsidRPr="00453626">
        <w:rPr>
          <w:rFonts w:ascii="Times New Roman" w:hAnsi="Times New Roman" w:cs="Times New Roman"/>
          <w:szCs w:val="24"/>
        </w:rPr>
        <w:t xml:space="preserve"> Rice, corn and oatcakes and Popcorn initial categories combined. </w:t>
      </w:r>
      <w:r w:rsidRPr="00453626">
        <w:rPr>
          <w:rFonts w:ascii="Times New Roman" w:hAnsi="Times New Roman" w:cs="Times New Roman"/>
          <w:szCs w:val="24"/>
          <w:vertAlign w:val="superscript"/>
        </w:rPr>
        <w:t>4</w:t>
      </w:r>
      <w:r w:rsidRPr="00453626">
        <w:rPr>
          <w:rFonts w:ascii="Times New Roman" w:hAnsi="Times New Roman" w:cs="Times New Roman"/>
          <w:szCs w:val="24"/>
        </w:rPr>
        <w:t xml:space="preserve"> Bean-based snacks and Vegetable-based snacks initial categories combined. </w:t>
      </w:r>
      <w:r w:rsidRPr="00453626">
        <w:rPr>
          <w:rFonts w:ascii="Times New Roman" w:hAnsi="Times New Roman" w:cs="Times New Roman"/>
          <w:szCs w:val="24"/>
          <w:vertAlign w:val="superscript"/>
        </w:rPr>
        <w:t xml:space="preserve">5 </w:t>
      </w:r>
      <w:r w:rsidRPr="00453626">
        <w:rPr>
          <w:rFonts w:ascii="Times New Roman" w:hAnsi="Times New Roman" w:cs="Times New Roman"/>
          <w:szCs w:val="24"/>
        </w:rPr>
        <w:t xml:space="preserve">From ASDA (394), Coop (89), Iceland (18), Morrison’s (206), Sainsbury’s (474), Tesco (408) and Waitrose (315). </w:t>
      </w:r>
      <w:r w:rsidRPr="00453626">
        <w:rPr>
          <w:rFonts w:ascii="Times New Roman" w:hAnsi="Times New Roman" w:cs="Times New Roman"/>
          <w:szCs w:val="24"/>
          <w:vertAlign w:val="superscript"/>
        </w:rPr>
        <w:t>6</w:t>
      </w:r>
      <w:r w:rsidRPr="00453626">
        <w:rPr>
          <w:rFonts w:ascii="Times New Roman" w:hAnsi="Times New Roman" w:cs="Times New Roman"/>
          <w:szCs w:val="24"/>
        </w:rPr>
        <w:t xml:space="preserve"> From Costa (48), EAT (53), Greggs (59), </w:t>
      </w:r>
      <w:proofErr w:type="spellStart"/>
      <w:r w:rsidRPr="00453626">
        <w:rPr>
          <w:rFonts w:ascii="Times New Roman" w:hAnsi="Times New Roman" w:cs="Times New Roman"/>
          <w:szCs w:val="24"/>
        </w:rPr>
        <w:t>Caffé</w:t>
      </w:r>
      <w:proofErr w:type="spellEnd"/>
      <w:r w:rsidRPr="00453626">
        <w:rPr>
          <w:rFonts w:ascii="Times New Roman" w:hAnsi="Times New Roman" w:cs="Times New Roman"/>
          <w:szCs w:val="24"/>
        </w:rPr>
        <w:t xml:space="preserve"> Nero (62), Prêt-à-manger (64), Coffee Republic (43) and Starbucks (50).</w:t>
      </w:r>
    </w:p>
    <w:p w14:paraId="6D1EBA1C" w14:textId="68F65A73" w:rsidR="00BA09B6" w:rsidRPr="00453626" w:rsidRDefault="004C4A0C" w:rsidP="00396F23">
      <w:pPr>
        <w:spacing w:line="360" w:lineRule="auto"/>
        <w:rPr>
          <w:rFonts w:ascii="Times New Roman" w:hAnsi="Times New Roman" w:cs="Times New Roman"/>
          <w:sz w:val="24"/>
        </w:rPr>
      </w:pPr>
      <w:r w:rsidRPr="00453626">
        <w:rPr>
          <w:rFonts w:ascii="Times New Roman" w:hAnsi="Times New Roman" w:cs="Times New Roman"/>
          <w:bCs/>
          <w:sz w:val="24"/>
        </w:rPr>
        <w:t xml:space="preserve">A </w:t>
      </w:r>
      <w:r w:rsidR="0092533C" w:rsidRPr="00453626">
        <w:rPr>
          <w:rFonts w:ascii="Times New Roman" w:hAnsi="Times New Roman" w:cs="Times New Roman"/>
          <w:bCs/>
          <w:sz w:val="24"/>
        </w:rPr>
        <w:t>single</w:t>
      </w:r>
      <w:r w:rsidR="00DE11B6" w:rsidRPr="00453626">
        <w:rPr>
          <w:rFonts w:ascii="Times New Roman" w:hAnsi="Times New Roman" w:cs="Times New Roman"/>
          <w:bCs/>
          <w:sz w:val="24"/>
        </w:rPr>
        <w:t>-</w:t>
      </w:r>
      <w:r w:rsidR="0092533C" w:rsidRPr="00453626">
        <w:rPr>
          <w:rFonts w:ascii="Times New Roman" w:hAnsi="Times New Roman" w:cs="Times New Roman"/>
          <w:bCs/>
          <w:sz w:val="24"/>
        </w:rPr>
        <w:t>serv</w:t>
      </w:r>
      <w:r w:rsidR="00785BBE" w:rsidRPr="00453626">
        <w:rPr>
          <w:rFonts w:ascii="Times New Roman" w:hAnsi="Times New Roman" w:cs="Times New Roman"/>
          <w:bCs/>
          <w:sz w:val="24"/>
        </w:rPr>
        <w:t>ing</w:t>
      </w:r>
      <w:r w:rsidR="0092533C" w:rsidRPr="00453626">
        <w:rPr>
          <w:rFonts w:ascii="Times New Roman" w:hAnsi="Times New Roman" w:cs="Times New Roman"/>
          <w:bCs/>
          <w:sz w:val="24"/>
        </w:rPr>
        <w:t xml:space="preserve"> </w:t>
      </w:r>
      <w:r w:rsidRPr="00453626">
        <w:rPr>
          <w:rFonts w:ascii="Times New Roman" w:hAnsi="Times New Roman" w:cs="Times New Roman"/>
          <w:bCs/>
          <w:sz w:val="24"/>
        </w:rPr>
        <w:t>snack product sold in the UK contained</w:t>
      </w:r>
      <w:r w:rsidR="00776553" w:rsidRPr="00453626">
        <w:rPr>
          <w:rFonts w:ascii="Times New Roman" w:hAnsi="Times New Roman" w:cs="Times New Roman"/>
          <w:bCs/>
          <w:sz w:val="24"/>
        </w:rPr>
        <w:t xml:space="preserve"> </w:t>
      </w:r>
      <w:r w:rsidR="000E317B" w:rsidRPr="00453626">
        <w:rPr>
          <w:rFonts w:ascii="Times New Roman" w:hAnsi="Times New Roman" w:cs="Times New Roman"/>
          <w:bCs/>
          <w:sz w:val="24"/>
        </w:rPr>
        <w:t>a mean energy content of</w:t>
      </w:r>
      <w:r w:rsidRPr="00453626">
        <w:rPr>
          <w:rFonts w:ascii="Times New Roman" w:hAnsi="Times New Roman" w:cs="Times New Roman"/>
          <w:bCs/>
          <w:sz w:val="24"/>
        </w:rPr>
        <w:t xml:space="preserve"> 186</w:t>
      </w:r>
      <w:r w:rsidR="00446320" w:rsidRPr="00453626">
        <w:rPr>
          <w:rFonts w:ascii="Times New Roman" w:hAnsi="Times New Roman" w:cs="Times New Roman"/>
          <w:bCs/>
          <w:sz w:val="24"/>
        </w:rPr>
        <w:t xml:space="preserve"> </w:t>
      </w:r>
      <w:r w:rsidR="002F5257" w:rsidRPr="00453626">
        <w:rPr>
          <w:rFonts w:ascii="Times New Roman" w:hAnsi="Times New Roman" w:cs="Times New Roman"/>
          <w:bCs/>
          <w:sz w:val="24"/>
        </w:rPr>
        <w:t xml:space="preserve">kcal </w:t>
      </w:r>
      <w:r w:rsidR="00446320" w:rsidRPr="00453626">
        <w:rPr>
          <w:rFonts w:ascii="Times New Roman" w:hAnsi="Times New Roman" w:cs="Times New Roman"/>
          <w:bCs/>
          <w:sz w:val="24"/>
        </w:rPr>
        <w:t xml:space="preserve">(95% </w:t>
      </w:r>
      <w:r w:rsidR="00E86245" w:rsidRPr="00453626">
        <w:rPr>
          <w:rFonts w:ascii="Times New Roman" w:hAnsi="Times New Roman" w:cs="Times New Roman"/>
          <w:bCs/>
          <w:sz w:val="24"/>
        </w:rPr>
        <w:t>CI</w:t>
      </w:r>
      <w:r w:rsidR="002F5257" w:rsidRPr="00453626">
        <w:rPr>
          <w:rFonts w:ascii="Times New Roman" w:hAnsi="Times New Roman" w:cs="Times New Roman"/>
          <w:bCs/>
          <w:sz w:val="24"/>
        </w:rPr>
        <w:t>:</w:t>
      </w:r>
      <w:r w:rsidR="00446320" w:rsidRPr="00453626">
        <w:rPr>
          <w:rFonts w:ascii="Times New Roman" w:hAnsi="Times New Roman" w:cs="Times New Roman"/>
          <w:bCs/>
          <w:sz w:val="24"/>
        </w:rPr>
        <w:t xml:space="preserve"> 182 to 190) </w:t>
      </w:r>
      <w:r w:rsidRPr="00453626">
        <w:rPr>
          <w:rFonts w:ascii="Times New Roman" w:hAnsi="Times New Roman" w:cs="Times New Roman"/>
          <w:bCs/>
          <w:sz w:val="24"/>
        </w:rPr>
        <w:t>and cost</w:t>
      </w:r>
      <w:r w:rsidR="000E317B" w:rsidRPr="00453626">
        <w:rPr>
          <w:rFonts w:ascii="Times New Roman" w:hAnsi="Times New Roman" w:cs="Times New Roman"/>
          <w:bCs/>
          <w:sz w:val="24"/>
        </w:rPr>
        <w:t xml:space="preserve"> of</w:t>
      </w:r>
      <w:r w:rsidRPr="00453626">
        <w:rPr>
          <w:rFonts w:ascii="Times New Roman" w:hAnsi="Times New Roman" w:cs="Times New Roman"/>
          <w:bCs/>
          <w:sz w:val="24"/>
        </w:rPr>
        <w:t xml:space="preserve"> £1.02</w:t>
      </w:r>
      <w:r w:rsidR="00055B86" w:rsidRPr="00453626">
        <w:rPr>
          <w:rFonts w:ascii="Times New Roman" w:hAnsi="Times New Roman" w:cs="Times New Roman"/>
          <w:bCs/>
          <w:sz w:val="24"/>
        </w:rPr>
        <w:t xml:space="preserve"> </w:t>
      </w:r>
      <w:r w:rsidR="00446320" w:rsidRPr="00453626">
        <w:rPr>
          <w:rFonts w:ascii="Times New Roman" w:hAnsi="Times New Roman" w:cs="Times New Roman"/>
          <w:bCs/>
          <w:sz w:val="24"/>
        </w:rPr>
        <w:t xml:space="preserve">(95% </w:t>
      </w:r>
      <w:r w:rsidR="00E86245" w:rsidRPr="00453626">
        <w:rPr>
          <w:rFonts w:ascii="Times New Roman" w:hAnsi="Times New Roman" w:cs="Times New Roman"/>
          <w:bCs/>
          <w:sz w:val="24"/>
        </w:rPr>
        <w:t>CI</w:t>
      </w:r>
      <w:r w:rsidR="002F5257" w:rsidRPr="00453626">
        <w:rPr>
          <w:rFonts w:ascii="Times New Roman" w:hAnsi="Times New Roman" w:cs="Times New Roman"/>
          <w:bCs/>
          <w:sz w:val="24"/>
        </w:rPr>
        <w:t>:</w:t>
      </w:r>
      <w:r w:rsidR="00446320" w:rsidRPr="00453626">
        <w:rPr>
          <w:rFonts w:ascii="Times New Roman" w:hAnsi="Times New Roman" w:cs="Times New Roman"/>
          <w:bCs/>
          <w:sz w:val="24"/>
        </w:rPr>
        <w:t xml:space="preserve"> 0.99 to 1.04)</w:t>
      </w:r>
      <w:r w:rsidRPr="00453626">
        <w:rPr>
          <w:rFonts w:ascii="Times New Roman" w:hAnsi="Times New Roman" w:cs="Times New Roman"/>
          <w:bCs/>
          <w:sz w:val="24"/>
        </w:rPr>
        <w:t>.</w:t>
      </w:r>
      <w:r w:rsidR="00242F76" w:rsidRPr="00453626">
        <w:rPr>
          <w:rFonts w:ascii="Times New Roman" w:hAnsi="Times New Roman" w:cs="Times New Roman"/>
          <w:bCs/>
          <w:sz w:val="24"/>
        </w:rPr>
        <w:t xml:space="preserve"> </w:t>
      </w:r>
      <w:r w:rsidR="00776553" w:rsidRPr="00453626">
        <w:rPr>
          <w:rFonts w:ascii="Times New Roman" w:hAnsi="Times New Roman" w:cs="Times New Roman"/>
          <w:bCs/>
          <w:sz w:val="24"/>
        </w:rPr>
        <w:t>Across all snack products</w:t>
      </w:r>
      <w:r w:rsidR="00350156" w:rsidRPr="00453626">
        <w:rPr>
          <w:rFonts w:ascii="Times New Roman" w:hAnsi="Times New Roman" w:cs="Times New Roman"/>
          <w:bCs/>
          <w:sz w:val="24"/>
        </w:rPr>
        <w:t xml:space="preserve"> with energy information</w:t>
      </w:r>
      <w:r w:rsidR="00776553" w:rsidRPr="00453626">
        <w:rPr>
          <w:rFonts w:ascii="Times New Roman" w:hAnsi="Times New Roman" w:cs="Times New Roman"/>
          <w:bCs/>
          <w:sz w:val="24"/>
        </w:rPr>
        <w:t>,</w:t>
      </w:r>
      <w:r w:rsidR="00295FB4" w:rsidRPr="00453626">
        <w:rPr>
          <w:rFonts w:ascii="Times New Roman" w:hAnsi="Times New Roman" w:cs="Times New Roman"/>
          <w:bCs/>
          <w:sz w:val="24"/>
        </w:rPr>
        <w:t xml:space="preserve"> </w:t>
      </w:r>
      <w:r w:rsidR="008C42F2" w:rsidRPr="00453626">
        <w:rPr>
          <w:rFonts w:ascii="Times New Roman" w:hAnsi="Times New Roman" w:cs="Times New Roman"/>
          <w:bCs/>
          <w:sz w:val="24"/>
        </w:rPr>
        <w:t>415</w:t>
      </w:r>
      <w:r w:rsidR="00242F76" w:rsidRPr="00453626">
        <w:rPr>
          <w:rFonts w:ascii="Times New Roman" w:hAnsi="Times New Roman" w:cs="Times New Roman"/>
          <w:bCs/>
          <w:sz w:val="24"/>
        </w:rPr>
        <w:t xml:space="preserve"> </w:t>
      </w:r>
      <w:r w:rsidR="00295FB4" w:rsidRPr="00453626">
        <w:rPr>
          <w:rFonts w:ascii="Times New Roman" w:hAnsi="Times New Roman" w:cs="Times New Roman"/>
          <w:bCs/>
          <w:sz w:val="24"/>
        </w:rPr>
        <w:t>(</w:t>
      </w:r>
      <w:r w:rsidR="001718C3" w:rsidRPr="00453626">
        <w:rPr>
          <w:rFonts w:ascii="Times New Roman" w:hAnsi="Times New Roman" w:cs="Times New Roman"/>
          <w:bCs/>
          <w:sz w:val="24"/>
        </w:rPr>
        <w:t xml:space="preserve">19%) </w:t>
      </w:r>
      <w:r w:rsidR="0038188A" w:rsidRPr="00453626">
        <w:rPr>
          <w:rFonts w:ascii="Times New Roman" w:hAnsi="Times New Roman" w:cs="Times New Roman"/>
          <w:bCs/>
          <w:sz w:val="24"/>
        </w:rPr>
        <w:t>had an ene</w:t>
      </w:r>
      <w:r w:rsidR="009C7FF0" w:rsidRPr="00453626">
        <w:rPr>
          <w:rFonts w:ascii="Times New Roman" w:hAnsi="Times New Roman" w:cs="Times New Roman"/>
          <w:bCs/>
          <w:sz w:val="24"/>
        </w:rPr>
        <w:t>r</w:t>
      </w:r>
      <w:r w:rsidR="0038188A" w:rsidRPr="00453626">
        <w:rPr>
          <w:rFonts w:ascii="Times New Roman" w:hAnsi="Times New Roman" w:cs="Times New Roman"/>
          <w:bCs/>
          <w:sz w:val="24"/>
        </w:rPr>
        <w:t>gy content of ≤</w:t>
      </w:r>
      <w:r w:rsidR="004F464C" w:rsidRPr="00453626">
        <w:rPr>
          <w:rFonts w:ascii="Times New Roman" w:hAnsi="Times New Roman" w:cs="Times New Roman"/>
          <w:bCs/>
          <w:sz w:val="24"/>
        </w:rPr>
        <w:t xml:space="preserve"> </w:t>
      </w:r>
      <w:r w:rsidR="0038188A" w:rsidRPr="00453626">
        <w:rPr>
          <w:rFonts w:ascii="Times New Roman" w:hAnsi="Times New Roman" w:cs="Times New Roman"/>
          <w:bCs/>
          <w:sz w:val="24"/>
        </w:rPr>
        <w:t>100</w:t>
      </w:r>
      <w:r w:rsidR="004F464C" w:rsidRPr="00453626">
        <w:rPr>
          <w:rFonts w:ascii="Times New Roman" w:hAnsi="Times New Roman" w:cs="Times New Roman"/>
          <w:bCs/>
          <w:sz w:val="24"/>
        </w:rPr>
        <w:t xml:space="preserve"> </w:t>
      </w:r>
      <w:r w:rsidR="0038188A" w:rsidRPr="00453626">
        <w:rPr>
          <w:rFonts w:ascii="Times New Roman" w:hAnsi="Times New Roman" w:cs="Times New Roman"/>
          <w:bCs/>
          <w:sz w:val="24"/>
        </w:rPr>
        <w:t>kcal and</w:t>
      </w:r>
      <w:r w:rsidR="008C42F2" w:rsidRPr="00453626">
        <w:rPr>
          <w:rFonts w:ascii="Times New Roman" w:hAnsi="Times New Roman" w:cs="Times New Roman"/>
          <w:bCs/>
          <w:sz w:val="24"/>
        </w:rPr>
        <w:t xml:space="preserve"> 1309</w:t>
      </w:r>
      <w:r w:rsidR="0038188A" w:rsidRPr="00453626">
        <w:rPr>
          <w:rFonts w:ascii="Times New Roman" w:hAnsi="Times New Roman" w:cs="Times New Roman"/>
          <w:bCs/>
          <w:sz w:val="24"/>
        </w:rPr>
        <w:t xml:space="preserve"> </w:t>
      </w:r>
      <w:r w:rsidR="008C42F2" w:rsidRPr="00453626">
        <w:rPr>
          <w:rFonts w:ascii="Times New Roman" w:hAnsi="Times New Roman" w:cs="Times New Roman"/>
          <w:bCs/>
          <w:sz w:val="24"/>
        </w:rPr>
        <w:t>(</w:t>
      </w:r>
      <w:r w:rsidR="001718C3" w:rsidRPr="00453626">
        <w:rPr>
          <w:rFonts w:ascii="Times New Roman" w:hAnsi="Times New Roman" w:cs="Times New Roman"/>
          <w:bCs/>
          <w:sz w:val="24"/>
        </w:rPr>
        <w:t>61</w:t>
      </w:r>
      <w:r w:rsidR="00242F76" w:rsidRPr="00453626">
        <w:rPr>
          <w:rFonts w:ascii="Times New Roman" w:hAnsi="Times New Roman" w:cs="Times New Roman"/>
          <w:bCs/>
          <w:sz w:val="24"/>
        </w:rPr>
        <w:t>%</w:t>
      </w:r>
      <w:r w:rsidR="008C42F2" w:rsidRPr="00453626">
        <w:rPr>
          <w:rFonts w:ascii="Times New Roman" w:hAnsi="Times New Roman" w:cs="Times New Roman"/>
          <w:bCs/>
          <w:sz w:val="24"/>
        </w:rPr>
        <w:t>)</w:t>
      </w:r>
      <w:r w:rsidR="00242F76" w:rsidRPr="00453626">
        <w:rPr>
          <w:rFonts w:ascii="Times New Roman" w:hAnsi="Times New Roman" w:cs="Times New Roman"/>
          <w:bCs/>
          <w:sz w:val="24"/>
        </w:rPr>
        <w:t xml:space="preserve"> </w:t>
      </w:r>
      <w:r w:rsidR="0038188A" w:rsidRPr="00453626">
        <w:rPr>
          <w:rFonts w:ascii="Times New Roman" w:hAnsi="Times New Roman" w:cs="Times New Roman"/>
          <w:bCs/>
          <w:sz w:val="24"/>
        </w:rPr>
        <w:t xml:space="preserve">had an </w:t>
      </w:r>
      <w:r w:rsidR="00242F76" w:rsidRPr="00453626">
        <w:rPr>
          <w:rFonts w:ascii="Times New Roman" w:hAnsi="Times New Roman" w:cs="Times New Roman"/>
          <w:bCs/>
          <w:sz w:val="24"/>
        </w:rPr>
        <w:t>energy content ≤ 200 kcal</w:t>
      </w:r>
      <w:r w:rsidR="008B1E72" w:rsidRPr="00453626">
        <w:rPr>
          <w:rFonts w:ascii="Times New Roman" w:hAnsi="Times New Roman" w:cs="Times New Roman"/>
          <w:bCs/>
          <w:sz w:val="24"/>
        </w:rPr>
        <w:t xml:space="preserve"> (</w:t>
      </w:r>
      <w:r w:rsidR="00F761E0" w:rsidRPr="00453626">
        <w:rPr>
          <w:rFonts w:ascii="Times New Roman" w:hAnsi="Times New Roman" w:cs="Times New Roman"/>
          <w:b/>
          <w:bCs/>
          <w:sz w:val="24"/>
        </w:rPr>
        <w:t>Table 2</w:t>
      </w:r>
      <w:r w:rsidR="008B1E72" w:rsidRPr="00453626">
        <w:rPr>
          <w:rFonts w:ascii="Times New Roman" w:hAnsi="Times New Roman" w:cs="Times New Roman"/>
          <w:b/>
          <w:bCs/>
          <w:sz w:val="24"/>
        </w:rPr>
        <w:t>)</w:t>
      </w:r>
      <w:r w:rsidR="009C7FF0" w:rsidRPr="00453626">
        <w:rPr>
          <w:rFonts w:ascii="Times New Roman" w:hAnsi="Times New Roman" w:cs="Times New Roman"/>
          <w:bCs/>
          <w:sz w:val="24"/>
        </w:rPr>
        <w:t xml:space="preserve">. </w:t>
      </w:r>
      <w:r w:rsidR="008B1E72" w:rsidRPr="00453626">
        <w:rPr>
          <w:rFonts w:ascii="Times New Roman" w:hAnsi="Times New Roman" w:cs="Times New Roman"/>
          <w:sz w:val="24"/>
        </w:rPr>
        <w:t xml:space="preserve">The </w:t>
      </w:r>
      <w:bookmarkStart w:id="8" w:name="_Hlk60910591"/>
      <w:r w:rsidR="008B1E72" w:rsidRPr="00453626">
        <w:rPr>
          <w:rFonts w:ascii="Times New Roman" w:hAnsi="Times New Roman" w:cs="Times New Roman"/>
          <w:sz w:val="24"/>
        </w:rPr>
        <w:t xml:space="preserve">energy content of snack products online </w:t>
      </w:r>
      <w:r w:rsidR="008B1E72" w:rsidRPr="00453626">
        <w:rPr>
          <w:rFonts w:ascii="Times New Roman" w:hAnsi="Times New Roman" w:cs="Times New Roman"/>
          <w:bCs/>
          <w:sz w:val="24"/>
        </w:rPr>
        <w:t xml:space="preserve">did not differ </w:t>
      </w:r>
      <w:r w:rsidR="00A91A7C" w:rsidRPr="00453626">
        <w:rPr>
          <w:rFonts w:ascii="Times New Roman" w:hAnsi="Times New Roman" w:cs="Times New Roman"/>
          <w:bCs/>
          <w:sz w:val="24"/>
        </w:rPr>
        <w:t xml:space="preserve">substantially </w:t>
      </w:r>
      <w:r w:rsidR="008B1E72" w:rsidRPr="00453626">
        <w:rPr>
          <w:rFonts w:ascii="Times New Roman" w:hAnsi="Times New Roman" w:cs="Times New Roman"/>
          <w:bCs/>
          <w:sz w:val="24"/>
        </w:rPr>
        <w:t>from</w:t>
      </w:r>
      <w:r w:rsidR="008B1E72" w:rsidRPr="00453626">
        <w:rPr>
          <w:rFonts w:ascii="Times New Roman" w:hAnsi="Times New Roman" w:cs="Times New Roman"/>
          <w:sz w:val="24"/>
        </w:rPr>
        <w:t xml:space="preserve"> </w:t>
      </w:r>
      <w:r w:rsidR="00A91A7C" w:rsidRPr="00453626">
        <w:rPr>
          <w:rFonts w:ascii="Times New Roman" w:hAnsi="Times New Roman" w:cs="Times New Roman"/>
          <w:sz w:val="24"/>
        </w:rPr>
        <w:t xml:space="preserve">that of </w:t>
      </w:r>
      <w:r w:rsidR="008B1E72" w:rsidRPr="00453626">
        <w:rPr>
          <w:rFonts w:ascii="Times New Roman" w:hAnsi="Times New Roman" w:cs="Times New Roman"/>
          <w:sz w:val="24"/>
        </w:rPr>
        <w:t xml:space="preserve">snack products sold in </w:t>
      </w:r>
      <w:r w:rsidR="00350156" w:rsidRPr="00453626">
        <w:rPr>
          <w:rFonts w:ascii="Times New Roman" w:hAnsi="Times New Roman" w:cs="Times New Roman"/>
          <w:sz w:val="24"/>
        </w:rPr>
        <w:t xml:space="preserve">physical </w:t>
      </w:r>
      <w:r w:rsidR="008B1E72" w:rsidRPr="00453626">
        <w:rPr>
          <w:rFonts w:ascii="Times New Roman" w:hAnsi="Times New Roman" w:cs="Times New Roman"/>
          <w:sz w:val="24"/>
        </w:rPr>
        <w:t xml:space="preserve">stores </w:t>
      </w:r>
      <w:bookmarkEnd w:id="8"/>
      <w:r w:rsidR="008B1E72" w:rsidRPr="00453626">
        <w:rPr>
          <w:rFonts w:ascii="Times New Roman" w:hAnsi="Times New Roman" w:cs="Times New Roman"/>
          <w:sz w:val="24"/>
        </w:rPr>
        <w:t xml:space="preserve">(see online supplementary materials, </w:t>
      </w:r>
      <w:r w:rsidR="008B1E72" w:rsidRPr="00453626">
        <w:rPr>
          <w:rFonts w:ascii="Times New Roman" w:hAnsi="Times New Roman" w:cs="Times New Roman"/>
          <w:b/>
          <w:sz w:val="24"/>
        </w:rPr>
        <w:t>Table S</w:t>
      </w:r>
      <w:r w:rsidR="00B86692" w:rsidRPr="00453626">
        <w:rPr>
          <w:rFonts w:ascii="Times New Roman" w:hAnsi="Times New Roman" w:cs="Times New Roman"/>
          <w:b/>
          <w:sz w:val="24"/>
        </w:rPr>
        <w:t>4</w:t>
      </w:r>
      <w:r w:rsidR="008B1E72" w:rsidRPr="00453626">
        <w:rPr>
          <w:rFonts w:ascii="Times New Roman" w:hAnsi="Times New Roman" w:cs="Times New Roman"/>
          <w:b/>
          <w:sz w:val="24"/>
        </w:rPr>
        <w:t>)</w:t>
      </w:r>
      <w:r w:rsidR="008B1E72" w:rsidRPr="00453626">
        <w:rPr>
          <w:rFonts w:ascii="Times New Roman" w:hAnsi="Times New Roman" w:cs="Times New Roman"/>
          <w:sz w:val="24"/>
        </w:rPr>
        <w:t xml:space="preserve">. </w:t>
      </w:r>
      <w:r w:rsidR="00697EE1" w:rsidRPr="00453626">
        <w:rPr>
          <w:rFonts w:ascii="Times New Roman" w:hAnsi="Times New Roman" w:cs="Times New Roman"/>
          <w:sz w:val="24"/>
        </w:rPr>
        <w:t>Energy content and other nutritional values</w:t>
      </w:r>
      <w:r w:rsidR="0038188A" w:rsidRPr="00453626">
        <w:rPr>
          <w:rFonts w:ascii="Times New Roman" w:hAnsi="Times New Roman" w:cs="Times New Roman"/>
          <w:sz w:val="24"/>
        </w:rPr>
        <w:t xml:space="preserve"> of</w:t>
      </w:r>
      <w:r w:rsidR="00D13D00" w:rsidRPr="00453626">
        <w:rPr>
          <w:rFonts w:ascii="Times New Roman" w:hAnsi="Times New Roman" w:cs="Times New Roman"/>
          <w:sz w:val="24"/>
        </w:rPr>
        <w:t xml:space="preserve"> </w:t>
      </w:r>
      <w:r w:rsidR="00697EE1" w:rsidRPr="00453626">
        <w:rPr>
          <w:rFonts w:ascii="Times New Roman" w:hAnsi="Times New Roman" w:cs="Times New Roman"/>
          <w:sz w:val="24"/>
        </w:rPr>
        <w:t xml:space="preserve">snack </w:t>
      </w:r>
      <w:r w:rsidR="00D13D00" w:rsidRPr="00453626">
        <w:rPr>
          <w:rFonts w:ascii="Times New Roman" w:hAnsi="Times New Roman" w:cs="Times New Roman"/>
          <w:sz w:val="24"/>
        </w:rPr>
        <w:t xml:space="preserve">products by </w:t>
      </w:r>
      <w:r w:rsidR="007C399C" w:rsidRPr="00453626">
        <w:rPr>
          <w:rFonts w:ascii="Times New Roman" w:hAnsi="Times New Roman" w:cs="Times New Roman"/>
          <w:sz w:val="24"/>
        </w:rPr>
        <w:t>food</w:t>
      </w:r>
      <w:r w:rsidR="0092533C" w:rsidRPr="00453626">
        <w:rPr>
          <w:rFonts w:ascii="Times New Roman" w:hAnsi="Times New Roman" w:cs="Times New Roman"/>
          <w:sz w:val="24"/>
        </w:rPr>
        <w:t xml:space="preserve"> </w:t>
      </w:r>
      <w:r w:rsidR="00D13D00" w:rsidRPr="00453626">
        <w:rPr>
          <w:rFonts w:ascii="Times New Roman" w:hAnsi="Times New Roman" w:cs="Times New Roman"/>
          <w:sz w:val="24"/>
        </w:rPr>
        <w:t>categor</w:t>
      </w:r>
      <w:r w:rsidR="00906F87" w:rsidRPr="00453626">
        <w:rPr>
          <w:rFonts w:ascii="Times New Roman" w:hAnsi="Times New Roman" w:cs="Times New Roman"/>
          <w:sz w:val="24"/>
        </w:rPr>
        <w:t>ies</w:t>
      </w:r>
      <w:r w:rsidR="00D13D00" w:rsidRPr="00453626">
        <w:rPr>
          <w:rFonts w:ascii="Times New Roman" w:hAnsi="Times New Roman" w:cs="Times New Roman"/>
          <w:sz w:val="24"/>
        </w:rPr>
        <w:t xml:space="preserve"> is available in the </w:t>
      </w:r>
      <w:r w:rsidR="009C7FF0" w:rsidRPr="00453626">
        <w:rPr>
          <w:rFonts w:ascii="Times New Roman" w:hAnsi="Times New Roman" w:cs="Times New Roman"/>
          <w:sz w:val="24"/>
        </w:rPr>
        <w:t xml:space="preserve">online </w:t>
      </w:r>
      <w:r w:rsidR="00D13D00" w:rsidRPr="00453626">
        <w:rPr>
          <w:rFonts w:ascii="Times New Roman" w:hAnsi="Times New Roman" w:cs="Times New Roman"/>
          <w:sz w:val="24"/>
        </w:rPr>
        <w:t>supplementary material</w:t>
      </w:r>
      <w:r w:rsidR="0031187A" w:rsidRPr="00453626">
        <w:rPr>
          <w:rFonts w:ascii="Times New Roman" w:hAnsi="Times New Roman" w:cs="Times New Roman"/>
          <w:sz w:val="24"/>
        </w:rPr>
        <w:t>s</w:t>
      </w:r>
      <w:r w:rsidR="00E102E9" w:rsidRPr="00453626">
        <w:rPr>
          <w:rFonts w:ascii="Times New Roman" w:hAnsi="Times New Roman" w:cs="Times New Roman"/>
          <w:sz w:val="24"/>
        </w:rPr>
        <w:t xml:space="preserve">, </w:t>
      </w:r>
      <w:r w:rsidR="00E102E9" w:rsidRPr="00453626">
        <w:rPr>
          <w:rFonts w:ascii="Times New Roman" w:hAnsi="Times New Roman" w:cs="Times New Roman"/>
          <w:b/>
          <w:sz w:val="24"/>
        </w:rPr>
        <w:t>Table S</w:t>
      </w:r>
      <w:r w:rsidR="00B86692" w:rsidRPr="00453626">
        <w:rPr>
          <w:rFonts w:ascii="Times New Roman" w:hAnsi="Times New Roman" w:cs="Times New Roman"/>
          <w:b/>
          <w:sz w:val="24"/>
        </w:rPr>
        <w:t>5</w:t>
      </w:r>
      <w:r w:rsidR="00D13D00" w:rsidRPr="00453626">
        <w:rPr>
          <w:rFonts w:ascii="Times New Roman" w:hAnsi="Times New Roman" w:cs="Times New Roman"/>
          <w:sz w:val="24"/>
        </w:rPr>
        <w:t>.</w:t>
      </w:r>
    </w:p>
    <w:p w14:paraId="1CDB376B" w14:textId="77777777" w:rsidR="00D66180" w:rsidRPr="00453626" w:rsidRDefault="00D66180" w:rsidP="00D66180">
      <w:pPr>
        <w:spacing w:line="360" w:lineRule="auto"/>
        <w:rPr>
          <w:rFonts w:ascii="Times New Roman" w:hAnsi="Times New Roman" w:cs="Times New Roman"/>
          <w:sz w:val="24"/>
        </w:rPr>
      </w:pPr>
      <w:bookmarkStart w:id="9" w:name="_Hlk43474767"/>
      <w:r w:rsidRPr="00453626">
        <w:rPr>
          <w:rFonts w:ascii="Times New Roman" w:hAnsi="Times New Roman" w:cs="Times New Roman"/>
          <w:b/>
          <w:bCs/>
          <w:sz w:val="24"/>
        </w:rPr>
        <w:lastRenderedPageBreak/>
        <w:t>Table 2.</w:t>
      </w:r>
      <w:r w:rsidRPr="00453626">
        <w:rPr>
          <w:rFonts w:ascii="Times New Roman" w:hAnsi="Times New Roman" w:cs="Times New Roman"/>
          <w:sz w:val="24"/>
        </w:rPr>
        <w:t xml:space="preserve"> Description of snack products identified online by business type (mean ± SD unless otherwise specified)</w:t>
      </w:r>
    </w:p>
    <w:bookmarkEnd w:id="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2427"/>
        <w:gridCol w:w="1931"/>
        <w:gridCol w:w="2115"/>
      </w:tblGrid>
      <w:tr w:rsidR="00453626" w:rsidRPr="00453626" w14:paraId="0EF35376" w14:textId="77777777" w:rsidTr="00D66180">
        <w:trPr>
          <w:trHeight w:val="424"/>
        </w:trPr>
        <w:tc>
          <w:tcPr>
            <w:tcW w:w="1642" w:type="pct"/>
            <w:tcBorders>
              <w:top w:val="single" w:sz="4" w:space="0" w:color="auto"/>
              <w:left w:val="nil"/>
              <w:bottom w:val="single" w:sz="4" w:space="0" w:color="auto"/>
              <w:right w:val="nil"/>
            </w:tcBorders>
          </w:tcPr>
          <w:p w14:paraId="20E9D59F" w14:textId="77777777" w:rsidR="00D66180" w:rsidRPr="00453626" w:rsidRDefault="00D66180">
            <w:pPr>
              <w:spacing w:line="360" w:lineRule="auto"/>
              <w:rPr>
                <w:rFonts w:ascii="Times New Roman" w:hAnsi="Times New Roman" w:cs="Times New Roman"/>
                <w:b/>
              </w:rPr>
            </w:pPr>
          </w:p>
        </w:tc>
        <w:tc>
          <w:tcPr>
            <w:tcW w:w="1259" w:type="pct"/>
            <w:tcBorders>
              <w:top w:val="single" w:sz="4" w:space="0" w:color="auto"/>
              <w:left w:val="nil"/>
              <w:bottom w:val="single" w:sz="4" w:space="0" w:color="auto"/>
              <w:right w:val="nil"/>
            </w:tcBorders>
            <w:hideMark/>
          </w:tcPr>
          <w:p w14:paraId="45B4EEC2" w14:textId="77777777" w:rsidR="00D66180" w:rsidRPr="00453626" w:rsidRDefault="00D66180">
            <w:pPr>
              <w:spacing w:line="360" w:lineRule="auto"/>
              <w:jc w:val="center"/>
              <w:rPr>
                <w:rFonts w:ascii="Times New Roman" w:hAnsi="Times New Roman" w:cs="Times New Roman"/>
                <w:b/>
              </w:rPr>
            </w:pPr>
            <w:r w:rsidRPr="00453626">
              <w:rPr>
                <w:rFonts w:ascii="Times New Roman" w:hAnsi="Times New Roman" w:cs="Times New Roman"/>
                <w:b/>
              </w:rPr>
              <w:t>Supermarkets</w:t>
            </w:r>
          </w:p>
          <w:p w14:paraId="49385295" w14:textId="77777777" w:rsidR="00D66180" w:rsidRPr="00453626" w:rsidRDefault="00D66180">
            <w:pPr>
              <w:spacing w:line="360" w:lineRule="auto"/>
              <w:jc w:val="center"/>
              <w:rPr>
                <w:rFonts w:ascii="Times New Roman" w:hAnsi="Times New Roman" w:cs="Times New Roman"/>
                <w:b/>
              </w:rPr>
            </w:pPr>
            <w:r w:rsidRPr="00453626">
              <w:rPr>
                <w:rFonts w:ascii="Times New Roman" w:hAnsi="Times New Roman" w:cs="Times New Roman"/>
                <w:b/>
              </w:rPr>
              <w:t>(n=1904)</w:t>
            </w:r>
          </w:p>
        </w:tc>
        <w:tc>
          <w:tcPr>
            <w:tcW w:w="1002" w:type="pct"/>
            <w:tcBorders>
              <w:top w:val="single" w:sz="4" w:space="0" w:color="auto"/>
              <w:left w:val="nil"/>
              <w:bottom w:val="single" w:sz="4" w:space="0" w:color="auto"/>
              <w:right w:val="nil"/>
            </w:tcBorders>
            <w:hideMark/>
          </w:tcPr>
          <w:p w14:paraId="10C4EA42" w14:textId="77777777" w:rsidR="00D66180" w:rsidRPr="00453626" w:rsidRDefault="00D66180">
            <w:pPr>
              <w:spacing w:line="360" w:lineRule="auto"/>
              <w:jc w:val="center"/>
              <w:rPr>
                <w:rFonts w:ascii="Times New Roman" w:hAnsi="Times New Roman" w:cs="Times New Roman"/>
                <w:b/>
              </w:rPr>
            </w:pPr>
            <w:r w:rsidRPr="00453626">
              <w:rPr>
                <w:rFonts w:ascii="Times New Roman" w:hAnsi="Times New Roman" w:cs="Times New Roman"/>
                <w:b/>
              </w:rPr>
              <w:t>Coffee shops</w:t>
            </w:r>
          </w:p>
          <w:p w14:paraId="6D5BAE6E" w14:textId="77777777" w:rsidR="00D66180" w:rsidRPr="00453626" w:rsidRDefault="00D66180">
            <w:pPr>
              <w:spacing w:line="360" w:lineRule="auto"/>
              <w:jc w:val="center"/>
              <w:rPr>
                <w:rFonts w:ascii="Times New Roman" w:hAnsi="Times New Roman" w:cs="Times New Roman"/>
                <w:b/>
              </w:rPr>
            </w:pPr>
            <w:r w:rsidRPr="00453626">
              <w:rPr>
                <w:rFonts w:ascii="Times New Roman" w:hAnsi="Times New Roman" w:cs="Times New Roman"/>
                <w:b/>
              </w:rPr>
              <w:t>(n=379)</w:t>
            </w:r>
          </w:p>
        </w:tc>
        <w:tc>
          <w:tcPr>
            <w:tcW w:w="1098" w:type="pct"/>
            <w:tcBorders>
              <w:top w:val="single" w:sz="4" w:space="0" w:color="auto"/>
              <w:left w:val="nil"/>
              <w:bottom w:val="single" w:sz="4" w:space="0" w:color="auto"/>
              <w:right w:val="nil"/>
            </w:tcBorders>
            <w:hideMark/>
          </w:tcPr>
          <w:p w14:paraId="713FA499" w14:textId="77777777" w:rsidR="00D66180" w:rsidRPr="00453626" w:rsidRDefault="00D66180">
            <w:pPr>
              <w:spacing w:line="360" w:lineRule="auto"/>
              <w:jc w:val="center"/>
              <w:rPr>
                <w:rFonts w:ascii="Times New Roman" w:hAnsi="Times New Roman" w:cs="Times New Roman"/>
                <w:b/>
              </w:rPr>
            </w:pPr>
            <w:r w:rsidRPr="00453626">
              <w:rPr>
                <w:rFonts w:ascii="Times New Roman" w:hAnsi="Times New Roman" w:cs="Times New Roman"/>
                <w:b/>
              </w:rPr>
              <w:t>Overall</w:t>
            </w:r>
          </w:p>
          <w:p w14:paraId="319A7E7D" w14:textId="77777777" w:rsidR="00D66180" w:rsidRPr="00453626" w:rsidRDefault="00D66180">
            <w:pPr>
              <w:spacing w:line="360" w:lineRule="auto"/>
              <w:jc w:val="center"/>
              <w:rPr>
                <w:rFonts w:ascii="Times New Roman" w:hAnsi="Times New Roman" w:cs="Times New Roman"/>
                <w:b/>
              </w:rPr>
            </w:pPr>
            <w:r w:rsidRPr="00453626">
              <w:rPr>
                <w:rFonts w:ascii="Times New Roman" w:hAnsi="Times New Roman" w:cs="Times New Roman"/>
                <w:b/>
              </w:rPr>
              <w:t>(n=2283)</w:t>
            </w:r>
          </w:p>
        </w:tc>
      </w:tr>
      <w:tr w:rsidR="00453626" w:rsidRPr="00453626" w14:paraId="479F40FC" w14:textId="77777777" w:rsidTr="00D66180">
        <w:tc>
          <w:tcPr>
            <w:tcW w:w="1642" w:type="pct"/>
            <w:tcBorders>
              <w:top w:val="single" w:sz="4" w:space="0" w:color="auto"/>
              <w:left w:val="nil"/>
              <w:bottom w:val="nil"/>
              <w:right w:val="nil"/>
            </w:tcBorders>
            <w:hideMark/>
          </w:tcPr>
          <w:p w14:paraId="27D58560"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Total energy, kcal</w:t>
            </w:r>
          </w:p>
        </w:tc>
        <w:tc>
          <w:tcPr>
            <w:tcW w:w="1259" w:type="pct"/>
            <w:tcBorders>
              <w:top w:val="single" w:sz="4" w:space="0" w:color="auto"/>
              <w:left w:val="nil"/>
              <w:bottom w:val="nil"/>
              <w:right w:val="nil"/>
            </w:tcBorders>
            <w:hideMark/>
          </w:tcPr>
          <w:p w14:paraId="456A6D7F"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167 ± 74</w:t>
            </w:r>
          </w:p>
        </w:tc>
        <w:tc>
          <w:tcPr>
            <w:tcW w:w="1002" w:type="pct"/>
            <w:tcBorders>
              <w:top w:val="single" w:sz="4" w:space="0" w:color="auto"/>
              <w:left w:val="nil"/>
              <w:bottom w:val="nil"/>
              <w:right w:val="nil"/>
            </w:tcBorders>
            <w:hideMark/>
          </w:tcPr>
          <w:p w14:paraId="1EF76EC4"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282 ± 126</w:t>
            </w:r>
          </w:p>
        </w:tc>
        <w:tc>
          <w:tcPr>
            <w:tcW w:w="1098" w:type="pct"/>
            <w:tcBorders>
              <w:top w:val="single" w:sz="4" w:space="0" w:color="auto"/>
              <w:left w:val="nil"/>
              <w:bottom w:val="nil"/>
              <w:right w:val="nil"/>
            </w:tcBorders>
            <w:hideMark/>
          </w:tcPr>
          <w:p w14:paraId="15610F93"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186 ± 95</w:t>
            </w:r>
          </w:p>
        </w:tc>
      </w:tr>
      <w:tr w:rsidR="00453626" w:rsidRPr="00453626" w14:paraId="7F354F72" w14:textId="77777777" w:rsidTr="00D66180">
        <w:tc>
          <w:tcPr>
            <w:tcW w:w="1642" w:type="pct"/>
            <w:hideMark/>
          </w:tcPr>
          <w:p w14:paraId="438CE16F"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Price, £/snack</w:t>
            </w:r>
          </w:p>
        </w:tc>
        <w:tc>
          <w:tcPr>
            <w:tcW w:w="1259" w:type="pct"/>
            <w:hideMark/>
          </w:tcPr>
          <w:p w14:paraId="0EB129A8"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0.95 ± 0.51</w:t>
            </w:r>
          </w:p>
        </w:tc>
        <w:tc>
          <w:tcPr>
            <w:tcW w:w="1002" w:type="pct"/>
            <w:hideMark/>
          </w:tcPr>
          <w:p w14:paraId="3D97CCB3"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1.72 ± 0.65</w:t>
            </w:r>
          </w:p>
        </w:tc>
        <w:tc>
          <w:tcPr>
            <w:tcW w:w="1098" w:type="pct"/>
            <w:hideMark/>
          </w:tcPr>
          <w:p w14:paraId="0394D17D"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1.02 ± 0.56</w:t>
            </w:r>
          </w:p>
        </w:tc>
      </w:tr>
      <w:tr w:rsidR="00453626" w:rsidRPr="00453626" w14:paraId="763757AF" w14:textId="77777777" w:rsidTr="00D66180">
        <w:tc>
          <w:tcPr>
            <w:tcW w:w="1642" w:type="pct"/>
            <w:hideMark/>
          </w:tcPr>
          <w:p w14:paraId="3B35BA9B"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Price, £/100 kcal</w:t>
            </w:r>
          </w:p>
        </w:tc>
        <w:tc>
          <w:tcPr>
            <w:tcW w:w="1259" w:type="pct"/>
            <w:hideMark/>
          </w:tcPr>
          <w:p w14:paraId="17449F42"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0.71 ± 0.59</w:t>
            </w:r>
          </w:p>
        </w:tc>
        <w:tc>
          <w:tcPr>
            <w:tcW w:w="1002" w:type="pct"/>
            <w:hideMark/>
          </w:tcPr>
          <w:p w14:paraId="3E9E5D60"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0.79 ± 0.78</w:t>
            </w:r>
          </w:p>
        </w:tc>
        <w:tc>
          <w:tcPr>
            <w:tcW w:w="1098" w:type="pct"/>
            <w:hideMark/>
          </w:tcPr>
          <w:p w14:paraId="5C7100C4"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0.72 ± 0.61</w:t>
            </w:r>
          </w:p>
        </w:tc>
      </w:tr>
      <w:tr w:rsidR="00453626" w:rsidRPr="00453626" w14:paraId="1B870D21" w14:textId="77777777" w:rsidTr="00D66180">
        <w:tc>
          <w:tcPr>
            <w:tcW w:w="1642" w:type="pct"/>
            <w:hideMark/>
          </w:tcPr>
          <w:p w14:paraId="442BD7C6" w14:textId="77777777" w:rsidR="00D66180" w:rsidRPr="00453626" w:rsidRDefault="00D66180">
            <w:pPr>
              <w:spacing w:line="360" w:lineRule="auto"/>
              <w:rPr>
                <w:rFonts w:ascii="Times New Roman" w:hAnsi="Times New Roman" w:cs="Times New Roman"/>
                <w:b/>
              </w:rPr>
            </w:pPr>
            <w:r w:rsidRPr="00453626">
              <w:rPr>
                <w:rFonts w:ascii="Times New Roman" w:hAnsi="Times New Roman" w:cs="Times New Roman"/>
                <w:b/>
              </w:rPr>
              <w:t>Nutritional values /100g</w:t>
            </w:r>
          </w:p>
        </w:tc>
        <w:tc>
          <w:tcPr>
            <w:tcW w:w="1259" w:type="pct"/>
          </w:tcPr>
          <w:p w14:paraId="6101A2DD" w14:textId="77777777" w:rsidR="00D66180" w:rsidRPr="00453626" w:rsidRDefault="00D66180">
            <w:pPr>
              <w:spacing w:line="360" w:lineRule="auto"/>
              <w:jc w:val="center"/>
              <w:rPr>
                <w:rFonts w:ascii="Times New Roman" w:hAnsi="Times New Roman" w:cs="Times New Roman"/>
              </w:rPr>
            </w:pPr>
          </w:p>
        </w:tc>
        <w:tc>
          <w:tcPr>
            <w:tcW w:w="1002" w:type="pct"/>
          </w:tcPr>
          <w:p w14:paraId="16D1F39F" w14:textId="77777777" w:rsidR="00D66180" w:rsidRPr="00453626" w:rsidRDefault="00D66180">
            <w:pPr>
              <w:spacing w:line="360" w:lineRule="auto"/>
              <w:jc w:val="center"/>
              <w:rPr>
                <w:rFonts w:ascii="Times New Roman" w:hAnsi="Times New Roman" w:cs="Times New Roman"/>
              </w:rPr>
            </w:pPr>
          </w:p>
        </w:tc>
        <w:tc>
          <w:tcPr>
            <w:tcW w:w="1098" w:type="pct"/>
          </w:tcPr>
          <w:p w14:paraId="0F7BCD7E" w14:textId="77777777" w:rsidR="00D66180" w:rsidRPr="00453626" w:rsidRDefault="00D66180">
            <w:pPr>
              <w:spacing w:line="360" w:lineRule="auto"/>
              <w:jc w:val="center"/>
              <w:rPr>
                <w:rFonts w:ascii="Times New Roman" w:hAnsi="Times New Roman" w:cs="Times New Roman"/>
              </w:rPr>
            </w:pPr>
          </w:p>
        </w:tc>
      </w:tr>
      <w:tr w:rsidR="00453626" w:rsidRPr="00453626" w14:paraId="395D3AA9" w14:textId="77777777" w:rsidTr="00D66180">
        <w:tc>
          <w:tcPr>
            <w:tcW w:w="1642" w:type="pct"/>
            <w:hideMark/>
          </w:tcPr>
          <w:p w14:paraId="270F60DD"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Energy, kcal</w:t>
            </w:r>
          </w:p>
        </w:tc>
        <w:tc>
          <w:tcPr>
            <w:tcW w:w="1259" w:type="pct"/>
            <w:hideMark/>
          </w:tcPr>
          <w:p w14:paraId="1403C8C4"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323 ± 181</w:t>
            </w:r>
          </w:p>
        </w:tc>
        <w:tc>
          <w:tcPr>
            <w:tcW w:w="1002" w:type="pct"/>
            <w:hideMark/>
          </w:tcPr>
          <w:p w14:paraId="7039CFCE"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367 ± 144</w:t>
            </w:r>
          </w:p>
        </w:tc>
        <w:tc>
          <w:tcPr>
            <w:tcW w:w="1098" w:type="pct"/>
            <w:hideMark/>
          </w:tcPr>
          <w:p w14:paraId="74E61269"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330 ± 177</w:t>
            </w:r>
          </w:p>
        </w:tc>
      </w:tr>
      <w:tr w:rsidR="00453626" w:rsidRPr="00453626" w14:paraId="4A2D835D" w14:textId="77777777" w:rsidTr="00D66180">
        <w:tc>
          <w:tcPr>
            <w:tcW w:w="1642" w:type="pct"/>
            <w:hideMark/>
          </w:tcPr>
          <w:p w14:paraId="48A02A41"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Fat, g</w:t>
            </w:r>
          </w:p>
        </w:tc>
        <w:tc>
          <w:tcPr>
            <w:tcW w:w="1259" w:type="pct"/>
            <w:hideMark/>
          </w:tcPr>
          <w:p w14:paraId="4381D6AE"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15.1 ± 13.2</w:t>
            </w:r>
          </w:p>
        </w:tc>
        <w:tc>
          <w:tcPr>
            <w:tcW w:w="1002" w:type="pct"/>
            <w:hideMark/>
          </w:tcPr>
          <w:p w14:paraId="6715AD98"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18.5 ± 11.4</w:t>
            </w:r>
          </w:p>
        </w:tc>
        <w:tc>
          <w:tcPr>
            <w:tcW w:w="1098" w:type="pct"/>
            <w:hideMark/>
          </w:tcPr>
          <w:p w14:paraId="45B19EFF"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15.7 ± 13.0</w:t>
            </w:r>
          </w:p>
        </w:tc>
      </w:tr>
      <w:tr w:rsidR="00453626" w:rsidRPr="00453626" w14:paraId="121546DD" w14:textId="77777777" w:rsidTr="00D66180">
        <w:tc>
          <w:tcPr>
            <w:tcW w:w="1642" w:type="pct"/>
            <w:hideMark/>
          </w:tcPr>
          <w:p w14:paraId="4F1561BF"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Saturated fat, g</w:t>
            </w:r>
          </w:p>
        </w:tc>
        <w:tc>
          <w:tcPr>
            <w:tcW w:w="1259" w:type="pct"/>
            <w:hideMark/>
          </w:tcPr>
          <w:p w14:paraId="0253C9DC"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6.1 ± 6.9</w:t>
            </w:r>
          </w:p>
        </w:tc>
        <w:tc>
          <w:tcPr>
            <w:tcW w:w="1002" w:type="pct"/>
            <w:hideMark/>
          </w:tcPr>
          <w:p w14:paraId="6373BEDB"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7.3 ± 6.2</w:t>
            </w:r>
          </w:p>
        </w:tc>
        <w:tc>
          <w:tcPr>
            <w:tcW w:w="1098" w:type="pct"/>
            <w:hideMark/>
          </w:tcPr>
          <w:p w14:paraId="6A6DD1C4"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6.3 ± 6.8</w:t>
            </w:r>
          </w:p>
        </w:tc>
      </w:tr>
      <w:tr w:rsidR="00453626" w:rsidRPr="00453626" w14:paraId="285679F4" w14:textId="77777777" w:rsidTr="00D66180">
        <w:tc>
          <w:tcPr>
            <w:tcW w:w="1642" w:type="pct"/>
            <w:hideMark/>
          </w:tcPr>
          <w:p w14:paraId="554C4D06"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Carbohydrates, g</w:t>
            </w:r>
          </w:p>
        </w:tc>
        <w:tc>
          <w:tcPr>
            <w:tcW w:w="1259" w:type="pct"/>
            <w:hideMark/>
          </w:tcPr>
          <w:p w14:paraId="6B33B69E"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36.8 ± 25.0</w:t>
            </w:r>
          </w:p>
        </w:tc>
        <w:tc>
          <w:tcPr>
            <w:tcW w:w="1002" w:type="pct"/>
            <w:hideMark/>
          </w:tcPr>
          <w:p w14:paraId="39F1CAA1"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43.4 ± 18.5</w:t>
            </w:r>
          </w:p>
        </w:tc>
        <w:tc>
          <w:tcPr>
            <w:tcW w:w="1098" w:type="pct"/>
            <w:hideMark/>
          </w:tcPr>
          <w:p w14:paraId="0BF74674"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37.9 ± 24.2</w:t>
            </w:r>
          </w:p>
        </w:tc>
      </w:tr>
      <w:tr w:rsidR="00453626" w:rsidRPr="00453626" w14:paraId="55F81F7F" w14:textId="77777777" w:rsidTr="00D66180">
        <w:tc>
          <w:tcPr>
            <w:tcW w:w="1642" w:type="pct"/>
            <w:hideMark/>
          </w:tcPr>
          <w:p w14:paraId="189146C2"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Sugars, g</w:t>
            </w:r>
          </w:p>
        </w:tc>
        <w:tc>
          <w:tcPr>
            <w:tcW w:w="1259" w:type="pct"/>
            <w:hideMark/>
          </w:tcPr>
          <w:p w14:paraId="18542E09"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22.0 ± 20.8</w:t>
            </w:r>
          </w:p>
        </w:tc>
        <w:tc>
          <w:tcPr>
            <w:tcW w:w="1002" w:type="pct"/>
            <w:hideMark/>
          </w:tcPr>
          <w:p w14:paraId="7076D387"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22.5 ± 15.6</w:t>
            </w:r>
          </w:p>
        </w:tc>
        <w:tc>
          <w:tcPr>
            <w:tcW w:w="1098" w:type="pct"/>
            <w:hideMark/>
          </w:tcPr>
          <w:p w14:paraId="199DCE18"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22.1 ± 20.0</w:t>
            </w:r>
          </w:p>
        </w:tc>
      </w:tr>
      <w:tr w:rsidR="00453626" w:rsidRPr="00453626" w14:paraId="6ECB03AA" w14:textId="77777777" w:rsidTr="00D66180">
        <w:tc>
          <w:tcPr>
            <w:tcW w:w="1642" w:type="pct"/>
            <w:hideMark/>
          </w:tcPr>
          <w:p w14:paraId="2ADD2E7E"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Fibre, g</w:t>
            </w:r>
          </w:p>
        </w:tc>
        <w:tc>
          <w:tcPr>
            <w:tcW w:w="1259" w:type="pct"/>
            <w:hideMark/>
          </w:tcPr>
          <w:p w14:paraId="024D6C12"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4.0 ± 4.7</w:t>
            </w:r>
          </w:p>
        </w:tc>
        <w:tc>
          <w:tcPr>
            <w:tcW w:w="1002" w:type="pct"/>
            <w:hideMark/>
          </w:tcPr>
          <w:p w14:paraId="6F37AF46"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w:t>
            </w:r>
          </w:p>
        </w:tc>
        <w:tc>
          <w:tcPr>
            <w:tcW w:w="1098" w:type="pct"/>
            <w:hideMark/>
          </w:tcPr>
          <w:p w14:paraId="464C0E3D"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4.0 ± 4.7</w:t>
            </w:r>
          </w:p>
        </w:tc>
      </w:tr>
      <w:tr w:rsidR="00453626" w:rsidRPr="00453626" w14:paraId="713EE94A" w14:textId="77777777" w:rsidTr="00D66180">
        <w:tc>
          <w:tcPr>
            <w:tcW w:w="1642" w:type="pct"/>
            <w:hideMark/>
          </w:tcPr>
          <w:p w14:paraId="7D5871DD"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Protein, g</w:t>
            </w:r>
          </w:p>
        </w:tc>
        <w:tc>
          <w:tcPr>
            <w:tcW w:w="1259" w:type="pct"/>
            <w:hideMark/>
          </w:tcPr>
          <w:p w14:paraId="451514B6"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9.5 ± 9.5</w:t>
            </w:r>
          </w:p>
        </w:tc>
        <w:tc>
          <w:tcPr>
            <w:tcW w:w="1002" w:type="pct"/>
            <w:hideMark/>
          </w:tcPr>
          <w:p w14:paraId="54C85379"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6.2 ± 4.1</w:t>
            </w:r>
          </w:p>
        </w:tc>
        <w:tc>
          <w:tcPr>
            <w:tcW w:w="1098" w:type="pct"/>
            <w:hideMark/>
          </w:tcPr>
          <w:p w14:paraId="24371C21"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9.0 ± 8.9</w:t>
            </w:r>
          </w:p>
        </w:tc>
      </w:tr>
      <w:tr w:rsidR="00453626" w:rsidRPr="00453626" w14:paraId="5B40607F" w14:textId="77777777" w:rsidTr="00D66180">
        <w:tc>
          <w:tcPr>
            <w:tcW w:w="1642" w:type="pct"/>
            <w:hideMark/>
          </w:tcPr>
          <w:p w14:paraId="1588AAC8"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Salt, g</w:t>
            </w:r>
          </w:p>
        </w:tc>
        <w:tc>
          <w:tcPr>
            <w:tcW w:w="1259" w:type="pct"/>
            <w:hideMark/>
          </w:tcPr>
          <w:p w14:paraId="370C678A"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0.6 ± 1.3</w:t>
            </w:r>
          </w:p>
        </w:tc>
        <w:tc>
          <w:tcPr>
            <w:tcW w:w="1002" w:type="pct"/>
            <w:hideMark/>
          </w:tcPr>
          <w:p w14:paraId="71ECEB67"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0.5 ± 0.4</w:t>
            </w:r>
          </w:p>
        </w:tc>
        <w:tc>
          <w:tcPr>
            <w:tcW w:w="1098" w:type="pct"/>
            <w:hideMark/>
          </w:tcPr>
          <w:p w14:paraId="290FB931"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0.6 ± 1.2</w:t>
            </w:r>
          </w:p>
        </w:tc>
      </w:tr>
      <w:tr w:rsidR="00453626" w:rsidRPr="00453626" w14:paraId="5A17BC3F" w14:textId="77777777" w:rsidTr="00D66180">
        <w:tc>
          <w:tcPr>
            <w:tcW w:w="1642" w:type="pct"/>
            <w:hideMark/>
          </w:tcPr>
          <w:p w14:paraId="4FC2BDDB" w14:textId="77777777" w:rsidR="00D66180" w:rsidRPr="00453626" w:rsidRDefault="00D66180">
            <w:pPr>
              <w:spacing w:line="360" w:lineRule="auto"/>
              <w:rPr>
                <w:rFonts w:ascii="Times New Roman" w:hAnsi="Times New Roman" w:cs="Times New Roman"/>
                <w:b/>
              </w:rPr>
            </w:pPr>
            <w:r w:rsidRPr="00453626">
              <w:rPr>
                <w:rFonts w:ascii="Times New Roman" w:hAnsi="Times New Roman" w:cs="Times New Roman"/>
                <w:b/>
              </w:rPr>
              <w:t>Traffic Light Labelling</w:t>
            </w:r>
          </w:p>
        </w:tc>
        <w:tc>
          <w:tcPr>
            <w:tcW w:w="1259" w:type="pct"/>
          </w:tcPr>
          <w:p w14:paraId="7CFA4C9A" w14:textId="77777777" w:rsidR="00D66180" w:rsidRPr="00453626" w:rsidRDefault="00D66180">
            <w:pPr>
              <w:spacing w:line="360" w:lineRule="auto"/>
              <w:jc w:val="center"/>
              <w:rPr>
                <w:rFonts w:ascii="Times New Roman" w:hAnsi="Times New Roman" w:cs="Times New Roman"/>
              </w:rPr>
            </w:pPr>
          </w:p>
        </w:tc>
        <w:tc>
          <w:tcPr>
            <w:tcW w:w="1002" w:type="pct"/>
          </w:tcPr>
          <w:p w14:paraId="2959AC2E" w14:textId="77777777" w:rsidR="00D66180" w:rsidRPr="00453626" w:rsidRDefault="00D66180">
            <w:pPr>
              <w:spacing w:line="360" w:lineRule="auto"/>
              <w:jc w:val="center"/>
              <w:rPr>
                <w:rFonts w:ascii="Times New Roman" w:hAnsi="Times New Roman" w:cs="Times New Roman"/>
              </w:rPr>
            </w:pPr>
          </w:p>
        </w:tc>
        <w:tc>
          <w:tcPr>
            <w:tcW w:w="1098" w:type="pct"/>
          </w:tcPr>
          <w:p w14:paraId="702F1A7A" w14:textId="77777777" w:rsidR="00D66180" w:rsidRPr="00453626" w:rsidRDefault="00D66180">
            <w:pPr>
              <w:spacing w:line="360" w:lineRule="auto"/>
              <w:jc w:val="center"/>
              <w:rPr>
                <w:rFonts w:ascii="Times New Roman" w:hAnsi="Times New Roman" w:cs="Times New Roman"/>
              </w:rPr>
            </w:pPr>
          </w:p>
        </w:tc>
      </w:tr>
      <w:tr w:rsidR="00453626" w:rsidRPr="00453626" w14:paraId="7D5B8720" w14:textId="77777777" w:rsidTr="00D66180">
        <w:tc>
          <w:tcPr>
            <w:tcW w:w="1642" w:type="pct"/>
            <w:hideMark/>
          </w:tcPr>
          <w:p w14:paraId="5B9D9587"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Fat</w:t>
            </w:r>
          </w:p>
          <w:p w14:paraId="477E3150"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 xml:space="preserve">   green, n (%)</w:t>
            </w:r>
          </w:p>
          <w:p w14:paraId="4F3698A9"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 xml:space="preserve">   amber, n (%)</w:t>
            </w:r>
          </w:p>
          <w:p w14:paraId="7C8B79FC"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 xml:space="preserve">   red, n (%)</w:t>
            </w:r>
          </w:p>
        </w:tc>
        <w:tc>
          <w:tcPr>
            <w:tcW w:w="1259" w:type="pct"/>
          </w:tcPr>
          <w:p w14:paraId="0DD3BCA6" w14:textId="77777777" w:rsidR="00D66180" w:rsidRPr="00453626" w:rsidRDefault="00D66180">
            <w:pPr>
              <w:spacing w:line="360" w:lineRule="auto"/>
              <w:jc w:val="center"/>
              <w:rPr>
                <w:rFonts w:ascii="Times New Roman" w:hAnsi="Times New Roman" w:cs="Times New Roman"/>
              </w:rPr>
            </w:pPr>
          </w:p>
          <w:p w14:paraId="0EF8E8C6"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449 (25)</w:t>
            </w:r>
          </w:p>
          <w:p w14:paraId="7E06BDCE"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663 (37)</w:t>
            </w:r>
          </w:p>
          <w:p w14:paraId="63AC8BC8"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687 (38)</w:t>
            </w:r>
          </w:p>
        </w:tc>
        <w:tc>
          <w:tcPr>
            <w:tcW w:w="1002" w:type="pct"/>
          </w:tcPr>
          <w:p w14:paraId="6D7B72E9" w14:textId="77777777" w:rsidR="00D66180" w:rsidRPr="00453626" w:rsidRDefault="00D66180">
            <w:pPr>
              <w:spacing w:line="360" w:lineRule="auto"/>
              <w:jc w:val="center"/>
              <w:rPr>
                <w:rFonts w:ascii="Times New Roman" w:hAnsi="Times New Roman" w:cs="Times New Roman"/>
              </w:rPr>
            </w:pPr>
          </w:p>
          <w:p w14:paraId="33F44D21"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34 (10)</w:t>
            </w:r>
          </w:p>
          <w:p w14:paraId="3E3FC7D3"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127 (36)</w:t>
            </w:r>
          </w:p>
          <w:p w14:paraId="2FE1C584"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185 (54)</w:t>
            </w:r>
          </w:p>
        </w:tc>
        <w:tc>
          <w:tcPr>
            <w:tcW w:w="1098" w:type="pct"/>
          </w:tcPr>
          <w:p w14:paraId="036326F5" w14:textId="77777777" w:rsidR="00D66180" w:rsidRPr="00453626" w:rsidRDefault="00D66180">
            <w:pPr>
              <w:spacing w:line="360" w:lineRule="auto"/>
              <w:jc w:val="center"/>
              <w:rPr>
                <w:rFonts w:ascii="Times New Roman" w:hAnsi="Times New Roman" w:cs="Times New Roman"/>
              </w:rPr>
            </w:pPr>
          </w:p>
          <w:p w14:paraId="0DDA3BDB"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483 (22)</w:t>
            </w:r>
          </w:p>
          <w:p w14:paraId="0836F28A"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790 (37)</w:t>
            </w:r>
          </w:p>
          <w:p w14:paraId="3F035187"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882 (41)</w:t>
            </w:r>
          </w:p>
        </w:tc>
      </w:tr>
      <w:tr w:rsidR="00453626" w:rsidRPr="00453626" w14:paraId="035B6D34" w14:textId="77777777" w:rsidTr="00D66180">
        <w:tc>
          <w:tcPr>
            <w:tcW w:w="1642" w:type="pct"/>
            <w:hideMark/>
          </w:tcPr>
          <w:p w14:paraId="3B5BC3B9"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Saturated fat</w:t>
            </w:r>
          </w:p>
          <w:p w14:paraId="4A7055AA"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 xml:space="preserve">   green, n (%)</w:t>
            </w:r>
          </w:p>
          <w:p w14:paraId="52934335"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 xml:space="preserve">   amber, n (%)</w:t>
            </w:r>
          </w:p>
          <w:p w14:paraId="76862A08"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 xml:space="preserve">   red, n (%)</w:t>
            </w:r>
          </w:p>
        </w:tc>
        <w:tc>
          <w:tcPr>
            <w:tcW w:w="1259" w:type="pct"/>
          </w:tcPr>
          <w:p w14:paraId="140776AF" w14:textId="77777777" w:rsidR="00D66180" w:rsidRPr="00453626" w:rsidRDefault="00D66180">
            <w:pPr>
              <w:spacing w:line="360" w:lineRule="auto"/>
              <w:jc w:val="center"/>
              <w:rPr>
                <w:rFonts w:ascii="Times New Roman" w:hAnsi="Times New Roman" w:cs="Times New Roman"/>
              </w:rPr>
            </w:pPr>
          </w:p>
          <w:p w14:paraId="7D60E220"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521 (29)</w:t>
            </w:r>
          </w:p>
          <w:p w14:paraId="08CFDB91"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566 (32)</w:t>
            </w:r>
          </w:p>
          <w:p w14:paraId="2926F98F"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701 (39)</w:t>
            </w:r>
          </w:p>
        </w:tc>
        <w:tc>
          <w:tcPr>
            <w:tcW w:w="1002" w:type="pct"/>
          </w:tcPr>
          <w:p w14:paraId="5740990C" w14:textId="77777777" w:rsidR="00D66180" w:rsidRPr="00453626" w:rsidRDefault="00D66180">
            <w:pPr>
              <w:spacing w:line="360" w:lineRule="auto"/>
              <w:jc w:val="center"/>
              <w:rPr>
                <w:rFonts w:ascii="Times New Roman" w:hAnsi="Times New Roman" w:cs="Times New Roman"/>
              </w:rPr>
            </w:pPr>
          </w:p>
          <w:p w14:paraId="643C40BE"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56 (16)</w:t>
            </w:r>
          </w:p>
          <w:p w14:paraId="768C9BA0"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107 (30)</w:t>
            </w:r>
          </w:p>
          <w:p w14:paraId="0B3B4AD4"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191 (54)</w:t>
            </w:r>
          </w:p>
        </w:tc>
        <w:tc>
          <w:tcPr>
            <w:tcW w:w="1098" w:type="pct"/>
          </w:tcPr>
          <w:p w14:paraId="7CB26AAC" w14:textId="77777777" w:rsidR="00D66180" w:rsidRPr="00453626" w:rsidRDefault="00D66180">
            <w:pPr>
              <w:spacing w:line="360" w:lineRule="auto"/>
              <w:jc w:val="center"/>
              <w:rPr>
                <w:rFonts w:ascii="Times New Roman" w:hAnsi="Times New Roman" w:cs="Times New Roman"/>
              </w:rPr>
            </w:pPr>
          </w:p>
          <w:p w14:paraId="63B34982"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577 (27)</w:t>
            </w:r>
          </w:p>
          <w:p w14:paraId="7017F856"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673 (31)</w:t>
            </w:r>
          </w:p>
          <w:p w14:paraId="629EDB99"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892 (42)</w:t>
            </w:r>
          </w:p>
        </w:tc>
      </w:tr>
      <w:tr w:rsidR="00453626" w:rsidRPr="00453626" w14:paraId="4FB26F6D" w14:textId="77777777" w:rsidTr="00D66180">
        <w:tc>
          <w:tcPr>
            <w:tcW w:w="1642" w:type="pct"/>
            <w:hideMark/>
          </w:tcPr>
          <w:p w14:paraId="65791797"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Sugars</w:t>
            </w:r>
          </w:p>
          <w:p w14:paraId="718AE26E"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 xml:space="preserve">   green, n (%)</w:t>
            </w:r>
          </w:p>
          <w:p w14:paraId="781D8959"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 xml:space="preserve">   amber, n (%)</w:t>
            </w:r>
          </w:p>
          <w:p w14:paraId="202B110C"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 xml:space="preserve">   red, n (%)</w:t>
            </w:r>
          </w:p>
        </w:tc>
        <w:tc>
          <w:tcPr>
            <w:tcW w:w="1259" w:type="pct"/>
          </w:tcPr>
          <w:p w14:paraId="2F39BAA0" w14:textId="77777777" w:rsidR="00D66180" w:rsidRPr="00453626" w:rsidRDefault="00D66180">
            <w:pPr>
              <w:spacing w:line="360" w:lineRule="auto"/>
              <w:jc w:val="center"/>
              <w:rPr>
                <w:rFonts w:ascii="Times New Roman" w:hAnsi="Times New Roman" w:cs="Times New Roman"/>
                <w:highlight w:val="yellow"/>
              </w:rPr>
            </w:pPr>
          </w:p>
          <w:p w14:paraId="54B9479E"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416 (24)</w:t>
            </w:r>
          </w:p>
          <w:p w14:paraId="62FD5AC7"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706 (39)</w:t>
            </w:r>
          </w:p>
          <w:p w14:paraId="2C907117"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670 (37)</w:t>
            </w:r>
          </w:p>
        </w:tc>
        <w:tc>
          <w:tcPr>
            <w:tcW w:w="1002" w:type="pct"/>
          </w:tcPr>
          <w:p w14:paraId="3C4F4F4E" w14:textId="77777777" w:rsidR="00D66180" w:rsidRPr="00453626" w:rsidRDefault="00D66180">
            <w:pPr>
              <w:spacing w:line="360" w:lineRule="auto"/>
              <w:jc w:val="center"/>
              <w:rPr>
                <w:rFonts w:ascii="Times New Roman" w:hAnsi="Times New Roman" w:cs="Times New Roman"/>
              </w:rPr>
            </w:pPr>
          </w:p>
          <w:p w14:paraId="49A235E8"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61 (17)</w:t>
            </w:r>
          </w:p>
          <w:p w14:paraId="6EFAE590"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121 (34)</w:t>
            </w:r>
          </w:p>
          <w:p w14:paraId="2A45AED0"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174 (49)</w:t>
            </w:r>
          </w:p>
        </w:tc>
        <w:tc>
          <w:tcPr>
            <w:tcW w:w="1098" w:type="pct"/>
          </w:tcPr>
          <w:p w14:paraId="4E5031CF" w14:textId="77777777" w:rsidR="00D66180" w:rsidRPr="00453626" w:rsidRDefault="00D66180">
            <w:pPr>
              <w:spacing w:line="360" w:lineRule="auto"/>
              <w:jc w:val="center"/>
              <w:rPr>
                <w:rFonts w:ascii="Times New Roman" w:hAnsi="Times New Roman" w:cs="Times New Roman"/>
              </w:rPr>
            </w:pPr>
          </w:p>
          <w:p w14:paraId="7593C0A4"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477 (22)</w:t>
            </w:r>
          </w:p>
          <w:p w14:paraId="405249BE"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827 (39)</w:t>
            </w:r>
          </w:p>
          <w:p w14:paraId="2FE3C2BC"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843 (39)</w:t>
            </w:r>
          </w:p>
        </w:tc>
      </w:tr>
      <w:tr w:rsidR="00453626" w:rsidRPr="00453626" w14:paraId="77770195" w14:textId="77777777" w:rsidTr="00D66180">
        <w:tc>
          <w:tcPr>
            <w:tcW w:w="1642" w:type="pct"/>
            <w:hideMark/>
          </w:tcPr>
          <w:p w14:paraId="0B698D3B"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Salt</w:t>
            </w:r>
          </w:p>
          <w:p w14:paraId="6B5BC1BC"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 xml:space="preserve">   green, n (%)</w:t>
            </w:r>
          </w:p>
          <w:p w14:paraId="3A243711"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 xml:space="preserve">   amber, n (%)</w:t>
            </w:r>
          </w:p>
          <w:p w14:paraId="1A616510"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 xml:space="preserve">   red, n (%)</w:t>
            </w:r>
          </w:p>
        </w:tc>
        <w:tc>
          <w:tcPr>
            <w:tcW w:w="1259" w:type="pct"/>
          </w:tcPr>
          <w:p w14:paraId="256EE125" w14:textId="77777777" w:rsidR="00D66180" w:rsidRPr="00453626" w:rsidRDefault="00D66180">
            <w:pPr>
              <w:spacing w:line="360" w:lineRule="auto"/>
              <w:jc w:val="center"/>
              <w:rPr>
                <w:rFonts w:ascii="Times New Roman" w:hAnsi="Times New Roman" w:cs="Times New Roman"/>
              </w:rPr>
            </w:pPr>
          </w:p>
          <w:p w14:paraId="29C0031D"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1007 (56)</w:t>
            </w:r>
          </w:p>
          <w:p w14:paraId="46442BA1"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637 (36)</w:t>
            </w:r>
          </w:p>
          <w:p w14:paraId="404A8CE4"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149 (8)</w:t>
            </w:r>
          </w:p>
        </w:tc>
        <w:tc>
          <w:tcPr>
            <w:tcW w:w="1002" w:type="pct"/>
          </w:tcPr>
          <w:p w14:paraId="070BD2A9" w14:textId="77777777" w:rsidR="00D66180" w:rsidRPr="00453626" w:rsidRDefault="00D66180">
            <w:pPr>
              <w:spacing w:line="360" w:lineRule="auto"/>
              <w:jc w:val="center"/>
              <w:rPr>
                <w:rFonts w:ascii="Times New Roman" w:hAnsi="Times New Roman" w:cs="Times New Roman"/>
              </w:rPr>
            </w:pPr>
          </w:p>
          <w:p w14:paraId="6B9D49F9"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127 (37)</w:t>
            </w:r>
          </w:p>
          <w:p w14:paraId="0C2BD896"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211 (60)</w:t>
            </w:r>
          </w:p>
          <w:p w14:paraId="0920A12D"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12 (3)</w:t>
            </w:r>
          </w:p>
        </w:tc>
        <w:tc>
          <w:tcPr>
            <w:tcW w:w="1098" w:type="pct"/>
          </w:tcPr>
          <w:p w14:paraId="43D3F50B" w14:textId="77777777" w:rsidR="00D66180" w:rsidRPr="00453626" w:rsidRDefault="00D66180">
            <w:pPr>
              <w:spacing w:line="360" w:lineRule="auto"/>
              <w:jc w:val="center"/>
              <w:rPr>
                <w:rFonts w:ascii="Times New Roman" w:hAnsi="Times New Roman" w:cs="Times New Roman"/>
              </w:rPr>
            </w:pPr>
          </w:p>
          <w:p w14:paraId="356C7B97"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1134 (53)</w:t>
            </w:r>
          </w:p>
          <w:p w14:paraId="1DCE2C78"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848 (40)</w:t>
            </w:r>
          </w:p>
          <w:p w14:paraId="098CBE8E"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161 (7)</w:t>
            </w:r>
          </w:p>
        </w:tc>
      </w:tr>
      <w:tr w:rsidR="00453626" w:rsidRPr="00453626" w14:paraId="3A018FB9" w14:textId="77777777" w:rsidTr="00D66180">
        <w:tc>
          <w:tcPr>
            <w:tcW w:w="1642" w:type="pct"/>
            <w:hideMark/>
          </w:tcPr>
          <w:p w14:paraId="2B84B395"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Number of red traffic lights</w:t>
            </w:r>
          </w:p>
          <w:p w14:paraId="1CEA17C0"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 xml:space="preserve">   0</w:t>
            </w:r>
          </w:p>
          <w:p w14:paraId="5B9DD234"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 xml:space="preserve">   1</w:t>
            </w:r>
          </w:p>
          <w:p w14:paraId="5095EA3C"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 xml:space="preserve">   2</w:t>
            </w:r>
          </w:p>
          <w:p w14:paraId="2247D55E"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lastRenderedPageBreak/>
              <w:t xml:space="preserve">   3</w:t>
            </w:r>
          </w:p>
          <w:p w14:paraId="38D13B42"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 xml:space="preserve">   4</w:t>
            </w:r>
          </w:p>
        </w:tc>
        <w:tc>
          <w:tcPr>
            <w:tcW w:w="1259" w:type="pct"/>
          </w:tcPr>
          <w:p w14:paraId="4DDB3116" w14:textId="77777777" w:rsidR="00D66180" w:rsidRPr="00453626" w:rsidRDefault="00D66180">
            <w:pPr>
              <w:spacing w:line="360" w:lineRule="auto"/>
              <w:jc w:val="center"/>
              <w:rPr>
                <w:rFonts w:ascii="Times New Roman" w:hAnsi="Times New Roman" w:cs="Times New Roman"/>
              </w:rPr>
            </w:pPr>
          </w:p>
          <w:p w14:paraId="6CF6F839"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759 (40)</w:t>
            </w:r>
          </w:p>
          <w:p w14:paraId="599D9DBD"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457 (24)</w:t>
            </w:r>
          </w:p>
          <w:p w14:paraId="0EB93F65"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314 (16)</w:t>
            </w:r>
          </w:p>
          <w:p w14:paraId="73C1B019"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lastRenderedPageBreak/>
              <w:t>374 (20)</w:t>
            </w:r>
          </w:p>
          <w:p w14:paraId="688DA7F0"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0 (0)</w:t>
            </w:r>
          </w:p>
        </w:tc>
        <w:tc>
          <w:tcPr>
            <w:tcW w:w="1002" w:type="pct"/>
          </w:tcPr>
          <w:p w14:paraId="1D70A1F1" w14:textId="77777777" w:rsidR="00D66180" w:rsidRPr="00453626" w:rsidRDefault="00D66180">
            <w:pPr>
              <w:spacing w:line="360" w:lineRule="auto"/>
              <w:jc w:val="center"/>
              <w:rPr>
                <w:rFonts w:ascii="Times New Roman" w:hAnsi="Times New Roman" w:cs="Times New Roman"/>
              </w:rPr>
            </w:pPr>
          </w:p>
          <w:p w14:paraId="050168C8"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101 (26)</w:t>
            </w:r>
          </w:p>
          <w:p w14:paraId="221D660C"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79 (21)</w:t>
            </w:r>
          </w:p>
          <w:p w14:paraId="5CE0A656"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105 (28)</w:t>
            </w:r>
          </w:p>
          <w:p w14:paraId="315A1220"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lastRenderedPageBreak/>
              <w:t>94 (25)</w:t>
            </w:r>
          </w:p>
          <w:p w14:paraId="67762A24"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0 (0)</w:t>
            </w:r>
          </w:p>
        </w:tc>
        <w:tc>
          <w:tcPr>
            <w:tcW w:w="1098" w:type="pct"/>
          </w:tcPr>
          <w:p w14:paraId="3B3BA316" w14:textId="77777777" w:rsidR="00D66180" w:rsidRPr="00453626" w:rsidRDefault="00D66180">
            <w:pPr>
              <w:spacing w:line="360" w:lineRule="auto"/>
              <w:jc w:val="center"/>
              <w:rPr>
                <w:rFonts w:ascii="Times New Roman" w:hAnsi="Times New Roman" w:cs="Times New Roman"/>
              </w:rPr>
            </w:pPr>
          </w:p>
          <w:p w14:paraId="79EC4E11"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860 (38)</w:t>
            </w:r>
          </w:p>
          <w:p w14:paraId="797BE286"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536 (24)</w:t>
            </w:r>
          </w:p>
          <w:p w14:paraId="20AE34BB"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419 (18)</w:t>
            </w:r>
          </w:p>
          <w:p w14:paraId="56299BC3"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lastRenderedPageBreak/>
              <w:t>468 (21)</w:t>
            </w:r>
          </w:p>
          <w:p w14:paraId="154959AA"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0 (0)</w:t>
            </w:r>
          </w:p>
        </w:tc>
      </w:tr>
      <w:tr w:rsidR="00453626" w:rsidRPr="00453626" w14:paraId="5514A1B6" w14:textId="77777777" w:rsidTr="00D66180">
        <w:tc>
          <w:tcPr>
            <w:tcW w:w="1642" w:type="pct"/>
            <w:hideMark/>
          </w:tcPr>
          <w:p w14:paraId="68F37230" w14:textId="77777777" w:rsidR="00D66180" w:rsidRPr="00453626" w:rsidRDefault="00D66180">
            <w:pPr>
              <w:spacing w:line="360" w:lineRule="auto"/>
              <w:rPr>
                <w:rFonts w:ascii="Times New Roman" w:hAnsi="Times New Roman" w:cs="Times New Roman"/>
                <w:b/>
              </w:rPr>
            </w:pPr>
            <w:proofErr w:type="spellStart"/>
            <w:r w:rsidRPr="00453626">
              <w:rPr>
                <w:rFonts w:ascii="Times New Roman" w:hAnsi="Times New Roman" w:cs="Times New Roman"/>
                <w:b/>
              </w:rPr>
              <w:lastRenderedPageBreak/>
              <w:t>PHE</w:t>
            </w:r>
            <w:r w:rsidRPr="00453626">
              <w:rPr>
                <w:rFonts w:ascii="Times New Roman" w:hAnsi="Times New Roman" w:cs="Times New Roman"/>
                <w:b/>
                <w:vertAlign w:val="superscript"/>
              </w:rPr>
              <w:t>a</w:t>
            </w:r>
            <w:proofErr w:type="spellEnd"/>
            <w:r w:rsidRPr="00453626">
              <w:rPr>
                <w:rFonts w:ascii="Times New Roman" w:hAnsi="Times New Roman" w:cs="Times New Roman"/>
                <w:b/>
              </w:rPr>
              <w:t xml:space="preserve"> recommendations</w:t>
            </w:r>
          </w:p>
        </w:tc>
        <w:tc>
          <w:tcPr>
            <w:tcW w:w="1259" w:type="pct"/>
          </w:tcPr>
          <w:p w14:paraId="5E708E4D" w14:textId="77777777" w:rsidR="00D66180" w:rsidRPr="00453626" w:rsidRDefault="00D66180">
            <w:pPr>
              <w:spacing w:line="360" w:lineRule="auto"/>
              <w:jc w:val="center"/>
              <w:rPr>
                <w:rFonts w:ascii="Times New Roman" w:hAnsi="Times New Roman" w:cs="Times New Roman"/>
              </w:rPr>
            </w:pPr>
          </w:p>
        </w:tc>
        <w:tc>
          <w:tcPr>
            <w:tcW w:w="1002" w:type="pct"/>
          </w:tcPr>
          <w:p w14:paraId="1F100B46" w14:textId="77777777" w:rsidR="00D66180" w:rsidRPr="00453626" w:rsidRDefault="00D66180">
            <w:pPr>
              <w:spacing w:line="360" w:lineRule="auto"/>
              <w:jc w:val="center"/>
              <w:rPr>
                <w:rFonts w:ascii="Times New Roman" w:hAnsi="Times New Roman" w:cs="Times New Roman"/>
              </w:rPr>
            </w:pPr>
          </w:p>
        </w:tc>
        <w:tc>
          <w:tcPr>
            <w:tcW w:w="1098" w:type="pct"/>
          </w:tcPr>
          <w:p w14:paraId="458D341A" w14:textId="77777777" w:rsidR="00D66180" w:rsidRPr="00453626" w:rsidRDefault="00D66180">
            <w:pPr>
              <w:spacing w:line="360" w:lineRule="auto"/>
              <w:jc w:val="center"/>
              <w:rPr>
                <w:rFonts w:ascii="Times New Roman" w:hAnsi="Times New Roman" w:cs="Times New Roman"/>
              </w:rPr>
            </w:pPr>
          </w:p>
        </w:tc>
      </w:tr>
      <w:tr w:rsidR="00453626" w:rsidRPr="00453626" w14:paraId="5D9B3E8D" w14:textId="77777777" w:rsidTr="00D66180">
        <w:tc>
          <w:tcPr>
            <w:tcW w:w="1642" w:type="pct"/>
            <w:hideMark/>
          </w:tcPr>
          <w:p w14:paraId="138C9BE9"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 xml:space="preserve">Snacks ≤ 100 </w:t>
            </w:r>
            <w:proofErr w:type="spellStart"/>
            <w:r w:rsidRPr="00453626">
              <w:rPr>
                <w:rFonts w:ascii="Times New Roman" w:hAnsi="Times New Roman" w:cs="Times New Roman"/>
              </w:rPr>
              <w:t>kcal</w:t>
            </w:r>
            <w:r w:rsidRPr="00453626">
              <w:rPr>
                <w:rFonts w:ascii="Times New Roman" w:hAnsi="Times New Roman" w:cs="Times New Roman"/>
                <w:vertAlign w:val="superscript"/>
              </w:rPr>
              <w:t>b</w:t>
            </w:r>
            <w:proofErr w:type="spellEnd"/>
            <w:r w:rsidRPr="00453626">
              <w:rPr>
                <w:rFonts w:ascii="Times New Roman" w:hAnsi="Times New Roman" w:cs="Times New Roman"/>
              </w:rPr>
              <w:t>, n (%)</w:t>
            </w:r>
          </w:p>
        </w:tc>
        <w:tc>
          <w:tcPr>
            <w:tcW w:w="1259" w:type="pct"/>
            <w:hideMark/>
          </w:tcPr>
          <w:p w14:paraId="1445F67D"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384 (21)</w:t>
            </w:r>
          </w:p>
        </w:tc>
        <w:tc>
          <w:tcPr>
            <w:tcW w:w="1002" w:type="pct"/>
            <w:hideMark/>
          </w:tcPr>
          <w:p w14:paraId="5B0DDFC4"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31 (9)</w:t>
            </w:r>
          </w:p>
        </w:tc>
        <w:tc>
          <w:tcPr>
            <w:tcW w:w="1098" w:type="pct"/>
            <w:hideMark/>
          </w:tcPr>
          <w:p w14:paraId="3E4E518C"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415 (19)</w:t>
            </w:r>
          </w:p>
        </w:tc>
      </w:tr>
      <w:tr w:rsidR="00453626" w:rsidRPr="00453626" w14:paraId="443A41B9" w14:textId="77777777" w:rsidTr="00D66180">
        <w:tc>
          <w:tcPr>
            <w:tcW w:w="1642" w:type="pct"/>
            <w:hideMark/>
          </w:tcPr>
          <w:p w14:paraId="27BB8722"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 xml:space="preserve">Snacks ≤ 200 </w:t>
            </w:r>
            <w:proofErr w:type="spellStart"/>
            <w:r w:rsidRPr="00453626">
              <w:rPr>
                <w:rFonts w:ascii="Times New Roman" w:hAnsi="Times New Roman" w:cs="Times New Roman"/>
              </w:rPr>
              <w:t>kcal</w:t>
            </w:r>
            <w:r w:rsidRPr="00453626">
              <w:rPr>
                <w:rFonts w:ascii="Times New Roman" w:hAnsi="Times New Roman" w:cs="Times New Roman"/>
                <w:vertAlign w:val="superscript"/>
              </w:rPr>
              <w:t>c</w:t>
            </w:r>
            <w:proofErr w:type="spellEnd"/>
            <w:r w:rsidRPr="00453626">
              <w:rPr>
                <w:rFonts w:ascii="Times New Roman" w:hAnsi="Times New Roman" w:cs="Times New Roman"/>
              </w:rPr>
              <w:t>, n (%)</w:t>
            </w:r>
          </w:p>
        </w:tc>
        <w:tc>
          <w:tcPr>
            <w:tcW w:w="1259" w:type="pct"/>
            <w:hideMark/>
          </w:tcPr>
          <w:p w14:paraId="603BEA02"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1212 (68)</w:t>
            </w:r>
          </w:p>
        </w:tc>
        <w:tc>
          <w:tcPr>
            <w:tcW w:w="1002" w:type="pct"/>
            <w:hideMark/>
          </w:tcPr>
          <w:p w14:paraId="758D3394"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97 (27)</w:t>
            </w:r>
          </w:p>
        </w:tc>
        <w:tc>
          <w:tcPr>
            <w:tcW w:w="1098" w:type="pct"/>
            <w:hideMark/>
          </w:tcPr>
          <w:p w14:paraId="4500A156"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1309 (61)</w:t>
            </w:r>
          </w:p>
        </w:tc>
      </w:tr>
      <w:tr w:rsidR="00453626" w:rsidRPr="00453626" w14:paraId="71EFCEE6" w14:textId="77777777" w:rsidTr="00D66180">
        <w:tc>
          <w:tcPr>
            <w:tcW w:w="1642" w:type="pct"/>
            <w:tcBorders>
              <w:top w:val="nil"/>
              <w:left w:val="nil"/>
              <w:bottom w:val="single" w:sz="4" w:space="0" w:color="auto"/>
              <w:right w:val="nil"/>
            </w:tcBorders>
            <w:hideMark/>
          </w:tcPr>
          <w:p w14:paraId="09F83C1D" w14:textId="77777777" w:rsidR="00D66180" w:rsidRPr="00453626" w:rsidRDefault="00D66180">
            <w:pPr>
              <w:spacing w:line="360" w:lineRule="auto"/>
              <w:rPr>
                <w:rFonts w:ascii="Times New Roman" w:hAnsi="Times New Roman" w:cs="Times New Roman"/>
              </w:rPr>
            </w:pPr>
            <w:r w:rsidRPr="00453626">
              <w:rPr>
                <w:rFonts w:ascii="Times New Roman" w:hAnsi="Times New Roman" w:cs="Times New Roman"/>
              </w:rPr>
              <w:t>Snacks &gt; 200 kcal, n (%)</w:t>
            </w:r>
          </w:p>
        </w:tc>
        <w:tc>
          <w:tcPr>
            <w:tcW w:w="1259" w:type="pct"/>
            <w:tcBorders>
              <w:top w:val="nil"/>
              <w:left w:val="nil"/>
              <w:bottom w:val="single" w:sz="4" w:space="0" w:color="auto"/>
              <w:right w:val="nil"/>
            </w:tcBorders>
            <w:hideMark/>
          </w:tcPr>
          <w:p w14:paraId="1326D936"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581 (32)</w:t>
            </w:r>
          </w:p>
        </w:tc>
        <w:tc>
          <w:tcPr>
            <w:tcW w:w="1002" w:type="pct"/>
            <w:tcBorders>
              <w:top w:val="nil"/>
              <w:left w:val="nil"/>
              <w:bottom w:val="single" w:sz="4" w:space="0" w:color="auto"/>
              <w:right w:val="nil"/>
            </w:tcBorders>
            <w:hideMark/>
          </w:tcPr>
          <w:p w14:paraId="5467BAB1"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261 (73)</w:t>
            </w:r>
          </w:p>
        </w:tc>
        <w:tc>
          <w:tcPr>
            <w:tcW w:w="1098" w:type="pct"/>
            <w:tcBorders>
              <w:top w:val="nil"/>
              <w:left w:val="nil"/>
              <w:bottom w:val="single" w:sz="4" w:space="0" w:color="auto"/>
              <w:right w:val="nil"/>
            </w:tcBorders>
            <w:hideMark/>
          </w:tcPr>
          <w:p w14:paraId="2A71FC7B" w14:textId="77777777" w:rsidR="00D66180" w:rsidRPr="00453626" w:rsidRDefault="00D66180">
            <w:pPr>
              <w:spacing w:line="360" w:lineRule="auto"/>
              <w:jc w:val="center"/>
              <w:rPr>
                <w:rFonts w:ascii="Times New Roman" w:hAnsi="Times New Roman" w:cs="Times New Roman"/>
              </w:rPr>
            </w:pPr>
            <w:r w:rsidRPr="00453626">
              <w:rPr>
                <w:rFonts w:ascii="Times New Roman" w:hAnsi="Times New Roman" w:cs="Times New Roman"/>
              </w:rPr>
              <w:t>842 (39)</w:t>
            </w:r>
          </w:p>
        </w:tc>
      </w:tr>
    </w:tbl>
    <w:p w14:paraId="17E1540E" w14:textId="77777777" w:rsidR="00D66180" w:rsidRPr="00453626" w:rsidRDefault="00D66180" w:rsidP="00D66180">
      <w:pPr>
        <w:spacing w:line="360" w:lineRule="auto"/>
        <w:rPr>
          <w:rFonts w:ascii="Times New Roman" w:hAnsi="Times New Roman" w:cs="Times New Roman"/>
        </w:rPr>
      </w:pPr>
      <w:bookmarkStart w:id="10" w:name="_Hlk45551026"/>
      <w:r w:rsidRPr="00453626">
        <w:rPr>
          <w:rFonts w:ascii="Times New Roman" w:hAnsi="Times New Roman" w:cs="Times New Roman"/>
        </w:rPr>
        <w:t xml:space="preserve">Missing values for total energy: 132, for price/snack: 278, for price/100 kcal: 323, for energy/100 g: 164, for fat/100 g: 126, for saturated fat/100 g: 138, for carbohydrates/100 g: 127, for sugars/100 g: 131, for fibre/100 g: 905, for protein/100 g: 127, for salt /100 g: 140. </w:t>
      </w:r>
      <w:bookmarkStart w:id="11" w:name="_Hlk45550965"/>
      <w:bookmarkEnd w:id="10"/>
      <w:r w:rsidRPr="00453626">
        <w:rPr>
          <w:rFonts w:ascii="Times New Roman" w:hAnsi="Times New Roman" w:cs="Times New Roman"/>
        </w:rPr>
        <w:t>Fibre information was not available online for any coffee shops snack product.</w:t>
      </w:r>
    </w:p>
    <w:bookmarkEnd w:id="11"/>
    <w:p w14:paraId="3A62525C" w14:textId="77777777" w:rsidR="00D66180" w:rsidRPr="00453626" w:rsidRDefault="00D66180" w:rsidP="00D66180">
      <w:pPr>
        <w:spacing w:line="360" w:lineRule="auto"/>
        <w:rPr>
          <w:rFonts w:ascii="Times New Roman" w:hAnsi="Times New Roman" w:cs="Times New Roman"/>
        </w:rPr>
      </w:pPr>
      <w:r w:rsidRPr="00453626">
        <w:rPr>
          <w:rFonts w:ascii="Times New Roman" w:hAnsi="Times New Roman" w:cs="Times New Roman"/>
          <w:vertAlign w:val="superscript"/>
        </w:rPr>
        <w:t>a</w:t>
      </w:r>
      <w:r w:rsidRPr="00453626">
        <w:rPr>
          <w:rFonts w:ascii="Times New Roman" w:hAnsi="Times New Roman" w:cs="Times New Roman"/>
        </w:rPr>
        <w:t xml:space="preserve"> Public Health England. </w:t>
      </w:r>
      <w:r w:rsidRPr="00453626">
        <w:rPr>
          <w:rFonts w:ascii="Times New Roman" w:hAnsi="Times New Roman" w:cs="Times New Roman"/>
          <w:vertAlign w:val="superscript"/>
        </w:rPr>
        <w:t>b</w:t>
      </w:r>
      <w:r w:rsidRPr="00453626">
        <w:rPr>
          <w:rFonts w:ascii="Times New Roman" w:hAnsi="Times New Roman" w:cs="Times New Roman"/>
        </w:rPr>
        <w:t xml:space="preserve"> Recommendation for children. </w:t>
      </w:r>
      <w:r w:rsidRPr="00453626">
        <w:rPr>
          <w:rFonts w:ascii="Times New Roman" w:hAnsi="Times New Roman" w:cs="Times New Roman"/>
          <w:vertAlign w:val="superscript"/>
        </w:rPr>
        <w:t xml:space="preserve">c </w:t>
      </w:r>
      <w:r w:rsidRPr="00453626">
        <w:rPr>
          <w:rFonts w:ascii="Times New Roman" w:hAnsi="Times New Roman" w:cs="Times New Roman"/>
        </w:rPr>
        <w:t>Recommendation for adults.</w:t>
      </w:r>
    </w:p>
    <w:p w14:paraId="7762721F" w14:textId="52C46536" w:rsidR="00C2727A" w:rsidRPr="00453626" w:rsidRDefault="00AC47B1" w:rsidP="00396F23">
      <w:pPr>
        <w:spacing w:line="360" w:lineRule="auto"/>
        <w:rPr>
          <w:rFonts w:ascii="Times New Roman" w:hAnsi="Times New Roman" w:cs="Times New Roman"/>
          <w:bCs/>
          <w:sz w:val="24"/>
        </w:rPr>
      </w:pPr>
      <w:bookmarkStart w:id="12" w:name="_Hlk60763541"/>
      <w:r w:rsidRPr="00453626">
        <w:rPr>
          <w:rFonts w:ascii="Times New Roman" w:hAnsi="Times New Roman" w:cs="Times New Roman"/>
          <w:bCs/>
          <w:sz w:val="24"/>
        </w:rPr>
        <w:t xml:space="preserve">Linear mixed models </w:t>
      </w:r>
      <w:r w:rsidR="000543F5" w:rsidRPr="00453626">
        <w:rPr>
          <w:rFonts w:ascii="Times New Roman" w:hAnsi="Times New Roman" w:cs="Times New Roman"/>
          <w:bCs/>
          <w:sz w:val="24"/>
        </w:rPr>
        <w:t xml:space="preserve">investigating the effect of business type </w:t>
      </w:r>
      <w:r w:rsidR="009E0204" w:rsidRPr="00453626">
        <w:rPr>
          <w:rFonts w:ascii="Times New Roman" w:hAnsi="Times New Roman" w:cs="Times New Roman"/>
          <w:bCs/>
          <w:sz w:val="24"/>
        </w:rPr>
        <w:t>showed that</w:t>
      </w:r>
      <w:r w:rsidR="00A91A7C" w:rsidRPr="00453626">
        <w:rPr>
          <w:rFonts w:ascii="Times New Roman" w:hAnsi="Times New Roman" w:cs="Times New Roman"/>
          <w:bCs/>
          <w:sz w:val="24"/>
        </w:rPr>
        <w:t xml:space="preserve"> on average</w:t>
      </w:r>
      <w:r w:rsidR="009E0204" w:rsidRPr="00453626">
        <w:rPr>
          <w:rFonts w:ascii="Times New Roman" w:hAnsi="Times New Roman" w:cs="Times New Roman"/>
          <w:bCs/>
          <w:sz w:val="24"/>
        </w:rPr>
        <w:t xml:space="preserve"> s</w:t>
      </w:r>
      <w:r w:rsidR="001546B0" w:rsidRPr="00453626">
        <w:rPr>
          <w:rFonts w:ascii="Times New Roman" w:hAnsi="Times New Roman" w:cs="Times New Roman"/>
          <w:bCs/>
          <w:sz w:val="24"/>
        </w:rPr>
        <w:t>nack products</w:t>
      </w:r>
      <w:r w:rsidR="005E6EF9" w:rsidRPr="00453626">
        <w:rPr>
          <w:rFonts w:ascii="Times New Roman" w:hAnsi="Times New Roman" w:cs="Times New Roman"/>
          <w:bCs/>
          <w:sz w:val="24"/>
        </w:rPr>
        <w:t xml:space="preserve"> </w:t>
      </w:r>
      <w:r w:rsidR="00D86A30" w:rsidRPr="00453626">
        <w:rPr>
          <w:rFonts w:ascii="Times New Roman" w:hAnsi="Times New Roman" w:cs="Times New Roman"/>
          <w:bCs/>
          <w:sz w:val="24"/>
        </w:rPr>
        <w:t xml:space="preserve">sold </w:t>
      </w:r>
      <w:r w:rsidR="002219C8" w:rsidRPr="00453626">
        <w:rPr>
          <w:rFonts w:ascii="Times New Roman" w:hAnsi="Times New Roman" w:cs="Times New Roman"/>
          <w:bCs/>
          <w:sz w:val="24"/>
        </w:rPr>
        <w:t xml:space="preserve">at </w:t>
      </w:r>
      <w:r w:rsidR="001546B0" w:rsidRPr="00453626">
        <w:rPr>
          <w:rFonts w:ascii="Times New Roman" w:hAnsi="Times New Roman" w:cs="Times New Roman"/>
          <w:bCs/>
          <w:sz w:val="24"/>
        </w:rPr>
        <w:t>coffee shops</w:t>
      </w:r>
      <w:r w:rsidR="005E6EF9" w:rsidRPr="00453626">
        <w:rPr>
          <w:rFonts w:ascii="Times New Roman" w:hAnsi="Times New Roman" w:cs="Times New Roman"/>
          <w:bCs/>
          <w:sz w:val="24"/>
        </w:rPr>
        <w:t xml:space="preserve"> had </w:t>
      </w:r>
      <w:r w:rsidR="001546B0" w:rsidRPr="00453626">
        <w:rPr>
          <w:rFonts w:ascii="Times New Roman" w:hAnsi="Times New Roman" w:cs="Times New Roman"/>
          <w:bCs/>
          <w:sz w:val="24"/>
        </w:rPr>
        <w:t>123</w:t>
      </w:r>
      <w:r w:rsidR="0079268A" w:rsidRPr="00453626">
        <w:rPr>
          <w:rFonts w:ascii="Times New Roman" w:hAnsi="Times New Roman" w:cs="Times New Roman"/>
          <w:bCs/>
          <w:sz w:val="24"/>
        </w:rPr>
        <w:t xml:space="preserve"> </w:t>
      </w:r>
      <w:r w:rsidR="009E0204" w:rsidRPr="00453626">
        <w:rPr>
          <w:rFonts w:ascii="Times New Roman" w:hAnsi="Times New Roman" w:cs="Times New Roman"/>
          <w:bCs/>
          <w:sz w:val="24"/>
        </w:rPr>
        <w:t xml:space="preserve">kcal </w:t>
      </w:r>
      <w:r w:rsidR="00A91A7C" w:rsidRPr="00453626">
        <w:rPr>
          <w:rFonts w:ascii="Times New Roman" w:hAnsi="Times New Roman" w:cs="Times New Roman"/>
          <w:bCs/>
          <w:sz w:val="24"/>
        </w:rPr>
        <w:t xml:space="preserve">more </w:t>
      </w:r>
      <w:r w:rsidR="0079268A" w:rsidRPr="00453626">
        <w:rPr>
          <w:rFonts w:ascii="Times New Roman" w:hAnsi="Times New Roman" w:cs="Times New Roman"/>
          <w:bCs/>
          <w:sz w:val="24"/>
        </w:rPr>
        <w:t xml:space="preserve">(95% </w:t>
      </w:r>
      <w:r w:rsidR="00E86245" w:rsidRPr="00453626">
        <w:rPr>
          <w:rFonts w:ascii="Times New Roman" w:hAnsi="Times New Roman" w:cs="Times New Roman"/>
          <w:bCs/>
          <w:sz w:val="24"/>
        </w:rPr>
        <w:t>CI</w:t>
      </w:r>
      <w:r w:rsidR="002F5257" w:rsidRPr="00453626">
        <w:rPr>
          <w:rFonts w:ascii="Times New Roman" w:hAnsi="Times New Roman" w:cs="Times New Roman"/>
          <w:bCs/>
          <w:sz w:val="24"/>
        </w:rPr>
        <w:t>:</w:t>
      </w:r>
      <w:r w:rsidR="0079268A" w:rsidRPr="00453626">
        <w:rPr>
          <w:rFonts w:ascii="Times New Roman" w:hAnsi="Times New Roman" w:cs="Times New Roman"/>
          <w:bCs/>
          <w:sz w:val="24"/>
        </w:rPr>
        <w:t xml:space="preserve"> 95 to 151)</w:t>
      </w:r>
      <w:r w:rsidR="001E2234" w:rsidRPr="00453626">
        <w:rPr>
          <w:rFonts w:ascii="Times New Roman" w:hAnsi="Times New Roman" w:cs="Times New Roman"/>
          <w:bCs/>
          <w:sz w:val="24"/>
        </w:rPr>
        <w:t xml:space="preserve">, cost £0.72 </w:t>
      </w:r>
      <w:r w:rsidR="00A91A7C" w:rsidRPr="00453626">
        <w:rPr>
          <w:rFonts w:ascii="Times New Roman" w:hAnsi="Times New Roman" w:cs="Times New Roman"/>
          <w:bCs/>
          <w:sz w:val="24"/>
        </w:rPr>
        <w:t xml:space="preserve">more </w:t>
      </w:r>
      <w:r w:rsidR="0079268A" w:rsidRPr="00453626">
        <w:rPr>
          <w:rFonts w:ascii="Times New Roman" w:hAnsi="Times New Roman" w:cs="Times New Roman"/>
          <w:bCs/>
          <w:sz w:val="24"/>
        </w:rPr>
        <w:t xml:space="preserve">(95% </w:t>
      </w:r>
      <w:r w:rsidR="00E86245" w:rsidRPr="00453626">
        <w:rPr>
          <w:rFonts w:ascii="Times New Roman" w:hAnsi="Times New Roman" w:cs="Times New Roman"/>
          <w:bCs/>
          <w:sz w:val="24"/>
        </w:rPr>
        <w:t>CI</w:t>
      </w:r>
      <w:r w:rsidR="002F5257" w:rsidRPr="00453626">
        <w:rPr>
          <w:rFonts w:ascii="Times New Roman" w:hAnsi="Times New Roman" w:cs="Times New Roman"/>
          <w:bCs/>
          <w:sz w:val="24"/>
        </w:rPr>
        <w:t>:</w:t>
      </w:r>
      <w:r w:rsidR="0079268A" w:rsidRPr="00453626">
        <w:rPr>
          <w:rFonts w:ascii="Times New Roman" w:hAnsi="Times New Roman" w:cs="Times New Roman"/>
          <w:bCs/>
          <w:sz w:val="24"/>
        </w:rPr>
        <w:t xml:space="preserve"> 0.41 to 1.02) </w:t>
      </w:r>
      <w:r w:rsidR="001E2234" w:rsidRPr="00453626">
        <w:rPr>
          <w:rFonts w:ascii="Times New Roman" w:hAnsi="Times New Roman" w:cs="Times New Roman"/>
          <w:bCs/>
          <w:sz w:val="24"/>
        </w:rPr>
        <w:t>and</w:t>
      </w:r>
      <w:r w:rsidR="00823491" w:rsidRPr="00453626">
        <w:rPr>
          <w:rFonts w:ascii="Times New Roman" w:hAnsi="Times New Roman" w:cs="Times New Roman"/>
          <w:bCs/>
          <w:sz w:val="24"/>
        </w:rPr>
        <w:t xml:space="preserve"> </w:t>
      </w:r>
      <w:r w:rsidR="001E2234" w:rsidRPr="00453626">
        <w:rPr>
          <w:rFonts w:ascii="Times New Roman" w:hAnsi="Times New Roman" w:cs="Times New Roman"/>
          <w:bCs/>
          <w:sz w:val="24"/>
        </w:rPr>
        <w:t xml:space="preserve">contained </w:t>
      </w:r>
      <w:r w:rsidR="002410C1" w:rsidRPr="00453626">
        <w:rPr>
          <w:rFonts w:ascii="Times New Roman" w:hAnsi="Times New Roman" w:cs="Times New Roman"/>
          <w:bCs/>
          <w:sz w:val="24"/>
        </w:rPr>
        <w:t xml:space="preserve">0.44 </w:t>
      </w:r>
      <w:r w:rsidR="009E0204" w:rsidRPr="00453626">
        <w:rPr>
          <w:rFonts w:ascii="Times New Roman" w:hAnsi="Times New Roman" w:cs="Times New Roman"/>
          <w:bCs/>
          <w:sz w:val="24"/>
        </w:rPr>
        <w:t>(</w:t>
      </w:r>
      <w:r w:rsidR="002410C1" w:rsidRPr="00453626">
        <w:rPr>
          <w:rFonts w:ascii="Times New Roman" w:hAnsi="Times New Roman" w:cs="Times New Roman"/>
          <w:bCs/>
          <w:sz w:val="24"/>
        </w:rPr>
        <w:t xml:space="preserve">95% </w:t>
      </w:r>
      <w:r w:rsidR="00E86245" w:rsidRPr="00453626">
        <w:rPr>
          <w:rFonts w:ascii="Times New Roman" w:hAnsi="Times New Roman" w:cs="Times New Roman"/>
          <w:bCs/>
          <w:sz w:val="24"/>
        </w:rPr>
        <w:t>CI</w:t>
      </w:r>
      <w:r w:rsidR="002F5257" w:rsidRPr="00453626">
        <w:rPr>
          <w:rFonts w:ascii="Times New Roman" w:hAnsi="Times New Roman" w:cs="Times New Roman"/>
          <w:bCs/>
          <w:sz w:val="24"/>
        </w:rPr>
        <w:t>:</w:t>
      </w:r>
      <w:r w:rsidR="002410C1" w:rsidRPr="00453626">
        <w:rPr>
          <w:rFonts w:ascii="Times New Roman" w:hAnsi="Times New Roman" w:cs="Times New Roman"/>
          <w:bCs/>
          <w:sz w:val="24"/>
        </w:rPr>
        <w:t xml:space="preserve"> 0.12 to 0.76) </w:t>
      </w:r>
      <w:r w:rsidR="001E2234" w:rsidRPr="00453626">
        <w:rPr>
          <w:rFonts w:ascii="Times New Roman" w:hAnsi="Times New Roman" w:cs="Times New Roman"/>
          <w:bCs/>
          <w:sz w:val="24"/>
        </w:rPr>
        <w:t xml:space="preserve">more </w:t>
      </w:r>
      <w:r w:rsidR="002410C1" w:rsidRPr="00453626">
        <w:rPr>
          <w:rFonts w:ascii="Times New Roman" w:hAnsi="Times New Roman" w:cs="Times New Roman"/>
          <w:bCs/>
          <w:sz w:val="24"/>
        </w:rPr>
        <w:t xml:space="preserve">harmful </w:t>
      </w:r>
      <w:r w:rsidR="001E2234" w:rsidRPr="00453626">
        <w:rPr>
          <w:rFonts w:ascii="Times New Roman" w:hAnsi="Times New Roman" w:cs="Times New Roman"/>
          <w:bCs/>
          <w:sz w:val="24"/>
        </w:rPr>
        <w:t>nutrient in excess</w:t>
      </w:r>
      <w:r w:rsidR="00E86245" w:rsidRPr="00453626">
        <w:rPr>
          <w:rFonts w:ascii="Times New Roman" w:hAnsi="Times New Roman" w:cs="Times New Roman"/>
          <w:bCs/>
          <w:sz w:val="24"/>
        </w:rPr>
        <w:t xml:space="preserve"> (</w:t>
      </w:r>
      <w:r w:rsidR="002F5257" w:rsidRPr="00453626">
        <w:rPr>
          <w:rFonts w:ascii="Times New Roman" w:hAnsi="Times New Roman" w:cs="Times New Roman"/>
          <w:bCs/>
          <w:sz w:val="24"/>
        </w:rPr>
        <w:t xml:space="preserve">i.e., </w:t>
      </w:r>
      <w:r w:rsidR="00E86245" w:rsidRPr="00453626">
        <w:rPr>
          <w:rFonts w:ascii="Times New Roman" w:hAnsi="Times New Roman" w:cs="Times New Roman"/>
          <w:bCs/>
          <w:sz w:val="24"/>
        </w:rPr>
        <w:t>number of red traffic lights)</w:t>
      </w:r>
      <w:r w:rsidR="001E2234" w:rsidRPr="00453626">
        <w:rPr>
          <w:rFonts w:ascii="Times New Roman" w:hAnsi="Times New Roman" w:cs="Times New Roman"/>
          <w:bCs/>
          <w:sz w:val="24"/>
        </w:rPr>
        <w:t xml:space="preserve"> </w:t>
      </w:r>
      <w:r w:rsidR="005E6EF9" w:rsidRPr="00453626">
        <w:rPr>
          <w:rFonts w:ascii="Times New Roman" w:hAnsi="Times New Roman" w:cs="Times New Roman"/>
          <w:bCs/>
          <w:sz w:val="24"/>
        </w:rPr>
        <w:t xml:space="preserve">than </w:t>
      </w:r>
      <w:r w:rsidR="001546B0" w:rsidRPr="00453626">
        <w:rPr>
          <w:rFonts w:ascii="Times New Roman" w:hAnsi="Times New Roman" w:cs="Times New Roman"/>
          <w:bCs/>
          <w:sz w:val="24"/>
        </w:rPr>
        <w:t>snack products</w:t>
      </w:r>
      <w:r w:rsidR="005E6EF9" w:rsidRPr="00453626">
        <w:rPr>
          <w:rFonts w:ascii="Times New Roman" w:hAnsi="Times New Roman" w:cs="Times New Roman"/>
          <w:bCs/>
          <w:sz w:val="24"/>
        </w:rPr>
        <w:t xml:space="preserve"> from </w:t>
      </w:r>
      <w:r w:rsidR="001546B0" w:rsidRPr="00453626">
        <w:rPr>
          <w:rFonts w:ascii="Times New Roman" w:hAnsi="Times New Roman" w:cs="Times New Roman"/>
          <w:bCs/>
          <w:sz w:val="24"/>
        </w:rPr>
        <w:t>supermarket</w:t>
      </w:r>
      <w:r w:rsidR="001C56B1" w:rsidRPr="00453626">
        <w:rPr>
          <w:rFonts w:ascii="Times New Roman" w:hAnsi="Times New Roman" w:cs="Times New Roman"/>
          <w:bCs/>
          <w:sz w:val="24"/>
        </w:rPr>
        <w:t>s</w:t>
      </w:r>
      <w:r w:rsidR="005E6EF9" w:rsidRPr="00453626">
        <w:rPr>
          <w:rFonts w:ascii="Times New Roman" w:hAnsi="Times New Roman" w:cs="Times New Roman"/>
          <w:bCs/>
          <w:sz w:val="24"/>
        </w:rPr>
        <w:t>.</w:t>
      </w:r>
      <w:r w:rsidR="005130EE" w:rsidRPr="00453626">
        <w:rPr>
          <w:rFonts w:ascii="Times New Roman" w:hAnsi="Times New Roman" w:cs="Times New Roman"/>
          <w:bCs/>
          <w:sz w:val="24"/>
        </w:rPr>
        <w:t xml:space="preserve"> No difference was found in </w:t>
      </w:r>
      <w:r w:rsidR="00BC66CE" w:rsidRPr="00453626">
        <w:rPr>
          <w:rFonts w:ascii="Times New Roman" w:hAnsi="Times New Roman" w:cs="Times New Roman"/>
          <w:bCs/>
          <w:sz w:val="24"/>
        </w:rPr>
        <w:t>price</w:t>
      </w:r>
      <w:r w:rsidR="00491464" w:rsidRPr="00453626">
        <w:rPr>
          <w:rFonts w:ascii="Times New Roman" w:hAnsi="Times New Roman" w:cs="Times New Roman"/>
          <w:bCs/>
          <w:sz w:val="24"/>
        </w:rPr>
        <w:t xml:space="preserve"> per </w:t>
      </w:r>
      <w:r w:rsidR="00BC66CE" w:rsidRPr="00453626">
        <w:rPr>
          <w:rFonts w:ascii="Times New Roman" w:hAnsi="Times New Roman" w:cs="Times New Roman"/>
          <w:bCs/>
          <w:sz w:val="24"/>
        </w:rPr>
        <w:t>100</w:t>
      </w:r>
      <w:r w:rsidR="00491464" w:rsidRPr="00453626">
        <w:rPr>
          <w:rFonts w:ascii="Times New Roman" w:hAnsi="Times New Roman" w:cs="Times New Roman"/>
          <w:bCs/>
          <w:sz w:val="24"/>
        </w:rPr>
        <w:t xml:space="preserve"> </w:t>
      </w:r>
      <w:r w:rsidR="00BC66CE" w:rsidRPr="00453626">
        <w:rPr>
          <w:rFonts w:ascii="Times New Roman" w:hAnsi="Times New Roman" w:cs="Times New Roman"/>
          <w:bCs/>
          <w:sz w:val="24"/>
        </w:rPr>
        <w:t>kcal</w:t>
      </w:r>
      <w:r w:rsidR="00491464" w:rsidRPr="00453626">
        <w:rPr>
          <w:rFonts w:ascii="Times New Roman" w:hAnsi="Times New Roman" w:cs="Times New Roman"/>
          <w:bCs/>
          <w:sz w:val="24"/>
        </w:rPr>
        <w:t xml:space="preserve"> </w:t>
      </w:r>
      <w:r w:rsidR="00BC66CE" w:rsidRPr="00453626">
        <w:rPr>
          <w:rFonts w:ascii="Times New Roman" w:hAnsi="Times New Roman" w:cs="Times New Roman"/>
          <w:bCs/>
          <w:sz w:val="24"/>
        </w:rPr>
        <w:t>between</w:t>
      </w:r>
      <w:r w:rsidR="005130EE" w:rsidRPr="00453626">
        <w:rPr>
          <w:rFonts w:ascii="Times New Roman" w:hAnsi="Times New Roman" w:cs="Times New Roman"/>
          <w:bCs/>
          <w:sz w:val="24"/>
        </w:rPr>
        <w:t xml:space="preserve"> coffee shops and supermarkets</w:t>
      </w:r>
      <w:r w:rsidR="009E0204" w:rsidRPr="00453626">
        <w:rPr>
          <w:rFonts w:ascii="Times New Roman" w:hAnsi="Times New Roman" w:cs="Times New Roman"/>
          <w:bCs/>
          <w:sz w:val="24"/>
        </w:rPr>
        <w:t xml:space="preserve"> (£</w:t>
      </w:r>
      <w:r w:rsidR="009E0204" w:rsidRPr="00453626">
        <w:rPr>
          <w:rFonts w:ascii="Times New Roman" w:hAnsi="Times New Roman" w:cs="Times New Roman"/>
        </w:rPr>
        <w:t xml:space="preserve">0.05, </w:t>
      </w:r>
      <w:r w:rsidR="009E0204" w:rsidRPr="00453626">
        <w:rPr>
          <w:rFonts w:ascii="Times New Roman" w:hAnsi="Times New Roman" w:cs="Times New Roman"/>
          <w:bCs/>
          <w:sz w:val="24"/>
        </w:rPr>
        <w:t xml:space="preserve">95% </w:t>
      </w:r>
      <w:r w:rsidR="00E86245" w:rsidRPr="00453626">
        <w:rPr>
          <w:rFonts w:ascii="Times New Roman" w:hAnsi="Times New Roman" w:cs="Times New Roman"/>
          <w:bCs/>
          <w:sz w:val="24"/>
        </w:rPr>
        <w:t>CI</w:t>
      </w:r>
      <w:r w:rsidR="002F5257" w:rsidRPr="00453626">
        <w:rPr>
          <w:rFonts w:ascii="Times New Roman" w:hAnsi="Times New Roman" w:cs="Times New Roman"/>
          <w:bCs/>
          <w:sz w:val="24"/>
        </w:rPr>
        <w:t>:</w:t>
      </w:r>
      <w:r w:rsidR="009E0204" w:rsidRPr="00453626">
        <w:rPr>
          <w:rFonts w:ascii="Times New Roman" w:hAnsi="Times New Roman" w:cs="Times New Roman"/>
          <w:bCs/>
          <w:sz w:val="24"/>
        </w:rPr>
        <w:t xml:space="preserve"> -0.09 to 0.19)</w:t>
      </w:r>
      <w:r w:rsidR="005130EE" w:rsidRPr="00453626">
        <w:rPr>
          <w:rFonts w:ascii="Times New Roman" w:hAnsi="Times New Roman" w:cs="Times New Roman"/>
          <w:bCs/>
          <w:sz w:val="24"/>
        </w:rPr>
        <w:t>.</w:t>
      </w:r>
      <w:bookmarkEnd w:id="12"/>
      <w:r w:rsidR="005507CF" w:rsidRPr="00453626">
        <w:rPr>
          <w:rFonts w:ascii="Times New Roman" w:hAnsi="Times New Roman" w:cs="Times New Roman"/>
          <w:bCs/>
          <w:sz w:val="24"/>
        </w:rPr>
        <w:t xml:space="preserve"> </w:t>
      </w:r>
      <w:r w:rsidR="00D86A30" w:rsidRPr="00453626">
        <w:rPr>
          <w:rFonts w:ascii="Times New Roman" w:hAnsi="Times New Roman" w:cs="Times New Roman"/>
          <w:bCs/>
          <w:sz w:val="24"/>
        </w:rPr>
        <w:t xml:space="preserve">Results were </w:t>
      </w:r>
      <w:r w:rsidR="00D327D3" w:rsidRPr="00453626">
        <w:rPr>
          <w:rFonts w:ascii="Times New Roman" w:hAnsi="Times New Roman" w:cs="Times New Roman"/>
          <w:bCs/>
          <w:sz w:val="24"/>
        </w:rPr>
        <w:t xml:space="preserve">similar </w:t>
      </w:r>
      <w:r w:rsidR="00D86A30" w:rsidRPr="00453626">
        <w:rPr>
          <w:rFonts w:ascii="Times New Roman" w:hAnsi="Times New Roman" w:cs="Times New Roman"/>
          <w:bCs/>
          <w:sz w:val="24"/>
        </w:rPr>
        <w:t xml:space="preserve">in </w:t>
      </w:r>
      <w:r w:rsidR="005507CF" w:rsidRPr="00453626">
        <w:rPr>
          <w:rFonts w:ascii="Times New Roman" w:hAnsi="Times New Roman" w:cs="Times New Roman"/>
          <w:bCs/>
          <w:sz w:val="24"/>
        </w:rPr>
        <w:t>weighed mixed models</w:t>
      </w:r>
      <w:r w:rsidR="00D86A30" w:rsidRPr="00453626">
        <w:rPr>
          <w:rFonts w:ascii="Times New Roman" w:hAnsi="Times New Roman" w:cs="Times New Roman"/>
          <w:bCs/>
          <w:sz w:val="24"/>
        </w:rPr>
        <w:t xml:space="preserve"> (see </w:t>
      </w:r>
      <w:r w:rsidR="00F246F3" w:rsidRPr="00453626">
        <w:rPr>
          <w:rFonts w:ascii="Times New Roman" w:hAnsi="Times New Roman" w:cs="Times New Roman"/>
          <w:bCs/>
          <w:sz w:val="24"/>
        </w:rPr>
        <w:t>online</w:t>
      </w:r>
      <w:r w:rsidR="00C2727A" w:rsidRPr="00453626">
        <w:rPr>
          <w:rFonts w:ascii="Times New Roman" w:hAnsi="Times New Roman" w:cs="Times New Roman"/>
          <w:bCs/>
          <w:sz w:val="24"/>
        </w:rPr>
        <w:t xml:space="preserve"> supplementary materials</w:t>
      </w:r>
      <w:r w:rsidR="00E102E9" w:rsidRPr="00453626">
        <w:rPr>
          <w:rFonts w:ascii="Times New Roman" w:hAnsi="Times New Roman" w:cs="Times New Roman"/>
          <w:bCs/>
          <w:sz w:val="24"/>
        </w:rPr>
        <w:t xml:space="preserve">, </w:t>
      </w:r>
      <w:r w:rsidR="00E102E9" w:rsidRPr="00453626">
        <w:rPr>
          <w:rFonts w:ascii="Times New Roman" w:hAnsi="Times New Roman" w:cs="Times New Roman"/>
          <w:b/>
          <w:bCs/>
          <w:sz w:val="24"/>
        </w:rPr>
        <w:t>Table S</w:t>
      </w:r>
      <w:r w:rsidR="00B86692" w:rsidRPr="00453626">
        <w:rPr>
          <w:rFonts w:ascii="Times New Roman" w:hAnsi="Times New Roman" w:cs="Times New Roman"/>
          <w:b/>
          <w:bCs/>
          <w:sz w:val="24"/>
        </w:rPr>
        <w:t>6</w:t>
      </w:r>
      <w:r w:rsidR="00D86A30" w:rsidRPr="00453626">
        <w:rPr>
          <w:rFonts w:ascii="Times New Roman" w:hAnsi="Times New Roman" w:cs="Times New Roman"/>
          <w:bCs/>
          <w:sz w:val="24"/>
        </w:rPr>
        <w:t>).</w:t>
      </w:r>
    </w:p>
    <w:p w14:paraId="6F3DC378" w14:textId="26FF5C06" w:rsidR="001A100B" w:rsidRPr="00453626" w:rsidRDefault="002219C8" w:rsidP="00396F23">
      <w:pPr>
        <w:spacing w:line="360" w:lineRule="auto"/>
        <w:rPr>
          <w:rFonts w:ascii="Times New Roman" w:hAnsi="Times New Roman" w:cs="Times New Roman"/>
          <w:bCs/>
          <w:sz w:val="24"/>
        </w:rPr>
      </w:pPr>
      <w:bookmarkStart w:id="13" w:name="_Hlk44678802"/>
      <w:r w:rsidRPr="00453626">
        <w:rPr>
          <w:rFonts w:ascii="Times New Roman" w:hAnsi="Times New Roman" w:cs="Times New Roman"/>
          <w:sz w:val="24"/>
        </w:rPr>
        <w:t xml:space="preserve">We also examined the price of snack products based on energy content </w:t>
      </w:r>
      <w:r w:rsidR="003745D0" w:rsidRPr="00453626">
        <w:rPr>
          <w:rFonts w:ascii="Times New Roman" w:hAnsi="Times New Roman" w:cs="Times New Roman"/>
          <w:sz w:val="24"/>
        </w:rPr>
        <w:t xml:space="preserve">and on </w:t>
      </w:r>
      <w:r w:rsidR="003745D0" w:rsidRPr="00453626">
        <w:rPr>
          <w:rFonts w:ascii="Times New Roman" w:hAnsi="Times New Roman" w:cs="Times New Roman"/>
          <w:bCs/>
          <w:sz w:val="24"/>
        </w:rPr>
        <w:t>the number of red traffic lights</w:t>
      </w:r>
      <w:r w:rsidR="00BC66CE" w:rsidRPr="00453626">
        <w:rPr>
          <w:rFonts w:ascii="Times New Roman" w:hAnsi="Times New Roman" w:cs="Times New Roman"/>
          <w:bCs/>
          <w:sz w:val="24"/>
        </w:rPr>
        <w:t xml:space="preserve"> </w:t>
      </w:r>
      <w:r w:rsidR="00E86245" w:rsidRPr="00453626">
        <w:rPr>
          <w:rFonts w:ascii="Times New Roman" w:hAnsi="Times New Roman" w:cs="Times New Roman"/>
          <w:bCs/>
          <w:sz w:val="24"/>
        </w:rPr>
        <w:t>per product</w:t>
      </w:r>
      <w:r w:rsidR="003745D0" w:rsidRPr="00453626">
        <w:rPr>
          <w:rFonts w:ascii="Times New Roman" w:hAnsi="Times New Roman" w:cs="Times New Roman"/>
          <w:bCs/>
          <w:sz w:val="24"/>
        </w:rPr>
        <w:t>.</w:t>
      </w:r>
      <w:r w:rsidR="00D84172" w:rsidRPr="00453626">
        <w:rPr>
          <w:rFonts w:ascii="Times New Roman" w:hAnsi="Times New Roman" w:cs="Times New Roman"/>
          <w:bCs/>
          <w:sz w:val="24"/>
        </w:rPr>
        <w:t xml:space="preserve"> </w:t>
      </w:r>
      <w:r w:rsidR="00FE6364" w:rsidRPr="00453626">
        <w:rPr>
          <w:rFonts w:ascii="Times New Roman" w:hAnsi="Times New Roman" w:cs="Times New Roman"/>
          <w:bCs/>
          <w:sz w:val="24"/>
        </w:rPr>
        <w:t xml:space="preserve">For a </w:t>
      </w:r>
      <w:r w:rsidR="0079268A" w:rsidRPr="00453626">
        <w:rPr>
          <w:rFonts w:ascii="Times New Roman" w:hAnsi="Times New Roman" w:cs="Times New Roman"/>
          <w:bCs/>
          <w:sz w:val="24"/>
        </w:rPr>
        <w:t xml:space="preserve">complete </w:t>
      </w:r>
      <w:r w:rsidR="00FE6364" w:rsidRPr="00453626">
        <w:rPr>
          <w:rFonts w:ascii="Times New Roman" w:hAnsi="Times New Roman" w:cs="Times New Roman"/>
          <w:bCs/>
          <w:sz w:val="24"/>
        </w:rPr>
        <w:t>description of the models, see</w:t>
      </w:r>
      <w:r w:rsidR="00D84172" w:rsidRPr="00453626">
        <w:rPr>
          <w:rFonts w:ascii="Times New Roman" w:hAnsi="Times New Roman" w:cs="Times New Roman"/>
          <w:bCs/>
          <w:sz w:val="24"/>
        </w:rPr>
        <w:t xml:space="preserve"> online supplementary material</w:t>
      </w:r>
      <w:r w:rsidR="00FE6364" w:rsidRPr="00453626">
        <w:rPr>
          <w:rFonts w:ascii="Times New Roman" w:hAnsi="Times New Roman" w:cs="Times New Roman"/>
          <w:bCs/>
          <w:sz w:val="24"/>
        </w:rPr>
        <w:t>s</w:t>
      </w:r>
      <w:r w:rsidR="00E102E9" w:rsidRPr="00453626">
        <w:rPr>
          <w:rFonts w:ascii="Times New Roman" w:hAnsi="Times New Roman" w:cs="Times New Roman"/>
          <w:bCs/>
          <w:sz w:val="24"/>
        </w:rPr>
        <w:t xml:space="preserve">, </w:t>
      </w:r>
      <w:r w:rsidR="00E102E9" w:rsidRPr="00453626">
        <w:rPr>
          <w:rFonts w:ascii="Times New Roman" w:hAnsi="Times New Roman" w:cs="Times New Roman"/>
          <w:b/>
          <w:bCs/>
          <w:sz w:val="24"/>
        </w:rPr>
        <w:t>Table S</w:t>
      </w:r>
      <w:r w:rsidR="00B86692" w:rsidRPr="00453626">
        <w:rPr>
          <w:rFonts w:ascii="Times New Roman" w:hAnsi="Times New Roman" w:cs="Times New Roman"/>
          <w:b/>
          <w:bCs/>
          <w:sz w:val="24"/>
        </w:rPr>
        <w:t>7</w:t>
      </w:r>
      <w:r w:rsidR="00E102E9" w:rsidRPr="00453626">
        <w:rPr>
          <w:rFonts w:ascii="Times New Roman" w:hAnsi="Times New Roman" w:cs="Times New Roman"/>
          <w:b/>
          <w:bCs/>
          <w:sz w:val="24"/>
        </w:rPr>
        <w:t xml:space="preserve"> </w:t>
      </w:r>
      <w:r w:rsidR="00E102E9" w:rsidRPr="00453626">
        <w:rPr>
          <w:rFonts w:ascii="Times New Roman" w:hAnsi="Times New Roman" w:cs="Times New Roman"/>
          <w:bCs/>
          <w:sz w:val="24"/>
        </w:rPr>
        <w:t xml:space="preserve">and </w:t>
      </w:r>
      <w:r w:rsidR="00E102E9" w:rsidRPr="00453626">
        <w:rPr>
          <w:rFonts w:ascii="Times New Roman" w:hAnsi="Times New Roman" w:cs="Times New Roman"/>
          <w:b/>
          <w:bCs/>
          <w:sz w:val="24"/>
        </w:rPr>
        <w:t>Table S</w:t>
      </w:r>
      <w:r w:rsidR="00B86692" w:rsidRPr="00453626">
        <w:rPr>
          <w:rFonts w:ascii="Times New Roman" w:hAnsi="Times New Roman" w:cs="Times New Roman"/>
          <w:b/>
          <w:bCs/>
          <w:sz w:val="24"/>
        </w:rPr>
        <w:t>8</w:t>
      </w:r>
      <w:r w:rsidR="00FE6364" w:rsidRPr="00453626">
        <w:rPr>
          <w:rFonts w:ascii="Times New Roman" w:hAnsi="Times New Roman" w:cs="Times New Roman"/>
          <w:bCs/>
          <w:sz w:val="24"/>
        </w:rPr>
        <w:t>.</w:t>
      </w:r>
      <w:r w:rsidR="000A26D8" w:rsidRPr="00453626">
        <w:rPr>
          <w:rFonts w:ascii="Times New Roman" w:hAnsi="Times New Roman" w:cs="Times New Roman"/>
          <w:bCs/>
          <w:sz w:val="24"/>
        </w:rPr>
        <w:t xml:space="preserve"> </w:t>
      </w:r>
      <w:r w:rsidR="00886C3A" w:rsidRPr="00453626">
        <w:rPr>
          <w:rFonts w:ascii="Times New Roman" w:hAnsi="Times New Roman" w:cs="Times New Roman"/>
          <w:bCs/>
          <w:sz w:val="24"/>
        </w:rPr>
        <w:t xml:space="preserve">At </w:t>
      </w:r>
      <w:r w:rsidR="00626738" w:rsidRPr="00453626">
        <w:rPr>
          <w:rFonts w:ascii="Times New Roman" w:hAnsi="Times New Roman" w:cs="Times New Roman"/>
          <w:bCs/>
          <w:sz w:val="24"/>
        </w:rPr>
        <w:t>supermarket</w:t>
      </w:r>
      <w:r w:rsidR="00225E52" w:rsidRPr="00453626">
        <w:rPr>
          <w:rFonts w:ascii="Times New Roman" w:hAnsi="Times New Roman" w:cs="Times New Roman"/>
          <w:bCs/>
          <w:sz w:val="24"/>
        </w:rPr>
        <w:t>s</w:t>
      </w:r>
      <w:r w:rsidR="00626738" w:rsidRPr="00453626">
        <w:rPr>
          <w:rFonts w:ascii="Times New Roman" w:hAnsi="Times New Roman" w:cs="Times New Roman"/>
          <w:bCs/>
          <w:sz w:val="24"/>
        </w:rPr>
        <w:t>, the price of snack products that were 200 kcal or less (</w:t>
      </w:r>
      <w:r w:rsidR="004F464C" w:rsidRPr="00453626">
        <w:rPr>
          <w:rFonts w:ascii="Times New Roman" w:hAnsi="Times New Roman" w:cs="Times New Roman"/>
          <w:bCs/>
          <w:sz w:val="24"/>
        </w:rPr>
        <w:t>£</w:t>
      </w:r>
      <w:r w:rsidR="00B05306" w:rsidRPr="00453626">
        <w:rPr>
          <w:rFonts w:ascii="Times New Roman" w:hAnsi="Times New Roman" w:cs="Times New Roman"/>
          <w:bCs/>
          <w:sz w:val="24"/>
        </w:rPr>
        <w:t>0.89</w:t>
      </w:r>
      <w:r w:rsidR="00DD3B9D" w:rsidRPr="00453626">
        <w:rPr>
          <w:rFonts w:ascii="Times New Roman" w:hAnsi="Times New Roman" w:cs="Times New Roman"/>
          <w:bCs/>
          <w:sz w:val="24"/>
        </w:rPr>
        <w:t xml:space="preserve">, </w:t>
      </w:r>
      <w:r w:rsidR="00FF651D" w:rsidRPr="00453626">
        <w:rPr>
          <w:rFonts w:ascii="Times New Roman" w:hAnsi="Times New Roman" w:cs="Times New Roman"/>
          <w:bCs/>
          <w:sz w:val="24"/>
        </w:rPr>
        <w:t xml:space="preserve">95% </w:t>
      </w:r>
      <w:r w:rsidR="00E86245" w:rsidRPr="00453626">
        <w:rPr>
          <w:rFonts w:ascii="Times New Roman" w:hAnsi="Times New Roman" w:cs="Times New Roman"/>
          <w:bCs/>
          <w:sz w:val="24"/>
        </w:rPr>
        <w:t>CI</w:t>
      </w:r>
      <w:r w:rsidR="002F5257" w:rsidRPr="00453626">
        <w:rPr>
          <w:rFonts w:ascii="Times New Roman" w:hAnsi="Times New Roman" w:cs="Times New Roman"/>
          <w:bCs/>
          <w:sz w:val="24"/>
        </w:rPr>
        <w:t>:</w:t>
      </w:r>
      <w:r w:rsidR="00FF651D" w:rsidRPr="00453626">
        <w:rPr>
          <w:rFonts w:ascii="Times New Roman" w:hAnsi="Times New Roman" w:cs="Times New Roman"/>
          <w:bCs/>
          <w:sz w:val="24"/>
        </w:rPr>
        <w:t xml:space="preserve"> </w:t>
      </w:r>
      <w:r w:rsidR="00B05306" w:rsidRPr="00453626">
        <w:rPr>
          <w:rFonts w:ascii="Times New Roman" w:hAnsi="Times New Roman" w:cs="Times New Roman"/>
          <w:bCs/>
          <w:sz w:val="24"/>
        </w:rPr>
        <w:t>0.82</w:t>
      </w:r>
      <w:r w:rsidR="00FF651D" w:rsidRPr="00453626">
        <w:rPr>
          <w:rFonts w:ascii="Times New Roman" w:hAnsi="Times New Roman" w:cs="Times New Roman"/>
          <w:bCs/>
          <w:sz w:val="24"/>
        </w:rPr>
        <w:t xml:space="preserve"> to </w:t>
      </w:r>
      <w:r w:rsidR="00B05306" w:rsidRPr="00453626">
        <w:rPr>
          <w:rFonts w:ascii="Times New Roman" w:hAnsi="Times New Roman" w:cs="Times New Roman"/>
          <w:bCs/>
          <w:sz w:val="24"/>
        </w:rPr>
        <w:t>0.97</w:t>
      </w:r>
      <w:r w:rsidR="00626738" w:rsidRPr="00453626">
        <w:rPr>
          <w:rFonts w:ascii="Times New Roman" w:hAnsi="Times New Roman" w:cs="Times New Roman"/>
          <w:bCs/>
          <w:sz w:val="24"/>
        </w:rPr>
        <w:t>) was significantly lower than the price of snack products that were more than 200 kcal (</w:t>
      </w:r>
      <w:r w:rsidR="004F464C" w:rsidRPr="00453626">
        <w:rPr>
          <w:rFonts w:ascii="Times New Roman" w:hAnsi="Times New Roman" w:cs="Times New Roman"/>
          <w:bCs/>
          <w:sz w:val="24"/>
        </w:rPr>
        <w:t>£</w:t>
      </w:r>
      <w:r w:rsidR="00FF651D" w:rsidRPr="00453626">
        <w:rPr>
          <w:rFonts w:ascii="Times New Roman" w:hAnsi="Times New Roman" w:cs="Times New Roman"/>
          <w:bCs/>
          <w:sz w:val="24"/>
        </w:rPr>
        <w:t xml:space="preserve">1.17, 95% </w:t>
      </w:r>
      <w:r w:rsidR="00E86245" w:rsidRPr="00453626">
        <w:rPr>
          <w:rFonts w:ascii="Times New Roman" w:hAnsi="Times New Roman" w:cs="Times New Roman"/>
          <w:bCs/>
          <w:sz w:val="24"/>
        </w:rPr>
        <w:t>CI</w:t>
      </w:r>
      <w:r w:rsidR="00126CD5" w:rsidRPr="00453626">
        <w:rPr>
          <w:rFonts w:ascii="Times New Roman" w:hAnsi="Times New Roman" w:cs="Times New Roman"/>
          <w:bCs/>
          <w:sz w:val="24"/>
        </w:rPr>
        <w:t>:</w:t>
      </w:r>
      <w:r w:rsidR="00FF651D" w:rsidRPr="00453626">
        <w:rPr>
          <w:rFonts w:ascii="Times New Roman" w:hAnsi="Times New Roman" w:cs="Times New Roman"/>
          <w:bCs/>
          <w:sz w:val="24"/>
        </w:rPr>
        <w:t xml:space="preserve"> 1.09 to 1.25</w:t>
      </w:r>
      <w:r w:rsidR="00626738" w:rsidRPr="00453626">
        <w:rPr>
          <w:rFonts w:ascii="Times New Roman" w:hAnsi="Times New Roman" w:cs="Times New Roman"/>
          <w:bCs/>
          <w:sz w:val="24"/>
        </w:rPr>
        <w:t>). At coffee shops there was no significant difference between the price of snack products that were 200 kcal or less (</w:t>
      </w:r>
      <w:r w:rsidR="00EB31CC" w:rsidRPr="00453626">
        <w:rPr>
          <w:rFonts w:ascii="Times New Roman" w:hAnsi="Times New Roman" w:cs="Times New Roman"/>
          <w:bCs/>
          <w:sz w:val="24"/>
        </w:rPr>
        <w:t>£</w:t>
      </w:r>
      <w:r w:rsidR="00FF651D" w:rsidRPr="00453626">
        <w:rPr>
          <w:rFonts w:ascii="Times New Roman" w:hAnsi="Times New Roman" w:cs="Times New Roman"/>
          <w:bCs/>
          <w:sz w:val="24"/>
        </w:rPr>
        <w:t>1.</w:t>
      </w:r>
      <w:r w:rsidR="00191B3E" w:rsidRPr="00453626">
        <w:rPr>
          <w:rFonts w:ascii="Times New Roman" w:hAnsi="Times New Roman" w:cs="Times New Roman"/>
          <w:bCs/>
          <w:sz w:val="24"/>
        </w:rPr>
        <w:t>65</w:t>
      </w:r>
      <w:r w:rsidR="00FF651D" w:rsidRPr="00453626">
        <w:rPr>
          <w:rFonts w:ascii="Times New Roman" w:hAnsi="Times New Roman" w:cs="Times New Roman"/>
          <w:bCs/>
          <w:sz w:val="24"/>
        </w:rPr>
        <w:t xml:space="preserve">, 95% </w:t>
      </w:r>
      <w:r w:rsidR="00E86245" w:rsidRPr="00453626">
        <w:rPr>
          <w:rFonts w:ascii="Times New Roman" w:hAnsi="Times New Roman" w:cs="Times New Roman"/>
          <w:bCs/>
          <w:sz w:val="24"/>
        </w:rPr>
        <w:t>CI</w:t>
      </w:r>
      <w:r w:rsidR="00126CD5" w:rsidRPr="00453626">
        <w:rPr>
          <w:rFonts w:ascii="Times New Roman" w:hAnsi="Times New Roman" w:cs="Times New Roman"/>
          <w:bCs/>
          <w:sz w:val="24"/>
        </w:rPr>
        <w:t>:</w:t>
      </w:r>
      <w:r w:rsidR="00FF651D" w:rsidRPr="00453626">
        <w:rPr>
          <w:rFonts w:ascii="Times New Roman" w:hAnsi="Times New Roman" w:cs="Times New Roman"/>
          <w:bCs/>
          <w:sz w:val="24"/>
        </w:rPr>
        <w:t xml:space="preserve"> 1.</w:t>
      </w:r>
      <w:r w:rsidR="00191B3E" w:rsidRPr="00453626">
        <w:rPr>
          <w:rFonts w:ascii="Times New Roman" w:hAnsi="Times New Roman" w:cs="Times New Roman"/>
          <w:bCs/>
          <w:sz w:val="24"/>
        </w:rPr>
        <w:t>28</w:t>
      </w:r>
      <w:r w:rsidR="00FF651D" w:rsidRPr="00453626">
        <w:rPr>
          <w:rFonts w:ascii="Times New Roman" w:hAnsi="Times New Roman" w:cs="Times New Roman"/>
          <w:bCs/>
          <w:sz w:val="24"/>
        </w:rPr>
        <w:t xml:space="preserve"> to </w:t>
      </w:r>
      <w:r w:rsidR="00191B3E" w:rsidRPr="00453626">
        <w:rPr>
          <w:rFonts w:ascii="Times New Roman" w:hAnsi="Times New Roman" w:cs="Times New Roman"/>
          <w:bCs/>
          <w:sz w:val="24"/>
        </w:rPr>
        <w:t>2.01</w:t>
      </w:r>
      <w:r w:rsidR="00626738" w:rsidRPr="00453626">
        <w:rPr>
          <w:rFonts w:ascii="Times New Roman" w:hAnsi="Times New Roman" w:cs="Times New Roman"/>
          <w:bCs/>
          <w:sz w:val="24"/>
        </w:rPr>
        <w:t xml:space="preserve">) </w:t>
      </w:r>
      <w:r w:rsidR="00E86245" w:rsidRPr="00453626">
        <w:rPr>
          <w:rFonts w:ascii="Times New Roman" w:hAnsi="Times New Roman" w:cs="Times New Roman"/>
          <w:bCs/>
          <w:sz w:val="24"/>
        </w:rPr>
        <w:t xml:space="preserve">vs. </w:t>
      </w:r>
      <w:r w:rsidR="00626738" w:rsidRPr="00453626">
        <w:rPr>
          <w:rFonts w:ascii="Times New Roman" w:hAnsi="Times New Roman" w:cs="Times New Roman"/>
          <w:bCs/>
          <w:sz w:val="24"/>
        </w:rPr>
        <w:t>more than 200 kcal (</w:t>
      </w:r>
      <w:r w:rsidR="00EB31CC" w:rsidRPr="00453626">
        <w:rPr>
          <w:rFonts w:ascii="Times New Roman" w:hAnsi="Times New Roman" w:cs="Times New Roman"/>
          <w:bCs/>
          <w:sz w:val="24"/>
        </w:rPr>
        <w:t>£</w:t>
      </w:r>
      <w:r w:rsidR="00FF651D" w:rsidRPr="00453626">
        <w:rPr>
          <w:rFonts w:ascii="Times New Roman" w:hAnsi="Times New Roman" w:cs="Times New Roman"/>
          <w:bCs/>
          <w:sz w:val="24"/>
        </w:rPr>
        <w:t>1.</w:t>
      </w:r>
      <w:r w:rsidR="00191B3E" w:rsidRPr="00453626">
        <w:rPr>
          <w:rFonts w:ascii="Times New Roman" w:hAnsi="Times New Roman" w:cs="Times New Roman"/>
          <w:bCs/>
          <w:sz w:val="24"/>
        </w:rPr>
        <w:t>71</w:t>
      </w:r>
      <w:r w:rsidR="00FF651D" w:rsidRPr="00453626">
        <w:rPr>
          <w:rFonts w:ascii="Times New Roman" w:hAnsi="Times New Roman" w:cs="Times New Roman"/>
          <w:bCs/>
          <w:sz w:val="24"/>
        </w:rPr>
        <w:t xml:space="preserve">, 95% </w:t>
      </w:r>
      <w:r w:rsidR="00E86245" w:rsidRPr="00453626">
        <w:rPr>
          <w:rFonts w:ascii="Times New Roman" w:hAnsi="Times New Roman" w:cs="Times New Roman"/>
          <w:bCs/>
          <w:sz w:val="24"/>
        </w:rPr>
        <w:t>CI</w:t>
      </w:r>
      <w:r w:rsidR="00126CD5" w:rsidRPr="00453626">
        <w:rPr>
          <w:rFonts w:ascii="Times New Roman" w:hAnsi="Times New Roman" w:cs="Times New Roman"/>
          <w:bCs/>
          <w:sz w:val="24"/>
        </w:rPr>
        <w:t>:</w:t>
      </w:r>
      <w:r w:rsidR="00E86245" w:rsidRPr="00453626">
        <w:rPr>
          <w:rFonts w:ascii="Times New Roman" w:hAnsi="Times New Roman" w:cs="Times New Roman"/>
          <w:bCs/>
          <w:sz w:val="24"/>
        </w:rPr>
        <w:t xml:space="preserve"> </w:t>
      </w:r>
      <w:r w:rsidR="00FF651D" w:rsidRPr="00453626">
        <w:rPr>
          <w:rFonts w:ascii="Times New Roman" w:hAnsi="Times New Roman" w:cs="Times New Roman"/>
          <w:bCs/>
          <w:sz w:val="24"/>
        </w:rPr>
        <w:t>1.</w:t>
      </w:r>
      <w:r w:rsidR="00191B3E" w:rsidRPr="00453626">
        <w:rPr>
          <w:rFonts w:ascii="Times New Roman" w:hAnsi="Times New Roman" w:cs="Times New Roman"/>
          <w:bCs/>
          <w:sz w:val="24"/>
        </w:rPr>
        <w:t>38</w:t>
      </w:r>
      <w:r w:rsidR="00FF651D" w:rsidRPr="00453626">
        <w:rPr>
          <w:rFonts w:ascii="Times New Roman" w:hAnsi="Times New Roman" w:cs="Times New Roman"/>
          <w:bCs/>
          <w:sz w:val="24"/>
        </w:rPr>
        <w:t xml:space="preserve"> to </w:t>
      </w:r>
      <w:r w:rsidR="00191B3E" w:rsidRPr="00453626">
        <w:rPr>
          <w:rFonts w:ascii="Times New Roman" w:hAnsi="Times New Roman" w:cs="Times New Roman"/>
          <w:bCs/>
          <w:sz w:val="24"/>
        </w:rPr>
        <w:t>2.05</w:t>
      </w:r>
      <w:r w:rsidR="00626738" w:rsidRPr="00453626">
        <w:rPr>
          <w:rFonts w:ascii="Times New Roman" w:hAnsi="Times New Roman" w:cs="Times New Roman"/>
          <w:bCs/>
          <w:sz w:val="24"/>
        </w:rPr>
        <w:t>).</w:t>
      </w:r>
      <w:r w:rsidR="00676F8B" w:rsidRPr="00453626">
        <w:rPr>
          <w:rFonts w:ascii="Times New Roman" w:hAnsi="Times New Roman" w:cs="Times New Roman"/>
          <w:bCs/>
          <w:sz w:val="24"/>
        </w:rPr>
        <w:t xml:space="preserve"> L</w:t>
      </w:r>
      <w:r w:rsidR="00225E52" w:rsidRPr="00453626">
        <w:rPr>
          <w:rFonts w:ascii="Times New Roman" w:hAnsi="Times New Roman" w:cs="Times New Roman"/>
          <w:bCs/>
          <w:sz w:val="24"/>
        </w:rPr>
        <w:t>ower price</w:t>
      </w:r>
      <w:r w:rsidR="001A100B" w:rsidRPr="00453626">
        <w:rPr>
          <w:rFonts w:ascii="Times New Roman" w:hAnsi="Times New Roman" w:cs="Times New Roman"/>
          <w:bCs/>
          <w:sz w:val="24"/>
        </w:rPr>
        <w:t xml:space="preserve"> </w:t>
      </w:r>
      <w:r w:rsidR="004432E6" w:rsidRPr="00453626">
        <w:rPr>
          <w:rFonts w:ascii="Times New Roman" w:hAnsi="Times New Roman" w:cs="Times New Roman"/>
          <w:bCs/>
          <w:sz w:val="24"/>
        </w:rPr>
        <w:t>was</w:t>
      </w:r>
      <w:r w:rsidR="001A100B" w:rsidRPr="00453626">
        <w:rPr>
          <w:rFonts w:ascii="Times New Roman" w:hAnsi="Times New Roman" w:cs="Times New Roman"/>
          <w:bCs/>
          <w:sz w:val="24"/>
        </w:rPr>
        <w:t xml:space="preserve"> associated with a </w:t>
      </w:r>
      <w:r w:rsidR="00225E52" w:rsidRPr="00453626">
        <w:rPr>
          <w:rFonts w:ascii="Times New Roman" w:hAnsi="Times New Roman" w:cs="Times New Roman"/>
          <w:bCs/>
          <w:sz w:val="24"/>
        </w:rPr>
        <w:t xml:space="preserve">higher </w:t>
      </w:r>
      <w:r w:rsidR="001A100B" w:rsidRPr="00453626">
        <w:rPr>
          <w:rFonts w:ascii="Times New Roman" w:hAnsi="Times New Roman" w:cs="Times New Roman"/>
          <w:bCs/>
          <w:sz w:val="24"/>
        </w:rPr>
        <w:t>number of red</w:t>
      </w:r>
      <w:r w:rsidR="00D327D3" w:rsidRPr="00453626">
        <w:rPr>
          <w:rFonts w:ascii="Times New Roman" w:hAnsi="Times New Roman" w:cs="Times New Roman"/>
          <w:bCs/>
          <w:sz w:val="24"/>
        </w:rPr>
        <w:t xml:space="preserve"> traffic light</w:t>
      </w:r>
      <w:r w:rsidR="001A100B" w:rsidRPr="00453626">
        <w:rPr>
          <w:rFonts w:ascii="Times New Roman" w:hAnsi="Times New Roman" w:cs="Times New Roman"/>
          <w:bCs/>
          <w:sz w:val="24"/>
        </w:rPr>
        <w:t>s</w:t>
      </w:r>
      <w:r w:rsidR="00B974B4" w:rsidRPr="00453626">
        <w:rPr>
          <w:rFonts w:ascii="Times New Roman" w:hAnsi="Times New Roman" w:cs="Times New Roman"/>
          <w:bCs/>
          <w:sz w:val="24"/>
        </w:rPr>
        <w:t xml:space="preserve"> </w:t>
      </w:r>
      <w:r w:rsidR="00222D66" w:rsidRPr="00453626">
        <w:rPr>
          <w:rFonts w:ascii="Times New Roman" w:hAnsi="Times New Roman" w:cs="Times New Roman"/>
          <w:bCs/>
          <w:sz w:val="24"/>
        </w:rPr>
        <w:t xml:space="preserve">per product </w:t>
      </w:r>
      <w:r w:rsidR="004432E6" w:rsidRPr="00453626">
        <w:rPr>
          <w:rFonts w:ascii="Times New Roman" w:hAnsi="Times New Roman" w:cs="Times New Roman"/>
          <w:bCs/>
          <w:sz w:val="24"/>
        </w:rPr>
        <w:t>at both supermarket</w:t>
      </w:r>
      <w:r w:rsidR="00225E52" w:rsidRPr="00453626">
        <w:rPr>
          <w:rFonts w:ascii="Times New Roman" w:hAnsi="Times New Roman" w:cs="Times New Roman"/>
          <w:bCs/>
          <w:sz w:val="24"/>
        </w:rPr>
        <w:t>s</w:t>
      </w:r>
      <w:r w:rsidR="00B974B4" w:rsidRPr="00453626">
        <w:rPr>
          <w:rFonts w:ascii="Times New Roman" w:hAnsi="Times New Roman" w:cs="Times New Roman"/>
          <w:bCs/>
          <w:sz w:val="24"/>
        </w:rPr>
        <w:t xml:space="preserve"> (β=-0.</w:t>
      </w:r>
      <w:r w:rsidR="001E3784" w:rsidRPr="00453626">
        <w:rPr>
          <w:rFonts w:ascii="Times New Roman" w:hAnsi="Times New Roman" w:cs="Times New Roman"/>
          <w:bCs/>
          <w:sz w:val="24"/>
        </w:rPr>
        <w:t>03</w:t>
      </w:r>
      <w:r w:rsidR="00B974B4" w:rsidRPr="00453626">
        <w:rPr>
          <w:rFonts w:ascii="Times New Roman" w:hAnsi="Times New Roman" w:cs="Times New Roman"/>
          <w:bCs/>
          <w:sz w:val="24"/>
        </w:rPr>
        <w:t xml:space="preserve">, 95% </w:t>
      </w:r>
      <w:r w:rsidR="00E86245" w:rsidRPr="00453626">
        <w:rPr>
          <w:rFonts w:ascii="Times New Roman" w:hAnsi="Times New Roman" w:cs="Times New Roman"/>
          <w:bCs/>
          <w:sz w:val="24"/>
        </w:rPr>
        <w:t>CI</w:t>
      </w:r>
      <w:r w:rsidR="00126CD5" w:rsidRPr="00453626">
        <w:rPr>
          <w:rFonts w:ascii="Times New Roman" w:hAnsi="Times New Roman" w:cs="Times New Roman"/>
          <w:bCs/>
          <w:sz w:val="24"/>
        </w:rPr>
        <w:t>:</w:t>
      </w:r>
      <w:r w:rsidR="00B974B4" w:rsidRPr="00453626">
        <w:rPr>
          <w:rFonts w:ascii="Times New Roman" w:hAnsi="Times New Roman" w:cs="Times New Roman"/>
          <w:bCs/>
          <w:sz w:val="24"/>
        </w:rPr>
        <w:t xml:space="preserve"> -0.</w:t>
      </w:r>
      <w:r w:rsidR="001E3784" w:rsidRPr="00453626">
        <w:rPr>
          <w:rFonts w:ascii="Times New Roman" w:hAnsi="Times New Roman" w:cs="Times New Roman"/>
          <w:bCs/>
          <w:sz w:val="24"/>
        </w:rPr>
        <w:t>05</w:t>
      </w:r>
      <w:r w:rsidR="00B974B4" w:rsidRPr="00453626">
        <w:rPr>
          <w:rFonts w:ascii="Times New Roman" w:hAnsi="Times New Roman" w:cs="Times New Roman"/>
          <w:bCs/>
          <w:sz w:val="24"/>
        </w:rPr>
        <w:t xml:space="preserve"> to -0.0</w:t>
      </w:r>
      <w:r w:rsidR="001E3784" w:rsidRPr="00453626">
        <w:rPr>
          <w:rFonts w:ascii="Times New Roman" w:hAnsi="Times New Roman" w:cs="Times New Roman"/>
          <w:bCs/>
          <w:sz w:val="24"/>
        </w:rPr>
        <w:t>1</w:t>
      </w:r>
      <w:r w:rsidR="00B974B4" w:rsidRPr="00453626">
        <w:rPr>
          <w:rFonts w:ascii="Times New Roman" w:hAnsi="Times New Roman" w:cs="Times New Roman"/>
          <w:bCs/>
          <w:sz w:val="24"/>
        </w:rPr>
        <w:t>)</w:t>
      </w:r>
      <w:r w:rsidR="004432E6" w:rsidRPr="00453626">
        <w:rPr>
          <w:rFonts w:ascii="Times New Roman" w:hAnsi="Times New Roman" w:cs="Times New Roman"/>
          <w:bCs/>
          <w:sz w:val="24"/>
        </w:rPr>
        <w:t xml:space="preserve"> and coffee shops</w:t>
      </w:r>
      <w:r w:rsidR="00B974B4" w:rsidRPr="00453626">
        <w:rPr>
          <w:rFonts w:ascii="Times New Roman" w:hAnsi="Times New Roman" w:cs="Times New Roman"/>
          <w:bCs/>
          <w:sz w:val="24"/>
        </w:rPr>
        <w:t xml:space="preserve"> (β=-0.1</w:t>
      </w:r>
      <w:r w:rsidR="001E3784" w:rsidRPr="00453626">
        <w:rPr>
          <w:rFonts w:ascii="Times New Roman" w:hAnsi="Times New Roman" w:cs="Times New Roman"/>
          <w:bCs/>
          <w:sz w:val="24"/>
        </w:rPr>
        <w:t>3</w:t>
      </w:r>
      <w:r w:rsidR="00B974B4" w:rsidRPr="00453626">
        <w:rPr>
          <w:rFonts w:ascii="Times New Roman" w:hAnsi="Times New Roman" w:cs="Times New Roman"/>
          <w:bCs/>
          <w:sz w:val="24"/>
        </w:rPr>
        <w:t xml:space="preserve">, 95% </w:t>
      </w:r>
      <w:r w:rsidR="00E86245" w:rsidRPr="00453626">
        <w:rPr>
          <w:rFonts w:ascii="Times New Roman" w:hAnsi="Times New Roman" w:cs="Times New Roman"/>
          <w:bCs/>
          <w:sz w:val="24"/>
        </w:rPr>
        <w:t>CI</w:t>
      </w:r>
      <w:r w:rsidR="00126CD5" w:rsidRPr="00453626">
        <w:rPr>
          <w:rFonts w:ascii="Times New Roman" w:hAnsi="Times New Roman" w:cs="Times New Roman"/>
          <w:bCs/>
          <w:sz w:val="24"/>
        </w:rPr>
        <w:t>:</w:t>
      </w:r>
      <w:r w:rsidR="00B974B4" w:rsidRPr="00453626">
        <w:rPr>
          <w:rFonts w:ascii="Times New Roman" w:hAnsi="Times New Roman" w:cs="Times New Roman"/>
          <w:bCs/>
          <w:sz w:val="24"/>
        </w:rPr>
        <w:t xml:space="preserve"> -0.</w:t>
      </w:r>
      <w:r w:rsidR="001E3784" w:rsidRPr="00453626">
        <w:rPr>
          <w:rFonts w:ascii="Times New Roman" w:hAnsi="Times New Roman" w:cs="Times New Roman"/>
          <w:bCs/>
          <w:sz w:val="24"/>
        </w:rPr>
        <w:t>20</w:t>
      </w:r>
      <w:r w:rsidR="00B974B4" w:rsidRPr="00453626">
        <w:rPr>
          <w:rFonts w:ascii="Times New Roman" w:hAnsi="Times New Roman" w:cs="Times New Roman"/>
          <w:bCs/>
          <w:sz w:val="24"/>
        </w:rPr>
        <w:t xml:space="preserve"> to -0.0</w:t>
      </w:r>
      <w:r w:rsidR="001E3784" w:rsidRPr="00453626">
        <w:rPr>
          <w:rFonts w:ascii="Times New Roman" w:hAnsi="Times New Roman" w:cs="Times New Roman"/>
          <w:bCs/>
          <w:sz w:val="24"/>
        </w:rPr>
        <w:t>5</w:t>
      </w:r>
      <w:r w:rsidR="00B974B4" w:rsidRPr="00453626">
        <w:rPr>
          <w:rFonts w:ascii="Times New Roman" w:hAnsi="Times New Roman" w:cs="Times New Roman"/>
          <w:bCs/>
          <w:sz w:val="24"/>
        </w:rPr>
        <w:t>)</w:t>
      </w:r>
      <w:r w:rsidR="00CE717A" w:rsidRPr="00453626">
        <w:rPr>
          <w:rFonts w:ascii="Times New Roman" w:hAnsi="Times New Roman" w:cs="Times New Roman"/>
          <w:bCs/>
          <w:sz w:val="24"/>
        </w:rPr>
        <w:t xml:space="preserve">. </w:t>
      </w:r>
      <w:r w:rsidR="00181715" w:rsidRPr="00453626">
        <w:rPr>
          <w:rFonts w:ascii="Times New Roman" w:hAnsi="Times New Roman" w:cs="Times New Roman"/>
          <w:bCs/>
          <w:sz w:val="24"/>
        </w:rPr>
        <w:t>L</w:t>
      </w:r>
      <w:r w:rsidR="00225E52" w:rsidRPr="00453626">
        <w:rPr>
          <w:rFonts w:ascii="Times New Roman" w:hAnsi="Times New Roman" w:cs="Times New Roman"/>
          <w:bCs/>
          <w:sz w:val="24"/>
        </w:rPr>
        <w:t xml:space="preserve">ower </w:t>
      </w:r>
      <w:r w:rsidR="001A100B" w:rsidRPr="00453626">
        <w:rPr>
          <w:rFonts w:ascii="Times New Roman" w:hAnsi="Times New Roman" w:cs="Times New Roman"/>
          <w:bCs/>
          <w:sz w:val="24"/>
        </w:rPr>
        <w:t>price per 100 kcal</w:t>
      </w:r>
      <w:r w:rsidR="00CE717A" w:rsidRPr="00453626">
        <w:rPr>
          <w:rFonts w:ascii="Times New Roman" w:hAnsi="Times New Roman" w:cs="Times New Roman"/>
          <w:bCs/>
          <w:sz w:val="24"/>
        </w:rPr>
        <w:t xml:space="preserve"> was </w:t>
      </w:r>
      <w:r w:rsidR="00181715" w:rsidRPr="00453626">
        <w:rPr>
          <w:rFonts w:ascii="Times New Roman" w:hAnsi="Times New Roman" w:cs="Times New Roman"/>
          <w:bCs/>
          <w:sz w:val="24"/>
        </w:rPr>
        <w:t xml:space="preserve">also </w:t>
      </w:r>
      <w:r w:rsidR="00CE717A" w:rsidRPr="00453626">
        <w:rPr>
          <w:rFonts w:ascii="Times New Roman" w:hAnsi="Times New Roman" w:cs="Times New Roman"/>
          <w:bCs/>
          <w:sz w:val="24"/>
        </w:rPr>
        <w:t>associated with a higher number of red traffic lights per product</w:t>
      </w:r>
      <w:r w:rsidR="001A100B" w:rsidRPr="00453626">
        <w:rPr>
          <w:rFonts w:ascii="Times New Roman" w:hAnsi="Times New Roman" w:cs="Times New Roman"/>
          <w:bCs/>
          <w:sz w:val="24"/>
        </w:rPr>
        <w:t xml:space="preserve"> </w:t>
      </w:r>
      <w:r w:rsidR="00B974B4" w:rsidRPr="00453626">
        <w:rPr>
          <w:rFonts w:ascii="Times New Roman" w:hAnsi="Times New Roman" w:cs="Times New Roman"/>
          <w:bCs/>
          <w:sz w:val="24"/>
        </w:rPr>
        <w:t>(supermarket: β=-0.1</w:t>
      </w:r>
      <w:r w:rsidR="001E3784" w:rsidRPr="00453626">
        <w:rPr>
          <w:rFonts w:ascii="Times New Roman" w:hAnsi="Times New Roman" w:cs="Times New Roman"/>
          <w:bCs/>
          <w:sz w:val="24"/>
        </w:rPr>
        <w:t>5</w:t>
      </w:r>
      <w:r w:rsidR="00B974B4" w:rsidRPr="00453626">
        <w:rPr>
          <w:rFonts w:ascii="Times New Roman" w:hAnsi="Times New Roman" w:cs="Times New Roman"/>
          <w:bCs/>
          <w:sz w:val="24"/>
        </w:rPr>
        <w:t xml:space="preserve">, 95% </w:t>
      </w:r>
      <w:r w:rsidR="00E86245" w:rsidRPr="00453626">
        <w:rPr>
          <w:rFonts w:ascii="Times New Roman" w:hAnsi="Times New Roman" w:cs="Times New Roman"/>
          <w:bCs/>
          <w:sz w:val="24"/>
        </w:rPr>
        <w:t>CI</w:t>
      </w:r>
      <w:r w:rsidR="00126CD5" w:rsidRPr="00453626">
        <w:rPr>
          <w:rFonts w:ascii="Times New Roman" w:hAnsi="Times New Roman" w:cs="Times New Roman"/>
          <w:bCs/>
          <w:sz w:val="24"/>
        </w:rPr>
        <w:t>:</w:t>
      </w:r>
      <w:r w:rsidR="00B974B4" w:rsidRPr="00453626">
        <w:rPr>
          <w:rFonts w:ascii="Times New Roman" w:hAnsi="Times New Roman" w:cs="Times New Roman"/>
          <w:bCs/>
          <w:sz w:val="24"/>
        </w:rPr>
        <w:t xml:space="preserve"> -0.1</w:t>
      </w:r>
      <w:r w:rsidR="001E3784" w:rsidRPr="00453626">
        <w:rPr>
          <w:rFonts w:ascii="Times New Roman" w:hAnsi="Times New Roman" w:cs="Times New Roman"/>
          <w:bCs/>
          <w:sz w:val="24"/>
        </w:rPr>
        <w:t>7</w:t>
      </w:r>
      <w:r w:rsidR="00B974B4" w:rsidRPr="00453626">
        <w:rPr>
          <w:rFonts w:ascii="Times New Roman" w:hAnsi="Times New Roman" w:cs="Times New Roman"/>
          <w:bCs/>
          <w:sz w:val="24"/>
        </w:rPr>
        <w:t xml:space="preserve"> to -0.</w:t>
      </w:r>
      <w:r w:rsidR="001E3784" w:rsidRPr="00453626">
        <w:rPr>
          <w:rFonts w:ascii="Times New Roman" w:hAnsi="Times New Roman" w:cs="Times New Roman"/>
          <w:bCs/>
          <w:sz w:val="24"/>
        </w:rPr>
        <w:t>1</w:t>
      </w:r>
      <w:r w:rsidR="00B974B4" w:rsidRPr="00453626">
        <w:rPr>
          <w:rFonts w:ascii="Times New Roman" w:hAnsi="Times New Roman" w:cs="Times New Roman"/>
          <w:bCs/>
          <w:sz w:val="24"/>
        </w:rPr>
        <w:t>3; coffee shops: β=-0.</w:t>
      </w:r>
      <w:r w:rsidR="00874F4D" w:rsidRPr="00453626">
        <w:rPr>
          <w:rFonts w:ascii="Times New Roman" w:hAnsi="Times New Roman" w:cs="Times New Roman"/>
          <w:bCs/>
          <w:sz w:val="24"/>
        </w:rPr>
        <w:t>27</w:t>
      </w:r>
      <w:r w:rsidR="00B974B4" w:rsidRPr="00453626">
        <w:rPr>
          <w:rFonts w:ascii="Times New Roman" w:hAnsi="Times New Roman" w:cs="Times New Roman"/>
          <w:bCs/>
          <w:sz w:val="24"/>
        </w:rPr>
        <w:t xml:space="preserve">, 95% </w:t>
      </w:r>
      <w:r w:rsidR="00E86245" w:rsidRPr="00453626">
        <w:rPr>
          <w:rFonts w:ascii="Times New Roman" w:hAnsi="Times New Roman" w:cs="Times New Roman"/>
          <w:bCs/>
          <w:sz w:val="24"/>
        </w:rPr>
        <w:t>CI</w:t>
      </w:r>
      <w:r w:rsidR="00126CD5" w:rsidRPr="00453626">
        <w:rPr>
          <w:rFonts w:ascii="Times New Roman" w:hAnsi="Times New Roman" w:cs="Times New Roman"/>
          <w:bCs/>
          <w:sz w:val="24"/>
        </w:rPr>
        <w:t>:</w:t>
      </w:r>
      <w:r w:rsidR="00B974B4" w:rsidRPr="00453626">
        <w:rPr>
          <w:rFonts w:ascii="Times New Roman" w:hAnsi="Times New Roman" w:cs="Times New Roman"/>
          <w:bCs/>
          <w:sz w:val="24"/>
        </w:rPr>
        <w:t xml:space="preserve"> -0.</w:t>
      </w:r>
      <w:r w:rsidR="00874F4D" w:rsidRPr="00453626">
        <w:rPr>
          <w:rFonts w:ascii="Times New Roman" w:hAnsi="Times New Roman" w:cs="Times New Roman"/>
          <w:bCs/>
          <w:sz w:val="24"/>
        </w:rPr>
        <w:t>38</w:t>
      </w:r>
      <w:r w:rsidR="00B974B4" w:rsidRPr="00453626">
        <w:rPr>
          <w:rFonts w:ascii="Times New Roman" w:hAnsi="Times New Roman" w:cs="Times New Roman"/>
          <w:bCs/>
          <w:sz w:val="24"/>
        </w:rPr>
        <w:t xml:space="preserve"> to -0.</w:t>
      </w:r>
      <w:r w:rsidR="00874F4D" w:rsidRPr="00453626">
        <w:rPr>
          <w:rFonts w:ascii="Times New Roman" w:hAnsi="Times New Roman" w:cs="Times New Roman"/>
          <w:bCs/>
          <w:sz w:val="24"/>
        </w:rPr>
        <w:t>1</w:t>
      </w:r>
      <w:r w:rsidR="004B086E" w:rsidRPr="00453626">
        <w:rPr>
          <w:rFonts w:ascii="Times New Roman" w:hAnsi="Times New Roman" w:cs="Times New Roman"/>
          <w:bCs/>
          <w:sz w:val="24"/>
        </w:rPr>
        <w:t>7</w:t>
      </w:r>
      <w:r w:rsidR="00B974B4" w:rsidRPr="00453626">
        <w:rPr>
          <w:rFonts w:ascii="Times New Roman" w:hAnsi="Times New Roman" w:cs="Times New Roman"/>
          <w:bCs/>
          <w:sz w:val="24"/>
        </w:rPr>
        <w:t>).</w:t>
      </w:r>
    </w:p>
    <w:bookmarkEnd w:id="13"/>
    <w:p w14:paraId="0623A22B" w14:textId="77777777" w:rsidR="00BF2CDF" w:rsidRPr="00453626" w:rsidRDefault="00BF2CDF" w:rsidP="00396F23">
      <w:pPr>
        <w:spacing w:line="360" w:lineRule="auto"/>
        <w:rPr>
          <w:rFonts w:ascii="Times New Roman" w:hAnsi="Times New Roman" w:cs="Times New Roman"/>
          <w:b/>
          <w:sz w:val="24"/>
        </w:rPr>
      </w:pPr>
    </w:p>
    <w:p w14:paraId="36147E07" w14:textId="00102337" w:rsidR="00C86421" w:rsidRPr="00453626" w:rsidRDefault="000F0266" w:rsidP="00396F23">
      <w:pPr>
        <w:spacing w:line="360" w:lineRule="auto"/>
        <w:rPr>
          <w:rStyle w:val="Emphasis"/>
          <w:rFonts w:ascii="Times New Roman" w:hAnsi="Times New Roman" w:cs="Times New Roman"/>
          <w:b/>
          <w:i w:val="0"/>
          <w:iCs w:val="0"/>
          <w:sz w:val="24"/>
        </w:rPr>
      </w:pPr>
      <w:r w:rsidRPr="00453626">
        <w:rPr>
          <w:rFonts w:ascii="Times New Roman" w:hAnsi="Times New Roman" w:cs="Times New Roman"/>
          <w:b/>
          <w:sz w:val="24"/>
        </w:rPr>
        <w:t>Discussion</w:t>
      </w:r>
    </w:p>
    <w:p w14:paraId="5372D8D1" w14:textId="0068F51E" w:rsidR="0053260F" w:rsidRPr="00453626" w:rsidRDefault="006965D5" w:rsidP="00396F23">
      <w:pPr>
        <w:spacing w:line="360" w:lineRule="auto"/>
        <w:rPr>
          <w:rFonts w:ascii="Times New Roman" w:hAnsi="Times New Roman" w:cs="Times New Roman"/>
          <w:bCs/>
          <w:sz w:val="24"/>
        </w:rPr>
      </w:pPr>
      <w:r w:rsidRPr="00453626">
        <w:rPr>
          <w:rFonts w:ascii="Times New Roman" w:hAnsi="Times New Roman" w:cs="Times New Roman"/>
          <w:bCs/>
          <w:sz w:val="24"/>
        </w:rPr>
        <w:t xml:space="preserve">Across the </w:t>
      </w:r>
      <w:r w:rsidR="00BC66CE" w:rsidRPr="00453626">
        <w:rPr>
          <w:rFonts w:ascii="Times New Roman" w:hAnsi="Times New Roman" w:cs="Times New Roman"/>
          <w:bCs/>
          <w:sz w:val="24"/>
        </w:rPr>
        <w:t>sampled single</w:t>
      </w:r>
      <w:r w:rsidR="00DE11B6" w:rsidRPr="00453626">
        <w:rPr>
          <w:rFonts w:ascii="Times New Roman" w:hAnsi="Times New Roman" w:cs="Times New Roman"/>
          <w:bCs/>
          <w:sz w:val="24"/>
        </w:rPr>
        <w:t>-</w:t>
      </w:r>
      <w:r w:rsidR="00BC66CE" w:rsidRPr="00453626">
        <w:rPr>
          <w:rFonts w:ascii="Times New Roman" w:hAnsi="Times New Roman" w:cs="Times New Roman"/>
          <w:bCs/>
          <w:sz w:val="24"/>
        </w:rPr>
        <w:t>serv</w:t>
      </w:r>
      <w:r w:rsidR="00785BBE" w:rsidRPr="00453626">
        <w:rPr>
          <w:rFonts w:ascii="Times New Roman" w:hAnsi="Times New Roman" w:cs="Times New Roman"/>
          <w:bCs/>
          <w:sz w:val="24"/>
        </w:rPr>
        <w:t>ing</w:t>
      </w:r>
      <w:r w:rsidR="00BC66CE" w:rsidRPr="00453626">
        <w:rPr>
          <w:rFonts w:ascii="Times New Roman" w:hAnsi="Times New Roman" w:cs="Times New Roman"/>
          <w:bCs/>
          <w:sz w:val="24"/>
        </w:rPr>
        <w:t xml:space="preserve"> </w:t>
      </w:r>
      <w:r w:rsidRPr="00453626">
        <w:rPr>
          <w:rFonts w:ascii="Times New Roman" w:hAnsi="Times New Roman" w:cs="Times New Roman"/>
          <w:bCs/>
          <w:sz w:val="24"/>
        </w:rPr>
        <w:t xml:space="preserve">snack products sold at </w:t>
      </w:r>
      <w:r w:rsidR="00A109DB" w:rsidRPr="00453626">
        <w:rPr>
          <w:rFonts w:ascii="Times New Roman" w:hAnsi="Times New Roman" w:cs="Times New Roman"/>
          <w:bCs/>
          <w:sz w:val="24"/>
        </w:rPr>
        <w:t xml:space="preserve">major </w:t>
      </w:r>
      <w:r w:rsidRPr="00453626">
        <w:rPr>
          <w:rFonts w:ascii="Times New Roman" w:hAnsi="Times New Roman" w:cs="Times New Roman"/>
          <w:bCs/>
          <w:sz w:val="24"/>
        </w:rPr>
        <w:t>supermarket and coffee shop chains in the UK</w:t>
      </w:r>
      <w:r w:rsidR="004D0664" w:rsidRPr="00453626">
        <w:rPr>
          <w:rFonts w:ascii="Times New Roman" w:hAnsi="Times New Roman" w:cs="Times New Roman"/>
          <w:bCs/>
          <w:sz w:val="24"/>
        </w:rPr>
        <w:t>, 61% met Public Health England</w:t>
      </w:r>
      <w:r w:rsidR="00D87C0E" w:rsidRPr="00453626">
        <w:rPr>
          <w:rFonts w:ascii="Times New Roman" w:hAnsi="Times New Roman" w:cs="Times New Roman"/>
          <w:bCs/>
          <w:sz w:val="24"/>
        </w:rPr>
        <w:t xml:space="preserve"> energy</w:t>
      </w:r>
      <w:r w:rsidR="004D0664" w:rsidRPr="00453626">
        <w:rPr>
          <w:rFonts w:ascii="Times New Roman" w:hAnsi="Times New Roman" w:cs="Times New Roman"/>
          <w:bCs/>
          <w:sz w:val="24"/>
        </w:rPr>
        <w:t xml:space="preserve"> recommendation for adults (≤ 200 kcal)</w:t>
      </w:r>
      <w:r w:rsidR="00BC66CE" w:rsidRPr="00453626">
        <w:rPr>
          <w:rFonts w:ascii="Times New Roman" w:hAnsi="Times New Roman" w:cs="Times New Roman"/>
          <w:bCs/>
          <w:sz w:val="24"/>
        </w:rPr>
        <w:t xml:space="preserve">, whereas only </w:t>
      </w:r>
      <w:r w:rsidR="0066525C" w:rsidRPr="00453626">
        <w:rPr>
          <w:rFonts w:ascii="Times New Roman" w:hAnsi="Times New Roman" w:cs="Times New Roman"/>
          <w:bCs/>
          <w:sz w:val="24"/>
        </w:rPr>
        <w:t>19</w:t>
      </w:r>
      <w:r w:rsidR="00BC66CE" w:rsidRPr="00453626">
        <w:rPr>
          <w:rFonts w:ascii="Times New Roman" w:hAnsi="Times New Roman" w:cs="Times New Roman"/>
          <w:bCs/>
          <w:sz w:val="24"/>
        </w:rPr>
        <w:t xml:space="preserve">% </w:t>
      </w:r>
      <w:r w:rsidR="00F03EB9" w:rsidRPr="00453626">
        <w:rPr>
          <w:rFonts w:ascii="Times New Roman" w:hAnsi="Times New Roman" w:cs="Times New Roman"/>
          <w:bCs/>
          <w:sz w:val="24"/>
        </w:rPr>
        <w:t xml:space="preserve">met recommendation for children (≤ </w:t>
      </w:r>
      <w:r w:rsidR="00BC66CE" w:rsidRPr="00453626">
        <w:rPr>
          <w:rFonts w:ascii="Times New Roman" w:hAnsi="Times New Roman" w:cs="Times New Roman"/>
          <w:bCs/>
          <w:sz w:val="24"/>
        </w:rPr>
        <w:t>100</w:t>
      </w:r>
      <w:r w:rsidR="0066525C" w:rsidRPr="00453626">
        <w:rPr>
          <w:rFonts w:ascii="Times New Roman" w:hAnsi="Times New Roman" w:cs="Times New Roman"/>
          <w:bCs/>
          <w:sz w:val="24"/>
        </w:rPr>
        <w:t xml:space="preserve"> </w:t>
      </w:r>
      <w:r w:rsidR="00BC66CE" w:rsidRPr="00453626">
        <w:rPr>
          <w:rFonts w:ascii="Times New Roman" w:hAnsi="Times New Roman" w:cs="Times New Roman"/>
          <w:bCs/>
          <w:sz w:val="24"/>
        </w:rPr>
        <w:t>kcal</w:t>
      </w:r>
      <w:r w:rsidR="00F03EB9" w:rsidRPr="00453626">
        <w:rPr>
          <w:rFonts w:ascii="Times New Roman" w:hAnsi="Times New Roman" w:cs="Times New Roman"/>
          <w:bCs/>
          <w:sz w:val="24"/>
        </w:rPr>
        <w:t>)</w:t>
      </w:r>
      <w:r w:rsidR="00BC66CE" w:rsidRPr="00453626">
        <w:rPr>
          <w:rFonts w:ascii="Times New Roman" w:hAnsi="Times New Roman" w:cs="Times New Roman"/>
          <w:bCs/>
          <w:sz w:val="24"/>
        </w:rPr>
        <w:t>.</w:t>
      </w:r>
      <w:r w:rsidR="00E932AC" w:rsidRPr="00453626">
        <w:rPr>
          <w:rFonts w:ascii="Times New Roman" w:hAnsi="Times New Roman" w:cs="Times New Roman"/>
          <w:bCs/>
          <w:sz w:val="24"/>
        </w:rPr>
        <w:t xml:space="preserve"> However, very few snack </w:t>
      </w:r>
      <w:r w:rsidR="00E932AC" w:rsidRPr="00453626">
        <w:rPr>
          <w:rFonts w:ascii="Times New Roman" w:hAnsi="Times New Roman" w:cs="Times New Roman"/>
          <w:bCs/>
          <w:sz w:val="24"/>
        </w:rPr>
        <w:lastRenderedPageBreak/>
        <w:t xml:space="preserve">products sold in coffee shops met public health energy recommendations for adults (27%) or children (9%). </w:t>
      </w:r>
      <w:r w:rsidR="00BC66CE" w:rsidRPr="00453626">
        <w:rPr>
          <w:rFonts w:ascii="Times New Roman" w:hAnsi="Times New Roman" w:cs="Times New Roman"/>
          <w:bCs/>
          <w:sz w:val="24"/>
        </w:rPr>
        <w:t>Overall, it was common for snack products to be high in saturated fat (42%) and sugar (39%), although relatively few products had high amounts of salt (7%).</w:t>
      </w:r>
      <w:r w:rsidR="007B665E" w:rsidRPr="00453626">
        <w:rPr>
          <w:rFonts w:ascii="Times New Roman" w:hAnsi="Times New Roman" w:cs="Times New Roman"/>
          <w:bCs/>
          <w:sz w:val="24"/>
        </w:rPr>
        <w:t xml:space="preserve"> </w:t>
      </w:r>
      <w:r w:rsidR="00067A96" w:rsidRPr="00453626">
        <w:rPr>
          <w:rFonts w:ascii="Times New Roman" w:hAnsi="Times New Roman" w:cs="Times New Roman"/>
          <w:bCs/>
          <w:sz w:val="24"/>
        </w:rPr>
        <w:t xml:space="preserve">Supermarket chains </w:t>
      </w:r>
      <w:r w:rsidR="004E7307" w:rsidRPr="00453626">
        <w:rPr>
          <w:rFonts w:ascii="Times New Roman" w:hAnsi="Times New Roman" w:cs="Times New Roman"/>
          <w:bCs/>
          <w:sz w:val="24"/>
        </w:rPr>
        <w:t>offered</w:t>
      </w:r>
      <w:r w:rsidR="0053260F" w:rsidRPr="00453626">
        <w:rPr>
          <w:rFonts w:ascii="Times New Roman" w:hAnsi="Times New Roman" w:cs="Times New Roman"/>
          <w:bCs/>
          <w:sz w:val="24"/>
        </w:rPr>
        <w:t xml:space="preserve"> on average healthier </w:t>
      </w:r>
      <w:r w:rsidR="002A6598" w:rsidRPr="00453626">
        <w:rPr>
          <w:rFonts w:ascii="Times New Roman" w:hAnsi="Times New Roman" w:cs="Times New Roman"/>
          <w:bCs/>
          <w:sz w:val="24"/>
        </w:rPr>
        <w:t xml:space="preserve">snack products </w:t>
      </w:r>
      <w:r w:rsidR="0053260F" w:rsidRPr="00453626">
        <w:rPr>
          <w:rFonts w:ascii="Times New Roman" w:hAnsi="Times New Roman" w:cs="Times New Roman"/>
          <w:bCs/>
          <w:sz w:val="24"/>
        </w:rPr>
        <w:t>(</w:t>
      </w:r>
      <w:r w:rsidR="004D0664" w:rsidRPr="00453626">
        <w:rPr>
          <w:rFonts w:ascii="Times New Roman" w:hAnsi="Times New Roman" w:cs="Times New Roman"/>
          <w:bCs/>
          <w:sz w:val="24"/>
        </w:rPr>
        <w:t xml:space="preserve">i.e., </w:t>
      </w:r>
      <w:r w:rsidR="0053260F" w:rsidRPr="00453626">
        <w:rPr>
          <w:rFonts w:ascii="Times New Roman" w:hAnsi="Times New Roman" w:cs="Times New Roman"/>
          <w:bCs/>
          <w:sz w:val="24"/>
        </w:rPr>
        <w:t xml:space="preserve">less caloric and with </w:t>
      </w:r>
      <w:r w:rsidR="002A6598" w:rsidRPr="00453626">
        <w:rPr>
          <w:rFonts w:ascii="Times New Roman" w:hAnsi="Times New Roman" w:cs="Times New Roman"/>
          <w:bCs/>
          <w:sz w:val="24"/>
        </w:rPr>
        <w:t xml:space="preserve">fewer </w:t>
      </w:r>
      <w:r w:rsidR="0053260F" w:rsidRPr="00453626">
        <w:rPr>
          <w:rFonts w:ascii="Times New Roman" w:hAnsi="Times New Roman" w:cs="Times New Roman"/>
          <w:bCs/>
          <w:sz w:val="24"/>
        </w:rPr>
        <w:t>harmful nutrients in excess) than coffee shops chains.</w:t>
      </w:r>
      <w:r w:rsidR="005D7DB1" w:rsidRPr="00453626">
        <w:rPr>
          <w:rFonts w:ascii="Times New Roman" w:hAnsi="Times New Roman" w:cs="Times New Roman"/>
          <w:bCs/>
          <w:sz w:val="24"/>
        </w:rPr>
        <w:t xml:space="preserve"> </w:t>
      </w:r>
      <w:r w:rsidR="0053260F" w:rsidRPr="00453626">
        <w:rPr>
          <w:rFonts w:ascii="Times New Roman" w:hAnsi="Times New Roman" w:cs="Times New Roman"/>
          <w:bCs/>
          <w:sz w:val="24"/>
        </w:rPr>
        <w:t>At supermarket chains, snack product</w:t>
      </w:r>
      <w:r w:rsidR="00452233" w:rsidRPr="00453626">
        <w:rPr>
          <w:rFonts w:ascii="Times New Roman" w:hAnsi="Times New Roman" w:cs="Times New Roman"/>
          <w:bCs/>
          <w:sz w:val="24"/>
        </w:rPr>
        <w:t>s</w:t>
      </w:r>
      <w:r w:rsidR="0053260F" w:rsidRPr="00453626">
        <w:rPr>
          <w:rFonts w:ascii="Times New Roman" w:hAnsi="Times New Roman" w:cs="Times New Roman"/>
          <w:bCs/>
          <w:sz w:val="24"/>
        </w:rPr>
        <w:t xml:space="preserve"> meeting recommendation</w:t>
      </w:r>
      <w:r w:rsidR="00BC66CE" w:rsidRPr="00453626">
        <w:rPr>
          <w:rFonts w:ascii="Times New Roman" w:hAnsi="Times New Roman" w:cs="Times New Roman"/>
          <w:bCs/>
          <w:sz w:val="24"/>
        </w:rPr>
        <w:t xml:space="preserve"> for</w:t>
      </w:r>
      <w:r w:rsidR="0053260F" w:rsidRPr="00453626">
        <w:rPr>
          <w:rFonts w:ascii="Times New Roman" w:hAnsi="Times New Roman" w:cs="Times New Roman"/>
          <w:bCs/>
          <w:sz w:val="24"/>
        </w:rPr>
        <w:t xml:space="preserve"> energy content were less expensive than snack products exceeding th</w:t>
      </w:r>
      <w:r w:rsidR="008E4371" w:rsidRPr="00453626">
        <w:rPr>
          <w:rFonts w:ascii="Times New Roman" w:hAnsi="Times New Roman" w:cs="Times New Roman"/>
          <w:bCs/>
          <w:sz w:val="24"/>
        </w:rPr>
        <w:t>is</w:t>
      </w:r>
      <w:r w:rsidR="0053260F" w:rsidRPr="00453626">
        <w:rPr>
          <w:rFonts w:ascii="Times New Roman" w:hAnsi="Times New Roman" w:cs="Times New Roman"/>
          <w:bCs/>
          <w:sz w:val="24"/>
        </w:rPr>
        <w:t xml:space="preserve"> recommendatio</w:t>
      </w:r>
      <w:r w:rsidR="00BC66CE" w:rsidRPr="00453626">
        <w:rPr>
          <w:rFonts w:ascii="Times New Roman" w:hAnsi="Times New Roman" w:cs="Times New Roman"/>
          <w:bCs/>
          <w:sz w:val="24"/>
        </w:rPr>
        <w:t>n.</w:t>
      </w:r>
      <w:r w:rsidR="00D20965" w:rsidRPr="00453626">
        <w:rPr>
          <w:rFonts w:ascii="Times New Roman" w:hAnsi="Times New Roman" w:cs="Times New Roman"/>
          <w:bCs/>
          <w:sz w:val="24"/>
        </w:rPr>
        <w:t xml:space="preserve"> </w:t>
      </w:r>
      <w:r w:rsidR="002A6598" w:rsidRPr="00453626">
        <w:rPr>
          <w:rFonts w:ascii="Times New Roman" w:hAnsi="Times New Roman" w:cs="Times New Roman"/>
          <w:bCs/>
          <w:sz w:val="24"/>
        </w:rPr>
        <w:t>T</w:t>
      </w:r>
      <w:r w:rsidR="00BC66CE" w:rsidRPr="00453626">
        <w:rPr>
          <w:rFonts w:ascii="Times New Roman" w:hAnsi="Times New Roman" w:cs="Times New Roman"/>
          <w:bCs/>
          <w:sz w:val="24"/>
        </w:rPr>
        <w:t>his was not the case at coffee shops</w:t>
      </w:r>
      <w:r w:rsidR="00D87C0E" w:rsidRPr="00453626">
        <w:rPr>
          <w:rFonts w:ascii="Times New Roman" w:hAnsi="Times New Roman" w:cs="Times New Roman"/>
          <w:bCs/>
          <w:sz w:val="24"/>
        </w:rPr>
        <w:t>, as products exceeding energy content recommendation were similar in price to those meeting recommendations</w:t>
      </w:r>
      <w:r w:rsidR="005D7DB1" w:rsidRPr="00453626">
        <w:rPr>
          <w:rFonts w:ascii="Times New Roman" w:hAnsi="Times New Roman" w:cs="Times New Roman"/>
          <w:bCs/>
          <w:sz w:val="24"/>
        </w:rPr>
        <w:t xml:space="preserve">. </w:t>
      </w:r>
      <w:r w:rsidR="00BC66CE" w:rsidRPr="00453626">
        <w:rPr>
          <w:rFonts w:ascii="Times New Roman" w:hAnsi="Times New Roman" w:cs="Times New Roman"/>
          <w:bCs/>
          <w:sz w:val="24"/>
        </w:rPr>
        <w:t>Moreover</w:t>
      </w:r>
      <w:r w:rsidR="004D0664" w:rsidRPr="00453626">
        <w:rPr>
          <w:rFonts w:ascii="Times New Roman" w:hAnsi="Times New Roman" w:cs="Times New Roman"/>
          <w:bCs/>
          <w:sz w:val="24"/>
        </w:rPr>
        <w:t>, s</w:t>
      </w:r>
      <w:r w:rsidR="0053260F" w:rsidRPr="00453626">
        <w:rPr>
          <w:rFonts w:ascii="Times New Roman" w:hAnsi="Times New Roman" w:cs="Times New Roman"/>
          <w:bCs/>
          <w:sz w:val="24"/>
        </w:rPr>
        <w:t>nack</w:t>
      </w:r>
      <w:r w:rsidR="00452233" w:rsidRPr="00453626">
        <w:rPr>
          <w:rFonts w:ascii="Times New Roman" w:hAnsi="Times New Roman" w:cs="Times New Roman"/>
          <w:bCs/>
          <w:sz w:val="24"/>
        </w:rPr>
        <w:t xml:space="preserve"> product</w:t>
      </w:r>
      <w:r w:rsidR="0053260F" w:rsidRPr="00453626">
        <w:rPr>
          <w:rFonts w:ascii="Times New Roman" w:hAnsi="Times New Roman" w:cs="Times New Roman"/>
          <w:bCs/>
          <w:sz w:val="24"/>
        </w:rPr>
        <w:t>s</w:t>
      </w:r>
      <w:r w:rsidR="00BC66CE" w:rsidRPr="00453626">
        <w:rPr>
          <w:rFonts w:ascii="Times New Roman" w:hAnsi="Times New Roman" w:cs="Times New Roman"/>
          <w:bCs/>
          <w:sz w:val="24"/>
        </w:rPr>
        <w:t xml:space="preserve"> with less favourable nutritional profile</w:t>
      </w:r>
      <w:r w:rsidR="002A6598" w:rsidRPr="00453626">
        <w:rPr>
          <w:rFonts w:ascii="Times New Roman" w:hAnsi="Times New Roman" w:cs="Times New Roman"/>
          <w:bCs/>
          <w:sz w:val="24"/>
        </w:rPr>
        <w:t>s</w:t>
      </w:r>
      <w:r w:rsidR="00BC66CE" w:rsidRPr="00453626">
        <w:rPr>
          <w:rFonts w:ascii="Times New Roman" w:hAnsi="Times New Roman" w:cs="Times New Roman"/>
          <w:bCs/>
          <w:sz w:val="24"/>
        </w:rPr>
        <w:t xml:space="preserve"> (more red</w:t>
      </w:r>
      <w:r w:rsidR="00264F07" w:rsidRPr="00453626">
        <w:rPr>
          <w:rFonts w:ascii="Times New Roman" w:hAnsi="Times New Roman" w:cs="Times New Roman"/>
          <w:bCs/>
          <w:sz w:val="24"/>
        </w:rPr>
        <w:t xml:space="preserve"> lights</w:t>
      </w:r>
      <w:r w:rsidR="00BC66CE" w:rsidRPr="00453626">
        <w:rPr>
          <w:rFonts w:ascii="Times New Roman" w:hAnsi="Times New Roman" w:cs="Times New Roman"/>
          <w:bCs/>
          <w:sz w:val="24"/>
        </w:rPr>
        <w:t xml:space="preserve"> on the traffic light </w:t>
      </w:r>
      <w:r w:rsidR="001F0FAB" w:rsidRPr="00453626">
        <w:rPr>
          <w:rFonts w:ascii="Times New Roman" w:hAnsi="Times New Roman" w:cs="Times New Roman"/>
          <w:bCs/>
          <w:sz w:val="24"/>
        </w:rPr>
        <w:t>label</w:t>
      </w:r>
      <w:r w:rsidR="005A406D" w:rsidRPr="00453626">
        <w:rPr>
          <w:rFonts w:ascii="Times New Roman" w:hAnsi="Times New Roman" w:cs="Times New Roman"/>
          <w:bCs/>
          <w:sz w:val="24"/>
        </w:rPr>
        <w:t xml:space="preserve"> system</w:t>
      </w:r>
      <w:r w:rsidR="001F0FAB" w:rsidRPr="00453626">
        <w:rPr>
          <w:rFonts w:ascii="Times New Roman" w:hAnsi="Times New Roman" w:cs="Times New Roman"/>
          <w:bCs/>
          <w:sz w:val="24"/>
        </w:rPr>
        <w:t xml:space="preserve">) tended to be cheaper and this relationship was particularly pronounced among snack products sold in </w:t>
      </w:r>
      <w:r w:rsidR="0053260F" w:rsidRPr="00453626">
        <w:rPr>
          <w:rFonts w:ascii="Times New Roman" w:hAnsi="Times New Roman" w:cs="Times New Roman"/>
          <w:bCs/>
          <w:sz w:val="24"/>
        </w:rPr>
        <w:t>coffee shop chain</w:t>
      </w:r>
      <w:r w:rsidR="007B665E" w:rsidRPr="00453626">
        <w:rPr>
          <w:rFonts w:ascii="Times New Roman" w:hAnsi="Times New Roman" w:cs="Times New Roman"/>
          <w:bCs/>
          <w:sz w:val="24"/>
        </w:rPr>
        <w:t>s</w:t>
      </w:r>
      <w:r w:rsidR="0053260F" w:rsidRPr="00453626">
        <w:rPr>
          <w:rFonts w:ascii="Times New Roman" w:hAnsi="Times New Roman" w:cs="Times New Roman"/>
          <w:bCs/>
          <w:sz w:val="24"/>
        </w:rPr>
        <w:t>.</w:t>
      </w:r>
    </w:p>
    <w:p w14:paraId="56F30262" w14:textId="7450CDA8" w:rsidR="00C5734C" w:rsidRPr="00453626" w:rsidRDefault="00992693" w:rsidP="00396F23">
      <w:pPr>
        <w:spacing w:line="360" w:lineRule="auto"/>
        <w:rPr>
          <w:rFonts w:ascii="Times New Roman" w:hAnsi="Times New Roman" w:cs="Times New Roman"/>
          <w:bCs/>
          <w:sz w:val="24"/>
        </w:rPr>
      </w:pPr>
      <w:r w:rsidRPr="00453626">
        <w:rPr>
          <w:rFonts w:ascii="Times New Roman" w:hAnsi="Times New Roman" w:cs="Times New Roman"/>
          <w:bCs/>
          <w:sz w:val="24"/>
        </w:rPr>
        <w:t>T</w:t>
      </w:r>
      <w:r w:rsidR="0001078E" w:rsidRPr="00453626">
        <w:rPr>
          <w:rFonts w:ascii="Times New Roman" w:hAnsi="Times New Roman" w:cs="Times New Roman"/>
          <w:bCs/>
          <w:sz w:val="24"/>
        </w:rPr>
        <w:t xml:space="preserve">he present study </w:t>
      </w:r>
      <w:r w:rsidR="00927428" w:rsidRPr="00453626">
        <w:rPr>
          <w:rFonts w:ascii="Times New Roman" w:hAnsi="Times New Roman" w:cs="Times New Roman"/>
          <w:bCs/>
          <w:sz w:val="24"/>
        </w:rPr>
        <w:t>is the first characterisation of the nutritional quality of</w:t>
      </w:r>
      <w:r w:rsidR="00251E6E" w:rsidRPr="00453626">
        <w:rPr>
          <w:rFonts w:ascii="Times New Roman" w:hAnsi="Times New Roman" w:cs="Times New Roman"/>
          <w:bCs/>
          <w:sz w:val="24"/>
        </w:rPr>
        <w:t xml:space="preserve"> </w:t>
      </w:r>
      <w:r w:rsidR="00E932AC" w:rsidRPr="00453626">
        <w:rPr>
          <w:rFonts w:ascii="Times New Roman" w:hAnsi="Times New Roman" w:cs="Times New Roman"/>
          <w:bCs/>
          <w:sz w:val="24"/>
        </w:rPr>
        <w:t>single</w:t>
      </w:r>
      <w:r w:rsidR="00126CD5" w:rsidRPr="00453626">
        <w:rPr>
          <w:rFonts w:ascii="Times New Roman" w:hAnsi="Times New Roman" w:cs="Times New Roman"/>
          <w:bCs/>
          <w:sz w:val="24"/>
        </w:rPr>
        <w:t>-</w:t>
      </w:r>
      <w:r w:rsidR="00E932AC" w:rsidRPr="00453626">
        <w:rPr>
          <w:rFonts w:ascii="Times New Roman" w:hAnsi="Times New Roman" w:cs="Times New Roman"/>
          <w:bCs/>
          <w:sz w:val="24"/>
        </w:rPr>
        <w:t>serv</w:t>
      </w:r>
      <w:r w:rsidR="00126CD5" w:rsidRPr="00453626">
        <w:rPr>
          <w:rFonts w:ascii="Times New Roman" w:hAnsi="Times New Roman" w:cs="Times New Roman"/>
          <w:bCs/>
          <w:sz w:val="24"/>
        </w:rPr>
        <w:t>ing</w:t>
      </w:r>
      <w:r w:rsidR="00E932AC" w:rsidRPr="00453626">
        <w:rPr>
          <w:rFonts w:ascii="Times New Roman" w:hAnsi="Times New Roman" w:cs="Times New Roman"/>
          <w:bCs/>
          <w:sz w:val="24"/>
        </w:rPr>
        <w:t xml:space="preserve"> </w:t>
      </w:r>
      <w:r w:rsidR="00251E6E" w:rsidRPr="00453626">
        <w:rPr>
          <w:rFonts w:ascii="Times New Roman" w:hAnsi="Times New Roman" w:cs="Times New Roman"/>
          <w:bCs/>
          <w:sz w:val="24"/>
        </w:rPr>
        <w:t>snack</w:t>
      </w:r>
      <w:r w:rsidR="00B54208" w:rsidRPr="00453626">
        <w:rPr>
          <w:rFonts w:ascii="Times New Roman" w:hAnsi="Times New Roman" w:cs="Times New Roman"/>
          <w:bCs/>
          <w:sz w:val="24"/>
        </w:rPr>
        <w:t xml:space="preserve"> </w:t>
      </w:r>
      <w:r w:rsidR="00C65502" w:rsidRPr="00453626">
        <w:rPr>
          <w:rFonts w:ascii="Times New Roman" w:hAnsi="Times New Roman" w:cs="Times New Roman"/>
          <w:bCs/>
          <w:sz w:val="24"/>
        </w:rPr>
        <w:t xml:space="preserve">food </w:t>
      </w:r>
      <w:r w:rsidR="00B54208" w:rsidRPr="00453626">
        <w:rPr>
          <w:rFonts w:ascii="Times New Roman" w:hAnsi="Times New Roman" w:cs="Times New Roman"/>
          <w:bCs/>
          <w:sz w:val="24"/>
        </w:rPr>
        <w:t>products available</w:t>
      </w:r>
      <w:r w:rsidR="00251E6E" w:rsidRPr="00453626">
        <w:rPr>
          <w:rFonts w:ascii="Times New Roman" w:hAnsi="Times New Roman" w:cs="Times New Roman"/>
          <w:bCs/>
          <w:sz w:val="24"/>
        </w:rPr>
        <w:t xml:space="preserve"> </w:t>
      </w:r>
      <w:r w:rsidR="00080854" w:rsidRPr="00453626">
        <w:rPr>
          <w:rFonts w:ascii="Times New Roman" w:hAnsi="Times New Roman" w:cs="Times New Roman"/>
          <w:bCs/>
          <w:sz w:val="24"/>
        </w:rPr>
        <w:t xml:space="preserve">in </w:t>
      </w:r>
      <w:r w:rsidR="00251E6E" w:rsidRPr="00453626">
        <w:rPr>
          <w:rFonts w:ascii="Times New Roman" w:hAnsi="Times New Roman" w:cs="Times New Roman"/>
          <w:bCs/>
          <w:sz w:val="24"/>
        </w:rPr>
        <w:t>UK</w:t>
      </w:r>
      <w:r w:rsidR="00080854" w:rsidRPr="00453626">
        <w:rPr>
          <w:rFonts w:ascii="Times New Roman" w:hAnsi="Times New Roman" w:cs="Times New Roman"/>
          <w:bCs/>
          <w:sz w:val="24"/>
        </w:rPr>
        <w:t xml:space="preserve"> supermarket and coffee shop chains</w:t>
      </w:r>
      <w:r w:rsidR="00F0394B" w:rsidRPr="00453626">
        <w:rPr>
          <w:rFonts w:ascii="Times New Roman" w:hAnsi="Times New Roman" w:cs="Times New Roman"/>
          <w:bCs/>
          <w:sz w:val="24"/>
        </w:rPr>
        <w:t>.</w:t>
      </w:r>
      <w:r w:rsidRPr="00453626">
        <w:rPr>
          <w:rFonts w:ascii="Times New Roman" w:hAnsi="Times New Roman" w:cs="Times New Roman"/>
          <w:bCs/>
          <w:sz w:val="24"/>
        </w:rPr>
        <w:t xml:space="preserve"> </w:t>
      </w:r>
      <w:r w:rsidR="00927428" w:rsidRPr="00453626">
        <w:rPr>
          <w:rFonts w:ascii="Times New Roman" w:hAnsi="Times New Roman" w:cs="Times New Roman"/>
          <w:sz w:val="24"/>
        </w:rPr>
        <w:t>Although it has been shown that</w:t>
      </w:r>
      <w:r w:rsidRPr="00453626">
        <w:rPr>
          <w:rFonts w:ascii="Times New Roman" w:hAnsi="Times New Roman" w:cs="Times New Roman"/>
          <w:sz w:val="24"/>
        </w:rPr>
        <w:t xml:space="preserve"> the most energy dense and nutrient-poor food groups are </w:t>
      </w:r>
      <w:r w:rsidR="00927428" w:rsidRPr="00453626">
        <w:rPr>
          <w:rFonts w:ascii="Times New Roman" w:hAnsi="Times New Roman" w:cs="Times New Roman"/>
          <w:sz w:val="24"/>
        </w:rPr>
        <w:t xml:space="preserve">often </w:t>
      </w:r>
      <w:r w:rsidRPr="00453626">
        <w:rPr>
          <w:rFonts w:ascii="Times New Roman" w:hAnsi="Times New Roman" w:cs="Times New Roman"/>
          <w:sz w:val="24"/>
        </w:rPr>
        <w:t>the least expensive sources of energy</w:t>
      </w:r>
      <w:r w:rsidR="00BF2CDF" w:rsidRPr="00453626">
        <w:rPr>
          <w:rFonts w:ascii="Times New Roman" w:hAnsi="Times New Roman" w:cs="Times New Roman"/>
          <w:sz w:val="24"/>
        </w:rPr>
        <w:t>,</w:t>
      </w:r>
      <w:r w:rsidRPr="00453626">
        <w:rPr>
          <w:rFonts w:ascii="Times New Roman" w:hAnsi="Times New Roman" w:cs="Times New Roman"/>
          <w:sz w:val="24"/>
        </w:rPr>
        <w:fldChar w:fldCharType="begin" w:fldLock="1"/>
      </w:r>
      <w:r w:rsidR="0027432A" w:rsidRPr="00453626">
        <w:rPr>
          <w:rFonts w:ascii="Times New Roman" w:hAnsi="Times New Roman" w:cs="Times New Roman"/>
          <w:sz w:val="24"/>
        </w:rPr>
        <w:instrText>ADDIN CSL_CITATION {"citationItems":[{"id":"ITEM-1","itemData":{"ISSN":"0022-3166","PMID":"17585036","abstract":"Consumers wishing to replace some of the foods in their diets with more nutrient-dense options need to be able to identify such foods on the basis of nutrient profiling. The present study used nutrient profiling to rank 7 major food groups and 25 subgroups in terms of their contribution to dietary energy, diet quality, and diet cost for 1332 adult participants in the French National INCA1 Study. Nutrient profiles were based on the presence of 23 qualifying nutrients, expressed as the percentage of nutrient adequacy per 8 MJ, and 3 negative or disqualifying nutrients, expressed as the percentage of the maximal recommended values for saturated fatty acids, added sugar, and sodium per 1.4 kg. Calculated cost of energy (euro/8 MJ) was based on the mean retail price of 619 foods in the nutrient composition database. The meat and the fruit and vegetables food groups had the highest nutritional quality but were associated with highest energy costs. Sweets and salted snacks had the lowest nutritional quality but were also one of the least expensive sources of dietary energy. Starches and grains were unique because they were low in disqualifying nutrients yet provided low-cost dietary energy. Within each major food group, some subgroups had a higher nutritient-to-price ratio than others. However, the fact that food groups with the more favorable nutrient profiles were also associated with higher energy costs suggests that the present structure of food prices may be a barrier to the adoption of food-based dietary guidelines, at least by low-income households.","author":[{"dropping-particle":"","family":"Maillot","given":"Matthieu","non-dropping-particle":"","parse-names":false,"suffix":""},{"dropping-particle":"","family":"Darmon","given":"Nicole","non-dropping-particle":"","parse-names":false,"suffix":""},{"dropping-particle":"","family":"Darmon","given":"Michel","non-dropping-particle":"","parse-names":false,"suffix":""},{"dropping-particle":"","family":"Lafay","given":"Lionel","non-dropping-particle":"","parse-names":false,"suffix":""},{"dropping-particle":"","family":"Drewnowski","given":"Adam","non-dropping-particle":"","parse-names":false,"suffix":""}],"container-title":"The Journal of nutrition","id":"ITEM-1","issue":"7","issued":{"date-parts":[["2007","7"]]},"page":"1815-20","title":"Nutrient-dense food groups have high energy costs: an econometric approach to nutrient profiling.","type":"article-journal","volume":"137"},"uris":["http://www.mendeley.com/documents/?uuid=cfc85ea8-7de5-4a1e-979f-b42dc9ec86da"]},{"id":"ITEM-2","itemData":{"ISSN":"0002-9165","PMID":"14684391","abstract":"Many health disparities in the United States are linked to inequalities in education and income. This review focuses on the relation between obesity and diet quality, dietary energy density, and energy costs. Evidence is provided to support the following points. First, the highest rates of obesity occur among population groups with the highest poverty rates and the least education. Second, there is an inverse relation between energy density (MJ/kg) and energy cost (US dollars/MJ), such that energy-dense foods composed of refined grains, added sugars, or fats may represent the lowest-cost option to the consumer. Third, the high energy density and palatability of sweets and fats are associated with higher energy intakes, at least in clinical and laboratory studies. Fourth, poverty and food insecurity are associated with lower food expenditures, low fruit and vegetable consumption, and lower-quality diets. A reduction in diet costs in linear programming models leads to high-fat, energy-dense diets that are similar in composition to those consumed by low-income groups. Such diets are more affordable than are prudent diets based on lean meats, fish, fresh vegetables, and fruit. The association between poverty and obesity may be mediated, in part, by the low cost of energy-dense foods and may be reinforced by the high palatability of sugar and fat. This economic framework provides an explanation for the observed links between socioeconomic variables and obesity when taste, dietary energy density, and diet costs are used as intervening variables. More and more Americans are becoming overweight and obese while consuming more added sugars and fats and spending a lower percentage of their disposable income on food.","author":[{"dropping-particle":"","family":"Drewnowski","given":"Adam","non-dropping-particle":"","parse-names":false,"suffix":""},{"dropping-particle":"","family":"Specter","given":"S E","non-dropping-particle":"","parse-names":false,"suffix":""}],"container-title":"The American journal of clinical nutrition","id":"ITEM-2","issue":"1","issued":{"date-parts":[["2004","1"]]},"page":"6-16","title":"Poverty and obesity: the role of energy density and energy costs.","type":"article-journal","volume":"79"},"uris":["http://www.mendeley.com/documents/?uuid=fbc1066c-bf11-4918-899f-d7d773cbdb8e"]}],"mendeley":{"formattedCitation":"&lt;sup&gt;(32,33)&lt;/sup&gt;","plainTextFormattedCitation":"(32,33)","previouslyFormattedCitation":"&lt;sup&gt;(31,32)&lt;/sup&gt;"},"properties":{"noteIndex":0},"schema":"https://github.com/citation-style-language/schema/raw/master/csl-citation.json"}</w:instrText>
      </w:r>
      <w:r w:rsidRPr="00453626">
        <w:rPr>
          <w:rFonts w:ascii="Times New Roman" w:hAnsi="Times New Roman" w:cs="Times New Roman"/>
          <w:sz w:val="24"/>
        </w:rPr>
        <w:fldChar w:fldCharType="separate"/>
      </w:r>
      <w:r w:rsidR="0027432A" w:rsidRPr="00453626">
        <w:rPr>
          <w:rFonts w:ascii="Times New Roman" w:hAnsi="Times New Roman" w:cs="Times New Roman"/>
          <w:noProof/>
          <w:sz w:val="24"/>
          <w:vertAlign w:val="superscript"/>
        </w:rPr>
        <w:t>(32,33)</w:t>
      </w:r>
      <w:r w:rsidRPr="00453626">
        <w:rPr>
          <w:rFonts w:ascii="Times New Roman" w:hAnsi="Times New Roman" w:cs="Times New Roman"/>
          <w:sz w:val="24"/>
        </w:rPr>
        <w:fldChar w:fldCharType="end"/>
      </w:r>
      <w:r w:rsidRPr="00453626">
        <w:rPr>
          <w:rFonts w:ascii="Times New Roman" w:hAnsi="Times New Roman" w:cs="Times New Roman"/>
          <w:sz w:val="24"/>
        </w:rPr>
        <w:t xml:space="preserve"> the association between the nutritional quality of snack products and their prices ha</w:t>
      </w:r>
      <w:r w:rsidR="00C65502" w:rsidRPr="00453626">
        <w:rPr>
          <w:rFonts w:ascii="Times New Roman" w:hAnsi="Times New Roman" w:cs="Times New Roman"/>
          <w:sz w:val="24"/>
        </w:rPr>
        <w:t>d</w:t>
      </w:r>
      <w:r w:rsidRPr="00453626">
        <w:rPr>
          <w:rFonts w:ascii="Times New Roman" w:hAnsi="Times New Roman" w:cs="Times New Roman"/>
          <w:sz w:val="24"/>
        </w:rPr>
        <w:t xml:space="preserve"> not </w:t>
      </w:r>
      <w:r w:rsidR="002A6598" w:rsidRPr="00453626">
        <w:rPr>
          <w:rFonts w:ascii="Times New Roman" w:hAnsi="Times New Roman" w:cs="Times New Roman"/>
          <w:sz w:val="24"/>
        </w:rPr>
        <w:t xml:space="preserve">previously </w:t>
      </w:r>
      <w:r w:rsidRPr="00453626">
        <w:rPr>
          <w:rFonts w:ascii="Times New Roman" w:hAnsi="Times New Roman" w:cs="Times New Roman"/>
          <w:sz w:val="24"/>
        </w:rPr>
        <w:t>been investigated.</w:t>
      </w:r>
      <w:r w:rsidR="00927428" w:rsidRPr="00453626">
        <w:rPr>
          <w:rFonts w:ascii="Times New Roman" w:hAnsi="Times New Roman" w:cs="Times New Roman"/>
          <w:sz w:val="24"/>
        </w:rPr>
        <w:t xml:space="preserve"> The findings</w:t>
      </w:r>
      <w:r w:rsidR="00257B2D" w:rsidRPr="00453626">
        <w:rPr>
          <w:rFonts w:ascii="Times New Roman" w:hAnsi="Times New Roman" w:cs="Times New Roman"/>
          <w:sz w:val="24"/>
        </w:rPr>
        <w:t xml:space="preserve"> in the</w:t>
      </w:r>
      <w:r w:rsidR="00927428" w:rsidRPr="00453626">
        <w:rPr>
          <w:rFonts w:ascii="Times New Roman" w:hAnsi="Times New Roman" w:cs="Times New Roman"/>
          <w:sz w:val="24"/>
        </w:rPr>
        <w:t xml:space="preserve"> present study contrast a US study</w:t>
      </w:r>
      <w:r w:rsidR="00846800" w:rsidRPr="00453626">
        <w:rPr>
          <w:rFonts w:ascii="Times New Roman" w:hAnsi="Times New Roman" w:cs="Times New Roman"/>
          <w:sz w:val="24"/>
        </w:rPr>
        <w:t>,</w:t>
      </w:r>
      <w:r w:rsidR="00927428" w:rsidRPr="00453626">
        <w:rPr>
          <w:rFonts w:ascii="Times New Roman" w:hAnsi="Times New Roman" w:cs="Times New Roman"/>
          <w:sz w:val="24"/>
        </w:rPr>
        <w:t xml:space="preserve"> </w:t>
      </w:r>
      <w:r w:rsidR="002A6598" w:rsidRPr="00453626">
        <w:rPr>
          <w:rFonts w:ascii="Times New Roman" w:hAnsi="Times New Roman" w:cs="Times New Roman"/>
          <w:sz w:val="24"/>
        </w:rPr>
        <w:t>in which</w:t>
      </w:r>
      <w:r w:rsidR="00927428" w:rsidRPr="00453626">
        <w:rPr>
          <w:rFonts w:ascii="Times New Roman" w:hAnsi="Times New Roman" w:cs="Times New Roman"/>
          <w:sz w:val="24"/>
        </w:rPr>
        <w:t xml:space="preserve"> </w:t>
      </w:r>
      <w:r w:rsidR="00927428" w:rsidRPr="00453626">
        <w:rPr>
          <w:rFonts w:ascii="Times New Roman" w:hAnsi="Times New Roman" w:cs="Times New Roman"/>
          <w:bCs/>
          <w:sz w:val="24"/>
        </w:rPr>
        <w:t>only</w:t>
      </w:r>
      <w:r w:rsidR="00DC69DF" w:rsidRPr="00453626">
        <w:rPr>
          <w:rFonts w:ascii="Times New Roman" w:hAnsi="Times New Roman" w:cs="Times New Roman"/>
          <w:bCs/>
          <w:sz w:val="24"/>
        </w:rPr>
        <w:t xml:space="preserve"> 15% </w:t>
      </w:r>
      <w:r w:rsidR="00927428" w:rsidRPr="00453626">
        <w:rPr>
          <w:rFonts w:ascii="Times New Roman" w:hAnsi="Times New Roman" w:cs="Times New Roman"/>
          <w:bCs/>
          <w:sz w:val="24"/>
        </w:rPr>
        <w:t xml:space="preserve">of a limited range of sampled snack food products </w:t>
      </w:r>
      <w:r w:rsidR="00DC69DF" w:rsidRPr="00453626">
        <w:rPr>
          <w:rFonts w:ascii="Times New Roman" w:hAnsi="Times New Roman" w:cs="Times New Roman"/>
          <w:bCs/>
          <w:sz w:val="24"/>
        </w:rPr>
        <w:t xml:space="preserve">were classified as </w:t>
      </w:r>
      <w:r w:rsidR="00927428" w:rsidRPr="00453626">
        <w:rPr>
          <w:rFonts w:ascii="Times New Roman" w:hAnsi="Times New Roman" w:cs="Times New Roman"/>
          <w:bCs/>
          <w:sz w:val="24"/>
        </w:rPr>
        <w:t>‘</w:t>
      </w:r>
      <w:r w:rsidR="00DC69DF" w:rsidRPr="00453626">
        <w:rPr>
          <w:rFonts w:ascii="Times New Roman" w:hAnsi="Times New Roman" w:cs="Times New Roman"/>
          <w:bCs/>
          <w:sz w:val="24"/>
        </w:rPr>
        <w:t>high</w:t>
      </w:r>
      <w:r w:rsidR="00927428" w:rsidRPr="00453626">
        <w:rPr>
          <w:rFonts w:ascii="Times New Roman" w:hAnsi="Times New Roman" w:cs="Times New Roman"/>
          <w:bCs/>
          <w:sz w:val="24"/>
        </w:rPr>
        <w:t>’</w:t>
      </w:r>
      <w:r w:rsidR="00DC69DF" w:rsidRPr="00453626">
        <w:rPr>
          <w:rFonts w:ascii="Times New Roman" w:hAnsi="Times New Roman" w:cs="Times New Roman"/>
          <w:bCs/>
          <w:sz w:val="24"/>
        </w:rPr>
        <w:t xml:space="preserve"> in </w:t>
      </w:r>
      <w:r w:rsidR="00126CD5" w:rsidRPr="00453626">
        <w:rPr>
          <w:rFonts w:ascii="Times New Roman" w:hAnsi="Times New Roman" w:cs="Times New Roman"/>
          <w:bCs/>
          <w:sz w:val="24"/>
        </w:rPr>
        <w:t xml:space="preserve">harmful </w:t>
      </w:r>
      <w:r w:rsidR="00DC69DF" w:rsidRPr="00453626">
        <w:rPr>
          <w:rFonts w:ascii="Times New Roman" w:hAnsi="Times New Roman" w:cs="Times New Roman"/>
          <w:bCs/>
          <w:sz w:val="24"/>
        </w:rPr>
        <w:t xml:space="preserve">nutrients </w:t>
      </w:r>
      <w:r w:rsidR="00FF2181" w:rsidRPr="00453626">
        <w:rPr>
          <w:rFonts w:ascii="Times New Roman" w:hAnsi="Times New Roman" w:cs="Times New Roman"/>
          <w:bCs/>
          <w:sz w:val="24"/>
        </w:rPr>
        <w:t>(including sodium, sugars and fat)</w:t>
      </w:r>
      <w:r w:rsidR="00BF2CDF" w:rsidRPr="00453626">
        <w:rPr>
          <w:rFonts w:ascii="Times New Roman" w:hAnsi="Times New Roman" w:cs="Times New Roman"/>
          <w:bCs/>
          <w:sz w:val="24"/>
        </w:rPr>
        <w:t>.</w:t>
      </w:r>
      <w:r w:rsidR="00DC69DF" w:rsidRPr="00453626">
        <w:rPr>
          <w:rFonts w:ascii="Times New Roman" w:hAnsi="Times New Roman" w:cs="Times New Roman"/>
          <w:bCs/>
          <w:sz w:val="24"/>
        </w:rPr>
        <w:fldChar w:fldCharType="begin" w:fldLock="1"/>
      </w:r>
      <w:r w:rsidR="0027432A" w:rsidRPr="00453626">
        <w:rPr>
          <w:rFonts w:ascii="Times New Roman" w:hAnsi="Times New Roman" w:cs="Times New Roman"/>
          <w:bCs/>
          <w:sz w:val="24"/>
        </w:rPr>
        <w:instrText>ADDIN CSL_CITATION {"citationItems":[{"id":"ITEM-1","itemData":{"DOI":"10.1016/j.jnim.2017.07.001","ISSN":"23523859","abstract":"Snacking (eating between meals) is a common behaviour, which is often blamed for poor diets because snack foods can be high in sodium, fat and sugar. In addition, uncompensated calories from snacking could contribute to overweight and obesity. However, the evidence is inconclusive, and to some extent this could be explained by the lack of a universal definition as to what counts as a snack. The present study looks at snack foods as defined by USDA in the LanguaL Thesaurus, and evaluated their nutritional quality using the Nutrient Balance Concept. It also explored whether these USDA-defined snacks could be incorporated into a healthy menu plan (US MyPlate). The results of this study showed that only about a sixth are high in nutrients considered as potentially harmful for human health when consumed in high amounts. By contrast almost three-quarters of these snack foods are poor in nutrients that are considered essential (or very important) for human health. However, overall diet quality, assessed using the Nutrient Balance Concept, was compromised only by those snack foods that are especially high in sodium and/or saturated fatty acids.","author":[{"dropping-particle":"","family":"Green","given":"Hilary","non-dropping-particle":"","parse-names":false,"suffix":""},{"dropping-particle":"","family":"Siwajek","given":"Patricia","non-dropping-particle":"","parse-names":false,"suffix":""},{"dropping-particle":"","family":"Roulin","given":"Anne","non-dropping-particle":"","parse-names":false,"suffix":""}],"container-title":"Journal of Nutrition and Intermediary Metabolism","id":"ITEM-1","issued":{"date-parts":[["2017"]]},"page":"1-5","publisher":"Elsevier Inc","title":"Use of nutrient profiling to identify healthy versus unhealthy snack foods and whether they can be part of a healthy menu plan","type":"article-journal","volume":"9"},"uris":["http://www.mendeley.com/documents/?uuid=3e6cffa8-a961-4aa7-b373-9c7d0a3ff894"]}],"mendeley":{"formattedCitation":"&lt;sup&gt;(31)&lt;/sup&gt;","plainTextFormattedCitation":"(31)","previouslyFormattedCitation":"&lt;sup&gt;(30)&lt;/sup&gt;"},"properties":{"noteIndex":0},"schema":"https://github.com/citation-style-language/schema/raw/master/csl-citation.json"}</w:instrText>
      </w:r>
      <w:r w:rsidR="00DC69DF" w:rsidRPr="00453626">
        <w:rPr>
          <w:rFonts w:ascii="Times New Roman" w:hAnsi="Times New Roman" w:cs="Times New Roman"/>
          <w:bCs/>
          <w:sz w:val="24"/>
        </w:rPr>
        <w:fldChar w:fldCharType="separate"/>
      </w:r>
      <w:r w:rsidR="0027432A" w:rsidRPr="00453626">
        <w:rPr>
          <w:rFonts w:ascii="Times New Roman" w:hAnsi="Times New Roman" w:cs="Times New Roman"/>
          <w:bCs/>
          <w:noProof/>
          <w:sz w:val="24"/>
          <w:vertAlign w:val="superscript"/>
        </w:rPr>
        <w:t>(31)</w:t>
      </w:r>
      <w:r w:rsidR="00DC69DF" w:rsidRPr="00453626">
        <w:rPr>
          <w:rFonts w:ascii="Times New Roman" w:hAnsi="Times New Roman" w:cs="Times New Roman"/>
          <w:bCs/>
          <w:sz w:val="24"/>
        </w:rPr>
        <w:fldChar w:fldCharType="end"/>
      </w:r>
      <w:r w:rsidR="00F04601" w:rsidRPr="00453626">
        <w:rPr>
          <w:rFonts w:ascii="Times New Roman" w:hAnsi="Times New Roman" w:cs="Times New Roman"/>
          <w:bCs/>
          <w:sz w:val="24"/>
        </w:rPr>
        <w:t xml:space="preserve"> </w:t>
      </w:r>
      <w:r w:rsidR="002A6598" w:rsidRPr="00453626">
        <w:rPr>
          <w:rFonts w:ascii="Times New Roman" w:hAnsi="Times New Roman" w:cs="Times New Roman"/>
          <w:bCs/>
          <w:sz w:val="24"/>
        </w:rPr>
        <w:t>Notably, th</w:t>
      </w:r>
      <w:r w:rsidR="00E36D60" w:rsidRPr="00453626">
        <w:rPr>
          <w:rFonts w:ascii="Times New Roman" w:hAnsi="Times New Roman" w:cs="Times New Roman"/>
          <w:bCs/>
          <w:sz w:val="24"/>
        </w:rPr>
        <w:t>e</w:t>
      </w:r>
      <w:r w:rsidR="00927428" w:rsidRPr="00453626">
        <w:rPr>
          <w:rFonts w:ascii="Times New Roman" w:hAnsi="Times New Roman" w:cs="Times New Roman"/>
          <w:bCs/>
          <w:sz w:val="24"/>
        </w:rPr>
        <w:t xml:space="preserve"> study was funded and conducted by the US food industry</w:t>
      </w:r>
      <w:r w:rsidR="00985409" w:rsidRPr="00453626">
        <w:rPr>
          <w:rFonts w:ascii="Times New Roman" w:hAnsi="Times New Roman" w:cs="Times New Roman"/>
          <w:bCs/>
          <w:sz w:val="24"/>
        </w:rPr>
        <w:t xml:space="preserve">. </w:t>
      </w:r>
      <w:r w:rsidR="00486DE0" w:rsidRPr="00453626">
        <w:rPr>
          <w:rFonts w:ascii="Times New Roman" w:hAnsi="Times New Roman" w:cs="Times New Roman"/>
          <w:bCs/>
          <w:sz w:val="24"/>
        </w:rPr>
        <w:t xml:space="preserve">The present study adds to a growing body of research which shows that food sold outside in the home (e.g. restaurants, cafes, coffee shops) in the UK is often high in energy and a large proportion of </w:t>
      </w:r>
      <w:r w:rsidR="00C65502" w:rsidRPr="00453626">
        <w:rPr>
          <w:rFonts w:ascii="Times New Roman" w:hAnsi="Times New Roman" w:cs="Times New Roman"/>
          <w:bCs/>
          <w:sz w:val="24"/>
        </w:rPr>
        <w:t>foods</w:t>
      </w:r>
      <w:r w:rsidR="00486DE0" w:rsidRPr="00453626">
        <w:rPr>
          <w:rFonts w:ascii="Times New Roman" w:hAnsi="Times New Roman" w:cs="Times New Roman"/>
          <w:bCs/>
          <w:sz w:val="24"/>
        </w:rPr>
        <w:t xml:space="preserve"> being sold exceed public health guidelines</w:t>
      </w:r>
      <w:r w:rsidR="00BF2CDF" w:rsidRPr="00453626">
        <w:rPr>
          <w:rFonts w:ascii="Times New Roman" w:hAnsi="Times New Roman" w:cs="Times New Roman"/>
          <w:bCs/>
          <w:sz w:val="24"/>
        </w:rPr>
        <w:t>.</w:t>
      </w:r>
      <w:r w:rsidR="00A9090A" w:rsidRPr="00453626">
        <w:rPr>
          <w:rFonts w:ascii="Times New Roman" w:hAnsi="Times New Roman" w:cs="Times New Roman"/>
          <w:bCs/>
          <w:sz w:val="24"/>
        </w:rPr>
        <w:fldChar w:fldCharType="begin" w:fldLock="1"/>
      </w:r>
      <w:r w:rsidR="0027432A" w:rsidRPr="00453626">
        <w:rPr>
          <w:rFonts w:ascii="Times New Roman" w:hAnsi="Times New Roman" w:cs="Times New Roman"/>
          <w:bCs/>
          <w:sz w:val="24"/>
        </w:rPr>
        <w:instrText>ADDIN CSL_CITATION {"citationItems":[{"id":"ITEM-1","itemData":{"DOI":"10.1136/BMJ.K4982","ISSN":"0959-8138","PMID":"30541906","abstract":"Objectives To examine the energy content of main meals served in major UK restaurant chains and compare the energy content of meals in fast food and “full service” restaurant chains. Design Observational study. Setting Menu and nutritional information provided by major UK restaurant chains. Main outcome measures Mean energy content of meals, proportion of meals meeting public health recommendations for energy consumption (≤600 kcal), and proportion of meals with excessive energy content (≥1000 kcal). Results Main meals from 27 restaurant chains (21 full service; 6 fast food) were sampled. The mean energy content of all eligible restaurant meals (13 396 in total) was 977 (95% confidence interval 973 to 983) kcal. The percentage of all meals that met public health recommendations for energy content was low (9%; n=1226) and smaller than the percentage of meals with an excessive energy content (47%; 6251). Compared with fast food restaurants, full service restaurants offered significantly more excessively calorific main meals, fewer main meals meeting public health recommendations, and on average 268 (103 to 433) kcal more in main meals. Conclusions The energy content of a large number of main meals in major UK restaurant chains is excessive, and only a minority meet public health recommendations. Although the poor nutritional quality of fast food meals has been well documented, the energy content of full service restaurant meals in the UK tends to be higher and is a cause for concern. Registration Study protocol and analysis strategy pre-registered on Open Science Framework (&lt;https://osf.io/w5h8q/&gt;).","author":[{"dropping-particle":"","family":"Robinson","given":"Eric","non-dropping-particle":"","parse-names":false,"suffix":""},{"dropping-particle":"","family":"Jones","given":"Andrew","non-dropping-particle":"","parse-names":false,"suffix":""},{"dropping-particle":"","family":"Whitelock","given":"Victoria","non-dropping-particle":"","parse-names":false,"suffix":""},{"dropping-particle":"","family":"Mead","given":"Bethan R","non-dropping-particle":"","parse-names":false,"suffix":""},{"dropping-particle":"","family":"Haynes","given":"Ashleigh","non-dropping-particle":"","parse-names":false,"suffix":""}],"container-title":"BMJ","id":"ITEM-1","issued":{"date-parts":[["2018"]]},"page":"1-8","title":"(Over)eating out at major UK restaurant chains: observational study of energy content of main meals","type":"article-journal","volume":"363"},"uris":["http://www.mendeley.com/documents/?uuid=f049134c-3fa2-4542-9a93-f4683d7dc41e"]},{"id":"ITEM-2","itemData":{"DOI":"10.1136/bmjopen-2019-029679","ISSN":"20446055","abstract":"Objectives Our objective was to examine the kilocalorie (kcal) content of starters, sides and desserts served in major UK restaurant chains, comparing the kcal content of these dishes in fast-food and full-service restaurants. Design Observational study. Setting Menu and nutritional information provided online by major UK restaurant chains. Method During October to November 2018, we accessed websites of restaurant chains with 50 or more outlets in the UK. Menu items that constituted starters, sides or desserts were identified and their kcal content was extracted. Accompanying beverages were not included. We used multilevel modelling to examine whether mean kcal content of dishes differed in fast-food versus full-service restaurants. Main outcome measures The mean kcal content of dishes and the proportion of dishes exceeding public health recommendations for energy content in a main meal (&gt;600 kcal). Results A total of 1009 dishes (212 starters, 318 sides and 479 desserts) from 27 restaurant chains (21 full-service, 6 fast-food) were included. The mean kcal content of eligible dishes was 488.0 (SE=15.6) for starters, 397.5 (SE=14.9) for sides and 430.6 (SE=11.5) for desserts. The percentage of dishes exceeding 600 kcal was 26.4% for starters, 21.7% for sides and 20.5% for desserts. Compared with fast-food chains, desserts offered at full-service restaurants were on average more calorific and were significantly more likely to exceed 600 kcal. Conclusions The average energy content of sides, starters and desserts sold in major UK restaurants is high. One in four starters and one in five sides and desserts in UK chain restaurants exceed the recommended energy intake for an entire meal.","author":[{"dropping-particle":"","family":"Muc","given":"Magdalena","non-dropping-particle":"","parse-names":false,"suffix":""},{"dropping-particle":"","family":"Jones","given":"Andrew","non-dropping-particle":"","parse-names":false,"suffix":""},{"dropping-particle":"","family":"Roberts","given":"Carl","non-dropping-particle":"","parse-names":false,"suffix":""},{"dropping-particle":"","family":"Sheen","given":"Florence","non-dropping-particle":"","parse-names":false,"suffix":""},{"dropping-particle":"","family":"Haynes","given":"Ashleigh","non-dropping-particle":"","parse-names":false,"suffix":""},{"dropping-particle":"","family":"Robinson","given":"Eric","non-dropping-particle":"","parse-names":false,"suffix":""}],"container-title":"BMJ Open","id":"ITEM-2","issue":"10","issued":{"date-parts":[["2019"]]},"page":"1-7","title":"A bit or a lot on the side? Observational study of the energy content of starters, sides and desserts in major UK restaurant chains","type":"article-journal","volume":"9"},"uris":["http://www.mendeley.com/documents/?uuid=8e030222-d1db-41a0-b10d-62e6ba837ee6"]},{"id":"ITEM-3","itemData":{"DOI":"10.1371/journal.pone.0226704","ISBN":"1111111111","ISSN":"19326203","abstract":"The number of restaurants stated to have menu labelling in store is incorrect throughout the article. The correct number of restaurants that have menu labelling in store is 14 (33%). In light of this error, the following updates should be noted: • In the Methods and findings subsection of the Abstract, there is an error in the fifth sentence. The correct sentence is: Of these, 14 (33%) voluntarily provided menu labelling. • In the Results, there is an error in the second sentence of the second paragraph. The correct sentence is: Of the 42 included restaurants with online nutritional information, 14 (33%) voluntarily provided menu labelling. • In the Results, there are errors in the third sentence of the second paragraph. The correct sentence is: Twelve of the 14 restaurants that provided voluntary menu labelling were in the top 50 by sales in 2013; 38 of the 55 functioning restaurants with functioning websites that voluntarily provided neither menu labelling or online nutritional information were in the bottom 50 by sales in 2013. • In the Discussion, there is an error in the second sentence of the second paragraph. The correct sentence is: Of 100 restaurant chains considered, 42 provided energy and nutritional information online, of which 14 provided any of this information on the restaurant menu. • In the Interpretation of findings subsection of the Discussion, there is an error in the fifth sentence of the third paragraph. The correct sentence is: It is notable that 12 of the 14 restaurants that provided voluntary menu labelling were in the top 50 by sales. There is an error in Table 2. ‘Domino’s Pizza’ (ranked 6) should be colored orange instead of green. (Table Presented).","author":[{"dropping-particle":"","family":"Theis","given":"Dolly R.Z.","non-dropping-particle":"","parse-names":false,"suffix":""},{"dropping-particle":"","family":"Adams","given":"Jean","non-dropping-particle":"","parse-names":false,"suffix":""}],"container-title":"PLoS ONE","id":"ITEM-3","issue":"12","issued":{"date-parts":[["2019"]]},"page":"1-15","title":"Differences in energy and nutritional content of menu items served by popular UK chain restaurants with versus without voluntary menu labelling: A cross-sectional study","type":"article-journal","volume":"14"},"uris":["http://www.mendeley.com/documents/?uuid=56a0ca44-676a-4df6-97b2-65d1256afabd","http://www.mendeley.com/documents/?uuid=8489e752-0d4b-4f88-94ef-7d8780e27b0b"]}],"mendeley":{"formattedCitation":"&lt;sup&gt;(34–36)&lt;/sup&gt;","plainTextFormattedCitation":"(34–36)","previouslyFormattedCitation":"&lt;sup&gt;(33–35)&lt;/sup&gt;"},"properties":{"noteIndex":0},"schema":"https://github.com/citation-style-language/schema/raw/master/csl-citation.json"}</w:instrText>
      </w:r>
      <w:r w:rsidR="00A9090A" w:rsidRPr="00453626">
        <w:rPr>
          <w:rFonts w:ascii="Times New Roman" w:hAnsi="Times New Roman" w:cs="Times New Roman"/>
          <w:bCs/>
          <w:sz w:val="24"/>
        </w:rPr>
        <w:fldChar w:fldCharType="separate"/>
      </w:r>
      <w:r w:rsidR="0027432A" w:rsidRPr="00453626">
        <w:rPr>
          <w:rFonts w:ascii="Times New Roman" w:hAnsi="Times New Roman" w:cs="Times New Roman"/>
          <w:bCs/>
          <w:noProof/>
          <w:sz w:val="24"/>
          <w:vertAlign w:val="superscript"/>
        </w:rPr>
        <w:t>(34–36)</w:t>
      </w:r>
      <w:r w:rsidR="00A9090A" w:rsidRPr="00453626">
        <w:rPr>
          <w:rFonts w:ascii="Times New Roman" w:hAnsi="Times New Roman" w:cs="Times New Roman"/>
          <w:bCs/>
          <w:sz w:val="24"/>
        </w:rPr>
        <w:fldChar w:fldCharType="end"/>
      </w:r>
    </w:p>
    <w:p w14:paraId="117881EE" w14:textId="71871360" w:rsidR="00A11E62" w:rsidRPr="00453626" w:rsidRDefault="002C04C0" w:rsidP="00396F23">
      <w:pPr>
        <w:spacing w:line="360" w:lineRule="auto"/>
        <w:rPr>
          <w:rFonts w:ascii="Times New Roman" w:hAnsi="Times New Roman" w:cs="Times New Roman"/>
          <w:bCs/>
          <w:sz w:val="24"/>
        </w:rPr>
      </w:pPr>
      <w:r w:rsidRPr="00453626">
        <w:rPr>
          <w:rFonts w:ascii="Times New Roman" w:hAnsi="Times New Roman" w:cs="Times New Roman"/>
          <w:bCs/>
          <w:sz w:val="24"/>
        </w:rPr>
        <w:t xml:space="preserve">The lower energy content and better nutritional quality of the snack products sold at supermarkets compared to coffee shops </w:t>
      </w:r>
      <w:r w:rsidR="0008591C" w:rsidRPr="00453626">
        <w:rPr>
          <w:rFonts w:ascii="Times New Roman" w:hAnsi="Times New Roman" w:cs="Times New Roman"/>
          <w:bCs/>
          <w:sz w:val="24"/>
        </w:rPr>
        <w:t>may</w:t>
      </w:r>
      <w:r w:rsidRPr="00453626">
        <w:rPr>
          <w:rFonts w:ascii="Times New Roman" w:hAnsi="Times New Roman" w:cs="Times New Roman"/>
          <w:bCs/>
          <w:sz w:val="24"/>
        </w:rPr>
        <w:t xml:space="preserve"> be explained </w:t>
      </w:r>
      <w:r w:rsidR="00846800" w:rsidRPr="00453626">
        <w:rPr>
          <w:rFonts w:ascii="Times New Roman" w:hAnsi="Times New Roman" w:cs="Times New Roman"/>
          <w:bCs/>
          <w:sz w:val="24"/>
        </w:rPr>
        <w:t xml:space="preserve">in part </w:t>
      </w:r>
      <w:r w:rsidRPr="00453626">
        <w:rPr>
          <w:rFonts w:ascii="Times New Roman" w:hAnsi="Times New Roman" w:cs="Times New Roman"/>
          <w:bCs/>
          <w:sz w:val="24"/>
        </w:rPr>
        <w:t xml:space="preserve">by differences </w:t>
      </w:r>
      <w:r w:rsidR="00846800" w:rsidRPr="00453626">
        <w:rPr>
          <w:rFonts w:ascii="Times New Roman" w:hAnsi="Times New Roman" w:cs="Times New Roman"/>
          <w:bCs/>
          <w:sz w:val="24"/>
        </w:rPr>
        <w:t>between</w:t>
      </w:r>
      <w:r w:rsidR="008A5181" w:rsidRPr="00453626">
        <w:rPr>
          <w:rFonts w:ascii="Times New Roman" w:hAnsi="Times New Roman" w:cs="Times New Roman"/>
          <w:bCs/>
          <w:sz w:val="24"/>
        </w:rPr>
        <w:t xml:space="preserve"> the types of snack products</w:t>
      </w:r>
      <w:r w:rsidRPr="00453626">
        <w:rPr>
          <w:rFonts w:ascii="Times New Roman" w:hAnsi="Times New Roman" w:cs="Times New Roman"/>
          <w:bCs/>
          <w:sz w:val="24"/>
        </w:rPr>
        <w:t xml:space="preserve"> sold by these two types of business. </w:t>
      </w:r>
      <w:r w:rsidR="008A5181" w:rsidRPr="00453626">
        <w:rPr>
          <w:rFonts w:ascii="Times New Roman" w:hAnsi="Times New Roman" w:cs="Times New Roman"/>
          <w:bCs/>
          <w:sz w:val="24"/>
        </w:rPr>
        <w:t xml:space="preserve">For example, 51% of </w:t>
      </w:r>
      <w:r w:rsidRPr="00453626">
        <w:rPr>
          <w:rFonts w:ascii="Times New Roman" w:hAnsi="Times New Roman" w:cs="Times New Roman"/>
          <w:bCs/>
          <w:sz w:val="24"/>
        </w:rPr>
        <w:t>coffee shop</w:t>
      </w:r>
      <w:r w:rsidR="008A5181" w:rsidRPr="00453626">
        <w:rPr>
          <w:rFonts w:ascii="Times New Roman" w:hAnsi="Times New Roman" w:cs="Times New Roman"/>
          <w:bCs/>
          <w:sz w:val="24"/>
        </w:rPr>
        <w:t xml:space="preserve"> snacks were baked goods and this number was only </w:t>
      </w:r>
      <w:r w:rsidR="003E4CEB" w:rsidRPr="00453626">
        <w:rPr>
          <w:rFonts w:ascii="Times New Roman" w:hAnsi="Times New Roman" w:cs="Times New Roman"/>
          <w:bCs/>
          <w:sz w:val="24"/>
        </w:rPr>
        <w:t>5</w:t>
      </w:r>
      <w:r w:rsidR="008A5181" w:rsidRPr="00453626">
        <w:rPr>
          <w:rFonts w:ascii="Times New Roman" w:hAnsi="Times New Roman" w:cs="Times New Roman"/>
          <w:bCs/>
          <w:sz w:val="24"/>
        </w:rPr>
        <w:t>% in supermarkets.</w:t>
      </w:r>
      <w:r w:rsidR="003E4CEB" w:rsidRPr="00453626">
        <w:rPr>
          <w:rFonts w:ascii="Times New Roman" w:hAnsi="Times New Roman" w:cs="Times New Roman"/>
          <w:bCs/>
          <w:sz w:val="24"/>
        </w:rPr>
        <w:t xml:space="preserve"> </w:t>
      </w:r>
      <w:r w:rsidR="008A5181" w:rsidRPr="00453626">
        <w:rPr>
          <w:rFonts w:ascii="Times New Roman" w:hAnsi="Times New Roman" w:cs="Times New Roman"/>
          <w:bCs/>
          <w:sz w:val="24"/>
        </w:rPr>
        <w:t>However, even among the same categories of snack type, coffee shop products were often higher in energy (see online supplementary materials</w:t>
      </w:r>
      <w:r w:rsidR="001350DC" w:rsidRPr="00453626">
        <w:rPr>
          <w:rFonts w:ascii="Times New Roman" w:hAnsi="Times New Roman" w:cs="Times New Roman"/>
          <w:bCs/>
          <w:sz w:val="24"/>
        </w:rPr>
        <w:t xml:space="preserve">, </w:t>
      </w:r>
      <w:r w:rsidR="001350DC" w:rsidRPr="00453626">
        <w:rPr>
          <w:rFonts w:ascii="Times New Roman" w:hAnsi="Times New Roman" w:cs="Times New Roman"/>
          <w:b/>
          <w:bCs/>
          <w:sz w:val="24"/>
        </w:rPr>
        <w:t>Table S</w:t>
      </w:r>
      <w:r w:rsidR="00B86692" w:rsidRPr="00453626">
        <w:rPr>
          <w:rFonts w:ascii="Times New Roman" w:hAnsi="Times New Roman" w:cs="Times New Roman"/>
          <w:b/>
          <w:bCs/>
          <w:sz w:val="24"/>
        </w:rPr>
        <w:t>5</w:t>
      </w:r>
      <w:r w:rsidR="008A5181" w:rsidRPr="00453626">
        <w:rPr>
          <w:rFonts w:ascii="Times New Roman" w:hAnsi="Times New Roman" w:cs="Times New Roman"/>
          <w:bCs/>
          <w:sz w:val="24"/>
        </w:rPr>
        <w:t xml:space="preserve">) and therefore it may be of interest to understand how product ingredients and/or portion size explain differences observed in the present study. </w:t>
      </w:r>
      <w:r w:rsidR="00C65502" w:rsidRPr="00453626">
        <w:rPr>
          <w:rFonts w:ascii="Times New Roman" w:hAnsi="Times New Roman" w:cs="Times New Roman"/>
          <w:bCs/>
          <w:sz w:val="24"/>
        </w:rPr>
        <w:t>Finally, t</w:t>
      </w:r>
      <w:r w:rsidR="002E4499" w:rsidRPr="00453626">
        <w:rPr>
          <w:rFonts w:ascii="Times New Roman" w:hAnsi="Times New Roman" w:cs="Times New Roman"/>
          <w:bCs/>
          <w:sz w:val="24"/>
        </w:rPr>
        <w:t xml:space="preserve">he present study may be useful in tracking changes in the nutritional quality and price of snack products sold in the UK and examining whether </w:t>
      </w:r>
      <w:r w:rsidR="006F2E9B" w:rsidRPr="00453626">
        <w:rPr>
          <w:rFonts w:ascii="Times New Roman" w:hAnsi="Times New Roman" w:cs="Times New Roman"/>
          <w:bCs/>
          <w:sz w:val="24"/>
        </w:rPr>
        <w:t xml:space="preserve">future </w:t>
      </w:r>
      <w:r w:rsidR="002E4499" w:rsidRPr="00453626">
        <w:rPr>
          <w:rFonts w:ascii="Times New Roman" w:hAnsi="Times New Roman" w:cs="Times New Roman"/>
          <w:bCs/>
          <w:sz w:val="24"/>
        </w:rPr>
        <w:t xml:space="preserve">public health actions result in changes to the nutritional quality of </w:t>
      </w:r>
      <w:r w:rsidR="00846800" w:rsidRPr="00453626">
        <w:rPr>
          <w:rFonts w:ascii="Times New Roman" w:hAnsi="Times New Roman" w:cs="Times New Roman"/>
          <w:bCs/>
          <w:sz w:val="24"/>
        </w:rPr>
        <w:t xml:space="preserve">snack </w:t>
      </w:r>
      <w:r w:rsidR="002E4499" w:rsidRPr="00453626">
        <w:rPr>
          <w:rFonts w:ascii="Times New Roman" w:hAnsi="Times New Roman" w:cs="Times New Roman"/>
          <w:bCs/>
          <w:sz w:val="24"/>
        </w:rPr>
        <w:t>products.</w:t>
      </w:r>
    </w:p>
    <w:p w14:paraId="301CE2E5" w14:textId="5AE94501" w:rsidR="00BF2CDF" w:rsidRPr="00453626" w:rsidRDefault="00CB5127" w:rsidP="00396F23">
      <w:pPr>
        <w:pStyle w:val="Subtitle"/>
        <w:spacing w:line="360" w:lineRule="auto"/>
        <w:rPr>
          <w:rStyle w:val="Emphasis"/>
          <w:rFonts w:ascii="Times New Roman" w:hAnsi="Times New Roman" w:cs="Times New Roman"/>
          <w:i w:val="0"/>
          <w:color w:val="auto"/>
          <w:sz w:val="24"/>
        </w:rPr>
      </w:pPr>
      <w:r w:rsidRPr="00453626">
        <w:rPr>
          <w:rStyle w:val="Emphasis"/>
          <w:rFonts w:ascii="Times New Roman" w:hAnsi="Times New Roman" w:cs="Times New Roman"/>
          <w:i w:val="0"/>
          <w:color w:val="auto"/>
          <w:sz w:val="24"/>
        </w:rPr>
        <w:t>L</w:t>
      </w:r>
      <w:r w:rsidR="00BF2CDF" w:rsidRPr="00453626">
        <w:rPr>
          <w:rStyle w:val="Emphasis"/>
          <w:rFonts w:ascii="Times New Roman" w:hAnsi="Times New Roman" w:cs="Times New Roman"/>
          <w:i w:val="0"/>
          <w:color w:val="auto"/>
          <w:sz w:val="24"/>
        </w:rPr>
        <w:t>imitations</w:t>
      </w:r>
    </w:p>
    <w:p w14:paraId="5F393C43" w14:textId="71C465F5" w:rsidR="00BF2CDF" w:rsidRPr="00453626" w:rsidRDefault="006D1F12" w:rsidP="00396F23">
      <w:pPr>
        <w:spacing w:line="360" w:lineRule="auto"/>
        <w:rPr>
          <w:rFonts w:ascii="Times New Roman" w:hAnsi="Times New Roman" w:cs="Times New Roman"/>
          <w:bCs/>
          <w:sz w:val="24"/>
        </w:rPr>
      </w:pPr>
      <w:r w:rsidRPr="00453626">
        <w:rPr>
          <w:rFonts w:ascii="Times New Roman" w:hAnsi="Times New Roman" w:cs="Times New Roman"/>
          <w:bCs/>
          <w:sz w:val="24"/>
        </w:rPr>
        <w:t>O</w:t>
      </w:r>
      <w:r w:rsidR="00BF2CDF" w:rsidRPr="00453626">
        <w:rPr>
          <w:rFonts w:ascii="Times New Roman" w:hAnsi="Times New Roman" w:cs="Times New Roman"/>
          <w:bCs/>
          <w:sz w:val="24"/>
        </w:rPr>
        <w:t xml:space="preserve">ur analyses were limited to supermarket and coffee shop chains that provided nutritional information online and it may be the case that chains not providing information sell snack products </w:t>
      </w:r>
      <w:r w:rsidR="00BF2CDF" w:rsidRPr="00453626">
        <w:rPr>
          <w:rFonts w:ascii="Times New Roman" w:hAnsi="Times New Roman" w:cs="Times New Roman"/>
          <w:bCs/>
          <w:sz w:val="24"/>
        </w:rPr>
        <w:lastRenderedPageBreak/>
        <w:t>of lower nutritional quality.</w:t>
      </w:r>
      <w:r w:rsidR="00A478DE" w:rsidRPr="00453626">
        <w:rPr>
          <w:rFonts w:ascii="Times New Roman" w:hAnsi="Times New Roman" w:cs="Times New Roman"/>
          <w:bCs/>
          <w:sz w:val="24"/>
        </w:rPr>
        <w:t xml:space="preserve"> In the UK, supermarkets vary in size (e.g. large megastores vs. smaller convenience stores) and it is plausible that the types of snack food stocked by each store differ. Our sampling methodology does not account for this. However, we did make in-store visits and found that the energy content of snack products sold in-store was comparable to the snack products sampled online. O</w:t>
      </w:r>
      <w:r w:rsidR="00BF2CDF" w:rsidRPr="00453626">
        <w:rPr>
          <w:rFonts w:ascii="Times New Roman" w:hAnsi="Times New Roman" w:cs="Times New Roman"/>
          <w:bCs/>
          <w:sz w:val="24"/>
        </w:rPr>
        <w:t xml:space="preserve">ur results relied on </w:t>
      </w:r>
      <w:bookmarkStart w:id="14" w:name="_Hlk60908546"/>
      <w:r w:rsidR="00BF2CDF" w:rsidRPr="00453626">
        <w:rPr>
          <w:rFonts w:ascii="Times New Roman" w:hAnsi="Times New Roman" w:cs="Times New Roman"/>
          <w:bCs/>
          <w:sz w:val="24"/>
        </w:rPr>
        <w:t>self-reported nutrition information by chains</w:t>
      </w:r>
      <w:bookmarkEnd w:id="14"/>
      <w:r w:rsidR="00BF2CDF" w:rsidRPr="00453626">
        <w:rPr>
          <w:rFonts w:ascii="Times New Roman" w:hAnsi="Times New Roman" w:cs="Times New Roman"/>
          <w:bCs/>
          <w:sz w:val="24"/>
        </w:rPr>
        <w:t>. A study of food label accuracy of 24 popular snack food products in the U.S found that energy content was 4.3% higher than reported,</w:t>
      </w:r>
      <w:r w:rsidR="00BF2CDF" w:rsidRPr="00453626">
        <w:rPr>
          <w:rFonts w:ascii="Times New Roman" w:hAnsi="Times New Roman" w:cs="Times New Roman"/>
          <w:bCs/>
          <w:sz w:val="24"/>
        </w:rPr>
        <w:fldChar w:fldCharType="begin" w:fldLock="1"/>
      </w:r>
      <w:r w:rsidR="0027432A" w:rsidRPr="00453626">
        <w:rPr>
          <w:rFonts w:ascii="Times New Roman" w:hAnsi="Times New Roman" w:cs="Times New Roman"/>
          <w:bCs/>
          <w:sz w:val="24"/>
        </w:rPr>
        <w:instrText>ADDIN CSL_CITATION {"citationItems":[{"id":"ITEM-1","itemData":{"DOI":"10.1002/oby.20185","ISSN":"19307381","abstract":"Nutrition labels have raised awareness of the energetic value of foods, and represent for many a pivotal guideline to regulate food intake. However, recent data have created doubts on label accuracy. Objective: We tested label accuracy for energy and macronutrient content of prepackaged energy-dense snack food products. We measured \"true\" caloric content of 24 popular snack food products in the U.S. and determined macronutrient content in 10 selected items. Design and Methods: Bomb calorimetry and food factors were used to estimate energy content. Macronutrient content was determined according to Official Methods of Analysis. Calorimetric measurements were performed in our metabolic laboratory between April 20th and May 18th and macronutrient content was measured between September 28th and October 7th of 2010. Results and Conclusion: Serving size, by weight, exceeded label statements by 1.2% [median] (25th percentile -1.4, 75th percentile 4.3, P = 0.10). When differences in serving size were accounted for, metabolizable calories were 6.8 kcal (0.5, 23.5, P = 0.0003) or 4.3% (0.2, 13.7, P = 0.001) higher than the label statement. In a small convenience sample of the tested snack foods, carbohydrate content exceeded label statements by 7.7% (0.8, 16.7, P = 0.01); however fat and protein content were not significantly different from label statements (-12.8% [-38.6, 9.6], P = 0.23; 6.1% [-6.1, 17.5], P = 0.32). Carbohydrate content explained 40% and serving size an additional 55% of the excess calories. Among a convenience sample of energy-dense snack foods, caloric content is higher than stated on the nutrition labels, but overall well within FDA limits. This discrepancy may be explained by inaccurate carbohydrate content and serving size.","author":[{"dropping-particle":"","family":"Jumpertz","given":"Reiner","non-dropping-particle":"","parse-names":false,"suffix":""},{"dropping-particle":"","family":"Venti","given":"Colleen A.","non-dropping-particle":"","parse-names":false,"suffix":""},{"dropping-particle":"","family":"Le","given":"Duc Son","non-dropping-particle":"","parse-names":false,"suffix":""},{"dropping-particle":"","family":"Michaels","given":"Jennifer","non-dropping-particle":"","parse-names":false,"suffix":""},{"dropping-particle":"","family":"Parrington","given":"Shannon","non-dropping-particle":"","parse-names":false,"suffix":""},{"dropping-particle":"","family":"Krakoff","given":"Jonathan","non-dropping-particle":"","parse-names":false,"suffix":""},{"dropping-particle":"","family":"Votruba","given":"Susanne","non-dropping-particle":"","parse-names":false,"suffix":""}],"container-title":"Obesity","id":"ITEM-1","issue":"1","issued":{"date-parts":[["2013"]]},"page":"164-169","title":"Food label accuracy of common snack foods","type":"article-journal","volume":"21"},"uris":["http://www.mendeley.com/documents/?uuid=91d3a1d9-562d-4daf-8952-4d34ac540d71"]}],"mendeley":{"formattedCitation":"&lt;sup&gt;(37)&lt;/sup&gt;","plainTextFormattedCitation":"(37)","previouslyFormattedCitation":"&lt;sup&gt;(36)&lt;/sup&gt;"},"properties":{"noteIndex":0},"schema":"https://github.com/citation-style-language/schema/raw/master/csl-citation.json"}</w:instrText>
      </w:r>
      <w:r w:rsidR="00BF2CDF" w:rsidRPr="00453626">
        <w:rPr>
          <w:rFonts w:ascii="Times New Roman" w:hAnsi="Times New Roman" w:cs="Times New Roman"/>
          <w:bCs/>
          <w:sz w:val="24"/>
        </w:rPr>
        <w:fldChar w:fldCharType="separate"/>
      </w:r>
      <w:r w:rsidR="0027432A" w:rsidRPr="00453626">
        <w:rPr>
          <w:rFonts w:ascii="Times New Roman" w:hAnsi="Times New Roman" w:cs="Times New Roman"/>
          <w:bCs/>
          <w:noProof/>
          <w:sz w:val="24"/>
          <w:vertAlign w:val="superscript"/>
        </w:rPr>
        <w:t>(37)</w:t>
      </w:r>
      <w:r w:rsidR="00BF2CDF" w:rsidRPr="00453626">
        <w:rPr>
          <w:rFonts w:ascii="Times New Roman" w:hAnsi="Times New Roman" w:cs="Times New Roman"/>
          <w:bCs/>
          <w:sz w:val="24"/>
        </w:rPr>
        <w:fldChar w:fldCharType="end"/>
      </w:r>
      <w:r w:rsidR="00BF2CDF" w:rsidRPr="00453626">
        <w:rPr>
          <w:rFonts w:ascii="Times New Roman" w:hAnsi="Times New Roman" w:cs="Times New Roman"/>
          <w:bCs/>
          <w:sz w:val="24"/>
        </w:rPr>
        <w:t xml:space="preserve"> so our study may have underestimated the energy content of snack food products available in the UK.</w:t>
      </w:r>
      <w:r w:rsidR="00B80A1B" w:rsidRPr="00453626">
        <w:rPr>
          <w:rFonts w:ascii="Times New Roman" w:hAnsi="Times New Roman" w:cs="Times New Roman"/>
          <w:bCs/>
          <w:sz w:val="24"/>
        </w:rPr>
        <w:t xml:space="preserve"> </w:t>
      </w:r>
      <w:r w:rsidR="00C65502" w:rsidRPr="00453626">
        <w:rPr>
          <w:rFonts w:ascii="Times New Roman" w:hAnsi="Times New Roman" w:cs="Times New Roman"/>
          <w:sz w:val="24"/>
        </w:rPr>
        <w:t>W</w:t>
      </w:r>
      <w:r w:rsidR="00BF2CDF" w:rsidRPr="00453626">
        <w:rPr>
          <w:rFonts w:ascii="Times New Roman" w:hAnsi="Times New Roman" w:cs="Times New Roman"/>
          <w:sz w:val="24"/>
        </w:rPr>
        <w:t>e limited our scope to single-serving products</w:t>
      </w:r>
      <w:r w:rsidR="00C65502" w:rsidRPr="00453626">
        <w:rPr>
          <w:rFonts w:ascii="Times New Roman" w:hAnsi="Times New Roman" w:cs="Times New Roman"/>
          <w:sz w:val="24"/>
        </w:rPr>
        <w:t xml:space="preserve"> and assumed that they </w:t>
      </w:r>
      <w:r w:rsidR="00C65502" w:rsidRPr="00453626">
        <w:rPr>
          <w:rFonts w:ascii="Times New Roman" w:hAnsi="Times New Roman" w:cs="Times New Roman"/>
          <w:bCs/>
          <w:sz w:val="24"/>
        </w:rPr>
        <w:t>are eaten in their entirety</w:t>
      </w:r>
      <w:r w:rsidR="001E04C9" w:rsidRPr="00453626">
        <w:rPr>
          <w:rFonts w:ascii="Times New Roman" w:hAnsi="Times New Roman" w:cs="Times New Roman"/>
          <w:bCs/>
          <w:sz w:val="24"/>
        </w:rPr>
        <w:t>. However, it may be the case that products with more energy are more likely to not be eaten in full.</w:t>
      </w:r>
      <w:r w:rsidR="00B91129" w:rsidRPr="00453626">
        <w:rPr>
          <w:rFonts w:ascii="Times New Roman" w:hAnsi="Times New Roman" w:cs="Times New Roman"/>
          <w:bCs/>
          <w:sz w:val="24"/>
        </w:rPr>
        <w:t xml:space="preserve"> Likewise, eating motives may sometimes differ between coffee shops (e.g. snacking for indulgence) and supermarkets (e.g. snacking for functionality) and this may affect how likely it is products are eaten in their entirety. </w:t>
      </w:r>
      <w:r w:rsidR="00335301" w:rsidRPr="00453626">
        <w:rPr>
          <w:rFonts w:ascii="Times New Roman" w:hAnsi="Times New Roman" w:cs="Times New Roman"/>
          <w:bCs/>
          <w:sz w:val="24"/>
        </w:rPr>
        <w:t xml:space="preserve">Some snack products are </w:t>
      </w:r>
      <w:r w:rsidR="001669CC" w:rsidRPr="00453626">
        <w:rPr>
          <w:rFonts w:ascii="Times New Roman" w:hAnsi="Times New Roman" w:cs="Times New Roman"/>
          <w:bCs/>
          <w:sz w:val="24"/>
        </w:rPr>
        <w:t xml:space="preserve">also </w:t>
      </w:r>
      <w:r w:rsidR="00335301" w:rsidRPr="00453626">
        <w:rPr>
          <w:rFonts w:ascii="Times New Roman" w:hAnsi="Times New Roman" w:cs="Times New Roman"/>
          <w:bCs/>
          <w:sz w:val="24"/>
        </w:rPr>
        <w:t>sold in ‘share bags’ or contain multiple servings, but it is unclear how often these products are consumed in their entirety by one person</w:t>
      </w:r>
      <w:r w:rsidR="001669CC" w:rsidRPr="00453626">
        <w:rPr>
          <w:rFonts w:ascii="Times New Roman" w:hAnsi="Times New Roman" w:cs="Times New Roman"/>
          <w:bCs/>
          <w:sz w:val="24"/>
        </w:rPr>
        <w:t xml:space="preserve"> (as opposed to being shared) and we therefore did not sample these types of product</w:t>
      </w:r>
      <w:r w:rsidR="00BF2CDF" w:rsidRPr="00453626">
        <w:rPr>
          <w:rFonts w:ascii="Times New Roman" w:hAnsi="Times New Roman" w:cs="Times New Roman"/>
          <w:sz w:val="24"/>
        </w:rPr>
        <w:t>.</w:t>
      </w:r>
      <w:r w:rsidR="001E04C9" w:rsidRPr="00453626">
        <w:rPr>
          <w:rFonts w:ascii="Times New Roman" w:hAnsi="Times New Roman" w:cs="Times New Roman"/>
          <w:sz w:val="24"/>
        </w:rPr>
        <w:t xml:space="preserve"> </w:t>
      </w:r>
      <w:bookmarkStart w:id="15" w:name="_Hlk61373023"/>
      <w:r w:rsidR="00BF2CDF" w:rsidRPr="00453626">
        <w:rPr>
          <w:rFonts w:ascii="Times New Roman" w:hAnsi="Times New Roman" w:cs="Times New Roman"/>
          <w:bCs/>
          <w:sz w:val="24"/>
        </w:rPr>
        <w:t xml:space="preserve">Snack products are bought </w:t>
      </w:r>
      <w:r w:rsidR="002D75DF" w:rsidRPr="00453626">
        <w:rPr>
          <w:rFonts w:ascii="Times New Roman" w:hAnsi="Times New Roman" w:cs="Times New Roman"/>
          <w:bCs/>
          <w:sz w:val="24"/>
        </w:rPr>
        <w:t>at locations other than</w:t>
      </w:r>
      <w:r w:rsidR="00BF2CDF" w:rsidRPr="00453626">
        <w:rPr>
          <w:rFonts w:ascii="Times New Roman" w:hAnsi="Times New Roman" w:cs="Times New Roman"/>
          <w:bCs/>
          <w:sz w:val="24"/>
        </w:rPr>
        <w:t xml:space="preserve"> coffee shop</w:t>
      </w:r>
      <w:r w:rsidR="002D75DF" w:rsidRPr="00453626">
        <w:rPr>
          <w:rFonts w:ascii="Times New Roman" w:hAnsi="Times New Roman" w:cs="Times New Roman"/>
          <w:bCs/>
          <w:sz w:val="24"/>
        </w:rPr>
        <w:t>s</w:t>
      </w:r>
      <w:r w:rsidR="00BF2CDF" w:rsidRPr="00453626">
        <w:rPr>
          <w:rFonts w:ascii="Times New Roman" w:hAnsi="Times New Roman" w:cs="Times New Roman"/>
          <w:bCs/>
          <w:sz w:val="24"/>
        </w:rPr>
        <w:t xml:space="preserve"> and supermarket chains, for instance in some chain businesses whose core business is not described as food and drink (e.g. pharmacies, newsagents). Therefore, further research characterising the nutritional quality of snack products in other sectors of the retail market would be informative.</w:t>
      </w:r>
      <w:bookmarkEnd w:id="15"/>
    </w:p>
    <w:p w14:paraId="18BDC111" w14:textId="77777777" w:rsidR="00BF2CDF" w:rsidRPr="00453626" w:rsidRDefault="00BF2CDF" w:rsidP="00396F23">
      <w:pPr>
        <w:tabs>
          <w:tab w:val="left" w:pos="1875"/>
        </w:tabs>
        <w:spacing w:line="360" w:lineRule="auto"/>
        <w:rPr>
          <w:rFonts w:ascii="Times New Roman" w:hAnsi="Times New Roman" w:cs="Times New Roman"/>
          <w:b/>
          <w:iCs/>
          <w:sz w:val="24"/>
        </w:rPr>
      </w:pPr>
    </w:p>
    <w:p w14:paraId="5634E0D5" w14:textId="46752FF6" w:rsidR="00BF2CDF" w:rsidRPr="00453626" w:rsidRDefault="00BF2CDF" w:rsidP="00396F23">
      <w:pPr>
        <w:tabs>
          <w:tab w:val="left" w:pos="1875"/>
        </w:tabs>
        <w:spacing w:line="360" w:lineRule="auto"/>
        <w:rPr>
          <w:rFonts w:ascii="Times New Roman" w:hAnsi="Times New Roman" w:cs="Times New Roman"/>
          <w:b/>
          <w:iCs/>
          <w:sz w:val="24"/>
        </w:rPr>
      </w:pPr>
      <w:r w:rsidRPr="00453626">
        <w:rPr>
          <w:rFonts w:ascii="Times New Roman" w:hAnsi="Times New Roman" w:cs="Times New Roman"/>
          <w:b/>
          <w:iCs/>
          <w:sz w:val="24"/>
        </w:rPr>
        <w:t>Conclusion</w:t>
      </w:r>
    </w:p>
    <w:p w14:paraId="45A21F13" w14:textId="7E1864D1" w:rsidR="00BF2CDF" w:rsidRPr="00453626" w:rsidRDefault="00BF2CDF" w:rsidP="00396F23">
      <w:pPr>
        <w:spacing w:line="360" w:lineRule="auto"/>
        <w:rPr>
          <w:rFonts w:ascii="Times New Roman" w:hAnsi="Times New Roman" w:cs="Times New Roman"/>
          <w:bCs/>
          <w:iCs/>
          <w:sz w:val="24"/>
        </w:rPr>
      </w:pPr>
      <w:r w:rsidRPr="00453626">
        <w:rPr>
          <w:rFonts w:ascii="Times New Roman" w:hAnsi="Times New Roman" w:cs="Times New Roman"/>
          <w:bCs/>
          <w:iCs/>
          <w:sz w:val="24"/>
        </w:rPr>
        <w:t xml:space="preserve">The high proportion of snack products that did not meet PHE recommendations is likely to be contributing to excess energy consumption in the UK. </w:t>
      </w:r>
      <w:bookmarkStart w:id="16" w:name="_Hlk46331302"/>
      <w:r w:rsidRPr="00453626">
        <w:rPr>
          <w:rFonts w:ascii="Times New Roman" w:hAnsi="Times New Roman" w:cs="Times New Roman"/>
          <w:bCs/>
          <w:iCs/>
          <w:sz w:val="24"/>
        </w:rPr>
        <w:t>As snacking constitutes a meaningful part of the British diet,</w:t>
      </w:r>
      <w:bookmarkEnd w:id="16"/>
      <w:r w:rsidRPr="00453626">
        <w:rPr>
          <w:rFonts w:ascii="Times New Roman" w:hAnsi="Times New Roman" w:cs="Times New Roman"/>
          <w:bCs/>
          <w:iCs/>
          <w:sz w:val="24"/>
        </w:rPr>
        <w:fldChar w:fldCharType="begin" w:fldLock="1"/>
      </w:r>
      <w:r w:rsidR="001E7A57" w:rsidRPr="00453626">
        <w:rPr>
          <w:rFonts w:ascii="Times New Roman" w:hAnsi="Times New Roman" w:cs="Times New Roman"/>
          <w:bCs/>
          <w:iCs/>
          <w:sz w:val="24"/>
        </w:rPr>
        <w:instrText>ADDIN CSL_CITATION {"citationItems":[{"id":"ITEM-1","itemData":{"DOI":"10.1186/s12937-017-0283-0","ISSN":"14752891","abstract":"Background: Studies examining meal and snack eating behaviors in relation to overall diet and health markers are limited, at least partly because there is no definitive consensus about what constitutes a snack, a meal, or an eating occasion. This cross-sectional study examined how nutritional quality of meals and snacks is associated with overall diet quality, body mass index (BMI), and waist circumference. Methods: Based on 7-d weighed dietary record data, all eating occasions were divided into meals or snacks based on time (meals: 0600-1000, 1200-1500, and 1800-2100 h; snacks: others) or contribution to energy intake (EI) (meals: ≥15%; snacks: &lt;15%) in 1451 British adults aged 19-64 years participating in the National Diet and Nutrition Survey. Nutritional quality of meals and snacks was assessed as the arithmetic EI-weighted means of the British Food Standards Agency (FSA) nutrient profiling system score of each food and beverage consumed, based on the contents of energy, saturated fatty acid, total sugar, sodium, fruits/vegetables/nuts, dietary fiber, and protein per 100 g. Results: Irrespective of the definition of meals and snacks, higher FSA scores (lower nutritional quality) of both meals and snacks were associated with unfavorable profiles of individual components of overall diet, including lower intakes of fruits/vegetables/nuts and higher intakes of biscuits/cakes/pastries, total fat, and saturated fatty acid. The FSA scores of meals and snacks were also inversely associated with overall diet quality assessed by the healthy diet indicator (regression coefficient (β) = -0.22 to -0.17 and -0.06 to -0.03, respectively) and Mediterranean diet score (β = -0.25 to -0.19 and -0.08 to -0.05, respectively) in both sexes (P ≤ 0.005). However, the associations were stronger for meals, mainly due to their larger contribution to total EI (64% to 84%). After adjustment for potential confounders, only the FSA score of snacks based on EI contribution was positively associated with BMI and waist circumference in women (P ≤ 0.005). Conclusions: Although lower nutritional quality of both meals and snacks assessed by the FSA score was associated with adverse profiles of overall diet quality (but not necessarily adiposity measures), stronger associations were observed for nutritional quality of meals.","author":[{"dropping-particle":"","family":"Murakami","given":"Kentaro","non-dropping-particle":"","parse-names":false,"suffix":""}],"container-title":"Nutrition Journal","id":"ITEM-1","issue":"1","issued":{"date-parts":[["2017"]]},"page":"1-12","publisher":"Nutrition Journal","title":"Nutritional quality of meals and snacks assessed by the Food Standards Agency nutrient profiling system in relation to overall diet quality, body mass index, and waist circumference in British adults","type":"article-journal","volume":"16"},"uris":["http://www.mendeley.com/documents/?uuid=3977f0c8-f36b-461e-92d8-a9fe22eab133"]}],"mendeley":{"formattedCitation":"&lt;sup&gt;(7)&lt;/sup&gt;","plainTextFormattedCitation":"(7)","previouslyFormattedCitation":"&lt;sup&gt;(7)&lt;/sup&gt;"},"properties":{"noteIndex":0},"schema":"https://github.com/citation-style-language/schema/raw/master/csl-citation.json"}</w:instrText>
      </w:r>
      <w:r w:rsidRPr="00453626">
        <w:rPr>
          <w:rFonts w:ascii="Times New Roman" w:hAnsi="Times New Roman" w:cs="Times New Roman"/>
          <w:bCs/>
          <w:iCs/>
          <w:sz w:val="24"/>
        </w:rPr>
        <w:fldChar w:fldCharType="separate"/>
      </w:r>
      <w:r w:rsidR="000A6B3B" w:rsidRPr="00453626">
        <w:rPr>
          <w:rFonts w:ascii="Times New Roman" w:hAnsi="Times New Roman" w:cs="Times New Roman"/>
          <w:bCs/>
          <w:iCs/>
          <w:noProof/>
          <w:sz w:val="24"/>
          <w:vertAlign w:val="superscript"/>
        </w:rPr>
        <w:t>(7)</w:t>
      </w:r>
      <w:r w:rsidRPr="00453626">
        <w:rPr>
          <w:rFonts w:ascii="Times New Roman" w:hAnsi="Times New Roman" w:cs="Times New Roman"/>
          <w:bCs/>
          <w:iCs/>
          <w:sz w:val="24"/>
        </w:rPr>
        <w:fldChar w:fldCharType="end"/>
      </w:r>
      <w:r w:rsidRPr="00453626">
        <w:rPr>
          <w:rFonts w:ascii="Times New Roman" w:hAnsi="Times New Roman" w:cs="Times New Roman"/>
          <w:bCs/>
          <w:iCs/>
          <w:sz w:val="24"/>
        </w:rPr>
        <w:t xml:space="preserve"> it is now of importance that the calorie content of snack foods is reduced. Coffee shops in particular may be an area of intervention. In supermarkets the majority of the snack products were 200 kcal or less (68%), whereas it was a minority at coffee shop chains (27%). Furthermore, snack products with a lower energy content were less expensive than snack products with a higher energy content at supermarkets but no such difference was found for coffee shops. These results suggest that public health action encouraging reformulation and nutrition labelling of supermarket chains food products might have had a positive impact,</w:t>
      </w:r>
      <w:r w:rsidRPr="00453626">
        <w:rPr>
          <w:rFonts w:ascii="Times New Roman" w:hAnsi="Times New Roman" w:cs="Times New Roman"/>
          <w:bCs/>
          <w:iCs/>
          <w:sz w:val="24"/>
        </w:rPr>
        <w:fldChar w:fldCharType="begin" w:fldLock="1"/>
      </w:r>
      <w:r w:rsidR="0027432A" w:rsidRPr="00453626">
        <w:rPr>
          <w:rFonts w:ascii="Times New Roman" w:hAnsi="Times New Roman" w:cs="Times New Roman"/>
          <w:bCs/>
          <w:iCs/>
          <w:sz w:val="24"/>
        </w:rPr>
        <w:instrText>ADDIN CSL_CITATION {"citationItems":[{"id":"ITEM-1","itemData":{"URL":"https://www.gov.uk/government/publications/sugar-reduction-report-on-first-year-progress","accessed":{"date-parts":[["2020","7","22"]]},"author":[{"dropping-particle":"","family":"Public Health England","given":"","non-dropping-particle":"","parse-names":false,"suffix":""}],"id":"ITEM-1","issued":{"date-parts":[["2018"]]},"title":"Sugar reduction and wider reformulation programme: Report on progress towards the first 5% reduction and next steps.","type":"webpage"},"uris":["http://www.mendeley.com/documents/?uuid=d3a266f9-33bd-4106-95da-3d8945aab000"]},{"id":"ITEM-2","itemData":{"DOI":"10.1136/bmj.l1417","ISSN":"17561833","PMID":"30996021","abstract":"Objective To estimate the impact of the UK government's sugar reduction programme on child and adult obesity, adult disease burden, and healthcare costs. Design Modelling study. Setting Simulated scenario based on National Diet and Nutrition Survey waves 5 and 6, England. Participants 1508 survey respondents were used to model weight change among the population of England aged 4-80 years. Main outcome measures Calorie change, weight change, and body mass index change were estimated for children and adults. Impact on non-communicable disease incidence, quality adjusted life years, and healthcare costs were estimated for adults. Changes to disease burden were modelled with the PRIMEtime-CE Model, based on the 2014 population in England aged 18-80. Results If the sugar reduction programme was achieved in its entirety and resulted in the planned sugar reduction, then the calorie reduction was estimated to be 25 kcal/day (1 kcal=4.18 kJ=0.00418 MJ) for 4-10 year olds (95% confidence interval 23 to 26), 25 kcal/day (24 to 28) for 11-18 year olds, and 19 kcal/day (17 to 20) for adults. The reduction in obesity could represent 5.5% of the baseline obese population of 4-10 year olds, 2.2% of obese 11-18 year olds, and 5.5% of obese 19-80 year olds. A modelled 51 729 quality adjusted life years (95% uncertainty interval 45 768 to 57 242) were saved over 10 years, including 154 550 (132 623 to 174 604) cases of diabetes and relating to a net healthcare saving of £285.8m (€332.5m, $373.5m; £249.7m to £319.8m). Conclusions The UK government's sugar reduction programme could reduce the burden of obesity and obesity related disease, provided that reductions in sugar levels and portion sizes do not prompt unanticipated changes in eating patterns or product formulation.","author":[{"dropping-particle":"","family":"Amies-Cull","given":"Ben","non-dropping-particle":"","parse-names":false,"suffix":""},{"dropping-particle":"","family":"Briggs","given":"Adam D.M.","non-dropping-particle":"","parse-names":false,"suffix":""},{"dropping-particle":"","family":"Scarborough","given":"Peter","non-dropping-particle":"","parse-names":false,"suffix":""}],"container-title":"BMJ (Online)","id":"ITEM-2","issued":{"date-parts":[["2019"]]},"page":"1-8","title":"Estimating the potential impact of the UK government's sugar reduction programme on child and adult health: Modelling study","type":"article-journal","volume":"365"},"uris":["http://www.mendeley.com/documents/?uuid=825c82b2-617e-495f-9fad-1ba78aeffecd"]}],"mendeley":{"formattedCitation":"&lt;sup&gt;(38,39)&lt;/sup&gt;","plainTextFormattedCitation":"(38,39)","previouslyFormattedCitation":"&lt;sup&gt;(37,38)&lt;/sup&gt;"},"properties":{"noteIndex":0},"schema":"https://github.com/citation-style-language/schema/raw/master/csl-citation.json"}</w:instrText>
      </w:r>
      <w:r w:rsidRPr="00453626">
        <w:rPr>
          <w:rFonts w:ascii="Times New Roman" w:hAnsi="Times New Roman" w:cs="Times New Roman"/>
          <w:bCs/>
          <w:iCs/>
          <w:sz w:val="24"/>
        </w:rPr>
        <w:fldChar w:fldCharType="separate"/>
      </w:r>
      <w:r w:rsidR="0027432A" w:rsidRPr="00453626">
        <w:rPr>
          <w:rFonts w:ascii="Times New Roman" w:hAnsi="Times New Roman" w:cs="Times New Roman"/>
          <w:bCs/>
          <w:iCs/>
          <w:noProof/>
          <w:sz w:val="24"/>
          <w:vertAlign w:val="superscript"/>
        </w:rPr>
        <w:t>(38,39)</w:t>
      </w:r>
      <w:r w:rsidRPr="00453626">
        <w:rPr>
          <w:rFonts w:ascii="Times New Roman" w:hAnsi="Times New Roman" w:cs="Times New Roman"/>
          <w:bCs/>
          <w:iCs/>
          <w:sz w:val="24"/>
        </w:rPr>
        <w:fldChar w:fldCharType="end"/>
      </w:r>
      <w:r w:rsidRPr="00453626">
        <w:rPr>
          <w:rFonts w:ascii="Times New Roman" w:hAnsi="Times New Roman" w:cs="Times New Roman"/>
          <w:bCs/>
          <w:iCs/>
          <w:sz w:val="24"/>
        </w:rPr>
        <w:t xml:space="preserve"> Given that both the availability and price of lower vs. higher energy foods drive food choice,</w:t>
      </w:r>
      <w:r w:rsidRPr="00453626">
        <w:rPr>
          <w:rFonts w:ascii="Times New Roman" w:hAnsi="Times New Roman" w:cs="Times New Roman"/>
          <w:bCs/>
          <w:iCs/>
          <w:sz w:val="24"/>
        </w:rPr>
        <w:fldChar w:fldCharType="begin" w:fldLock="1"/>
      </w:r>
      <w:r w:rsidR="0027432A" w:rsidRPr="00453626">
        <w:rPr>
          <w:rFonts w:ascii="Times New Roman" w:hAnsi="Times New Roman" w:cs="Times New Roman"/>
          <w:bCs/>
          <w:iCs/>
          <w:sz w:val="24"/>
        </w:rPr>
        <w:instrText>ADDIN CSL_CITATION {"citationItems":[{"id":"ITEM-1","itemData":{"abstract":"Obesity in the United States is a socioeconomic issue. It is related to limited social and economic resources and may be linked to disparities in access to healthy foods. Added sugars and added fats are far more affordable than are the recommended “healthful” diets based on lean meats, whole grains, and fresh vegetables and fruit. There is an inverse relationship between energy density of foods (kJ/g) and energy cost ($/MJ), such that energy-dense grains, fats, and sweets represent the lowest-cost dietary options to the consumer. Good taste, high convenience, and the low cost of energy-dense foods, in conjunction with large portions and low satiating power, may be the principal reasons for overeating and weight gain. Financial disparities in access to healthier diets may help explain why the highest rates of obesity and diabetes are found among minorities and the working poor. If so, then encouraging low-income households to consume more costly foods is not an effective strategy for public health. What is needed is a comprehensive policy approach that takes behavioral nutrition and the economics of food choice into account.","author":[{"dropping-particle":"","family":"Drewnowski","given":"Adam","non-dropping-particle":"","parse-names":false,"suffix":""},{"dropping-particle":"","family":"Darmon","given":"Nicole","non-dropping-particle":"","parse-names":false,"suffix":""}],"container-title":"The Journal of Nutrition","id":"ITEM-1","issued":{"date-parts":[["2005"]]},"page":"900-904","title":"Food Choices and Diet Costs : an Economic Analysis","type":"article-journal","volume":"135"},"uris":["http://www.mendeley.com/documents/?uuid=b89b8293-1e56-42fc-9123-aa8ed5e008e3"]},{"id":"ITEM-2","itemData":{"DOI":"10.1186/s12966-020-0922-2","ISSN":"14795868","abstract":"Background: Food consumed outside of the home is often high in energy and population level interventions that reduce energy intake of people from both lower and higher socioeconomic position (SEP) are needed. There is a lack of evidence on the effectiveness and SEP equity of structural-based (e.g. increasing availability of lower energy options) and information provision (e.g. menu energy labelling) interventions on food choice. Methods: Across two online experiments, participants of lower and higher SEP made meal choices in a novel virtual fast-food restaurant. To be eligible to take part, participants were required to be UK residents, aged 18 or above, fluent in English, have access to a computer with an internet connection and have no dietary restrictions. Participants were randomized to one of four conditions in a 2 × 2 between-subjects design: Menu energy labelling present vs. absent and increased availability of lower energy options (75% of menu options lower energy) vs. baseline availability (25% of menu options lower energy). Participants also completed measures of executive function and food choice motives. Results: The analysis of pooled data from both studies (n = 1743) showed that increasing the availability of lower energy options resulted in participants ordering meals with significantly less energy on average (-71 kcal, p &lt; 0.001, partial η2 = 0.024) and this effect was observed irrespective of participant SEP. Menu labelling had no significant effect on energy ordered (-18 kcal, p = 0.116, partial η2 = 0.001) in participants from both higher and lower SEP. Furthermore, we found no evidence that executive function or food choice motives moderated the effect of increasing lower energy menu options or energy labelling on total energy ordered. Conclusions: In a virtual fast-food environment, energy labelling was ineffective in reducing total energy ordered for both higher and lower SEP participants. Increasing the availability of lower energy options had an equitable effect, reducing total energy ordered in participants from higher and lower SEP. Trial registration: Study protocols and analysis plans were pre-registered on the Open Science Framework (https://osf.io/ajcr6/).","author":[{"dropping-particle":"","family":"Marty","given":"Lucile","non-dropping-particle":"","parse-names":false,"suffix":""},{"dropping-particle":"","family":"Jones","given":"Andrew","non-dropping-particle":"","parse-names":false,"suffix":""},{"dropping-particle":"","family":"Robinson","given":"Eric","non-dropping-particle":"","parse-names":false,"suffix":""}],"container-title":"International Journal of Behavioral Nutrition and Physical Activity","id":"ITEM-2","issued":{"date-parts":[["2020"]]},"page":"10","title":"Socioeconomic position and the impact of increasing availability of lower energy meals vs. menu energy labelling on food choice: Two randomized controlled trials in a virtual fast-food restaurant","type":"article-journal","volume":"17"},"uris":["http://www.mendeley.com/documents/?uuid=4206c247-00a6-4a72-8279-f1d1b09ec7be"]}],"mendeley":{"formattedCitation":"&lt;sup&gt;(40,41)&lt;/sup&gt;","plainTextFormattedCitation":"(40,41)","previouslyFormattedCitation":"&lt;sup&gt;(39,40)&lt;/sup&gt;"},"properties":{"noteIndex":0},"schema":"https://github.com/citation-style-language/schema/raw/master/csl-citation.json"}</w:instrText>
      </w:r>
      <w:r w:rsidRPr="00453626">
        <w:rPr>
          <w:rFonts w:ascii="Times New Roman" w:hAnsi="Times New Roman" w:cs="Times New Roman"/>
          <w:bCs/>
          <w:iCs/>
          <w:sz w:val="24"/>
        </w:rPr>
        <w:fldChar w:fldCharType="separate"/>
      </w:r>
      <w:r w:rsidR="0027432A" w:rsidRPr="00453626">
        <w:rPr>
          <w:rFonts w:ascii="Times New Roman" w:hAnsi="Times New Roman" w:cs="Times New Roman"/>
          <w:bCs/>
          <w:iCs/>
          <w:noProof/>
          <w:sz w:val="24"/>
          <w:vertAlign w:val="superscript"/>
        </w:rPr>
        <w:t>(40,41)</w:t>
      </w:r>
      <w:r w:rsidRPr="00453626">
        <w:rPr>
          <w:rFonts w:ascii="Times New Roman" w:hAnsi="Times New Roman" w:cs="Times New Roman"/>
          <w:bCs/>
          <w:iCs/>
          <w:sz w:val="24"/>
        </w:rPr>
        <w:fldChar w:fldCharType="end"/>
      </w:r>
      <w:r w:rsidRPr="00453626">
        <w:rPr>
          <w:rFonts w:ascii="Times New Roman" w:hAnsi="Times New Roman" w:cs="Times New Roman"/>
          <w:bCs/>
          <w:iCs/>
          <w:sz w:val="24"/>
        </w:rPr>
        <w:t xml:space="preserve"> policies that aim to decrease the availability of higher energy snack products and make lower energy products more favourable in terms of cost, should be prioritised.</w:t>
      </w:r>
    </w:p>
    <w:p w14:paraId="296A8600" w14:textId="77777777" w:rsidR="00E41BC4" w:rsidRPr="00453626" w:rsidRDefault="00E41BC4" w:rsidP="00396F23">
      <w:pPr>
        <w:tabs>
          <w:tab w:val="left" w:pos="1875"/>
        </w:tabs>
        <w:spacing w:line="360" w:lineRule="auto"/>
        <w:rPr>
          <w:rFonts w:ascii="Times New Roman" w:hAnsi="Times New Roman" w:cs="Times New Roman"/>
          <w:b/>
          <w:sz w:val="24"/>
        </w:rPr>
      </w:pPr>
    </w:p>
    <w:p w14:paraId="54809FEB" w14:textId="7A62552D" w:rsidR="00D13D00" w:rsidRPr="00453626" w:rsidRDefault="00D13D00" w:rsidP="00396F23">
      <w:pPr>
        <w:tabs>
          <w:tab w:val="left" w:pos="1875"/>
        </w:tabs>
        <w:spacing w:line="360" w:lineRule="auto"/>
        <w:rPr>
          <w:rFonts w:ascii="Times New Roman" w:hAnsi="Times New Roman" w:cs="Times New Roman"/>
          <w:b/>
          <w:sz w:val="24"/>
        </w:rPr>
      </w:pPr>
      <w:r w:rsidRPr="00453626">
        <w:rPr>
          <w:rFonts w:ascii="Times New Roman" w:hAnsi="Times New Roman" w:cs="Times New Roman"/>
          <w:b/>
          <w:sz w:val="24"/>
        </w:rPr>
        <w:lastRenderedPageBreak/>
        <w:t>References</w:t>
      </w:r>
    </w:p>
    <w:p w14:paraId="06139143" w14:textId="4BD92917" w:rsidR="0027432A" w:rsidRPr="00453626" w:rsidRDefault="00D13D00"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sz w:val="24"/>
        </w:rPr>
        <w:fldChar w:fldCharType="begin" w:fldLock="1"/>
      </w:r>
      <w:r w:rsidRPr="00453626">
        <w:rPr>
          <w:rFonts w:ascii="Times New Roman" w:hAnsi="Times New Roman" w:cs="Times New Roman"/>
          <w:sz w:val="24"/>
        </w:rPr>
        <w:instrText xml:space="preserve">ADDIN Mendeley Bibliography CSL_BIBLIOGRAPHY </w:instrText>
      </w:r>
      <w:r w:rsidRPr="00453626">
        <w:rPr>
          <w:rFonts w:ascii="Times New Roman" w:hAnsi="Times New Roman" w:cs="Times New Roman"/>
          <w:sz w:val="24"/>
        </w:rPr>
        <w:fldChar w:fldCharType="separate"/>
      </w:r>
      <w:r w:rsidR="0027432A" w:rsidRPr="00453626">
        <w:rPr>
          <w:rFonts w:ascii="Times New Roman" w:hAnsi="Times New Roman" w:cs="Times New Roman"/>
          <w:noProof/>
          <w:sz w:val="24"/>
          <w:szCs w:val="24"/>
        </w:rPr>
        <w:t xml:space="preserve">1. </w:t>
      </w:r>
      <w:r w:rsidR="0027432A" w:rsidRPr="00453626">
        <w:rPr>
          <w:rFonts w:ascii="Times New Roman" w:hAnsi="Times New Roman" w:cs="Times New Roman"/>
          <w:noProof/>
          <w:sz w:val="24"/>
          <w:szCs w:val="24"/>
        </w:rPr>
        <w:tab/>
        <w:t xml:space="preserve">Swinburn B, Sacks G &amp; Ravussin E (2009) Increased food energy supply is more than sufficient to explain the US epidemic of obesity. </w:t>
      </w:r>
      <w:r w:rsidR="0027432A" w:rsidRPr="00453626">
        <w:rPr>
          <w:rFonts w:ascii="Times New Roman" w:hAnsi="Times New Roman" w:cs="Times New Roman"/>
          <w:i/>
          <w:iCs/>
          <w:noProof/>
          <w:sz w:val="24"/>
          <w:szCs w:val="24"/>
        </w:rPr>
        <w:t>Am. J. Clin. Nutr.</w:t>
      </w:r>
      <w:r w:rsidR="0027432A" w:rsidRPr="00453626">
        <w:rPr>
          <w:rFonts w:ascii="Times New Roman" w:hAnsi="Times New Roman" w:cs="Times New Roman"/>
          <w:noProof/>
          <w:sz w:val="24"/>
          <w:szCs w:val="24"/>
        </w:rPr>
        <w:t xml:space="preserve"> </w:t>
      </w:r>
      <w:r w:rsidR="0027432A" w:rsidRPr="00453626">
        <w:rPr>
          <w:rFonts w:ascii="Times New Roman" w:hAnsi="Times New Roman" w:cs="Times New Roman"/>
          <w:b/>
          <w:bCs/>
          <w:noProof/>
          <w:sz w:val="24"/>
          <w:szCs w:val="24"/>
        </w:rPr>
        <w:t>90</w:t>
      </w:r>
      <w:r w:rsidR="0027432A" w:rsidRPr="00453626">
        <w:rPr>
          <w:rFonts w:ascii="Times New Roman" w:hAnsi="Times New Roman" w:cs="Times New Roman"/>
          <w:noProof/>
          <w:sz w:val="24"/>
          <w:szCs w:val="24"/>
        </w:rPr>
        <w:t>, 1453–1456.</w:t>
      </w:r>
    </w:p>
    <w:p w14:paraId="37B85E3A"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rPr>
        <w:t xml:space="preserve">2. </w:t>
      </w:r>
      <w:r w:rsidRPr="00453626">
        <w:rPr>
          <w:rFonts w:ascii="Times New Roman" w:hAnsi="Times New Roman" w:cs="Times New Roman"/>
          <w:noProof/>
          <w:sz w:val="24"/>
          <w:szCs w:val="24"/>
        </w:rPr>
        <w:tab/>
        <w:t xml:space="preserve">Vandevijvere S, Chow CC, Hall KD, et al. (2015) Increased food energy supply as a major driver of the obesity epidemic: a global analysis. </w:t>
      </w:r>
      <w:r w:rsidRPr="00453626">
        <w:rPr>
          <w:rFonts w:ascii="Times New Roman" w:hAnsi="Times New Roman" w:cs="Times New Roman"/>
          <w:i/>
          <w:iCs/>
          <w:noProof/>
          <w:sz w:val="24"/>
          <w:szCs w:val="24"/>
        </w:rPr>
        <w:t>Bull. World Health Organ.</w:t>
      </w:r>
      <w:r w:rsidRPr="00453626">
        <w:rPr>
          <w:rFonts w:ascii="Times New Roman" w:hAnsi="Times New Roman" w:cs="Times New Roman"/>
          <w:noProof/>
          <w:sz w:val="24"/>
          <w:szCs w:val="24"/>
        </w:rPr>
        <w:t xml:space="preserve"> </w:t>
      </w:r>
      <w:r w:rsidRPr="00453626">
        <w:rPr>
          <w:rFonts w:ascii="Times New Roman" w:hAnsi="Times New Roman" w:cs="Times New Roman"/>
          <w:b/>
          <w:bCs/>
          <w:noProof/>
          <w:sz w:val="24"/>
          <w:szCs w:val="24"/>
        </w:rPr>
        <w:t>93</w:t>
      </w:r>
      <w:r w:rsidRPr="00453626">
        <w:rPr>
          <w:rFonts w:ascii="Times New Roman" w:hAnsi="Times New Roman" w:cs="Times New Roman"/>
          <w:noProof/>
          <w:sz w:val="24"/>
          <w:szCs w:val="24"/>
        </w:rPr>
        <w:t>, 446–456.</w:t>
      </w:r>
    </w:p>
    <w:p w14:paraId="3703BB53"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rPr>
        <w:t xml:space="preserve">3. </w:t>
      </w:r>
      <w:r w:rsidRPr="00453626">
        <w:rPr>
          <w:rFonts w:ascii="Times New Roman" w:hAnsi="Times New Roman" w:cs="Times New Roman"/>
          <w:noProof/>
          <w:sz w:val="24"/>
          <w:szCs w:val="24"/>
        </w:rPr>
        <w:tab/>
        <w:t xml:space="preserve">Swinburn BA, Sacks G, Hall KD, et al. (2011) The global obesity pandemic: Shaped by global drivers and local environments. </w:t>
      </w:r>
      <w:r w:rsidRPr="00453626">
        <w:rPr>
          <w:rFonts w:ascii="Times New Roman" w:hAnsi="Times New Roman" w:cs="Times New Roman"/>
          <w:i/>
          <w:iCs/>
          <w:noProof/>
          <w:sz w:val="24"/>
          <w:szCs w:val="24"/>
        </w:rPr>
        <w:t>Lancet</w:t>
      </w:r>
      <w:r w:rsidRPr="00453626">
        <w:rPr>
          <w:rFonts w:ascii="Times New Roman" w:hAnsi="Times New Roman" w:cs="Times New Roman"/>
          <w:noProof/>
          <w:sz w:val="24"/>
          <w:szCs w:val="24"/>
        </w:rPr>
        <w:t xml:space="preserve"> </w:t>
      </w:r>
      <w:r w:rsidRPr="00453626">
        <w:rPr>
          <w:rFonts w:ascii="Times New Roman" w:hAnsi="Times New Roman" w:cs="Times New Roman"/>
          <w:b/>
          <w:bCs/>
          <w:noProof/>
          <w:sz w:val="24"/>
          <w:szCs w:val="24"/>
        </w:rPr>
        <w:t>378</w:t>
      </w:r>
      <w:r w:rsidRPr="00453626">
        <w:rPr>
          <w:rFonts w:ascii="Times New Roman" w:hAnsi="Times New Roman" w:cs="Times New Roman"/>
          <w:noProof/>
          <w:sz w:val="24"/>
          <w:szCs w:val="24"/>
        </w:rPr>
        <w:t>, 804–814.</w:t>
      </w:r>
    </w:p>
    <w:p w14:paraId="25363A58"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rPr>
        <w:t xml:space="preserve">4. </w:t>
      </w:r>
      <w:r w:rsidRPr="00453626">
        <w:rPr>
          <w:rFonts w:ascii="Times New Roman" w:hAnsi="Times New Roman" w:cs="Times New Roman"/>
          <w:noProof/>
          <w:sz w:val="24"/>
          <w:szCs w:val="24"/>
        </w:rPr>
        <w:tab/>
        <w:t xml:space="preserve">Ng M, Fleming T, Robinson M, et al. (2014) Global, regional, and national prevalence of overweight and obesity in children and adults during 1980-2013: A systematic analysis for the Global Burden of Disease Study 2013. </w:t>
      </w:r>
      <w:r w:rsidRPr="00453626">
        <w:rPr>
          <w:rFonts w:ascii="Times New Roman" w:hAnsi="Times New Roman" w:cs="Times New Roman"/>
          <w:i/>
          <w:iCs/>
          <w:noProof/>
          <w:sz w:val="24"/>
          <w:szCs w:val="24"/>
        </w:rPr>
        <w:t>Lancet</w:t>
      </w:r>
      <w:r w:rsidRPr="00453626">
        <w:rPr>
          <w:rFonts w:ascii="Times New Roman" w:hAnsi="Times New Roman" w:cs="Times New Roman"/>
          <w:noProof/>
          <w:sz w:val="24"/>
          <w:szCs w:val="24"/>
        </w:rPr>
        <w:t xml:space="preserve"> </w:t>
      </w:r>
      <w:r w:rsidRPr="00453626">
        <w:rPr>
          <w:rFonts w:ascii="Times New Roman" w:hAnsi="Times New Roman" w:cs="Times New Roman"/>
          <w:b/>
          <w:bCs/>
          <w:noProof/>
          <w:sz w:val="24"/>
          <w:szCs w:val="24"/>
        </w:rPr>
        <w:t>384</w:t>
      </w:r>
      <w:r w:rsidRPr="00453626">
        <w:rPr>
          <w:rFonts w:ascii="Times New Roman" w:hAnsi="Times New Roman" w:cs="Times New Roman"/>
          <w:noProof/>
          <w:sz w:val="24"/>
          <w:szCs w:val="24"/>
        </w:rPr>
        <w:t>, 766–781.</w:t>
      </w:r>
    </w:p>
    <w:p w14:paraId="2C68F79E"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rPr>
        <w:t xml:space="preserve">5. </w:t>
      </w:r>
      <w:r w:rsidRPr="00453626">
        <w:rPr>
          <w:rFonts w:ascii="Times New Roman" w:hAnsi="Times New Roman" w:cs="Times New Roman"/>
          <w:noProof/>
          <w:sz w:val="24"/>
          <w:szCs w:val="24"/>
        </w:rPr>
        <w:tab/>
        <w:t xml:space="preserve">Piernas C &amp; Popkin BM (2010) Snacking Increased among U.S. Adults between 1977 and 2006. </w:t>
      </w:r>
      <w:r w:rsidRPr="00453626">
        <w:rPr>
          <w:rFonts w:ascii="Times New Roman" w:hAnsi="Times New Roman" w:cs="Times New Roman"/>
          <w:i/>
          <w:iCs/>
          <w:noProof/>
          <w:sz w:val="24"/>
          <w:szCs w:val="24"/>
        </w:rPr>
        <w:t>J. Nutr.</w:t>
      </w:r>
      <w:r w:rsidRPr="00453626">
        <w:rPr>
          <w:rFonts w:ascii="Times New Roman" w:hAnsi="Times New Roman" w:cs="Times New Roman"/>
          <w:noProof/>
          <w:sz w:val="24"/>
          <w:szCs w:val="24"/>
        </w:rPr>
        <w:t xml:space="preserve"> </w:t>
      </w:r>
      <w:r w:rsidRPr="00453626">
        <w:rPr>
          <w:rFonts w:ascii="Times New Roman" w:hAnsi="Times New Roman" w:cs="Times New Roman"/>
          <w:b/>
          <w:bCs/>
          <w:noProof/>
          <w:sz w:val="24"/>
          <w:szCs w:val="24"/>
        </w:rPr>
        <w:t>140</w:t>
      </w:r>
      <w:r w:rsidRPr="00453626">
        <w:rPr>
          <w:rFonts w:ascii="Times New Roman" w:hAnsi="Times New Roman" w:cs="Times New Roman"/>
          <w:noProof/>
          <w:sz w:val="24"/>
          <w:szCs w:val="24"/>
        </w:rPr>
        <w:t>, 325–331.</w:t>
      </w:r>
    </w:p>
    <w:p w14:paraId="51F04456"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rPr>
        <w:t xml:space="preserve">6. </w:t>
      </w:r>
      <w:r w:rsidRPr="00453626">
        <w:rPr>
          <w:rFonts w:ascii="Times New Roman" w:hAnsi="Times New Roman" w:cs="Times New Roman"/>
          <w:noProof/>
          <w:sz w:val="24"/>
          <w:szCs w:val="24"/>
        </w:rPr>
        <w:tab/>
        <w:t xml:space="preserve">Ashima K. Kant &amp; Graubard BI (2015) 40-year trends in meal and snack eating behaviors of American adults. </w:t>
      </w:r>
      <w:r w:rsidRPr="00453626">
        <w:rPr>
          <w:rFonts w:ascii="Times New Roman" w:hAnsi="Times New Roman" w:cs="Times New Roman"/>
          <w:i/>
          <w:iCs/>
          <w:noProof/>
          <w:sz w:val="24"/>
          <w:szCs w:val="24"/>
        </w:rPr>
        <w:t>J. Acad. Nutr. Diet.</w:t>
      </w:r>
      <w:r w:rsidRPr="00453626">
        <w:rPr>
          <w:rFonts w:ascii="Times New Roman" w:hAnsi="Times New Roman" w:cs="Times New Roman"/>
          <w:noProof/>
          <w:sz w:val="24"/>
          <w:szCs w:val="24"/>
        </w:rPr>
        <w:t xml:space="preserve"> </w:t>
      </w:r>
      <w:r w:rsidRPr="00453626">
        <w:rPr>
          <w:rFonts w:ascii="Times New Roman" w:hAnsi="Times New Roman" w:cs="Times New Roman"/>
          <w:b/>
          <w:bCs/>
          <w:noProof/>
          <w:sz w:val="24"/>
          <w:szCs w:val="24"/>
        </w:rPr>
        <w:t>115</w:t>
      </w:r>
      <w:r w:rsidRPr="00453626">
        <w:rPr>
          <w:rFonts w:ascii="Times New Roman" w:hAnsi="Times New Roman" w:cs="Times New Roman"/>
          <w:noProof/>
          <w:sz w:val="24"/>
          <w:szCs w:val="24"/>
        </w:rPr>
        <w:t>, 50–63.</w:t>
      </w:r>
    </w:p>
    <w:p w14:paraId="097A6C37"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rPr>
        <w:t xml:space="preserve">7. </w:t>
      </w:r>
      <w:r w:rsidRPr="00453626">
        <w:rPr>
          <w:rFonts w:ascii="Times New Roman" w:hAnsi="Times New Roman" w:cs="Times New Roman"/>
          <w:noProof/>
          <w:sz w:val="24"/>
          <w:szCs w:val="24"/>
        </w:rPr>
        <w:tab/>
        <w:t xml:space="preserve">Murakami K (2017) Nutritional quality of meals and snacks assessed by the Food Standards Agency nutrient profiling system in relation to overall diet quality, body mass index, and waist circumference in British adults. </w:t>
      </w:r>
      <w:r w:rsidRPr="00453626">
        <w:rPr>
          <w:rFonts w:ascii="Times New Roman" w:hAnsi="Times New Roman" w:cs="Times New Roman"/>
          <w:i/>
          <w:iCs/>
          <w:noProof/>
          <w:sz w:val="24"/>
          <w:szCs w:val="24"/>
        </w:rPr>
        <w:t>Nutr. J.</w:t>
      </w:r>
      <w:r w:rsidRPr="00453626">
        <w:rPr>
          <w:rFonts w:ascii="Times New Roman" w:hAnsi="Times New Roman" w:cs="Times New Roman"/>
          <w:noProof/>
          <w:sz w:val="24"/>
          <w:szCs w:val="24"/>
        </w:rPr>
        <w:t xml:space="preserve"> </w:t>
      </w:r>
      <w:r w:rsidRPr="00453626">
        <w:rPr>
          <w:rFonts w:ascii="Times New Roman" w:hAnsi="Times New Roman" w:cs="Times New Roman"/>
          <w:b/>
          <w:bCs/>
          <w:noProof/>
          <w:sz w:val="24"/>
          <w:szCs w:val="24"/>
        </w:rPr>
        <w:t>16</w:t>
      </w:r>
      <w:r w:rsidRPr="00453626">
        <w:rPr>
          <w:rFonts w:ascii="Times New Roman" w:hAnsi="Times New Roman" w:cs="Times New Roman"/>
          <w:noProof/>
          <w:sz w:val="24"/>
          <w:szCs w:val="24"/>
        </w:rPr>
        <w:t>, 1–12. Nutrition Journal.</w:t>
      </w:r>
    </w:p>
    <w:p w14:paraId="38962CB5"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rPr>
        <w:t xml:space="preserve">8. </w:t>
      </w:r>
      <w:r w:rsidRPr="00453626">
        <w:rPr>
          <w:rFonts w:ascii="Times New Roman" w:hAnsi="Times New Roman" w:cs="Times New Roman"/>
          <w:noProof/>
          <w:sz w:val="24"/>
          <w:szCs w:val="24"/>
        </w:rPr>
        <w:tab/>
        <w:t xml:space="preserve">Krista Casazza, Brown A, Astrup A, et al. (2015) Weighing the Evidence of Common Beliefs in Obesity Research. </w:t>
      </w:r>
      <w:r w:rsidRPr="00453626">
        <w:rPr>
          <w:rFonts w:ascii="Times New Roman" w:hAnsi="Times New Roman" w:cs="Times New Roman"/>
          <w:i/>
          <w:iCs/>
          <w:noProof/>
          <w:sz w:val="24"/>
          <w:szCs w:val="24"/>
        </w:rPr>
        <w:t>Crit. Rev. Food Sci. Nutr.</w:t>
      </w:r>
      <w:r w:rsidRPr="00453626">
        <w:rPr>
          <w:rFonts w:ascii="Times New Roman" w:hAnsi="Times New Roman" w:cs="Times New Roman"/>
          <w:noProof/>
          <w:sz w:val="24"/>
          <w:szCs w:val="24"/>
        </w:rPr>
        <w:t xml:space="preserve"> </w:t>
      </w:r>
      <w:r w:rsidRPr="00453626">
        <w:rPr>
          <w:rFonts w:ascii="Times New Roman" w:hAnsi="Times New Roman" w:cs="Times New Roman"/>
          <w:b/>
          <w:bCs/>
          <w:noProof/>
          <w:sz w:val="24"/>
          <w:szCs w:val="24"/>
        </w:rPr>
        <w:t>55</w:t>
      </w:r>
      <w:r w:rsidRPr="00453626">
        <w:rPr>
          <w:rFonts w:ascii="Times New Roman" w:hAnsi="Times New Roman" w:cs="Times New Roman"/>
          <w:noProof/>
          <w:sz w:val="24"/>
          <w:szCs w:val="24"/>
        </w:rPr>
        <w:t>, 2014–2053.</w:t>
      </w:r>
    </w:p>
    <w:p w14:paraId="743DF477"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rPr>
        <w:t xml:space="preserve">9. </w:t>
      </w:r>
      <w:r w:rsidRPr="00453626">
        <w:rPr>
          <w:rFonts w:ascii="Times New Roman" w:hAnsi="Times New Roman" w:cs="Times New Roman"/>
          <w:noProof/>
          <w:sz w:val="24"/>
          <w:szCs w:val="24"/>
        </w:rPr>
        <w:tab/>
        <w:t xml:space="preserve">Kerver JM, Yang EJ, Obayashi S, et al. (2006) Meal and snack patterns are associated with dietary intake of energy and nutrients in US adults. </w:t>
      </w:r>
      <w:r w:rsidRPr="00453626">
        <w:rPr>
          <w:rFonts w:ascii="Times New Roman" w:hAnsi="Times New Roman" w:cs="Times New Roman"/>
          <w:i/>
          <w:iCs/>
          <w:noProof/>
          <w:sz w:val="24"/>
          <w:szCs w:val="24"/>
        </w:rPr>
        <w:t>J. Am. Diet. Assoc.</w:t>
      </w:r>
      <w:r w:rsidRPr="00453626">
        <w:rPr>
          <w:rFonts w:ascii="Times New Roman" w:hAnsi="Times New Roman" w:cs="Times New Roman"/>
          <w:noProof/>
          <w:sz w:val="24"/>
          <w:szCs w:val="24"/>
        </w:rPr>
        <w:t xml:space="preserve"> </w:t>
      </w:r>
      <w:r w:rsidRPr="00453626">
        <w:rPr>
          <w:rFonts w:ascii="Times New Roman" w:hAnsi="Times New Roman" w:cs="Times New Roman"/>
          <w:b/>
          <w:bCs/>
          <w:noProof/>
          <w:sz w:val="24"/>
          <w:szCs w:val="24"/>
        </w:rPr>
        <w:t>106</w:t>
      </w:r>
      <w:r w:rsidRPr="00453626">
        <w:rPr>
          <w:rFonts w:ascii="Times New Roman" w:hAnsi="Times New Roman" w:cs="Times New Roman"/>
          <w:noProof/>
          <w:sz w:val="24"/>
          <w:szCs w:val="24"/>
        </w:rPr>
        <w:t>, 46–53.</w:t>
      </w:r>
    </w:p>
    <w:p w14:paraId="07D87BD6"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rPr>
        <w:t xml:space="preserve">10. </w:t>
      </w:r>
      <w:r w:rsidRPr="00453626">
        <w:rPr>
          <w:rFonts w:ascii="Times New Roman" w:hAnsi="Times New Roman" w:cs="Times New Roman"/>
          <w:noProof/>
          <w:sz w:val="24"/>
          <w:szCs w:val="24"/>
        </w:rPr>
        <w:tab/>
        <w:t xml:space="preserve">Larson NI, Miller JM, Watts AW, et al. (2016) Adolescent Snacking Behaviors Are Associated with Dietary Intake and Weight Status. </w:t>
      </w:r>
      <w:r w:rsidRPr="00453626">
        <w:rPr>
          <w:rFonts w:ascii="Times New Roman" w:hAnsi="Times New Roman" w:cs="Times New Roman"/>
          <w:i/>
          <w:iCs/>
          <w:noProof/>
          <w:sz w:val="24"/>
          <w:szCs w:val="24"/>
        </w:rPr>
        <w:t>J. Nutr.</w:t>
      </w:r>
      <w:r w:rsidRPr="00453626">
        <w:rPr>
          <w:rFonts w:ascii="Times New Roman" w:hAnsi="Times New Roman" w:cs="Times New Roman"/>
          <w:noProof/>
          <w:sz w:val="24"/>
          <w:szCs w:val="24"/>
        </w:rPr>
        <w:t xml:space="preserve"> </w:t>
      </w:r>
      <w:r w:rsidRPr="00453626">
        <w:rPr>
          <w:rFonts w:ascii="Times New Roman" w:hAnsi="Times New Roman" w:cs="Times New Roman"/>
          <w:b/>
          <w:bCs/>
          <w:noProof/>
          <w:sz w:val="24"/>
          <w:szCs w:val="24"/>
        </w:rPr>
        <w:t>146</w:t>
      </w:r>
      <w:r w:rsidRPr="00453626">
        <w:rPr>
          <w:rFonts w:ascii="Times New Roman" w:hAnsi="Times New Roman" w:cs="Times New Roman"/>
          <w:noProof/>
          <w:sz w:val="24"/>
          <w:szCs w:val="24"/>
        </w:rPr>
        <w:t>, 1348–1355.</w:t>
      </w:r>
    </w:p>
    <w:p w14:paraId="171364EF"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rPr>
        <w:t xml:space="preserve">11. </w:t>
      </w:r>
      <w:r w:rsidRPr="00453626">
        <w:rPr>
          <w:rFonts w:ascii="Times New Roman" w:hAnsi="Times New Roman" w:cs="Times New Roman"/>
          <w:noProof/>
          <w:sz w:val="24"/>
          <w:szCs w:val="24"/>
        </w:rPr>
        <w:tab/>
        <w:t xml:space="preserve">Ovaskainen ML, Reinivuo H, Tapanainen H, et al. (2006) Snacks as an element of energy intake and food consumption. </w:t>
      </w:r>
      <w:r w:rsidRPr="00453626">
        <w:rPr>
          <w:rFonts w:ascii="Times New Roman" w:hAnsi="Times New Roman" w:cs="Times New Roman"/>
          <w:i/>
          <w:iCs/>
          <w:noProof/>
          <w:sz w:val="24"/>
          <w:szCs w:val="24"/>
        </w:rPr>
        <w:t>Eur. J. Clin. Nutr.</w:t>
      </w:r>
      <w:r w:rsidRPr="00453626">
        <w:rPr>
          <w:rFonts w:ascii="Times New Roman" w:hAnsi="Times New Roman" w:cs="Times New Roman"/>
          <w:noProof/>
          <w:sz w:val="24"/>
          <w:szCs w:val="24"/>
        </w:rPr>
        <w:t xml:space="preserve"> </w:t>
      </w:r>
      <w:r w:rsidRPr="00453626">
        <w:rPr>
          <w:rFonts w:ascii="Times New Roman" w:hAnsi="Times New Roman" w:cs="Times New Roman"/>
          <w:b/>
          <w:bCs/>
          <w:noProof/>
          <w:sz w:val="24"/>
          <w:szCs w:val="24"/>
        </w:rPr>
        <w:t>60</w:t>
      </w:r>
      <w:r w:rsidRPr="00453626">
        <w:rPr>
          <w:rFonts w:ascii="Times New Roman" w:hAnsi="Times New Roman" w:cs="Times New Roman"/>
          <w:noProof/>
          <w:sz w:val="24"/>
          <w:szCs w:val="24"/>
        </w:rPr>
        <w:t>, 494–501.</w:t>
      </w:r>
    </w:p>
    <w:p w14:paraId="5E13F466"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rPr>
        <w:t xml:space="preserve">12. </w:t>
      </w:r>
      <w:r w:rsidRPr="00453626">
        <w:rPr>
          <w:rFonts w:ascii="Times New Roman" w:hAnsi="Times New Roman" w:cs="Times New Roman"/>
          <w:noProof/>
          <w:sz w:val="24"/>
          <w:szCs w:val="24"/>
        </w:rPr>
        <w:tab/>
        <w:t xml:space="preserve">Duffey KJ, Pereira RA &amp; Popkin BM (2013) Prevalence and energy intake from snacking in Brazil: Analysis of the first nationwide individual survey. </w:t>
      </w:r>
      <w:r w:rsidRPr="00453626">
        <w:rPr>
          <w:rFonts w:ascii="Times New Roman" w:hAnsi="Times New Roman" w:cs="Times New Roman"/>
          <w:i/>
          <w:iCs/>
          <w:noProof/>
          <w:sz w:val="24"/>
          <w:szCs w:val="24"/>
        </w:rPr>
        <w:t>Eur. J. Clin. Nutr.</w:t>
      </w:r>
      <w:r w:rsidRPr="00453626">
        <w:rPr>
          <w:rFonts w:ascii="Times New Roman" w:hAnsi="Times New Roman" w:cs="Times New Roman"/>
          <w:noProof/>
          <w:sz w:val="24"/>
          <w:szCs w:val="24"/>
        </w:rPr>
        <w:t xml:space="preserve"> </w:t>
      </w:r>
      <w:r w:rsidRPr="00453626">
        <w:rPr>
          <w:rFonts w:ascii="Times New Roman" w:hAnsi="Times New Roman" w:cs="Times New Roman"/>
          <w:b/>
          <w:bCs/>
          <w:noProof/>
          <w:sz w:val="24"/>
          <w:szCs w:val="24"/>
        </w:rPr>
        <w:t>67</w:t>
      </w:r>
      <w:r w:rsidRPr="00453626">
        <w:rPr>
          <w:rFonts w:ascii="Times New Roman" w:hAnsi="Times New Roman" w:cs="Times New Roman"/>
          <w:noProof/>
          <w:sz w:val="24"/>
          <w:szCs w:val="24"/>
        </w:rPr>
        <w:t>, 868–874. Nature Publishing Group.</w:t>
      </w:r>
    </w:p>
    <w:p w14:paraId="3E93C326"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rPr>
        <w:t xml:space="preserve">13. </w:t>
      </w:r>
      <w:r w:rsidRPr="00453626">
        <w:rPr>
          <w:rFonts w:ascii="Times New Roman" w:hAnsi="Times New Roman" w:cs="Times New Roman"/>
          <w:noProof/>
          <w:sz w:val="24"/>
          <w:szCs w:val="24"/>
        </w:rPr>
        <w:tab/>
        <w:t xml:space="preserve">Kant AK (2018) Eating patterns of US adults: Meals, snacks, and time of eating. </w:t>
      </w:r>
      <w:r w:rsidRPr="00453626">
        <w:rPr>
          <w:rFonts w:ascii="Times New Roman" w:hAnsi="Times New Roman" w:cs="Times New Roman"/>
          <w:i/>
          <w:iCs/>
          <w:noProof/>
          <w:sz w:val="24"/>
          <w:szCs w:val="24"/>
        </w:rPr>
        <w:t>Physiol. Behav.</w:t>
      </w:r>
      <w:r w:rsidRPr="00453626">
        <w:rPr>
          <w:rFonts w:ascii="Times New Roman" w:hAnsi="Times New Roman" w:cs="Times New Roman"/>
          <w:noProof/>
          <w:sz w:val="24"/>
          <w:szCs w:val="24"/>
        </w:rPr>
        <w:t xml:space="preserve"> </w:t>
      </w:r>
      <w:r w:rsidRPr="00453626">
        <w:rPr>
          <w:rFonts w:ascii="Times New Roman" w:hAnsi="Times New Roman" w:cs="Times New Roman"/>
          <w:b/>
          <w:bCs/>
          <w:noProof/>
          <w:sz w:val="24"/>
          <w:szCs w:val="24"/>
        </w:rPr>
        <w:t>193</w:t>
      </w:r>
      <w:r w:rsidRPr="00453626">
        <w:rPr>
          <w:rFonts w:ascii="Times New Roman" w:hAnsi="Times New Roman" w:cs="Times New Roman"/>
          <w:noProof/>
          <w:sz w:val="24"/>
          <w:szCs w:val="24"/>
        </w:rPr>
        <w:t>, 270–278. Elsevier.</w:t>
      </w:r>
    </w:p>
    <w:p w14:paraId="45B25754"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lang w:val="fr-FR"/>
        </w:rPr>
      </w:pPr>
      <w:r w:rsidRPr="00453626">
        <w:rPr>
          <w:rFonts w:ascii="Times New Roman" w:hAnsi="Times New Roman" w:cs="Times New Roman"/>
          <w:noProof/>
          <w:sz w:val="24"/>
          <w:szCs w:val="24"/>
        </w:rPr>
        <w:lastRenderedPageBreak/>
        <w:t xml:space="preserve">14. </w:t>
      </w:r>
      <w:r w:rsidRPr="00453626">
        <w:rPr>
          <w:rFonts w:ascii="Times New Roman" w:hAnsi="Times New Roman" w:cs="Times New Roman"/>
          <w:noProof/>
          <w:sz w:val="24"/>
          <w:szCs w:val="24"/>
        </w:rPr>
        <w:tab/>
        <w:t xml:space="preserve">Murakami K &amp; Livingstone MBE (2016) Energy density of meals and snacks in the British diet in relation to overall diet quality, BMI and waist circumference: Findings from the National Diet and Nutrition Survey. </w:t>
      </w:r>
      <w:r w:rsidRPr="00453626">
        <w:rPr>
          <w:rFonts w:ascii="Times New Roman" w:hAnsi="Times New Roman" w:cs="Times New Roman"/>
          <w:i/>
          <w:iCs/>
          <w:noProof/>
          <w:sz w:val="24"/>
          <w:szCs w:val="24"/>
          <w:lang w:val="fr-FR"/>
        </w:rPr>
        <w:t>Br. J. Nutr.</w:t>
      </w:r>
      <w:r w:rsidRPr="00453626">
        <w:rPr>
          <w:rFonts w:ascii="Times New Roman" w:hAnsi="Times New Roman" w:cs="Times New Roman"/>
          <w:noProof/>
          <w:sz w:val="24"/>
          <w:szCs w:val="24"/>
          <w:lang w:val="fr-FR"/>
        </w:rPr>
        <w:t xml:space="preserve"> </w:t>
      </w:r>
      <w:r w:rsidRPr="00453626">
        <w:rPr>
          <w:rFonts w:ascii="Times New Roman" w:hAnsi="Times New Roman" w:cs="Times New Roman"/>
          <w:b/>
          <w:bCs/>
          <w:noProof/>
          <w:sz w:val="24"/>
          <w:szCs w:val="24"/>
          <w:lang w:val="fr-FR"/>
        </w:rPr>
        <w:t>116</w:t>
      </w:r>
      <w:r w:rsidRPr="00453626">
        <w:rPr>
          <w:rFonts w:ascii="Times New Roman" w:hAnsi="Times New Roman" w:cs="Times New Roman"/>
          <w:noProof/>
          <w:sz w:val="24"/>
          <w:szCs w:val="24"/>
          <w:lang w:val="fr-FR"/>
        </w:rPr>
        <w:t>, 1479–1489.</w:t>
      </w:r>
    </w:p>
    <w:p w14:paraId="65CD1924"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lang w:val="fr-FR"/>
        </w:rPr>
        <w:t xml:space="preserve">15. </w:t>
      </w:r>
      <w:r w:rsidRPr="00453626">
        <w:rPr>
          <w:rFonts w:ascii="Times New Roman" w:hAnsi="Times New Roman" w:cs="Times New Roman"/>
          <w:noProof/>
          <w:sz w:val="24"/>
          <w:szCs w:val="24"/>
          <w:lang w:val="fr-FR"/>
        </w:rPr>
        <w:tab/>
        <w:t xml:space="preserve">Si Hassen W, Castetbon K, Tichit C, et al. </w:t>
      </w:r>
      <w:r w:rsidRPr="00453626">
        <w:rPr>
          <w:rFonts w:ascii="Times New Roman" w:hAnsi="Times New Roman" w:cs="Times New Roman"/>
          <w:noProof/>
          <w:sz w:val="24"/>
          <w:szCs w:val="24"/>
        </w:rPr>
        <w:t xml:space="preserve">(2018) Energy, nutrient and food content of snacks in French adults. </w:t>
      </w:r>
      <w:r w:rsidRPr="00453626">
        <w:rPr>
          <w:rFonts w:ascii="Times New Roman" w:hAnsi="Times New Roman" w:cs="Times New Roman"/>
          <w:i/>
          <w:iCs/>
          <w:noProof/>
          <w:sz w:val="24"/>
          <w:szCs w:val="24"/>
        </w:rPr>
        <w:t>Nutr. J.</w:t>
      </w:r>
      <w:r w:rsidRPr="00453626">
        <w:rPr>
          <w:rFonts w:ascii="Times New Roman" w:hAnsi="Times New Roman" w:cs="Times New Roman"/>
          <w:noProof/>
          <w:sz w:val="24"/>
          <w:szCs w:val="24"/>
        </w:rPr>
        <w:t xml:space="preserve"> </w:t>
      </w:r>
      <w:r w:rsidRPr="00453626">
        <w:rPr>
          <w:rFonts w:ascii="Times New Roman" w:hAnsi="Times New Roman" w:cs="Times New Roman"/>
          <w:b/>
          <w:bCs/>
          <w:noProof/>
          <w:sz w:val="24"/>
          <w:szCs w:val="24"/>
        </w:rPr>
        <w:t>17</w:t>
      </w:r>
      <w:r w:rsidRPr="00453626">
        <w:rPr>
          <w:rFonts w:ascii="Times New Roman" w:hAnsi="Times New Roman" w:cs="Times New Roman"/>
          <w:noProof/>
          <w:sz w:val="24"/>
          <w:szCs w:val="24"/>
        </w:rPr>
        <w:t>, 1–9. Nutrition Journal.</w:t>
      </w:r>
    </w:p>
    <w:p w14:paraId="084A5BF0"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rPr>
        <w:t xml:space="preserve">16. </w:t>
      </w:r>
      <w:r w:rsidRPr="00453626">
        <w:rPr>
          <w:rFonts w:ascii="Times New Roman" w:hAnsi="Times New Roman" w:cs="Times New Roman"/>
          <w:noProof/>
          <w:sz w:val="24"/>
          <w:szCs w:val="24"/>
        </w:rPr>
        <w:tab/>
        <w:t xml:space="preserve">Adams J, Goffe L, Brown T, et al. (2015) Frequency and socio-demographic correlates of eating meals out and take-away meals at home: Cross-sectional analysis of the UK national diet and nutrition survey, waves 1-4 (2008-12). </w:t>
      </w:r>
      <w:r w:rsidRPr="00453626">
        <w:rPr>
          <w:rFonts w:ascii="Times New Roman" w:hAnsi="Times New Roman" w:cs="Times New Roman"/>
          <w:i/>
          <w:iCs/>
          <w:noProof/>
          <w:sz w:val="24"/>
          <w:szCs w:val="24"/>
        </w:rPr>
        <w:t>Int. J. Behav. Nutr. Phys. Act.</w:t>
      </w:r>
      <w:r w:rsidRPr="00453626">
        <w:rPr>
          <w:rFonts w:ascii="Times New Roman" w:hAnsi="Times New Roman" w:cs="Times New Roman"/>
          <w:noProof/>
          <w:sz w:val="24"/>
          <w:szCs w:val="24"/>
        </w:rPr>
        <w:t xml:space="preserve"> </w:t>
      </w:r>
      <w:r w:rsidRPr="00453626">
        <w:rPr>
          <w:rFonts w:ascii="Times New Roman" w:hAnsi="Times New Roman" w:cs="Times New Roman"/>
          <w:b/>
          <w:bCs/>
          <w:noProof/>
          <w:sz w:val="24"/>
          <w:szCs w:val="24"/>
        </w:rPr>
        <w:t>12</w:t>
      </w:r>
      <w:r w:rsidRPr="00453626">
        <w:rPr>
          <w:rFonts w:ascii="Times New Roman" w:hAnsi="Times New Roman" w:cs="Times New Roman"/>
          <w:noProof/>
          <w:sz w:val="24"/>
          <w:szCs w:val="24"/>
        </w:rPr>
        <w:t>, 1–9.</w:t>
      </w:r>
    </w:p>
    <w:p w14:paraId="27B5C235"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rPr>
        <w:t xml:space="preserve">17. </w:t>
      </w:r>
      <w:r w:rsidRPr="00453626">
        <w:rPr>
          <w:rFonts w:ascii="Times New Roman" w:hAnsi="Times New Roman" w:cs="Times New Roman"/>
          <w:noProof/>
          <w:sz w:val="24"/>
          <w:szCs w:val="24"/>
        </w:rPr>
        <w:tab/>
        <w:t xml:space="preserve">Public Health England One you - Keep track of calories with 400-600-600. </w:t>
      </w:r>
      <w:r w:rsidRPr="00453626">
        <w:rPr>
          <w:rFonts w:ascii="Times New Roman" w:hAnsi="Times New Roman" w:cs="Times New Roman"/>
          <w:i/>
          <w:iCs/>
          <w:noProof/>
          <w:sz w:val="24"/>
          <w:szCs w:val="24"/>
        </w:rPr>
        <w:t>2020</w:t>
      </w:r>
      <w:r w:rsidRPr="00453626">
        <w:rPr>
          <w:rFonts w:ascii="Times New Roman" w:hAnsi="Times New Roman" w:cs="Times New Roman"/>
          <w:noProof/>
          <w:sz w:val="24"/>
          <w:szCs w:val="24"/>
        </w:rPr>
        <w:t>. https://www.nhs.uk/oneyou/for-your-body/eat-better/keep-track-of-calories-400-600-600/ (accessed July 2020).</w:t>
      </w:r>
    </w:p>
    <w:p w14:paraId="02E831B1"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rPr>
        <w:t xml:space="preserve">18. </w:t>
      </w:r>
      <w:r w:rsidRPr="00453626">
        <w:rPr>
          <w:rFonts w:ascii="Times New Roman" w:hAnsi="Times New Roman" w:cs="Times New Roman"/>
          <w:noProof/>
          <w:sz w:val="24"/>
          <w:szCs w:val="24"/>
        </w:rPr>
        <w:tab/>
        <w:t xml:space="preserve">Public Health England Healthier snacks for kids. </w:t>
      </w:r>
      <w:r w:rsidRPr="00453626">
        <w:rPr>
          <w:rFonts w:ascii="Times New Roman" w:hAnsi="Times New Roman" w:cs="Times New Roman"/>
          <w:i/>
          <w:iCs/>
          <w:noProof/>
          <w:sz w:val="24"/>
          <w:szCs w:val="24"/>
        </w:rPr>
        <w:t>2020</w:t>
      </w:r>
      <w:r w:rsidRPr="00453626">
        <w:rPr>
          <w:rFonts w:ascii="Times New Roman" w:hAnsi="Times New Roman" w:cs="Times New Roman"/>
          <w:noProof/>
          <w:sz w:val="24"/>
          <w:szCs w:val="24"/>
        </w:rPr>
        <w:t>. https://www.nhs.uk/change4life/food-facts/healthier-snacks-for-kids (accessed July 2020).</w:t>
      </w:r>
    </w:p>
    <w:p w14:paraId="20C6FCE3"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rPr>
        <w:t xml:space="preserve">19. </w:t>
      </w:r>
      <w:r w:rsidRPr="00453626">
        <w:rPr>
          <w:rFonts w:ascii="Times New Roman" w:hAnsi="Times New Roman" w:cs="Times New Roman"/>
          <w:noProof/>
          <w:sz w:val="24"/>
          <w:szCs w:val="24"/>
        </w:rPr>
        <w:tab/>
        <w:t xml:space="preserve">Department of Health &amp; Food Standards Agency (2016) </w:t>
      </w:r>
      <w:r w:rsidRPr="00453626">
        <w:rPr>
          <w:rFonts w:ascii="Times New Roman" w:hAnsi="Times New Roman" w:cs="Times New Roman"/>
          <w:i/>
          <w:iCs/>
          <w:noProof/>
          <w:sz w:val="24"/>
          <w:szCs w:val="24"/>
        </w:rPr>
        <w:t>Guide to creating a front of pack (FoP) nutrition label for pre-packed products sold through retail outlets</w:t>
      </w:r>
      <w:r w:rsidRPr="00453626">
        <w:rPr>
          <w:rFonts w:ascii="Times New Roman" w:hAnsi="Times New Roman" w:cs="Times New Roman"/>
          <w:noProof/>
          <w:sz w:val="24"/>
          <w:szCs w:val="24"/>
        </w:rPr>
        <w:t>. .</w:t>
      </w:r>
    </w:p>
    <w:p w14:paraId="0CE0630B"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rPr>
        <w:t xml:space="preserve">20. </w:t>
      </w:r>
      <w:r w:rsidRPr="00453626">
        <w:rPr>
          <w:rFonts w:ascii="Times New Roman" w:hAnsi="Times New Roman" w:cs="Times New Roman"/>
          <w:noProof/>
          <w:sz w:val="24"/>
          <w:szCs w:val="24"/>
        </w:rPr>
        <w:tab/>
        <w:t xml:space="preserve">French SA (2003) Pricing Effects on Food Choices. </w:t>
      </w:r>
      <w:r w:rsidRPr="00453626">
        <w:rPr>
          <w:rFonts w:ascii="Times New Roman" w:hAnsi="Times New Roman" w:cs="Times New Roman"/>
          <w:i/>
          <w:iCs/>
          <w:noProof/>
          <w:sz w:val="24"/>
          <w:szCs w:val="24"/>
        </w:rPr>
        <w:t>J. Nutr.</w:t>
      </w:r>
      <w:r w:rsidRPr="00453626">
        <w:rPr>
          <w:rFonts w:ascii="Times New Roman" w:hAnsi="Times New Roman" w:cs="Times New Roman"/>
          <w:noProof/>
          <w:sz w:val="24"/>
          <w:szCs w:val="24"/>
        </w:rPr>
        <w:t xml:space="preserve"> </w:t>
      </w:r>
      <w:r w:rsidRPr="00453626">
        <w:rPr>
          <w:rFonts w:ascii="Times New Roman" w:hAnsi="Times New Roman" w:cs="Times New Roman"/>
          <w:b/>
          <w:bCs/>
          <w:noProof/>
          <w:sz w:val="24"/>
          <w:szCs w:val="24"/>
        </w:rPr>
        <w:t>133</w:t>
      </w:r>
      <w:r w:rsidRPr="00453626">
        <w:rPr>
          <w:rFonts w:ascii="Times New Roman" w:hAnsi="Times New Roman" w:cs="Times New Roman"/>
          <w:noProof/>
          <w:sz w:val="24"/>
          <w:szCs w:val="24"/>
        </w:rPr>
        <w:t>, 841S-843S.</w:t>
      </w:r>
    </w:p>
    <w:p w14:paraId="1744478F"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rPr>
        <w:t xml:space="preserve">21. </w:t>
      </w:r>
      <w:r w:rsidRPr="00453626">
        <w:rPr>
          <w:rFonts w:ascii="Times New Roman" w:hAnsi="Times New Roman" w:cs="Times New Roman"/>
          <w:noProof/>
          <w:sz w:val="24"/>
          <w:szCs w:val="24"/>
        </w:rPr>
        <w:tab/>
        <w:t xml:space="preserve">Hollands GJ, Carter P, Shemilt I, et al. (2019) Altering the availability or proximity of food, alcohol and tobacco products to change their selection and consumption. </w:t>
      </w:r>
      <w:r w:rsidRPr="00453626">
        <w:rPr>
          <w:rFonts w:ascii="Times New Roman" w:hAnsi="Times New Roman" w:cs="Times New Roman"/>
          <w:i/>
          <w:iCs/>
          <w:noProof/>
          <w:sz w:val="24"/>
          <w:szCs w:val="24"/>
        </w:rPr>
        <w:t>Cochrane Database Syst. Rev.</w:t>
      </w:r>
      <w:r w:rsidRPr="00453626">
        <w:rPr>
          <w:rFonts w:ascii="Times New Roman" w:hAnsi="Times New Roman" w:cs="Times New Roman"/>
          <w:noProof/>
          <w:sz w:val="24"/>
          <w:szCs w:val="24"/>
        </w:rPr>
        <w:t xml:space="preserve"> </w:t>
      </w:r>
      <w:r w:rsidRPr="00453626">
        <w:rPr>
          <w:rFonts w:ascii="Times New Roman" w:hAnsi="Times New Roman" w:cs="Times New Roman"/>
          <w:b/>
          <w:bCs/>
          <w:noProof/>
          <w:sz w:val="24"/>
          <w:szCs w:val="24"/>
        </w:rPr>
        <w:t>9</w:t>
      </w:r>
      <w:r w:rsidRPr="00453626">
        <w:rPr>
          <w:rFonts w:ascii="Times New Roman" w:hAnsi="Times New Roman" w:cs="Times New Roman"/>
          <w:noProof/>
          <w:sz w:val="24"/>
          <w:szCs w:val="24"/>
        </w:rPr>
        <w:t>, CD012573.</w:t>
      </w:r>
    </w:p>
    <w:p w14:paraId="3179F305"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rPr>
        <w:t xml:space="preserve">22. </w:t>
      </w:r>
      <w:r w:rsidRPr="00453626">
        <w:rPr>
          <w:rFonts w:ascii="Times New Roman" w:hAnsi="Times New Roman" w:cs="Times New Roman"/>
          <w:noProof/>
          <w:sz w:val="24"/>
          <w:szCs w:val="24"/>
        </w:rPr>
        <w:tab/>
        <w:t>Public Health England (2015) Sugar Reduction: The evidence for action. https://www.gov.uk/government/publications/sugar-reduction-from-evidence-into-action (accessed July 2020).</w:t>
      </w:r>
    </w:p>
    <w:p w14:paraId="2E6CD7E4"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rPr>
        <w:t xml:space="preserve">23. </w:t>
      </w:r>
      <w:r w:rsidRPr="00453626">
        <w:rPr>
          <w:rFonts w:ascii="Times New Roman" w:hAnsi="Times New Roman" w:cs="Times New Roman"/>
          <w:noProof/>
          <w:sz w:val="24"/>
          <w:szCs w:val="24"/>
        </w:rPr>
        <w:tab/>
        <w:t>Public Health England (2017) Salt Reduction Targets for 2017. https://www.gov.uk/government/publications/salt-reduction-targets-for-2017 (accessed July 2020).</w:t>
      </w:r>
    </w:p>
    <w:p w14:paraId="20A30DD6"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rPr>
        <w:t xml:space="preserve">24. </w:t>
      </w:r>
      <w:r w:rsidRPr="00453626">
        <w:rPr>
          <w:rFonts w:ascii="Times New Roman" w:hAnsi="Times New Roman" w:cs="Times New Roman"/>
          <w:noProof/>
          <w:sz w:val="24"/>
          <w:szCs w:val="24"/>
        </w:rPr>
        <w:tab/>
        <w:t xml:space="preserve">Askew K (2019) ‘A mandatory approach may be necessary’: Campaigners slam out of home operators as supermarkets make more progress on reformulation and labelling. </w:t>
      </w:r>
      <w:r w:rsidRPr="00453626">
        <w:rPr>
          <w:rFonts w:ascii="Times New Roman" w:hAnsi="Times New Roman" w:cs="Times New Roman"/>
          <w:i/>
          <w:iCs/>
          <w:noProof/>
          <w:sz w:val="24"/>
          <w:szCs w:val="24"/>
        </w:rPr>
        <w:t>Food Navig.</w:t>
      </w:r>
      <w:r w:rsidRPr="00453626">
        <w:rPr>
          <w:rFonts w:ascii="Times New Roman" w:hAnsi="Times New Roman" w:cs="Times New Roman"/>
          <w:noProof/>
          <w:sz w:val="24"/>
          <w:szCs w:val="24"/>
        </w:rPr>
        <w:t xml:space="preserve"> https://www.foodnavigator.com/Article/2019/09/12/Campaigners-slam-out-of-home-operators-as-supermarkets-make-more-progress-on-reformulation-and-labelling (accessed July 2020).</w:t>
      </w:r>
    </w:p>
    <w:p w14:paraId="2A569393"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rPr>
        <w:t xml:space="preserve">25. </w:t>
      </w:r>
      <w:r w:rsidRPr="00453626">
        <w:rPr>
          <w:rFonts w:ascii="Times New Roman" w:hAnsi="Times New Roman" w:cs="Times New Roman"/>
          <w:noProof/>
          <w:sz w:val="24"/>
          <w:szCs w:val="24"/>
        </w:rPr>
        <w:tab/>
        <w:t xml:space="preserve">Kantar Worldpanel (2019) Grocery Market Share. </w:t>
      </w:r>
      <w:r w:rsidRPr="00453626">
        <w:rPr>
          <w:rFonts w:ascii="Times New Roman" w:hAnsi="Times New Roman" w:cs="Times New Roman"/>
          <w:noProof/>
          <w:sz w:val="24"/>
          <w:szCs w:val="24"/>
        </w:rPr>
        <w:lastRenderedPageBreak/>
        <w:t>https://www.kantarworldpanel.com/en/grocery-market-share/great-britain (accessed July 2020).</w:t>
      </w:r>
    </w:p>
    <w:p w14:paraId="56683728"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rPr>
        <w:t xml:space="preserve">26. </w:t>
      </w:r>
      <w:r w:rsidRPr="00453626">
        <w:rPr>
          <w:rFonts w:ascii="Times New Roman" w:hAnsi="Times New Roman" w:cs="Times New Roman"/>
          <w:noProof/>
          <w:sz w:val="24"/>
          <w:szCs w:val="24"/>
        </w:rPr>
        <w:tab/>
        <w:t>Statista (2019) Market share of grocery stores in Great Britain from January 2015 to March 2019. https://www.statista.com/statistics/280208/grocery-market-share-in-the-united-kingdom-uk/ (accessed July 2020).</w:t>
      </w:r>
    </w:p>
    <w:p w14:paraId="7718E1AE"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lang w:val="fr-FR"/>
        </w:rPr>
        <w:t xml:space="preserve">27. </w:t>
      </w:r>
      <w:r w:rsidRPr="00453626">
        <w:rPr>
          <w:rFonts w:ascii="Times New Roman" w:hAnsi="Times New Roman" w:cs="Times New Roman"/>
          <w:noProof/>
          <w:sz w:val="24"/>
          <w:szCs w:val="24"/>
          <w:lang w:val="fr-FR"/>
        </w:rPr>
        <w:tab/>
        <w:t xml:space="preserve">Robinson E, Burton S, Gough T, et al. </w:t>
      </w:r>
      <w:r w:rsidRPr="00453626">
        <w:rPr>
          <w:rFonts w:ascii="Times New Roman" w:hAnsi="Times New Roman" w:cs="Times New Roman"/>
          <w:noProof/>
          <w:sz w:val="24"/>
          <w:szCs w:val="24"/>
        </w:rPr>
        <w:t xml:space="preserve">(2019) Point of choice kilocalorie labelling in the UK eating out of home sector: a descriptive study of major chains. </w:t>
      </w:r>
      <w:r w:rsidRPr="00453626">
        <w:rPr>
          <w:rFonts w:ascii="Times New Roman" w:hAnsi="Times New Roman" w:cs="Times New Roman"/>
          <w:i/>
          <w:iCs/>
          <w:noProof/>
          <w:sz w:val="24"/>
          <w:szCs w:val="24"/>
        </w:rPr>
        <w:t>BMC Public Health</w:t>
      </w:r>
      <w:r w:rsidRPr="00453626">
        <w:rPr>
          <w:rFonts w:ascii="Times New Roman" w:hAnsi="Times New Roman" w:cs="Times New Roman"/>
          <w:noProof/>
          <w:sz w:val="24"/>
          <w:szCs w:val="24"/>
        </w:rPr>
        <w:t xml:space="preserve"> </w:t>
      </w:r>
      <w:r w:rsidRPr="00453626">
        <w:rPr>
          <w:rFonts w:ascii="Times New Roman" w:hAnsi="Times New Roman" w:cs="Times New Roman"/>
          <w:b/>
          <w:bCs/>
          <w:noProof/>
          <w:sz w:val="24"/>
          <w:szCs w:val="24"/>
        </w:rPr>
        <w:t>19</w:t>
      </w:r>
      <w:r w:rsidRPr="00453626">
        <w:rPr>
          <w:rFonts w:ascii="Times New Roman" w:hAnsi="Times New Roman" w:cs="Times New Roman"/>
          <w:noProof/>
          <w:sz w:val="24"/>
          <w:szCs w:val="24"/>
        </w:rPr>
        <w:t>, 1–6. BMC Public Health.</w:t>
      </w:r>
    </w:p>
    <w:p w14:paraId="1096BC7C"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rPr>
        <w:t xml:space="preserve">28. </w:t>
      </w:r>
      <w:r w:rsidRPr="00453626">
        <w:rPr>
          <w:rFonts w:ascii="Times New Roman" w:hAnsi="Times New Roman" w:cs="Times New Roman"/>
          <w:noProof/>
          <w:sz w:val="24"/>
          <w:szCs w:val="24"/>
        </w:rPr>
        <w:tab/>
        <w:t xml:space="preserve">Chamontin A, Pretzer G &amp; Booth DA (2003) Ambiguity of ‘snack’ in British usage. </w:t>
      </w:r>
      <w:r w:rsidRPr="00453626">
        <w:rPr>
          <w:rFonts w:ascii="Times New Roman" w:hAnsi="Times New Roman" w:cs="Times New Roman"/>
          <w:i/>
          <w:iCs/>
          <w:noProof/>
          <w:sz w:val="24"/>
          <w:szCs w:val="24"/>
        </w:rPr>
        <w:t>Appetite</w:t>
      </w:r>
      <w:r w:rsidRPr="00453626">
        <w:rPr>
          <w:rFonts w:ascii="Times New Roman" w:hAnsi="Times New Roman" w:cs="Times New Roman"/>
          <w:noProof/>
          <w:sz w:val="24"/>
          <w:szCs w:val="24"/>
        </w:rPr>
        <w:t xml:space="preserve"> </w:t>
      </w:r>
      <w:r w:rsidRPr="00453626">
        <w:rPr>
          <w:rFonts w:ascii="Times New Roman" w:hAnsi="Times New Roman" w:cs="Times New Roman"/>
          <w:b/>
          <w:bCs/>
          <w:noProof/>
          <w:sz w:val="24"/>
          <w:szCs w:val="24"/>
        </w:rPr>
        <w:t>41</w:t>
      </w:r>
      <w:r w:rsidRPr="00453626">
        <w:rPr>
          <w:rFonts w:ascii="Times New Roman" w:hAnsi="Times New Roman" w:cs="Times New Roman"/>
          <w:noProof/>
          <w:sz w:val="24"/>
          <w:szCs w:val="24"/>
        </w:rPr>
        <w:t>, 21–29.</w:t>
      </w:r>
    </w:p>
    <w:p w14:paraId="01C9A6A9"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rPr>
        <w:t xml:space="preserve">29. </w:t>
      </w:r>
      <w:r w:rsidRPr="00453626">
        <w:rPr>
          <w:rFonts w:ascii="Times New Roman" w:hAnsi="Times New Roman" w:cs="Times New Roman"/>
          <w:noProof/>
          <w:sz w:val="24"/>
          <w:szCs w:val="24"/>
        </w:rPr>
        <w:tab/>
        <w:t xml:space="preserve">Marshall D &amp; Bell R (2003) Meal construction: Exploring the relationship between eating occasion and location. </w:t>
      </w:r>
      <w:r w:rsidRPr="00453626">
        <w:rPr>
          <w:rFonts w:ascii="Times New Roman" w:hAnsi="Times New Roman" w:cs="Times New Roman"/>
          <w:i/>
          <w:iCs/>
          <w:noProof/>
          <w:sz w:val="24"/>
          <w:szCs w:val="24"/>
        </w:rPr>
        <w:t>Food Qual. Prefer.</w:t>
      </w:r>
      <w:r w:rsidRPr="00453626">
        <w:rPr>
          <w:rFonts w:ascii="Times New Roman" w:hAnsi="Times New Roman" w:cs="Times New Roman"/>
          <w:noProof/>
          <w:sz w:val="24"/>
          <w:szCs w:val="24"/>
        </w:rPr>
        <w:t xml:space="preserve"> </w:t>
      </w:r>
      <w:r w:rsidRPr="00453626">
        <w:rPr>
          <w:rFonts w:ascii="Times New Roman" w:hAnsi="Times New Roman" w:cs="Times New Roman"/>
          <w:b/>
          <w:bCs/>
          <w:noProof/>
          <w:sz w:val="24"/>
          <w:szCs w:val="24"/>
        </w:rPr>
        <w:t>14</w:t>
      </w:r>
      <w:r w:rsidRPr="00453626">
        <w:rPr>
          <w:rFonts w:ascii="Times New Roman" w:hAnsi="Times New Roman" w:cs="Times New Roman"/>
          <w:noProof/>
          <w:sz w:val="24"/>
          <w:szCs w:val="24"/>
        </w:rPr>
        <w:t>, 53–64.</w:t>
      </w:r>
    </w:p>
    <w:p w14:paraId="300B4B0E"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rPr>
        <w:t xml:space="preserve">30. </w:t>
      </w:r>
      <w:r w:rsidRPr="00453626">
        <w:rPr>
          <w:rFonts w:ascii="Times New Roman" w:hAnsi="Times New Roman" w:cs="Times New Roman"/>
          <w:noProof/>
          <w:sz w:val="24"/>
          <w:szCs w:val="24"/>
        </w:rPr>
        <w:tab/>
        <w:t xml:space="preserve">Wadhera D &amp; Capaldi ED (2012) Categorization of foods as ‘snack’ and ‘meal’ by college students. </w:t>
      </w:r>
      <w:r w:rsidRPr="00453626">
        <w:rPr>
          <w:rFonts w:ascii="Times New Roman" w:hAnsi="Times New Roman" w:cs="Times New Roman"/>
          <w:i/>
          <w:iCs/>
          <w:noProof/>
          <w:sz w:val="24"/>
          <w:szCs w:val="24"/>
        </w:rPr>
        <w:t>Appetite</w:t>
      </w:r>
      <w:r w:rsidRPr="00453626">
        <w:rPr>
          <w:rFonts w:ascii="Times New Roman" w:hAnsi="Times New Roman" w:cs="Times New Roman"/>
          <w:noProof/>
          <w:sz w:val="24"/>
          <w:szCs w:val="24"/>
        </w:rPr>
        <w:t xml:space="preserve"> </w:t>
      </w:r>
      <w:r w:rsidRPr="00453626">
        <w:rPr>
          <w:rFonts w:ascii="Times New Roman" w:hAnsi="Times New Roman" w:cs="Times New Roman"/>
          <w:b/>
          <w:bCs/>
          <w:noProof/>
          <w:sz w:val="24"/>
          <w:szCs w:val="24"/>
        </w:rPr>
        <w:t>58</w:t>
      </w:r>
      <w:r w:rsidRPr="00453626">
        <w:rPr>
          <w:rFonts w:ascii="Times New Roman" w:hAnsi="Times New Roman" w:cs="Times New Roman"/>
          <w:noProof/>
          <w:sz w:val="24"/>
          <w:szCs w:val="24"/>
        </w:rPr>
        <w:t>, 882–888.</w:t>
      </w:r>
    </w:p>
    <w:p w14:paraId="3C4B31A1"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rPr>
        <w:t xml:space="preserve">31. </w:t>
      </w:r>
      <w:r w:rsidRPr="00453626">
        <w:rPr>
          <w:rFonts w:ascii="Times New Roman" w:hAnsi="Times New Roman" w:cs="Times New Roman"/>
          <w:noProof/>
          <w:sz w:val="24"/>
          <w:szCs w:val="24"/>
        </w:rPr>
        <w:tab/>
        <w:t xml:space="preserve">Green H, Siwajek P &amp; Roulin A (2017) Use of nutrient profiling to identify healthy versus unhealthy snack foods and whether they can be part of a healthy menu plan. </w:t>
      </w:r>
      <w:r w:rsidRPr="00453626">
        <w:rPr>
          <w:rFonts w:ascii="Times New Roman" w:hAnsi="Times New Roman" w:cs="Times New Roman"/>
          <w:i/>
          <w:iCs/>
          <w:noProof/>
          <w:sz w:val="24"/>
          <w:szCs w:val="24"/>
        </w:rPr>
        <w:t>J. Nutr. Intermed. Metab.</w:t>
      </w:r>
      <w:r w:rsidRPr="00453626">
        <w:rPr>
          <w:rFonts w:ascii="Times New Roman" w:hAnsi="Times New Roman" w:cs="Times New Roman"/>
          <w:noProof/>
          <w:sz w:val="24"/>
          <w:szCs w:val="24"/>
        </w:rPr>
        <w:t xml:space="preserve"> </w:t>
      </w:r>
      <w:r w:rsidRPr="00453626">
        <w:rPr>
          <w:rFonts w:ascii="Times New Roman" w:hAnsi="Times New Roman" w:cs="Times New Roman"/>
          <w:b/>
          <w:bCs/>
          <w:noProof/>
          <w:sz w:val="24"/>
          <w:szCs w:val="24"/>
        </w:rPr>
        <w:t>9</w:t>
      </w:r>
      <w:r w:rsidRPr="00453626">
        <w:rPr>
          <w:rFonts w:ascii="Times New Roman" w:hAnsi="Times New Roman" w:cs="Times New Roman"/>
          <w:noProof/>
          <w:sz w:val="24"/>
          <w:szCs w:val="24"/>
        </w:rPr>
        <w:t>, 1–5. Elsevier Inc.</w:t>
      </w:r>
    </w:p>
    <w:p w14:paraId="2BBBBA4B"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rPr>
        <w:t xml:space="preserve">32. </w:t>
      </w:r>
      <w:r w:rsidRPr="00453626">
        <w:rPr>
          <w:rFonts w:ascii="Times New Roman" w:hAnsi="Times New Roman" w:cs="Times New Roman"/>
          <w:noProof/>
          <w:sz w:val="24"/>
          <w:szCs w:val="24"/>
        </w:rPr>
        <w:tab/>
        <w:t xml:space="preserve">Maillot M, Darmon N, Darmon M, et al. (2007) Nutrient-dense food groups have high energy costs: an econometric approach to nutrient profiling. </w:t>
      </w:r>
      <w:r w:rsidRPr="00453626">
        <w:rPr>
          <w:rFonts w:ascii="Times New Roman" w:hAnsi="Times New Roman" w:cs="Times New Roman"/>
          <w:i/>
          <w:iCs/>
          <w:noProof/>
          <w:sz w:val="24"/>
          <w:szCs w:val="24"/>
        </w:rPr>
        <w:t>J. Nutr.</w:t>
      </w:r>
      <w:r w:rsidRPr="00453626">
        <w:rPr>
          <w:rFonts w:ascii="Times New Roman" w:hAnsi="Times New Roman" w:cs="Times New Roman"/>
          <w:noProof/>
          <w:sz w:val="24"/>
          <w:szCs w:val="24"/>
        </w:rPr>
        <w:t xml:space="preserve"> </w:t>
      </w:r>
      <w:r w:rsidRPr="00453626">
        <w:rPr>
          <w:rFonts w:ascii="Times New Roman" w:hAnsi="Times New Roman" w:cs="Times New Roman"/>
          <w:b/>
          <w:bCs/>
          <w:noProof/>
          <w:sz w:val="24"/>
          <w:szCs w:val="24"/>
        </w:rPr>
        <w:t>137</w:t>
      </w:r>
      <w:r w:rsidRPr="00453626">
        <w:rPr>
          <w:rFonts w:ascii="Times New Roman" w:hAnsi="Times New Roman" w:cs="Times New Roman"/>
          <w:noProof/>
          <w:sz w:val="24"/>
          <w:szCs w:val="24"/>
        </w:rPr>
        <w:t>, 1815–20.</w:t>
      </w:r>
    </w:p>
    <w:p w14:paraId="5BE689B0"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rPr>
        <w:t xml:space="preserve">33. </w:t>
      </w:r>
      <w:r w:rsidRPr="00453626">
        <w:rPr>
          <w:rFonts w:ascii="Times New Roman" w:hAnsi="Times New Roman" w:cs="Times New Roman"/>
          <w:noProof/>
          <w:sz w:val="24"/>
          <w:szCs w:val="24"/>
        </w:rPr>
        <w:tab/>
        <w:t xml:space="preserve">Drewnowski A &amp; Specter SE (2004) Poverty and obesity: the role of energy density and energy costs. </w:t>
      </w:r>
      <w:r w:rsidRPr="00453626">
        <w:rPr>
          <w:rFonts w:ascii="Times New Roman" w:hAnsi="Times New Roman" w:cs="Times New Roman"/>
          <w:i/>
          <w:iCs/>
          <w:noProof/>
          <w:sz w:val="24"/>
          <w:szCs w:val="24"/>
        </w:rPr>
        <w:t>Am. J. Clin. Nutr.</w:t>
      </w:r>
      <w:r w:rsidRPr="00453626">
        <w:rPr>
          <w:rFonts w:ascii="Times New Roman" w:hAnsi="Times New Roman" w:cs="Times New Roman"/>
          <w:noProof/>
          <w:sz w:val="24"/>
          <w:szCs w:val="24"/>
        </w:rPr>
        <w:t xml:space="preserve"> </w:t>
      </w:r>
      <w:r w:rsidRPr="00453626">
        <w:rPr>
          <w:rFonts w:ascii="Times New Roman" w:hAnsi="Times New Roman" w:cs="Times New Roman"/>
          <w:b/>
          <w:bCs/>
          <w:noProof/>
          <w:sz w:val="24"/>
          <w:szCs w:val="24"/>
        </w:rPr>
        <w:t>79</w:t>
      </w:r>
      <w:r w:rsidRPr="00453626">
        <w:rPr>
          <w:rFonts w:ascii="Times New Roman" w:hAnsi="Times New Roman" w:cs="Times New Roman"/>
          <w:noProof/>
          <w:sz w:val="24"/>
          <w:szCs w:val="24"/>
        </w:rPr>
        <w:t>, 6–16.</w:t>
      </w:r>
    </w:p>
    <w:p w14:paraId="363D18DA"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rPr>
        <w:t xml:space="preserve">34. </w:t>
      </w:r>
      <w:r w:rsidRPr="00453626">
        <w:rPr>
          <w:rFonts w:ascii="Times New Roman" w:hAnsi="Times New Roman" w:cs="Times New Roman"/>
          <w:noProof/>
          <w:sz w:val="24"/>
          <w:szCs w:val="24"/>
        </w:rPr>
        <w:tab/>
        <w:t xml:space="preserve">Robinson E, Jones A, Whitelock V, et al. (2018) (Over)eating out at major UK restaurant chains: observational study of energy content of main meals. </w:t>
      </w:r>
      <w:r w:rsidRPr="00453626">
        <w:rPr>
          <w:rFonts w:ascii="Times New Roman" w:hAnsi="Times New Roman" w:cs="Times New Roman"/>
          <w:i/>
          <w:iCs/>
          <w:noProof/>
          <w:sz w:val="24"/>
          <w:szCs w:val="24"/>
        </w:rPr>
        <w:t>BMJ</w:t>
      </w:r>
      <w:r w:rsidRPr="00453626">
        <w:rPr>
          <w:rFonts w:ascii="Times New Roman" w:hAnsi="Times New Roman" w:cs="Times New Roman"/>
          <w:noProof/>
          <w:sz w:val="24"/>
          <w:szCs w:val="24"/>
        </w:rPr>
        <w:t xml:space="preserve"> </w:t>
      </w:r>
      <w:r w:rsidRPr="00453626">
        <w:rPr>
          <w:rFonts w:ascii="Times New Roman" w:hAnsi="Times New Roman" w:cs="Times New Roman"/>
          <w:b/>
          <w:bCs/>
          <w:noProof/>
          <w:sz w:val="24"/>
          <w:szCs w:val="24"/>
        </w:rPr>
        <w:t>363</w:t>
      </w:r>
      <w:r w:rsidRPr="00453626">
        <w:rPr>
          <w:rFonts w:ascii="Times New Roman" w:hAnsi="Times New Roman" w:cs="Times New Roman"/>
          <w:noProof/>
          <w:sz w:val="24"/>
          <w:szCs w:val="24"/>
        </w:rPr>
        <w:t>, 1–8.</w:t>
      </w:r>
    </w:p>
    <w:p w14:paraId="60EF3CF5"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rPr>
        <w:t xml:space="preserve">35. </w:t>
      </w:r>
      <w:r w:rsidRPr="00453626">
        <w:rPr>
          <w:rFonts w:ascii="Times New Roman" w:hAnsi="Times New Roman" w:cs="Times New Roman"/>
          <w:noProof/>
          <w:sz w:val="24"/>
          <w:szCs w:val="24"/>
        </w:rPr>
        <w:tab/>
        <w:t xml:space="preserve">Muc M, Jones A, Roberts C, et al. (2019) A bit or a lot on the side? Observational study of the energy content of starters, sides and desserts in major UK restaurant chains. </w:t>
      </w:r>
      <w:r w:rsidRPr="00453626">
        <w:rPr>
          <w:rFonts w:ascii="Times New Roman" w:hAnsi="Times New Roman" w:cs="Times New Roman"/>
          <w:i/>
          <w:iCs/>
          <w:noProof/>
          <w:sz w:val="24"/>
          <w:szCs w:val="24"/>
        </w:rPr>
        <w:t>BMJ Open</w:t>
      </w:r>
      <w:r w:rsidRPr="00453626">
        <w:rPr>
          <w:rFonts w:ascii="Times New Roman" w:hAnsi="Times New Roman" w:cs="Times New Roman"/>
          <w:noProof/>
          <w:sz w:val="24"/>
          <w:szCs w:val="24"/>
        </w:rPr>
        <w:t xml:space="preserve"> </w:t>
      </w:r>
      <w:r w:rsidRPr="00453626">
        <w:rPr>
          <w:rFonts w:ascii="Times New Roman" w:hAnsi="Times New Roman" w:cs="Times New Roman"/>
          <w:b/>
          <w:bCs/>
          <w:noProof/>
          <w:sz w:val="24"/>
          <w:szCs w:val="24"/>
        </w:rPr>
        <w:t>9</w:t>
      </w:r>
      <w:r w:rsidRPr="00453626">
        <w:rPr>
          <w:rFonts w:ascii="Times New Roman" w:hAnsi="Times New Roman" w:cs="Times New Roman"/>
          <w:noProof/>
          <w:sz w:val="24"/>
          <w:szCs w:val="24"/>
        </w:rPr>
        <w:t>, 1–7.</w:t>
      </w:r>
    </w:p>
    <w:p w14:paraId="55027412"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lang w:val="fr-FR"/>
        </w:rPr>
      </w:pPr>
      <w:r w:rsidRPr="00453626">
        <w:rPr>
          <w:rFonts w:ascii="Times New Roman" w:hAnsi="Times New Roman" w:cs="Times New Roman"/>
          <w:noProof/>
          <w:sz w:val="24"/>
          <w:szCs w:val="24"/>
        </w:rPr>
        <w:t xml:space="preserve">36. </w:t>
      </w:r>
      <w:r w:rsidRPr="00453626">
        <w:rPr>
          <w:rFonts w:ascii="Times New Roman" w:hAnsi="Times New Roman" w:cs="Times New Roman"/>
          <w:noProof/>
          <w:sz w:val="24"/>
          <w:szCs w:val="24"/>
        </w:rPr>
        <w:tab/>
        <w:t xml:space="preserve">Theis DRZ &amp; Adams J (2019) Differences in energy and nutritional content of menu items served by popular UK chain restaurants with versus without voluntary menu labelling: A cross-sectional study. </w:t>
      </w:r>
      <w:r w:rsidRPr="00453626">
        <w:rPr>
          <w:rFonts w:ascii="Times New Roman" w:hAnsi="Times New Roman" w:cs="Times New Roman"/>
          <w:i/>
          <w:iCs/>
          <w:noProof/>
          <w:sz w:val="24"/>
          <w:szCs w:val="24"/>
          <w:lang w:val="fr-FR"/>
        </w:rPr>
        <w:t>PLoS One</w:t>
      </w:r>
      <w:r w:rsidRPr="00453626">
        <w:rPr>
          <w:rFonts w:ascii="Times New Roman" w:hAnsi="Times New Roman" w:cs="Times New Roman"/>
          <w:noProof/>
          <w:sz w:val="24"/>
          <w:szCs w:val="24"/>
          <w:lang w:val="fr-FR"/>
        </w:rPr>
        <w:t xml:space="preserve"> </w:t>
      </w:r>
      <w:r w:rsidRPr="00453626">
        <w:rPr>
          <w:rFonts w:ascii="Times New Roman" w:hAnsi="Times New Roman" w:cs="Times New Roman"/>
          <w:b/>
          <w:bCs/>
          <w:noProof/>
          <w:sz w:val="24"/>
          <w:szCs w:val="24"/>
          <w:lang w:val="fr-FR"/>
        </w:rPr>
        <w:t>14</w:t>
      </w:r>
      <w:r w:rsidRPr="00453626">
        <w:rPr>
          <w:rFonts w:ascii="Times New Roman" w:hAnsi="Times New Roman" w:cs="Times New Roman"/>
          <w:noProof/>
          <w:sz w:val="24"/>
          <w:szCs w:val="24"/>
          <w:lang w:val="fr-FR"/>
        </w:rPr>
        <w:t>, 1–15.</w:t>
      </w:r>
    </w:p>
    <w:p w14:paraId="5A2BB40C"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lang w:val="fr-FR"/>
        </w:rPr>
        <w:t xml:space="preserve">37. </w:t>
      </w:r>
      <w:r w:rsidRPr="00453626">
        <w:rPr>
          <w:rFonts w:ascii="Times New Roman" w:hAnsi="Times New Roman" w:cs="Times New Roman"/>
          <w:noProof/>
          <w:sz w:val="24"/>
          <w:szCs w:val="24"/>
          <w:lang w:val="fr-FR"/>
        </w:rPr>
        <w:tab/>
        <w:t xml:space="preserve">Jumpertz R, Venti CA, Le DS, et al. </w:t>
      </w:r>
      <w:r w:rsidRPr="00453626">
        <w:rPr>
          <w:rFonts w:ascii="Times New Roman" w:hAnsi="Times New Roman" w:cs="Times New Roman"/>
          <w:noProof/>
          <w:sz w:val="24"/>
          <w:szCs w:val="24"/>
        </w:rPr>
        <w:t xml:space="preserve">(2013) Food label accuracy of common snack foods. </w:t>
      </w:r>
      <w:r w:rsidRPr="00453626">
        <w:rPr>
          <w:rFonts w:ascii="Times New Roman" w:hAnsi="Times New Roman" w:cs="Times New Roman"/>
          <w:i/>
          <w:iCs/>
          <w:noProof/>
          <w:sz w:val="24"/>
          <w:szCs w:val="24"/>
        </w:rPr>
        <w:lastRenderedPageBreak/>
        <w:t>Obesity</w:t>
      </w:r>
      <w:r w:rsidRPr="00453626">
        <w:rPr>
          <w:rFonts w:ascii="Times New Roman" w:hAnsi="Times New Roman" w:cs="Times New Roman"/>
          <w:noProof/>
          <w:sz w:val="24"/>
          <w:szCs w:val="24"/>
        </w:rPr>
        <w:t xml:space="preserve"> </w:t>
      </w:r>
      <w:r w:rsidRPr="00453626">
        <w:rPr>
          <w:rFonts w:ascii="Times New Roman" w:hAnsi="Times New Roman" w:cs="Times New Roman"/>
          <w:b/>
          <w:bCs/>
          <w:noProof/>
          <w:sz w:val="24"/>
          <w:szCs w:val="24"/>
        </w:rPr>
        <w:t>21</w:t>
      </w:r>
      <w:r w:rsidRPr="00453626">
        <w:rPr>
          <w:rFonts w:ascii="Times New Roman" w:hAnsi="Times New Roman" w:cs="Times New Roman"/>
          <w:noProof/>
          <w:sz w:val="24"/>
          <w:szCs w:val="24"/>
        </w:rPr>
        <w:t>, 164–169.</w:t>
      </w:r>
    </w:p>
    <w:p w14:paraId="59A72492"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rPr>
        <w:t xml:space="preserve">38. </w:t>
      </w:r>
      <w:r w:rsidRPr="00453626">
        <w:rPr>
          <w:rFonts w:ascii="Times New Roman" w:hAnsi="Times New Roman" w:cs="Times New Roman"/>
          <w:noProof/>
          <w:sz w:val="24"/>
          <w:szCs w:val="24"/>
        </w:rPr>
        <w:tab/>
        <w:t>Public Health England (2018) Sugar reduction and wider reformulation programme: Report on progress towards the first 5% reduction and next steps. https://www.gov.uk/government/publications/sugar-reduction-report-on-first-year-progress (accessed July 2020).</w:t>
      </w:r>
    </w:p>
    <w:p w14:paraId="7C32EAAC"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rPr>
        <w:t xml:space="preserve">39. </w:t>
      </w:r>
      <w:r w:rsidRPr="00453626">
        <w:rPr>
          <w:rFonts w:ascii="Times New Roman" w:hAnsi="Times New Roman" w:cs="Times New Roman"/>
          <w:noProof/>
          <w:sz w:val="24"/>
          <w:szCs w:val="24"/>
        </w:rPr>
        <w:tab/>
        <w:t xml:space="preserve">Amies-Cull B, Briggs ADM &amp; Scarborough P (2019) Estimating the potential impact of the UK government’s sugar reduction programme on child and adult health: Modelling study. </w:t>
      </w:r>
      <w:r w:rsidRPr="00453626">
        <w:rPr>
          <w:rFonts w:ascii="Times New Roman" w:hAnsi="Times New Roman" w:cs="Times New Roman"/>
          <w:i/>
          <w:iCs/>
          <w:noProof/>
          <w:sz w:val="24"/>
          <w:szCs w:val="24"/>
        </w:rPr>
        <w:t>BMJ</w:t>
      </w:r>
      <w:r w:rsidRPr="00453626">
        <w:rPr>
          <w:rFonts w:ascii="Times New Roman" w:hAnsi="Times New Roman" w:cs="Times New Roman"/>
          <w:noProof/>
          <w:sz w:val="24"/>
          <w:szCs w:val="24"/>
        </w:rPr>
        <w:t xml:space="preserve"> </w:t>
      </w:r>
      <w:r w:rsidRPr="00453626">
        <w:rPr>
          <w:rFonts w:ascii="Times New Roman" w:hAnsi="Times New Roman" w:cs="Times New Roman"/>
          <w:b/>
          <w:bCs/>
          <w:noProof/>
          <w:sz w:val="24"/>
          <w:szCs w:val="24"/>
        </w:rPr>
        <w:t>365</w:t>
      </w:r>
      <w:r w:rsidRPr="00453626">
        <w:rPr>
          <w:rFonts w:ascii="Times New Roman" w:hAnsi="Times New Roman" w:cs="Times New Roman"/>
          <w:noProof/>
          <w:sz w:val="24"/>
          <w:szCs w:val="24"/>
        </w:rPr>
        <w:t>, 1–8.</w:t>
      </w:r>
    </w:p>
    <w:p w14:paraId="4861CF6E"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szCs w:val="24"/>
        </w:rPr>
      </w:pPr>
      <w:r w:rsidRPr="00453626">
        <w:rPr>
          <w:rFonts w:ascii="Times New Roman" w:hAnsi="Times New Roman" w:cs="Times New Roman"/>
          <w:noProof/>
          <w:sz w:val="24"/>
          <w:szCs w:val="24"/>
        </w:rPr>
        <w:t xml:space="preserve">40. </w:t>
      </w:r>
      <w:r w:rsidRPr="00453626">
        <w:rPr>
          <w:rFonts w:ascii="Times New Roman" w:hAnsi="Times New Roman" w:cs="Times New Roman"/>
          <w:noProof/>
          <w:sz w:val="24"/>
          <w:szCs w:val="24"/>
        </w:rPr>
        <w:tab/>
        <w:t xml:space="preserve">Drewnowski A &amp; Darmon N (2005) Food Choices and Diet Costs : an Economic Analysis. </w:t>
      </w:r>
      <w:r w:rsidRPr="00453626">
        <w:rPr>
          <w:rFonts w:ascii="Times New Roman" w:hAnsi="Times New Roman" w:cs="Times New Roman"/>
          <w:i/>
          <w:iCs/>
          <w:noProof/>
          <w:sz w:val="24"/>
          <w:szCs w:val="24"/>
        </w:rPr>
        <w:t>J. Nutr.</w:t>
      </w:r>
      <w:r w:rsidRPr="00453626">
        <w:rPr>
          <w:rFonts w:ascii="Times New Roman" w:hAnsi="Times New Roman" w:cs="Times New Roman"/>
          <w:noProof/>
          <w:sz w:val="24"/>
          <w:szCs w:val="24"/>
        </w:rPr>
        <w:t xml:space="preserve"> </w:t>
      </w:r>
      <w:r w:rsidRPr="00453626">
        <w:rPr>
          <w:rFonts w:ascii="Times New Roman" w:hAnsi="Times New Roman" w:cs="Times New Roman"/>
          <w:b/>
          <w:bCs/>
          <w:noProof/>
          <w:sz w:val="24"/>
          <w:szCs w:val="24"/>
        </w:rPr>
        <w:t>135</w:t>
      </w:r>
      <w:r w:rsidRPr="00453626">
        <w:rPr>
          <w:rFonts w:ascii="Times New Roman" w:hAnsi="Times New Roman" w:cs="Times New Roman"/>
          <w:noProof/>
          <w:sz w:val="24"/>
          <w:szCs w:val="24"/>
        </w:rPr>
        <w:t>, 900–904.</w:t>
      </w:r>
    </w:p>
    <w:p w14:paraId="6B5F8E0B" w14:textId="77777777" w:rsidR="0027432A" w:rsidRPr="00453626" w:rsidRDefault="0027432A" w:rsidP="0027432A">
      <w:pPr>
        <w:widowControl w:val="0"/>
        <w:autoSpaceDE w:val="0"/>
        <w:autoSpaceDN w:val="0"/>
        <w:adjustRightInd w:val="0"/>
        <w:spacing w:line="360" w:lineRule="auto"/>
        <w:ind w:left="640" w:hanging="640"/>
        <w:rPr>
          <w:rFonts w:ascii="Times New Roman" w:hAnsi="Times New Roman" w:cs="Times New Roman"/>
          <w:noProof/>
          <w:sz w:val="24"/>
        </w:rPr>
      </w:pPr>
      <w:r w:rsidRPr="00453626">
        <w:rPr>
          <w:rFonts w:ascii="Times New Roman" w:hAnsi="Times New Roman" w:cs="Times New Roman"/>
          <w:noProof/>
          <w:sz w:val="24"/>
          <w:szCs w:val="24"/>
        </w:rPr>
        <w:t xml:space="preserve">41. </w:t>
      </w:r>
      <w:r w:rsidRPr="00453626">
        <w:rPr>
          <w:rFonts w:ascii="Times New Roman" w:hAnsi="Times New Roman" w:cs="Times New Roman"/>
          <w:noProof/>
          <w:sz w:val="24"/>
          <w:szCs w:val="24"/>
        </w:rPr>
        <w:tab/>
        <w:t xml:space="preserve">Marty L, Jones A &amp; Robinson E (2020) Socioeconomic position and the impact of increasing availability of lower energy meals vs. menu energy labelling on food choice: Two randomized controlled trials in a virtual fast-food restaurant. </w:t>
      </w:r>
      <w:r w:rsidRPr="00453626">
        <w:rPr>
          <w:rFonts w:ascii="Times New Roman" w:hAnsi="Times New Roman" w:cs="Times New Roman"/>
          <w:i/>
          <w:iCs/>
          <w:noProof/>
          <w:sz w:val="24"/>
          <w:szCs w:val="24"/>
        </w:rPr>
        <w:t>Int. J. Behav. Nutr. Phys. Act.</w:t>
      </w:r>
      <w:r w:rsidRPr="00453626">
        <w:rPr>
          <w:rFonts w:ascii="Times New Roman" w:hAnsi="Times New Roman" w:cs="Times New Roman"/>
          <w:noProof/>
          <w:sz w:val="24"/>
          <w:szCs w:val="24"/>
        </w:rPr>
        <w:t xml:space="preserve"> </w:t>
      </w:r>
      <w:r w:rsidRPr="00453626">
        <w:rPr>
          <w:rFonts w:ascii="Times New Roman" w:hAnsi="Times New Roman" w:cs="Times New Roman"/>
          <w:b/>
          <w:bCs/>
          <w:noProof/>
          <w:sz w:val="24"/>
          <w:szCs w:val="24"/>
        </w:rPr>
        <w:t>17</w:t>
      </w:r>
      <w:r w:rsidRPr="00453626">
        <w:rPr>
          <w:rFonts w:ascii="Times New Roman" w:hAnsi="Times New Roman" w:cs="Times New Roman"/>
          <w:noProof/>
          <w:sz w:val="24"/>
          <w:szCs w:val="24"/>
        </w:rPr>
        <w:t>, 10.</w:t>
      </w:r>
    </w:p>
    <w:p w14:paraId="6BFA3EE0" w14:textId="6A7506A5" w:rsidR="00940D5A" w:rsidRPr="00453626" w:rsidRDefault="00D13D00" w:rsidP="00396F23">
      <w:pPr>
        <w:spacing w:line="360" w:lineRule="auto"/>
        <w:rPr>
          <w:rFonts w:ascii="Times New Roman" w:hAnsi="Times New Roman" w:cs="Times New Roman"/>
          <w:sz w:val="24"/>
        </w:rPr>
      </w:pPr>
      <w:r w:rsidRPr="00453626">
        <w:rPr>
          <w:rFonts w:ascii="Times New Roman" w:hAnsi="Times New Roman" w:cs="Times New Roman"/>
          <w:sz w:val="24"/>
        </w:rPr>
        <w:fldChar w:fldCharType="end"/>
      </w:r>
    </w:p>
    <w:sectPr w:rsidR="00940D5A" w:rsidRPr="00453626" w:rsidSect="00396F23">
      <w:headerReference w:type="default" r:id="rId11"/>
      <w:pgSz w:w="11906" w:h="16838"/>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3DCE2" w14:textId="77777777" w:rsidR="00C86998" w:rsidRDefault="00C86998" w:rsidP="00874AD3">
      <w:pPr>
        <w:spacing w:after="0" w:line="240" w:lineRule="auto"/>
      </w:pPr>
      <w:r>
        <w:separator/>
      </w:r>
    </w:p>
  </w:endnote>
  <w:endnote w:type="continuationSeparator" w:id="0">
    <w:p w14:paraId="1029DEEA" w14:textId="77777777" w:rsidR="00C86998" w:rsidRDefault="00C86998" w:rsidP="0087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 Pro Light">
    <w:altName w:val="Calibri"/>
    <w:panose1 w:val="00000000000000000000"/>
    <w:charset w:val="00"/>
    <w:family w:val="swiss"/>
    <w:notTrueType/>
    <w:pitch w:val="default"/>
    <w:sig w:usb0="00000003" w:usb1="00000000" w:usb2="00000000" w:usb3="00000000" w:csb0="00000001" w:csb1="00000000"/>
  </w:font>
  <w:font w:name="Meta Serif Pro Book">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5CEE8" w14:textId="77777777" w:rsidR="00C86998" w:rsidRDefault="00C86998" w:rsidP="00874AD3">
      <w:pPr>
        <w:spacing w:after="0" w:line="240" w:lineRule="auto"/>
      </w:pPr>
      <w:r>
        <w:separator/>
      </w:r>
    </w:p>
  </w:footnote>
  <w:footnote w:type="continuationSeparator" w:id="0">
    <w:p w14:paraId="3F72567B" w14:textId="77777777" w:rsidR="00C86998" w:rsidRDefault="00C86998" w:rsidP="00874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804044"/>
      <w:docPartObj>
        <w:docPartGallery w:val="Page Numbers (Top of Page)"/>
        <w:docPartUnique/>
      </w:docPartObj>
    </w:sdtPr>
    <w:sdtEndPr>
      <w:rPr>
        <w:noProof/>
      </w:rPr>
    </w:sdtEndPr>
    <w:sdtContent>
      <w:p w14:paraId="5410361E" w14:textId="000F80C1" w:rsidR="00635443" w:rsidRDefault="00635443">
        <w:pPr>
          <w:pStyle w:val="Header"/>
          <w:jc w:val="right"/>
        </w:pPr>
        <w:r>
          <w:fldChar w:fldCharType="begin"/>
        </w:r>
        <w:r>
          <w:instrText xml:space="preserve"> PAGE   \* MERGEFORMAT </w:instrText>
        </w:r>
        <w:r>
          <w:fldChar w:fldCharType="separate"/>
        </w:r>
        <w:r w:rsidR="001669CC">
          <w:rPr>
            <w:noProof/>
          </w:rPr>
          <w:t>13</w:t>
        </w:r>
        <w:r>
          <w:rPr>
            <w:noProof/>
          </w:rPr>
          <w:fldChar w:fldCharType="end"/>
        </w:r>
      </w:p>
    </w:sdtContent>
  </w:sdt>
  <w:p w14:paraId="0CF8F218" w14:textId="77777777" w:rsidR="00635443" w:rsidRDefault="00635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13709"/>
    <w:multiLevelType w:val="hybridMultilevel"/>
    <w:tmpl w:val="9820B356"/>
    <w:lvl w:ilvl="0" w:tplc="7278C5B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46418"/>
    <w:multiLevelType w:val="hybridMultilevel"/>
    <w:tmpl w:val="7246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200552"/>
    <w:multiLevelType w:val="hybridMultilevel"/>
    <w:tmpl w:val="AAFCF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EA4586"/>
    <w:multiLevelType w:val="hybridMultilevel"/>
    <w:tmpl w:val="EF6C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387756"/>
    <w:multiLevelType w:val="hybridMultilevel"/>
    <w:tmpl w:val="D946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6F297C"/>
    <w:multiLevelType w:val="hybridMultilevel"/>
    <w:tmpl w:val="02E66EBA"/>
    <w:lvl w:ilvl="0" w:tplc="AB58ED8E">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AD3"/>
    <w:rsid w:val="00000F57"/>
    <w:rsid w:val="00005518"/>
    <w:rsid w:val="000055E5"/>
    <w:rsid w:val="000062C0"/>
    <w:rsid w:val="000072BD"/>
    <w:rsid w:val="0001078E"/>
    <w:rsid w:val="00014AC1"/>
    <w:rsid w:val="000202C9"/>
    <w:rsid w:val="00022414"/>
    <w:rsid w:val="00026E71"/>
    <w:rsid w:val="00034FB9"/>
    <w:rsid w:val="0003694C"/>
    <w:rsid w:val="0004370A"/>
    <w:rsid w:val="0004455B"/>
    <w:rsid w:val="000458F2"/>
    <w:rsid w:val="000522A8"/>
    <w:rsid w:val="000543F5"/>
    <w:rsid w:val="00055B86"/>
    <w:rsid w:val="0005798C"/>
    <w:rsid w:val="00067A96"/>
    <w:rsid w:val="000750EF"/>
    <w:rsid w:val="00076187"/>
    <w:rsid w:val="0007650F"/>
    <w:rsid w:val="00080854"/>
    <w:rsid w:val="00081725"/>
    <w:rsid w:val="00082D37"/>
    <w:rsid w:val="00082D81"/>
    <w:rsid w:val="00084687"/>
    <w:rsid w:val="0008591C"/>
    <w:rsid w:val="000861DB"/>
    <w:rsid w:val="000903AF"/>
    <w:rsid w:val="000923BA"/>
    <w:rsid w:val="000A0726"/>
    <w:rsid w:val="000A26D8"/>
    <w:rsid w:val="000A3617"/>
    <w:rsid w:val="000A6B3B"/>
    <w:rsid w:val="000B1710"/>
    <w:rsid w:val="000B1E72"/>
    <w:rsid w:val="000B2A88"/>
    <w:rsid w:val="000B59B5"/>
    <w:rsid w:val="000B7410"/>
    <w:rsid w:val="000C22BF"/>
    <w:rsid w:val="000C3144"/>
    <w:rsid w:val="000C6FA6"/>
    <w:rsid w:val="000C7573"/>
    <w:rsid w:val="000D13E1"/>
    <w:rsid w:val="000D28AE"/>
    <w:rsid w:val="000D79B0"/>
    <w:rsid w:val="000E317B"/>
    <w:rsid w:val="000F0266"/>
    <w:rsid w:val="000F2084"/>
    <w:rsid w:val="000F31E6"/>
    <w:rsid w:val="000F347B"/>
    <w:rsid w:val="000F4170"/>
    <w:rsid w:val="000F65AC"/>
    <w:rsid w:val="000F7E58"/>
    <w:rsid w:val="00101F1D"/>
    <w:rsid w:val="001025E9"/>
    <w:rsid w:val="00107303"/>
    <w:rsid w:val="00114322"/>
    <w:rsid w:val="00117D2C"/>
    <w:rsid w:val="001214C6"/>
    <w:rsid w:val="00121E3D"/>
    <w:rsid w:val="00123641"/>
    <w:rsid w:val="00126100"/>
    <w:rsid w:val="001268E1"/>
    <w:rsid w:val="00126CD5"/>
    <w:rsid w:val="00132930"/>
    <w:rsid w:val="0013322F"/>
    <w:rsid w:val="001350DC"/>
    <w:rsid w:val="00142C73"/>
    <w:rsid w:val="00142F37"/>
    <w:rsid w:val="0015001A"/>
    <w:rsid w:val="0015088C"/>
    <w:rsid w:val="001519D5"/>
    <w:rsid w:val="001546B0"/>
    <w:rsid w:val="00154D14"/>
    <w:rsid w:val="001562A8"/>
    <w:rsid w:val="001566B2"/>
    <w:rsid w:val="001627B7"/>
    <w:rsid w:val="00163A4D"/>
    <w:rsid w:val="00164CFD"/>
    <w:rsid w:val="001669CC"/>
    <w:rsid w:val="00166DC6"/>
    <w:rsid w:val="001718C3"/>
    <w:rsid w:val="00171CBF"/>
    <w:rsid w:val="00172484"/>
    <w:rsid w:val="0017441C"/>
    <w:rsid w:val="001806D5"/>
    <w:rsid w:val="00181715"/>
    <w:rsid w:val="00182336"/>
    <w:rsid w:val="0018299C"/>
    <w:rsid w:val="001835D3"/>
    <w:rsid w:val="00183AB1"/>
    <w:rsid w:val="00183F6A"/>
    <w:rsid w:val="00191B3E"/>
    <w:rsid w:val="0019413A"/>
    <w:rsid w:val="00194B6E"/>
    <w:rsid w:val="00195C08"/>
    <w:rsid w:val="001968F0"/>
    <w:rsid w:val="001A02F5"/>
    <w:rsid w:val="001A100B"/>
    <w:rsid w:val="001A2E61"/>
    <w:rsid w:val="001A3062"/>
    <w:rsid w:val="001A44D0"/>
    <w:rsid w:val="001A6F06"/>
    <w:rsid w:val="001B13BD"/>
    <w:rsid w:val="001B179C"/>
    <w:rsid w:val="001B1FEE"/>
    <w:rsid w:val="001B3294"/>
    <w:rsid w:val="001B7F04"/>
    <w:rsid w:val="001C1114"/>
    <w:rsid w:val="001C5058"/>
    <w:rsid w:val="001C56B1"/>
    <w:rsid w:val="001D3610"/>
    <w:rsid w:val="001D5487"/>
    <w:rsid w:val="001D70DD"/>
    <w:rsid w:val="001E04C9"/>
    <w:rsid w:val="001E2234"/>
    <w:rsid w:val="001E3784"/>
    <w:rsid w:val="001E4FAF"/>
    <w:rsid w:val="001E7A57"/>
    <w:rsid w:val="001F0FAB"/>
    <w:rsid w:val="0020054F"/>
    <w:rsid w:val="00203387"/>
    <w:rsid w:val="00204602"/>
    <w:rsid w:val="002059BF"/>
    <w:rsid w:val="0020600C"/>
    <w:rsid w:val="00207D25"/>
    <w:rsid w:val="0021388A"/>
    <w:rsid w:val="002145D2"/>
    <w:rsid w:val="00214EEA"/>
    <w:rsid w:val="00217073"/>
    <w:rsid w:val="00217985"/>
    <w:rsid w:val="00220F10"/>
    <w:rsid w:val="00221090"/>
    <w:rsid w:val="002219C8"/>
    <w:rsid w:val="00222D66"/>
    <w:rsid w:val="00223A37"/>
    <w:rsid w:val="00225E52"/>
    <w:rsid w:val="002260A0"/>
    <w:rsid w:val="002303D6"/>
    <w:rsid w:val="00231B76"/>
    <w:rsid w:val="00234161"/>
    <w:rsid w:val="002369E5"/>
    <w:rsid w:val="002410C1"/>
    <w:rsid w:val="00241F0E"/>
    <w:rsid w:val="00242F76"/>
    <w:rsid w:val="00243818"/>
    <w:rsid w:val="002450AF"/>
    <w:rsid w:val="0024668D"/>
    <w:rsid w:val="0024749F"/>
    <w:rsid w:val="00247A05"/>
    <w:rsid w:val="002501CF"/>
    <w:rsid w:val="00251E6E"/>
    <w:rsid w:val="002526B0"/>
    <w:rsid w:val="00253728"/>
    <w:rsid w:val="002576C6"/>
    <w:rsid w:val="00257B2D"/>
    <w:rsid w:val="00262482"/>
    <w:rsid w:val="002624EC"/>
    <w:rsid w:val="00264F07"/>
    <w:rsid w:val="00265599"/>
    <w:rsid w:val="0026669A"/>
    <w:rsid w:val="0027198B"/>
    <w:rsid w:val="0027432A"/>
    <w:rsid w:val="00276737"/>
    <w:rsid w:val="00277CBE"/>
    <w:rsid w:val="002815CD"/>
    <w:rsid w:val="00281C93"/>
    <w:rsid w:val="00283255"/>
    <w:rsid w:val="00285652"/>
    <w:rsid w:val="002905CE"/>
    <w:rsid w:val="00293C97"/>
    <w:rsid w:val="0029512C"/>
    <w:rsid w:val="002956F3"/>
    <w:rsid w:val="00295EA9"/>
    <w:rsid w:val="00295FB4"/>
    <w:rsid w:val="002A146F"/>
    <w:rsid w:val="002A5D73"/>
    <w:rsid w:val="002A6598"/>
    <w:rsid w:val="002A67F1"/>
    <w:rsid w:val="002B0729"/>
    <w:rsid w:val="002B2B6B"/>
    <w:rsid w:val="002B6F5D"/>
    <w:rsid w:val="002C01BE"/>
    <w:rsid w:val="002C04C0"/>
    <w:rsid w:val="002C07A5"/>
    <w:rsid w:val="002C1698"/>
    <w:rsid w:val="002C2863"/>
    <w:rsid w:val="002C3335"/>
    <w:rsid w:val="002C3B81"/>
    <w:rsid w:val="002C3C69"/>
    <w:rsid w:val="002C761C"/>
    <w:rsid w:val="002D5977"/>
    <w:rsid w:val="002D75DF"/>
    <w:rsid w:val="002E10E0"/>
    <w:rsid w:val="002E2910"/>
    <w:rsid w:val="002E4499"/>
    <w:rsid w:val="002E6B64"/>
    <w:rsid w:val="002F3575"/>
    <w:rsid w:val="002F5257"/>
    <w:rsid w:val="002F7870"/>
    <w:rsid w:val="0030280A"/>
    <w:rsid w:val="00305367"/>
    <w:rsid w:val="0030678B"/>
    <w:rsid w:val="00306AFE"/>
    <w:rsid w:val="003074CB"/>
    <w:rsid w:val="0031187A"/>
    <w:rsid w:val="0031298C"/>
    <w:rsid w:val="0031614A"/>
    <w:rsid w:val="00320D35"/>
    <w:rsid w:val="003210DD"/>
    <w:rsid w:val="003223BC"/>
    <w:rsid w:val="0032342C"/>
    <w:rsid w:val="003237E4"/>
    <w:rsid w:val="00323AD9"/>
    <w:rsid w:val="00325D10"/>
    <w:rsid w:val="00327544"/>
    <w:rsid w:val="003275EC"/>
    <w:rsid w:val="00327A07"/>
    <w:rsid w:val="00331D40"/>
    <w:rsid w:val="0033390A"/>
    <w:rsid w:val="00334918"/>
    <w:rsid w:val="00335301"/>
    <w:rsid w:val="00335823"/>
    <w:rsid w:val="0033631F"/>
    <w:rsid w:val="00343067"/>
    <w:rsid w:val="00347587"/>
    <w:rsid w:val="003476D7"/>
    <w:rsid w:val="003479BE"/>
    <w:rsid w:val="00350156"/>
    <w:rsid w:val="00351DF5"/>
    <w:rsid w:val="003544AB"/>
    <w:rsid w:val="003545B9"/>
    <w:rsid w:val="003656F8"/>
    <w:rsid w:val="00367A10"/>
    <w:rsid w:val="00370A59"/>
    <w:rsid w:val="003745D0"/>
    <w:rsid w:val="003766EA"/>
    <w:rsid w:val="0038188A"/>
    <w:rsid w:val="00385DF6"/>
    <w:rsid w:val="00390A8A"/>
    <w:rsid w:val="00396F23"/>
    <w:rsid w:val="00397368"/>
    <w:rsid w:val="00397A23"/>
    <w:rsid w:val="003A5878"/>
    <w:rsid w:val="003B0D3D"/>
    <w:rsid w:val="003B26CD"/>
    <w:rsid w:val="003C021A"/>
    <w:rsid w:val="003D0B44"/>
    <w:rsid w:val="003D1565"/>
    <w:rsid w:val="003D1ECC"/>
    <w:rsid w:val="003D4D66"/>
    <w:rsid w:val="003E09DF"/>
    <w:rsid w:val="003E20F2"/>
    <w:rsid w:val="003E4CEB"/>
    <w:rsid w:val="003F364A"/>
    <w:rsid w:val="003F3ED8"/>
    <w:rsid w:val="003F5220"/>
    <w:rsid w:val="003F6508"/>
    <w:rsid w:val="00400658"/>
    <w:rsid w:val="00402391"/>
    <w:rsid w:val="00405091"/>
    <w:rsid w:val="0040731B"/>
    <w:rsid w:val="00416B43"/>
    <w:rsid w:val="0041775E"/>
    <w:rsid w:val="0042354B"/>
    <w:rsid w:val="00424484"/>
    <w:rsid w:val="00426217"/>
    <w:rsid w:val="0042653D"/>
    <w:rsid w:val="00427B43"/>
    <w:rsid w:val="00431227"/>
    <w:rsid w:val="00435E44"/>
    <w:rsid w:val="00436526"/>
    <w:rsid w:val="00441099"/>
    <w:rsid w:val="00441843"/>
    <w:rsid w:val="00443296"/>
    <w:rsid w:val="004432E6"/>
    <w:rsid w:val="00443B70"/>
    <w:rsid w:val="00444EA4"/>
    <w:rsid w:val="00446320"/>
    <w:rsid w:val="00452233"/>
    <w:rsid w:val="00453626"/>
    <w:rsid w:val="004557FF"/>
    <w:rsid w:val="00461ED1"/>
    <w:rsid w:val="004636EB"/>
    <w:rsid w:val="004746B3"/>
    <w:rsid w:val="00477857"/>
    <w:rsid w:val="00485BFA"/>
    <w:rsid w:val="004862BC"/>
    <w:rsid w:val="00486DE0"/>
    <w:rsid w:val="00487090"/>
    <w:rsid w:val="00491464"/>
    <w:rsid w:val="00495406"/>
    <w:rsid w:val="0049580A"/>
    <w:rsid w:val="004A2705"/>
    <w:rsid w:val="004A76E4"/>
    <w:rsid w:val="004B086E"/>
    <w:rsid w:val="004B1C00"/>
    <w:rsid w:val="004B6CEF"/>
    <w:rsid w:val="004B7D4B"/>
    <w:rsid w:val="004C0C70"/>
    <w:rsid w:val="004C16B0"/>
    <w:rsid w:val="004C4A0C"/>
    <w:rsid w:val="004D0664"/>
    <w:rsid w:val="004D2AAE"/>
    <w:rsid w:val="004D3B0F"/>
    <w:rsid w:val="004D5393"/>
    <w:rsid w:val="004D6BA7"/>
    <w:rsid w:val="004D7D80"/>
    <w:rsid w:val="004E12D6"/>
    <w:rsid w:val="004E22B0"/>
    <w:rsid w:val="004E7307"/>
    <w:rsid w:val="004F380E"/>
    <w:rsid w:val="004F464C"/>
    <w:rsid w:val="004F67E4"/>
    <w:rsid w:val="00502BCC"/>
    <w:rsid w:val="00503F5D"/>
    <w:rsid w:val="00504227"/>
    <w:rsid w:val="00507894"/>
    <w:rsid w:val="005130EE"/>
    <w:rsid w:val="00514186"/>
    <w:rsid w:val="00514816"/>
    <w:rsid w:val="00515F95"/>
    <w:rsid w:val="00516683"/>
    <w:rsid w:val="00523D6F"/>
    <w:rsid w:val="00525A4D"/>
    <w:rsid w:val="0053260F"/>
    <w:rsid w:val="00532AF3"/>
    <w:rsid w:val="00533E8E"/>
    <w:rsid w:val="00533ED7"/>
    <w:rsid w:val="00534158"/>
    <w:rsid w:val="0053463C"/>
    <w:rsid w:val="00534C57"/>
    <w:rsid w:val="00535AC1"/>
    <w:rsid w:val="00540A5E"/>
    <w:rsid w:val="00541533"/>
    <w:rsid w:val="00542B62"/>
    <w:rsid w:val="0054425B"/>
    <w:rsid w:val="00550589"/>
    <w:rsid w:val="005507CF"/>
    <w:rsid w:val="0055239B"/>
    <w:rsid w:val="0055327B"/>
    <w:rsid w:val="005556F4"/>
    <w:rsid w:val="005649D5"/>
    <w:rsid w:val="00564DA5"/>
    <w:rsid w:val="005661FE"/>
    <w:rsid w:val="00570F72"/>
    <w:rsid w:val="00574741"/>
    <w:rsid w:val="005750C6"/>
    <w:rsid w:val="00575CDB"/>
    <w:rsid w:val="00580108"/>
    <w:rsid w:val="00582A86"/>
    <w:rsid w:val="00585282"/>
    <w:rsid w:val="00596272"/>
    <w:rsid w:val="005A15B0"/>
    <w:rsid w:val="005A1D98"/>
    <w:rsid w:val="005A406D"/>
    <w:rsid w:val="005A4171"/>
    <w:rsid w:val="005A59C6"/>
    <w:rsid w:val="005A610E"/>
    <w:rsid w:val="005A61D4"/>
    <w:rsid w:val="005A6A0F"/>
    <w:rsid w:val="005A6AC0"/>
    <w:rsid w:val="005B040B"/>
    <w:rsid w:val="005B0674"/>
    <w:rsid w:val="005B12EF"/>
    <w:rsid w:val="005B2594"/>
    <w:rsid w:val="005C0D24"/>
    <w:rsid w:val="005C3C7D"/>
    <w:rsid w:val="005C571A"/>
    <w:rsid w:val="005C5F42"/>
    <w:rsid w:val="005C6962"/>
    <w:rsid w:val="005C6B45"/>
    <w:rsid w:val="005C6EA7"/>
    <w:rsid w:val="005C736B"/>
    <w:rsid w:val="005D01B5"/>
    <w:rsid w:val="005D7DB1"/>
    <w:rsid w:val="005E1969"/>
    <w:rsid w:val="005E1D25"/>
    <w:rsid w:val="005E5231"/>
    <w:rsid w:val="005E6AC3"/>
    <w:rsid w:val="005E6EF9"/>
    <w:rsid w:val="005F051F"/>
    <w:rsid w:val="005F2E75"/>
    <w:rsid w:val="005F388F"/>
    <w:rsid w:val="005F3E45"/>
    <w:rsid w:val="005F5AEF"/>
    <w:rsid w:val="0060012F"/>
    <w:rsid w:val="0060178B"/>
    <w:rsid w:val="00602529"/>
    <w:rsid w:val="00604822"/>
    <w:rsid w:val="00606130"/>
    <w:rsid w:val="00606431"/>
    <w:rsid w:val="00611321"/>
    <w:rsid w:val="00614DA3"/>
    <w:rsid w:val="006163F1"/>
    <w:rsid w:val="00617221"/>
    <w:rsid w:val="00617B67"/>
    <w:rsid w:val="00620125"/>
    <w:rsid w:val="00626738"/>
    <w:rsid w:val="00626C7F"/>
    <w:rsid w:val="00635443"/>
    <w:rsid w:val="00636267"/>
    <w:rsid w:val="006408AD"/>
    <w:rsid w:val="0065132C"/>
    <w:rsid w:val="00654366"/>
    <w:rsid w:val="00655B4B"/>
    <w:rsid w:val="00656C92"/>
    <w:rsid w:val="006644BC"/>
    <w:rsid w:val="006650AF"/>
    <w:rsid w:val="0066525C"/>
    <w:rsid w:val="00667E7C"/>
    <w:rsid w:val="006704F3"/>
    <w:rsid w:val="00670782"/>
    <w:rsid w:val="006728B1"/>
    <w:rsid w:val="00676F8B"/>
    <w:rsid w:val="00684D5E"/>
    <w:rsid w:val="006855C3"/>
    <w:rsid w:val="00685F8F"/>
    <w:rsid w:val="0069162E"/>
    <w:rsid w:val="006965D5"/>
    <w:rsid w:val="006967F2"/>
    <w:rsid w:val="00697D18"/>
    <w:rsid w:val="00697EE1"/>
    <w:rsid w:val="006A7CDE"/>
    <w:rsid w:val="006B0413"/>
    <w:rsid w:val="006B047D"/>
    <w:rsid w:val="006B5152"/>
    <w:rsid w:val="006B7CF7"/>
    <w:rsid w:val="006D09B3"/>
    <w:rsid w:val="006D0FD4"/>
    <w:rsid w:val="006D1F12"/>
    <w:rsid w:val="006D52F4"/>
    <w:rsid w:val="006D5680"/>
    <w:rsid w:val="006D68DB"/>
    <w:rsid w:val="006E14E4"/>
    <w:rsid w:val="006E57CE"/>
    <w:rsid w:val="006F0F3B"/>
    <w:rsid w:val="006F12EB"/>
    <w:rsid w:val="006F2661"/>
    <w:rsid w:val="006F2E9B"/>
    <w:rsid w:val="006F37F0"/>
    <w:rsid w:val="006F3A64"/>
    <w:rsid w:val="00701C2A"/>
    <w:rsid w:val="0070605B"/>
    <w:rsid w:val="007111E5"/>
    <w:rsid w:val="00716DE8"/>
    <w:rsid w:val="007175E2"/>
    <w:rsid w:val="0072011F"/>
    <w:rsid w:val="00720616"/>
    <w:rsid w:val="007233FE"/>
    <w:rsid w:val="0072494B"/>
    <w:rsid w:val="00724ED5"/>
    <w:rsid w:val="00727256"/>
    <w:rsid w:val="0073030D"/>
    <w:rsid w:val="007310B5"/>
    <w:rsid w:val="00732012"/>
    <w:rsid w:val="007336FF"/>
    <w:rsid w:val="00744D33"/>
    <w:rsid w:val="0075014A"/>
    <w:rsid w:val="00752C18"/>
    <w:rsid w:val="00757D68"/>
    <w:rsid w:val="00766BFC"/>
    <w:rsid w:val="0077104C"/>
    <w:rsid w:val="0077535F"/>
    <w:rsid w:val="00776553"/>
    <w:rsid w:val="00777647"/>
    <w:rsid w:val="00781592"/>
    <w:rsid w:val="00781F63"/>
    <w:rsid w:val="00783FE6"/>
    <w:rsid w:val="00785A67"/>
    <w:rsid w:val="00785BBE"/>
    <w:rsid w:val="00785E43"/>
    <w:rsid w:val="007873CA"/>
    <w:rsid w:val="00787F8A"/>
    <w:rsid w:val="007903E7"/>
    <w:rsid w:val="00791C78"/>
    <w:rsid w:val="007925E1"/>
    <w:rsid w:val="0079268A"/>
    <w:rsid w:val="00797ED5"/>
    <w:rsid w:val="007A2B7A"/>
    <w:rsid w:val="007A7AF1"/>
    <w:rsid w:val="007B1ED8"/>
    <w:rsid w:val="007B5000"/>
    <w:rsid w:val="007B665E"/>
    <w:rsid w:val="007B7668"/>
    <w:rsid w:val="007B7A37"/>
    <w:rsid w:val="007C11C1"/>
    <w:rsid w:val="007C2823"/>
    <w:rsid w:val="007C399C"/>
    <w:rsid w:val="007C4900"/>
    <w:rsid w:val="007C4E4A"/>
    <w:rsid w:val="007C7C75"/>
    <w:rsid w:val="007D2CAB"/>
    <w:rsid w:val="007D2EDA"/>
    <w:rsid w:val="007D3A99"/>
    <w:rsid w:val="007D4944"/>
    <w:rsid w:val="007E250C"/>
    <w:rsid w:val="007E4B29"/>
    <w:rsid w:val="007E70C8"/>
    <w:rsid w:val="007F09C6"/>
    <w:rsid w:val="007F2301"/>
    <w:rsid w:val="007F6ECB"/>
    <w:rsid w:val="00810445"/>
    <w:rsid w:val="00812423"/>
    <w:rsid w:val="0082100E"/>
    <w:rsid w:val="008212F3"/>
    <w:rsid w:val="00821E01"/>
    <w:rsid w:val="00823491"/>
    <w:rsid w:val="008241A2"/>
    <w:rsid w:val="00830476"/>
    <w:rsid w:val="00830541"/>
    <w:rsid w:val="008316A8"/>
    <w:rsid w:val="00836CF3"/>
    <w:rsid w:val="00840346"/>
    <w:rsid w:val="0084111E"/>
    <w:rsid w:val="00842AA5"/>
    <w:rsid w:val="008455C2"/>
    <w:rsid w:val="00846800"/>
    <w:rsid w:val="00847A0F"/>
    <w:rsid w:val="008537C0"/>
    <w:rsid w:val="00853D19"/>
    <w:rsid w:val="008549FD"/>
    <w:rsid w:val="00854DE9"/>
    <w:rsid w:val="00861FF2"/>
    <w:rsid w:val="008643F9"/>
    <w:rsid w:val="00865FF8"/>
    <w:rsid w:val="00874AD3"/>
    <w:rsid w:val="00874F4D"/>
    <w:rsid w:val="00875E96"/>
    <w:rsid w:val="0087683F"/>
    <w:rsid w:val="00886C3A"/>
    <w:rsid w:val="008919DC"/>
    <w:rsid w:val="008A0CE0"/>
    <w:rsid w:val="008A1837"/>
    <w:rsid w:val="008A4848"/>
    <w:rsid w:val="008A4DEF"/>
    <w:rsid w:val="008A5181"/>
    <w:rsid w:val="008B11C0"/>
    <w:rsid w:val="008B1E72"/>
    <w:rsid w:val="008B1FBC"/>
    <w:rsid w:val="008B5357"/>
    <w:rsid w:val="008B7628"/>
    <w:rsid w:val="008C2596"/>
    <w:rsid w:val="008C42F2"/>
    <w:rsid w:val="008C7F9C"/>
    <w:rsid w:val="008D0B8B"/>
    <w:rsid w:val="008D5E66"/>
    <w:rsid w:val="008E112B"/>
    <w:rsid w:val="008E276A"/>
    <w:rsid w:val="008E3998"/>
    <w:rsid w:val="008E3CE6"/>
    <w:rsid w:val="008E4371"/>
    <w:rsid w:val="008E5AF9"/>
    <w:rsid w:val="008E6E37"/>
    <w:rsid w:val="008E7465"/>
    <w:rsid w:val="008F70D3"/>
    <w:rsid w:val="00901BF1"/>
    <w:rsid w:val="00906F87"/>
    <w:rsid w:val="00907248"/>
    <w:rsid w:val="009074F7"/>
    <w:rsid w:val="00910F4B"/>
    <w:rsid w:val="00915892"/>
    <w:rsid w:val="009170AC"/>
    <w:rsid w:val="00917B68"/>
    <w:rsid w:val="00917D25"/>
    <w:rsid w:val="00922749"/>
    <w:rsid w:val="009248CA"/>
    <w:rsid w:val="00925181"/>
    <w:rsid w:val="0092533C"/>
    <w:rsid w:val="00927428"/>
    <w:rsid w:val="00931A59"/>
    <w:rsid w:val="00933087"/>
    <w:rsid w:val="009334B9"/>
    <w:rsid w:val="009404A2"/>
    <w:rsid w:val="00940D5A"/>
    <w:rsid w:val="00941D46"/>
    <w:rsid w:val="009425D6"/>
    <w:rsid w:val="00957334"/>
    <w:rsid w:val="00961DC1"/>
    <w:rsid w:val="009636D9"/>
    <w:rsid w:val="009647A9"/>
    <w:rsid w:val="00971F0B"/>
    <w:rsid w:val="0097258A"/>
    <w:rsid w:val="00972612"/>
    <w:rsid w:val="0097777B"/>
    <w:rsid w:val="00983610"/>
    <w:rsid w:val="00985409"/>
    <w:rsid w:val="009873A0"/>
    <w:rsid w:val="009924EA"/>
    <w:rsid w:val="00992693"/>
    <w:rsid w:val="00992B50"/>
    <w:rsid w:val="00996892"/>
    <w:rsid w:val="009A20C9"/>
    <w:rsid w:val="009A27F3"/>
    <w:rsid w:val="009A4D85"/>
    <w:rsid w:val="009A4E65"/>
    <w:rsid w:val="009B0DF0"/>
    <w:rsid w:val="009B23F2"/>
    <w:rsid w:val="009B2B04"/>
    <w:rsid w:val="009B61A3"/>
    <w:rsid w:val="009B7952"/>
    <w:rsid w:val="009C7FF0"/>
    <w:rsid w:val="009D093A"/>
    <w:rsid w:val="009D356E"/>
    <w:rsid w:val="009D471E"/>
    <w:rsid w:val="009E0204"/>
    <w:rsid w:val="009E1145"/>
    <w:rsid w:val="009E221E"/>
    <w:rsid w:val="009E5F51"/>
    <w:rsid w:val="009E6750"/>
    <w:rsid w:val="009E6936"/>
    <w:rsid w:val="009E7669"/>
    <w:rsid w:val="009E7C53"/>
    <w:rsid w:val="009F0A87"/>
    <w:rsid w:val="009F2BC6"/>
    <w:rsid w:val="009F62B1"/>
    <w:rsid w:val="009F7B8A"/>
    <w:rsid w:val="00A005ED"/>
    <w:rsid w:val="00A0312C"/>
    <w:rsid w:val="00A071F2"/>
    <w:rsid w:val="00A109DB"/>
    <w:rsid w:val="00A10B28"/>
    <w:rsid w:val="00A11E62"/>
    <w:rsid w:val="00A12F24"/>
    <w:rsid w:val="00A145B2"/>
    <w:rsid w:val="00A15455"/>
    <w:rsid w:val="00A20FDF"/>
    <w:rsid w:val="00A21C81"/>
    <w:rsid w:val="00A32AAD"/>
    <w:rsid w:val="00A3494C"/>
    <w:rsid w:val="00A35F07"/>
    <w:rsid w:val="00A3670C"/>
    <w:rsid w:val="00A40536"/>
    <w:rsid w:val="00A41317"/>
    <w:rsid w:val="00A435A4"/>
    <w:rsid w:val="00A47074"/>
    <w:rsid w:val="00A478DE"/>
    <w:rsid w:val="00A517F0"/>
    <w:rsid w:val="00A534A9"/>
    <w:rsid w:val="00A575EA"/>
    <w:rsid w:val="00A5778A"/>
    <w:rsid w:val="00A57EC2"/>
    <w:rsid w:val="00A61340"/>
    <w:rsid w:val="00A63E61"/>
    <w:rsid w:val="00A64734"/>
    <w:rsid w:val="00A66299"/>
    <w:rsid w:val="00A66E24"/>
    <w:rsid w:val="00A7083D"/>
    <w:rsid w:val="00A70EC7"/>
    <w:rsid w:val="00A73507"/>
    <w:rsid w:val="00A75853"/>
    <w:rsid w:val="00A759F6"/>
    <w:rsid w:val="00A814DF"/>
    <w:rsid w:val="00A879BD"/>
    <w:rsid w:val="00A9090A"/>
    <w:rsid w:val="00A91321"/>
    <w:rsid w:val="00A91A7C"/>
    <w:rsid w:val="00A92176"/>
    <w:rsid w:val="00A94E8F"/>
    <w:rsid w:val="00AA0EEE"/>
    <w:rsid w:val="00AB0A2A"/>
    <w:rsid w:val="00AB2B1C"/>
    <w:rsid w:val="00AB2F9C"/>
    <w:rsid w:val="00AB5229"/>
    <w:rsid w:val="00AC1448"/>
    <w:rsid w:val="00AC158E"/>
    <w:rsid w:val="00AC24FC"/>
    <w:rsid w:val="00AC3501"/>
    <w:rsid w:val="00AC47B1"/>
    <w:rsid w:val="00AC58EF"/>
    <w:rsid w:val="00AC669B"/>
    <w:rsid w:val="00AD090B"/>
    <w:rsid w:val="00AD1331"/>
    <w:rsid w:val="00AD5117"/>
    <w:rsid w:val="00AD5ED3"/>
    <w:rsid w:val="00AD6A38"/>
    <w:rsid w:val="00AE4207"/>
    <w:rsid w:val="00AE7366"/>
    <w:rsid w:val="00AF29F7"/>
    <w:rsid w:val="00AF3187"/>
    <w:rsid w:val="00AF3E4D"/>
    <w:rsid w:val="00AF5313"/>
    <w:rsid w:val="00AF720C"/>
    <w:rsid w:val="00AF72FE"/>
    <w:rsid w:val="00AF7EC7"/>
    <w:rsid w:val="00B011FC"/>
    <w:rsid w:val="00B02492"/>
    <w:rsid w:val="00B02E01"/>
    <w:rsid w:val="00B05306"/>
    <w:rsid w:val="00B0630B"/>
    <w:rsid w:val="00B10DAA"/>
    <w:rsid w:val="00B12297"/>
    <w:rsid w:val="00B16833"/>
    <w:rsid w:val="00B206A1"/>
    <w:rsid w:val="00B2172B"/>
    <w:rsid w:val="00B226AB"/>
    <w:rsid w:val="00B24AC0"/>
    <w:rsid w:val="00B267EA"/>
    <w:rsid w:val="00B27E3E"/>
    <w:rsid w:val="00B30A39"/>
    <w:rsid w:val="00B3107E"/>
    <w:rsid w:val="00B3359D"/>
    <w:rsid w:val="00B350DB"/>
    <w:rsid w:val="00B35762"/>
    <w:rsid w:val="00B42023"/>
    <w:rsid w:val="00B506E0"/>
    <w:rsid w:val="00B54208"/>
    <w:rsid w:val="00B5562C"/>
    <w:rsid w:val="00B55E0E"/>
    <w:rsid w:val="00B56FF7"/>
    <w:rsid w:val="00B63E38"/>
    <w:rsid w:val="00B63F88"/>
    <w:rsid w:val="00B658EF"/>
    <w:rsid w:val="00B7090B"/>
    <w:rsid w:val="00B7392E"/>
    <w:rsid w:val="00B75472"/>
    <w:rsid w:val="00B754BA"/>
    <w:rsid w:val="00B76116"/>
    <w:rsid w:val="00B7660C"/>
    <w:rsid w:val="00B7672A"/>
    <w:rsid w:val="00B80A1B"/>
    <w:rsid w:val="00B86692"/>
    <w:rsid w:val="00B907CC"/>
    <w:rsid w:val="00B90BFE"/>
    <w:rsid w:val="00B91129"/>
    <w:rsid w:val="00B91E5D"/>
    <w:rsid w:val="00B93A11"/>
    <w:rsid w:val="00B94938"/>
    <w:rsid w:val="00B96A1C"/>
    <w:rsid w:val="00B96D5D"/>
    <w:rsid w:val="00B974B4"/>
    <w:rsid w:val="00B9755A"/>
    <w:rsid w:val="00BA09B6"/>
    <w:rsid w:val="00BA1D3E"/>
    <w:rsid w:val="00BA21DA"/>
    <w:rsid w:val="00BA2501"/>
    <w:rsid w:val="00BA55FB"/>
    <w:rsid w:val="00BB0CF9"/>
    <w:rsid w:val="00BB1A53"/>
    <w:rsid w:val="00BB5B8B"/>
    <w:rsid w:val="00BB7CEA"/>
    <w:rsid w:val="00BC1999"/>
    <w:rsid w:val="00BC66CE"/>
    <w:rsid w:val="00BD13FD"/>
    <w:rsid w:val="00BD2BE7"/>
    <w:rsid w:val="00BD6741"/>
    <w:rsid w:val="00BE4FA9"/>
    <w:rsid w:val="00BE5774"/>
    <w:rsid w:val="00BE5E18"/>
    <w:rsid w:val="00BE6FE1"/>
    <w:rsid w:val="00BF2CDF"/>
    <w:rsid w:val="00BF336B"/>
    <w:rsid w:val="00C0035E"/>
    <w:rsid w:val="00C0154D"/>
    <w:rsid w:val="00C02B17"/>
    <w:rsid w:val="00C02F71"/>
    <w:rsid w:val="00C054F0"/>
    <w:rsid w:val="00C0631D"/>
    <w:rsid w:val="00C07490"/>
    <w:rsid w:val="00C07B0C"/>
    <w:rsid w:val="00C12964"/>
    <w:rsid w:val="00C13947"/>
    <w:rsid w:val="00C13C2A"/>
    <w:rsid w:val="00C14F3F"/>
    <w:rsid w:val="00C150CF"/>
    <w:rsid w:val="00C17639"/>
    <w:rsid w:val="00C228DD"/>
    <w:rsid w:val="00C22D5B"/>
    <w:rsid w:val="00C22E24"/>
    <w:rsid w:val="00C23F81"/>
    <w:rsid w:val="00C24F3F"/>
    <w:rsid w:val="00C2637D"/>
    <w:rsid w:val="00C2727A"/>
    <w:rsid w:val="00C3266B"/>
    <w:rsid w:val="00C34531"/>
    <w:rsid w:val="00C36E4D"/>
    <w:rsid w:val="00C406B3"/>
    <w:rsid w:val="00C42266"/>
    <w:rsid w:val="00C4333A"/>
    <w:rsid w:val="00C447E5"/>
    <w:rsid w:val="00C449D4"/>
    <w:rsid w:val="00C47787"/>
    <w:rsid w:val="00C51F0D"/>
    <w:rsid w:val="00C5227B"/>
    <w:rsid w:val="00C5634B"/>
    <w:rsid w:val="00C5734C"/>
    <w:rsid w:val="00C57D8A"/>
    <w:rsid w:val="00C604B7"/>
    <w:rsid w:val="00C629CD"/>
    <w:rsid w:val="00C65502"/>
    <w:rsid w:val="00C666E7"/>
    <w:rsid w:val="00C70535"/>
    <w:rsid w:val="00C70DBA"/>
    <w:rsid w:val="00C728CB"/>
    <w:rsid w:val="00C742AB"/>
    <w:rsid w:val="00C7476C"/>
    <w:rsid w:val="00C752B5"/>
    <w:rsid w:val="00C76B2D"/>
    <w:rsid w:val="00C86421"/>
    <w:rsid w:val="00C867F8"/>
    <w:rsid w:val="00C86998"/>
    <w:rsid w:val="00C86CE8"/>
    <w:rsid w:val="00C872F5"/>
    <w:rsid w:val="00C933EC"/>
    <w:rsid w:val="00C944D3"/>
    <w:rsid w:val="00C94F82"/>
    <w:rsid w:val="00CA159F"/>
    <w:rsid w:val="00CA3BDB"/>
    <w:rsid w:val="00CB0F1B"/>
    <w:rsid w:val="00CB3C87"/>
    <w:rsid w:val="00CB4AAA"/>
    <w:rsid w:val="00CB5127"/>
    <w:rsid w:val="00CB769F"/>
    <w:rsid w:val="00CB79DC"/>
    <w:rsid w:val="00CC133B"/>
    <w:rsid w:val="00CC2629"/>
    <w:rsid w:val="00CC6471"/>
    <w:rsid w:val="00CC6D9F"/>
    <w:rsid w:val="00CD1EFE"/>
    <w:rsid w:val="00CD3327"/>
    <w:rsid w:val="00CD590F"/>
    <w:rsid w:val="00CD7C4E"/>
    <w:rsid w:val="00CE0885"/>
    <w:rsid w:val="00CE21DF"/>
    <w:rsid w:val="00CE27EF"/>
    <w:rsid w:val="00CE2DBB"/>
    <w:rsid w:val="00CE30A6"/>
    <w:rsid w:val="00CE4DD7"/>
    <w:rsid w:val="00CE717A"/>
    <w:rsid w:val="00CE72E0"/>
    <w:rsid w:val="00CE77B5"/>
    <w:rsid w:val="00CE7FB9"/>
    <w:rsid w:val="00CF0614"/>
    <w:rsid w:val="00CF1438"/>
    <w:rsid w:val="00CF5CB1"/>
    <w:rsid w:val="00D01076"/>
    <w:rsid w:val="00D037C9"/>
    <w:rsid w:val="00D05C2C"/>
    <w:rsid w:val="00D05D4F"/>
    <w:rsid w:val="00D13D00"/>
    <w:rsid w:val="00D1416E"/>
    <w:rsid w:val="00D1595A"/>
    <w:rsid w:val="00D20965"/>
    <w:rsid w:val="00D225C8"/>
    <w:rsid w:val="00D25CB4"/>
    <w:rsid w:val="00D25D0B"/>
    <w:rsid w:val="00D2741A"/>
    <w:rsid w:val="00D27D9A"/>
    <w:rsid w:val="00D327D3"/>
    <w:rsid w:val="00D32EB7"/>
    <w:rsid w:val="00D36862"/>
    <w:rsid w:val="00D431A5"/>
    <w:rsid w:val="00D44146"/>
    <w:rsid w:val="00D4609B"/>
    <w:rsid w:val="00D463DA"/>
    <w:rsid w:val="00D50A24"/>
    <w:rsid w:val="00D50E0D"/>
    <w:rsid w:val="00D52EAE"/>
    <w:rsid w:val="00D548C3"/>
    <w:rsid w:val="00D54C76"/>
    <w:rsid w:val="00D54DDC"/>
    <w:rsid w:val="00D624E2"/>
    <w:rsid w:val="00D62C61"/>
    <w:rsid w:val="00D66180"/>
    <w:rsid w:val="00D73B02"/>
    <w:rsid w:val="00D82EC5"/>
    <w:rsid w:val="00D84172"/>
    <w:rsid w:val="00D8685A"/>
    <w:rsid w:val="00D86A30"/>
    <w:rsid w:val="00D87C0E"/>
    <w:rsid w:val="00DA7EB5"/>
    <w:rsid w:val="00DB04A4"/>
    <w:rsid w:val="00DB16B0"/>
    <w:rsid w:val="00DB1D1A"/>
    <w:rsid w:val="00DB46A9"/>
    <w:rsid w:val="00DB4F9E"/>
    <w:rsid w:val="00DB7600"/>
    <w:rsid w:val="00DB7C8A"/>
    <w:rsid w:val="00DC2718"/>
    <w:rsid w:val="00DC5B19"/>
    <w:rsid w:val="00DC5E0B"/>
    <w:rsid w:val="00DC69DF"/>
    <w:rsid w:val="00DD1B3F"/>
    <w:rsid w:val="00DD3B9D"/>
    <w:rsid w:val="00DE106D"/>
    <w:rsid w:val="00DE11B6"/>
    <w:rsid w:val="00DE145B"/>
    <w:rsid w:val="00DE6A2A"/>
    <w:rsid w:val="00DE71D7"/>
    <w:rsid w:val="00DE7801"/>
    <w:rsid w:val="00DE7C42"/>
    <w:rsid w:val="00DF1DB6"/>
    <w:rsid w:val="00DF27D4"/>
    <w:rsid w:val="00DF5C2A"/>
    <w:rsid w:val="00E01DA5"/>
    <w:rsid w:val="00E06A11"/>
    <w:rsid w:val="00E102C8"/>
    <w:rsid w:val="00E102E9"/>
    <w:rsid w:val="00E13A8C"/>
    <w:rsid w:val="00E15486"/>
    <w:rsid w:val="00E21239"/>
    <w:rsid w:val="00E21D12"/>
    <w:rsid w:val="00E24EE6"/>
    <w:rsid w:val="00E272D8"/>
    <w:rsid w:val="00E31D48"/>
    <w:rsid w:val="00E32787"/>
    <w:rsid w:val="00E35F6B"/>
    <w:rsid w:val="00E36D60"/>
    <w:rsid w:val="00E3788C"/>
    <w:rsid w:val="00E40253"/>
    <w:rsid w:val="00E41BC4"/>
    <w:rsid w:val="00E4373F"/>
    <w:rsid w:val="00E444E2"/>
    <w:rsid w:val="00E456C6"/>
    <w:rsid w:val="00E471C4"/>
    <w:rsid w:val="00E52BFB"/>
    <w:rsid w:val="00E55675"/>
    <w:rsid w:val="00E55F11"/>
    <w:rsid w:val="00E5733F"/>
    <w:rsid w:val="00E6015E"/>
    <w:rsid w:val="00E6019D"/>
    <w:rsid w:val="00E61D25"/>
    <w:rsid w:val="00E63E5A"/>
    <w:rsid w:val="00E647F4"/>
    <w:rsid w:val="00E753B0"/>
    <w:rsid w:val="00E814AF"/>
    <w:rsid w:val="00E86245"/>
    <w:rsid w:val="00E87B01"/>
    <w:rsid w:val="00E9001A"/>
    <w:rsid w:val="00E90243"/>
    <w:rsid w:val="00E932AC"/>
    <w:rsid w:val="00E94639"/>
    <w:rsid w:val="00E95CAC"/>
    <w:rsid w:val="00EA0487"/>
    <w:rsid w:val="00EA20B9"/>
    <w:rsid w:val="00EA4EE3"/>
    <w:rsid w:val="00EA7599"/>
    <w:rsid w:val="00EB03F8"/>
    <w:rsid w:val="00EB13B8"/>
    <w:rsid w:val="00EB2896"/>
    <w:rsid w:val="00EB31CC"/>
    <w:rsid w:val="00EB3245"/>
    <w:rsid w:val="00EB43D4"/>
    <w:rsid w:val="00EB447D"/>
    <w:rsid w:val="00EB78E0"/>
    <w:rsid w:val="00EB7C42"/>
    <w:rsid w:val="00EC22B4"/>
    <w:rsid w:val="00EC55FF"/>
    <w:rsid w:val="00EC7032"/>
    <w:rsid w:val="00EC7646"/>
    <w:rsid w:val="00ED3A7A"/>
    <w:rsid w:val="00ED76C2"/>
    <w:rsid w:val="00EE033B"/>
    <w:rsid w:val="00EE1700"/>
    <w:rsid w:val="00EE2152"/>
    <w:rsid w:val="00EF76B1"/>
    <w:rsid w:val="00F00D23"/>
    <w:rsid w:val="00F01D66"/>
    <w:rsid w:val="00F01FF8"/>
    <w:rsid w:val="00F0394B"/>
    <w:rsid w:val="00F03CE2"/>
    <w:rsid w:val="00F03EB9"/>
    <w:rsid w:val="00F04601"/>
    <w:rsid w:val="00F063D4"/>
    <w:rsid w:val="00F13D57"/>
    <w:rsid w:val="00F14BF8"/>
    <w:rsid w:val="00F17602"/>
    <w:rsid w:val="00F21E54"/>
    <w:rsid w:val="00F246F3"/>
    <w:rsid w:val="00F25D1F"/>
    <w:rsid w:val="00F27541"/>
    <w:rsid w:val="00F2764E"/>
    <w:rsid w:val="00F32CD6"/>
    <w:rsid w:val="00F3312E"/>
    <w:rsid w:val="00F3457C"/>
    <w:rsid w:val="00F42E76"/>
    <w:rsid w:val="00F43CD4"/>
    <w:rsid w:val="00F47AAD"/>
    <w:rsid w:val="00F500B8"/>
    <w:rsid w:val="00F50A8F"/>
    <w:rsid w:val="00F51FEE"/>
    <w:rsid w:val="00F53240"/>
    <w:rsid w:val="00F5393C"/>
    <w:rsid w:val="00F5456C"/>
    <w:rsid w:val="00F555F9"/>
    <w:rsid w:val="00F56C01"/>
    <w:rsid w:val="00F60B06"/>
    <w:rsid w:val="00F61FEF"/>
    <w:rsid w:val="00F6423F"/>
    <w:rsid w:val="00F65065"/>
    <w:rsid w:val="00F66798"/>
    <w:rsid w:val="00F672BF"/>
    <w:rsid w:val="00F673B1"/>
    <w:rsid w:val="00F708E9"/>
    <w:rsid w:val="00F715B6"/>
    <w:rsid w:val="00F731E2"/>
    <w:rsid w:val="00F742B7"/>
    <w:rsid w:val="00F74B4C"/>
    <w:rsid w:val="00F75540"/>
    <w:rsid w:val="00F761E0"/>
    <w:rsid w:val="00F800E0"/>
    <w:rsid w:val="00F81B15"/>
    <w:rsid w:val="00F93CFD"/>
    <w:rsid w:val="00F96F44"/>
    <w:rsid w:val="00FA4D49"/>
    <w:rsid w:val="00FA74B5"/>
    <w:rsid w:val="00FB2338"/>
    <w:rsid w:val="00FB2E65"/>
    <w:rsid w:val="00FB3761"/>
    <w:rsid w:val="00FB399B"/>
    <w:rsid w:val="00FC2850"/>
    <w:rsid w:val="00FC5DD6"/>
    <w:rsid w:val="00FC639F"/>
    <w:rsid w:val="00FD0867"/>
    <w:rsid w:val="00FD2088"/>
    <w:rsid w:val="00FD3C3E"/>
    <w:rsid w:val="00FD4730"/>
    <w:rsid w:val="00FE5081"/>
    <w:rsid w:val="00FE60CD"/>
    <w:rsid w:val="00FE6364"/>
    <w:rsid w:val="00FE730C"/>
    <w:rsid w:val="00FE7924"/>
    <w:rsid w:val="00FE7996"/>
    <w:rsid w:val="00FF09DC"/>
    <w:rsid w:val="00FF2181"/>
    <w:rsid w:val="00FF3686"/>
    <w:rsid w:val="00FF651D"/>
    <w:rsid w:val="00FF6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7A11F"/>
  <w15:chartTrackingRefBased/>
  <w15:docId w15:val="{6CAB365A-92E9-4FA1-892F-C3EAB9AD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864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64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AD3"/>
  </w:style>
  <w:style w:type="paragraph" w:styleId="Footer">
    <w:name w:val="footer"/>
    <w:basedOn w:val="Normal"/>
    <w:link w:val="FooterChar"/>
    <w:uiPriority w:val="99"/>
    <w:unhideWhenUsed/>
    <w:rsid w:val="00874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AD3"/>
  </w:style>
  <w:style w:type="character" w:styleId="LineNumber">
    <w:name w:val="line number"/>
    <w:basedOn w:val="DefaultParagraphFont"/>
    <w:uiPriority w:val="99"/>
    <w:semiHidden/>
    <w:unhideWhenUsed/>
    <w:rsid w:val="009B23F2"/>
  </w:style>
  <w:style w:type="paragraph" w:styleId="Subtitle">
    <w:name w:val="Subtitle"/>
    <w:basedOn w:val="Normal"/>
    <w:next w:val="Normal"/>
    <w:link w:val="SubtitleChar"/>
    <w:uiPriority w:val="11"/>
    <w:qFormat/>
    <w:rsid w:val="00C8642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6421"/>
    <w:rPr>
      <w:rFonts w:eastAsiaTheme="minorEastAsia"/>
      <w:color w:val="5A5A5A" w:themeColor="text1" w:themeTint="A5"/>
      <w:spacing w:val="15"/>
    </w:rPr>
  </w:style>
  <w:style w:type="character" w:styleId="SubtleEmphasis">
    <w:name w:val="Subtle Emphasis"/>
    <w:basedOn w:val="DefaultParagraphFont"/>
    <w:uiPriority w:val="19"/>
    <w:qFormat/>
    <w:rsid w:val="00C86421"/>
    <w:rPr>
      <w:i/>
      <w:iCs/>
      <w:color w:val="404040" w:themeColor="text1" w:themeTint="BF"/>
    </w:rPr>
  </w:style>
  <w:style w:type="character" w:styleId="Emphasis">
    <w:name w:val="Emphasis"/>
    <w:basedOn w:val="DefaultParagraphFont"/>
    <w:uiPriority w:val="20"/>
    <w:qFormat/>
    <w:rsid w:val="00C86421"/>
    <w:rPr>
      <w:i/>
      <w:iCs/>
    </w:rPr>
  </w:style>
  <w:style w:type="character" w:customStyle="1" w:styleId="Heading2Char">
    <w:name w:val="Heading 2 Char"/>
    <w:basedOn w:val="DefaultParagraphFont"/>
    <w:link w:val="Heading2"/>
    <w:uiPriority w:val="9"/>
    <w:rsid w:val="00C8642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8642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47074"/>
    <w:pPr>
      <w:ind w:left="720"/>
      <w:contextualSpacing/>
    </w:pPr>
  </w:style>
  <w:style w:type="table" w:styleId="TableGrid">
    <w:name w:val="Table Grid"/>
    <w:basedOn w:val="TableNormal"/>
    <w:uiPriority w:val="39"/>
    <w:rsid w:val="00CA3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1C0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4B1C00"/>
    <w:rPr>
      <w:rFonts w:eastAsia="Times New Roman" w:cs="Times New Roman"/>
      <w:sz w:val="20"/>
      <w:szCs w:val="20"/>
    </w:rPr>
  </w:style>
  <w:style w:type="character" w:styleId="FootnoteReference">
    <w:name w:val="footnote reference"/>
    <w:basedOn w:val="DefaultParagraphFont"/>
    <w:uiPriority w:val="99"/>
    <w:semiHidden/>
    <w:unhideWhenUsed/>
    <w:rsid w:val="004B1C00"/>
    <w:rPr>
      <w:rFonts w:cs="Times New Roman"/>
      <w:vertAlign w:val="superscript"/>
    </w:rPr>
  </w:style>
  <w:style w:type="character" w:styleId="CommentReference">
    <w:name w:val="annotation reference"/>
    <w:basedOn w:val="DefaultParagraphFont"/>
    <w:uiPriority w:val="99"/>
    <w:semiHidden/>
    <w:unhideWhenUsed/>
    <w:rsid w:val="00AF3E4D"/>
    <w:rPr>
      <w:sz w:val="16"/>
      <w:szCs w:val="16"/>
    </w:rPr>
  </w:style>
  <w:style w:type="paragraph" w:styleId="CommentText">
    <w:name w:val="annotation text"/>
    <w:basedOn w:val="Normal"/>
    <w:link w:val="CommentTextChar"/>
    <w:uiPriority w:val="99"/>
    <w:semiHidden/>
    <w:unhideWhenUsed/>
    <w:rsid w:val="00AF3E4D"/>
    <w:pPr>
      <w:spacing w:line="240" w:lineRule="auto"/>
    </w:pPr>
    <w:rPr>
      <w:sz w:val="20"/>
      <w:szCs w:val="20"/>
    </w:rPr>
  </w:style>
  <w:style w:type="character" w:customStyle="1" w:styleId="CommentTextChar">
    <w:name w:val="Comment Text Char"/>
    <w:basedOn w:val="DefaultParagraphFont"/>
    <w:link w:val="CommentText"/>
    <w:uiPriority w:val="99"/>
    <w:semiHidden/>
    <w:rsid w:val="00AF3E4D"/>
    <w:rPr>
      <w:sz w:val="20"/>
      <w:szCs w:val="20"/>
    </w:rPr>
  </w:style>
  <w:style w:type="paragraph" w:styleId="CommentSubject">
    <w:name w:val="annotation subject"/>
    <w:basedOn w:val="CommentText"/>
    <w:next w:val="CommentText"/>
    <w:link w:val="CommentSubjectChar"/>
    <w:uiPriority w:val="99"/>
    <w:semiHidden/>
    <w:unhideWhenUsed/>
    <w:rsid w:val="00AF3E4D"/>
    <w:rPr>
      <w:b/>
      <w:bCs/>
    </w:rPr>
  </w:style>
  <w:style w:type="character" w:customStyle="1" w:styleId="CommentSubjectChar">
    <w:name w:val="Comment Subject Char"/>
    <w:basedOn w:val="CommentTextChar"/>
    <w:link w:val="CommentSubject"/>
    <w:uiPriority w:val="99"/>
    <w:semiHidden/>
    <w:rsid w:val="00AF3E4D"/>
    <w:rPr>
      <w:b/>
      <w:bCs/>
      <w:sz w:val="20"/>
      <w:szCs w:val="20"/>
    </w:rPr>
  </w:style>
  <w:style w:type="paragraph" w:styleId="BalloonText">
    <w:name w:val="Balloon Text"/>
    <w:basedOn w:val="Normal"/>
    <w:link w:val="BalloonTextChar"/>
    <w:uiPriority w:val="99"/>
    <w:semiHidden/>
    <w:unhideWhenUsed/>
    <w:rsid w:val="00AF3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E4D"/>
    <w:rPr>
      <w:rFonts w:ascii="Segoe UI" w:hAnsi="Segoe UI" w:cs="Segoe UI"/>
      <w:sz w:val="18"/>
      <w:szCs w:val="18"/>
    </w:rPr>
  </w:style>
  <w:style w:type="paragraph" w:styleId="NormalWeb">
    <w:name w:val="Normal (Web)"/>
    <w:basedOn w:val="Normal"/>
    <w:uiPriority w:val="99"/>
    <w:semiHidden/>
    <w:unhideWhenUsed/>
    <w:rsid w:val="00D431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86DE0"/>
    <w:rPr>
      <w:color w:val="0000FF"/>
      <w:u w:val="single"/>
    </w:rPr>
  </w:style>
  <w:style w:type="character" w:customStyle="1" w:styleId="Mentionnonrsolue1">
    <w:name w:val="Mention non résolue1"/>
    <w:basedOn w:val="DefaultParagraphFont"/>
    <w:uiPriority w:val="99"/>
    <w:semiHidden/>
    <w:unhideWhenUsed/>
    <w:rsid w:val="003275EC"/>
    <w:rPr>
      <w:color w:val="605E5C"/>
      <w:shd w:val="clear" w:color="auto" w:fill="E1DFDD"/>
    </w:rPr>
  </w:style>
  <w:style w:type="paragraph" w:customStyle="1" w:styleId="Pa12">
    <w:name w:val="Pa12"/>
    <w:basedOn w:val="Normal"/>
    <w:next w:val="Normal"/>
    <w:uiPriority w:val="99"/>
    <w:rsid w:val="008A1837"/>
    <w:pPr>
      <w:autoSpaceDE w:val="0"/>
      <w:autoSpaceDN w:val="0"/>
      <w:adjustRightInd w:val="0"/>
      <w:spacing w:after="0" w:line="146" w:lineRule="atLeast"/>
    </w:pPr>
    <w:rPr>
      <w:rFonts w:ascii="Meta Pro Light" w:hAnsi="Meta Pro Light"/>
      <w:sz w:val="24"/>
      <w:szCs w:val="24"/>
    </w:rPr>
  </w:style>
  <w:style w:type="character" w:styleId="FollowedHyperlink">
    <w:name w:val="FollowedHyperlink"/>
    <w:basedOn w:val="DefaultParagraphFont"/>
    <w:uiPriority w:val="99"/>
    <w:semiHidden/>
    <w:unhideWhenUsed/>
    <w:rsid w:val="000923BA"/>
    <w:rPr>
      <w:color w:val="954F72" w:themeColor="followedHyperlink"/>
      <w:u w:val="single"/>
    </w:rPr>
  </w:style>
  <w:style w:type="paragraph" w:customStyle="1" w:styleId="Pa10">
    <w:name w:val="Pa10"/>
    <w:basedOn w:val="Normal"/>
    <w:next w:val="Normal"/>
    <w:uiPriority w:val="99"/>
    <w:rsid w:val="0097258A"/>
    <w:pPr>
      <w:autoSpaceDE w:val="0"/>
      <w:autoSpaceDN w:val="0"/>
      <w:adjustRightInd w:val="0"/>
      <w:spacing w:after="0" w:line="181" w:lineRule="atLeast"/>
    </w:pPr>
    <w:rPr>
      <w:rFonts w:ascii="Meta Serif Pro Book" w:hAnsi="Meta Serif Pro Book"/>
      <w:sz w:val="24"/>
      <w:szCs w:val="24"/>
    </w:rPr>
  </w:style>
  <w:style w:type="character" w:customStyle="1" w:styleId="A13">
    <w:name w:val="A13"/>
    <w:uiPriority w:val="99"/>
    <w:rsid w:val="0097258A"/>
    <w:rPr>
      <w:rFonts w:cs="Meta Serif Pro Book"/>
      <w:color w:val="000000"/>
      <w:sz w:val="17"/>
      <w:szCs w:val="17"/>
    </w:rPr>
  </w:style>
  <w:style w:type="character" w:styleId="EndnoteReference">
    <w:name w:val="endnote reference"/>
    <w:basedOn w:val="DefaultParagraphFont"/>
    <w:uiPriority w:val="99"/>
    <w:semiHidden/>
    <w:unhideWhenUsed/>
    <w:rsid w:val="00F345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81226">
      <w:bodyDiv w:val="1"/>
      <w:marLeft w:val="0"/>
      <w:marRight w:val="0"/>
      <w:marTop w:val="0"/>
      <w:marBottom w:val="0"/>
      <w:divBdr>
        <w:top w:val="none" w:sz="0" w:space="0" w:color="auto"/>
        <w:left w:val="none" w:sz="0" w:space="0" w:color="auto"/>
        <w:bottom w:val="none" w:sz="0" w:space="0" w:color="auto"/>
        <w:right w:val="none" w:sz="0" w:space="0" w:color="auto"/>
      </w:divBdr>
    </w:div>
    <w:div w:id="165482032">
      <w:bodyDiv w:val="1"/>
      <w:marLeft w:val="0"/>
      <w:marRight w:val="0"/>
      <w:marTop w:val="0"/>
      <w:marBottom w:val="0"/>
      <w:divBdr>
        <w:top w:val="none" w:sz="0" w:space="0" w:color="auto"/>
        <w:left w:val="none" w:sz="0" w:space="0" w:color="auto"/>
        <w:bottom w:val="none" w:sz="0" w:space="0" w:color="auto"/>
        <w:right w:val="none" w:sz="0" w:space="0" w:color="auto"/>
      </w:divBdr>
    </w:div>
    <w:div w:id="797261980">
      <w:bodyDiv w:val="1"/>
      <w:marLeft w:val="0"/>
      <w:marRight w:val="0"/>
      <w:marTop w:val="0"/>
      <w:marBottom w:val="0"/>
      <w:divBdr>
        <w:top w:val="none" w:sz="0" w:space="0" w:color="auto"/>
        <w:left w:val="none" w:sz="0" w:space="0" w:color="auto"/>
        <w:bottom w:val="none" w:sz="0" w:space="0" w:color="auto"/>
        <w:right w:val="none" w:sz="0" w:space="0" w:color="auto"/>
      </w:divBdr>
    </w:div>
    <w:div w:id="1127046831">
      <w:bodyDiv w:val="1"/>
      <w:marLeft w:val="0"/>
      <w:marRight w:val="0"/>
      <w:marTop w:val="0"/>
      <w:marBottom w:val="0"/>
      <w:divBdr>
        <w:top w:val="none" w:sz="0" w:space="0" w:color="auto"/>
        <w:left w:val="none" w:sz="0" w:space="0" w:color="auto"/>
        <w:bottom w:val="none" w:sz="0" w:space="0" w:color="auto"/>
        <w:right w:val="none" w:sz="0" w:space="0" w:color="auto"/>
      </w:divBdr>
    </w:div>
    <w:div w:id="1994095620">
      <w:bodyDiv w:val="1"/>
      <w:marLeft w:val="0"/>
      <w:marRight w:val="0"/>
      <w:marTop w:val="0"/>
      <w:marBottom w:val="0"/>
      <w:divBdr>
        <w:top w:val="none" w:sz="0" w:space="0" w:color="auto"/>
        <w:left w:val="none" w:sz="0" w:space="0" w:color="auto"/>
        <w:bottom w:val="none" w:sz="0" w:space="0" w:color="auto"/>
        <w:right w:val="none" w:sz="0" w:space="0" w:color="auto"/>
      </w:divBdr>
    </w:div>
    <w:div w:id="2018337305">
      <w:bodyDiv w:val="1"/>
      <w:marLeft w:val="0"/>
      <w:marRight w:val="0"/>
      <w:marTop w:val="0"/>
      <w:marBottom w:val="0"/>
      <w:divBdr>
        <w:top w:val="none" w:sz="0" w:space="0" w:color="auto"/>
        <w:left w:val="none" w:sz="0" w:space="0" w:color="auto"/>
        <w:bottom w:val="none" w:sz="0" w:space="0" w:color="auto"/>
        <w:right w:val="none" w:sz="0" w:space="0" w:color="auto"/>
      </w:divBdr>
    </w:div>
    <w:div w:id="2022196011">
      <w:bodyDiv w:val="1"/>
      <w:marLeft w:val="0"/>
      <w:marRight w:val="0"/>
      <w:marTop w:val="0"/>
      <w:marBottom w:val="0"/>
      <w:divBdr>
        <w:top w:val="none" w:sz="0" w:space="0" w:color="auto"/>
        <w:left w:val="none" w:sz="0" w:space="0" w:color="auto"/>
        <w:bottom w:val="none" w:sz="0" w:space="0" w:color="auto"/>
        <w:right w:val="none" w:sz="0" w:space="0" w:color="auto"/>
      </w:divBdr>
    </w:div>
    <w:div w:id="206891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le.marty@liv.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sf.io/8z7t5/" TargetMode="External"/><Relationship Id="rId4" Type="http://schemas.openxmlformats.org/officeDocument/2006/relationships/settings" Target="settings.xml"/><Relationship Id="rId9" Type="http://schemas.openxmlformats.org/officeDocument/2006/relationships/hyperlink" Target="mailto:eric.robinson@liv.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4408D-70D5-4F83-9DF4-B908A530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23955</Words>
  <Characters>136545</Characters>
  <Application>Microsoft Office Word</Application>
  <DocSecurity>0</DocSecurity>
  <Lines>1137</Lines>
  <Paragraphs>320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Lucile</dc:creator>
  <cp:keywords/>
  <dc:description/>
  <cp:lastModifiedBy>Robinson, Eric</cp:lastModifiedBy>
  <cp:revision>2</cp:revision>
  <dcterms:created xsi:type="dcterms:W3CDTF">2021-04-26T12:54:00Z</dcterms:created>
  <dcterms:modified xsi:type="dcterms:W3CDTF">2021-04-26T12:54:00Z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http://www.zotero.org/styles/journal-of-nutrition</vt:lpwstr>
  </property>
  <property fmtid="{D5CDD505-2E9C-101B-9397-08002B2CF9AE}" pid="11" name="Mendeley Recent Style Name 4_1">
    <vt:lpwstr>Journal of Nutrition</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http://www.zotero.org/styles/nutrients</vt:lpwstr>
  </property>
  <property fmtid="{D5CDD505-2E9C-101B-9397-08002B2CF9AE}" pid="17" name="Mendeley Recent Style Name 7_1">
    <vt:lpwstr>Nutrients</vt:lpwstr>
  </property>
  <property fmtid="{D5CDD505-2E9C-101B-9397-08002B2CF9AE}" pid="18" name="Mendeley Recent Style Id 8_1">
    <vt:lpwstr>http://www.zotero.org/styles/public-health-nutrition</vt:lpwstr>
  </property>
  <property fmtid="{D5CDD505-2E9C-101B-9397-08002B2CF9AE}" pid="19" name="Mendeley Recent Style Name 8_1">
    <vt:lpwstr>Public Health Nutrition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e76c3708-992f-3dc1-8a65-79381e65ca2e</vt:lpwstr>
  </property>
  <property fmtid="{D5CDD505-2E9C-101B-9397-08002B2CF9AE}" pid="24" name="Mendeley Citation Style_1">
    <vt:lpwstr>http://www.zotero.org/styles/public-health-nutrition</vt:lpwstr>
  </property>
  <property fmtid="{D5CDD505-2E9C-101B-9397-08002B2CF9AE}" pid="25" name="_DocHome">
    <vt:i4>-319029059</vt:i4>
  </property>
</Properties>
</file>