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C5C639" w14:textId="3F691C62" w:rsidR="003C586B" w:rsidRPr="00DC3DB7" w:rsidRDefault="00DC3DB7" w:rsidP="00EF34C0">
      <w:pPr>
        <w:jc w:val="both"/>
        <w:rPr>
          <w:b/>
          <w:bCs/>
          <w:sz w:val="28"/>
          <w:szCs w:val="28"/>
        </w:rPr>
      </w:pPr>
      <w:r w:rsidRPr="00DC3DB7">
        <w:rPr>
          <w:b/>
          <w:bCs/>
          <w:sz w:val="28"/>
          <w:szCs w:val="28"/>
        </w:rPr>
        <w:t>Karlsruhe</w:t>
      </w:r>
      <w:r w:rsidR="001077C8">
        <w:rPr>
          <w:b/>
          <w:bCs/>
          <w:sz w:val="28"/>
          <w:szCs w:val="28"/>
        </w:rPr>
        <w:t xml:space="preserve"> </w:t>
      </w:r>
      <w:r w:rsidR="00804885">
        <w:rPr>
          <w:b/>
          <w:bCs/>
          <w:sz w:val="28"/>
          <w:szCs w:val="28"/>
        </w:rPr>
        <w:t>Bites</w:t>
      </w:r>
      <w:r w:rsidRPr="00DC3DB7">
        <w:rPr>
          <w:b/>
          <w:bCs/>
          <w:sz w:val="28"/>
          <w:szCs w:val="28"/>
        </w:rPr>
        <w:t xml:space="preserve"> Back: The German Federal Constitutional Court’s </w:t>
      </w:r>
      <w:r w:rsidR="00EE5E2C">
        <w:rPr>
          <w:b/>
          <w:bCs/>
          <w:sz w:val="28"/>
          <w:szCs w:val="28"/>
        </w:rPr>
        <w:t>P</w:t>
      </w:r>
      <w:r w:rsidRPr="00DC3DB7">
        <w:rPr>
          <w:b/>
          <w:bCs/>
          <w:sz w:val="28"/>
          <w:szCs w:val="28"/>
        </w:rPr>
        <w:t xml:space="preserve">SPP </w:t>
      </w:r>
      <w:r w:rsidR="00BD0605">
        <w:rPr>
          <w:b/>
          <w:bCs/>
          <w:sz w:val="28"/>
          <w:szCs w:val="28"/>
        </w:rPr>
        <w:t>Judgment</w:t>
      </w:r>
    </w:p>
    <w:p w14:paraId="712A6E11" w14:textId="77777777" w:rsidR="003C586B" w:rsidRDefault="003C586B" w:rsidP="00EF34C0">
      <w:pPr>
        <w:jc w:val="both"/>
      </w:pPr>
    </w:p>
    <w:p w14:paraId="3D4C6C1A" w14:textId="57C8AB8D" w:rsidR="0016339E" w:rsidRDefault="00EF34C0" w:rsidP="00EF34C0">
      <w:pPr>
        <w:jc w:val="both"/>
      </w:pPr>
      <w:r>
        <w:t>On 5</w:t>
      </w:r>
      <w:r w:rsidRPr="00AE556E">
        <w:rPr>
          <w:vertAlign w:val="superscript"/>
        </w:rPr>
        <w:t>th</w:t>
      </w:r>
      <w:r>
        <w:t xml:space="preserve"> May 2020</w:t>
      </w:r>
      <w:r w:rsidR="00073477">
        <w:t xml:space="preserve">, </w:t>
      </w:r>
      <w:r>
        <w:t xml:space="preserve">the German Federal Constitutional Court (GFCC) </w:t>
      </w:r>
      <w:r w:rsidR="00073477">
        <w:t xml:space="preserve">upheld a series of constitutional complaints that the German Federal Government and Bundestag had violated </w:t>
      </w:r>
      <w:r w:rsidR="00DC3DB7">
        <w:t xml:space="preserve">the Basic Law’s guarantees </w:t>
      </w:r>
      <w:r w:rsidR="00DC3DB7" w:rsidRPr="00C442D3">
        <w:t>on democratic legitimation</w:t>
      </w:r>
      <w:r w:rsidR="00DC3DB7">
        <w:t xml:space="preserve"> by failing to challenge the validity of </w:t>
      </w:r>
      <w:r w:rsidR="00073477">
        <w:t>the European Central Bank’s (ECB’s) Public Sector Purchase Programme (PSPP)</w:t>
      </w:r>
      <w:r w:rsidR="0016339E">
        <w:t xml:space="preserve"> – a</w:t>
      </w:r>
      <w:r w:rsidR="00BF2187">
        <w:t>n</w:t>
      </w:r>
      <w:r w:rsidR="0016339E">
        <w:t xml:space="preserve"> initiative established in 2015 authorising the purchase of </w:t>
      </w:r>
      <w:r w:rsidR="00BF2187">
        <w:t xml:space="preserve">Eurozone </w:t>
      </w:r>
      <w:r w:rsidR="0016339E">
        <w:t>government</w:t>
      </w:r>
      <w:r w:rsidR="00BC2153">
        <w:t>-issued</w:t>
      </w:r>
      <w:r w:rsidR="0016339E">
        <w:t xml:space="preserve"> </w:t>
      </w:r>
      <w:r w:rsidR="00BF2187">
        <w:t>securities</w:t>
      </w:r>
      <w:r w:rsidR="0016339E">
        <w:t xml:space="preserve"> </w:t>
      </w:r>
      <w:r w:rsidR="00BF2187">
        <w:t>on secondary markets</w:t>
      </w:r>
      <w:r w:rsidR="0016339E">
        <w:t xml:space="preserve">. </w:t>
      </w:r>
    </w:p>
    <w:p w14:paraId="5C098F88" w14:textId="77777777" w:rsidR="00630574" w:rsidRDefault="00630574" w:rsidP="00BE2D0F">
      <w:pPr>
        <w:jc w:val="both"/>
      </w:pPr>
    </w:p>
    <w:p w14:paraId="0FEABF90" w14:textId="03CBAE33" w:rsidR="00F332FE" w:rsidRDefault="00A80C7F" w:rsidP="00BE2D0F">
      <w:pPr>
        <w:jc w:val="both"/>
      </w:pPr>
      <w:r>
        <w:t>This post</w:t>
      </w:r>
      <w:r w:rsidR="00926EBD">
        <w:t xml:space="preserve"> summarises the GFCC's </w:t>
      </w:r>
      <w:r w:rsidR="00AF337D">
        <w:t>decision</w:t>
      </w:r>
      <w:r w:rsidR="00B53C6C">
        <w:t xml:space="preserve"> (available</w:t>
      </w:r>
      <w:r w:rsidR="001077C8">
        <w:t xml:space="preserve"> in English</w:t>
      </w:r>
      <w:r w:rsidR="00B6538E">
        <w:t xml:space="preserve"> </w:t>
      </w:r>
      <w:hyperlink r:id="rId7" w:history="1">
        <w:r w:rsidR="00B53C6C" w:rsidRPr="00B53C6C">
          <w:rPr>
            <w:rStyle w:val="Hyperlink"/>
          </w:rPr>
          <w:t>here</w:t>
        </w:r>
      </w:hyperlink>
      <w:r w:rsidR="00B53C6C">
        <w:t>)</w:t>
      </w:r>
      <w:r w:rsidR="00AF337D">
        <w:t xml:space="preserve"> and</w:t>
      </w:r>
      <w:r w:rsidR="001F34FF">
        <w:t xml:space="preserve"> </w:t>
      </w:r>
      <w:r w:rsidR="005D700E">
        <w:t>discusses</w:t>
      </w:r>
      <w:r w:rsidR="002567E1">
        <w:t xml:space="preserve"> its</w:t>
      </w:r>
      <w:r>
        <w:t xml:space="preserve"> </w:t>
      </w:r>
      <w:r w:rsidR="005E68DD">
        <w:t xml:space="preserve">broader </w:t>
      </w:r>
      <w:r>
        <w:t>implications</w:t>
      </w:r>
      <w:r w:rsidR="006B7E44">
        <w:t xml:space="preserve"> with respect to the relationship between EU and Member State law</w:t>
      </w:r>
      <w:r>
        <w:t>.</w:t>
      </w:r>
      <w:r w:rsidR="003511B2">
        <w:t xml:space="preserve"> </w:t>
      </w:r>
      <w:r w:rsidR="00896CD6">
        <w:t>Those</w:t>
      </w:r>
      <w:r>
        <w:t xml:space="preserve"> implications extend far beyond </w:t>
      </w:r>
      <w:r w:rsidR="00896CD6">
        <w:t>t</w:t>
      </w:r>
      <w:r>
        <w:t xml:space="preserve">he Court’s </w:t>
      </w:r>
      <w:r w:rsidR="006B7E44">
        <w:t xml:space="preserve">specific </w:t>
      </w:r>
      <w:r>
        <w:t xml:space="preserve">order that, within three months, the German Government and Federal Parliament take steps to ensure the ECB brings its PSPP scheme into conformity with the EU Treaties. </w:t>
      </w:r>
      <w:r w:rsidR="00B12701">
        <w:t>The centrepiece of the GFCC’s judgment is, without doubt, its determination that the</w:t>
      </w:r>
      <w:r w:rsidR="00B12701" w:rsidRPr="00B12701">
        <w:t xml:space="preserve"> </w:t>
      </w:r>
      <w:r w:rsidR="00B12701">
        <w:t xml:space="preserve">Court of Justice of the European Union’s (CJEU) prior </w:t>
      </w:r>
      <w:r w:rsidR="007B4E08">
        <w:t>decision</w:t>
      </w:r>
      <w:r w:rsidR="00B12701">
        <w:t xml:space="preserve"> </w:t>
      </w:r>
      <w:r w:rsidR="007B4E08">
        <w:t>upholding</w:t>
      </w:r>
      <w:r w:rsidR="00B12701">
        <w:t xml:space="preserve"> the legality </w:t>
      </w:r>
      <w:r w:rsidR="007B4E08">
        <w:t xml:space="preserve">of the PSPP in </w:t>
      </w:r>
      <w:hyperlink r:id="rId8" w:history="1">
        <w:r w:rsidR="007B4E08" w:rsidRPr="00B53C6C">
          <w:rPr>
            <w:rStyle w:val="Hyperlink"/>
          </w:rPr>
          <w:t xml:space="preserve">C-493/17 </w:t>
        </w:r>
        <w:r w:rsidR="007B4E08" w:rsidRPr="00B53C6C">
          <w:rPr>
            <w:rStyle w:val="Hyperlink"/>
            <w:i/>
            <w:iCs/>
          </w:rPr>
          <w:t>Weiss</w:t>
        </w:r>
      </w:hyperlink>
      <w:r w:rsidR="007B4E08">
        <w:t xml:space="preserve"> </w:t>
      </w:r>
      <w:r w:rsidR="00B12701">
        <w:t xml:space="preserve">did </w:t>
      </w:r>
      <w:r w:rsidR="00B12701" w:rsidRPr="00660FA3">
        <w:rPr>
          <w:i/>
          <w:iCs/>
        </w:rPr>
        <w:t>not</w:t>
      </w:r>
      <w:r w:rsidR="00B12701">
        <w:t xml:space="preserve"> have binding effect within </w:t>
      </w:r>
      <w:r w:rsidR="009216AC">
        <w:t>Germany</w:t>
      </w:r>
      <w:r w:rsidR="00B12701">
        <w:t xml:space="preserve">. </w:t>
      </w:r>
      <w:r w:rsidR="00DD618E">
        <w:t>Denying CJEU case law domestic effect is</w:t>
      </w:r>
      <w:r w:rsidR="007B4E08">
        <w:t xml:space="preserve"> a first for the German Court and directly challenges</w:t>
      </w:r>
      <w:r w:rsidR="0071035B">
        <w:t xml:space="preserve"> </w:t>
      </w:r>
      <w:r w:rsidR="007B4E08">
        <w:t xml:space="preserve">two fundamentals of the EU legal order: (i) the supremacy of EU law and (ii) </w:t>
      </w:r>
      <w:r>
        <w:t>the CJEU’s jealously guarded competence to rule conclusively on the validity of acts of the EU institutions</w:t>
      </w:r>
      <w:r w:rsidR="00781EAA">
        <w:t>.</w:t>
      </w:r>
    </w:p>
    <w:p w14:paraId="5EF43C9A" w14:textId="77777777" w:rsidR="00F332FE" w:rsidRDefault="00F332FE" w:rsidP="00BE2D0F">
      <w:pPr>
        <w:jc w:val="both"/>
      </w:pPr>
    </w:p>
    <w:p w14:paraId="622360B1" w14:textId="77DB6E7F" w:rsidR="003A5C12" w:rsidRPr="004E2D0F" w:rsidRDefault="00D50A4D" w:rsidP="003A5C12">
      <w:pPr>
        <w:jc w:val="both"/>
        <w:rPr>
          <w:b/>
          <w:bCs/>
        </w:rPr>
      </w:pPr>
      <w:r>
        <w:rPr>
          <w:b/>
          <w:bCs/>
        </w:rPr>
        <w:t xml:space="preserve">Factual </w:t>
      </w:r>
      <w:r w:rsidR="003A5C12">
        <w:rPr>
          <w:b/>
          <w:bCs/>
        </w:rPr>
        <w:t>Background</w:t>
      </w:r>
    </w:p>
    <w:p w14:paraId="02414EAE" w14:textId="77777777" w:rsidR="003A5C12" w:rsidRDefault="003A5C12" w:rsidP="003A5C12">
      <w:pPr>
        <w:jc w:val="both"/>
      </w:pPr>
    </w:p>
    <w:p w14:paraId="1A35986A" w14:textId="4F61D124" w:rsidR="00DE6EC6" w:rsidRDefault="00BB60EE" w:rsidP="006737E9">
      <w:pPr>
        <w:jc w:val="both"/>
      </w:pPr>
      <w:r>
        <w:t>The</w:t>
      </w:r>
      <w:r w:rsidR="00DE6EC6">
        <w:t xml:space="preserve"> PSPP</w:t>
      </w:r>
      <w:r w:rsidR="00983706">
        <w:t xml:space="preserve"> is a complex instrument of quantitative easing. </w:t>
      </w:r>
      <w:r w:rsidR="00E902EA">
        <w:t>I</w:t>
      </w:r>
      <w:r w:rsidR="00983706">
        <w:t xml:space="preserve">t is based on </w:t>
      </w:r>
      <w:hyperlink r:id="rId9" w:history="1">
        <w:r w:rsidR="0068612C" w:rsidRPr="00C5630D">
          <w:rPr>
            <w:rStyle w:val="Hyperlink"/>
          </w:rPr>
          <w:t>Decision 2015/774 EU of the European Central Bank of 4 March 2015</w:t>
        </w:r>
      </w:hyperlink>
      <w:r w:rsidR="0068612C">
        <w:t xml:space="preserve"> (as amended) </w:t>
      </w:r>
      <w:r w:rsidR="00983706">
        <w:t>and</w:t>
      </w:r>
      <w:r w:rsidR="00E902EA">
        <w:t xml:space="preserve">, </w:t>
      </w:r>
      <w:r w:rsidR="00C10CE1">
        <w:t>in simplified terms,</w:t>
      </w:r>
      <w:r w:rsidR="00983706">
        <w:t xml:space="preserve"> </w:t>
      </w:r>
      <w:r w:rsidR="00DE6EC6">
        <w:t xml:space="preserve">enables the ECB to purchase bonds issued by Eurozone governments </w:t>
      </w:r>
      <w:r w:rsidR="00BF2187">
        <w:t xml:space="preserve">on secondary markets </w:t>
      </w:r>
      <w:r w:rsidR="00DE6EC6">
        <w:t xml:space="preserve">with the aim of maintaining price stability and </w:t>
      </w:r>
      <w:r w:rsidR="00105070">
        <w:t>steering</w:t>
      </w:r>
      <w:r w:rsidR="00DE6EC6">
        <w:t xml:space="preserve"> inflation</w:t>
      </w:r>
      <w:r w:rsidR="0016497E">
        <w:t xml:space="preserve"> within the Eurozone</w:t>
      </w:r>
      <w:r w:rsidR="00105070">
        <w:t xml:space="preserve"> towards a target rate of 2%</w:t>
      </w:r>
      <w:r w:rsidR="00DE6EC6">
        <w:t xml:space="preserve">. </w:t>
      </w:r>
      <w:r w:rsidR="00C10CE1">
        <w:t xml:space="preserve">It </w:t>
      </w:r>
      <w:r w:rsidR="0055260D">
        <w:t xml:space="preserve">sits alongside a series of similar bond-buying </w:t>
      </w:r>
      <w:r w:rsidR="001E2063">
        <w:t>initiatives adopted in the wake of the Eurozone crisis. The</w:t>
      </w:r>
      <w:r w:rsidR="00866415">
        <w:t xml:space="preserve"> value of </w:t>
      </w:r>
      <w:r w:rsidR="00DE4A7A">
        <w:t>these instruments is eye-watering</w:t>
      </w:r>
      <w:r w:rsidR="00F36E0B">
        <w:t xml:space="preserve"> even </w:t>
      </w:r>
      <w:r w:rsidR="00D90BA2">
        <w:t xml:space="preserve">in the present </w:t>
      </w:r>
      <w:r w:rsidR="00181D59">
        <w:t>climate</w:t>
      </w:r>
      <w:r w:rsidR="00D90BA2">
        <w:t xml:space="preserve"> of </w:t>
      </w:r>
      <w:r w:rsidR="00181D59">
        <w:t>extraordinary fiscal</w:t>
      </w:r>
      <w:r w:rsidR="00076A55">
        <w:t xml:space="preserve"> </w:t>
      </w:r>
      <w:r w:rsidR="00181D59">
        <w:t>easing</w:t>
      </w:r>
      <w:r w:rsidR="00076A55">
        <w:t xml:space="preserve"> to </w:t>
      </w:r>
      <w:r w:rsidR="00E0269A">
        <w:t>tackle</w:t>
      </w:r>
      <w:r w:rsidR="00076A55">
        <w:t xml:space="preserve"> the </w:t>
      </w:r>
      <w:r w:rsidR="008709B6">
        <w:t>COVID19</w:t>
      </w:r>
      <w:r w:rsidR="00076A55">
        <w:t xml:space="preserve"> pandemic.</w:t>
      </w:r>
      <w:r w:rsidR="00DE4A7A">
        <w:t xml:space="preserve"> </w:t>
      </w:r>
      <w:r w:rsidR="00105070">
        <w:t>Between March 2015 and March 2016, for example, the</w:t>
      </w:r>
      <w:r w:rsidR="00105070" w:rsidRPr="00105070">
        <w:t xml:space="preserve"> </w:t>
      </w:r>
      <w:r w:rsidR="00105070">
        <w:t xml:space="preserve">monthly asset purchases under the </w:t>
      </w:r>
      <w:r w:rsidR="00837D1A">
        <w:t>P</w:t>
      </w:r>
      <w:r w:rsidR="00105070">
        <w:t>SPP averaged EUR 60 billion.</w:t>
      </w:r>
    </w:p>
    <w:p w14:paraId="3F4156C1" w14:textId="77777777" w:rsidR="00DE6EC6" w:rsidRDefault="00DE6EC6" w:rsidP="006737E9">
      <w:pPr>
        <w:jc w:val="both"/>
      </w:pPr>
    </w:p>
    <w:p w14:paraId="70B224A0" w14:textId="0C215455" w:rsidR="00A81D03" w:rsidRDefault="00C1484A" w:rsidP="006737E9">
      <w:pPr>
        <w:jc w:val="both"/>
      </w:pPr>
      <w:r>
        <w:t xml:space="preserve">The complainants </w:t>
      </w:r>
      <w:r w:rsidR="00A81D03">
        <w:t xml:space="preserve">in the GFCC judgment, a group of </w:t>
      </w:r>
      <w:r w:rsidR="00DE6EC6">
        <w:t xml:space="preserve">around seventeen hundred </w:t>
      </w:r>
      <w:r w:rsidR="00A81D03">
        <w:t xml:space="preserve">German citizens, </w:t>
      </w:r>
      <w:r w:rsidR="00DE6EC6">
        <w:t>argued</w:t>
      </w:r>
      <w:r w:rsidR="00A81D03">
        <w:t xml:space="preserve"> that the German Federal Government and </w:t>
      </w:r>
      <w:r w:rsidR="006D69C9">
        <w:t xml:space="preserve">the </w:t>
      </w:r>
      <w:r w:rsidR="00A81D03">
        <w:t xml:space="preserve">Bundestag had violated </w:t>
      </w:r>
      <w:r w:rsidR="00C442D3">
        <w:t xml:space="preserve">the Basic Law’s guarantees </w:t>
      </w:r>
      <w:r w:rsidR="00C442D3" w:rsidRPr="00C442D3">
        <w:t>on minimum standards of democratic legitimation</w:t>
      </w:r>
      <w:r w:rsidR="00C442D3">
        <w:t xml:space="preserve"> (</w:t>
      </w:r>
      <w:hyperlink r:id="rId10" w:history="1">
        <w:r w:rsidR="00C442D3" w:rsidRPr="00E0269A">
          <w:rPr>
            <w:rStyle w:val="Hyperlink"/>
          </w:rPr>
          <w:t>Art 38(1)</w:t>
        </w:r>
      </w:hyperlink>
      <w:r w:rsidR="00C442D3">
        <w:t xml:space="preserve"> in conjunction with </w:t>
      </w:r>
      <w:hyperlink r:id="rId11" w:history="1">
        <w:r w:rsidR="00C442D3" w:rsidRPr="00E0269A">
          <w:rPr>
            <w:rStyle w:val="Hyperlink"/>
          </w:rPr>
          <w:t>Arts 20(1),(2)</w:t>
        </w:r>
      </w:hyperlink>
      <w:r w:rsidR="00C442D3" w:rsidRPr="00C442D3">
        <w:t xml:space="preserve"> and </w:t>
      </w:r>
      <w:hyperlink r:id="rId12" w:history="1">
        <w:r w:rsidR="00C442D3" w:rsidRPr="00E0269A">
          <w:rPr>
            <w:rStyle w:val="Hyperlink"/>
          </w:rPr>
          <w:t>Art 79(3)</w:t>
        </w:r>
      </w:hyperlink>
      <w:r w:rsidR="00C442D3">
        <w:t>)</w:t>
      </w:r>
      <w:r w:rsidR="00C442D3" w:rsidRPr="00C442D3">
        <w:t xml:space="preserve"> </w:t>
      </w:r>
      <w:r w:rsidR="00A81D03">
        <w:t xml:space="preserve">by failing to challenge the validity of the PSPP </w:t>
      </w:r>
      <w:r w:rsidR="00773AE7">
        <w:t>under</w:t>
      </w:r>
      <w:r w:rsidR="00A81D03">
        <w:t xml:space="preserve"> </w:t>
      </w:r>
      <w:r w:rsidR="00773AE7">
        <w:t>EU</w:t>
      </w:r>
      <w:r w:rsidR="00A81D03">
        <w:t xml:space="preserve"> law.</w:t>
      </w:r>
      <w:r w:rsidR="00055AB2">
        <w:t xml:space="preserve"> </w:t>
      </w:r>
      <w:r w:rsidR="00C442D3">
        <w:t>That</w:t>
      </w:r>
      <w:r w:rsidR="00A81D03">
        <w:t xml:space="preserve"> argument rested</w:t>
      </w:r>
      <w:r w:rsidR="00983E1D">
        <w:t xml:space="preserve"> </w:t>
      </w:r>
      <w:r w:rsidR="00A81D03">
        <w:t xml:space="preserve">on </w:t>
      </w:r>
      <w:r w:rsidR="00DE6EC6">
        <w:t>the claim</w:t>
      </w:r>
      <w:r w:rsidR="00A81D03">
        <w:t xml:space="preserve"> that the ECB</w:t>
      </w:r>
      <w:r w:rsidR="00D2228C">
        <w:t xml:space="preserve"> did not</w:t>
      </w:r>
      <w:r w:rsidR="00DE6EC6">
        <w:t xml:space="preserve"> in fact</w:t>
      </w:r>
      <w:r w:rsidR="00D2228C">
        <w:t xml:space="preserve"> have any competence</w:t>
      </w:r>
      <w:r w:rsidR="008F1491">
        <w:t xml:space="preserve"> under the EU </w:t>
      </w:r>
      <w:r w:rsidR="00611202">
        <w:t>treaties</w:t>
      </w:r>
      <w:r w:rsidR="00D2228C">
        <w:t xml:space="preserve"> to establish the PSPP. </w:t>
      </w:r>
      <w:r w:rsidR="00AB3050">
        <w:t>The complainants asserted that, rather</w:t>
      </w:r>
      <w:r w:rsidR="005B6997">
        <w:t xml:space="preserve"> than </w:t>
      </w:r>
      <w:r w:rsidR="00DA20AC">
        <w:t xml:space="preserve">sanction </w:t>
      </w:r>
      <w:r w:rsidR="00617FFB">
        <w:t>its</w:t>
      </w:r>
      <w:r w:rsidR="00DA20AC">
        <w:t xml:space="preserve"> </w:t>
      </w:r>
      <w:r w:rsidR="006975F3">
        <w:t>adoption</w:t>
      </w:r>
      <w:r w:rsidR="003F1078">
        <w:t>,</w:t>
      </w:r>
      <w:r w:rsidR="00121D76">
        <w:t xml:space="preserve"> the EU treaties expressly precluded </w:t>
      </w:r>
      <w:r w:rsidR="006E19C4">
        <w:t xml:space="preserve">the ECB from engaging in </w:t>
      </w:r>
      <w:r w:rsidR="002971E6">
        <w:t xml:space="preserve">this form </w:t>
      </w:r>
      <w:r w:rsidR="00F051D9">
        <w:t>of government bond-buying</w:t>
      </w:r>
      <w:r w:rsidR="00D02D61">
        <w:t>. In particular,</w:t>
      </w:r>
      <w:r w:rsidR="00D2228C">
        <w:t xml:space="preserve"> </w:t>
      </w:r>
      <w:hyperlink r:id="rId13" w:history="1">
        <w:r w:rsidR="00A81D03" w:rsidRPr="00D03BE4">
          <w:rPr>
            <w:rStyle w:val="Hyperlink"/>
          </w:rPr>
          <w:t>Art 123(1) TFEU</w:t>
        </w:r>
      </w:hyperlink>
      <w:r w:rsidR="00DE77D1">
        <w:rPr>
          <w:i/>
          <w:iCs/>
        </w:rPr>
        <w:t xml:space="preserve"> </w:t>
      </w:r>
      <w:r w:rsidR="00DE77D1" w:rsidRPr="00C442D3">
        <w:t>prohibits</w:t>
      </w:r>
      <w:r w:rsidR="00A81D03">
        <w:t xml:space="preserve"> the ECB (as well </w:t>
      </w:r>
      <w:r w:rsidR="006D69C9">
        <w:t xml:space="preserve">as </w:t>
      </w:r>
      <w:r w:rsidR="00A81D03">
        <w:t xml:space="preserve">Member State central banks) from engaging in </w:t>
      </w:r>
      <w:r w:rsidR="00D2228C">
        <w:t xml:space="preserve">initiatives that facilitate </w:t>
      </w:r>
      <w:r w:rsidR="00A81D03">
        <w:t>the direct purchas</w:t>
      </w:r>
      <w:r w:rsidR="00A8570B">
        <w:t>ing</w:t>
      </w:r>
      <w:r w:rsidR="00A81D03">
        <w:t xml:space="preserve"> of debt instruments issued by Member State governments. </w:t>
      </w:r>
    </w:p>
    <w:p w14:paraId="4D5C2933" w14:textId="77777777" w:rsidR="00A81D03" w:rsidRDefault="00A81D03" w:rsidP="006737E9">
      <w:pPr>
        <w:jc w:val="both"/>
      </w:pPr>
    </w:p>
    <w:p w14:paraId="1AAB60D8" w14:textId="086607CA" w:rsidR="00DA6719" w:rsidRDefault="00DE6EC6" w:rsidP="00DA6719">
      <w:pPr>
        <w:jc w:val="both"/>
      </w:pPr>
      <w:r>
        <w:t>In July 2017, the GFCC suspended proceeding</w:t>
      </w:r>
      <w:r w:rsidR="006D69C9">
        <w:t>s</w:t>
      </w:r>
      <w:r>
        <w:t xml:space="preserve"> and issued </w:t>
      </w:r>
      <w:r w:rsidR="00422A87">
        <w:t xml:space="preserve">a </w:t>
      </w:r>
      <w:r>
        <w:t xml:space="preserve">preliminary reference to the CJEU </w:t>
      </w:r>
      <w:r w:rsidR="0098265A">
        <w:t>requesting</w:t>
      </w:r>
      <w:r>
        <w:t xml:space="preserve"> that </w:t>
      </w:r>
      <w:r w:rsidR="006D69C9">
        <w:t xml:space="preserve">the </w:t>
      </w:r>
      <w:r>
        <w:t>Court rule on the legality of the ECB decisions establishing the PSPP</w:t>
      </w:r>
      <w:r w:rsidR="00A8570B">
        <w:t>.</w:t>
      </w:r>
      <w:r>
        <w:t xml:space="preserve"> </w:t>
      </w:r>
      <w:r w:rsidR="00D2228C">
        <w:t xml:space="preserve">The </w:t>
      </w:r>
      <w:r>
        <w:t>Grand Chamber</w:t>
      </w:r>
      <w:r w:rsidR="00A8570B">
        <w:t xml:space="preserve"> of the EU Court</w:t>
      </w:r>
      <w:r>
        <w:t xml:space="preserve"> subsequently</w:t>
      </w:r>
      <w:r w:rsidR="00D2228C">
        <w:t xml:space="preserve"> upheld the validity of the PSPP in its judgement in </w:t>
      </w:r>
      <w:r w:rsidR="00D2228C" w:rsidRPr="00707C77">
        <w:rPr>
          <w:i/>
          <w:iCs/>
        </w:rPr>
        <w:t>Weis</w:t>
      </w:r>
      <w:r w:rsidR="00D2228C">
        <w:rPr>
          <w:i/>
          <w:iCs/>
        </w:rPr>
        <w:t>s</w:t>
      </w:r>
      <w:r w:rsidR="00D2228C">
        <w:t xml:space="preserve">, delivered on 11 December 2018. </w:t>
      </w:r>
      <w:r w:rsidR="00B6538E">
        <w:t xml:space="preserve">It ruled that the PSPP did not fall within the express prohibition on the direct purchase of Eurozone government debt instruments in Art 123(1) </w:t>
      </w:r>
      <w:r w:rsidR="00B6538E">
        <w:lastRenderedPageBreak/>
        <w:t xml:space="preserve">TFEU. </w:t>
      </w:r>
      <w:r w:rsidR="00DA6719">
        <w:t>The</w:t>
      </w:r>
      <w:r w:rsidR="00B6538E">
        <w:t xml:space="preserve"> Grand Chamber </w:t>
      </w:r>
      <w:r w:rsidR="00DA6719">
        <w:t xml:space="preserve">concluded that the ECB decisions establishing the PSPP fell within the Union’s exclusive competence in the field of monetary policy and, moreover, were proportionate to the achievement of the objectives of EU monetary policy. The Court also dismissed arguments that the ECB had failed in its duty to give reasons to support </w:t>
      </w:r>
      <w:r w:rsidR="00D03CB6">
        <w:t xml:space="preserve">its adoption of the </w:t>
      </w:r>
      <w:r w:rsidR="00DA6719">
        <w:t>PSPP</w:t>
      </w:r>
      <w:r w:rsidR="00D03CB6">
        <w:t xml:space="preserve">. The CJEU’s reasoning, particularly on the delineation of EU monetary policy and the interpretation of Art 123(1) TFEU, </w:t>
      </w:r>
      <w:r w:rsidR="00D26881">
        <w:t>remained</w:t>
      </w:r>
      <w:r w:rsidR="0068612C">
        <w:t xml:space="preserve"> broadly</w:t>
      </w:r>
      <w:r w:rsidR="00D26881">
        <w:t xml:space="preserve"> faithfully to</w:t>
      </w:r>
      <w:r w:rsidR="00D03CB6">
        <w:t xml:space="preserve"> its earlier decisions in </w:t>
      </w:r>
      <w:hyperlink r:id="rId14" w:history="1">
        <w:r w:rsidR="00171015" w:rsidRPr="00171015">
          <w:rPr>
            <w:rStyle w:val="Hyperlink"/>
          </w:rPr>
          <w:t xml:space="preserve">Case C‑370/12 </w:t>
        </w:r>
        <w:r w:rsidR="00D03CB6" w:rsidRPr="00171015">
          <w:rPr>
            <w:rStyle w:val="Hyperlink"/>
            <w:i/>
            <w:iCs/>
          </w:rPr>
          <w:t>Pringle</w:t>
        </w:r>
      </w:hyperlink>
      <w:r w:rsidR="00D03CB6">
        <w:t xml:space="preserve"> and </w:t>
      </w:r>
      <w:hyperlink r:id="rId15" w:history="1">
        <w:r w:rsidR="00171015" w:rsidRPr="00171015">
          <w:rPr>
            <w:rStyle w:val="Hyperlink"/>
          </w:rPr>
          <w:t xml:space="preserve">Case C-62/14 </w:t>
        </w:r>
        <w:r w:rsidR="00D03CB6" w:rsidRPr="00171015">
          <w:rPr>
            <w:rStyle w:val="Hyperlink"/>
            <w:i/>
            <w:iCs/>
          </w:rPr>
          <w:t>Gauweiler</w:t>
        </w:r>
      </w:hyperlink>
      <w:r w:rsidR="00D03CB6">
        <w:t xml:space="preserve">. </w:t>
      </w:r>
    </w:p>
    <w:p w14:paraId="36C766D5" w14:textId="77777777" w:rsidR="00A8570B" w:rsidRDefault="00A8570B" w:rsidP="00FC3762">
      <w:pPr>
        <w:jc w:val="both"/>
      </w:pPr>
    </w:p>
    <w:p w14:paraId="260FFB97" w14:textId="08D067B9" w:rsidR="006737E9" w:rsidRPr="00A822AB" w:rsidRDefault="00D50A4D" w:rsidP="006737E9">
      <w:pPr>
        <w:jc w:val="both"/>
        <w:rPr>
          <w:b/>
          <w:bCs/>
        </w:rPr>
      </w:pPr>
      <w:r>
        <w:rPr>
          <w:b/>
          <w:bCs/>
        </w:rPr>
        <w:t xml:space="preserve">The </w:t>
      </w:r>
      <w:r w:rsidR="00FC44B4">
        <w:rPr>
          <w:b/>
          <w:bCs/>
        </w:rPr>
        <w:t xml:space="preserve">GFCC’s </w:t>
      </w:r>
      <w:r w:rsidR="00F2591D">
        <w:rPr>
          <w:b/>
          <w:bCs/>
        </w:rPr>
        <w:t>Judgment</w:t>
      </w:r>
      <w:r>
        <w:rPr>
          <w:b/>
          <w:bCs/>
        </w:rPr>
        <w:t xml:space="preserve"> </w:t>
      </w:r>
    </w:p>
    <w:p w14:paraId="4E3392C4" w14:textId="77777777" w:rsidR="006737E9" w:rsidRDefault="006737E9" w:rsidP="006737E9">
      <w:pPr>
        <w:jc w:val="both"/>
      </w:pPr>
    </w:p>
    <w:p w14:paraId="4DD2EFED" w14:textId="230D60EF" w:rsidR="00CA13E0" w:rsidRDefault="00961D82" w:rsidP="00946542">
      <w:pPr>
        <w:jc w:val="both"/>
      </w:pPr>
      <w:r>
        <w:t>T</w:t>
      </w:r>
      <w:r w:rsidR="009B3C64">
        <w:t>he CJEU’s decision</w:t>
      </w:r>
      <w:r>
        <w:t xml:space="preserve"> in </w:t>
      </w:r>
      <w:r w:rsidR="00144BA6" w:rsidRPr="00144BA6">
        <w:rPr>
          <w:i/>
          <w:iCs/>
        </w:rPr>
        <w:t>Weiss</w:t>
      </w:r>
      <w:r w:rsidR="00144BA6">
        <w:t xml:space="preserve"> </w:t>
      </w:r>
      <w:r w:rsidR="009B3C64">
        <w:t xml:space="preserve">upholding the compatibility of the PSPP with the EU </w:t>
      </w:r>
      <w:r w:rsidR="00B4390A">
        <w:t>t</w:t>
      </w:r>
      <w:r w:rsidR="009B3C64">
        <w:t>reaty framework</w:t>
      </w:r>
      <w:r w:rsidR="00946542">
        <w:t xml:space="preserve"> </w:t>
      </w:r>
      <w:r w:rsidR="009B3C64">
        <w:t>would</w:t>
      </w:r>
      <w:r w:rsidR="00D4241D">
        <w:t xml:space="preserve"> ordinarily have</w:t>
      </w:r>
      <w:r w:rsidR="00CA13E0">
        <w:t xml:space="preserve"> effectively</w:t>
      </w:r>
      <w:r w:rsidR="00D4241D">
        <w:t xml:space="preserve"> marked the end of the dispute. </w:t>
      </w:r>
      <w:r>
        <w:t>That Court</w:t>
      </w:r>
      <w:r w:rsidR="00D4241D">
        <w:t xml:space="preserve"> had given the </w:t>
      </w:r>
      <w:r>
        <w:t>GFCC</w:t>
      </w:r>
      <w:r w:rsidR="009B3C64">
        <w:t xml:space="preserve"> a definitive answer</w:t>
      </w:r>
      <w:r w:rsidR="00D4241D">
        <w:t xml:space="preserve"> </w:t>
      </w:r>
      <w:r w:rsidR="009B3C64">
        <w:t xml:space="preserve">and </w:t>
      </w:r>
      <w:r w:rsidR="00D4241D">
        <w:t xml:space="preserve">the </w:t>
      </w:r>
      <w:r>
        <w:t>German Court’s</w:t>
      </w:r>
      <w:r w:rsidR="009B3C64">
        <w:t xml:space="preserve"> obligation was simply to </w:t>
      </w:r>
      <w:r w:rsidR="00CA13E0">
        <w:t>implement</w:t>
      </w:r>
      <w:r w:rsidR="009B3C64">
        <w:t xml:space="preserve"> </w:t>
      </w:r>
      <w:r w:rsidR="00D4241D">
        <w:t>that response</w:t>
      </w:r>
      <w:r w:rsidR="009B3C64">
        <w:t>.</w:t>
      </w:r>
      <w:r w:rsidR="00782A20">
        <w:t xml:space="preserve"> However, the GFCC </w:t>
      </w:r>
      <w:r w:rsidR="00CA13E0">
        <w:t>was</w:t>
      </w:r>
      <w:r w:rsidR="00782A20">
        <w:t xml:space="preserve"> entirely unconvinced</w:t>
      </w:r>
      <w:r w:rsidR="00CA13E0">
        <w:t xml:space="preserve"> by the CJEU’s assessment of the </w:t>
      </w:r>
      <w:r w:rsidR="00D50A4D">
        <w:t>validity</w:t>
      </w:r>
      <w:r w:rsidR="00CA13E0">
        <w:t xml:space="preserve"> of the PSPP. </w:t>
      </w:r>
      <w:r w:rsidR="00782A20">
        <w:t xml:space="preserve">In </w:t>
      </w:r>
      <w:r w:rsidR="0098265A">
        <w:t>an historic</w:t>
      </w:r>
      <w:r w:rsidR="009B3C64">
        <w:t xml:space="preserve"> first, </w:t>
      </w:r>
      <w:r w:rsidR="00782A20">
        <w:t>the GFCC</w:t>
      </w:r>
      <w:r w:rsidR="009C36EF">
        <w:t xml:space="preserve"> flatly</w:t>
      </w:r>
      <w:r w:rsidR="00D50A4D" w:rsidRPr="00D50A4D">
        <w:t xml:space="preserve"> </w:t>
      </w:r>
      <w:r w:rsidR="00D50A4D">
        <w:t xml:space="preserve">refused to recognise the binding effect of the CJEU’s decision. </w:t>
      </w:r>
      <w:r w:rsidR="009C36EF">
        <w:t>Rather,</w:t>
      </w:r>
      <w:r w:rsidR="00A26AE1">
        <w:t xml:space="preserve"> in a striking move,</w:t>
      </w:r>
      <w:r w:rsidR="009C36EF">
        <w:t xml:space="preserve"> i</w:t>
      </w:r>
      <w:r w:rsidR="00D50A4D">
        <w:t xml:space="preserve">t </w:t>
      </w:r>
      <w:r w:rsidR="00983706">
        <w:t>concluded that</w:t>
      </w:r>
      <w:r w:rsidR="00CA13E0">
        <w:t xml:space="preserve">, by failing properly to scrutinise the proportionality of the </w:t>
      </w:r>
      <w:r w:rsidR="00837D1A">
        <w:t>P</w:t>
      </w:r>
      <w:r w:rsidR="00CA13E0">
        <w:t>SPP, the CJEU</w:t>
      </w:r>
      <w:r w:rsidR="00D50A4D">
        <w:t xml:space="preserve"> </w:t>
      </w:r>
      <w:r w:rsidR="00D50A4D" w:rsidRPr="00D50A4D">
        <w:t xml:space="preserve">in </w:t>
      </w:r>
      <w:r w:rsidR="00D50A4D" w:rsidRPr="00D50A4D">
        <w:rPr>
          <w:i/>
          <w:iCs/>
        </w:rPr>
        <w:t>Weiss</w:t>
      </w:r>
      <w:r w:rsidR="00D50A4D" w:rsidRPr="00D50A4D">
        <w:t xml:space="preserve"> </w:t>
      </w:r>
      <w:r w:rsidR="00D50A4D">
        <w:t>had</w:t>
      </w:r>
      <w:r w:rsidR="00CA13E0">
        <w:t xml:space="preserve"> </w:t>
      </w:r>
      <w:r w:rsidR="00983706" w:rsidRPr="00782A20">
        <w:rPr>
          <w:i/>
          <w:iCs/>
        </w:rPr>
        <w:t>itself</w:t>
      </w:r>
      <w:r w:rsidR="00983706">
        <w:t xml:space="preserve"> exceeded the boundaries of its </w:t>
      </w:r>
      <w:r w:rsidR="00A26AE1">
        <w:t>judicial</w:t>
      </w:r>
      <w:r w:rsidR="00983706">
        <w:t xml:space="preserve"> mandate under the EU Treaties. </w:t>
      </w:r>
    </w:p>
    <w:p w14:paraId="25921E57" w14:textId="243396A2" w:rsidR="001964B0" w:rsidRDefault="001964B0" w:rsidP="00946542">
      <w:pPr>
        <w:jc w:val="both"/>
      </w:pPr>
    </w:p>
    <w:p w14:paraId="308AC751" w14:textId="7246039D" w:rsidR="002F7076" w:rsidRDefault="001964B0" w:rsidP="00946542">
      <w:pPr>
        <w:jc w:val="both"/>
      </w:pPr>
      <w:r>
        <w:t xml:space="preserve">The GFCC </w:t>
      </w:r>
      <w:r w:rsidR="00CF0D93">
        <w:t xml:space="preserve">did not hold back in its </w:t>
      </w:r>
      <w:r w:rsidR="00CF0D93" w:rsidRPr="006013A7">
        <w:t xml:space="preserve">criticism of the CJEU’s review. It concluded that the CJEU’s reasoning in </w:t>
      </w:r>
      <w:r w:rsidR="00CF0D93" w:rsidRPr="006013A7">
        <w:rPr>
          <w:i/>
          <w:iCs/>
        </w:rPr>
        <w:t>Weiss</w:t>
      </w:r>
      <w:r w:rsidR="00CF0D93" w:rsidRPr="006013A7">
        <w:t xml:space="preserve"> was</w:t>
      </w:r>
      <w:r w:rsidR="00633FDF" w:rsidRPr="006013A7">
        <w:t xml:space="preserve"> ‘simply not comprehensible’</w:t>
      </w:r>
      <w:r w:rsidR="00F463C9">
        <w:t xml:space="preserve"> [</w:t>
      </w:r>
      <w:r w:rsidR="00EC09B4">
        <w:t>56]</w:t>
      </w:r>
      <w:r w:rsidR="004B036F">
        <w:t xml:space="preserve"> </w:t>
      </w:r>
      <w:r w:rsidR="00633FDF" w:rsidRPr="006013A7">
        <w:t>and based on a ‘manifest</w:t>
      </w:r>
      <w:r w:rsidR="004B036F">
        <w:t>’</w:t>
      </w:r>
      <w:r w:rsidR="00633FDF" w:rsidRPr="006013A7">
        <w:t xml:space="preserve"> disregard for ‘recognised methodological principles’ of interpretation</w:t>
      </w:r>
      <w:r w:rsidR="00EC09B4">
        <w:t xml:space="preserve"> [112]</w:t>
      </w:r>
      <w:r w:rsidR="00633FDF" w:rsidRPr="006013A7">
        <w:t>.</w:t>
      </w:r>
      <w:r w:rsidR="002F7076">
        <w:t xml:space="preserve"> </w:t>
      </w:r>
      <w:r w:rsidR="00521FF2">
        <w:t>The</w:t>
      </w:r>
      <w:r w:rsidR="002F7076">
        <w:t xml:space="preserve"> GFCC was particularly scathing of the CJEU’s assessment of the proportionality of the PSPP</w:t>
      </w:r>
      <w:r w:rsidR="00521FF2">
        <w:t>.</w:t>
      </w:r>
      <w:r w:rsidR="002F7076">
        <w:t xml:space="preserve"> The German Court took the view that the CJEU had rendered the appli</w:t>
      </w:r>
      <w:r w:rsidR="00521FF2">
        <w:t>cation of that principle ‘meaningless’ as a key instrument to safeguard Member States against competence creep by the EU institutions</w:t>
      </w:r>
      <w:r w:rsidR="00DC3DB7">
        <w:t>, including in the areas of economic and fiscal policy</w:t>
      </w:r>
      <w:r w:rsidR="00DD1636">
        <w:t xml:space="preserve"> [</w:t>
      </w:r>
      <w:r w:rsidR="004B036F">
        <w:t>133]</w:t>
      </w:r>
      <w:r w:rsidR="00521FF2">
        <w:t>.</w:t>
      </w:r>
    </w:p>
    <w:p w14:paraId="31B4603B" w14:textId="77777777" w:rsidR="002F7076" w:rsidRDefault="002F7076" w:rsidP="00946542">
      <w:pPr>
        <w:jc w:val="both"/>
      </w:pPr>
    </w:p>
    <w:p w14:paraId="3FAEB7CA" w14:textId="73AF3D3F" w:rsidR="007A356F" w:rsidRPr="007A356F" w:rsidRDefault="002F7076" w:rsidP="007A356F">
      <w:pPr>
        <w:jc w:val="both"/>
      </w:pPr>
      <w:r>
        <w:t>The GFCC’s damning verdict</w:t>
      </w:r>
      <w:r w:rsidR="00521FF2">
        <w:t xml:space="preserve"> on the CJEU’s standard of judicial review</w:t>
      </w:r>
      <w:r>
        <w:t xml:space="preserve"> </w:t>
      </w:r>
      <w:r w:rsidR="00521FF2">
        <w:t xml:space="preserve">prompted it </w:t>
      </w:r>
      <w:r w:rsidR="00633FDF">
        <w:t xml:space="preserve">to </w:t>
      </w:r>
      <w:r w:rsidR="00961D82">
        <w:t>rule</w:t>
      </w:r>
      <w:r w:rsidR="00633FDF">
        <w:t xml:space="preserve"> that the Luxembourg Court had </w:t>
      </w:r>
      <w:r w:rsidR="00DB64C0">
        <w:t>overstepped</w:t>
      </w:r>
      <w:r w:rsidR="006013A7">
        <w:t xml:space="preserve"> </w:t>
      </w:r>
      <w:r w:rsidR="00633FDF">
        <w:t>its mandate to ensure ‘the law is observed in the interpretation and application of the treaties’</w:t>
      </w:r>
      <w:r w:rsidR="001F046F">
        <w:t xml:space="preserve"> (Art 19(2) TEU).</w:t>
      </w:r>
      <w:r w:rsidR="00633FDF">
        <w:t xml:space="preserve"> </w:t>
      </w:r>
      <w:r w:rsidR="006013A7">
        <w:t xml:space="preserve">The effect of that milestone determination was to render the CJEU’s ruling in </w:t>
      </w:r>
      <w:r w:rsidR="006013A7" w:rsidRPr="006013A7">
        <w:rPr>
          <w:i/>
          <w:iCs/>
        </w:rPr>
        <w:t>Weiss</w:t>
      </w:r>
      <w:r w:rsidR="006013A7">
        <w:t xml:space="preserve"> inapplicable within Germany. </w:t>
      </w:r>
      <w:r w:rsidR="000B3BAD">
        <w:t>Invoking its established jurisprudence on the domestic control of ‘ultra vires’ acts of the EU institutions</w:t>
      </w:r>
      <w:r w:rsidR="006013A7">
        <w:t>,</w:t>
      </w:r>
      <w:r w:rsidR="000B3BAD">
        <w:t xml:space="preserve"> the GFCC concluded that</w:t>
      </w:r>
      <w:r w:rsidR="00633FDF">
        <w:t xml:space="preserve"> the CJEU’s decision</w:t>
      </w:r>
      <w:r w:rsidR="009561AC">
        <w:t xml:space="preserve"> </w:t>
      </w:r>
      <w:r w:rsidR="006013A7">
        <w:t xml:space="preserve">failed to meet the minimum standards of democratic legitimation required under the Basic law. Consequently, it had no binding effect in the German legal </w:t>
      </w:r>
      <w:r w:rsidR="00DB64C0">
        <w:t>order; in other words, the supremacy of EU law did not apply</w:t>
      </w:r>
      <w:r w:rsidR="007A356F">
        <w:t xml:space="preserve">. As the Court put it, </w:t>
      </w:r>
    </w:p>
    <w:p w14:paraId="588DC6F9" w14:textId="392A90A3" w:rsidR="00342ED6" w:rsidRDefault="007A356F" w:rsidP="007A356F">
      <w:pPr>
        <w:spacing w:before="100" w:beforeAutospacing="1" w:after="100" w:afterAutospacing="1"/>
        <w:ind w:left="720" w:right="798"/>
        <w:jc w:val="both"/>
      </w:pPr>
      <w:r w:rsidRPr="007A356F">
        <w:t>‘</w:t>
      </w:r>
      <w:r>
        <w:t xml:space="preserve">the </w:t>
      </w:r>
      <w:r w:rsidRPr="00B2162E">
        <w:t xml:space="preserve">Judgment of the CJEU of 11 December 2018 manifestly exceeds the mandate conferred upon it in Art. 19(1) second sentence TEU, resulting in a structurally significant shift in the order of competences to the detriment of the Member States. To this extent, the CJEU Judgment itself constitutes an </w:t>
      </w:r>
      <w:r w:rsidRPr="00B2162E">
        <w:rPr>
          <w:i/>
          <w:iCs/>
        </w:rPr>
        <w:t xml:space="preserve">ultra vires </w:t>
      </w:r>
      <w:r w:rsidRPr="00B2162E">
        <w:t xml:space="preserve">act and thus has no binding effect </w:t>
      </w:r>
      <w:r w:rsidRPr="00F463C9">
        <w:t>[in Germany].’ [119]</w:t>
      </w:r>
    </w:p>
    <w:p w14:paraId="093A175B" w14:textId="7EC911EB" w:rsidR="00DC3DB7" w:rsidRDefault="00D50A4D" w:rsidP="00946542">
      <w:pPr>
        <w:jc w:val="both"/>
      </w:pPr>
      <w:r w:rsidRPr="00CA3C4C">
        <w:t xml:space="preserve">The </w:t>
      </w:r>
      <w:r w:rsidR="007A356F">
        <w:t>GFCC’s</w:t>
      </w:r>
      <w:r w:rsidRPr="00CA3C4C">
        <w:t xml:space="preserve"> dismissal of </w:t>
      </w:r>
      <w:r>
        <w:t xml:space="preserve">the CJEU’s ruling as an ‘ultra vires’ act </w:t>
      </w:r>
      <w:r w:rsidR="009C36EF">
        <w:t xml:space="preserve">left the </w:t>
      </w:r>
      <w:r w:rsidR="00DC3DB7">
        <w:t xml:space="preserve">German </w:t>
      </w:r>
      <w:r w:rsidR="009C36EF">
        <w:t>Court free to engage in its own assessment of the legality of the PSPP</w:t>
      </w:r>
      <w:r w:rsidR="0066310C">
        <w:t xml:space="preserve"> under the Treaty framework</w:t>
      </w:r>
      <w:r w:rsidR="00DB64C0">
        <w:t>.</w:t>
      </w:r>
      <w:r w:rsidR="0066310C">
        <w:t xml:space="preserve"> </w:t>
      </w:r>
      <w:r w:rsidR="00CA3C4C">
        <w:t xml:space="preserve">Dissecting </w:t>
      </w:r>
      <w:r w:rsidR="00414104">
        <w:t>the CJEU’s reasoning</w:t>
      </w:r>
      <w:r w:rsidR="00CA3C4C">
        <w:t xml:space="preserve"> forensically</w:t>
      </w:r>
      <w:r w:rsidR="00414104">
        <w:t>, the GFCC conclude</w:t>
      </w:r>
      <w:r w:rsidR="00053F4C">
        <w:t xml:space="preserve">d </w:t>
      </w:r>
      <w:r w:rsidR="00414104">
        <w:t>that, in its present form, the PSPP also qualifie</w:t>
      </w:r>
      <w:r w:rsidR="009561AC">
        <w:t>d</w:t>
      </w:r>
      <w:r w:rsidR="00414104">
        <w:t xml:space="preserve"> as an ‘ultra vires’ act on account of the ECB’s failure comprehensively to assess the proportionality of </w:t>
      </w:r>
      <w:r w:rsidR="009561AC">
        <w:t>that</w:t>
      </w:r>
      <w:r w:rsidR="00414104">
        <w:t xml:space="preserve"> bond-buying scheme</w:t>
      </w:r>
      <w:r w:rsidR="00B969C3">
        <w:t xml:space="preserve"> [165]</w:t>
      </w:r>
      <w:r w:rsidR="00414104">
        <w:t>. At the same time, however, the German Court withh</w:t>
      </w:r>
      <w:r w:rsidR="00E2614E">
        <w:t>e</w:t>
      </w:r>
      <w:r w:rsidR="00414104">
        <w:t>ld</w:t>
      </w:r>
      <w:r w:rsidR="00E2614E">
        <w:t xml:space="preserve"> </w:t>
      </w:r>
      <w:r w:rsidR="00414104">
        <w:t>judgment on the potential compatibility of</w:t>
      </w:r>
      <w:r w:rsidR="00CA3C4C">
        <w:t xml:space="preserve"> the PSPP in modified form; in other words, following a robust application of the proportionality principle, which identifie</w:t>
      </w:r>
      <w:r w:rsidR="009561AC">
        <w:t>d</w:t>
      </w:r>
      <w:r w:rsidR="00CA3C4C">
        <w:t xml:space="preserve">, </w:t>
      </w:r>
      <w:r w:rsidR="00CA3C4C">
        <w:lastRenderedPageBreak/>
        <w:t>weigh</w:t>
      </w:r>
      <w:r w:rsidR="009561AC">
        <w:t>ed</w:t>
      </w:r>
      <w:r w:rsidR="00CA3C4C">
        <w:t xml:space="preserve"> and balance</w:t>
      </w:r>
      <w:r w:rsidR="009561AC">
        <w:t>d</w:t>
      </w:r>
      <w:r w:rsidR="00CA3C4C">
        <w:t xml:space="preserve"> the programme’s monetary and policy objectives</w:t>
      </w:r>
      <w:r w:rsidR="00E2614E">
        <w:t xml:space="preserve"> in a manner that safeguard</w:t>
      </w:r>
      <w:r w:rsidR="009561AC">
        <w:t>ed</w:t>
      </w:r>
      <w:r w:rsidR="00E2614E">
        <w:t xml:space="preserve"> Member State competences</w:t>
      </w:r>
      <w:r w:rsidR="00B969C3">
        <w:t xml:space="preserve"> [165]</w:t>
      </w:r>
      <w:r w:rsidR="00CA3C4C">
        <w:t xml:space="preserve">. </w:t>
      </w:r>
      <w:r w:rsidR="00E2614E">
        <w:t>Accordingly</w:t>
      </w:r>
      <w:r w:rsidR="00CA3C4C">
        <w:t xml:space="preserve">, the Court </w:t>
      </w:r>
      <w:r w:rsidR="009561AC">
        <w:t>did</w:t>
      </w:r>
      <w:r w:rsidR="00CA3C4C">
        <w:t xml:space="preserve"> not</w:t>
      </w:r>
      <w:r w:rsidR="00AA0AAE">
        <w:t>, therefore,</w:t>
      </w:r>
      <w:r w:rsidR="00053F4C">
        <w:t xml:space="preserve"> </w:t>
      </w:r>
      <w:r w:rsidR="00CA3C4C">
        <w:t>consider a suitably tailored bond-buying scheme along the lines of the PSPP as</w:t>
      </w:r>
      <w:r w:rsidR="009561AC">
        <w:t xml:space="preserve"> fundamentally</w:t>
      </w:r>
      <w:r w:rsidR="00CA3C4C">
        <w:t xml:space="preserve"> incompatible with the prohibition on the direct purchasing of government debt instruments </w:t>
      </w:r>
      <w:r w:rsidR="009561AC">
        <w:t xml:space="preserve">set out </w:t>
      </w:r>
      <w:r w:rsidR="00CA3C4C">
        <w:t>in Art 123(1) TFEU</w:t>
      </w:r>
      <w:r w:rsidR="00B969C3">
        <w:t xml:space="preserve"> [1</w:t>
      </w:r>
      <w:r w:rsidR="00500921">
        <w:t>80</w:t>
      </w:r>
      <w:r w:rsidR="00B969C3">
        <w:t>]</w:t>
      </w:r>
      <w:r w:rsidR="00CA3C4C">
        <w:t>.</w:t>
      </w:r>
      <w:r w:rsidR="00E146FA">
        <w:t xml:space="preserve"> It gave the German Government and Federal Parliament three months to take steps to ensure the ECB brings its PSPP scheme into conformity with the EU Treaties</w:t>
      </w:r>
      <w:r w:rsidR="00EC09B4">
        <w:t xml:space="preserve"> [232-235]</w:t>
      </w:r>
      <w:r w:rsidR="00E146FA">
        <w:t xml:space="preserve">.  </w:t>
      </w:r>
    </w:p>
    <w:p w14:paraId="2D7D2712" w14:textId="77777777" w:rsidR="001077C8" w:rsidRDefault="001077C8" w:rsidP="00FC3762">
      <w:pPr>
        <w:jc w:val="both"/>
      </w:pPr>
    </w:p>
    <w:p w14:paraId="446BCE1F" w14:textId="1E4B0EF7" w:rsidR="00F43C61" w:rsidRPr="00A822AB" w:rsidRDefault="00B23B66" w:rsidP="00FC3762">
      <w:pPr>
        <w:jc w:val="both"/>
        <w:rPr>
          <w:b/>
          <w:bCs/>
        </w:rPr>
      </w:pPr>
      <w:r>
        <w:rPr>
          <w:b/>
          <w:bCs/>
        </w:rPr>
        <w:t>Striking Gold or Missing the Target?</w:t>
      </w:r>
    </w:p>
    <w:p w14:paraId="669DB9DF" w14:textId="03FB0256" w:rsidR="006737E9" w:rsidRDefault="006737E9" w:rsidP="00A822AB">
      <w:pPr>
        <w:jc w:val="both"/>
      </w:pPr>
    </w:p>
    <w:p w14:paraId="59428768" w14:textId="0E704336" w:rsidR="00D96841" w:rsidRDefault="00D96841" w:rsidP="00985866">
      <w:pPr>
        <w:jc w:val="both"/>
      </w:pPr>
      <w:r>
        <w:t>Last week’s GFCC judgment on the legality of the PSPP</w:t>
      </w:r>
      <w:r w:rsidR="009B5962">
        <w:t xml:space="preserve"> is a landmark ruling on the relationship between EU and Member State law. </w:t>
      </w:r>
      <w:r>
        <w:t xml:space="preserve">It marks the first time that Court has operationalised its well-established jurisprudence on ‘ultra vires’ acts of the EU institutions to withhold binding effect from a judgment of the CJEU. In so doing, the GFCC has </w:t>
      </w:r>
      <w:r w:rsidR="00BF4F82">
        <w:t xml:space="preserve">mounted a direct challenge to two cornerstones of the EU legal order: (i) the supremacy of EU law and (ii) the CJEU’s competence to rule conclusively on the validity of acts of the EU institutions. Its decision to deny domestic effect to a ruling of the EU’s top </w:t>
      </w:r>
      <w:r w:rsidR="008C2BF7">
        <w:t>c</w:t>
      </w:r>
      <w:r w:rsidR="00BF4F82">
        <w:t xml:space="preserve">ourt also </w:t>
      </w:r>
      <w:r>
        <w:t>leaves Germany</w:t>
      </w:r>
      <w:r w:rsidR="003511B2">
        <w:t xml:space="preserve"> technically</w:t>
      </w:r>
      <w:r>
        <w:t xml:space="preserve"> in breach of its</w:t>
      </w:r>
      <w:r w:rsidR="00B926CC">
        <w:t xml:space="preserve"> EU treaty</w:t>
      </w:r>
      <w:r>
        <w:t xml:space="preserve"> obligations and </w:t>
      </w:r>
      <w:r w:rsidR="00DC5EA6">
        <w:t>vulnerable</w:t>
      </w:r>
      <w:r w:rsidR="004F3B04">
        <w:t xml:space="preserve"> to</w:t>
      </w:r>
      <w:r>
        <w:t xml:space="preserve"> </w:t>
      </w:r>
      <w:r w:rsidR="009561AC">
        <w:t xml:space="preserve">a </w:t>
      </w:r>
      <w:r>
        <w:t>potential Art 258 TFEU</w:t>
      </w:r>
      <w:r w:rsidR="004F3B04">
        <w:t xml:space="preserve"> infringement action</w:t>
      </w:r>
      <w:r>
        <w:t>.</w:t>
      </w:r>
    </w:p>
    <w:p w14:paraId="1EFF318C" w14:textId="03CC3833" w:rsidR="00101402" w:rsidRDefault="00101402" w:rsidP="00985866">
      <w:pPr>
        <w:jc w:val="both"/>
      </w:pPr>
    </w:p>
    <w:p w14:paraId="53007831" w14:textId="18CAD236" w:rsidR="00101402" w:rsidRDefault="00CF7AA9" w:rsidP="00985866">
      <w:pPr>
        <w:jc w:val="both"/>
      </w:pPr>
      <w:r>
        <w:t xml:space="preserve">A key strength of the German Court’s established case law on ‘ultra vires’ acts has always been its recognition that, as an institution of the Union, the </w:t>
      </w:r>
      <w:r w:rsidR="00516E78">
        <w:t>CJEU</w:t>
      </w:r>
      <w:r>
        <w:t xml:space="preserve"> is also bound</w:t>
      </w:r>
      <w:r w:rsidR="00D43E56">
        <w:t>, as a matter of principle,</w:t>
      </w:r>
      <w:r>
        <w:t xml:space="preserve"> to exercise its functions in compliance with the EU treaty framework. That fact is often overlooked, including by the Luxembourg </w:t>
      </w:r>
      <w:r w:rsidR="006D69C9">
        <w:t xml:space="preserve">Court </w:t>
      </w:r>
      <w:r w:rsidR="00B23B66">
        <w:t>itself</w:t>
      </w:r>
      <w:r w:rsidR="006D69C9">
        <w:t>,</w:t>
      </w:r>
      <w:r w:rsidR="00B23B66">
        <w:t xml:space="preserve"> with detrimental effects on the legitimacy of European integration. As I</w:t>
      </w:r>
      <w:r w:rsidR="009561AC">
        <w:t>,</w:t>
      </w:r>
      <w:r w:rsidR="00B23B66">
        <w:t xml:space="preserve"> along with others</w:t>
      </w:r>
      <w:r w:rsidR="009561AC">
        <w:t>,</w:t>
      </w:r>
      <w:r w:rsidR="00B23B66">
        <w:t xml:space="preserve"> have </w:t>
      </w:r>
      <w:hyperlink r:id="rId16" w:history="1">
        <w:r w:rsidR="00B23B66" w:rsidRPr="00EE5E2C">
          <w:rPr>
            <w:rStyle w:val="Hyperlink"/>
          </w:rPr>
          <w:t>argued elsewhere</w:t>
        </w:r>
      </w:hyperlink>
      <w:r w:rsidR="00B23B66">
        <w:t xml:space="preserve">, much of </w:t>
      </w:r>
      <w:r w:rsidR="009561AC">
        <w:t xml:space="preserve">the </w:t>
      </w:r>
      <w:r w:rsidR="00B23B66">
        <w:t xml:space="preserve">legal discourse on EU integration has never been especially </w:t>
      </w:r>
      <w:r w:rsidR="009561AC">
        <w:t>troubled by</w:t>
      </w:r>
      <w:r w:rsidR="00B23B66">
        <w:t xml:space="preserve"> the fact that the CJEU remains </w:t>
      </w:r>
      <w:r w:rsidR="009561AC">
        <w:t>the sole</w:t>
      </w:r>
      <w:r w:rsidR="00B23B66">
        <w:t xml:space="preserve"> EU institution whose activities are not routinely scrutinised for compliance with the </w:t>
      </w:r>
      <w:r w:rsidR="009561AC">
        <w:t>t</w:t>
      </w:r>
      <w:r w:rsidR="00B23B66">
        <w:t>reaty framework.</w:t>
      </w:r>
      <w:r w:rsidR="00D43E56">
        <w:t xml:space="preserve"> That remains a problem.</w:t>
      </w:r>
    </w:p>
    <w:p w14:paraId="20AFF2CF" w14:textId="19029FFB" w:rsidR="00B23B66" w:rsidRDefault="00B23B66" w:rsidP="00985866">
      <w:pPr>
        <w:jc w:val="both"/>
      </w:pPr>
    </w:p>
    <w:p w14:paraId="7D94C04A" w14:textId="25D2F3CD" w:rsidR="00101402" w:rsidRDefault="00B23B66" w:rsidP="00985866">
      <w:pPr>
        <w:jc w:val="both"/>
      </w:pPr>
      <w:r>
        <w:t xml:space="preserve">At the same time, however, the GFCC’s judgment prompts us to reflect on whether it should fall to that Court (or any Member State court) to ‘push back’ against the CJEU in defence of </w:t>
      </w:r>
      <w:r w:rsidR="00D43E56">
        <w:t xml:space="preserve">the limits </w:t>
      </w:r>
      <w:r w:rsidR="004F3B04">
        <w:t xml:space="preserve">the EU </w:t>
      </w:r>
      <w:r w:rsidR="009561AC">
        <w:t>t</w:t>
      </w:r>
      <w:r w:rsidR="004F3B04">
        <w:t xml:space="preserve">reaties </w:t>
      </w:r>
      <w:r w:rsidR="00D43E56">
        <w:t>impose on European integration. The GFCC’s decision to initiate its first strike against the CJEU in this judgment is</w:t>
      </w:r>
      <w:r w:rsidR="00F83EAD">
        <w:t xml:space="preserve"> </w:t>
      </w:r>
      <w:r w:rsidR="00D43E56">
        <w:t xml:space="preserve">also arguably weakened by its </w:t>
      </w:r>
      <w:r w:rsidR="009561AC">
        <w:t xml:space="preserve">particular </w:t>
      </w:r>
      <w:r w:rsidR="00A7680F">
        <w:t xml:space="preserve">choice of </w:t>
      </w:r>
      <w:r w:rsidR="00D43E56">
        <w:t xml:space="preserve">target: the proportionality principle. The GFCC is correct to conclude that proportionality is a key instrument in the EU </w:t>
      </w:r>
      <w:r w:rsidR="009561AC">
        <w:t>t</w:t>
      </w:r>
      <w:r w:rsidR="00D43E56">
        <w:t xml:space="preserve">reaty framework </w:t>
      </w:r>
      <w:r w:rsidR="004F3B04">
        <w:t>that is designed to</w:t>
      </w:r>
      <w:r w:rsidR="00D43E56">
        <w:t xml:space="preserve"> protect Member States against </w:t>
      </w:r>
      <w:r w:rsidR="004F3B04">
        <w:t>‘</w:t>
      </w:r>
      <w:r w:rsidR="00D43E56">
        <w:t>competence creep</w:t>
      </w:r>
      <w:r w:rsidR="004F3B04">
        <w:t>’</w:t>
      </w:r>
      <w:r w:rsidR="00D43E56">
        <w:t xml:space="preserve"> by the EU institutions. But as any </w:t>
      </w:r>
      <w:r w:rsidR="003511B2">
        <w:t>public</w:t>
      </w:r>
      <w:r w:rsidR="00D43E56">
        <w:t xml:space="preserve"> lawyer knows, it is also a flexible tool that is capable of </w:t>
      </w:r>
      <w:r w:rsidR="00A7680F">
        <w:t>adjustment</w:t>
      </w:r>
      <w:r w:rsidR="00D43E56">
        <w:t xml:space="preserve"> to defend a range of </w:t>
      </w:r>
      <w:r w:rsidR="009561AC">
        <w:t xml:space="preserve">legitimate </w:t>
      </w:r>
      <w:r w:rsidR="00D43E56">
        <w:t>legal outcomes</w:t>
      </w:r>
      <w:r w:rsidR="00E67FCB">
        <w:t xml:space="preserve"> in particular cases.</w:t>
      </w:r>
      <w:r w:rsidR="003511B2">
        <w:t xml:space="preserve"> </w:t>
      </w:r>
      <w:r w:rsidR="00E67FCB">
        <w:t>The GFCC</w:t>
      </w:r>
      <w:r w:rsidR="004B60D6">
        <w:t xml:space="preserve"> unquestionably</w:t>
      </w:r>
      <w:r w:rsidR="00E67FCB">
        <w:t xml:space="preserve"> disagree</w:t>
      </w:r>
      <w:r w:rsidR="004F3B04">
        <w:t>s</w:t>
      </w:r>
      <w:r w:rsidR="00E67FCB">
        <w:t xml:space="preserve"> </w:t>
      </w:r>
      <w:r w:rsidR="004F3B04">
        <w:t xml:space="preserve">fundamentally </w:t>
      </w:r>
      <w:r w:rsidR="00E67FCB">
        <w:t>with the CJEU’s approach to assessing the proportionality of the PSPP</w:t>
      </w:r>
      <w:r w:rsidR="009561AC">
        <w:t xml:space="preserve"> </w:t>
      </w:r>
      <w:r w:rsidR="00E67FCB">
        <w:t xml:space="preserve">in the strongest of terms, but there is </w:t>
      </w:r>
      <w:r w:rsidR="004F3B04">
        <w:t xml:space="preserve">certainly </w:t>
      </w:r>
      <w:r w:rsidR="00E67FCB">
        <w:t xml:space="preserve">scope to question its conclusion that </w:t>
      </w:r>
      <w:r w:rsidR="0037371C">
        <w:t>the Luxembourg Court’s approach</w:t>
      </w:r>
      <w:r w:rsidR="00E67FCB">
        <w:t xml:space="preserve"> </w:t>
      </w:r>
      <w:r w:rsidR="004F3B04">
        <w:t>is</w:t>
      </w:r>
      <w:r w:rsidR="00A7680F">
        <w:t xml:space="preserve"> ‘manifestly’</w:t>
      </w:r>
      <w:r w:rsidR="004B60D6">
        <w:t xml:space="preserve"> </w:t>
      </w:r>
      <w:r w:rsidR="00E67FCB" w:rsidRPr="004B60D6">
        <w:t>unlawful</w:t>
      </w:r>
      <w:r w:rsidR="00E67FCB">
        <w:t xml:space="preserve"> as a matter of Union law.  </w:t>
      </w:r>
    </w:p>
    <w:p w14:paraId="2DE1C15A" w14:textId="48C36D3D" w:rsidR="00B23B66" w:rsidRDefault="00B23B66" w:rsidP="00985866">
      <w:pPr>
        <w:jc w:val="both"/>
      </w:pPr>
    </w:p>
    <w:p w14:paraId="0C42AB4F" w14:textId="15192E74" w:rsidR="00B23B66" w:rsidRDefault="0037371C" w:rsidP="00985866">
      <w:pPr>
        <w:jc w:val="both"/>
      </w:pPr>
      <w:r>
        <w:t>The</w:t>
      </w:r>
      <w:r w:rsidR="00E67FCB">
        <w:t xml:space="preserve"> GF</w:t>
      </w:r>
      <w:r w:rsidR="006D7B3D">
        <w:t>C</w:t>
      </w:r>
      <w:r w:rsidR="00E67FCB">
        <w:t xml:space="preserve">C’s </w:t>
      </w:r>
      <w:r w:rsidR="004B60D6">
        <w:t>attack strategy also carries broader systemic risks</w:t>
      </w:r>
      <w:r w:rsidR="008F6E54">
        <w:t xml:space="preserve">. </w:t>
      </w:r>
      <w:r w:rsidR="00A7680F">
        <w:t>The German Court</w:t>
      </w:r>
      <w:r w:rsidR="00F83EAD">
        <w:t xml:space="preserve"> is highly respected and</w:t>
      </w:r>
      <w:r w:rsidR="00A7680F">
        <w:t xml:space="preserve"> </w:t>
      </w:r>
      <w:r w:rsidR="0011621F">
        <w:t xml:space="preserve">has long </w:t>
      </w:r>
      <w:r>
        <w:t xml:space="preserve">occupied the position of an </w:t>
      </w:r>
      <w:r w:rsidR="00A7680F">
        <w:t>institutional leader among European constitutional</w:t>
      </w:r>
      <w:r>
        <w:t xml:space="preserve"> courts</w:t>
      </w:r>
      <w:r w:rsidR="0011621F">
        <w:t xml:space="preserve">. Indeed, </w:t>
      </w:r>
      <w:r w:rsidR="008F6E54">
        <w:t>a number of its counterparts in other Member States have integrated</w:t>
      </w:r>
      <w:r w:rsidR="00E2406A">
        <w:t xml:space="preserve">, explicitly </w:t>
      </w:r>
      <w:r w:rsidR="006547F0">
        <w:t>or</w:t>
      </w:r>
      <w:r w:rsidR="00E2406A">
        <w:t xml:space="preserve"> implicitly,</w:t>
      </w:r>
      <w:r w:rsidR="008F6E54">
        <w:t xml:space="preserve"> its jurisprudence on the domestic control of ‘ultra vires’ acts of the EU institutions into their respective national legal systems. </w:t>
      </w:r>
      <w:r w:rsidR="003038F1">
        <w:t>Examples</w:t>
      </w:r>
      <w:r w:rsidR="008D401F">
        <w:t xml:space="preserve"> include the </w:t>
      </w:r>
      <w:hyperlink r:id="rId17" w:history="1">
        <w:r w:rsidR="008D401F" w:rsidRPr="008D401F">
          <w:rPr>
            <w:rStyle w:val="Hyperlink"/>
          </w:rPr>
          <w:t>Danish Supreme Court</w:t>
        </w:r>
      </w:hyperlink>
      <w:r w:rsidR="008D401F">
        <w:t xml:space="preserve">, </w:t>
      </w:r>
      <w:hyperlink r:id="rId18" w:history="1">
        <w:r w:rsidR="008D401F" w:rsidRPr="008D401F">
          <w:rPr>
            <w:rStyle w:val="Hyperlink"/>
          </w:rPr>
          <w:t>Czech Constitutional Court</w:t>
        </w:r>
      </w:hyperlink>
      <w:r w:rsidR="008D401F">
        <w:t xml:space="preserve"> and (now historically) the </w:t>
      </w:r>
      <w:hyperlink r:id="rId19" w:history="1">
        <w:r w:rsidR="008D401F" w:rsidRPr="0074706B">
          <w:rPr>
            <w:rStyle w:val="Hyperlink"/>
          </w:rPr>
          <w:t>UK Supreme Court</w:t>
        </w:r>
      </w:hyperlink>
      <w:r w:rsidR="008D401F">
        <w:t xml:space="preserve">. </w:t>
      </w:r>
      <w:r w:rsidR="008F6E54">
        <w:t xml:space="preserve">The GFCC’s decision to activate that case law will likely </w:t>
      </w:r>
      <w:r w:rsidR="005F1AE7">
        <w:t xml:space="preserve">further </w:t>
      </w:r>
      <w:r w:rsidR="008F6E54">
        <w:t>embolden</w:t>
      </w:r>
      <w:r w:rsidR="00053F4C">
        <w:t xml:space="preserve"> these and</w:t>
      </w:r>
      <w:r w:rsidR="008F6E54">
        <w:t xml:space="preserve"> other Member State constitutional courts to </w:t>
      </w:r>
      <w:r>
        <w:t>contemplate initiating similar</w:t>
      </w:r>
      <w:r w:rsidR="005F1AE7">
        <w:t xml:space="preserve"> action in the future</w:t>
      </w:r>
      <w:r w:rsidR="008F6E54">
        <w:t xml:space="preserve">. This may have </w:t>
      </w:r>
      <w:r w:rsidR="008F6E54">
        <w:lastRenderedPageBreak/>
        <w:t>a positive impact on EU competence control if it prompts the CJEU to pay greater attention to the limits EU law imposes on the activities of EU institutions</w:t>
      </w:r>
      <w:r w:rsidR="005F1AE7">
        <w:t>,</w:t>
      </w:r>
      <w:r w:rsidR="008F6E54">
        <w:t xml:space="preserve"> including the ECB</w:t>
      </w:r>
      <w:r w:rsidR="005F1AE7">
        <w:t>,</w:t>
      </w:r>
      <w:r w:rsidR="008F6E54">
        <w:t xml:space="preserve"> as well as </w:t>
      </w:r>
      <w:r w:rsidR="002F2DFD">
        <w:t>in relation</w:t>
      </w:r>
      <w:r w:rsidR="005F1AE7">
        <w:t xml:space="preserve"> to the exercise of </w:t>
      </w:r>
      <w:r w:rsidR="008F6E54">
        <w:t>its own</w:t>
      </w:r>
      <w:r w:rsidR="005F1AE7">
        <w:t xml:space="preserve"> judicial functions</w:t>
      </w:r>
      <w:r w:rsidR="008F6E54">
        <w:t>. But it is also open to potential abuse</w:t>
      </w:r>
      <w:r w:rsidR="002F2DFD">
        <w:t>. The risk of such abuse is</w:t>
      </w:r>
      <w:r w:rsidR="008F6E54">
        <w:t xml:space="preserve"> </w:t>
      </w:r>
      <w:r w:rsidR="002F2DFD">
        <w:t>very</w:t>
      </w:r>
      <w:r>
        <w:t xml:space="preserve"> </w:t>
      </w:r>
      <w:r w:rsidR="002F2DFD">
        <w:t>real</w:t>
      </w:r>
      <w:r w:rsidR="008F6E54">
        <w:t xml:space="preserve"> </w:t>
      </w:r>
      <w:r w:rsidR="00F83EAD">
        <w:t xml:space="preserve">when considered </w:t>
      </w:r>
      <w:r w:rsidR="005F1AE7">
        <w:t>against the backdrop o</w:t>
      </w:r>
      <w:r w:rsidR="008F6E54">
        <w:t xml:space="preserve">f </w:t>
      </w:r>
      <w:r w:rsidR="00F83EAD">
        <w:t xml:space="preserve">ongoing </w:t>
      </w:r>
      <w:r w:rsidR="008F6E54">
        <w:t>challenges to the rule of law within several Member States</w:t>
      </w:r>
      <w:r w:rsidR="005F1AE7">
        <w:t>, notably Poland and Hungary.</w:t>
      </w:r>
    </w:p>
    <w:p w14:paraId="03021B69" w14:textId="77777777" w:rsidR="00A7680F" w:rsidRDefault="00A7680F" w:rsidP="00985866">
      <w:pPr>
        <w:jc w:val="both"/>
      </w:pPr>
    </w:p>
    <w:p w14:paraId="122D3337" w14:textId="40783963" w:rsidR="00FB3E00" w:rsidRPr="00E0423F" w:rsidRDefault="00BF4F82" w:rsidP="00C442D3">
      <w:pPr>
        <w:jc w:val="both"/>
      </w:pPr>
      <w:r>
        <w:t>There is a lot</w:t>
      </w:r>
      <w:r w:rsidR="00101402">
        <w:t xml:space="preserve"> more</w:t>
      </w:r>
      <w:r w:rsidR="00F83EAD">
        <w:t xml:space="preserve"> </w:t>
      </w:r>
      <w:r w:rsidR="002F2DFD">
        <w:t xml:space="preserve">in this judgment </w:t>
      </w:r>
      <w:r w:rsidR="00F83EAD">
        <w:t xml:space="preserve">for constitutional </w:t>
      </w:r>
      <w:r w:rsidR="004F2239">
        <w:t xml:space="preserve">law </w:t>
      </w:r>
      <w:r w:rsidR="00F83EAD">
        <w:t>scholars</w:t>
      </w:r>
      <w:r>
        <w:t xml:space="preserve"> to unpack</w:t>
      </w:r>
      <w:r w:rsidR="00F83EAD">
        <w:t xml:space="preserve">. </w:t>
      </w:r>
      <w:r w:rsidR="009101F8">
        <w:t xml:space="preserve">By </w:t>
      </w:r>
      <w:r w:rsidR="004F2239">
        <w:t>accident</w:t>
      </w:r>
      <w:r w:rsidR="009101F8">
        <w:t xml:space="preserve"> or design, </w:t>
      </w:r>
      <w:r w:rsidR="0037371C">
        <w:t>it</w:t>
      </w:r>
      <w:r w:rsidR="009764A7">
        <w:t xml:space="preserve"> </w:t>
      </w:r>
      <w:r w:rsidR="00053F4C">
        <w:t>was</w:t>
      </w:r>
      <w:r w:rsidR="0037371C">
        <w:t xml:space="preserve"> also</w:t>
      </w:r>
      <w:r w:rsidR="008A0089">
        <w:t xml:space="preserve"> </w:t>
      </w:r>
      <w:r>
        <w:t xml:space="preserve">the final </w:t>
      </w:r>
      <w:r w:rsidR="004B60D6">
        <w:t>decision</w:t>
      </w:r>
      <w:r>
        <w:t xml:space="preserve"> of </w:t>
      </w:r>
      <w:r w:rsidR="00A7680F">
        <w:t xml:space="preserve">Germany’s highest </w:t>
      </w:r>
      <w:r w:rsidR="008C2BF7">
        <w:t>c</w:t>
      </w:r>
      <w:r w:rsidR="00A7680F">
        <w:t>ourt</w:t>
      </w:r>
      <w:r w:rsidR="00FB3EC6">
        <w:t xml:space="preserve"> delivered</w:t>
      </w:r>
      <w:r>
        <w:t xml:space="preserve"> under its outgoing President, </w:t>
      </w:r>
      <w:r w:rsidRPr="00BF4F82">
        <w:t>Andreas Voßkuhle</w:t>
      </w:r>
      <w:r>
        <w:t xml:space="preserve">. The phrase ‘going out with a bang’ </w:t>
      </w:r>
      <w:r w:rsidR="0036064C">
        <w:t>certainly springs to mind.</w:t>
      </w:r>
      <w:r>
        <w:t xml:space="preserve"> </w:t>
      </w:r>
    </w:p>
    <w:sectPr w:rsidR="00FB3E00" w:rsidRPr="00E0423F" w:rsidSect="00FD023C">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AA4E7D" w14:textId="77777777" w:rsidR="00BC720C" w:rsidRDefault="00BC720C" w:rsidP="00C55677">
      <w:r>
        <w:separator/>
      </w:r>
    </w:p>
  </w:endnote>
  <w:endnote w:type="continuationSeparator" w:id="0">
    <w:p w14:paraId="1F7C7920" w14:textId="77777777" w:rsidR="00BC720C" w:rsidRDefault="00BC720C" w:rsidP="00C556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27FA1B" w14:textId="77777777" w:rsidR="00BC720C" w:rsidRDefault="00BC720C" w:rsidP="00C55677">
      <w:r>
        <w:separator/>
      </w:r>
    </w:p>
  </w:footnote>
  <w:footnote w:type="continuationSeparator" w:id="0">
    <w:p w14:paraId="7FDB766E" w14:textId="77777777" w:rsidR="00BC720C" w:rsidRDefault="00BC720C" w:rsidP="00C5567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34C0"/>
    <w:rsid w:val="00005F61"/>
    <w:rsid w:val="0000665A"/>
    <w:rsid w:val="00016DAC"/>
    <w:rsid w:val="000437D1"/>
    <w:rsid w:val="00053F4C"/>
    <w:rsid w:val="00055AB2"/>
    <w:rsid w:val="00065533"/>
    <w:rsid w:val="00073477"/>
    <w:rsid w:val="00076A55"/>
    <w:rsid w:val="000B3BAD"/>
    <w:rsid w:val="000E2F9D"/>
    <w:rsid w:val="00101402"/>
    <w:rsid w:val="00105070"/>
    <w:rsid w:val="001077C8"/>
    <w:rsid w:val="0011621F"/>
    <w:rsid w:val="00121D76"/>
    <w:rsid w:val="00144BA6"/>
    <w:rsid w:val="00154DA5"/>
    <w:rsid w:val="0016339E"/>
    <w:rsid w:val="0016497E"/>
    <w:rsid w:val="00171015"/>
    <w:rsid w:val="00177EA2"/>
    <w:rsid w:val="00181D59"/>
    <w:rsid w:val="00184CFD"/>
    <w:rsid w:val="001964B0"/>
    <w:rsid w:val="001A1F3F"/>
    <w:rsid w:val="001A5A42"/>
    <w:rsid w:val="001C7010"/>
    <w:rsid w:val="001D49EE"/>
    <w:rsid w:val="001D7400"/>
    <w:rsid w:val="001E100F"/>
    <w:rsid w:val="001E2063"/>
    <w:rsid w:val="001F046F"/>
    <w:rsid w:val="001F34FF"/>
    <w:rsid w:val="00201A5E"/>
    <w:rsid w:val="00206EFA"/>
    <w:rsid w:val="00207586"/>
    <w:rsid w:val="00214EB4"/>
    <w:rsid w:val="00224CBC"/>
    <w:rsid w:val="002567E1"/>
    <w:rsid w:val="002971E6"/>
    <w:rsid w:val="002F2DFD"/>
    <w:rsid w:val="002F7076"/>
    <w:rsid w:val="00300FF7"/>
    <w:rsid w:val="00303631"/>
    <w:rsid w:val="003038F1"/>
    <w:rsid w:val="00326599"/>
    <w:rsid w:val="00342ED6"/>
    <w:rsid w:val="003430ED"/>
    <w:rsid w:val="003511B2"/>
    <w:rsid w:val="0036064C"/>
    <w:rsid w:val="00364C55"/>
    <w:rsid w:val="0037371C"/>
    <w:rsid w:val="003A5C12"/>
    <w:rsid w:val="003C035A"/>
    <w:rsid w:val="003C354C"/>
    <w:rsid w:val="003C586B"/>
    <w:rsid w:val="003F1078"/>
    <w:rsid w:val="003F53F4"/>
    <w:rsid w:val="00414104"/>
    <w:rsid w:val="00422A87"/>
    <w:rsid w:val="004258D4"/>
    <w:rsid w:val="00443968"/>
    <w:rsid w:val="00455708"/>
    <w:rsid w:val="00456A60"/>
    <w:rsid w:val="004808F7"/>
    <w:rsid w:val="0049774A"/>
    <w:rsid w:val="004A44D3"/>
    <w:rsid w:val="004B036F"/>
    <w:rsid w:val="004B1D7E"/>
    <w:rsid w:val="004B60D6"/>
    <w:rsid w:val="004E69E6"/>
    <w:rsid w:val="004F2239"/>
    <w:rsid w:val="004F3B04"/>
    <w:rsid w:val="00500921"/>
    <w:rsid w:val="005066CC"/>
    <w:rsid w:val="00516E78"/>
    <w:rsid w:val="00521FF2"/>
    <w:rsid w:val="0055260D"/>
    <w:rsid w:val="00582F05"/>
    <w:rsid w:val="005A4AE0"/>
    <w:rsid w:val="005A640A"/>
    <w:rsid w:val="005B6997"/>
    <w:rsid w:val="005D700E"/>
    <w:rsid w:val="005E68DD"/>
    <w:rsid w:val="005F1AE7"/>
    <w:rsid w:val="005F2630"/>
    <w:rsid w:val="006013A7"/>
    <w:rsid w:val="00611202"/>
    <w:rsid w:val="00617FFB"/>
    <w:rsid w:val="00630574"/>
    <w:rsid w:val="00633FDF"/>
    <w:rsid w:val="00634E29"/>
    <w:rsid w:val="006531D6"/>
    <w:rsid w:val="006547F0"/>
    <w:rsid w:val="00660FA3"/>
    <w:rsid w:val="0066310C"/>
    <w:rsid w:val="006737E9"/>
    <w:rsid w:val="006808C4"/>
    <w:rsid w:val="0068612C"/>
    <w:rsid w:val="006900C6"/>
    <w:rsid w:val="00692037"/>
    <w:rsid w:val="006946AD"/>
    <w:rsid w:val="006975F3"/>
    <w:rsid w:val="006B7E44"/>
    <w:rsid w:val="006D23E4"/>
    <w:rsid w:val="006D46E9"/>
    <w:rsid w:val="006D69C9"/>
    <w:rsid w:val="006D7B3D"/>
    <w:rsid w:val="006E19C4"/>
    <w:rsid w:val="006F0C84"/>
    <w:rsid w:val="007009C6"/>
    <w:rsid w:val="007027FB"/>
    <w:rsid w:val="0071035B"/>
    <w:rsid w:val="007208AB"/>
    <w:rsid w:val="00745DD4"/>
    <w:rsid w:val="0074617D"/>
    <w:rsid w:val="0074706B"/>
    <w:rsid w:val="00773AE7"/>
    <w:rsid w:val="00780973"/>
    <w:rsid w:val="00781EAA"/>
    <w:rsid w:val="00782A20"/>
    <w:rsid w:val="007A356F"/>
    <w:rsid w:val="007B4E08"/>
    <w:rsid w:val="007B5FFA"/>
    <w:rsid w:val="007C1307"/>
    <w:rsid w:val="007D6BEA"/>
    <w:rsid w:val="007F1339"/>
    <w:rsid w:val="00804885"/>
    <w:rsid w:val="00837D1A"/>
    <w:rsid w:val="00857411"/>
    <w:rsid w:val="00866415"/>
    <w:rsid w:val="00866434"/>
    <w:rsid w:val="008709B6"/>
    <w:rsid w:val="00884329"/>
    <w:rsid w:val="008955F1"/>
    <w:rsid w:val="00896CD6"/>
    <w:rsid w:val="008A0089"/>
    <w:rsid w:val="008C13F0"/>
    <w:rsid w:val="008C2BF7"/>
    <w:rsid w:val="008C3A45"/>
    <w:rsid w:val="008D401F"/>
    <w:rsid w:val="008F1491"/>
    <w:rsid w:val="008F6E54"/>
    <w:rsid w:val="009101F8"/>
    <w:rsid w:val="009216AC"/>
    <w:rsid w:val="00926EBD"/>
    <w:rsid w:val="00946542"/>
    <w:rsid w:val="009561AC"/>
    <w:rsid w:val="00961D82"/>
    <w:rsid w:val="0097177D"/>
    <w:rsid w:val="009764A7"/>
    <w:rsid w:val="009804B5"/>
    <w:rsid w:val="0098265A"/>
    <w:rsid w:val="00983706"/>
    <w:rsid w:val="00983E1D"/>
    <w:rsid w:val="00985866"/>
    <w:rsid w:val="009B3C64"/>
    <w:rsid w:val="009B5962"/>
    <w:rsid w:val="009C0DEC"/>
    <w:rsid w:val="009C3623"/>
    <w:rsid w:val="009C36EF"/>
    <w:rsid w:val="009F6ECC"/>
    <w:rsid w:val="009F79F4"/>
    <w:rsid w:val="00A0769F"/>
    <w:rsid w:val="00A10C9C"/>
    <w:rsid w:val="00A26AE1"/>
    <w:rsid w:val="00A7680F"/>
    <w:rsid w:val="00A80C7F"/>
    <w:rsid w:val="00A81D03"/>
    <w:rsid w:val="00A822AB"/>
    <w:rsid w:val="00A8570B"/>
    <w:rsid w:val="00AA0AAE"/>
    <w:rsid w:val="00AB04D0"/>
    <w:rsid w:val="00AB3050"/>
    <w:rsid w:val="00AF337D"/>
    <w:rsid w:val="00AF6E98"/>
    <w:rsid w:val="00B12701"/>
    <w:rsid w:val="00B14AC1"/>
    <w:rsid w:val="00B23B66"/>
    <w:rsid w:val="00B24599"/>
    <w:rsid w:val="00B2667B"/>
    <w:rsid w:val="00B4390A"/>
    <w:rsid w:val="00B53C6C"/>
    <w:rsid w:val="00B6538E"/>
    <w:rsid w:val="00B72F28"/>
    <w:rsid w:val="00B77542"/>
    <w:rsid w:val="00B926CC"/>
    <w:rsid w:val="00B969C3"/>
    <w:rsid w:val="00BA0066"/>
    <w:rsid w:val="00BA6898"/>
    <w:rsid w:val="00BB60EE"/>
    <w:rsid w:val="00BC2153"/>
    <w:rsid w:val="00BC720C"/>
    <w:rsid w:val="00BD0605"/>
    <w:rsid w:val="00BE2D0F"/>
    <w:rsid w:val="00BF2187"/>
    <w:rsid w:val="00BF4F82"/>
    <w:rsid w:val="00C10CE1"/>
    <w:rsid w:val="00C1484A"/>
    <w:rsid w:val="00C36648"/>
    <w:rsid w:val="00C442D3"/>
    <w:rsid w:val="00C55677"/>
    <w:rsid w:val="00C5630D"/>
    <w:rsid w:val="00C75014"/>
    <w:rsid w:val="00C92168"/>
    <w:rsid w:val="00CA13E0"/>
    <w:rsid w:val="00CA3C4C"/>
    <w:rsid w:val="00CA792C"/>
    <w:rsid w:val="00CB2D5E"/>
    <w:rsid w:val="00CC2848"/>
    <w:rsid w:val="00CC455C"/>
    <w:rsid w:val="00CC5161"/>
    <w:rsid w:val="00CD0D6D"/>
    <w:rsid w:val="00CF0D93"/>
    <w:rsid w:val="00CF282C"/>
    <w:rsid w:val="00CF7AA9"/>
    <w:rsid w:val="00D00753"/>
    <w:rsid w:val="00D02D61"/>
    <w:rsid w:val="00D03BE4"/>
    <w:rsid w:val="00D03CB6"/>
    <w:rsid w:val="00D2228C"/>
    <w:rsid w:val="00D26881"/>
    <w:rsid w:val="00D4241D"/>
    <w:rsid w:val="00D43E56"/>
    <w:rsid w:val="00D50A4D"/>
    <w:rsid w:val="00D73853"/>
    <w:rsid w:val="00D90BA2"/>
    <w:rsid w:val="00D95C65"/>
    <w:rsid w:val="00D96841"/>
    <w:rsid w:val="00DA20AC"/>
    <w:rsid w:val="00DA6719"/>
    <w:rsid w:val="00DB64C0"/>
    <w:rsid w:val="00DC01E2"/>
    <w:rsid w:val="00DC3DB7"/>
    <w:rsid w:val="00DC5EA6"/>
    <w:rsid w:val="00DD1636"/>
    <w:rsid w:val="00DD618E"/>
    <w:rsid w:val="00DE2675"/>
    <w:rsid w:val="00DE4A7A"/>
    <w:rsid w:val="00DE6EC6"/>
    <w:rsid w:val="00DE77D1"/>
    <w:rsid w:val="00E0269A"/>
    <w:rsid w:val="00E0423F"/>
    <w:rsid w:val="00E1361E"/>
    <w:rsid w:val="00E146FA"/>
    <w:rsid w:val="00E2406A"/>
    <w:rsid w:val="00E2614E"/>
    <w:rsid w:val="00E37A11"/>
    <w:rsid w:val="00E426DE"/>
    <w:rsid w:val="00E67FCB"/>
    <w:rsid w:val="00E902EA"/>
    <w:rsid w:val="00EC09B4"/>
    <w:rsid w:val="00EC1250"/>
    <w:rsid w:val="00EC366C"/>
    <w:rsid w:val="00ED1DFE"/>
    <w:rsid w:val="00EE1F7A"/>
    <w:rsid w:val="00EE5E2C"/>
    <w:rsid w:val="00EF274E"/>
    <w:rsid w:val="00EF34C0"/>
    <w:rsid w:val="00F051D9"/>
    <w:rsid w:val="00F16907"/>
    <w:rsid w:val="00F20EF3"/>
    <w:rsid w:val="00F2591D"/>
    <w:rsid w:val="00F31A12"/>
    <w:rsid w:val="00F3209B"/>
    <w:rsid w:val="00F332FE"/>
    <w:rsid w:val="00F36E0B"/>
    <w:rsid w:val="00F43C61"/>
    <w:rsid w:val="00F463C9"/>
    <w:rsid w:val="00F476FA"/>
    <w:rsid w:val="00F5591F"/>
    <w:rsid w:val="00F83EAD"/>
    <w:rsid w:val="00F87764"/>
    <w:rsid w:val="00F90344"/>
    <w:rsid w:val="00F90A3E"/>
    <w:rsid w:val="00FB18FD"/>
    <w:rsid w:val="00FB3E00"/>
    <w:rsid w:val="00FB3EC6"/>
    <w:rsid w:val="00FB6BA4"/>
    <w:rsid w:val="00FC1CDA"/>
    <w:rsid w:val="00FC3762"/>
    <w:rsid w:val="00FC44B4"/>
    <w:rsid w:val="00FC5697"/>
    <w:rsid w:val="00FD02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D10FE6"/>
  <w15:chartTrackingRefBased/>
  <w15:docId w15:val="{0A612B35-F337-3C4F-A672-4687F45CF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34C0"/>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C55677"/>
    <w:rPr>
      <w:sz w:val="20"/>
      <w:szCs w:val="20"/>
    </w:rPr>
  </w:style>
  <w:style w:type="character" w:customStyle="1" w:styleId="FootnoteTextChar">
    <w:name w:val="Footnote Text Char"/>
    <w:basedOn w:val="DefaultParagraphFont"/>
    <w:link w:val="FootnoteText"/>
    <w:uiPriority w:val="99"/>
    <w:semiHidden/>
    <w:rsid w:val="00C55677"/>
    <w:rPr>
      <w:rFonts w:ascii="Times New Roman" w:eastAsia="Times New Roman" w:hAnsi="Times New Roman" w:cs="Times New Roman"/>
      <w:sz w:val="20"/>
      <w:szCs w:val="20"/>
      <w:lang w:eastAsia="en-GB"/>
    </w:rPr>
  </w:style>
  <w:style w:type="character" w:styleId="FootnoteReference">
    <w:name w:val="footnote reference"/>
    <w:basedOn w:val="DefaultParagraphFont"/>
    <w:uiPriority w:val="99"/>
    <w:semiHidden/>
    <w:unhideWhenUsed/>
    <w:rsid w:val="00C55677"/>
    <w:rPr>
      <w:vertAlign w:val="superscript"/>
    </w:rPr>
  </w:style>
  <w:style w:type="character" w:styleId="Hyperlink">
    <w:name w:val="Hyperlink"/>
    <w:basedOn w:val="DefaultParagraphFont"/>
    <w:uiPriority w:val="99"/>
    <w:unhideWhenUsed/>
    <w:rsid w:val="00B53C6C"/>
    <w:rPr>
      <w:color w:val="0563C1" w:themeColor="hyperlink"/>
      <w:u w:val="single"/>
    </w:rPr>
  </w:style>
  <w:style w:type="character" w:styleId="UnresolvedMention">
    <w:name w:val="Unresolved Mention"/>
    <w:basedOn w:val="DefaultParagraphFont"/>
    <w:uiPriority w:val="99"/>
    <w:semiHidden/>
    <w:unhideWhenUsed/>
    <w:rsid w:val="00B53C6C"/>
    <w:rPr>
      <w:color w:val="605E5C"/>
      <w:shd w:val="clear" w:color="auto" w:fill="E1DFDD"/>
    </w:rPr>
  </w:style>
  <w:style w:type="paragraph" w:styleId="Header">
    <w:name w:val="header"/>
    <w:basedOn w:val="Normal"/>
    <w:link w:val="HeaderChar"/>
    <w:uiPriority w:val="99"/>
    <w:unhideWhenUsed/>
    <w:rsid w:val="00CA3C4C"/>
    <w:pPr>
      <w:tabs>
        <w:tab w:val="center" w:pos="4513"/>
        <w:tab w:val="right" w:pos="9026"/>
      </w:tabs>
    </w:pPr>
  </w:style>
  <w:style w:type="character" w:customStyle="1" w:styleId="HeaderChar">
    <w:name w:val="Header Char"/>
    <w:basedOn w:val="DefaultParagraphFont"/>
    <w:link w:val="Header"/>
    <w:uiPriority w:val="99"/>
    <w:rsid w:val="00CA3C4C"/>
    <w:rPr>
      <w:rFonts w:ascii="Times New Roman" w:eastAsia="Times New Roman" w:hAnsi="Times New Roman" w:cs="Times New Roman"/>
      <w:lang w:eastAsia="en-GB"/>
    </w:rPr>
  </w:style>
  <w:style w:type="paragraph" w:styleId="Footer">
    <w:name w:val="footer"/>
    <w:basedOn w:val="Normal"/>
    <w:link w:val="FooterChar"/>
    <w:uiPriority w:val="99"/>
    <w:unhideWhenUsed/>
    <w:rsid w:val="00CA3C4C"/>
    <w:pPr>
      <w:tabs>
        <w:tab w:val="center" w:pos="4513"/>
        <w:tab w:val="right" w:pos="9026"/>
      </w:tabs>
    </w:pPr>
  </w:style>
  <w:style w:type="character" w:customStyle="1" w:styleId="FooterChar">
    <w:name w:val="Footer Char"/>
    <w:basedOn w:val="DefaultParagraphFont"/>
    <w:link w:val="Footer"/>
    <w:uiPriority w:val="99"/>
    <w:rsid w:val="00CA3C4C"/>
    <w:rPr>
      <w:rFonts w:ascii="Times New Roman" w:eastAsia="Times New Roman" w:hAnsi="Times New Roman" w:cs="Times New Roman"/>
      <w:lang w:eastAsia="en-GB"/>
    </w:rPr>
  </w:style>
  <w:style w:type="character" w:styleId="CommentReference">
    <w:name w:val="annotation reference"/>
    <w:basedOn w:val="DefaultParagraphFont"/>
    <w:uiPriority w:val="99"/>
    <w:semiHidden/>
    <w:unhideWhenUsed/>
    <w:rsid w:val="006D69C9"/>
    <w:rPr>
      <w:sz w:val="16"/>
      <w:szCs w:val="16"/>
    </w:rPr>
  </w:style>
  <w:style w:type="paragraph" w:styleId="CommentText">
    <w:name w:val="annotation text"/>
    <w:basedOn w:val="Normal"/>
    <w:link w:val="CommentTextChar"/>
    <w:uiPriority w:val="99"/>
    <w:semiHidden/>
    <w:unhideWhenUsed/>
    <w:rsid w:val="006D69C9"/>
    <w:rPr>
      <w:sz w:val="20"/>
      <w:szCs w:val="20"/>
    </w:rPr>
  </w:style>
  <w:style w:type="character" w:customStyle="1" w:styleId="CommentTextChar">
    <w:name w:val="Comment Text Char"/>
    <w:basedOn w:val="DefaultParagraphFont"/>
    <w:link w:val="CommentText"/>
    <w:uiPriority w:val="99"/>
    <w:semiHidden/>
    <w:rsid w:val="006D69C9"/>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6D69C9"/>
    <w:rPr>
      <w:b/>
      <w:bCs/>
    </w:rPr>
  </w:style>
  <w:style w:type="character" w:customStyle="1" w:styleId="CommentSubjectChar">
    <w:name w:val="Comment Subject Char"/>
    <w:basedOn w:val="CommentTextChar"/>
    <w:link w:val="CommentSubject"/>
    <w:uiPriority w:val="99"/>
    <w:semiHidden/>
    <w:rsid w:val="006D69C9"/>
    <w:rPr>
      <w:rFonts w:ascii="Times New Roman" w:eastAsia="Times New Roman" w:hAnsi="Times New Roman" w:cs="Times New Roman"/>
      <w:b/>
      <w:bCs/>
      <w:sz w:val="20"/>
      <w:szCs w:val="20"/>
      <w:lang w:eastAsia="en-GB"/>
    </w:rPr>
  </w:style>
  <w:style w:type="paragraph" w:styleId="BalloonText">
    <w:name w:val="Balloon Text"/>
    <w:basedOn w:val="Normal"/>
    <w:link w:val="BalloonTextChar"/>
    <w:uiPriority w:val="99"/>
    <w:semiHidden/>
    <w:unhideWhenUsed/>
    <w:rsid w:val="006D69C9"/>
    <w:rPr>
      <w:sz w:val="18"/>
      <w:szCs w:val="18"/>
    </w:rPr>
  </w:style>
  <w:style w:type="character" w:customStyle="1" w:styleId="BalloonTextChar">
    <w:name w:val="Balloon Text Char"/>
    <w:basedOn w:val="DefaultParagraphFont"/>
    <w:link w:val="BalloonText"/>
    <w:uiPriority w:val="99"/>
    <w:semiHidden/>
    <w:rsid w:val="006D69C9"/>
    <w:rPr>
      <w:rFonts w:ascii="Times New Roman" w:eastAsia="Times New Roman" w:hAnsi="Times New Roman" w:cs="Times New Roman"/>
      <w:sz w:val="18"/>
      <w:szCs w:val="18"/>
      <w:lang w:eastAsia="en-GB"/>
    </w:rPr>
  </w:style>
  <w:style w:type="character" w:styleId="FollowedHyperlink">
    <w:name w:val="FollowedHyperlink"/>
    <w:basedOn w:val="DefaultParagraphFont"/>
    <w:uiPriority w:val="99"/>
    <w:semiHidden/>
    <w:unhideWhenUsed/>
    <w:rsid w:val="00144BA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9119028">
      <w:bodyDiv w:val="1"/>
      <w:marLeft w:val="0"/>
      <w:marRight w:val="0"/>
      <w:marTop w:val="0"/>
      <w:marBottom w:val="0"/>
      <w:divBdr>
        <w:top w:val="none" w:sz="0" w:space="0" w:color="auto"/>
        <w:left w:val="none" w:sz="0" w:space="0" w:color="auto"/>
        <w:bottom w:val="none" w:sz="0" w:space="0" w:color="auto"/>
        <w:right w:val="none" w:sz="0" w:space="0" w:color="auto"/>
      </w:divBdr>
    </w:div>
    <w:div w:id="994723319">
      <w:bodyDiv w:val="1"/>
      <w:marLeft w:val="0"/>
      <w:marRight w:val="0"/>
      <w:marTop w:val="0"/>
      <w:marBottom w:val="0"/>
      <w:divBdr>
        <w:top w:val="none" w:sz="0" w:space="0" w:color="auto"/>
        <w:left w:val="none" w:sz="0" w:space="0" w:color="auto"/>
        <w:bottom w:val="none" w:sz="0" w:space="0" w:color="auto"/>
        <w:right w:val="none" w:sz="0" w:space="0" w:color="auto"/>
      </w:divBdr>
    </w:div>
    <w:div w:id="1255015356">
      <w:bodyDiv w:val="1"/>
      <w:marLeft w:val="0"/>
      <w:marRight w:val="0"/>
      <w:marTop w:val="0"/>
      <w:marBottom w:val="0"/>
      <w:divBdr>
        <w:top w:val="none" w:sz="0" w:space="0" w:color="auto"/>
        <w:left w:val="none" w:sz="0" w:space="0" w:color="auto"/>
        <w:bottom w:val="none" w:sz="0" w:space="0" w:color="auto"/>
        <w:right w:val="none" w:sz="0" w:space="0" w:color="auto"/>
      </w:divBdr>
    </w:div>
    <w:div w:id="2041128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uria.europa.eu/juris/liste.jsf?language=en&amp;num=C-493/17" TargetMode="External"/><Relationship Id="rId13" Type="http://schemas.openxmlformats.org/officeDocument/2006/relationships/hyperlink" Target="https://eur-lex.europa.eu/LexUriServ/LexUriServ.do?uri=CELEX:12008E123:EN:HTML" TargetMode="External"/><Relationship Id="rId18" Type="http://schemas.openxmlformats.org/officeDocument/2006/relationships/hyperlink" Target="https://www.usoud.cz/en/decisions/20081126-pl-us-1908-treaty-of-lisbon-i-1/"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bundesverfassungsgericht.de/SharedDocs/Downloads/EN/2020/05/rs20200505_2bvr085915en.pdf;jsessionid=75797C8233F6C0EAF01FC1EE471D0689.2_cid392?__blob=publicationFile&amp;v=5" TargetMode="External"/><Relationship Id="rId12" Type="http://schemas.openxmlformats.org/officeDocument/2006/relationships/hyperlink" Target="https://www.btg-bestellservice.de/pdf/80201000.pdf" TargetMode="External"/><Relationship Id="rId17" Type="http://schemas.openxmlformats.org/officeDocument/2006/relationships/hyperlink" Target="http://www.hoejesteret.dk/hoejesteret/nyheder/Afgorelser/Documents/15-2014.pdf" TargetMode="External"/><Relationship Id="rId2" Type="http://schemas.openxmlformats.org/officeDocument/2006/relationships/styles" Target="styles.xml"/><Relationship Id="rId16" Type="http://schemas.openxmlformats.org/officeDocument/2006/relationships/hyperlink" Target="https://www.cambridge.org/core/books/court-of-justice-of-the-european-union-as-an-institutional-actor/AD94A143F46894D99F00820653B5E5BB"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btg-bestellservice.de/pdf/80201000.pdf" TargetMode="External"/><Relationship Id="rId5" Type="http://schemas.openxmlformats.org/officeDocument/2006/relationships/footnotes" Target="footnotes.xml"/><Relationship Id="rId15" Type="http://schemas.openxmlformats.org/officeDocument/2006/relationships/hyperlink" Target="https://eur-lex.europa.eu/legal-content/EN/TXT/HTML/?uri=CELEX:62014CJ0062&amp;from=EN" TargetMode="External"/><Relationship Id="rId10" Type="http://schemas.openxmlformats.org/officeDocument/2006/relationships/hyperlink" Target="https://www.btg-bestellservice.de/pdf/80201000.pdf" TargetMode="External"/><Relationship Id="rId19" Type="http://schemas.openxmlformats.org/officeDocument/2006/relationships/hyperlink" Target="https://www.supremecourt.uk/cases/docs/uksc-2013-0150-judgment.pdf" TargetMode="External"/><Relationship Id="rId4" Type="http://schemas.openxmlformats.org/officeDocument/2006/relationships/webSettings" Target="webSettings.xml"/><Relationship Id="rId9" Type="http://schemas.openxmlformats.org/officeDocument/2006/relationships/hyperlink" Target="https://eur-lex.europa.eu/legal-content/EN/TXT/?uri=uriserv:OJ.L_.2015.121.01.0020.01.ENG&amp;toc=OJ:L:2015:121:FULL" TargetMode="External"/><Relationship Id="rId14" Type="http://schemas.openxmlformats.org/officeDocument/2006/relationships/hyperlink" Target="https://eur-lex.europa.eu/legal-content/EN/TXT/HTML/?uri=CELEX:62012CJ0370&amp;from=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97274B-18D4-DF44-BA7B-824B9501C0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2086</Words>
  <Characters>11121</Characters>
  <Application>Microsoft Office Word</Application>
  <DocSecurity>0</DocSecurity>
  <Lines>209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Horsley, Thomas</dc:creator>
  <cp:keywords/>
  <dc:description/>
  <cp:lastModifiedBy>Horsley, Thomas</cp:lastModifiedBy>
  <cp:revision>70</cp:revision>
  <dcterms:created xsi:type="dcterms:W3CDTF">2020-05-12T20:26:00Z</dcterms:created>
  <dcterms:modified xsi:type="dcterms:W3CDTF">2020-05-12T23:09:00Z</dcterms:modified>
</cp:coreProperties>
</file>