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B5ED2" w14:textId="77777777" w:rsidR="00EA3610" w:rsidRPr="00EA3610" w:rsidRDefault="00EA3610" w:rsidP="00D11AD2">
      <w:pPr>
        <w:tabs>
          <w:tab w:val="left" w:pos="406"/>
        </w:tabs>
        <w:autoSpaceDE w:val="0"/>
        <w:autoSpaceDN w:val="0"/>
        <w:adjustRightInd w:val="0"/>
        <w:spacing w:line="480" w:lineRule="auto"/>
        <w:rPr>
          <w:rFonts w:ascii="Arial" w:hAnsi="Arial" w:cs="Arial"/>
          <w:b/>
          <w:bCs/>
          <w:sz w:val="24"/>
          <w:szCs w:val="24"/>
          <w:lang w:eastAsia="en-GB"/>
        </w:rPr>
      </w:pPr>
      <w:bookmarkStart w:id="0" w:name="_GoBack"/>
      <w:bookmarkEnd w:id="0"/>
      <w:r w:rsidRPr="00EA3610">
        <w:rPr>
          <w:rFonts w:ascii="Arial" w:hAnsi="Arial" w:cs="Arial"/>
          <w:b/>
          <w:bCs/>
          <w:sz w:val="24"/>
          <w:szCs w:val="24"/>
          <w:lang w:eastAsia="en-GB"/>
        </w:rPr>
        <w:t>A RANDOMISED EVALUATION OF LOW-DOSE ARA-C PLUS TOSEDOSTAT VERSUS LOW DOSE ARA-C IN OLDER PATIENTS WITH ACUTE MYELOID LEUKAEMIA: RESULTS OF THE LI-1 TRIAL</w:t>
      </w:r>
    </w:p>
    <w:p w14:paraId="11D86426" w14:textId="38DB79E5" w:rsidR="00EA3610" w:rsidRPr="00415F86" w:rsidRDefault="00EA3610" w:rsidP="00D11AD2">
      <w:pPr>
        <w:tabs>
          <w:tab w:val="left" w:pos="406"/>
        </w:tabs>
        <w:autoSpaceDE w:val="0"/>
        <w:autoSpaceDN w:val="0"/>
        <w:adjustRightInd w:val="0"/>
        <w:spacing w:line="480" w:lineRule="auto"/>
        <w:rPr>
          <w:rFonts w:ascii="Arial" w:hAnsi="Arial" w:cs="Arial"/>
          <w:bCs/>
          <w:sz w:val="20"/>
          <w:szCs w:val="20"/>
          <w:lang w:eastAsia="en-GB"/>
        </w:rPr>
      </w:pPr>
      <w:r w:rsidRPr="00EA3610">
        <w:rPr>
          <w:rFonts w:ascii="Arial" w:hAnsi="Arial" w:cs="Arial"/>
          <w:bCs/>
          <w:sz w:val="24"/>
          <w:szCs w:val="24"/>
          <w:lang w:eastAsia="en-GB"/>
        </w:rPr>
        <w:t>Mike Dennis</w:t>
      </w:r>
      <w:r w:rsidRPr="00EA3610">
        <w:rPr>
          <w:rFonts w:ascii="Arial" w:hAnsi="Arial" w:cs="Arial"/>
          <w:bCs/>
          <w:sz w:val="24"/>
          <w:szCs w:val="24"/>
          <w:vertAlign w:val="superscript"/>
          <w:lang w:eastAsia="en-GB"/>
        </w:rPr>
        <w:t>1</w:t>
      </w:r>
      <w:r w:rsidRPr="00EA3610">
        <w:rPr>
          <w:rFonts w:ascii="Arial" w:hAnsi="Arial" w:cs="Arial"/>
          <w:bCs/>
          <w:sz w:val="24"/>
          <w:szCs w:val="24"/>
          <w:lang w:eastAsia="en-GB"/>
        </w:rPr>
        <w:t>, Alan Burnett</w:t>
      </w:r>
      <w:r w:rsidRPr="00EA3610">
        <w:rPr>
          <w:rFonts w:ascii="Arial" w:hAnsi="Arial" w:cs="Arial"/>
          <w:bCs/>
          <w:sz w:val="24"/>
          <w:szCs w:val="24"/>
          <w:vertAlign w:val="superscript"/>
          <w:lang w:eastAsia="en-GB"/>
        </w:rPr>
        <w:t>2</w:t>
      </w:r>
      <w:r w:rsidR="00300C95" w:rsidRPr="00300C95">
        <w:rPr>
          <w:rFonts w:ascii="Arial" w:hAnsi="Arial" w:cs="Arial"/>
          <w:bCs/>
          <w:sz w:val="24"/>
          <w:szCs w:val="24"/>
          <w:vertAlign w:val="superscript"/>
          <w:lang w:eastAsia="en-GB"/>
        </w:rPr>
        <w:t>*</w:t>
      </w:r>
      <w:r w:rsidRPr="00EA3610">
        <w:rPr>
          <w:rFonts w:ascii="Arial" w:hAnsi="Arial" w:cs="Arial"/>
          <w:bCs/>
          <w:sz w:val="24"/>
          <w:szCs w:val="24"/>
          <w:lang w:eastAsia="en-GB"/>
        </w:rPr>
        <w:t>, Robert Hills</w:t>
      </w:r>
      <w:r w:rsidRPr="00EA3610">
        <w:rPr>
          <w:rFonts w:ascii="Arial" w:hAnsi="Arial" w:cs="Arial"/>
          <w:bCs/>
          <w:sz w:val="24"/>
          <w:szCs w:val="24"/>
          <w:vertAlign w:val="superscript"/>
          <w:lang w:eastAsia="en-GB"/>
        </w:rPr>
        <w:t>3</w:t>
      </w:r>
      <w:r w:rsidRPr="00EA3610">
        <w:rPr>
          <w:rFonts w:ascii="Arial" w:hAnsi="Arial" w:cs="Arial"/>
          <w:bCs/>
          <w:sz w:val="24"/>
          <w:szCs w:val="24"/>
          <w:lang w:eastAsia="en-GB"/>
        </w:rPr>
        <w:t>, Ian Thomas</w:t>
      </w:r>
      <w:r w:rsidRPr="00EA3610">
        <w:rPr>
          <w:rFonts w:ascii="Arial" w:hAnsi="Arial" w:cs="Arial"/>
          <w:bCs/>
          <w:sz w:val="24"/>
          <w:szCs w:val="24"/>
          <w:vertAlign w:val="superscript"/>
          <w:lang w:eastAsia="en-GB"/>
        </w:rPr>
        <w:t>4</w:t>
      </w:r>
      <w:r w:rsidRPr="00EA3610">
        <w:rPr>
          <w:rFonts w:ascii="Arial" w:hAnsi="Arial" w:cs="Arial"/>
          <w:bCs/>
          <w:sz w:val="24"/>
          <w:szCs w:val="24"/>
          <w:lang w:eastAsia="en-GB"/>
        </w:rPr>
        <w:t xml:space="preserve">, </w:t>
      </w:r>
      <w:r w:rsidR="00F60705">
        <w:rPr>
          <w:rFonts w:ascii="Arial" w:hAnsi="Arial" w:cs="Arial"/>
          <w:bCs/>
          <w:sz w:val="24"/>
          <w:szCs w:val="24"/>
          <w:lang w:eastAsia="en-GB"/>
        </w:rPr>
        <w:t>Cono Ariti</w:t>
      </w:r>
      <w:r w:rsidR="00F60705" w:rsidRPr="00253A6C">
        <w:rPr>
          <w:rFonts w:ascii="Arial" w:hAnsi="Arial" w:cs="Arial"/>
          <w:bCs/>
          <w:sz w:val="24"/>
          <w:szCs w:val="24"/>
          <w:vertAlign w:val="superscript"/>
          <w:lang w:eastAsia="en-GB"/>
        </w:rPr>
        <w:t>4</w:t>
      </w:r>
      <w:r w:rsidR="00F60705">
        <w:rPr>
          <w:rFonts w:ascii="Arial" w:hAnsi="Arial" w:cs="Arial"/>
          <w:bCs/>
          <w:sz w:val="24"/>
          <w:szCs w:val="24"/>
          <w:lang w:eastAsia="en-GB"/>
        </w:rPr>
        <w:t xml:space="preserve">, </w:t>
      </w:r>
      <w:r w:rsidR="00DF249D" w:rsidRPr="00DF249D">
        <w:rPr>
          <w:rFonts w:ascii="Arial" w:hAnsi="Arial" w:cs="Arial"/>
          <w:bCs/>
          <w:sz w:val="24"/>
          <w:szCs w:val="24"/>
          <w:lang w:eastAsia="en-GB"/>
        </w:rPr>
        <w:t>Marianne Tang Severinsen</w:t>
      </w:r>
      <w:r w:rsidRPr="00EA3610">
        <w:rPr>
          <w:rFonts w:ascii="Arial" w:hAnsi="Arial" w:cs="Arial"/>
          <w:bCs/>
          <w:sz w:val="24"/>
          <w:szCs w:val="24"/>
          <w:vertAlign w:val="superscript"/>
          <w:lang w:eastAsia="en-GB"/>
        </w:rPr>
        <w:t>5</w:t>
      </w:r>
      <w:r w:rsidR="00EE3344">
        <w:rPr>
          <w:rFonts w:ascii="Arial" w:hAnsi="Arial" w:cs="Arial"/>
          <w:bCs/>
          <w:sz w:val="24"/>
          <w:szCs w:val="24"/>
          <w:vertAlign w:val="superscript"/>
          <w:lang w:eastAsia="en-GB"/>
        </w:rPr>
        <w:t>,6</w:t>
      </w:r>
      <w:r w:rsidRPr="00EA3610">
        <w:rPr>
          <w:rFonts w:ascii="Arial" w:hAnsi="Arial" w:cs="Arial"/>
          <w:bCs/>
          <w:sz w:val="24"/>
          <w:szCs w:val="24"/>
          <w:lang w:eastAsia="en-GB"/>
        </w:rPr>
        <w:t>,</w:t>
      </w:r>
      <w:r w:rsidR="00FF2D88">
        <w:rPr>
          <w:rFonts w:ascii="Arial" w:hAnsi="Arial" w:cs="Arial"/>
          <w:bCs/>
          <w:sz w:val="24"/>
          <w:szCs w:val="24"/>
          <w:lang w:eastAsia="en-GB"/>
        </w:rPr>
        <w:t xml:space="preserve"> </w:t>
      </w:r>
      <w:r w:rsidRPr="00EA3610">
        <w:rPr>
          <w:rFonts w:ascii="Arial" w:hAnsi="Arial" w:cs="Arial"/>
          <w:bCs/>
          <w:sz w:val="24"/>
          <w:szCs w:val="24"/>
          <w:lang w:eastAsia="en-GB"/>
        </w:rPr>
        <w:t xml:space="preserve">Claire </w:t>
      </w:r>
      <w:r w:rsidR="00EE3344" w:rsidRPr="00EA3610">
        <w:rPr>
          <w:rFonts w:ascii="Arial" w:hAnsi="Arial" w:cs="Arial"/>
          <w:bCs/>
          <w:sz w:val="24"/>
          <w:szCs w:val="24"/>
          <w:lang w:eastAsia="en-GB"/>
        </w:rPr>
        <w:t>Hemmaway</w:t>
      </w:r>
      <w:r w:rsidR="00EE3344">
        <w:rPr>
          <w:rFonts w:ascii="Arial" w:hAnsi="Arial" w:cs="Arial"/>
          <w:bCs/>
          <w:sz w:val="24"/>
          <w:szCs w:val="24"/>
          <w:vertAlign w:val="superscript"/>
          <w:lang w:eastAsia="en-GB"/>
        </w:rPr>
        <w:t>7</w:t>
      </w:r>
      <w:r w:rsidRPr="00EA3610">
        <w:rPr>
          <w:rFonts w:ascii="Arial" w:hAnsi="Arial" w:cs="Arial"/>
          <w:bCs/>
          <w:sz w:val="24"/>
          <w:szCs w:val="24"/>
          <w:lang w:eastAsia="en-GB"/>
        </w:rPr>
        <w:t xml:space="preserve">, Paul </w:t>
      </w:r>
      <w:r w:rsidR="00EE3344" w:rsidRPr="00EA3610">
        <w:rPr>
          <w:rFonts w:ascii="Arial" w:hAnsi="Arial" w:cs="Arial"/>
          <w:bCs/>
          <w:sz w:val="24"/>
          <w:szCs w:val="24"/>
          <w:lang w:eastAsia="en-GB"/>
        </w:rPr>
        <w:t>Greaves</w:t>
      </w:r>
      <w:r w:rsidR="00EE3344">
        <w:rPr>
          <w:rFonts w:ascii="Arial" w:hAnsi="Arial" w:cs="Arial"/>
          <w:bCs/>
          <w:sz w:val="24"/>
          <w:szCs w:val="24"/>
          <w:vertAlign w:val="superscript"/>
          <w:lang w:eastAsia="en-GB"/>
        </w:rPr>
        <w:t>8</w:t>
      </w:r>
      <w:r w:rsidRPr="00EA3610">
        <w:rPr>
          <w:rFonts w:ascii="Arial" w:hAnsi="Arial" w:cs="Arial"/>
          <w:bCs/>
          <w:sz w:val="24"/>
          <w:szCs w:val="24"/>
          <w:lang w:eastAsia="en-GB"/>
        </w:rPr>
        <w:t>,</w:t>
      </w:r>
      <w:r w:rsidR="00ED53DE">
        <w:rPr>
          <w:rFonts w:ascii="Arial" w:hAnsi="Arial" w:cs="Arial"/>
          <w:bCs/>
          <w:sz w:val="24"/>
          <w:szCs w:val="24"/>
          <w:lang w:eastAsia="en-GB"/>
        </w:rPr>
        <w:t xml:space="preserve"> Richard E </w:t>
      </w:r>
      <w:r w:rsidR="00EE3344">
        <w:rPr>
          <w:rFonts w:ascii="Arial" w:hAnsi="Arial" w:cs="Arial"/>
          <w:bCs/>
          <w:sz w:val="24"/>
          <w:szCs w:val="24"/>
          <w:lang w:eastAsia="en-GB"/>
        </w:rPr>
        <w:t>Clark</w:t>
      </w:r>
      <w:r w:rsidR="00EE3344">
        <w:rPr>
          <w:rFonts w:ascii="Arial" w:hAnsi="Arial" w:cs="Arial"/>
          <w:bCs/>
          <w:sz w:val="24"/>
          <w:szCs w:val="24"/>
          <w:vertAlign w:val="superscript"/>
          <w:lang w:eastAsia="en-GB"/>
        </w:rPr>
        <w:t>9</w:t>
      </w:r>
      <w:r w:rsidR="00ED53DE">
        <w:rPr>
          <w:rFonts w:ascii="Arial" w:hAnsi="Arial" w:cs="Arial"/>
          <w:bCs/>
          <w:sz w:val="24"/>
          <w:szCs w:val="24"/>
          <w:lang w:eastAsia="en-GB"/>
        </w:rPr>
        <w:t xml:space="preserve">, </w:t>
      </w:r>
      <w:r w:rsidRPr="00EA3610">
        <w:rPr>
          <w:rFonts w:ascii="Arial" w:hAnsi="Arial" w:cs="Arial"/>
          <w:bCs/>
          <w:sz w:val="24"/>
          <w:szCs w:val="24"/>
          <w:lang w:eastAsia="en-GB"/>
        </w:rPr>
        <w:t>Mhairi Copland</w:t>
      </w:r>
      <w:r w:rsidRPr="00EA3610">
        <w:rPr>
          <w:rFonts w:ascii="Arial" w:hAnsi="Arial" w:cs="Arial"/>
          <w:bCs/>
          <w:sz w:val="24"/>
          <w:szCs w:val="24"/>
          <w:vertAlign w:val="superscript"/>
          <w:lang w:eastAsia="en-GB"/>
        </w:rPr>
        <w:t>2</w:t>
      </w:r>
      <w:r w:rsidRPr="00EA3610">
        <w:rPr>
          <w:rFonts w:ascii="Arial" w:hAnsi="Arial" w:cs="Arial"/>
          <w:bCs/>
          <w:sz w:val="24"/>
          <w:szCs w:val="24"/>
          <w:lang w:eastAsia="en-GB"/>
        </w:rPr>
        <w:t xml:space="preserve">, Nigel </w:t>
      </w:r>
      <w:r w:rsidR="00EE3344" w:rsidRPr="00EA3610">
        <w:rPr>
          <w:rFonts w:ascii="Arial" w:hAnsi="Arial" w:cs="Arial"/>
          <w:bCs/>
          <w:sz w:val="24"/>
          <w:szCs w:val="24"/>
          <w:lang w:eastAsia="en-GB"/>
        </w:rPr>
        <w:t>Russell</w:t>
      </w:r>
      <w:r w:rsidR="00EE3344">
        <w:rPr>
          <w:rFonts w:ascii="Arial" w:hAnsi="Arial" w:cs="Arial"/>
          <w:bCs/>
          <w:sz w:val="24"/>
          <w:szCs w:val="24"/>
          <w:vertAlign w:val="superscript"/>
          <w:lang w:eastAsia="en-GB"/>
        </w:rPr>
        <w:t xml:space="preserve">10  </w:t>
      </w:r>
      <w:r w:rsidRPr="00EA3610">
        <w:rPr>
          <w:rFonts w:ascii="Arial" w:hAnsi="Arial" w:cs="Arial"/>
          <w:bCs/>
          <w:sz w:val="20"/>
          <w:szCs w:val="20"/>
          <w:lang w:eastAsia="en-GB"/>
        </w:rPr>
        <w:t>on behalf of the NCRI AML Working Group</w:t>
      </w:r>
    </w:p>
    <w:p w14:paraId="3586AD85" w14:textId="77777777" w:rsidR="00EA3610" w:rsidRPr="00EA3610" w:rsidRDefault="00EA3610" w:rsidP="00D11AD2">
      <w:pPr>
        <w:numPr>
          <w:ilvl w:val="0"/>
          <w:numId w:val="8"/>
        </w:numPr>
        <w:tabs>
          <w:tab w:val="left" w:pos="406"/>
        </w:tabs>
        <w:autoSpaceDE w:val="0"/>
        <w:autoSpaceDN w:val="0"/>
        <w:adjustRightInd w:val="0"/>
        <w:spacing w:after="0" w:line="480" w:lineRule="auto"/>
        <w:rPr>
          <w:rFonts w:ascii="Arial" w:hAnsi="Arial" w:cs="Arial"/>
          <w:bCs/>
          <w:sz w:val="24"/>
          <w:szCs w:val="24"/>
          <w:lang w:eastAsia="en-GB"/>
        </w:rPr>
      </w:pPr>
      <w:r w:rsidRPr="00EA3610">
        <w:rPr>
          <w:rFonts w:ascii="Arial" w:hAnsi="Arial" w:cs="Arial"/>
          <w:bCs/>
          <w:sz w:val="24"/>
          <w:szCs w:val="24"/>
          <w:lang w:eastAsia="en-GB"/>
        </w:rPr>
        <w:t>Department of Haematology, Christie Hospital NHS Trust, Manchester, UK</w:t>
      </w:r>
    </w:p>
    <w:p w14:paraId="0ABB8523" w14:textId="55235DFE" w:rsidR="00EA3610" w:rsidRPr="00EA3610" w:rsidRDefault="006C7405" w:rsidP="00D11AD2">
      <w:pPr>
        <w:numPr>
          <w:ilvl w:val="0"/>
          <w:numId w:val="8"/>
        </w:numPr>
        <w:tabs>
          <w:tab w:val="left" w:pos="406"/>
        </w:tabs>
        <w:autoSpaceDE w:val="0"/>
        <w:autoSpaceDN w:val="0"/>
        <w:adjustRightInd w:val="0"/>
        <w:spacing w:after="0" w:line="480" w:lineRule="auto"/>
        <w:rPr>
          <w:rFonts w:ascii="Arial" w:hAnsi="Arial" w:cs="Arial"/>
          <w:bCs/>
          <w:sz w:val="24"/>
          <w:szCs w:val="24"/>
          <w:lang w:eastAsia="en-GB"/>
        </w:rPr>
      </w:pPr>
      <w:r w:rsidRPr="00EA3610">
        <w:rPr>
          <w:rFonts w:ascii="Arial" w:hAnsi="Arial" w:cs="Arial"/>
          <w:bCs/>
          <w:sz w:val="24"/>
          <w:szCs w:val="24"/>
          <w:lang w:eastAsia="en-GB"/>
        </w:rPr>
        <w:t xml:space="preserve">Paul O’Gorman Leukaemia Centre, </w:t>
      </w:r>
      <w:r>
        <w:rPr>
          <w:rFonts w:ascii="Arial" w:hAnsi="Arial" w:cs="Arial"/>
          <w:bCs/>
          <w:sz w:val="24"/>
          <w:szCs w:val="24"/>
          <w:lang w:eastAsia="en-GB"/>
        </w:rPr>
        <w:t xml:space="preserve">Institute of Cancer Sciences, University of </w:t>
      </w:r>
      <w:r w:rsidRPr="00EA3610">
        <w:rPr>
          <w:rFonts w:ascii="Arial" w:hAnsi="Arial" w:cs="Arial"/>
          <w:bCs/>
          <w:sz w:val="24"/>
          <w:szCs w:val="24"/>
          <w:lang w:eastAsia="en-GB"/>
        </w:rPr>
        <w:t>Glasgow, Glasgow</w:t>
      </w:r>
      <w:r w:rsidR="00EA3610" w:rsidRPr="00EA3610">
        <w:rPr>
          <w:rFonts w:ascii="Arial" w:hAnsi="Arial" w:cs="Arial"/>
          <w:bCs/>
          <w:sz w:val="24"/>
          <w:szCs w:val="24"/>
          <w:lang w:eastAsia="en-GB"/>
        </w:rPr>
        <w:t>,</w:t>
      </w:r>
      <w:r>
        <w:rPr>
          <w:rFonts w:ascii="Arial" w:hAnsi="Arial" w:cs="Arial"/>
          <w:bCs/>
          <w:sz w:val="24"/>
          <w:szCs w:val="24"/>
          <w:lang w:eastAsia="en-GB"/>
        </w:rPr>
        <w:t xml:space="preserve"> </w:t>
      </w:r>
      <w:r w:rsidR="00EA3610" w:rsidRPr="00EA3610">
        <w:rPr>
          <w:rFonts w:ascii="Arial" w:hAnsi="Arial" w:cs="Arial"/>
          <w:bCs/>
          <w:sz w:val="24"/>
          <w:szCs w:val="24"/>
          <w:lang w:eastAsia="en-GB"/>
        </w:rPr>
        <w:t>UK</w:t>
      </w:r>
    </w:p>
    <w:p w14:paraId="56EF3D92" w14:textId="617A1F8F" w:rsidR="00EA3610" w:rsidRPr="00EA3610" w:rsidRDefault="00EA3610" w:rsidP="00D11AD2">
      <w:pPr>
        <w:tabs>
          <w:tab w:val="left" w:pos="406"/>
        </w:tabs>
        <w:autoSpaceDE w:val="0"/>
        <w:autoSpaceDN w:val="0"/>
        <w:adjustRightInd w:val="0"/>
        <w:spacing w:after="0" w:line="480" w:lineRule="auto"/>
        <w:ind w:left="360"/>
        <w:rPr>
          <w:rFonts w:ascii="Arial" w:hAnsi="Arial" w:cs="Arial"/>
          <w:bCs/>
          <w:sz w:val="24"/>
          <w:szCs w:val="24"/>
          <w:lang w:eastAsia="en-GB"/>
        </w:rPr>
      </w:pPr>
      <w:r w:rsidRPr="00EA3610">
        <w:rPr>
          <w:rFonts w:ascii="Arial" w:hAnsi="Arial" w:cs="Arial"/>
          <w:bCs/>
          <w:sz w:val="24"/>
          <w:szCs w:val="24"/>
          <w:lang w:eastAsia="en-GB"/>
        </w:rPr>
        <w:t>3.</w:t>
      </w:r>
      <w:r>
        <w:rPr>
          <w:rFonts w:ascii="Arial" w:hAnsi="Arial" w:cs="Arial"/>
          <w:bCs/>
          <w:sz w:val="24"/>
          <w:szCs w:val="24"/>
          <w:lang w:eastAsia="en-GB"/>
        </w:rPr>
        <w:t xml:space="preserve">  </w:t>
      </w:r>
      <w:r w:rsidRPr="00F40699">
        <w:rPr>
          <w:rFonts w:ascii="Arial" w:hAnsi="Arial" w:cs="Arial"/>
        </w:rPr>
        <w:t>Nuffield Department of Population Health, University of Oxford, Oxford</w:t>
      </w:r>
      <w:r w:rsidR="00300C95">
        <w:rPr>
          <w:rFonts w:ascii="Arial" w:hAnsi="Arial" w:cs="Arial"/>
        </w:rPr>
        <w:t>, U.K</w:t>
      </w:r>
    </w:p>
    <w:p w14:paraId="3319EA2C" w14:textId="19D889D1" w:rsidR="00EA3610" w:rsidRPr="00EA3610" w:rsidRDefault="00300C95" w:rsidP="00D11AD2">
      <w:pPr>
        <w:tabs>
          <w:tab w:val="left" w:pos="406"/>
        </w:tabs>
        <w:autoSpaceDE w:val="0"/>
        <w:autoSpaceDN w:val="0"/>
        <w:adjustRightInd w:val="0"/>
        <w:spacing w:after="0" w:line="480" w:lineRule="auto"/>
        <w:ind w:left="360"/>
        <w:rPr>
          <w:rFonts w:ascii="Arial" w:hAnsi="Arial" w:cs="Arial"/>
          <w:bCs/>
          <w:sz w:val="24"/>
          <w:szCs w:val="24"/>
          <w:lang w:eastAsia="en-GB"/>
        </w:rPr>
      </w:pPr>
      <w:r>
        <w:rPr>
          <w:rFonts w:ascii="Arial" w:hAnsi="Arial" w:cs="Arial"/>
          <w:bCs/>
          <w:sz w:val="24"/>
          <w:szCs w:val="24"/>
          <w:lang w:eastAsia="en-GB"/>
        </w:rPr>
        <w:t xml:space="preserve">4.  </w:t>
      </w:r>
      <w:r w:rsidR="00EA3610" w:rsidRPr="00EA3610">
        <w:rPr>
          <w:rFonts w:ascii="Arial" w:hAnsi="Arial" w:cs="Arial"/>
          <w:bCs/>
          <w:sz w:val="24"/>
          <w:szCs w:val="24"/>
          <w:lang w:eastAsia="en-GB"/>
        </w:rPr>
        <w:t>Centre for Trials Research, Cardiff University, Cardiff, UK</w:t>
      </w:r>
    </w:p>
    <w:p w14:paraId="2FEFEB53" w14:textId="08327B9A" w:rsidR="00EE3344" w:rsidRDefault="00EA3610" w:rsidP="00EE3344">
      <w:pPr>
        <w:pStyle w:val="ListParagraph"/>
        <w:numPr>
          <w:ilvl w:val="0"/>
          <w:numId w:val="9"/>
        </w:numPr>
        <w:tabs>
          <w:tab w:val="left" w:pos="406"/>
        </w:tabs>
        <w:autoSpaceDE w:val="0"/>
        <w:autoSpaceDN w:val="0"/>
        <w:adjustRightInd w:val="0"/>
        <w:spacing w:line="480" w:lineRule="auto"/>
        <w:rPr>
          <w:rFonts w:ascii="Arial" w:hAnsi="Arial" w:cs="Arial"/>
          <w:bCs/>
          <w:lang w:eastAsia="en-GB"/>
        </w:rPr>
      </w:pPr>
      <w:r w:rsidRPr="00EA3610">
        <w:rPr>
          <w:rFonts w:ascii="Arial" w:hAnsi="Arial" w:cs="Arial"/>
          <w:bCs/>
          <w:lang w:eastAsia="en-GB"/>
        </w:rPr>
        <w:t>Department of Haematology,</w:t>
      </w:r>
      <w:r w:rsidR="00EE3344" w:rsidRPr="00EE3344">
        <w:t xml:space="preserve"> </w:t>
      </w:r>
      <w:r w:rsidR="00EE3344" w:rsidRPr="00EE3344">
        <w:rPr>
          <w:rFonts w:ascii="Arial" w:hAnsi="Arial" w:cs="Arial"/>
          <w:bCs/>
          <w:lang w:eastAsia="en-GB"/>
        </w:rPr>
        <w:t>Clinical Cancer Research Centre,</w:t>
      </w:r>
      <w:r w:rsidRPr="00EA3610">
        <w:rPr>
          <w:rFonts w:ascii="Arial" w:hAnsi="Arial" w:cs="Arial"/>
          <w:bCs/>
          <w:lang w:eastAsia="en-GB"/>
        </w:rPr>
        <w:t xml:space="preserve"> Aalborg University Hospital, Aalborg, Denmark,</w:t>
      </w:r>
      <w:r w:rsidR="00EE3344" w:rsidRPr="00EE3344">
        <w:t xml:space="preserve"> </w:t>
      </w:r>
    </w:p>
    <w:p w14:paraId="0439758D" w14:textId="22239164" w:rsidR="00EA3610" w:rsidRPr="00EA3610" w:rsidRDefault="00EE3344" w:rsidP="00EE3344">
      <w:pPr>
        <w:pStyle w:val="ListParagraph"/>
        <w:numPr>
          <w:ilvl w:val="0"/>
          <w:numId w:val="9"/>
        </w:numPr>
        <w:tabs>
          <w:tab w:val="left" w:pos="406"/>
        </w:tabs>
        <w:autoSpaceDE w:val="0"/>
        <w:autoSpaceDN w:val="0"/>
        <w:adjustRightInd w:val="0"/>
        <w:spacing w:line="480" w:lineRule="auto"/>
        <w:rPr>
          <w:rFonts w:ascii="Arial" w:hAnsi="Arial" w:cs="Arial"/>
          <w:bCs/>
          <w:lang w:eastAsia="en-GB"/>
        </w:rPr>
      </w:pPr>
      <w:r w:rsidRPr="00EE3344">
        <w:rPr>
          <w:rFonts w:ascii="Arial" w:hAnsi="Arial" w:cs="Arial"/>
          <w:bCs/>
          <w:lang w:eastAsia="en-GB"/>
        </w:rPr>
        <w:t>Department of Clinical Medicine, Aalborg University, Aalborg, Denmark</w:t>
      </w:r>
    </w:p>
    <w:p w14:paraId="2B5F545A" w14:textId="77777777" w:rsidR="00EA3610" w:rsidRPr="00EA3610" w:rsidRDefault="00EA3610" w:rsidP="00D11AD2">
      <w:pPr>
        <w:pStyle w:val="ListParagraph"/>
        <w:numPr>
          <w:ilvl w:val="0"/>
          <w:numId w:val="9"/>
        </w:numPr>
        <w:tabs>
          <w:tab w:val="left" w:pos="406"/>
        </w:tabs>
        <w:autoSpaceDE w:val="0"/>
        <w:autoSpaceDN w:val="0"/>
        <w:adjustRightInd w:val="0"/>
        <w:spacing w:line="480" w:lineRule="auto"/>
        <w:rPr>
          <w:rFonts w:ascii="Arial" w:hAnsi="Arial" w:cs="Arial"/>
          <w:bCs/>
          <w:lang w:eastAsia="en-GB"/>
        </w:rPr>
      </w:pPr>
      <w:r w:rsidRPr="00EA3610">
        <w:rPr>
          <w:rFonts w:ascii="Arial" w:hAnsi="Arial" w:cs="Arial"/>
          <w:bCs/>
          <w:lang w:eastAsia="en-GB"/>
        </w:rPr>
        <w:t>Department of Haematology, Auckland City Hospital, Auckland, New Zealand,</w:t>
      </w:r>
    </w:p>
    <w:p w14:paraId="0333C808" w14:textId="77777777" w:rsidR="00EA3610" w:rsidRPr="00EA3610" w:rsidRDefault="00EA3610" w:rsidP="00D11AD2">
      <w:pPr>
        <w:numPr>
          <w:ilvl w:val="0"/>
          <w:numId w:val="9"/>
        </w:numPr>
        <w:tabs>
          <w:tab w:val="left" w:pos="406"/>
        </w:tabs>
        <w:autoSpaceDE w:val="0"/>
        <w:autoSpaceDN w:val="0"/>
        <w:adjustRightInd w:val="0"/>
        <w:spacing w:after="0" w:line="480" w:lineRule="auto"/>
        <w:rPr>
          <w:rFonts w:ascii="Arial" w:hAnsi="Arial" w:cs="Arial"/>
          <w:bCs/>
          <w:sz w:val="24"/>
          <w:szCs w:val="24"/>
          <w:lang w:eastAsia="en-GB"/>
        </w:rPr>
      </w:pPr>
      <w:r w:rsidRPr="00EA3610">
        <w:rPr>
          <w:rFonts w:ascii="Arial" w:hAnsi="Arial" w:cs="Arial"/>
          <w:bCs/>
          <w:sz w:val="24"/>
          <w:szCs w:val="24"/>
          <w:lang w:eastAsia="en-GB"/>
        </w:rPr>
        <w:t>Department of Haematology, Queen's Hospital, Romford, UK</w:t>
      </w:r>
    </w:p>
    <w:p w14:paraId="796F5E00" w14:textId="77777777" w:rsidR="00ED53DE" w:rsidRDefault="00ED53DE" w:rsidP="00D11AD2">
      <w:pPr>
        <w:numPr>
          <w:ilvl w:val="0"/>
          <w:numId w:val="9"/>
        </w:numPr>
        <w:tabs>
          <w:tab w:val="left" w:pos="406"/>
        </w:tabs>
        <w:autoSpaceDE w:val="0"/>
        <w:autoSpaceDN w:val="0"/>
        <w:adjustRightInd w:val="0"/>
        <w:spacing w:after="0" w:line="480" w:lineRule="auto"/>
        <w:rPr>
          <w:rFonts w:ascii="Arial" w:hAnsi="Arial" w:cs="Arial"/>
          <w:bCs/>
          <w:sz w:val="24"/>
          <w:szCs w:val="24"/>
          <w:lang w:eastAsia="en-GB"/>
        </w:rPr>
      </w:pPr>
      <w:r w:rsidRPr="00ED53DE">
        <w:rPr>
          <w:rFonts w:ascii="Arial" w:hAnsi="Arial" w:cs="Arial"/>
          <w:bCs/>
          <w:sz w:val="24"/>
          <w:szCs w:val="24"/>
          <w:lang w:eastAsia="en-GB"/>
        </w:rPr>
        <w:t>Department of Molecular &amp; Clinical Cancer Medicine, University of Liverpool. UK.</w:t>
      </w:r>
    </w:p>
    <w:p w14:paraId="75291C72" w14:textId="5A691EE1" w:rsidR="00EA3610" w:rsidRPr="000864CA" w:rsidRDefault="00EA3610" w:rsidP="00D11AD2">
      <w:pPr>
        <w:numPr>
          <w:ilvl w:val="0"/>
          <w:numId w:val="9"/>
        </w:numPr>
        <w:tabs>
          <w:tab w:val="left" w:pos="406"/>
        </w:tabs>
        <w:autoSpaceDE w:val="0"/>
        <w:autoSpaceDN w:val="0"/>
        <w:adjustRightInd w:val="0"/>
        <w:spacing w:after="0" w:line="480" w:lineRule="auto"/>
        <w:rPr>
          <w:rFonts w:ascii="Arial" w:hAnsi="Arial" w:cs="Arial"/>
          <w:bCs/>
          <w:sz w:val="24"/>
          <w:szCs w:val="24"/>
          <w:lang w:eastAsia="en-GB"/>
        </w:rPr>
      </w:pPr>
      <w:r w:rsidRPr="00EA3610">
        <w:rPr>
          <w:rFonts w:ascii="Arial" w:hAnsi="Arial" w:cs="Arial"/>
          <w:bCs/>
          <w:sz w:val="24"/>
          <w:szCs w:val="24"/>
          <w:lang w:eastAsia="en-GB"/>
        </w:rPr>
        <w:t>Department of Haematology, Nottingham University Hospitals, Nottingham, UK</w:t>
      </w:r>
    </w:p>
    <w:p w14:paraId="45353D45" w14:textId="79BF1EA3" w:rsidR="00EA3610" w:rsidRPr="00EA3610" w:rsidRDefault="00EA3610" w:rsidP="00D11AD2">
      <w:pPr>
        <w:tabs>
          <w:tab w:val="left" w:pos="406"/>
        </w:tabs>
        <w:spacing w:line="480" w:lineRule="auto"/>
        <w:ind w:left="709" w:hanging="709"/>
        <w:rPr>
          <w:rFonts w:ascii="Arial" w:hAnsi="Arial" w:cs="Arial"/>
          <w:b/>
          <w:sz w:val="24"/>
          <w:szCs w:val="24"/>
        </w:rPr>
      </w:pPr>
      <w:r w:rsidRPr="00EA3610">
        <w:rPr>
          <w:rFonts w:ascii="Arial" w:hAnsi="Arial" w:cs="Arial"/>
          <w:b/>
          <w:sz w:val="24"/>
          <w:szCs w:val="24"/>
        </w:rPr>
        <w:t xml:space="preserve">Abstract: </w:t>
      </w:r>
      <w:r w:rsidR="00FE05C6">
        <w:rPr>
          <w:rFonts w:ascii="Arial" w:hAnsi="Arial" w:cs="Arial"/>
          <w:sz w:val="24"/>
          <w:szCs w:val="24"/>
        </w:rPr>
        <w:t>206</w:t>
      </w:r>
      <w:r w:rsidRPr="00EA3610">
        <w:rPr>
          <w:rFonts w:ascii="Arial" w:hAnsi="Arial" w:cs="Arial"/>
          <w:sz w:val="24"/>
          <w:szCs w:val="24"/>
        </w:rPr>
        <w:t xml:space="preserve"> words         </w:t>
      </w:r>
      <w:r w:rsidRPr="00EA3610">
        <w:rPr>
          <w:rFonts w:ascii="Arial" w:hAnsi="Arial" w:cs="Arial"/>
          <w:b/>
          <w:sz w:val="24"/>
          <w:szCs w:val="24"/>
        </w:rPr>
        <w:t xml:space="preserve">                                              Text: </w:t>
      </w:r>
      <w:r w:rsidR="00C016B6">
        <w:rPr>
          <w:rFonts w:ascii="Arial" w:hAnsi="Arial" w:cs="Arial"/>
          <w:sz w:val="24"/>
          <w:szCs w:val="24"/>
        </w:rPr>
        <w:t>3</w:t>
      </w:r>
      <w:r w:rsidR="00FE05C6">
        <w:rPr>
          <w:rFonts w:ascii="Arial" w:hAnsi="Arial" w:cs="Arial"/>
          <w:sz w:val="24"/>
          <w:szCs w:val="24"/>
        </w:rPr>
        <w:t>453</w:t>
      </w:r>
      <w:r w:rsidRPr="00EA3610">
        <w:rPr>
          <w:rFonts w:ascii="Arial" w:hAnsi="Arial" w:cs="Arial"/>
          <w:sz w:val="24"/>
          <w:szCs w:val="24"/>
        </w:rPr>
        <w:t xml:space="preserve"> words</w:t>
      </w:r>
    </w:p>
    <w:p w14:paraId="267C63A6" w14:textId="77777777" w:rsidR="00EA3610" w:rsidRPr="00EA3610" w:rsidRDefault="00EA3610" w:rsidP="00D11AD2">
      <w:pPr>
        <w:tabs>
          <w:tab w:val="left" w:pos="406"/>
        </w:tabs>
        <w:spacing w:line="480" w:lineRule="auto"/>
        <w:ind w:left="709" w:hanging="709"/>
        <w:rPr>
          <w:rFonts w:ascii="Arial" w:hAnsi="Arial" w:cs="Arial"/>
          <w:sz w:val="24"/>
          <w:szCs w:val="24"/>
        </w:rPr>
      </w:pPr>
      <w:r w:rsidRPr="00EA3610">
        <w:rPr>
          <w:rFonts w:ascii="Arial" w:hAnsi="Arial" w:cs="Arial"/>
          <w:b/>
          <w:sz w:val="24"/>
          <w:szCs w:val="24"/>
        </w:rPr>
        <w:t>Corresponding author:</w:t>
      </w:r>
    </w:p>
    <w:p w14:paraId="0D079A25" w14:textId="77777777" w:rsidR="00EA3610" w:rsidRPr="00EA3610" w:rsidRDefault="00EA3610" w:rsidP="00D11AD2">
      <w:pPr>
        <w:pStyle w:val="Default"/>
        <w:tabs>
          <w:tab w:val="left" w:pos="406"/>
        </w:tabs>
        <w:spacing w:line="480" w:lineRule="auto"/>
        <w:ind w:left="187" w:right="10"/>
        <w:rPr>
          <w:bCs/>
        </w:rPr>
      </w:pPr>
      <w:r w:rsidRPr="00EA3610">
        <w:rPr>
          <w:bCs/>
        </w:rPr>
        <w:t xml:space="preserve">Dr Mike Dennis </w:t>
      </w:r>
      <w:r w:rsidRPr="00EA3610">
        <w:t xml:space="preserve"> </w:t>
      </w:r>
    </w:p>
    <w:p w14:paraId="77B131D0" w14:textId="77777777" w:rsidR="00EA3610" w:rsidRPr="00EA3610" w:rsidRDefault="00EA3610" w:rsidP="00D11AD2">
      <w:pPr>
        <w:pStyle w:val="Default"/>
        <w:tabs>
          <w:tab w:val="left" w:pos="406"/>
        </w:tabs>
        <w:spacing w:line="480" w:lineRule="auto"/>
        <w:ind w:left="187" w:right="10"/>
      </w:pPr>
      <w:r w:rsidRPr="00EA3610">
        <w:t xml:space="preserve">The Christie </w:t>
      </w:r>
      <w:r>
        <w:t>Hospital</w:t>
      </w:r>
    </w:p>
    <w:p w14:paraId="63D0F77D" w14:textId="77777777" w:rsidR="00EA3610" w:rsidRPr="00EA3610" w:rsidRDefault="00EA3610" w:rsidP="00D11AD2">
      <w:pPr>
        <w:pStyle w:val="Default"/>
        <w:tabs>
          <w:tab w:val="left" w:pos="406"/>
        </w:tabs>
        <w:spacing w:line="480" w:lineRule="auto"/>
        <w:ind w:left="187" w:right="10"/>
      </w:pPr>
      <w:r w:rsidRPr="00EA3610">
        <w:lastRenderedPageBreak/>
        <w:t xml:space="preserve">Wilmslow Road </w:t>
      </w:r>
    </w:p>
    <w:p w14:paraId="62B36B39" w14:textId="77777777" w:rsidR="00EA3610" w:rsidRDefault="00EA3610" w:rsidP="00D11AD2">
      <w:pPr>
        <w:pStyle w:val="Default"/>
        <w:tabs>
          <w:tab w:val="left" w:pos="406"/>
        </w:tabs>
        <w:spacing w:line="480" w:lineRule="auto"/>
        <w:ind w:left="187" w:right="10"/>
      </w:pPr>
      <w:r w:rsidRPr="00EA3610">
        <w:t>MANCHESTER</w:t>
      </w:r>
    </w:p>
    <w:p w14:paraId="18254A5E" w14:textId="77777777" w:rsidR="00EA3610" w:rsidRPr="00EA3610" w:rsidRDefault="00EA3610" w:rsidP="00D11AD2">
      <w:pPr>
        <w:pStyle w:val="Default"/>
        <w:tabs>
          <w:tab w:val="left" w:pos="406"/>
        </w:tabs>
        <w:spacing w:line="480" w:lineRule="auto"/>
        <w:ind w:left="187" w:right="10"/>
      </w:pPr>
      <w:r>
        <w:t xml:space="preserve"> </w:t>
      </w:r>
      <w:r w:rsidRPr="00EA3610">
        <w:t xml:space="preserve">M20 4BX </w:t>
      </w:r>
    </w:p>
    <w:p w14:paraId="69A2B7C3" w14:textId="77777777" w:rsidR="00EA3610" w:rsidRPr="00EA3610" w:rsidRDefault="00EA3610" w:rsidP="00D11AD2">
      <w:pPr>
        <w:pStyle w:val="Default"/>
        <w:tabs>
          <w:tab w:val="left" w:pos="406"/>
        </w:tabs>
        <w:spacing w:line="480" w:lineRule="auto"/>
        <w:ind w:left="187" w:right="10"/>
      </w:pPr>
      <w:r w:rsidRPr="00EA3610">
        <w:t xml:space="preserve">Tel: 0161 446 3869 </w:t>
      </w:r>
    </w:p>
    <w:p w14:paraId="227095D9" w14:textId="252B771D" w:rsidR="00EA3610" w:rsidRPr="00EA3610" w:rsidRDefault="004151C9" w:rsidP="00D11AD2">
      <w:pPr>
        <w:tabs>
          <w:tab w:val="left" w:pos="406"/>
          <w:tab w:val="left" w:pos="4320"/>
          <w:tab w:val="left" w:pos="4860"/>
        </w:tabs>
        <w:spacing w:line="480" w:lineRule="auto"/>
        <w:ind w:left="180" w:right="10"/>
        <w:rPr>
          <w:rFonts w:ascii="Arial" w:hAnsi="Arial" w:cs="Arial"/>
          <w:sz w:val="24"/>
          <w:szCs w:val="24"/>
        </w:rPr>
      </w:pPr>
      <w:r w:rsidRPr="004151C9">
        <w:rPr>
          <w:rFonts w:ascii="Arial" w:hAnsi="Arial" w:cs="Arial"/>
          <w:sz w:val="24"/>
          <w:szCs w:val="24"/>
        </w:rPr>
        <w:t>Mike.dennis1@</w:t>
      </w:r>
      <w:r>
        <w:rPr>
          <w:rFonts w:ascii="Arial" w:hAnsi="Arial" w:cs="Arial"/>
          <w:sz w:val="24"/>
          <w:szCs w:val="24"/>
        </w:rPr>
        <w:t>nhs.net</w:t>
      </w:r>
    </w:p>
    <w:p w14:paraId="54316FC9" w14:textId="77777777" w:rsidR="00EA3610" w:rsidRDefault="00EA3610" w:rsidP="00D11AD2">
      <w:pPr>
        <w:pStyle w:val="ListParagraph"/>
        <w:spacing w:line="480" w:lineRule="auto"/>
        <w:jc w:val="both"/>
        <w:rPr>
          <w:rFonts w:ascii="Arial" w:hAnsi="Arial" w:cs="Arial"/>
        </w:rPr>
      </w:pPr>
    </w:p>
    <w:p w14:paraId="079A5694" w14:textId="77777777" w:rsidR="009E35B5" w:rsidRPr="00EA3610" w:rsidRDefault="00EA3610" w:rsidP="00D11AD2">
      <w:pPr>
        <w:pStyle w:val="ListParagraph"/>
        <w:spacing w:line="480" w:lineRule="auto"/>
        <w:jc w:val="both"/>
        <w:rPr>
          <w:rFonts w:ascii="Arial" w:hAnsi="Arial" w:cs="Arial"/>
        </w:rPr>
      </w:pPr>
      <w:r>
        <w:rPr>
          <w:rFonts w:ascii="Arial" w:hAnsi="Arial" w:cs="Arial"/>
        </w:rPr>
        <w:t>*Formerly Department of Haematology, Cardiff University, Cardiff, U.K.</w:t>
      </w:r>
    </w:p>
    <w:p w14:paraId="0704A8A0" w14:textId="77777777" w:rsidR="00415F86" w:rsidRDefault="00415F86" w:rsidP="00D11AD2">
      <w:pPr>
        <w:spacing w:line="480" w:lineRule="auto"/>
        <w:jc w:val="both"/>
        <w:rPr>
          <w:rFonts w:ascii="Arial" w:hAnsi="Arial" w:cs="Arial"/>
          <w:b/>
          <w:sz w:val="24"/>
        </w:rPr>
      </w:pPr>
    </w:p>
    <w:p w14:paraId="13911F4D" w14:textId="77777777" w:rsidR="008936B8" w:rsidRPr="008936B8" w:rsidRDefault="008936B8" w:rsidP="00D11AD2">
      <w:pPr>
        <w:spacing w:line="480" w:lineRule="auto"/>
        <w:jc w:val="both"/>
        <w:rPr>
          <w:rFonts w:ascii="Arial" w:hAnsi="Arial" w:cs="Arial"/>
          <w:sz w:val="24"/>
          <w:szCs w:val="24"/>
        </w:rPr>
      </w:pPr>
      <w:r w:rsidRPr="008936B8">
        <w:rPr>
          <w:rFonts w:ascii="Arial" w:hAnsi="Arial" w:cs="Arial"/>
          <w:b/>
          <w:sz w:val="24"/>
        </w:rPr>
        <w:t xml:space="preserve">Abstract  </w:t>
      </w:r>
    </w:p>
    <w:p w14:paraId="5539D09B" w14:textId="5228A20E" w:rsidR="00EA3610" w:rsidRDefault="00735128" w:rsidP="00D11AD2">
      <w:pPr>
        <w:spacing w:line="480" w:lineRule="auto"/>
        <w:jc w:val="both"/>
        <w:rPr>
          <w:rFonts w:ascii="Arial" w:hAnsi="Arial" w:cs="Arial"/>
          <w:sz w:val="24"/>
          <w:szCs w:val="24"/>
        </w:rPr>
      </w:pPr>
      <w:r w:rsidRPr="00735128">
        <w:rPr>
          <w:rFonts w:ascii="Arial" w:hAnsi="Arial" w:cs="Arial"/>
          <w:sz w:val="24"/>
          <w:szCs w:val="24"/>
        </w:rPr>
        <w:t>Older patients with acute myeloid leukaemia account for nearly half of those with the disease. Because they are perceived to be unfit for, unwilling to receive, or unlikely to benefit from conventional chemotherapy they represent an important unmet need. Tosedostat is a selective oral aminopeptidase inhibitor, which in phase I/II trials showed acceptable toxicity and encouraging efficacy. We report the only randomised study of low dose ara-C (LDAC)</w:t>
      </w:r>
      <w:r w:rsidR="00412B6A" w:rsidRPr="00412B6A">
        <w:t xml:space="preserve"> </w:t>
      </w:r>
      <w:r w:rsidR="00412B6A" w:rsidRPr="00412B6A">
        <w:rPr>
          <w:rFonts w:ascii="Arial" w:hAnsi="Arial" w:cs="Arial"/>
          <w:sz w:val="24"/>
          <w:szCs w:val="24"/>
        </w:rPr>
        <w:t>combined with tosedostat (LDAC-T)</w:t>
      </w:r>
      <w:r w:rsidRPr="00735128">
        <w:rPr>
          <w:rFonts w:ascii="Arial" w:hAnsi="Arial" w:cs="Arial"/>
          <w:sz w:val="24"/>
          <w:szCs w:val="24"/>
        </w:rPr>
        <w:t xml:space="preserve"> versus LDAC in untreated older patients not suitable for intensive treatment. 24</w:t>
      </w:r>
      <w:r w:rsidR="000B3F65">
        <w:rPr>
          <w:rFonts w:ascii="Arial" w:hAnsi="Arial" w:cs="Arial"/>
          <w:sz w:val="24"/>
          <w:szCs w:val="24"/>
        </w:rPr>
        <w:t>3</w:t>
      </w:r>
      <w:r w:rsidRPr="00735128">
        <w:rPr>
          <w:rFonts w:ascii="Arial" w:hAnsi="Arial" w:cs="Arial"/>
          <w:sz w:val="24"/>
          <w:szCs w:val="24"/>
        </w:rPr>
        <w:t xml:space="preserve"> patients were randomised 1:1 as part of the “Pick a Winner” LI-1 trial. There was a non-significant increase in CR rate with </w:t>
      </w:r>
      <w:r w:rsidR="00412B6A">
        <w:rPr>
          <w:rFonts w:ascii="Arial" w:hAnsi="Arial" w:cs="Arial"/>
          <w:sz w:val="24"/>
          <w:szCs w:val="24"/>
        </w:rPr>
        <w:t xml:space="preserve">the addition of </w:t>
      </w:r>
      <w:r w:rsidRPr="00735128">
        <w:rPr>
          <w:rFonts w:ascii="Arial" w:hAnsi="Arial" w:cs="Arial"/>
          <w:sz w:val="24"/>
          <w:szCs w:val="24"/>
        </w:rPr>
        <w:t>tosedostat (</w:t>
      </w:r>
      <w:r w:rsidR="00724C04">
        <w:rPr>
          <w:rFonts w:ascii="Arial" w:hAnsi="Arial" w:cs="Arial"/>
          <w:sz w:val="24"/>
          <w:szCs w:val="24"/>
        </w:rPr>
        <w:t>LDAC-T vs LDAC</w:t>
      </w:r>
      <w:r w:rsidR="00412B6A">
        <w:rPr>
          <w:rFonts w:ascii="Arial" w:hAnsi="Arial" w:cs="Arial"/>
          <w:sz w:val="24"/>
          <w:szCs w:val="24"/>
        </w:rPr>
        <w:t>;</w:t>
      </w:r>
      <w:r w:rsidR="00412B6A" w:rsidRPr="00735128">
        <w:rPr>
          <w:rFonts w:ascii="Arial" w:hAnsi="Arial" w:cs="Arial"/>
          <w:sz w:val="24"/>
          <w:szCs w:val="24"/>
        </w:rPr>
        <w:t xml:space="preserve"> 19</w:t>
      </w:r>
      <w:r w:rsidRPr="00735128">
        <w:rPr>
          <w:rFonts w:ascii="Arial" w:hAnsi="Arial" w:cs="Arial"/>
          <w:sz w:val="24"/>
          <w:szCs w:val="24"/>
        </w:rPr>
        <w:t>% vs 1</w:t>
      </w:r>
      <w:r w:rsidR="00724C04">
        <w:rPr>
          <w:rFonts w:ascii="Arial" w:hAnsi="Arial" w:cs="Arial"/>
          <w:sz w:val="24"/>
          <w:szCs w:val="24"/>
        </w:rPr>
        <w:t>2</w:t>
      </w:r>
      <w:r w:rsidRPr="00735128">
        <w:rPr>
          <w:rFonts w:ascii="Arial" w:hAnsi="Arial" w:cs="Arial"/>
          <w:sz w:val="24"/>
          <w:szCs w:val="24"/>
        </w:rPr>
        <w:t>%, OR 0.</w:t>
      </w:r>
      <w:r w:rsidR="00094CCD">
        <w:rPr>
          <w:rFonts w:ascii="Arial" w:hAnsi="Arial" w:cs="Arial"/>
          <w:sz w:val="24"/>
          <w:szCs w:val="24"/>
        </w:rPr>
        <w:t>61</w:t>
      </w:r>
      <w:r w:rsidRPr="00735128">
        <w:rPr>
          <w:rFonts w:ascii="Arial" w:hAnsi="Arial" w:cs="Arial"/>
          <w:sz w:val="24"/>
          <w:szCs w:val="24"/>
        </w:rPr>
        <w:t xml:space="preserve"> (0.</w:t>
      </w:r>
      <w:r w:rsidR="003560BA">
        <w:rPr>
          <w:rFonts w:ascii="Arial" w:hAnsi="Arial" w:cs="Arial"/>
          <w:sz w:val="24"/>
          <w:szCs w:val="24"/>
        </w:rPr>
        <w:t>30</w:t>
      </w:r>
      <w:r w:rsidRPr="00735128">
        <w:rPr>
          <w:rFonts w:ascii="Arial" w:hAnsi="Arial" w:cs="Arial"/>
          <w:sz w:val="24"/>
          <w:szCs w:val="24"/>
        </w:rPr>
        <w:t>-1.</w:t>
      </w:r>
      <w:r w:rsidR="003560BA">
        <w:rPr>
          <w:rFonts w:ascii="Arial" w:hAnsi="Arial" w:cs="Arial"/>
          <w:sz w:val="24"/>
          <w:szCs w:val="24"/>
        </w:rPr>
        <w:t>23</w:t>
      </w:r>
      <w:r w:rsidRPr="00735128">
        <w:rPr>
          <w:rFonts w:ascii="Arial" w:hAnsi="Arial" w:cs="Arial"/>
          <w:sz w:val="24"/>
          <w:szCs w:val="24"/>
        </w:rPr>
        <w:t>) p=0.1</w:t>
      </w:r>
      <w:r w:rsidR="003560BA">
        <w:rPr>
          <w:rFonts w:ascii="Arial" w:hAnsi="Arial" w:cs="Arial"/>
          <w:sz w:val="24"/>
          <w:szCs w:val="24"/>
        </w:rPr>
        <w:t>7</w:t>
      </w:r>
      <w:r w:rsidRPr="00735128">
        <w:rPr>
          <w:rFonts w:ascii="Arial" w:hAnsi="Arial" w:cs="Arial"/>
          <w:sz w:val="24"/>
          <w:szCs w:val="24"/>
        </w:rPr>
        <w:t>). For overall response (CR+CRi), the</w:t>
      </w:r>
      <w:r w:rsidR="00724C04">
        <w:rPr>
          <w:rFonts w:ascii="Arial" w:hAnsi="Arial" w:cs="Arial"/>
          <w:sz w:val="24"/>
          <w:szCs w:val="24"/>
        </w:rPr>
        <w:t>re</w:t>
      </w:r>
      <w:r w:rsidRPr="00735128">
        <w:rPr>
          <w:rFonts w:ascii="Arial" w:hAnsi="Arial" w:cs="Arial"/>
          <w:sz w:val="24"/>
          <w:szCs w:val="24"/>
        </w:rPr>
        <w:t xml:space="preserve"> </w:t>
      </w:r>
      <w:r w:rsidR="00123129">
        <w:rPr>
          <w:rFonts w:ascii="Arial" w:hAnsi="Arial" w:cs="Arial"/>
          <w:sz w:val="24"/>
          <w:szCs w:val="24"/>
        </w:rPr>
        <w:t xml:space="preserve">was little evidence of a </w:t>
      </w:r>
      <w:r w:rsidRPr="00735128">
        <w:rPr>
          <w:rFonts w:ascii="Arial" w:hAnsi="Arial" w:cs="Arial"/>
          <w:sz w:val="24"/>
          <w:szCs w:val="24"/>
        </w:rPr>
        <w:t xml:space="preserve">benefit </w:t>
      </w:r>
      <w:r w:rsidR="00412B6A">
        <w:rPr>
          <w:rFonts w:ascii="Arial" w:hAnsi="Arial" w:cs="Arial"/>
          <w:sz w:val="24"/>
          <w:szCs w:val="24"/>
        </w:rPr>
        <w:t>to</w:t>
      </w:r>
      <w:r w:rsidRPr="00735128">
        <w:rPr>
          <w:rFonts w:ascii="Arial" w:hAnsi="Arial" w:cs="Arial"/>
          <w:sz w:val="24"/>
          <w:szCs w:val="24"/>
        </w:rPr>
        <w:t xml:space="preserve"> the addition of tosedostat (</w:t>
      </w:r>
      <w:r w:rsidR="00724C04">
        <w:rPr>
          <w:rFonts w:ascii="Arial" w:hAnsi="Arial" w:cs="Arial"/>
          <w:sz w:val="24"/>
          <w:szCs w:val="24"/>
        </w:rPr>
        <w:t>2</w:t>
      </w:r>
      <w:r w:rsidR="00412B6A">
        <w:rPr>
          <w:rFonts w:ascii="Arial" w:hAnsi="Arial" w:cs="Arial"/>
          <w:sz w:val="24"/>
          <w:szCs w:val="24"/>
        </w:rPr>
        <w:t>5</w:t>
      </w:r>
      <w:r w:rsidRPr="00735128">
        <w:rPr>
          <w:rFonts w:ascii="Arial" w:hAnsi="Arial" w:cs="Arial"/>
          <w:sz w:val="24"/>
          <w:szCs w:val="24"/>
        </w:rPr>
        <w:t xml:space="preserve">% vs </w:t>
      </w:r>
      <w:r w:rsidR="00724C04">
        <w:rPr>
          <w:rFonts w:ascii="Arial" w:hAnsi="Arial" w:cs="Arial"/>
          <w:sz w:val="24"/>
          <w:szCs w:val="24"/>
        </w:rPr>
        <w:t>18</w:t>
      </w:r>
      <w:r w:rsidRPr="00735128">
        <w:rPr>
          <w:rFonts w:ascii="Arial" w:hAnsi="Arial" w:cs="Arial"/>
          <w:sz w:val="24"/>
          <w:szCs w:val="24"/>
        </w:rPr>
        <w:t>%; OR 0.</w:t>
      </w:r>
      <w:r w:rsidR="00123129">
        <w:rPr>
          <w:rFonts w:ascii="Arial" w:hAnsi="Arial" w:cs="Arial"/>
          <w:sz w:val="24"/>
          <w:szCs w:val="24"/>
        </w:rPr>
        <w:t>68</w:t>
      </w:r>
      <w:r w:rsidRPr="00735128">
        <w:rPr>
          <w:rFonts w:ascii="Arial" w:hAnsi="Arial" w:cs="Arial"/>
          <w:sz w:val="24"/>
          <w:szCs w:val="24"/>
        </w:rPr>
        <w:t xml:space="preserve"> (0.</w:t>
      </w:r>
      <w:r w:rsidR="00123129">
        <w:rPr>
          <w:rFonts w:ascii="Arial" w:hAnsi="Arial" w:cs="Arial"/>
          <w:sz w:val="24"/>
          <w:szCs w:val="24"/>
        </w:rPr>
        <w:t>37</w:t>
      </w:r>
      <w:r w:rsidRPr="00735128">
        <w:rPr>
          <w:rFonts w:ascii="Arial" w:hAnsi="Arial" w:cs="Arial"/>
          <w:sz w:val="24"/>
          <w:szCs w:val="24"/>
        </w:rPr>
        <w:t>-1.</w:t>
      </w:r>
      <w:r w:rsidR="00123129">
        <w:rPr>
          <w:rFonts w:ascii="Arial" w:hAnsi="Arial" w:cs="Arial"/>
          <w:sz w:val="24"/>
          <w:szCs w:val="24"/>
        </w:rPr>
        <w:t>27</w:t>
      </w:r>
      <w:r w:rsidRPr="00735128">
        <w:rPr>
          <w:rFonts w:ascii="Arial" w:hAnsi="Arial" w:cs="Arial"/>
          <w:sz w:val="24"/>
          <w:szCs w:val="24"/>
        </w:rPr>
        <w:t>) p=0</w:t>
      </w:r>
      <w:r w:rsidR="00123129">
        <w:rPr>
          <w:rFonts w:ascii="Arial" w:hAnsi="Arial" w:cs="Arial"/>
          <w:sz w:val="24"/>
          <w:szCs w:val="24"/>
        </w:rPr>
        <w:t>.22</w:t>
      </w:r>
      <w:r w:rsidRPr="00735128">
        <w:rPr>
          <w:rFonts w:ascii="Arial" w:hAnsi="Arial" w:cs="Arial"/>
          <w:sz w:val="24"/>
          <w:szCs w:val="24"/>
        </w:rPr>
        <w:t>). However overall survival (OS) showed no difference (2-year OS 1</w:t>
      </w:r>
      <w:r w:rsidR="00724C04">
        <w:rPr>
          <w:rFonts w:ascii="Arial" w:hAnsi="Arial" w:cs="Arial"/>
          <w:sz w:val="24"/>
          <w:szCs w:val="24"/>
        </w:rPr>
        <w:t>6</w:t>
      </w:r>
      <w:r w:rsidRPr="00735128">
        <w:rPr>
          <w:rFonts w:ascii="Arial" w:hAnsi="Arial" w:cs="Arial"/>
          <w:sz w:val="24"/>
          <w:szCs w:val="24"/>
        </w:rPr>
        <w:t>% vs 1</w:t>
      </w:r>
      <w:r w:rsidR="00724C04">
        <w:rPr>
          <w:rFonts w:ascii="Arial" w:hAnsi="Arial" w:cs="Arial"/>
          <w:sz w:val="24"/>
          <w:szCs w:val="24"/>
        </w:rPr>
        <w:t>2</w:t>
      </w:r>
      <w:r w:rsidRPr="00735128">
        <w:rPr>
          <w:rFonts w:ascii="Arial" w:hAnsi="Arial" w:cs="Arial"/>
          <w:sz w:val="24"/>
          <w:szCs w:val="24"/>
        </w:rPr>
        <w:t>%, HR 0.9</w:t>
      </w:r>
      <w:r w:rsidR="00123129">
        <w:rPr>
          <w:rFonts w:ascii="Arial" w:hAnsi="Arial" w:cs="Arial"/>
          <w:sz w:val="24"/>
          <w:szCs w:val="24"/>
        </w:rPr>
        <w:t>7</w:t>
      </w:r>
      <w:r w:rsidRPr="00735128">
        <w:rPr>
          <w:rFonts w:ascii="Arial" w:hAnsi="Arial" w:cs="Arial"/>
          <w:sz w:val="24"/>
          <w:szCs w:val="24"/>
        </w:rPr>
        <w:t xml:space="preserve"> (0.7</w:t>
      </w:r>
      <w:r w:rsidR="00123129">
        <w:rPr>
          <w:rFonts w:ascii="Arial" w:hAnsi="Arial" w:cs="Arial"/>
          <w:sz w:val="24"/>
          <w:szCs w:val="24"/>
        </w:rPr>
        <w:t>3</w:t>
      </w:r>
      <w:r w:rsidRPr="00735128">
        <w:rPr>
          <w:rFonts w:ascii="Arial" w:hAnsi="Arial" w:cs="Arial"/>
          <w:sz w:val="24"/>
          <w:szCs w:val="24"/>
        </w:rPr>
        <w:t>-1.</w:t>
      </w:r>
      <w:r w:rsidR="00123129">
        <w:rPr>
          <w:rFonts w:ascii="Arial" w:hAnsi="Arial" w:cs="Arial"/>
          <w:sz w:val="24"/>
          <w:szCs w:val="24"/>
        </w:rPr>
        <w:t>28</w:t>
      </w:r>
      <w:r w:rsidRPr="00735128">
        <w:rPr>
          <w:rFonts w:ascii="Arial" w:hAnsi="Arial" w:cs="Arial"/>
          <w:sz w:val="24"/>
          <w:szCs w:val="24"/>
        </w:rPr>
        <w:t>) p=0.</w:t>
      </w:r>
      <w:r w:rsidR="00123129">
        <w:rPr>
          <w:rFonts w:ascii="Arial" w:hAnsi="Arial" w:cs="Arial"/>
          <w:sz w:val="24"/>
          <w:szCs w:val="24"/>
        </w:rPr>
        <w:t>8</w:t>
      </w:r>
      <w:r w:rsidRPr="00735128">
        <w:rPr>
          <w:rFonts w:ascii="Arial" w:hAnsi="Arial" w:cs="Arial"/>
          <w:sz w:val="24"/>
          <w:szCs w:val="24"/>
        </w:rPr>
        <w:t xml:space="preserve">).  Exploratory analyses failed to identify any subgroup benefitting from tosedostat. Despite promising pre-clinical, early unrandomised clinical data with acceptable toxicity and an improvement in response, </w:t>
      </w:r>
      <w:r w:rsidRPr="00735128">
        <w:rPr>
          <w:rFonts w:ascii="Arial" w:hAnsi="Arial" w:cs="Arial"/>
          <w:sz w:val="24"/>
          <w:szCs w:val="24"/>
        </w:rPr>
        <w:lastRenderedPageBreak/>
        <w:t>we did not find evidence that the addition of tosedostat to LDAC produced a survival benefit in this group of AML patients.</w:t>
      </w:r>
    </w:p>
    <w:p w14:paraId="6ED54BCF" w14:textId="21C7597D" w:rsidR="00534C97" w:rsidRDefault="00534C97" w:rsidP="00D11AD2">
      <w:pPr>
        <w:spacing w:line="480" w:lineRule="auto"/>
        <w:jc w:val="both"/>
        <w:rPr>
          <w:rFonts w:ascii="Arial" w:hAnsi="Arial" w:cs="Arial"/>
          <w:sz w:val="24"/>
          <w:szCs w:val="24"/>
        </w:rPr>
      </w:pPr>
      <w:r w:rsidRPr="00534C97">
        <w:rPr>
          <w:rFonts w:ascii="Arial" w:hAnsi="Arial" w:cs="Arial"/>
          <w:sz w:val="24"/>
          <w:szCs w:val="24"/>
        </w:rPr>
        <w:t>Trial Reference ISRCTN40571019</w:t>
      </w:r>
    </w:p>
    <w:p w14:paraId="7BF52CB3" w14:textId="77777777" w:rsidR="00735128" w:rsidRPr="00735128" w:rsidRDefault="00735128" w:rsidP="00D11AD2">
      <w:pPr>
        <w:spacing w:line="480" w:lineRule="auto"/>
        <w:jc w:val="both"/>
        <w:rPr>
          <w:rFonts w:ascii="Arial" w:hAnsi="Arial" w:cs="Arial"/>
          <w:sz w:val="24"/>
          <w:szCs w:val="24"/>
        </w:rPr>
      </w:pPr>
    </w:p>
    <w:p w14:paraId="26049E4E" w14:textId="77777777" w:rsidR="00954D0B" w:rsidRPr="00AF0066" w:rsidRDefault="00954D0B" w:rsidP="00D11AD2">
      <w:pPr>
        <w:spacing w:after="0" w:line="480" w:lineRule="auto"/>
        <w:jc w:val="both"/>
        <w:rPr>
          <w:rFonts w:ascii="Arial" w:eastAsia="MS Mincho" w:hAnsi="Arial" w:cs="Arial"/>
          <w:b/>
          <w:bCs/>
          <w:snapToGrid w:val="0"/>
          <w:sz w:val="24"/>
          <w:szCs w:val="24"/>
          <w:lang w:val="en-US" w:eastAsia="ja-JP"/>
        </w:rPr>
      </w:pPr>
      <w:r w:rsidRPr="00AF0066">
        <w:rPr>
          <w:rFonts w:ascii="Arial" w:eastAsia="MS Mincho" w:hAnsi="Arial" w:cs="Arial"/>
          <w:b/>
          <w:bCs/>
          <w:snapToGrid w:val="0"/>
          <w:sz w:val="24"/>
          <w:szCs w:val="24"/>
          <w:lang w:val="en-US" w:eastAsia="ja-JP"/>
        </w:rPr>
        <w:t>Introduction</w:t>
      </w:r>
    </w:p>
    <w:p w14:paraId="1A39E191" w14:textId="7BDDCC3F" w:rsidR="00954D0B" w:rsidRPr="00AF0066" w:rsidRDefault="00954D0B" w:rsidP="00D11AD2">
      <w:pPr>
        <w:spacing w:after="0" w:line="480" w:lineRule="auto"/>
        <w:jc w:val="both"/>
        <w:rPr>
          <w:rFonts w:ascii="Arial" w:eastAsia="MS Mincho" w:hAnsi="Arial" w:cs="Arial"/>
          <w:bCs/>
          <w:snapToGrid w:val="0"/>
          <w:sz w:val="24"/>
          <w:szCs w:val="24"/>
          <w:lang w:val="en-US" w:eastAsia="ja-JP"/>
        </w:rPr>
      </w:pPr>
      <w:r w:rsidRPr="00AF0066">
        <w:rPr>
          <w:rFonts w:ascii="Arial" w:eastAsia="MS Mincho" w:hAnsi="Arial" w:cs="Arial"/>
          <w:bCs/>
          <w:snapToGrid w:val="0"/>
          <w:sz w:val="24"/>
          <w:szCs w:val="24"/>
          <w:lang w:val="en-US" w:eastAsia="ja-JP"/>
        </w:rPr>
        <w:t>A major current challenge in the treatment of acute myeloid leuk</w:t>
      </w:r>
      <w:r w:rsidR="00822E93">
        <w:rPr>
          <w:rFonts w:ascii="Arial" w:eastAsia="MS Mincho" w:hAnsi="Arial" w:cs="Arial"/>
          <w:bCs/>
          <w:snapToGrid w:val="0"/>
          <w:sz w:val="24"/>
          <w:szCs w:val="24"/>
          <w:lang w:val="en-US" w:eastAsia="ja-JP"/>
        </w:rPr>
        <w:t>a</w:t>
      </w:r>
      <w:r w:rsidRPr="00AF0066">
        <w:rPr>
          <w:rFonts w:ascii="Arial" w:eastAsia="MS Mincho" w:hAnsi="Arial" w:cs="Arial"/>
          <w:bCs/>
          <w:snapToGrid w:val="0"/>
          <w:sz w:val="24"/>
          <w:szCs w:val="24"/>
          <w:lang w:val="en-US" w:eastAsia="ja-JP"/>
        </w:rPr>
        <w:t>emia</w:t>
      </w:r>
      <w:r w:rsidR="00697A2A">
        <w:rPr>
          <w:rFonts w:ascii="Arial" w:eastAsia="MS Mincho" w:hAnsi="Arial" w:cs="Arial"/>
          <w:bCs/>
          <w:snapToGrid w:val="0"/>
          <w:sz w:val="24"/>
          <w:szCs w:val="24"/>
          <w:lang w:val="en-US" w:eastAsia="ja-JP"/>
        </w:rPr>
        <w:t xml:space="preserve"> (AML)</w:t>
      </w:r>
      <w:r w:rsidRPr="00AF0066">
        <w:rPr>
          <w:rFonts w:ascii="Arial" w:eastAsia="MS Mincho" w:hAnsi="Arial" w:cs="Arial"/>
          <w:bCs/>
          <w:snapToGrid w:val="0"/>
          <w:sz w:val="24"/>
          <w:szCs w:val="24"/>
          <w:lang w:val="en-US" w:eastAsia="ja-JP"/>
        </w:rPr>
        <w:t xml:space="preserve"> is to find effective, convenient and safe treatment for older patients</w:t>
      </w:r>
      <w:r w:rsidR="00526138" w:rsidRPr="00AF0066">
        <w:rPr>
          <w:rFonts w:ascii="Arial" w:eastAsia="MS Mincho" w:hAnsi="Arial" w:cs="Arial"/>
          <w:bCs/>
          <w:snapToGrid w:val="0"/>
          <w:sz w:val="24"/>
          <w:szCs w:val="24"/>
          <w:vertAlign w:val="superscript"/>
          <w:lang w:val="en-US" w:eastAsia="ja-JP"/>
        </w:rPr>
        <w:t>1,2</w:t>
      </w:r>
      <w:r w:rsidRPr="00AF0066">
        <w:rPr>
          <w:rFonts w:ascii="Arial" w:eastAsia="MS Mincho" w:hAnsi="Arial" w:cs="Arial"/>
          <w:bCs/>
          <w:snapToGrid w:val="0"/>
          <w:sz w:val="24"/>
          <w:szCs w:val="24"/>
          <w:lang w:val="en-US" w:eastAsia="ja-JP"/>
        </w:rPr>
        <w:t>. Almost half of patients w</w:t>
      </w:r>
      <w:r w:rsidR="00697A2A">
        <w:rPr>
          <w:rFonts w:ascii="Arial" w:eastAsia="MS Mincho" w:hAnsi="Arial" w:cs="Arial"/>
          <w:bCs/>
          <w:snapToGrid w:val="0"/>
          <w:sz w:val="24"/>
          <w:szCs w:val="24"/>
          <w:lang w:val="en-US" w:eastAsia="ja-JP"/>
        </w:rPr>
        <w:t>ith AML</w:t>
      </w:r>
      <w:r w:rsidRPr="00AF0066">
        <w:rPr>
          <w:rFonts w:ascii="Arial" w:eastAsia="MS Mincho" w:hAnsi="Arial" w:cs="Arial"/>
          <w:bCs/>
          <w:snapToGrid w:val="0"/>
          <w:sz w:val="24"/>
          <w:szCs w:val="24"/>
          <w:lang w:val="en-US" w:eastAsia="ja-JP"/>
        </w:rPr>
        <w:t xml:space="preserve"> are over 70 years of age. To date</w:t>
      </w:r>
      <w:r w:rsidR="00480E98" w:rsidRPr="00AF0066">
        <w:rPr>
          <w:rFonts w:ascii="Arial" w:eastAsia="MS Mincho" w:hAnsi="Arial" w:cs="Arial"/>
          <w:bCs/>
          <w:snapToGrid w:val="0"/>
          <w:sz w:val="24"/>
          <w:szCs w:val="24"/>
          <w:lang w:val="en-US" w:eastAsia="ja-JP"/>
        </w:rPr>
        <w:t>,</w:t>
      </w:r>
      <w:r w:rsidRPr="00AF0066">
        <w:rPr>
          <w:rFonts w:ascii="Arial" w:eastAsia="MS Mincho" w:hAnsi="Arial" w:cs="Arial"/>
          <w:bCs/>
          <w:snapToGrid w:val="0"/>
          <w:sz w:val="24"/>
          <w:szCs w:val="24"/>
          <w:lang w:val="en-US" w:eastAsia="ja-JP"/>
        </w:rPr>
        <w:t xml:space="preserve"> intensive therapy, even for those consider</w:t>
      </w:r>
      <w:r w:rsidR="003160B8" w:rsidRPr="00AF0066">
        <w:rPr>
          <w:rFonts w:ascii="Arial" w:eastAsia="MS Mincho" w:hAnsi="Arial" w:cs="Arial"/>
          <w:bCs/>
          <w:snapToGrid w:val="0"/>
          <w:sz w:val="24"/>
          <w:szCs w:val="24"/>
          <w:lang w:val="en-US" w:eastAsia="ja-JP"/>
        </w:rPr>
        <w:t>ed</w:t>
      </w:r>
      <w:r w:rsidRPr="00AF0066">
        <w:rPr>
          <w:rFonts w:ascii="Arial" w:eastAsia="MS Mincho" w:hAnsi="Arial" w:cs="Arial"/>
          <w:bCs/>
          <w:snapToGrid w:val="0"/>
          <w:sz w:val="24"/>
          <w:szCs w:val="24"/>
          <w:lang w:val="en-US" w:eastAsia="ja-JP"/>
        </w:rPr>
        <w:t xml:space="preserve"> fit enough to receive it, deliver</w:t>
      </w:r>
      <w:r w:rsidR="003160B8" w:rsidRPr="00AF0066">
        <w:rPr>
          <w:rFonts w:ascii="Arial" w:eastAsia="MS Mincho" w:hAnsi="Arial" w:cs="Arial"/>
          <w:bCs/>
          <w:snapToGrid w:val="0"/>
          <w:sz w:val="24"/>
          <w:szCs w:val="24"/>
          <w:lang w:val="en-US" w:eastAsia="ja-JP"/>
        </w:rPr>
        <w:t>s</w:t>
      </w:r>
      <w:r w:rsidRPr="00AF0066">
        <w:rPr>
          <w:rFonts w:ascii="Arial" w:eastAsia="MS Mincho" w:hAnsi="Arial" w:cs="Arial"/>
          <w:bCs/>
          <w:snapToGrid w:val="0"/>
          <w:sz w:val="24"/>
          <w:szCs w:val="24"/>
          <w:lang w:val="en-US" w:eastAsia="ja-JP"/>
        </w:rPr>
        <w:t xml:space="preserve"> poor survival particularly for patients with co-morbidities</w:t>
      </w:r>
      <w:r w:rsidR="003160B8" w:rsidRPr="00AF0066">
        <w:rPr>
          <w:rFonts w:ascii="Arial" w:eastAsia="MS Mincho" w:hAnsi="Arial" w:cs="Arial"/>
          <w:bCs/>
          <w:snapToGrid w:val="0"/>
          <w:sz w:val="24"/>
          <w:szCs w:val="24"/>
          <w:lang w:val="en-US" w:eastAsia="ja-JP"/>
        </w:rPr>
        <w:t>, poor</w:t>
      </w:r>
      <w:r w:rsidRPr="00AF0066">
        <w:rPr>
          <w:rFonts w:ascii="Arial" w:eastAsia="MS Mincho" w:hAnsi="Arial" w:cs="Arial"/>
          <w:bCs/>
          <w:snapToGrid w:val="0"/>
          <w:sz w:val="24"/>
          <w:szCs w:val="24"/>
          <w:lang w:val="en-US" w:eastAsia="ja-JP"/>
        </w:rPr>
        <w:t xml:space="preserve"> performance score or adverse disease biology. Ever since</w:t>
      </w:r>
      <w:r w:rsidR="003160B8" w:rsidRPr="00AF0066">
        <w:rPr>
          <w:rFonts w:ascii="Arial" w:eastAsia="MS Mincho" w:hAnsi="Arial" w:cs="Arial"/>
          <w:bCs/>
          <w:snapToGrid w:val="0"/>
          <w:sz w:val="24"/>
          <w:szCs w:val="24"/>
          <w:lang w:val="en-US" w:eastAsia="ja-JP"/>
        </w:rPr>
        <w:t>,</w:t>
      </w:r>
      <w:r w:rsidRPr="00AF0066">
        <w:rPr>
          <w:rFonts w:ascii="Arial" w:eastAsia="MS Mincho" w:hAnsi="Arial" w:cs="Arial"/>
          <w:bCs/>
          <w:snapToGrid w:val="0"/>
          <w:sz w:val="24"/>
          <w:szCs w:val="24"/>
          <w:lang w:val="en-US" w:eastAsia="ja-JP"/>
        </w:rPr>
        <w:t xml:space="preserve"> </w:t>
      </w:r>
      <w:r w:rsidR="003160B8" w:rsidRPr="00AF0066">
        <w:rPr>
          <w:rFonts w:ascii="Arial" w:eastAsia="MS Mincho" w:hAnsi="Arial" w:cs="Arial"/>
          <w:bCs/>
          <w:snapToGrid w:val="0"/>
          <w:sz w:val="24"/>
          <w:szCs w:val="24"/>
          <w:lang w:val="en-US" w:eastAsia="ja-JP"/>
        </w:rPr>
        <w:t xml:space="preserve">in </w:t>
      </w:r>
      <w:r w:rsidRPr="00AF0066">
        <w:rPr>
          <w:rFonts w:ascii="Arial" w:eastAsia="MS Mincho" w:hAnsi="Arial" w:cs="Arial"/>
          <w:bCs/>
          <w:snapToGrid w:val="0"/>
          <w:sz w:val="24"/>
          <w:szCs w:val="24"/>
          <w:lang w:val="en-US" w:eastAsia="ja-JP"/>
        </w:rPr>
        <w:t>the overdue clinical trials in this population</w:t>
      </w:r>
      <w:r w:rsidR="00480E98" w:rsidRPr="00AF0066">
        <w:rPr>
          <w:rFonts w:ascii="Arial" w:eastAsia="MS Mincho" w:hAnsi="Arial" w:cs="Arial"/>
          <w:bCs/>
          <w:snapToGrid w:val="0"/>
          <w:sz w:val="24"/>
          <w:szCs w:val="24"/>
          <w:lang w:val="en-US" w:eastAsia="ja-JP"/>
        </w:rPr>
        <w:t>,</w:t>
      </w:r>
      <w:r w:rsidRPr="00AF0066">
        <w:rPr>
          <w:rFonts w:ascii="Arial" w:eastAsia="MS Mincho" w:hAnsi="Arial" w:cs="Arial"/>
          <w:bCs/>
          <w:snapToGrid w:val="0"/>
          <w:sz w:val="24"/>
          <w:szCs w:val="24"/>
          <w:lang w:val="en-US" w:eastAsia="ja-JP"/>
        </w:rPr>
        <w:t xml:space="preserve"> it has been assumed that unless remission was achieved, little benefit was anticipated. Stan</w:t>
      </w:r>
      <w:r w:rsidR="00822E93">
        <w:rPr>
          <w:rFonts w:ascii="Arial" w:eastAsia="MS Mincho" w:hAnsi="Arial" w:cs="Arial"/>
          <w:bCs/>
          <w:snapToGrid w:val="0"/>
          <w:sz w:val="24"/>
          <w:szCs w:val="24"/>
          <w:lang w:val="en-US" w:eastAsia="ja-JP"/>
        </w:rPr>
        <w:t>dards of care include low dose a</w:t>
      </w:r>
      <w:r w:rsidRPr="00AF0066">
        <w:rPr>
          <w:rFonts w:ascii="Arial" w:eastAsia="MS Mincho" w:hAnsi="Arial" w:cs="Arial"/>
          <w:bCs/>
          <w:snapToGrid w:val="0"/>
          <w:sz w:val="24"/>
          <w:szCs w:val="24"/>
          <w:lang w:val="en-US" w:eastAsia="ja-JP"/>
        </w:rPr>
        <w:t>ra-C (LDAC)</w:t>
      </w:r>
      <w:r w:rsidR="00526138" w:rsidRPr="00AF0066">
        <w:rPr>
          <w:rFonts w:ascii="Arial" w:eastAsia="MS Mincho" w:hAnsi="Arial" w:cs="Arial"/>
          <w:bCs/>
          <w:snapToGrid w:val="0"/>
          <w:sz w:val="24"/>
          <w:szCs w:val="24"/>
          <w:vertAlign w:val="superscript"/>
          <w:lang w:val="en-US" w:eastAsia="ja-JP"/>
        </w:rPr>
        <w:t>3</w:t>
      </w:r>
      <w:r w:rsidRPr="00AF0066">
        <w:rPr>
          <w:rFonts w:ascii="Arial" w:eastAsia="MS Mincho" w:hAnsi="Arial" w:cs="Arial"/>
          <w:bCs/>
          <w:snapToGrid w:val="0"/>
          <w:sz w:val="24"/>
          <w:szCs w:val="24"/>
          <w:lang w:val="en-US" w:eastAsia="ja-JP"/>
        </w:rPr>
        <w:t xml:space="preserve"> and </w:t>
      </w:r>
      <w:r w:rsidR="00A510FD" w:rsidRPr="00AF0066">
        <w:rPr>
          <w:rFonts w:ascii="Arial" w:eastAsia="MS Mincho" w:hAnsi="Arial" w:cs="Arial"/>
          <w:bCs/>
          <w:snapToGrid w:val="0"/>
          <w:sz w:val="24"/>
          <w:szCs w:val="24"/>
          <w:lang w:val="en-US" w:eastAsia="ja-JP"/>
        </w:rPr>
        <w:t>the hypo</w:t>
      </w:r>
      <w:r w:rsidRPr="00AF0066">
        <w:rPr>
          <w:rFonts w:ascii="Arial" w:eastAsia="MS Mincho" w:hAnsi="Arial" w:cs="Arial"/>
          <w:bCs/>
          <w:snapToGrid w:val="0"/>
          <w:sz w:val="24"/>
          <w:szCs w:val="24"/>
          <w:lang w:val="en-US" w:eastAsia="ja-JP"/>
        </w:rPr>
        <w:t>methylati</w:t>
      </w:r>
      <w:r w:rsidR="00A510FD" w:rsidRPr="00AF0066">
        <w:rPr>
          <w:rFonts w:ascii="Arial" w:eastAsia="MS Mincho" w:hAnsi="Arial" w:cs="Arial"/>
          <w:bCs/>
          <w:snapToGrid w:val="0"/>
          <w:sz w:val="24"/>
          <w:szCs w:val="24"/>
          <w:lang w:val="en-US" w:eastAsia="ja-JP"/>
        </w:rPr>
        <w:t>ng</w:t>
      </w:r>
      <w:r w:rsidRPr="00AF0066">
        <w:rPr>
          <w:rFonts w:ascii="Arial" w:eastAsia="MS Mincho" w:hAnsi="Arial" w:cs="Arial"/>
          <w:bCs/>
          <w:snapToGrid w:val="0"/>
          <w:sz w:val="24"/>
          <w:szCs w:val="24"/>
          <w:lang w:val="en-US" w:eastAsia="ja-JP"/>
        </w:rPr>
        <w:t xml:space="preserve"> agents azacitidine</w:t>
      </w:r>
      <w:r w:rsidR="00526138" w:rsidRPr="00AF0066">
        <w:rPr>
          <w:rFonts w:ascii="Arial" w:eastAsia="MS Mincho" w:hAnsi="Arial" w:cs="Arial"/>
          <w:bCs/>
          <w:snapToGrid w:val="0"/>
          <w:sz w:val="24"/>
          <w:szCs w:val="24"/>
          <w:vertAlign w:val="superscript"/>
          <w:lang w:val="en-US" w:eastAsia="ja-JP"/>
        </w:rPr>
        <w:t>4</w:t>
      </w:r>
      <w:r w:rsidRPr="00AF0066">
        <w:rPr>
          <w:rFonts w:ascii="Arial" w:eastAsia="MS Mincho" w:hAnsi="Arial" w:cs="Arial"/>
          <w:bCs/>
          <w:snapToGrid w:val="0"/>
          <w:sz w:val="24"/>
          <w:szCs w:val="24"/>
          <w:lang w:val="en-US" w:eastAsia="ja-JP"/>
        </w:rPr>
        <w:t xml:space="preserve"> or decitibine</w:t>
      </w:r>
      <w:r w:rsidR="00526138" w:rsidRPr="00AF0066">
        <w:rPr>
          <w:rFonts w:ascii="Arial" w:eastAsia="MS Mincho" w:hAnsi="Arial" w:cs="Arial"/>
          <w:bCs/>
          <w:snapToGrid w:val="0"/>
          <w:sz w:val="24"/>
          <w:szCs w:val="24"/>
          <w:vertAlign w:val="superscript"/>
          <w:lang w:val="en-US" w:eastAsia="ja-JP"/>
        </w:rPr>
        <w:t>5</w:t>
      </w:r>
      <w:r w:rsidRPr="00AF0066">
        <w:rPr>
          <w:rFonts w:ascii="Arial" w:eastAsia="MS Mincho" w:hAnsi="Arial" w:cs="Arial"/>
          <w:bCs/>
          <w:snapToGrid w:val="0"/>
          <w:sz w:val="24"/>
          <w:szCs w:val="24"/>
          <w:lang w:val="en-US" w:eastAsia="ja-JP"/>
        </w:rPr>
        <w:t xml:space="preserve">, each of which have low </w:t>
      </w:r>
      <w:r w:rsidR="00A510FD" w:rsidRPr="00AF0066">
        <w:rPr>
          <w:rFonts w:ascii="Arial" w:eastAsia="MS Mincho" w:hAnsi="Arial" w:cs="Arial"/>
          <w:bCs/>
          <w:snapToGrid w:val="0"/>
          <w:sz w:val="24"/>
          <w:szCs w:val="24"/>
          <w:lang w:val="en-US" w:eastAsia="ja-JP"/>
        </w:rPr>
        <w:t xml:space="preserve">remission </w:t>
      </w:r>
      <w:r w:rsidRPr="00AF0066">
        <w:rPr>
          <w:rFonts w:ascii="Arial" w:eastAsia="MS Mincho" w:hAnsi="Arial" w:cs="Arial"/>
          <w:bCs/>
          <w:snapToGrid w:val="0"/>
          <w:sz w:val="24"/>
          <w:szCs w:val="24"/>
          <w:lang w:val="en-US" w:eastAsia="ja-JP"/>
        </w:rPr>
        <w:t xml:space="preserve">rates, although the </w:t>
      </w:r>
      <w:r w:rsidR="00A510FD" w:rsidRPr="00AF0066">
        <w:rPr>
          <w:rFonts w:ascii="Arial" w:eastAsia="MS Mincho" w:hAnsi="Arial" w:cs="Arial"/>
          <w:bCs/>
          <w:snapToGrid w:val="0"/>
          <w:sz w:val="24"/>
          <w:szCs w:val="24"/>
          <w:lang w:val="en-US" w:eastAsia="ja-JP"/>
        </w:rPr>
        <w:t>hypo</w:t>
      </w:r>
      <w:r w:rsidRPr="00AF0066">
        <w:rPr>
          <w:rFonts w:ascii="Arial" w:eastAsia="MS Mincho" w:hAnsi="Arial" w:cs="Arial"/>
          <w:bCs/>
          <w:snapToGrid w:val="0"/>
          <w:sz w:val="24"/>
          <w:szCs w:val="24"/>
          <w:lang w:val="en-US" w:eastAsia="ja-JP"/>
        </w:rPr>
        <w:t>methy</w:t>
      </w:r>
      <w:r w:rsidR="00480E98" w:rsidRPr="00AF0066">
        <w:rPr>
          <w:rFonts w:ascii="Arial" w:eastAsia="MS Mincho" w:hAnsi="Arial" w:cs="Arial"/>
          <w:bCs/>
          <w:snapToGrid w:val="0"/>
          <w:sz w:val="24"/>
          <w:szCs w:val="24"/>
          <w:lang w:val="en-US" w:eastAsia="ja-JP"/>
        </w:rPr>
        <w:t>l</w:t>
      </w:r>
      <w:r w:rsidRPr="00AF0066">
        <w:rPr>
          <w:rFonts w:ascii="Arial" w:eastAsia="MS Mincho" w:hAnsi="Arial" w:cs="Arial"/>
          <w:bCs/>
          <w:snapToGrid w:val="0"/>
          <w:sz w:val="24"/>
          <w:szCs w:val="24"/>
          <w:lang w:val="en-US" w:eastAsia="ja-JP"/>
        </w:rPr>
        <w:t>ati</w:t>
      </w:r>
      <w:r w:rsidR="00A510FD" w:rsidRPr="00AF0066">
        <w:rPr>
          <w:rFonts w:ascii="Arial" w:eastAsia="MS Mincho" w:hAnsi="Arial" w:cs="Arial"/>
          <w:bCs/>
          <w:snapToGrid w:val="0"/>
          <w:sz w:val="24"/>
          <w:szCs w:val="24"/>
          <w:lang w:val="en-US" w:eastAsia="ja-JP"/>
        </w:rPr>
        <w:t>ng</w:t>
      </w:r>
      <w:r w:rsidRPr="00AF0066">
        <w:rPr>
          <w:rFonts w:ascii="Arial" w:eastAsia="MS Mincho" w:hAnsi="Arial" w:cs="Arial"/>
          <w:bCs/>
          <w:snapToGrid w:val="0"/>
          <w:sz w:val="24"/>
          <w:szCs w:val="24"/>
          <w:lang w:val="en-US" w:eastAsia="ja-JP"/>
        </w:rPr>
        <w:t xml:space="preserve"> agents may prolong survival without achieving remission. Several new treatments tested in this context have substantially improved remission rates, but not overall survival</w:t>
      </w:r>
      <w:r w:rsidR="00D84D55">
        <w:rPr>
          <w:rFonts w:ascii="Arial" w:eastAsia="MS Mincho" w:hAnsi="Arial" w:cs="Arial"/>
          <w:bCs/>
          <w:snapToGrid w:val="0"/>
          <w:sz w:val="24"/>
          <w:szCs w:val="24"/>
          <w:lang w:val="en-US" w:eastAsia="ja-JP"/>
        </w:rPr>
        <w:t>, although the recently published results of combining venetoclax with azacitidine have for the first time prolonged survival</w:t>
      </w:r>
      <w:r w:rsidR="00E54504">
        <w:rPr>
          <w:rFonts w:ascii="Arial" w:eastAsia="MS Mincho" w:hAnsi="Arial" w:cs="Arial"/>
          <w:bCs/>
          <w:snapToGrid w:val="0"/>
          <w:sz w:val="24"/>
          <w:szCs w:val="24"/>
          <w:lang w:val="en-US" w:eastAsia="ja-JP"/>
        </w:rPr>
        <w:t xml:space="preserve"> in this patient group with a non-intensive approach</w:t>
      </w:r>
      <w:r w:rsidR="00D84D55" w:rsidRPr="00253A6C">
        <w:rPr>
          <w:rFonts w:ascii="Arial" w:eastAsia="MS Mincho" w:hAnsi="Arial" w:cs="Arial"/>
          <w:bCs/>
          <w:snapToGrid w:val="0"/>
          <w:sz w:val="24"/>
          <w:szCs w:val="24"/>
          <w:vertAlign w:val="superscript"/>
          <w:lang w:val="en-US" w:eastAsia="ja-JP"/>
        </w:rPr>
        <w:t>6</w:t>
      </w:r>
    </w:p>
    <w:p w14:paraId="398F393D" w14:textId="77777777" w:rsidR="00A510FD" w:rsidRPr="00AF0066" w:rsidRDefault="00A510FD" w:rsidP="00D11AD2">
      <w:pPr>
        <w:spacing w:after="0" w:line="480" w:lineRule="auto"/>
        <w:jc w:val="both"/>
        <w:rPr>
          <w:rFonts w:ascii="Arial" w:eastAsia="MS Mincho" w:hAnsi="Arial" w:cs="Arial"/>
          <w:bCs/>
          <w:snapToGrid w:val="0"/>
          <w:sz w:val="24"/>
          <w:szCs w:val="24"/>
          <w:lang w:val="en-US" w:eastAsia="ja-JP"/>
        </w:rPr>
      </w:pPr>
    </w:p>
    <w:p w14:paraId="4693B087" w14:textId="59FAAE89" w:rsidR="00954D0B" w:rsidRPr="00AF0066" w:rsidRDefault="00954D0B" w:rsidP="00D11AD2">
      <w:pPr>
        <w:spacing w:after="0" w:line="480" w:lineRule="auto"/>
        <w:jc w:val="both"/>
        <w:rPr>
          <w:rFonts w:ascii="Arial" w:eastAsia="MS Mincho" w:hAnsi="Arial" w:cs="Arial"/>
          <w:b/>
          <w:bCs/>
          <w:iCs/>
          <w:snapToGrid w:val="0"/>
          <w:sz w:val="24"/>
          <w:szCs w:val="24"/>
          <w:lang w:eastAsia="ja-JP"/>
        </w:rPr>
      </w:pPr>
      <w:r w:rsidRPr="00AF0066">
        <w:rPr>
          <w:rFonts w:ascii="Arial" w:eastAsia="MS Mincho" w:hAnsi="Arial" w:cs="Arial"/>
          <w:bCs/>
          <w:snapToGrid w:val="0"/>
          <w:sz w:val="24"/>
          <w:szCs w:val="24"/>
          <w:lang w:eastAsia="ja-JP"/>
        </w:rPr>
        <w:t>Tosedostat is an example of a new class of orally administered metalloenzyme inhibitors with anti-proliferative and anti-angiogenic activity</w:t>
      </w:r>
      <w:r w:rsidR="00822E93" w:rsidRPr="00822E93">
        <w:rPr>
          <w:rFonts w:ascii="Arial" w:eastAsia="MS Mincho" w:hAnsi="Arial" w:cs="Arial"/>
          <w:bCs/>
          <w:snapToGrid w:val="0"/>
          <w:sz w:val="24"/>
          <w:szCs w:val="24"/>
          <w:lang w:eastAsia="ja-JP"/>
        </w:rPr>
        <w:t xml:space="preserve"> in vivo and in vitro</w:t>
      </w:r>
      <w:r w:rsidRPr="00AF0066">
        <w:rPr>
          <w:rFonts w:ascii="Arial" w:eastAsia="MS Mincho" w:hAnsi="Arial" w:cs="Arial"/>
          <w:bCs/>
          <w:snapToGrid w:val="0"/>
          <w:sz w:val="24"/>
          <w:szCs w:val="24"/>
          <w:lang w:eastAsia="ja-JP"/>
        </w:rPr>
        <w:t xml:space="preserve"> against a wide range of</w:t>
      </w:r>
      <w:r w:rsidRPr="00AF0066">
        <w:rPr>
          <w:rFonts w:ascii="Arial" w:eastAsia="MS Mincho" w:hAnsi="Arial" w:cs="Arial"/>
          <w:bCs/>
          <w:iCs/>
          <w:snapToGrid w:val="0"/>
          <w:sz w:val="24"/>
          <w:szCs w:val="24"/>
          <w:lang w:eastAsia="ja-JP"/>
        </w:rPr>
        <w:t xml:space="preserve"> </w:t>
      </w:r>
      <w:r w:rsidRPr="00AF0066">
        <w:rPr>
          <w:rFonts w:ascii="Arial" w:eastAsia="MS Mincho" w:hAnsi="Arial" w:cs="Arial"/>
          <w:bCs/>
          <w:snapToGrid w:val="0"/>
          <w:sz w:val="24"/>
          <w:szCs w:val="24"/>
          <w:lang w:eastAsia="ja-JP"/>
        </w:rPr>
        <w:t>haematological and solid human cancer cells</w:t>
      </w:r>
      <w:r w:rsidR="00945AD4">
        <w:rPr>
          <w:rFonts w:ascii="Arial" w:eastAsia="MS Mincho" w:hAnsi="Arial" w:cs="Arial"/>
          <w:bCs/>
          <w:snapToGrid w:val="0"/>
          <w:sz w:val="24"/>
          <w:szCs w:val="24"/>
          <w:vertAlign w:val="superscript"/>
          <w:lang w:eastAsia="ja-JP"/>
        </w:rPr>
        <w:t>7</w:t>
      </w:r>
      <w:r w:rsidRPr="00AF0066">
        <w:rPr>
          <w:rFonts w:ascii="Arial" w:eastAsia="MS Mincho" w:hAnsi="Arial" w:cs="Arial"/>
          <w:bCs/>
          <w:snapToGrid w:val="0"/>
          <w:sz w:val="24"/>
          <w:szCs w:val="24"/>
          <w:lang w:eastAsia="ja-JP"/>
        </w:rPr>
        <w:t>. Exposure of cells to tosedostat results in the intracellular accumulation of an acid metabolite, CHR-</w:t>
      </w:r>
      <w:r w:rsidRPr="00AF0066">
        <w:rPr>
          <w:rFonts w:ascii="Arial" w:eastAsia="MS Mincho" w:hAnsi="Arial" w:cs="Arial"/>
          <w:bCs/>
          <w:snapToGrid w:val="0"/>
          <w:sz w:val="24"/>
          <w:szCs w:val="24"/>
          <w:lang w:eastAsia="ja-JP"/>
        </w:rPr>
        <w:lastRenderedPageBreak/>
        <w:t>79888, which exerts a powerful inhibitory effect on intracellular metalloenzymes resulting in anti-proliferative, pro-apoptotic and anti-angiogenic</w:t>
      </w:r>
      <w:r w:rsidR="006C7405" w:rsidRPr="00AF0066">
        <w:rPr>
          <w:rFonts w:ascii="Arial" w:eastAsia="MS Mincho" w:hAnsi="Arial" w:cs="Arial"/>
          <w:bCs/>
          <w:snapToGrid w:val="0"/>
          <w:sz w:val="24"/>
          <w:szCs w:val="24"/>
          <w:lang w:eastAsia="ja-JP"/>
        </w:rPr>
        <w:t xml:space="preserve"> activity</w:t>
      </w:r>
      <w:r w:rsidR="00945AD4">
        <w:rPr>
          <w:rFonts w:ascii="Arial" w:eastAsia="MS Mincho" w:hAnsi="Arial" w:cs="Arial"/>
          <w:bCs/>
          <w:snapToGrid w:val="0"/>
          <w:sz w:val="24"/>
          <w:szCs w:val="24"/>
          <w:vertAlign w:val="superscript"/>
          <w:lang w:eastAsia="ja-JP"/>
        </w:rPr>
        <w:t>8</w:t>
      </w:r>
      <w:r w:rsidRPr="00AF0066">
        <w:rPr>
          <w:rFonts w:ascii="Arial" w:eastAsia="MS Mincho" w:hAnsi="Arial" w:cs="Arial"/>
          <w:bCs/>
          <w:snapToGrid w:val="0"/>
          <w:sz w:val="24"/>
          <w:szCs w:val="24"/>
          <w:lang w:eastAsia="ja-JP"/>
        </w:rPr>
        <w:t>. The intracellular metalloenzyme targets for tosedostat are likely to be members of the M1 family of aminopeptidases, so tosedostat is an aminopeptidase inhibitor. Aminopeptidases play a critical role in the final steps of protein recycling downstream of proteasomal degradation and inhibition of aminopeptidases by tosedostat may, like proteasome inhibition, disrupt the turnover of cellular proteins in such a way that it impacts cancer cell growth</w:t>
      </w:r>
      <w:r w:rsidR="00945AD4">
        <w:rPr>
          <w:rFonts w:ascii="Arial" w:eastAsia="MS Mincho" w:hAnsi="Arial" w:cs="Arial"/>
          <w:bCs/>
          <w:snapToGrid w:val="0"/>
          <w:sz w:val="24"/>
          <w:szCs w:val="24"/>
          <w:vertAlign w:val="superscript"/>
          <w:lang w:eastAsia="ja-JP"/>
        </w:rPr>
        <w:t>9</w:t>
      </w:r>
      <w:r w:rsidRPr="00AF0066">
        <w:rPr>
          <w:rFonts w:ascii="Arial" w:eastAsia="MS Mincho" w:hAnsi="Arial" w:cs="Arial"/>
          <w:bCs/>
          <w:snapToGrid w:val="0"/>
          <w:sz w:val="24"/>
          <w:szCs w:val="24"/>
          <w:lang w:eastAsia="ja-JP"/>
        </w:rPr>
        <w:t>. Natural product inhibitors of aminopeptidases, particularly bestatin, exhibit similar, albeit weaker, pharmacological actions to tosedostat, including its pro- apoptotic, anti-proliferative and anti-angiogenic effects and its ability to induce amino acid deprivation response (AADR)</w:t>
      </w:r>
      <w:r w:rsidR="00822E93">
        <w:rPr>
          <w:rFonts w:ascii="Arial" w:eastAsia="MS Mincho" w:hAnsi="Arial" w:cs="Arial"/>
          <w:bCs/>
          <w:snapToGrid w:val="0"/>
          <w:sz w:val="24"/>
          <w:szCs w:val="24"/>
          <w:lang w:eastAsia="ja-JP"/>
        </w:rPr>
        <w:t xml:space="preserve"> </w:t>
      </w:r>
      <w:r w:rsidRPr="00AF0066">
        <w:rPr>
          <w:rFonts w:ascii="Arial" w:eastAsia="MS Mincho" w:hAnsi="Arial" w:cs="Arial"/>
          <w:bCs/>
          <w:snapToGrid w:val="0"/>
          <w:sz w:val="24"/>
          <w:szCs w:val="24"/>
          <w:lang w:eastAsia="ja-JP"/>
        </w:rPr>
        <w:t>related gene expression changes</w:t>
      </w:r>
      <w:r w:rsidR="00945AD4">
        <w:rPr>
          <w:rFonts w:ascii="Arial" w:eastAsia="MS Mincho" w:hAnsi="Arial" w:cs="Arial"/>
          <w:bCs/>
          <w:snapToGrid w:val="0"/>
          <w:sz w:val="24"/>
          <w:szCs w:val="24"/>
          <w:vertAlign w:val="superscript"/>
          <w:lang w:eastAsia="ja-JP"/>
        </w:rPr>
        <w:t>10</w:t>
      </w:r>
      <w:r w:rsidRPr="00AF0066">
        <w:rPr>
          <w:rFonts w:ascii="Arial" w:eastAsia="MS Mincho" w:hAnsi="Arial" w:cs="Arial"/>
          <w:bCs/>
          <w:snapToGrid w:val="0"/>
          <w:sz w:val="24"/>
          <w:szCs w:val="24"/>
          <w:lang w:eastAsia="ja-JP"/>
        </w:rPr>
        <w:t xml:space="preserve">.Tosedostat synergises </w:t>
      </w:r>
      <w:r w:rsidRPr="00AF0066">
        <w:rPr>
          <w:rFonts w:ascii="Arial" w:eastAsia="MS Mincho" w:hAnsi="Arial" w:cs="Arial"/>
          <w:bCs/>
          <w:iCs/>
          <w:snapToGrid w:val="0"/>
          <w:sz w:val="24"/>
          <w:szCs w:val="24"/>
          <w:lang w:eastAsia="ja-JP"/>
        </w:rPr>
        <w:t xml:space="preserve">in vitro </w:t>
      </w:r>
      <w:r w:rsidRPr="00AF0066">
        <w:rPr>
          <w:rFonts w:ascii="Arial" w:eastAsia="MS Mincho" w:hAnsi="Arial" w:cs="Arial"/>
          <w:bCs/>
          <w:snapToGrid w:val="0"/>
          <w:sz w:val="24"/>
          <w:szCs w:val="24"/>
          <w:lang w:eastAsia="ja-JP"/>
        </w:rPr>
        <w:t>with a very wide range of chemotherapeutic and targeted agents in inducing anti-proliferative effects in</w:t>
      </w:r>
      <w:r w:rsidR="00822E93">
        <w:rPr>
          <w:rFonts w:ascii="Arial" w:eastAsia="MS Mincho" w:hAnsi="Arial" w:cs="Arial"/>
          <w:bCs/>
          <w:snapToGrid w:val="0"/>
          <w:sz w:val="24"/>
          <w:szCs w:val="24"/>
          <w:lang w:eastAsia="ja-JP"/>
        </w:rPr>
        <w:t xml:space="preserve"> many </w:t>
      </w:r>
      <w:r w:rsidRPr="00AF0066">
        <w:rPr>
          <w:rFonts w:ascii="Arial" w:eastAsia="MS Mincho" w:hAnsi="Arial" w:cs="Arial"/>
          <w:bCs/>
          <w:snapToGrid w:val="0"/>
          <w:sz w:val="24"/>
          <w:szCs w:val="24"/>
          <w:lang w:eastAsia="ja-JP"/>
        </w:rPr>
        <w:t>haematological and non-haematological cancer cell lines. We previously showed evidence of synergy with ara-C in pre-clinical studies with human AML cells</w:t>
      </w:r>
      <w:r w:rsidR="00526138" w:rsidRPr="00AF0066">
        <w:rPr>
          <w:rFonts w:ascii="Arial" w:eastAsia="MS Mincho" w:hAnsi="Arial" w:cs="Arial"/>
          <w:bCs/>
          <w:snapToGrid w:val="0"/>
          <w:sz w:val="24"/>
          <w:szCs w:val="24"/>
          <w:vertAlign w:val="superscript"/>
          <w:lang w:eastAsia="ja-JP"/>
        </w:rPr>
        <w:t>1</w:t>
      </w:r>
      <w:r w:rsidR="00945AD4">
        <w:rPr>
          <w:rFonts w:ascii="Arial" w:eastAsia="MS Mincho" w:hAnsi="Arial" w:cs="Arial"/>
          <w:bCs/>
          <w:snapToGrid w:val="0"/>
          <w:sz w:val="24"/>
          <w:szCs w:val="24"/>
          <w:vertAlign w:val="superscript"/>
          <w:lang w:eastAsia="ja-JP"/>
        </w:rPr>
        <w:t>1</w:t>
      </w:r>
      <w:r w:rsidRPr="00AF0066">
        <w:rPr>
          <w:rFonts w:ascii="Arial" w:eastAsia="MS Mincho" w:hAnsi="Arial" w:cs="Arial"/>
          <w:bCs/>
          <w:snapToGrid w:val="0"/>
          <w:sz w:val="24"/>
          <w:szCs w:val="24"/>
          <w:lang w:eastAsia="ja-JP"/>
        </w:rPr>
        <w:t xml:space="preserve">.  </w:t>
      </w:r>
    </w:p>
    <w:p w14:paraId="2AE7FCF1" w14:textId="542CBA17" w:rsidR="00954D0B" w:rsidRPr="00AF0066" w:rsidRDefault="00954D0B" w:rsidP="00D11AD2">
      <w:pPr>
        <w:spacing w:after="0" w:line="480" w:lineRule="auto"/>
        <w:jc w:val="both"/>
        <w:rPr>
          <w:rFonts w:ascii="Arial" w:eastAsia="MS Mincho" w:hAnsi="Arial" w:cs="Arial"/>
          <w:bCs/>
          <w:snapToGrid w:val="0"/>
          <w:sz w:val="24"/>
          <w:szCs w:val="24"/>
          <w:lang w:eastAsia="ja-JP"/>
        </w:rPr>
      </w:pPr>
      <w:r w:rsidRPr="00AF0066">
        <w:rPr>
          <w:rFonts w:ascii="Arial" w:eastAsia="MS Mincho" w:hAnsi="Arial" w:cs="Arial"/>
          <w:bCs/>
          <w:snapToGrid w:val="0"/>
          <w:sz w:val="24"/>
          <w:szCs w:val="24"/>
          <w:lang w:eastAsia="ja-JP"/>
        </w:rPr>
        <w:t>A number of early stage clinical trials established a daily dose level of 120mg, with little toxicity and some encouraging clinical activity. The initial phase 1 study</w:t>
      </w:r>
      <w:r w:rsidR="00526138" w:rsidRPr="00AF0066">
        <w:rPr>
          <w:rFonts w:ascii="Arial" w:eastAsia="MS Mincho" w:hAnsi="Arial" w:cs="Arial"/>
          <w:bCs/>
          <w:snapToGrid w:val="0"/>
          <w:sz w:val="24"/>
          <w:szCs w:val="24"/>
          <w:lang w:eastAsia="ja-JP"/>
        </w:rPr>
        <w:t xml:space="preserve"> </w:t>
      </w:r>
      <w:r w:rsidRPr="00AF0066">
        <w:rPr>
          <w:rFonts w:ascii="Arial" w:eastAsia="MS Mincho" w:hAnsi="Arial" w:cs="Arial"/>
          <w:bCs/>
          <w:snapToGrid w:val="0"/>
          <w:sz w:val="24"/>
          <w:szCs w:val="24"/>
          <w:lang w:eastAsia="ja-JP"/>
        </w:rPr>
        <w:t xml:space="preserve">defined 180mg as the </w:t>
      </w:r>
      <w:r w:rsidR="00822E93">
        <w:rPr>
          <w:rFonts w:ascii="Arial" w:eastAsia="MS Mincho" w:hAnsi="Arial" w:cs="Arial"/>
          <w:bCs/>
          <w:snapToGrid w:val="0"/>
          <w:sz w:val="24"/>
          <w:szCs w:val="24"/>
          <w:lang w:eastAsia="ja-JP"/>
        </w:rPr>
        <w:t>maximum tolerated dose (</w:t>
      </w:r>
      <w:r w:rsidRPr="00AF0066">
        <w:rPr>
          <w:rFonts w:ascii="Arial" w:eastAsia="MS Mincho" w:hAnsi="Arial" w:cs="Arial"/>
          <w:bCs/>
          <w:snapToGrid w:val="0"/>
          <w:sz w:val="24"/>
          <w:szCs w:val="24"/>
          <w:lang w:eastAsia="ja-JP"/>
        </w:rPr>
        <w:t>MTD</w:t>
      </w:r>
      <w:r w:rsidR="00822E93">
        <w:rPr>
          <w:rFonts w:ascii="Arial" w:eastAsia="MS Mincho" w:hAnsi="Arial" w:cs="Arial"/>
          <w:bCs/>
          <w:snapToGrid w:val="0"/>
          <w:sz w:val="24"/>
          <w:szCs w:val="24"/>
          <w:lang w:eastAsia="ja-JP"/>
        </w:rPr>
        <w:t>)</w:t>
      </w:r>
      <w:r w:rsidRPr="00AF0066">
        <w:rPr>
          <w:rFonts w:ascii="Arial" w:eastAsia="MS Mincho" w:hAnsi="Arial" w:cs="Arial"/>
          <w:bCs/>
          <w:snapToGrid w:val="0"/>
          <w:sz w:val="24"/>
          <w:szCs w:val="24"/>
          <w:lang w:eastAsia="ja-JP"/>
        </w:rPr>
        <w:t xml:space="preserve"> with the limitation being protracted thrombocytopenia, and demonstrated good tolerance at a daily dose of 130mg. In a total</w:t>
      </w:r>
      <w:r w:rsidR="00526138" w:rsidRPr="00AF0066">
        <w:rPr>
          <w:rFonts w:ascii="Arial" w:eastAsia="MS Mincho" w:hAnsi="Arial" w:cs="Arial"/>
          <w:bCs/>
          <w:snapToGrid w:val="0"/>
          <w:sz w:val="24"/>
          <w:szCs w:val="24"/>
          <w:lang w:eastAsia="ja-JP"/>
        </w:rPr>
        <w:t xml:space="preserve"> </w:t>
      </w:r>
      <w:r w:rsidRPr="00AF0066">
        <w:rPr>
          <w:rFonts w:ascii="Arial" w:eastAsia="MS Mincho" w:hAnsi="Arial" w:cs="Arial"/>
          <w:bCs/>
          <w:snapToGrid w:val="0"/>
          <w:sz w:val="24"/>
          <w:szCs w:val="24"/>
          <w:lang w:eastAsia="ja-JP"/>
        </w:rPr>
        <w:t>of 51 patients with relapse/refractory disease in the study, the overall marrow response was 24%</w:t>
      </w:r>
      <w:r w:rsidR="00526138" w:rsidRPr="00AF0066">
        <w:rPr>
          <w:rFonts w:ascii="Arial" w:eastAsia="MS Mincho" w:hAnsi="Arial" w:cs="Arial"/>
          <w:bCs/>
          <w:snapToGrid w:val="0"/>
          <w:sz w:val="24"/>
          <w:szCs w:val="24"/>
          <w:vertAlign w:val="superscript"/>
          <w:lang w:eastAsia="ja-JP"/>
        </w:rPr>
        <w:t>1</w:t>
      </w:r>
      <w:r w:rsidR="00945AD4">
        <w:rPr>
          <w:rFonts w:ascii="Arial" w:eastAsia="MS Mincho" w:hAnsi="Arial" w:cs="Arial"/>
          <w:bCs/>
          <w:snapToGrid w:val="0"/>
          <w:sz w:val="24"/>
          <w:szCs w:val="24"/>
          <w:vertAlign w:val="superscript"/>
          <w:lang w:eastAsia="ja-JP"/>
        </w:rPr>
        <w:t>2</w:t>
      </w:r>
      <w:r w:rsidR="00822E93">
        <w:rPr>
          <w:rFonts w:ascii="Arial" w:eastAsia="MS Mincho" w:hAnsi="Arial" w:cs="Arial"/>
          <w:bCs/>
          <w:snapToGrid w:val="0"/>
          <w:sz w:val="24"/>
          <w:szCs w:val="24"/>
          <w:lang w:eastAsia="ja-JP"/>
        </w:rPr>
        <w:t>.  A second study, (OPAL</w:t>
      </w:r>
      <w:r w:rsidRPr="00AF0066">
        <w:rPr>
          <w:rFonts w:ascii="Arial" w:eastAsia="MS Mincho" w:hAnsi="Arial" w:cs="Arial"/>
          <w:bCs/>
          <w:snapToGrid w:val="0"/>
          <w:sz w:val="24"/>
          <w:szCs w:val="24"/>
          <w:lang w:eastAsia="ja-JP"/>
        </w:rPr>
        <w:t>)</w:t>
      </w:r>
      <w:r w:rsidR="00526138" w:rsidRPr="00AF0066">
        <w:rPr>
          <w:rFonts w:ascii="Arial" w:eastAsia="MS Mincho" w:hAnsi="Arial" w:cs="Arial"/>
          <w:bCs/>
          <w:snapToGrid w:val="0"/>
          <w:sz w:val="24"/>
          <w:szCs w:val="24"/>
          <w:vertAlign w:val="superscript"/>
          <w:lang w:eastAsia="ja-JP"/>
        </w:rPr>
        <w:t>1</w:t>
      </w:r>
      <w:r w:rsidR="00945AD4">
        <w:rPr>
          <w:rFonts w:ascii="Arial" w:eastAsia="MS Mincho" w:hAnsi="Arial" w:cs="Arial"/>
          <w:bCs/>
          <w:snapToGrid w:val="0"/>
          <w:sz w:val="24"/>
          <w:szCs w:val="24"/>
          <w:vertAlign w:val="superscript"/>
          <w:lang w:eastAsia="ja-JP"/>
        </w:rPr>
        <w:t>3</w:t>
      </w:r>
      <w:r w:rsidRPr="00AF0066">
        <w:rPr>
          <w:rFonts w:ascii="Arial" w:eastAsia="MS Mincho" w:hAnsi="Arial" w:cs="Arial"/>
          <w:bCs/>
          <w:snapToGrid w:val="0"/>
          <w:sz w:val="24"/>
          <w:szCs w:val="24"/>
          <w:lang w:eastAsia="ja-JP"/>
        </w:rPr>
        <w:t>, also in relapse</w:t>
      </w:r>
      <w:r w:rsidR="006C7405" w:rsidRPr="00AF0066">
        <w:rPr>
          <w:rFonts w:ascii="Arial" w:eastAsia="MS Mincho" w:hAnsi="Arial" w:cs="Arial"/>
          <w:bCs/>
          <w:snapToGrid w:val="0"/>
          <w:sz w:val="24"/>
          <w:szCs w:val="24"/>
          <w:lang w:eastAsia="ja-JP"/>
        </w:rPr>
        <w:t>d/</w:t>
      </w:r>
      <w:r w:rsidRPr="00AF0066">
        <w:rPr>
          <w:rFonts w:ascii="Arial" w:eastAsia="MS Mincho" w:hAnsi="Arial" w:cs="Arial"/>
          <w:bCs/>
          <w:snapToGrid w:val="0"/>
          <w:sz w:val="24"/>
          <w:szCs w:val="24"/>
          <w:lang w:eastAsia="ja-JP"/>
        </w:rPr>
        <w:t xml:space="preserve">refractory older patients, assessed more prolonged administration at two dose levels (240mg for 2 months </w:t>
      </w:r>
      <w:r w:rsidR="00036806" w:rsidRPr="00AF0066">
        <w:rPr>
          <w:rFonts w:ascii="Arial" w:eastAsia="MS Mincho" w:hAnsi="Arial" w:cs="Arial"/>
          <w:bCs/>
          <w:snapToGrid w:val="0"/>
          <w:sz w:val="24"/>
          <w:szCs w:val="24"/>
          <w:lang w:eastAsia="ja-JP"/>
        </w:rPr>
        <w:t>then 120mg for 4 months or</w:t>
      </w:r>
      <w:r w:rsidRPr="00AF0066">
        <w:rPr>
          <w:rFonts w:ascii="Arial" w:eastAsia="MS Mincho" w:hAnsi="Arial" w:cs="Arial"/>
          <w:bCs/>
          <w:snapToGrid w:val="0"/>
          <w:sz w:val="24"/>
          <w:szCs w:val="24"/>
          <w:lang w:eastAsia="ja-JP"/>
        </w:rPr>
        <w:t xml:space="preserve"> 120mg for 6 months). Initially 35 patients were allocated to each schedule which resulted in </w:t>
      </w:r>
      <w:r w:rsidR="00822E93">
        <w:rPr>
          <w:rFonts w:ascii="Arial" w:eastAsia="MS Mincho" w:hAnsi="Arial" w:cs="Arial"/>
          <w:bCs/>
          <w:snapToGrid w:val="0"/>
          <w:sz w:val="24"/>
          <w:szCs w:val="24"/>
          <w:lang w:eastAsia="ja-JP"/>
        </w:rPr>
        <w:t xml:space="preserve">an </w:t>
      </w:r>
      <w:r w:rsidRPr="00AF0066">
        <w:rPr>
          <w:rFonts w:ascii="Arial" w:eastAsia="MS Mincho" w:hAnsi="Arial" w:cs="Arial"/>
          <w:bCs/>
          <w:snapToGrid w:val="0"/>
          <w:sz w:val="24"/>
          <w:szCs w:val="24"/>
          <w:lang w:eastAsia="ja-JP"/>
        </w:rPr>
        <w:t xml:space="preserve">overall response rate (ORR) of 22%. From this study the dose for prolonged treatment emerged as 120mg once a day. </w:t>
      </w:r>
      <w:r w:rsidRPr="00AF0066">
        <w:rPr>
          <w:rFonts w:ascii="Arial" w:eastAsia="MS Mincho" w:hAnsi="Arial" w:cs="Arial"/>
          <w:bCs/>
          <w:snapToGrid w:val="0"/>
          <w:sz w:val="24"/>
          <w:szCs w:val="24"/>
          <w:lang w:eastAsia="ja-JP"/>
        </w:rPr>
        <w:lastRenderedPageBreak/>
        <w:t>Based on the pre-clinical evidence of synergy Mawad and colleagues</w:t>
      </w:r>
      <w:r w:rsidR="00526138" w:rsidRPr="00AF0066">
        <w:rPr>
          <w:rFonts w:ascii="Arial" w:eastAsia="MS Mincho" w:hAnsi="Arial" w:cs="Arial"/>
          <w:bCs/>
          <w:snapToGrid w:val="0"/>
          <w:sz w:val="24"/>
          <w:szCs w:val="24"/>
          <w:vertAlign w:val="superscript"/>
          <w:lang w:eastAsia="ja-JP"/>
        </w:rPr>
        <w:t>1</w:t>
      </w:r>
      <w:r w:rsidR="00945AD4">
        <w:rPr>
          <w:rFonts w:ascii="Arial" w:eastAsia="MS Mincho" w:hAnsi="Arial" w:cs="Arial"/>
          <w:bCs/>
          <w:snapToGrid w:val="0"/>
          <w:sz w:val="24"/>
          <w:szCs w:val="24"/>
          <w:vertAlign w:val="superscript"/>
          <w:lang w:eastAsia="ja-JP"/>
        </w:rPr>
        <w:t>4</w:t>
      </w:r>
      <w:r w:rsidRPr="00AF0066">
        <w:rPr>
          <w:rFonts w:ascii="Arial" w:eastAsia="MS Mincho" w:hAnsi="Arial" w:cs="Arial"/>
          <w:bCs/>
          <w:snapToGrid w:val="0"/>
          <w:sz w:val="24"/>
          <w:szCs w:val="24"/>
          <w:lang w:eastAsia="ja-JP"/>
        </w:rPr>
        <w:t xml:space="preserve">, in a phase 2 study which included 26 untreated older patients combined tosedostat (120mg) daily with conventional dose </w:t>
      </w:r>
      <w:r w:rsidR="00FF2D88" w:rsidRPr="00AF0066">
        <w:rPr>
          <w:rFonts w:ascii="Arial" w:eastAsia="MS Mincho" w:hAnsi="Arial" w:cs="Arial"/>
          <w:bCs/>
          <w:snapToGrid w:val="0"/>
          <w:sz w:val="24"/>
          <w:szCs w:val="24"/>
          <w:lang w:eastAsia="ja-JP"/>
        </w:rPr>
        <w:t>a</w:t>
      </w:r>
      <w:r w:rsidRPr="00AF0066">
        <w:rPr>
          <w:rFonts w:ascii="Arial" w:eastAsia="MS Mincho" w:hAnsi="Arial" w:cs="Arial"/>
          <w:bCs/>
          <w:snapToGrid w:val="0"/>
          <w:sz w:val="24"/>
          <w:szCs w:val="24"/>
          <w:lang w:eastAsia="ja-JP"/>
        </w:rPr>
        <w:t>ra-C (1g/m</w:t>
      </w:r>
      <w:r w:rsidRPr="00AF0066">
        <w:rPr>
          <w:rFonts w:ascii="Arial" w:eastAsia="MS Mincho" w:hAnsi="Arial" w:cs="Arial"/>
          <w:bCs/>
          <w:snapToGrid w:val="0"/>
          <w:sz w:val="24"/>
          <w:szCs w:val="24"/>
          <w:vertAlign w:val="superscript"/>
          <w:lang w:eastAsia="ja-JP"/>
        </w:rPr>
        <w:t>2</w:t>
      </w:r>
      <w:r w:rsidRPr="00AF0066">
        <w:rPr>
          <w:rFonts w:ascii="Arial" w:eastAsia="MS Mincho" w:hAnsi="Arial" w:cs="Arial"/>
          <w:bCs/>
          <w:snapToGrid w:val="0"/>
          <w:sz w:val="24"/>
          <w:szCs w:val="24"/>
          <w:lang w:eastAsia="ja-JP"/>
        </w:rPr>
        <w:t xml:space="preserve"> days 1-5) or decitibine (20mg/m</w:t>
      </w:r>
      <w:r w:rsidRPr="00AF0066">
        <w:rPr>
          <w:rFonts w:ascii="Arial" w:eastAsia="MS Mincho" w:hAnsi="Arial" w:cs="Arial"/>
          <w:bCs/>
          <w:snapToGrid w:val="0"/>
          <w:sz w:val="24"/>
          <w:szCs w:val="24"/>
          <w:vertAlign w:val="superscript"/>
          <w:lang w:eastAsia="ja-JP"/>
        </w:rPr>
        <w:t>2</w:t>
      </w:r>
      <w:r w:rsidRPr="00AF0066">
        <w:rPr>
          <w:rFonts w:ascii="Arial" w:eastAsia="MS Mincho" w:hAnsi="Arial" w:cs="Arial"/>
          <w:bCs/>
          <w:snapToGrid w:val="0"/>
          <w:sz w:val="24"/>
          <w:szCs w:val="24"/>
          <w:lang w:eastAsia="ja-JP"/>
        </w:rPr>
        <w:t xml:space="preserve">/days 1-5). A subsequent 8 patients received a higher tosedostat dose. </w:t>
      </w:r>
      <w:r w:rsidR="005012D5" w:rsidRPr="005012D5">
        <w:rPr>
          <w:rFonts w:ascii="Arial" w:eastAsia="MS Mincho" w:hAnsi="Arial" w:cs="Arial"/>
          <w:bCs/>
          <w:snapToGrid w:val="0"/>
          <w:sz w:val="24"/>
          <w:szCs w:val="24"/>
          <w:lang w:eastAsia="ja-JP"/>
        </w:rPr>
        <w:t>Complete remission (CR)/complete remission with incomplete recovery of counts (CRi)</w:t>
      </w:r>
      <w:r w:rsidRPr="00AF0066">
        <w:rPr>
          <w:rFonts w:ascii="Arial" w:eastAsia="MS Mincho" w:hAnsi="Arial" w:cs="Arial"/>
          <w:bCs/>
          <w:snapToGrid w:val="0"/>
          <w:sz w:val="24"/>
          <w:szCs w:val="24"/>
          <w:lang w:eastAsia="ja-JP"/>
        </w:rPr>
        <w:t xml:space="preserve"> CR/CRi was achieved in 53% and it was concluded that the 120mg dose was preferable. Finally V</w:t>
      </w:r>
      <w:r w:rsidR="00FF2D88" w:rsidRPr="00AF0066">
        <w:rPr>
          <w:rFonts w:ascii="Arial" w:eastAsia="MS Mincho" w:hAnsi="Arial" w:cs="Arial"/>
          <w:bCs/>
          <w:snapToGrid w:val="0"/>
          <w:sz w:val="24"/>
          <w:szCs w:val="24"/>
          <w:lang w:eastAsia="ja-JP"/>
        </w:rPr>
        <w:t>i</w:t>
      </w:r>
      <w:r w:rsidRPr="00AF0066">
        <w:rPr>
          <w:rFonts w:ascii="Arial" w:eastAsia="MS Mincho" w:hAnsi="Arial" w:cs="Arial"/>
          <w:bCs/>
          <w:snapToGrid w:val="0"/>
          <w:sz w:val="24"/>
          <w:szCs w:val="24"/>
          <w:lang w:eastAsia="ja-JP"/>
        </w:rPr>
        <w:t>sani and colleagues</w:t>
      </w:r>
      <w:r w:rsidR="00526138" w:rsidRPr="00AF0066">
        <w:rPr>
          <w:rFonts w:ascii="Arial" w:eastAsia="MS Mincho" w:hAnsi="Arial" w:cs="Arial"/>
          <w:bCs/>
          <w:snapToGrid w:val="0"/>
          <w:sz w:val="24"/>
          <w:szCs w:val="24"/>
          <w:vertAlign w:val="superscript"/>
          <w:lang w:eastAsia="ja-JP"/>
        </w:rPr>
        <w:t>1</w:t>
      </w:r>
      <w:r w:rsidR="00945AD4">
        <w:rPr>
          <w:rFonts w:ascii="Arial" w:eastAsia="MS Mincho" w:hAnsi="Arial" w:cs="Arial"/>
          <w:bCs/>
          <w:snapToGrid w:val="0"/>
          <w:sz w:val="24"/>
          <w:szCs w:val="24"/>
          <w:vertAlign w:val="superscript"/>
          <w:lang w:eastAsia="ja-JP"/>
        </w:rPr>
        <w:t>5</w:t>
      </w:r>
      <w:r w:rsidRPr="00AF0066">
        <w:rPr>
          <w:rFonts w:ascii="Arial" w:eastAsia="MS Mincho" w:hAnsi="Arial" w:cs="Arial"/>
          <w:bCs/>
          <w:snapToGrid w:val="0"/>
          <w:sz w:val="24"/>
          <w:szCs w:val="24"/>
          <w:lang w:eastAsia="ja-JP"/>
        </w:rPr>
        <w:t xml:space="preserve"> conducted an unrandomised phase II study on 33 older untreated patients with the </w:t>
      </w:r>
      <w:r w:rsidR="00FF2D88" w:rsidRPr="00AF0066">
        <w:rPr>
          <w:rFonts w:ascii="Arial" w:eastAsia="MS Mincho" w:hAnsi="Arial" w:cs="Arial"/>
          <w:bCs/>
          <w:snapToGrid w:val="0"/>
          <w:sz w:val="24"/>
          <w:szCs w:val="24"/>
          <w:lang w:eastAsia="ja-JP"/>
        </w:rPr>
        <w:t>LDA</w:t>
      </w:r>
      <w:r w:rsidRPr="00AF0066">
        <w:rPr>
          <w:rFonts w:ascii="Arial" w:eastAsia="MS Mincho" w:hAnsi="Arial" w:cs="Arial"/>
          <w:bCs/>
          <w:snapToGrid w:val="0"/>
          <w:sz w:val="24"/>
          <w:szCs w:val="24"/>
          <w:lang w:eastAsia="ja-JP"/>
        </w:rPr>
        <w:t>C and tosedostat combination and showed a CR/CRi rate of 54%, the majority of which were CRs. Of additional interest was that they suggested that those patients who achieved CR could be predicted with a 212 gene panel</w:t>
      </w:r>
      <w:r w:rsidR="00C002A7">
        <w:rPr>
          <w:rFonts w:ascii="Arial" w:eastAsia="MS Mincho" w:hAnsi="Arial" w:cs="Arial"/>
          <w:bCs/>
          <w:snapToGrid w:val="0"/>
          <w:sz w:val="24"/>
          <w:szCs w:val="24"/>
          <w:lang w:eastAsia="ja-JP"/>
        </w:rPr>
        <w:t>.</w:t>
      </w:r>
      <w:r w:rsidR="00C002A7" w:rsidRPr="00C002A7">
        <w:t xml:space="preserve"> </w:t>
      </w:r>
      <w:r w:rsidR="00C002A7" w:rsidRPr="00C002A7">
        <w:rPr>
          <w:rFonts w:ascii="Arial" w:eastAsia="MS Mincho" w:hAnsi="Arial" w:cs="Arial"/>
          <w:bCs/>
          <w:snapToGrid w:val="0"/>
          <w:sz w:val="24"/>
          <w:szCs w:val="24"/>
          <w:lang w:eastAsia="ja-JP"/>
        </w:rPr>
        <w:t>A microarray analysis performed in 29 of 33 patients identified 188 genes associated with clinical response (CR vs no CR). Three of them (CD93, GORASP1, CXCL16) were validated by quantitative polymerase chain reaction</w:t>
      </w:r>
      <w:r w:rsidR="00342955">
        <w:rPr>
          <w:rFonts w:ascii="Arial" w:eastAsia="MS Mincho" w:hAnsi="Arial" w:cs="Arial"/>
          <w:bCs/>
          <w:snapToGrid w:val="0"/>
          <w:sz w:val="24"/>
          <w:szCs w:val="24"/>
          <w:vertAlign w:val="superscript"/>
          <w:lang w:eastAsia="ja-JP"/>
        </w:rPr>
        <w:t>1</w:t>
      </w:r>
      <w:r w:rsidR="00945AD4">
        <w:rPr>
          <w:rFonts w:ascii="Arial" w:eastAsia="MS Mincho" w:hAnsi="Arial" w:cs="Arial"/>
          <w:bCs/>
          <w:snapToGrid w:val="0"/>
          <w:sz w:val="24"/>
          <w:szCs w:val="24"/>
          <w:vertAlign w:val="superscript"/>
          <w:lang w:eastAsia="ja-JP"/>
        </w:rPr>
        <w:t>6</w:t>
      </w:r>
      <w:r w:rsidRPr="00AF0066">
        <w:rPr>
          <w:rFonts w:ascii="Arial" w:eastAsia="MS Mincho" w:hAnsi="Arial" w:cs="Arial"/>
          <w:bCs/>
          <w:snapToGrid w:val="0"/>
          <w:sz w:val="24"/>
          <w:szCs w:val="24"/>
          <w:lang w:eastAsia="ja-JP"/>
        </w:rPr>
        <w:t xml:space="preserve">. </w:t>
      </w:r>
    </w:p>
    <w:p w14:paraId="20DF717C" w14:textId="474B003F" w:rsidR="00364AFB" w:rsidRPr="00AF0066" w:rsidRDefault="00954D0B" w:rsidP="00D11AD2">
      <w:pPr>
        <w:spacing w:line="480" w:lineRule="auto"/>
        <w:jc w:val="both"/>
      </w:pPr>
      <w:r w:rsidRPr="00AF0066">
        <w:rPr>
          <w:rFonts w:ascii="Arial" w:eastAsia="MS Mincho" w:hAnsi="Arial" w:cs="Arial"/>
          <w:bCs/>
          <w:snapToGrid w:val="0"/>
          <w:sz w:val="24"/>
          <w:szCs w:val="24"/>
          <w:lang w:val="en-US" w:eastAsia="ja-JP"/>
        </w:rPr>
        <w:t xml:space="preserve">This potential improvement in efficacy and tolerability suggested that it may be especially relevant in the management of older patients who frequently have resistant disease and tolerate traditional therapies poorly. We therefore investigated whether tosedostat combined with LDAC was superior to LDAC alone as first line therapy for older patients with AML who were not considered fit for intensive therapy. </w:t>
      </w:r>
    </w:p>
    <w:p w14:paraId="371163E9" w14:textId="77777777" w:rsidR="004C7011" w:rsidRPr="00AF0066" w:rsidRDefault="004C7011" w:rsidP="00D11AD2">
      <w:pPr>
        <w:spacing w:line="480" w:lineRule="auto"/>
        <w:rPr>
          <w:rFonts w:ascii="Arial" w:hAnsi="Arial" w:cs="Arial"/>
          <w:b/>
          <w:sz w:val="24"/>
          <w:szCs w:val="24"/>
        </w:rPr>
      </w:pPr>
      <w:r w:rsidRPr="00AF0066">
        <w:rPr>
          <w:rFonts w:ascii="Arial" w:hAnsi="Arial" w:cs="Arial"/>
          <w:b/>
          <w:sz w:val="24"/>
          <w:szCs w:val="24"/>
        </w:rPr>
        <w:t>Methods.</w:t>
      </w:r>
    </w:p>
    <w:p w14:paraId="3132AE86" w14:textId="52EBE935" w:rsidR="00364AFB" w:rsidRPr="00AF0066" w:rsidRDefault="00364AFB" w:rsidP="00D11AD2">
      <w:pPr>
        <w:spacing w:line="480" w:lineRule="auto"/>
        <w:jc w:val="both"/>
        <w:rPr>
          <w:rFonts w:ascii="Arial" w:hAnsi="Arial" w:cs="Arial"/>
          <w:sz w:val="24"/>
          <w:szCs w:val="24"/>
        </w:rPr>
      </w:pPr>
      <w:r w:rsidRPr="00AF0066">
        <w:rPr>
          <w:rFonts w:ascii="Arial" w:hAnsi="Arial" w:cs="Arial"/>
          <w:sz w:val="24"/>
          <w:szCs w:val="24"/>
        </w:rPr>
        <w:t>This evaluation of tosedostat was a component of our “Pick a Winner” trial strategy</w:t>
      </w:r>
      <w:r w:rsidRPr="00AF0066">
        <w:rPr>
          <w:rFonts w:ascii="Arial" w:hAnsi="Arial" w:cs="Arial"/>
          <w:sz w:val="24"/>
          <w:szCs w:val="24"/>
          <w:vertAlign w:val="superscript"/>
        </w:rPr>
        <w:t xml:space="preserve"> </w:t>
      </w:r>
      <w:r w:rsidRPr="00AF0066">
        <w:rPr>
          <w:rFonts w:ascii="Arial" w:hAnsi="Arial" w:cs="Arial"/>
          <w:sz w:val="24"/>
          <w:szCs w:val="24"/>
        </w:rPr>
        <w:t>in the LI-1 trial (</w:t>
      </w:r>
      <w:r w:rsidRPr="00AF0066">
        <w:rPr>
          <w:rFonts w:ascii="Arial" w:hAnsi="Arial" w:cs="Arial"/>
          <w:sz w:val="24"/>
          <w:szCs w:val="24"/>
          <w:shd w:val="clear" w:color="auto" w:fill="FFFFFF"/>
        </w:rPr>
        <w:t>ISRCTN40571019</w:t>
      </w:r>
      <w:r w:rsidRPr="00AF0066">
        <w:rPr>
          <w:rFonts w:ascii="Arial" w:hAnsi="Arial" w:cs="Arial"/>
          <w:sz w:val="24"/>
          <w:szCs w:val="24"/>
        </w:rPr>
        <w:t xml:space="preserve">) where </w:t>
      </w:r>
      <w:r w:rsidR="00822E93">
        <w:rPr>
          <w:rFonts w:ascii="Arial" w:hAnsi="Arial" w:cs="Arial"/>
          <w:sz w:val="24"/>
          <w:szCs w:val="24"/>
        </w:rPr>
        <w:t>patients are randomis</w:t>
      </w:r>
      <w:r w:rsidRPr="00AF0066">
        <w:rPr>
          <w:rFonts w:ascii="Arial" w:hAnsi="Arial" w:cs="Arial"/>
          <w:sz w:val="24"/>
          <w:szCs w:val="24"/>
        </w:rPr>
        <w:t>ed between a control arm (LDAC) and one of a number of experimental options</w:t>
      </w:r>
      <w:r w:rsidR="00342955">
        <w:rPr>
          <w:rFonts w:ascii="Arial" w:hAnsi="Arial" w:cs="Arial"/>
          <w:sz w:val="24"/>
          <w:szCs w:val="24"/>
          <w:vertAlign w:val="superscript"/>
        </w:rPr>
        <w:t>1</w:t>
      </w:r>
      <w:r w:rsidR="00945AD4">
        <w:rPr>
          <w:rFonts w:ascii="Arial" w:hAnsi="Arial" w:cs="Arial"/>
          <w:sz w:val="24"/>
          <w:szCs w:val="24"/>
          <w:vertAlign w:val="superscript"/>
        </w:rPr>
        <w:t>7</w:t>
      </w:r>
      <w:r w:rsidRPr="00AF0066">
        <w:rPr>
          <w:rFonts w:ascii="Arial" w:hAnsi="Arial" w:cs="Arial"/>
          <w:sz w:val="24"/>
          <w:szCs w:val="24"/>
        </w:rPr>
        <w:t xml:space="preserve">. The comparison is </w:t>
      </w:r>
      <w:r w:rsidR="00EC6734" w:rsidRPr="00AF0066">
        <w:rPr>
          <w:rFonts w:ascii="Arial" w:hAnsi="Arial" w:cs="Arial"/>
          <w:sz w:val="24"/>
          <w:szCs w:val="24"/>
        </w:rPr>
        <w:t xml:space="preserve">only </w:t>
      </w:r>
      <w:r w:rsidRPr="00AF0066">
        <w:rPr>
          <w:rFonts w:ascii="Arial" w:hAnsi="Arial" w:cs="Arial"/>
          <w:sz w:val="24"/>
          <w:szCs w:val="24"/>
        </w:rPr>
        <w:t>between each experiment</w:t>
      </w:r>
      <w:r w:rsidR="00EC6734" w:rsidRPr="00AF0066">
        <w:rPr>
          <w:rFonts w:ascii="Arial" w:hAnsi="Arial" w:cs="Arial"/>
          <w:sz w:val="24"/>
          <w:szCs w:val="24"/>
        </w:rPr>
        <w:t>a</w:t>
      </w:r>
      <w:r w:rsidRPr="00AF0066">
        <w:rPr>
          <w:rFonts w:ascii="Arial" w:hAnsi="Arial" w:cs="Arial"/>
          <w:sz w:val="24"/>
          <w:szCs w:val="24"/>
        </w:rPr>
        <w:t>l option and LDAC, and not between the experimental options. Patients allocated to LDAC only act as controls to patients who have</w:t>
      </w:r>
      <w:r w:rsidR="00822E93">
        <w:rPr>
          <w:rFonts w:ascii="Arial" w:hAnsi="Arial" w:cs="Arial"/>
          <w:sz w:val="24"/>
          <w:szCs w:val="24"/>
        </w:rPr>
        <w:t xml:space="preserve"> been contemporaneously randomis</w:t>
      </w:r>
      <w:r w:rsidRPr="00AF0066">
        <w:rPr>
          <w:rFonts w:ascii="Arial" w:hAnsi="Arial" w:cs="Arial"/>
          <w:sz w:val="24"/>
          <w:szCs w:val="24"/>
        </w:rPr>
        <w:t xml:space="preserve">ed to an experimental arm. </w:t>
      </w:r>
    </w:p>
    <w:p w14:paraId="005E0C19" w14:textId="27CDBA10" w:rsidR="00986120" w:rsidRPr="00AF0066" w:rsidRDefault="00986120" w:rsidP="00D11AD2">
      <w:pPr>
        <w:spacing w:line="480" w:lineRule="auto"/>
        <w:jc w:val="both"/>
        <w:rPr>
          <w:rFonts w:ascii="Arial" w:hAnsi="Arial" w:cs="Arial"/>
          <w:sz w:val="24"/>
          <w:szCs w:val="24"/>
        </w:rPr>
      </w:pPr>
      <w:r w:rsidRPr="00AF0066">
        <w:rPr>
          <w:rFonts w:ascii="Arial" w:hAnsi="Arial" w:cs="Arial"/>
          <w:sz w:val="24"/>
          <w:szCs w:val="24"/>
        </w:rPr>
        <w:lastRenderedPageBreak/>
        <w:t xml:space="preserve">Patients were eligible if they had de novo </w:t>
      </w:r>
      <w:r w:rsidR="00480E98" w:rsidRPr="00AF0066">
        <w:rPr>
          <w:rFonts w:ascii="Arial" w:hAnsi="Arial" w:cs="Arial"/>
          <w:sz w:val="24"/>
          <w:szCs w:val="24"/>
        </w:rPr>
        <w:t xml:space="preserve">or </w:t>
      </w:r>
      <w:r w:rsidRPr="00AF0066">
        <w:rPr>
          <w:rFonts w:ascii="Arial" w:hAnsi="Arial" w:cs="Arial"/>
          <w:sz w:val="24"/>
          <w:szCs w:val="24"/>
        </w:rPr>
        <w:t xml:space="preserve">secondary AML </w:t>
      </w:r>
      <w:r w:rsidR="00480E98" w:rsidRPr="00AF0066">
        <w:rPr>
          <w:rFonts w:ascii="Arial" w:hAnsi="Arial" w:cs="Arial"/>
          <w:sz w:val="24"/>
          <w:szCs w:val="24"/>
        </w:rPr>
        <w:t xml:space="preserve">or </w:t>
      </w:r>
      <w:r w:rsidRPr="00AF0066">
        <w:rPr>
          <w:rFonts w:ascii="Arial" w:hAnsi="Arial" w:cs="Arial"/>
          <w:sz w:val="24"/>
          <w:szCs w:val="24"/>
        </w:rPr>
        <w:t>high risk myelodysplastic syndrome (MDS), defined as &gt;10% marrow blasts</w:t>
      </w:r>
      <w:r w:rsidR="00601A91" w:rsidRPr="00AF0066">
        <w:rPr>
          <w:rFonts w:ascii="Arial" w:hAnsi="Arial" w:cs="Arial"/>
          <w:sz w:val="24"/>
          <w:szCs w:val="24"/>
        </w:rPr>
        <w:t>, and were older than 60 years and considered unfit for intensive chemotherapy</w:t>
      </w:r>
      <w:r w:rsidRPr="00AF0066">
        <w:rPr>
          <w:rFonts w:ascii="Arial" w:hAnsi="Arial" w:cs="Arial"/>
          <w:sz w:val="24"/>
          <w:szCs w:val="24"/>
        </w:rPr>
        <w:t>.</w:t>
      </w:r>
      <w:r w:rsidR="00601A91" w:rsidRPr="00AF0066">
        <w:rPr>
          <w:rFonts w:ascii="Arial" w:hAnsi="Arial" w:cs="Arial"/>
          <w:sz w:val="24"/>
          <w:szCs w:val="24"/>
        </w:rPr>
        <w:t xml:space="preserve"> “</w:t>
      </w:r>
      <w:r w:rsidR="004C7011" w:rsidRPr="00AF0066">
        <w:rPr>
          <w:rFonts w:ascii="Arial" w:hAnsi="Arial" w:cs="Arial"/>
          <w:sz w:val="24"/>
          <w:szCs w:val="24"/>
        </w:rPr>
        <w:t>U</w:t>
      </w:r>
      <w:r w:rsidR="00601A91" w:rsidRPr="00AF0066">
        <w:rPr>
          <w:rFonts w:ascii="Arial" w:hAnsi="Arial" w:cs="Arial"/>
          <w:sz w:val="24"/>
          <w:szCs w:val="24"/>
        </w:rPr>
        <w:t xml:space="preserve">nfitness” was </w:t>
      </w:r>
      <w:r w:rsidR="002B1948">
        <w:rPr>
          <w:rFonts w:ascii="Arial" w:hAnsi="Arial" w:cs="Arial"/>
          <w:sz w:val="24"/>
          <w:szCs w:val="24"/>
        </w:rPr>
        <w:t xml:space="preserve">determined by the investigator/attending clinician- not specifically protocol defined and </w:t>
      </w:r>
      <w:r w:rsidR="00601A91" w:rsidRPr="00AF0066">
        <w:rPr>
          <w:rFonts w:ascii="Arial" w:hAnsi="Arial" w:cs="Arial"/>
          <w:sz w:val="24"/>
          <w:szCs w:val="24"/>
        </w:rPr>
        <w:t>documented by collection of co-morbidity using components of the Sorror index</w:t>
      </w:r>
      <w:r w:rsidR="00342955">
        <w:rPr>
          <w:rFonts w:ascii="Arial" w:hAnsi="Arial" w:cs="Arial"/>
          <w:sz w:val="24"/>
          <w:szCs w:val="24"/>
          <w:vertAlign w:val="superscript"/>
        </w:rPr>
        <w:t>1</w:t>
      </w:r>
      <w:r w:rsidR="00945AD4">
        <w:rPr>
          <w:rFonts w:ascii="Arial" w:hAnsi="Arial" w:cs="Arial"/>
          <w:sz w:val="24"/>
          <w:szCs w:val="24"/>
          <w:vertAlign w:val="superscript"/>
        </w:rPr>
        <w:t>8</w:t>
      </w:r>
      <w:r w:rsidR="00026271">
        <w:rPr>
          <w:rFonts w:ascii="Arial" w:hAnsi="Arial" w:cs="Arial"/>
          <w:sz w:val="24"/>
          <w:szCs w:val="24"/>
        </w:rPr>
        <w:t>. P</w:t>
      </w:r>
      <w:r w:rsidR="00026271" w:rsidRPr="00026271">
        <w:rPr>
          <w:rFonts w:ascii="Arial" w:hAnsi="Arial" w:cs="Arial"/>
          <w:sz w:val="24"/>
          <w:szCs w:val="24"/>
        </w:rPr>
        <w:t xml:space="preserve">atients with </w:t>
      </w:r>
      <w:r w:rsidR="003B62C1">
        <w:rPr>
          <w:rFonts w:ascii="Arial" w:hAnsi="Arial" w:cs="Arial"/>
          <w:sz w:val="24"/>
          <w:szCs w:val="24"/>
        </w:rPr>
        <w:t xml:space="preserve">a </w:t>
      </w:r>
      <w:r w:rsidR="00026271" w:rsidRPr="00026271">
        <w:rPr>
          <w:rFonts w:ascii="Arial" w:hAnsi="Arial" w:cs="Arial"/>
          <w:sz w:val="24"/>
          <w:szCs w:val="24"/>
        </w:rPr>
        <w:t>prior</w:t>
      </w:r>
      <w:r w:rsidR="003B62C1">
        <w:rPr>
          <w:rFonts w:ascii="Arial" w:hAnsi="Arial" w:cs="Arial"/>
          <w:sz w:val="24"/>
          <w:szCs w:val="24"/>
        </w:rPr>
        <w:t xml:space="preserve"> diagnosis of</w:t>
      </w:r>
      <w:r w:rsidR="00026271" w:rsidRPr="00026271">
        <w:rPr>
          <w:rFonts w:ascii="Arial" w:hAnsi="Arial" w:cs="Arial"/>
          <w:sz w:val="24"/>
          <w:szCs w:val="24"/>
        </w:rPr>
        <w:t xml:space="preserve"> MDS</w:t>
      </w:r>
      <w:r w:rsidR="00026271">
        <w:rPr>
          <w:rFonts w:ascii="Arial" w:hAnsi="Arial" w:cs="Arial"/>
          <w:sz w:val="24"/>
          <w:szCs w:val="24"/>
        </w:rPr>
        <w:t xml:space="preserve"> (&gt;10% blasts, RAEB 2) who</w:t>
      </w:r>
      <w:r w:rsidR="003B62C1">
        <w:rPr>
          <w:rFonts w:ascii="Arial" w:hAnsi="Arial" w:cs="Arial"/>
          <w:sz w:val="24"/>
          <w:szCs w:val="24"/>
        </w:rPr>
        <w:t xml:space="preserve"> had</w:t>
      </w:r>
      <w:r w:rsidR="00026271">
        <w:rPr>
          <w:rFonts w:ascii="Arial" w:hAnsi="Arial" w:cs="Arial"/>
          <w:sz w:val="24"/>
          <w:szCs w:val="24"/>
        </w:rPr>
        <w:t xml:space="preserve"> received azacitidine were not eligible</w:t>
      </w:r>
      <w:r w:rsidR="00026271" w:rsidRPr="00026271">
        <w:rPr>
          <w:rFonts w:ascii="Arial" w:hAnsi="Arial" w:cs="Arial"/>
          <w:sz w:val="24"/>
          <w:szCs w:val="24"/>
        </w:rPr>
        <w:t xml:space="preserve">, but patients with </w:t>
      </w:r>
      <w:r w:rsidR="003B62C1">
        <w:rPr>
          <w:rFonts w:ascii="Arial" w:hAnsi="Arial" w:cs="Arial"/>
          <w:sz w:val="24"/>
          <w:szCs w:val="24"/>
        </w:rPr>
        <w:t xml:space="preserve">a prior diagnosis of MDS with </w:t>
      </w:r>
      <w:r w:rsidR="00026271" w:rsidRPr="00026271">
        <w:rPr>
          <w:rFonts w:ascii="Arial" w:hAnsi="Arial" w:cs="Arial"/>
          <w:sz w:val="24"/>
          <w:szCs w:val="24"/>
        </w:rPr>
        <w:t xml:space="preserve">&lt;10% </w:t>
      </w:r>
      <w:r w:rsidR="003B62C1">
        <w:rPr>
          <w:rFonts w:ascii="Arial" w:hAnsi="Arial" w:cs="Arial"/>
          <w:sz w:val="24"/>
          <w:szCs w:val="24"/>
        </w:rPr>
        <w:t xml:space="preserve">blasts </w:t>
      </w:r>
      <w:r w:rsidR="00026271" w:rsidRPr="00026271">
        <w:rPr>
          <w:rFonts w:ascii="Arial" w:hAnsi="Arial" w:cs="Arial"/>
          <w:sz w:val="24"/>
          <w:szCs w:val="24"/>
        </w:rPr>
        <w:t xml:space="preserve">who have failed a demethylation agent and </w:t>
      </w:r>
      <w:r w:rsidR="003B62C1">
        <w:rPr>
          <w:rFonts w:ascii="Arial" w:hAnsi="Arial" w:cs="Arial"/>
          <w:sz w:val="24"/>
          <w:szCs w:val="24"/>
        </w:rPr>
        <w:t xml:space="preserve">then </w:t>
      </w:r>
      <w:r w:rsidR="00026271" w:rsidRPr="00026271">
        <w:rPr>
          <w:rFonts w:ascii="Arial" w:hAnsi="Arial" w:cs="Arial"/>
          <w:sz w:val="24"/>
          <w:szCs w:val="24"/>
        </w:rPr>
        <w:t>d</w:t>
      </w:r>
      <w:r w:rsidR="00026271">
        <w:rPr>
          <w:rFonts w:ascii="Arial" w:hAnsi="Arial" w:cs="Arial"/>
          <w:sz w:val="24"/>
          <w:szCs w:val="24"/>
        </w:rPr>
        <w:t>eveloped AML were</w:t>
      </w:r>
      <w:r w:rsidR="00026271" w:rsidRPr="00026271">
        <w:rPr>
          <w:rFonts w:ascii="Arial" w:hAnsi="Arial" w:cs="Arial"/>
          <w:sz w:val="24"/>
          <w:szCs w:val="24"/>
        </w:rPr>
        <w:t>.</w:t>
      </w:r>
      <w:r w:rsidR="00026271">
        <w:rPr>
          <w:rFonts w:ascii="Arial" w:hAnsi="Arial" w:cs="Arial"/>
          <w:sz w:val="24"/>
          <w:szCs w:val="24"/>
        </w:rPr>
        <w:t xml:space="preserve"> Patients</w:t>
      </w:r>
      <w:r w:rsidR="00822E93">
        <w:rPr>
          <w:rFonts w:ascii="Arial" w:hAnsi="Arial" w:cs="Arial"/>
          <w:sz w:val="24"/>
          <w:szCs w:val="24"/>
        </w:rPr>
        <w:t xml:space="preserve"> were categoris</w:t>
      </w:r>
      <w:r w:rsidR="00601A91" w:rsidRPr="00AF0066">
        <w:rPr>
          <w:rFonts w:ascii="Arial" w:hAnsi="Arial" w:cs="Arial"/>
          <w:sz w:val="24"/>
          <w:szCs w:val="24"/>
        </w:rPr>
        <w:t xml:space="preserve">ed </w:t>
      </w:r>
      <w:r w:rsidR="004C7011" w:rsidRPr="00AF0066">
        <w:rPr>
          <w:rFonts w:ascii="Arial" w:hAnsi="Arial" w:cs="Arial"/>
          <w:sz w:val="24"/>
          <w:szCs w:val="24"/>
        </w:rPr>
        <w:t xml:space="preserve">for response and survival </w:t>
      </w:r>
      <w:r w:rsidR="00601A91" w:rsidRPr="00AF0066">
        <w:rPr>
          <w:rFonts w:ascii="Arial" w:hAnsi="Arial" w:cs="Arial"/>
          <w:sz w:val="24"/>
          <w:szCs w:val="24"/>
        </w:rPr>
        <w:t>using the validated multi-parameter Wheatley risk score</w:t>
      </w:r>
      <w:r w:rsidR="00601A91" w:rsidRPr="00AF0066">
        <w:rPr>
          <w:rFonts w:ascii="Arial" w:hAnsi="Arial" w:cs="Arial"/>
          <w:sz w:val="24"/>
          <w:szCs w:val="24"/>
          <w:vertAlign w:val="superscript"/>
        </w:rPr>
        <w:t>1</w:t>
      </w:r>
      <w:r w:rsidR="00945AD4">
        <w:rPr>
          <w:rFonts w:ascii="Arial" w:hAnsi="Arial" w:cs="Arial"/>
          <w:sz w:val="24"/>
          <w:szCs w:val="24"/>
          <w:vertAlign w:val="superscript"/>
        </w:rPr>
        <w:t>9</w:t>
      </w:r>
      <w:r w:rsidR="00601A91" w:rsidRPr="00AF0066">
        <w:rPr>
          <w:rFonts w:ascii="Arial" w:hAnsi="Arial" w:cs="Arial"/>
          <w:sz w:val="24"/>
          <w:szCs w:val="24"/>
        </w:rPr>
        <w:t xml:space="preserve"> which predicted survival based on age, performance status, cytogenetics, and de novo or secondary disease. This score has been prospectively validated in older patients treated both </w:t>
      </w:r>
      <w:r w:rsidR="00EC6734" w:rsidRPr="00AF0066">
        <w:rPr>
          <w:rFonts w:ascii="Arial" w:hAnsi="Arial" w:cs="Arial"/>
          <w:sz w:val="24"/>
          <w:szCs w:val="24"/>
        </w:rPr>
        <w:t xml:space="preserve">non-intensively with LDAC and with </w:t>
      </w:r>
      <w:r w:rsidR="00601A91" w:rsidRPr="00AF0066">
        <w:rPr>
          <w:rFonts w:ascii="Arial" w:hAnsi="Arial" w:cs="Arial"/>
          <w:sz w:val="24"/>
          <w:szCs w:val="24"/>
        </w:rPr>
        <w:t>intensive</w:t>
      </w:r>
      <w:r w:rsidR="00EC6734" w:rsidRPr="00AF0066">
        <w:rPr>
          <w:rFonts w:ascii="Arial" w:hAnsi="Arial" w:cs="Arial"/>
          <w:sz w:val="24"/>
          <w:szCs w:val="24"/>
        </w:rPr>
        <w:t xml:space="preserve"> chemotherapy.</w:t>
      </w:r>
      <w:r w:rsidR="00601A91" w:rsidRPr="00AF0066">
        <w:rPr>
          <w:rFonts w:ascii="Arial" w:hAnsi="Arial" w:cs="Arial"/>
          <w:sz w:val="24"/>
          <w:szCs w:val="24"/>
        </w:rPr>
        <w:t xml:space="preserve"> </w:t>
      </w:r>
      <w:r w:rsidRPr="00AF0066">
        <w:rPr>
          <w:rFonts w:ascii="Arial" w:hAnsi="Arial" w:cs="Arial"/>
          <w:sz w:val="24"/>
          <w:szCs w:val="24"/>
        </w:rPr>
        <w:t>Diagnosis and response definitions described below were designated by the local investigator. Cytogenetic</w:t>
      </w:r>
      <w:r w:rsidR="00EC6734" w:rsidRPr="00AF0066">
        <w:rPr>
          <w:rFonts w:ascii="Arial" w:hAnsi="Arial" w:cs="Arial"/>
          <w:sz w:val="24"/>
          <w:szCs w:val="24"/>
        </w:rPr>
        <w:t>s</w:t>
      </w:r>
      <w:r w:rsidRPr="00AF0066">
        <w:rPr>
          <w:rFonts w:ascii="Arial" w:hAnsi="Arial" w:cs="Arial"/>
          <w:sz w:val="24"/>
          <w:szCs w:val="24"/>
        </w:rPr>
        <w:t xml:space="preserve"> (a minimum of 20 metaphases) and immunophenotypic characterization were carried out in reg</w:t>
      </w:r>
      <w:r w:rsidR="00822E93">
        <w:rPr>
          <w:rFonts w:ascii="Arial" w:hAnsi="Arial" w:cs="Arial"/>
          <w:sz w:val="24"/>
          <w:szCs w:val="24"/>
        </w:rPr>
        <w:t>ional reference laboratories which</w:t>
      </w:r>
      <w:r w:rsidRPr="00AF0066">
        <w:rPr>
          <w:rFonts w:ascii="Arial" w:hAnsi="Arial" w:cs="Arial"/>
          <w:sz w:val="24"/>
          <w:szCs w:val="24"/>
        </w:rPr>
        <w:t xml:space="preserve"> participate in national quality assurance schemes. </w:t>
      </w:r>
    </w:p>
    <w:p w14:paraId="3302BE26" w14:textId="3095B776" w:rsidR="00986120" w:rsidRPr="00AF0066" w:rsidRDefault="00601A91" w:rsidP="00D11AD2">
      <w:pPr>
        <w:spacing w:line="480" w:lineRule="auto"/>
        <w:jc w:val="both"/>
        <w:rPr>
          <w:rFonts w:ascii="Arial" w:hAnsi="Arial" w:cs="Arial"/>
          <w:sz w:val="24"/>
          <w:szCs w:val="24"/>
        </w:rPr>
      </w:pPr>
      <w:r w:rsidRPr="00AF0066">
        <w:rPr>
          <w:rFonts w:ascii="Arial" w:hAnsi="Arial" w:cs="Arial"/>
          <w:sz w:val="24"/>
          <w:szCs w:val="24"/>
        </w:rPr>
        <w:t xml:space="preserve">In this study patients were randomised 1:1 to LDAC or LDAC </w:t>
      </w:r>
      <w:r w:rsidR="000051E4" w:rsidRPr="00AF0066">
        <w:rPr>
          <w:rFonts w:ascii="Arial" w:hAnsi="Arial" w:cs="Arial"/>
          <w:sz w:val="24"/>
          <w:szCs w:val="24"/>
        </w:rPr>
        <w:t>combined with tosedostat</w:t>
      </w:r>
      <w:r w:rsidR="003C4FAE" w:rsidRPr="00AF0066">
        <w:rPr>
          <w:rFonts w:ascii="Arial" w:hAnsi="Arial" w:cs="Arial"/>
          <w:sz w:val="24"/>
          <w:szCs w:val="24"/>
        </w:rPr>
        <w:t xml:space="preserve"> (LDAC-T)</w:t>
      </w:r>
      <w:r w:rsidR="000051E4" w:rsidRPr="00AF0066">
        <w:rPr>
          <w:rFonts w:ascii="Arial" w:hAnsi="Arial" w:cs="Arial"/>
          <w:sz w:val="24"/>
          <w:szCs w:val="24"/>
        </w:rPr>
        <w:t>.</w:t>
      </w:r>
      <w:r w:rsidRPr="00AF0066">
        <w:rPr>
          <w:rFonts w:ascii="Arial" w:hAnsi="Arial" w:cs="Arial"/>
          <w:sz w:val="24"/>
          <w:szCs w:val="24"/>
        </w:rPr>
        <w:t xml:space="preserve"> LDAC treatment comprised Ara-C 20mg twice a day for 10 days by subcutaneous injection for 4 courses </w:t>
      </w:r>
      <w:r w:rsidR="000051E4" w:rsidRPr="00AF0066">
        <w:rPr>
          <w:rFonts w:ascii="Arial" w:hAnsi="Arial" w:cs="Arial"/>
          <w:sz w:val="24"/>
          <w:szCs w:val="24"/>
        </w:rPr>
        <w:t xml:space="preserve">given at </w:t>
      </w:r>
      <w:r w:rsidRPr="00AF0066">
        <w:rPr>
          <w:rFonts w:ascii="Arial" w:hAnsi="Arial" w:cs="Arial"/>
          <w:sz w:val="24"/>
          <w:szCs w:val="24"/>
        </w:rPr>
        <w:t xml:space="preserve">4 to 6 weeks </w:t>
      </w:r>
      <w:r w:rsidR="000051E4" w:rsidRPr="00AF0066">
        <w:rPr>
          <w:rFonts w:ascii="Arial" w:hAnsi="Arial" w:cs="Arial"/>
          <w:sz w:val="24"/>
          <w:szCs w:val="24"/>
        </w:rPr>
        <w:t>intervals</w:t>
      </w:r>
      <w:r w:rsidR="0059433E">
        <w:rPr>
          <w:rFonts w:ascii="Arial" w:hAnsi="Arial" w:cs="Arial"/>
          <w:sz w:val="24"/>
          <w:szCs w:val="24"/>
        </w:rPr>
        <w:t xml:space="preserve"> (there was no placebo)</w:t>
      </w:r>
      <w:r w:rsidR="000051E4" w:rsidRPr="00AF0066">
        <w:rPr>
          <w:rFonts w:ascii="Arial" w:hAnsi="Arial" w:cs="Arial"/>
          <w:sz w:val="24"/>
          <w:szCs w:val="24"/>
        </w:rPr>
        <w:t>. Tosedostat was given orally at 120mg once a day</w:t>
      </w:r>
      <w:r w:rsidR="003A0157" w:rsidRPr="00AF0066">
        <w:rPr>
          <w:rFonts w:ascii="Arial" w:hAnsi="Arial" w:cs="Arial"/>
          <w:sz w:val="24"/>
          <w:szCs w:val="24"/>
        </w:rPr>
        <w:t xml:space="preserve"> continuously</w:t>
      </w:r>
      <w:r w:rsidR="000051E4" w:rsidRPr="00AF0066">
        <w:rPr>
          <w:rFonts w:ascii="Arial" w:hAnsi="Arial" w:cs="Arial"/>
          <w:sz w:val="24"/>
          <w:szCs w:val="24"/>
        </w:rPr>
        <w:t xml:space="preserve"> for up to 6 months</w:t>
      </w:r>
      <w:r w:rsidR="00480E98" w:rsidRPr="00AF0066">
        <w:rPr>
          <w:rFonts w:ascii="Arial" w:hAnsi="Arial" w:cs="Arial"/>
          <w:sz w:val="24"/>
          <w:szCs w:val="24"/>
        </w:rPr>
        <w:t>.</w:t>
      </w:r>
      <w:r w:rsidR="000051E4" w:rsidRPr="00AF0066">
        <w:rPr>
          <w:rFonts w:ascii="Arial" w:hAnsi="Arial" w:cs="Arial"/>
          <w:sz w:val="24"/>
          <w:szCs w:val="24"/>
        </w:rPr>
        <w:t xml:space="preserve"> </w:t>
      </w:r>
      <w:r w:rsidRPr="00AF0066">
        <w:rPr>
          <w:rFonts w:ascii="Arial" w:hAnsi="Arial" w:cs="Arial"/>
          <w:sz w:val="24"/>
          <w:szCs w:val="24"/>
        </w:rPr>
        <w:t>Patients who were considered to be benefiting</w:t>
      </w:r>
      <w:r w:rsidR="00480E98" w:rsidRPr="00AF0066">
        <w:rPr>
          <w:rFonts w:ascii="Arial" w:hAnsi="Arial" w:cs="Arial"/>
          <w:sz w:val="24"/>
          <w:szCs w:val="24"/>
        </w:rPr>
        <w:t>,</w:t>
      </w:r>
      <w:r w:rsidRPr="00AF0066">
        <w:rPr>
          <w:rFonts w:ascii="Arial" w:hAnsi="Arial" w:cs="Arial"/>
          <w:sz w:val="24"/>
          <w:szCs w:val="24"/>
        </w:rPr>
        <w:t xml:space="preserve"> by demonstrating stable disease or continuing response, were permitted to</w:t>
      </w:r>
      <w:r w:rsidR="00D54083" w:rsidRPr="00AF0066">
        <w:rPr>
          <w:rFonts w:ascii="Arial" w:hAnsi="Arial" w:cs="Arial"/>
          <w:sz w:val="24"/>
          <w:szCs w:val="24"/>
        </w:rPr>
        <w:t xml:space="preserve"> continue on</w:t>
      </w:r>
      <w:r w:rsidRPr="00AF0066">
        <w:rPr>
          <w:rFonts w:ascii="Arial" w:hAnsi="Arial" w:cs="Arial"/>
          <w:sz w:val="24"/>
          <w:szCs w:val="24"/>
        </w:rPr>
        <w:t xml:space="preserve"> </w:t>
      </w:r>
      <w:r w:rsidR="000051E4" w:rsidRPr="00AF0066">
        <w:rPr>
          <w:rFonts w:ascii="Arial" w:hAnsi="Arial" w:cs="Arial"/>
          <w:sz w:val="24"/>
          <w:szCs w:val="24"/>
        </w:rPr>
        <w:t>their allocated treatment</w:t>
      </w:r>
      <w:r w:rsidRPr="00AF0066">
        <w:rPr>
          <w:rFonts w:ascii="Arial" w:hAnsi="Arial" w:cs="Arial"/>
          <w:sz w:val="24"/>
          <w:szCs w:val="24"/>
        </w:rPr>
        <w:t>.</w:t>
      </w:r>
    </w:p>
    <w:p w14:paraId="0B4591F3" w14:textId="7CEB0FAB" w:rsidR="00986120" w:rsidRPr="00AF0066" w:rsidRDefault="00986120" w:rsidP="00D11AD2">
      <w:pPr>
        <w:spacing w:line="480" w:lineRule="auto"/>
        <w:jc w:val="both"/>
        <w:rPr>
          <w:rFonts w:ascii="Arial" w:hAnsi="Arial" w:cs="Arial"/>
          <w:sz w:val="24"/>
          <w:szCs w:val="24"/>
        </w:rPr>
      </w:pPr>
      <w:r w:rsidRPr="00AF0066">
        <w:rPr>
          <w:rFonts w:ascii="Arial" w:hAnsi="Arial" w:cs="Arial"/>
          <w:sz w:val="24"/>
          <w:szCs w:val="24"/>
        </w:rPr>
        <w:lastRenderedPageBreak/>
        <w:t xml:space="preserve">Patients were required to </w:t>
      </w:r>
      <w:r w:rsidR="00480E98" w:rsidRPr="00AF0066">
        <w:rPr>
          <w:rFonts w:ascii="Arial" w:hAnsi="Arial" w:cs="Arial"/>
          <w:sz w:val="24"/>
          <w:szCs w:val="24"/>
        </w:rPr>
        <w:t xml:space="preserve">provide </w:t>
      </w:r>
      <w:r w:rsidRPr="00AF0066">
        <w:rPr>
          <w:rFonts w:ascii="Arial" w:hAnsi="Arial" w:cs="Arial"/>
          <w:sz w:val="24"/>
          <w:szCs w:val="24"/>
        </w:rPr>
        <w:t>written consent</w:t>
      </w:r>
      <w:r w:rsidR="00EC6734" w:rsidRPr="00AF0066">
        <w:rPr>
          <w:rFonts w:ascii="Arial" w:hAnsi="Arial" w:cs="Arial"/>
          <w:sz w:val="24"/>
          <w:szCs w:val="24"/>
        </w:rPr>
        <w:t xml:space="preserve"> and t</w:t>
      </w:r>
      <w:r w:rsidRPr="00AF0066">
        <w:rPr>
          <w:rFonts w:ascii="Arial" w:hAnsi="Arial" w:cs="Arial"/>
          <w:sz w:val="24"/>
          <w:szCs w:val="24"/>
        </w:rPr>
        <w:t xml:space="preserve">he trial was sponsored by Cardiff University and approved by the Wales Research Ethics Committee in compliance with the Declaration of Helsinki.  </w:t>
      </w:r>
    </w:p>
    <w:p w14:paraId="2A574729" w14:textId="7D2AF836" w:rsidR="00761C7C" w:rsidRPr="00E715B8" w:rsidRDefault="000051E4" w:rsidP="00D11AD2">
      <w:pPr>
        <w:spacing w:line="480" w:lineRule="auto"/>
        <w:jc w:val="both"/>
        <w:rPr>
          <w:rFonts w:ascii="Arial" w:hAnsi="Arial" w:cs="Arial"/>
          <w:bCs/>
          <w:sz w:val="24"/>
          <w:szCs w:val="24"/>
        </w:rPr>
      </w:pPr>
      <w:r w:rsidRPr="00AF0066">
        <w:rPr>
          <w:rFonts w:ascii="Arial" w:hAnsi="Arial" w:cs="Arial"/>
          <w:b/>
          <w:sz w:val="24"/>
          <w:szCs w:val="24"/>
        </w:rPr>
        <w:t>Endpoints and assessments:</w:t>
      </w:r>
      <w:r w:rsidRPr="00AF0066">
        <w:rPr>
          <w:rFonts w:ascii="Arial" w:hAnsi="Arial" w:cs="Arial"/>
          <w:sz w:val="24"/>
          <w:szCs w:val="24"/>
        </w:rPr>
        <w:t xml:space="preserve"> The primary endpoint was overall survival (OS)</w:t>
      </w:r>
      <w:r w:rsidR="00E715B8">
        <w:rPr>
          <w:rFonts w:ascii="Arial" w:hAnsi="Arial" w:cs="Arial"/>
          <w:sz w:val="24"/>
          <w:szCs w:val="24"/>
        </w:rPr>
        <w:t>,</w:t>
      </w:r>
      <w:r w:rsidR="00E715B8" w:rsidRPr="00E715B8">
        <w:t xml:space="preserve"> </w:t>
      </w:r>
      <w:r w:rsidR="00E715B8">
        <w:rPr>
          <w:rFonts w:ascii="Arial" w:hAnsi="Arial" w:cs="Arial"/>
          <w:sz w:val="24"/>
          <w:szCs w:val="24"/>
        </w:rPr>
        <w:t>f</w:t>
      </w:r>
      <w:r w:rsidR="00E715B8" w:rsidRPr="00E715B8">
        <w:rPr>
          <w:rFonts w:ascii="Arial" w:hAnsi="Arial" w:cs="Arial"/>
          <w:sz w:val="24"/>
          <w:szCs w:val="24"/>
        </w:rPr>
        <w:t>ollowing international guidelines OS is defined as the t</w:t>
      </w:r>
      <w:r w:rsidR="00E715B8">
        <w:rPr>
          <w:rFonts w:ascii="Arial" w:hAnsi="Arial" w:cs="Arial"/>
          <w:sz w:val="24"/>
          <w:szCs w:val="24"/>
        </w:rPr>
        <w:t>ime from randomisation to death</w:t>
      </w:r>
      <w:r w:rsidR="00424162" w:rsidRPr="00AF0066">
        <w:rPr>
          <w:rFonts w:ascii="Arial" w:hAnsi="Arial" w:cs="Arial"/>
          <w:sz w:val="24"/>
          <w:szCs w:val="24"/>
        </w:rPr>
        <w:t>.</w:t>
      </w:r>
      <w:r w:rsidR="00424162" w:rsidRPr="00AF0066">
        <w:rPr>
          <w:b/>
          <w:sz w:val="24"/>
          <w:szCs w:val="24"/>
        </w:rPr>
        <w:t xml:space="preserve"> </w:t>
      </w:r>
      <w:r w:rsidR="00424162" w:rsidRPr="00AF0066">
        <w:rPr>
          <w:rFonts w:ascii="Arial" w:hAnsi="Arial" w:cs="Arial"/>
          <w:sz w:val="24"/>
          <w:szCs w:val="24"/>
        </w:rPr>
        <w:t xml:space="preserve">The protocol defined complete remission (CR) as a normocellular bone marrow aspirate containing &lt;5% leukaemic blasts and showing evidence of normal maturation of other marrow elements. Persistence of myelodysplastic features did not preclude the diagnosis of CR. </w:t>
      </w:r>
      <w:r w:rsidR="00D54083" w:rsidRPr="00AF0066">
        <w:rPr>
          <w:rFonts w:ascii="Arial" w:hAnsi="Arial" w:cs="Arial"/>
          <w:sz w:val="24"/>
          <w:szCs w:val="24"/>
        </w:rPr>
        <w:t>To</w:t>
      </w:r>
      <w:r w:rsidR="00424162" w:rsidRPr="00AF0066">
        <w:rPr>
          <w:rFonts w:ascii="Arial" w:hAnsi="Arial" w:cs="Arial"/>
          <w:sz w:val="24"/>
          <w:szCs w:val="24"/>
        </w:rPr>
        <w:t xml:space="preserve"> achieve CR, patients required neutrophil recovery to ≥1.0x10</w:t>
      </w:r>
      <w:r w:rsidR="00424162" w:rsidRPr="00AF0066">
        <w:rPr>
          <w:rFonts w:ascii="Arial" w:hAnsi="Arial" w:cs="Arial"/>
          <w:sz w:val="24"/>
          <w:szCs w:val="24"/>
          <w:vertAlign w:val="superscript"/>
        </w:rPr>
        <w:t>9</w:t>
      </w:r>
      <w:r w:rsidR="00424162" w:rsidRPr="00AF0066">
        <w:rPr>
          <w:rFonts w:ascii="Arial" w:hAnsi="Arial" w:cs="Arial"/>
          <w:sz w:val="24"/>
          <w:szCs w:val="24"/>
        </w:rPr>
        <w:t>/l and</w:t>
      </w:r>
      <w:r w:rsidR="00533523">
        <w:rPr>
          <w:rFonts w:ascii="Arial" w:hAnsi="Arial" w:cs="Arial"/>
          <w:sz w:val="24"/>
          <w:szCs w:val="24"/>
        </w:rPr>
        <w:t xml:space="preserve"> also</w:t>
      </w:r>
      <w:r w:rsidR="00424162" w:rsidRPr="00AF0066">
        <w:rPr>
          <w:rFonts w:ascii="Arial" w:hAnsi="Arial" w:cs="Arial"/>
          <w:sz w:val="24"/>
          <w:szCs w:val="24"/>
        </w:rPr>
        <w:t xml:space="preserve"> platelets to ≥100x10</w:t>
      </w:r>
      <w:r w:rsidR="00424162" w:rsidRPr="00AF0066">
        <w:rPr>
          <w:rFonts w:ascii="Arial" w:hAnsi="Arial" w:cs="Arial"/>
          <w:sz w:val="24"/>
          <w:szCs w:val="24"/>
          <w:vertAlign w:val="superscript"/>
        </w:rPr>
        <w:t>9</w:t>
      </w:r>
      <w:r w:rsidR="00424162" w:rsidRPr="00AF0066">
        <w:rPr>
          <w:rFonts w:ascii="Arial" w:hAnsi="Arial" w:cs="Arial"/>
          <w:sz w:val="24"/>
          <w:szCs w:val="24"/>
        </w:rPr>
        <w:t>/l, without evidence of extramedullary</w:t>
      </w:r>
      <w:r w:rsidR="00424162" w:rsidRPr="00AF0066">
        <w:rPr>
          <w:rFonts w:ascii="Arial" w:hAnsi="Arial" w:cs="Arial"/>
          <w:b/>
          <w:sz w:val="24"/>
          <w:szCs w:val="24"/>
        </w:rPr>
        <w:t xml:space="preserve"> </w:t>
      </w:r>
      <w:r w:rsidR="00424162" w:rsidRPr="00AF0066">
        <w:rPr>
          <w:rFonts w:ascii="Arial" w:hAnsi="Arial" w:cs="Arial"/>
          <w:sz w:val="24"/>
          <w:szCs w:val="24"/>
        </w:rPr>
        <w:t>disease.</w:t>
      </w:r>
      <w:r w:rsidR="00424162" w:rsidRPr="00AF0066">
        <w:rPr>
          <w:rFonts w:ascii="Arial" w:hAnsi="Arial" w:cs="Arial"/>
          <w:b/>
          <w:sz w:val="24"/>
          <w:szCs w:val="24"/>
        </w:rPr>
        <w:t xml:space="preserve"> </w:t>
      </w:r>
      <w:r w:rsidR="00424162" w:rsidRPr="00AF0066">
        <w:rPr>
          <w:rFonts w:ascii="Arial" w:hAnsi="Arial" w:cs="Arial"/>
          <w:sz w:val="24"/>
          <w:szCs w:val="24"/>
        </w:rPr>
        <w:t>Patients who achieved CR according to the protocol, but without evidence of adequate count recovery are denoted here as CRi</w:t>
      </w:r>
      <w:r w:rsidR="00F60705">
        <w:rPr>
          <w:rFonts w:ascii="Arial" w:hAnsi="Arial" w:cs="Arial"/>
          <w:sz w:val="24"/>
          <w:szCs w:val="24"/>
        </w:rPr>
        <w:t>,</w:t>
      </w:r>
      <w:r w:rsidR="00F60705" w:rsidRPr="00F60705">
        <w:t xml:space="preserve"> </w:t>
      </w:r>
      <w:r w:rsidR="00F60705" w:rsidRPr="00253A6C">
        <w:rPr>
          <w:rFonts w:ascii="Arial" w:hAnsi="Arial" w:cs="Arial"/>
          <w:sz w:val="24"/>
          <w:szCs w:val="24"/>
        </w:rPr>
        <w:t>patients were</w:t>
      </w:r>
      <w:r w:rsidR="00F60705">
        <w:t xml:space="preserve"> </w:t>
      </w:r>
      <w:r w:rsidR="00F60705" w:rsidRPr="00F60705">
        <w:rPr>
          <w:rFonts w:ascii="Arial" w:hAnsi="Arial" w:cs="Arial"/>
          <w:sz w:val="24"/>
          <w:szCs w:val="24"/>
        </w:rPr>
        <w:t>required to be platelet-transfusion independent indicating sufficient time for marrow regeneration</w:t>
      </w:r>
      <w:r w:rsidR="00424162" w:rsidRPr="00AF0066">
        <w:rPr>
          <w:rFonts w:ascii="Arial" w:hAnsi="Arial" w:cs="Arial"/>
          <w:sz w:val="24"/>
          <w:szCs w:val="24"/>
        </w:rPr>
        <w:t>.</w:t>
      </w:r>
      <w:r w:rsidR="00E715B8">
        <w:rPr>
          <w:rFonts w:ascii="Arial" w:hAnsi="Arial" w:cs="Arial"/>
          <w:bCs/>
          <w:sz w:val="24"/>
          <w:szCs w:val="24"/>
        </w:rPr>
        <w:t xml:space="preserve"> </w:t>
      </w:r>
      <w:r w:rsidR="002B1948">
        <w:rPr>
          <w:rFonts w:ascii="Arial" w:hAnsi="Arial" w:cs="Arial"/>
          <w:bCs/>
          <w:sz w:val="24"/>
          <w:szCs w:val="24"/>
        </w:rPr>
        <w:t>Overall response w</w:t>
      </w:r>
      <w:r w:rsidR="005012D5">
        <w:rPr>
          <w:rFonts w:ascii="Arial" w:hAnsi="Arial" w:cs="Arial"/>
          <w:bCs/>
          <w:sz w:val="24"/>
          <w:szCs w:val="24"/>
        </w:rPr>
        <w:t>as</w:t>
      </w:r>
      <w:r w:rsidR="002B1948">
        <w:rPr>
          <w:rFonts w:ascii="Arial" w:hAnsi="Arial" w:cs="Arial"/>
          <w:bCs/>
          <w:sz w:val="24"/>
          <w:szCs w:val="24"/>
        </w:rPr>
        <w:t xml:space="preserve"> define</w:t>
      </w:r>
      <w:r w:rsidR="005012D5">
        <w:rPr>
          <w:rFonts w:ascii="Arial" w:hAnsi="Arial" w:cs="Arial"/>
          <w:bCs/>
          <w:sz w:val="24"/>
          <w:szCs w:val="24"/>
        </w:rPr>
        <w:t>d</w:t>
      </w:r>
      <w:r w:rsidR="002B1948">
        <w:rPr>
          <w:rFonts w:ascii="Arial" w:hAnsi="Arial" w:cs="Arial"/>
          <w:bCs/>
          <w:sz w:val="24"/>
          <w:szCs w:val="24"/>
        </w:rPr>
        <w:t xml:space="preserve"> as CR</w:t>
      </w:r>
      <w:r w:rsidR="005012D5">
        <w:rPr>
          <w:rFonts w:ascii="Arial" w:hAnsi="Arial" w:cs="Arial"/>
          <w:bCs/>
          <w:sz w:val="24"/>
          <w:szCs w:val="24"/>
        </w:rPr>
        <w:t>/</w:t>
      </w:r>
      <w:r w:rsidR="002B1948">
        <w:rPr>
          <w:rFonts w:ascii="Arial" w:hAnsi="Arial" w:cs="Arial"/>
          <w:bCs/>
          <w:sz w:val="24"/>
          <w:szCs w:val="24"/>
        </w:rPr>
        <w:t xml:space="preserve">CRi as we do not have complete date on partial response and morphologic leukaemia free state. </w:t>
      </w:r>
      <w:r w:rsidR="00424162" w:rsidRPr="00AF0066">
        <w:rPr>
          <w:rFonts w:ascii="Arial" w:hAnsi="Arial" w:cs="Arial"/>
          <w:sz w:val="24"/>
          <w:szCs w:val="24"/>
        </w:rPr>
        <w:t>For remitters, rel</w:t>
      </w:r>
      <w:r w:rsidR="003A0157" w:rsidRPr="00AF0066">
        <w:rPr>
          <w:rFonts w:ascii="Arial" w:hAnsi="Arial" w:cs="Arial"/>
          <w:sz w:val="24"/>
          <w:szCs w:val="24"/>
        </w:rPr>
        <w:t>apse free survival (RFS) wa</w:t>
      </w:r>
      <w:r w:rsidR="00424162" w:rsidRPr="00AF0066">
        <w:rPr>
          <w:rFonts w:ascii="Arial" w:hAnsi="Arial" w:cs="Arial"/>
          <w:sz w:val="24"/>
          <w:szCs w:val="24"/>
        </w:rPr>
        <w:t xml:space="preserve">s the time from remission (CR or CRi) until relapse or death. Survival from CR is defined as the time from CR/CRi (first report) until death. </w:t>
      </w:r>
    </w:p>
    <w:p w14:paraId="7151A7A3" w14:textId="4DCAC6DD" w:rsidR="00761C7C" w:rsidRPr="00AF0066" w:rsidRDefault="00761C7C" w:rsidP="00D11AD2">
      <w:pPr>
        <w:spacing w:line="480" w:lineRule="auto"/>
        <w:jc w:val="both"/>
        <w:rPr>
          <w:rFonts w:ascii="Arial" w:hAnsi="Arial" w:cs="Arial"/>
          <w:sz w:val="24"/>
          <w:szCs w:val="24"/>
        </w:rPr>
      </w:pPr>
      <w:r w:rsidRPr="00AF0066">
        <w:rPr>
          <w:rFonts w:ascii="Arial" w:hAnsi="Arial" w:cs="Arial"/>
          <w:b/>
          <w:sz w:val="24"/>
          <w:szCs w:val="24"/>
        </w:rPr>
        <w:t>Toxicity:</w:t>
      </w:r>
      <w:r w:rsidRPr="00AF0066">
        <w:rPr>
          <w:rFonts w:ascii="Arial" w:hAnsi="Arial" w:cs="Arial"/>
          <w:sz w:val="24"/>
          <w:szCs w:val="24"/>
        </w:rPr>
        <w:t xml:space="preserve"> Adverse events and toxicity were recorded as defined by the</w:t>
      </w:r>
      <w:r w:rsidR="00533523" w:rsidRPr="00533523">
        <w:t xml:space="preserve"> </w:t>
      </w:r>
      <w:r w:rsidR="00533523">
        <w:rPr>
          <w:rFonts w:ascii="Arial" w:hAnsi="Arial" w:cs="Arial"/>
          <w:sz w:val="24"/>
          <w:szCs w:val="24"/>
        </w:rPr>
        <w:t>National Cancer I</w:t>
      </w:r>
      <w:r w:rsidR="00533523" w:rsidRPr="00533523">
        <w:rPr>
          <w:rFonts w:ascii="Arial" w:hAnsi="Arial" w:cs="Arial"/>
          <w:sz w:val="24"/>
          <w:szCs w:val="24"/>
        </w:rPr>
        <w:t>nstitute</w:t>
      </w:r>
      <w:r w:rsidR="00533523">
        <w:rPr>
          <w:rFonts w:ascii="Arial" w:hAnsi="Arial" w:cs="Arial"/>
          <w:sz w:val="24"/>
          <w:szCs w:val="24"/>
        </w:rPr>
        <w:t xml:space="preserve"> common t</w:t>
      </w:r>
      <w:r w:rsidR="00533523" w:rsidRPr="00533523">
        <w:rPr>
          <w:rFonts w:ascii="Arial" w:hAnsi="Arial" w:cs="Arial"/>
          <w:sz w:val="24"/>
          <w:szCs w:val="24"/>
        </w:rPr>
        <w:t>e</w:t>
      </w:r>
      <w:r w:rsidR="00533523">
        <w:rPr>
          <w:rFonts w:ascii="Arial" w:hAnsi="Arial" w:cs="Arial"/>
          <w:sz w:val="24"/>
          <w:szCs w:val="24"/>
        </w:rPr>
        <w:t>rminology criteria for adverse e</w:t>
      </w:r>
      <w:r w:rsidR="00533523" w:rsidRPr="00533523">
        <w:rPr>
          <w:rFonts w:ascii="Arial" w:hAnsi="Arial" w:cs="Arial"/>
          <w:sz w:val="24"/>
          <w:szCs w:val="24"/>
        </w:rPr>
        <w:t>vents</w:t>
      </w:r>
      <w:r w:rsidRPr="00AF0066">
        <w:rPr>
          <w:rFonts w:ascii="Arial" w:hAnsi="Arial" w:cs="Arial"/>
          <w:sz w:val="24"/>
          <w:szCs w:val="24"/>
        </w:rPr>
        <w:t xml:space="preserve"> </w:t>
      </w:r>
      <w:r w:rsidR="00533523">
        <w:rPr>
          <w:rFonts w:ascii="Arial" w:hAnsi="Arial" w:cs="Arial"/>
          <w:sz w:val="24"/>
          <w:szCs w:val="24"/>
        </w:rPr>
        <w:t>(</w:t>
      </w:r>
      <w:r w:rsidRPr="00AF0066">
        <w:rPr>
          <w:rFonts w:ascii="Arial" w:hAnsi="Arial" w:cs="Arial"/>
          <w:sz w:val="24"/>
          <w:szCs w:val="24"/>
        </w:rPr>
        <w:t>NCI CTC</w:t>
      </w:r>
      <w:r w:rsidR="003A0157" w:rsidRPr="00AF0066">
        <w:rPr>
          <w:rFonts w:ascii="Arial" w:hAnsi="Arial" w:cs="Arial"/>
          <w:sz w:val="24"/>
          <w:szCs w:val="24"/>
        </w:rPr>
        <w:t>AE</w:t>
      </w:r>
      <w:r w:rsidR="00533523">
        <w:rPr>
          <w:rFonts w:ascii="Arial" w:hAnsi="Arial" w:cs="Arial"/>
          <w:sz w:val="24"/>
          <w:szCs w:val="24"/>
        </w:rPr>
        <w:t>)</w:t>
      </w:r>
      <w:r w:rsidRPr="00AF0066">
        <w:rPr>
          <w:rFonts w:ascii="Arial" w:hAnsi="Arial" w:cs="Arial"/>
          <w:sz w:val="24"/>
          <w:szCs w:val="24"/>
        </w:rPr>
        <w:t xml:space="preserve"> version 3.</w:t>
      </w:r>
    </w:p>
    <w:p w14:paraId="64991DCF" w14:textId="773BEC1E" w:rsidR="000051E4" w:rsidRPr="00AF0066" w:rsidRDefault="000051E4" w:rsidP="00D11AD2">
      <w:pPr>
        <w:pStyle w:val="Heading2"/>
        <w:spacing w:line="480" w:lineRule="auto"/>
        <w:jc w:val="both"/>
        <w:rPr>
          <w:rFonts w:ascii="Arial" w:hAnsi="Arial" w:cs="Arial"/>
          <w:i w:val="0"/>
          <w:sz w:val="24"/>
          <w:szCs w:val="24"/>
        </w:rPr>
      </w:pPr>
      <w:r w:rsidRPr="00AF0066">
        <w:rPr>
          <w:rFonts w:ascii="Arial" w:hAnsi="Arial" w:cs="Arial"/>
          <w:i w:val="0"/>
          <w:sz w:val="24"/>
          <w:szCs w:val="24"/>
        </w:rPr>
        <w:t>Statistical methods</w:t>
      </w:r>
      <w:r w:rsidRPr="00AF0066">
        <w:rPr>
          <w:rFonts w:ascii="Arial" w:hAnsi="Arial" w:cs="Arial"/>
          <w:b w:val="0"/>
          <w:i w:val="0"/>
          <w:sz w:val="24"/>
          <w:szCs w:val="24"/>
        </w:rPr>
        <w:t>: All analyses are by intention-to-treat. Categorical endpoints (e.g. CR rates) were compared using Mantel-Haenszel tests, giving Peto odds ratios and confidence intervals. Continuous/scale variables were analysed by non-</w:t>
      </w:r>
      <w:r w:rsidRPr="00253A6C">
        <w:rPr>
          <w:rFonts w:ascii="Arial" w:hAnsi="Arial" w:cs="Arial"/>
          <w:b w:val="0"/>
          <w:i w:val="0"/>
          <w:sz w:val="24"/>
          <w:szCs w:val="24"/>
          <w:lang w:val="en-GB"/>
        </w:rPr>
        <w:t>parametric</w:t>
      </w:r>
      <w:r w:rsidRPr="00AF0066">
        <w:rPr>
          <w:rFonts w:ascii="Arial" w:hAnsi="Arial" w:cs="Arial"/>
          <w:b w:val="0"/>
          <w:i w:val="0"/>
          <w:sz w:val="24"/>
          <w:szCs w:val="24"/>
        </w:rPr>
        <w:t xml:space="preserve"> (Wilcoxon rank sum) tests. Time-to-event outcomes were analysed using </w:t>
      </w:r>
      <w:r w:rsidRPr="00AF0066">
        <w:rPr>
          <w:rFonts w:ascii="Arial" w:hAnsi="Arial" w:cs="Arial"/>
          <w:b w:val="0"/>
          <w:i w:val="0"/>
          <w:sz w:val="24"/>
          <w:szCs w:val="24"/>
        </w:rPr>
        <w:lastRenderedPageBreak/>
        <w:t>the log-rank test, with Kaplan-Meier survival curves. Odds/hazard ratios (OR/HR) less than 1 indicate benefit for the investigational therapy. In the Pick-a-Winner design analyses are performed for each investigational arm separately versus the control</w:t>
      </w:r>
      <w:r w:rsidR="00533523">
        <w:rPr>
          <w:rFonts w:ascii="Arial" w:hAnsi="Arial" w:cs="Arial"/>
          <w:b w:val="0"/>
          <w:i w:val="0"/>
          <w:sz w:val="24"/>
          <w:szCs w:val="24"/>
        </w:rPr>
        <w:t xml:space="preserve"> arm</w:t>
      </w:r>
      <w:r w:rsidRPr="00AF0066">
        <w:rPr>
          <w:rFonts w:ascii="Arial" w:hAnsi="Arial" w:cs="Arial"/>
          <w:b w:val="0"/>
          <w:i w:val="0"/>
          <w:sz w:val="24"/>
          <w:szCs w:val="24"/>
        </w:rPr>
        <w:t xml:space="preserve"> of LDAC. In addition to overall analyses, exploratory analyses were performed stratified by the randomisation stratification parameters and other important variables, with suitable tests for interaction. Because of the well-known dangers of subgroup analysis, these were interpreted cautiously.</w:t>
      </w:r>
      <w:r w:rsidRPr="00AF0066">
        <w:rPr>
          <w:rFonts w:ascii="Arial" w:hAnsi="Arial" w:cs="Arial"/>
          <w:i w:val="0"/>
          <w:sz w:val="24"/>
          <w:szCs w:val="24"/>
        </w:rPr>
        <w:t xml:space="preserve"> </w:t>
      </w:r>
    </w:p>
    <w:p w14:paraId="6119894E" w14:textId="74813835" w:rsidR="000051E4" w:rsidRPr="00AF0066" w:rsidRDefault="000051E4" w:rsidP="00D11AD2">
      <w:pPr>
        <w:spacing w:line="480" w:lineRule="auto"/>
        <w:jc w:val="both"/>
        <w:rPr>
          <w:rFonts w:ascii="Arial" w:hAnsi="Arial" w:cs="Arial"/>
          <w:sz w:val="24"/>
          <w:szCs w:val="24"/>
        </w:rPr>
      </w:pPr>
      <w:r w:rsidRPr="00AF0066">
        <w:rPr>
          <w:rFonts w:ascii="Arial" w:hAnsi="Arial" w:cs="Arial"/>
          <w:sz w:val="24"/>
          <w:szCs w:val="24"/>
        </w:rPr>
        <w:t xml:space="preserve">The power calculation for the trial as a whole specified that final analysis was to be performed after 340 events (deaths) had been reported. Under the rules of the “Pick a Winner” design, the </w:t>
      </w:r>
      <w:r w:rsidR="003A0157" w:rsidRPr="00AF0066">
        <w:rPr>
          <w:rFonts w:ascii="Arial" w:hAnsi="Arial" w:cs="Arial"/>
          <w:sz w:val="24"/>
          <w:szCs w:val="24"/>
        </w:rPr>
        <w:t>data monitoring committee (</w:t>
      </w:r>
      <w:r w:rsidRPr="00AF0066">
        <w:rPr>
          <w:rFonts w:ascii="Arial" w:hAnsi="Arial" w:cs="Arial"/>
          <w:sz w:val="24"/>
          <w:szCs w:val="24"/>
        </w:rPr>
        <w:t>DMC</w:t>
      </w:r>
      <w:r w:rsidR="003A0157" w:rsidRPr="00AF0066">
        <w:rPr>
          <w:rFonts w:ascii="Arial" w:hAnsi="Arial" w:cs="Arial"/>
          <w:sz w:val="24"/>
          <w:szCs w:val="24"/>
        </w:rPr>
        <w:t>)</w:t>
      </w:r>
      <w:r w:rsidRPr="00AF0066">
        <w:rPr>
          <w:rFonts w:ascii="Arial" w:hAnsi="Arial" w:cs="Arial"/>
          <w:sz w:val="24"/>
          <w:szCs w:val="24"/>
        </w:rPr>
        <w:t xml:space="preserve"> initially examined outcomes after response data were available for the first 100 patients in each randomisation</w:t>
      </w:r>
      <w:r w:rsidR="00D54083" w:rsidRPr="00AF0066">
        <w:rPr>
          <w:rFonts w:ascii="Arial" w:hAnsi="Arial" w:cs="Arial"/>
          <w:sz w:val="24"/>
          <w:szCs w:val="24"/>
        </w:rPr>
        <w:t xml:space="preserve"> (50 patients in each arm)</w:t>
      </w:r>
      <w:r w:rsidRPr="00AF0066">
        <w:rPr>
          <w:rFonts w:ascii="Arial" w:hAnsi="Arial" w:cs="Arial"/>
          <w:sz w:val="24"/>
          <w:szCs w:val="24"/>
        </w:rPr>
        <w:t xml:space="preserve">. At this point, in order to show sufficient promise to be carried forward, there had to be </w:t>
      </w:r>
      <w:r w:rsidR="00533523">
        <w:rPr>
          <w:rFonts w:ascii="Arial" w:hAnsi="Arial" w:cs="Arial"/>
          <w:sz w:val="24"/>
          <w:szCs w:val="24"/>
        </w:rPr>
        <w:t xml:space="preserve">at least </w:t>
      </w:r>
      <w:r w:rsidRPr="00AF0066">
        <w:rPr>
          <w:rFonts w:ascii="Arial" w:hAnsi="Arial" w:cs="Arial"/>
          <w:sz w:val="24"/>
          <w:szCs w:val="24"/>
        </w:rPr>
        <w:t>a 2.5% improvement in remission rates (CR+CRi) for the experimental arm over the control arm. At this time, the DMC also assessed survival and toxicity as additional criteria to be satisfied, although there was no formal stopping rule for either of these endpoints. If the DMC believed there was sufficient promise in the arm, the trial would continue to accrue until approximately 100 patients were in each arm</w:t>
      </w:r>
      <w:r w:rsidR="003A0157" w:rsidRPr="00AF0066">
        <w:rPr>
          <w:rFonts w:ascii="Arial" w:hAnsi="Arial" w:cs="Arial"/>
          <w:sz w:val="24"/>
          <w:szCs w:val="24"/>
        </w:rPr>
        <w:t>.</w:t>
      </w:r>
      <w:r w:rsidR="005A7E74" w:rsidRPr="00AF0066">
        <w:rPr>
          <w:rFonts w:ascii="Arial" w:hAnsi="Arial" w:cs="Arial"/>
          <w:sz w:val="24"/>
          <w:szCs w:val="24"/>
        </w:rPr>
        <w:t xml:space="preserve">  O</w:t>
      </w:r>
      <w:r w:rsidR="003A0157" w:rsidRPr="00AF0066">
        <w:rPr>
          <w:rFonts w:ascii="Arial" w:hAnsi="Arial" w:cs="Arial"/>
          <w:sz w:val="24"/>
          <w:szCs w:val="24"/>
        </w:rPr>
        <w:t>nce 170 d</w:t>
      </w:r>
      <w:r w:rsidRPr="00AF0066">
        <w:rPr>
          <w:rFonts w:ascii="Arial" w:hAnsi="Arial" w:cs="Arial"/>
          <w:sz w:val="24"/>
          <w:szCs w:val="24"/>
        </w:rPr>
        <w:t xml:space="preserve">eaths had been </w:t>
      </w:r>
      <w:r w:rsidR="003A0157" w:rsidRPr="00AF0066">
        <w:rPr>
          <w:rFonts w:ascii="Arial" w:hAnsi="Arial" w:cs="Arial"/>
          <w:sz w:val="24"/>
          <w:szCs w:val="24"/>
        </w:rPr>
        <w:t>recorded</w:t>
      </w:r>
      <w:r w:rsidR="003A0157" w:rsidRPr="00AF0066">
        <w:t xml:space="preserve"> </w:t>
      </w:r>
      <w:r w:rsidR="003A0157" w:rsidRPr="00AF0066">
        <w:rPr>
          <w:rFonts w:ascii="Arial" w:hAnsi="Arial" w:cs="Arial"/>
          <w:sz w:val="24"/>
          <w:szCs w:val="24"/>
        </w:rPr>
        <w:t>a further interim analysis was performed and</w:t>
      </w:r>
      <w:r w:rsidRPr="00AF0066">
        <w:rPr>
          <w:rFonts w:ascii="Arial" w:hAnsi="Arial" w:cs="Arial"/>
          <w:sz w:val="24"/>
          <w:szCs w:val="24"/>
        </w:rPr>
        <w:t xml:space="preserve"> the hazard ratio for survival was required to be </w:t>
      </w:r>
      <w:r w:rsidR="00533523">
        <w:rPr>
          <w:rFonts w:ascii="Arial" w:hAnsi="Arial" w:cs="Arial"/>
          <w:sz w:val="24"/>
          <w:szCs w:val="24"/>
        </w:rPr>
        <w:t>less than</w:t>
      </w:r>
      <w:r w:rsidRPr="00AF0066">
        <w:rPr>
          <w:rFonts w:ascii="Arial" w:hAnsi="Arial" w:cs="Arial"/>
          <w:sz w:val="24"/>
          <w:szCs w:val="24"/>
        </w:rPr>
        <w:t xml:space="preserve"> 0.85 in order for the trial to </w:t>
      </w:r>
      <w:r w:rsidR="00856160">
        <w:rPr>
          <w:rFonts w:ascii="Arial" w:hAnsi="Arial" w:cs="Arial"/>
          <w:sz w:val="24"/>
          <w:szCs w:val="24"/>
        </w:rPr>
        <w:t xml:space="preserve">consider </w:t>
      </w:r>
      <w:r w:rsidRPr="00AF0066">
        <w:rPr>
          <w:rFonts w:ascii="Arial" w:hAnsi="Arial" w:cs="Arial"/>
          <w:sz w:val="24"/>
          <w:szCs w:val="24"/>
        </w:rPr>
        <w:t>continu</w:t>
      </w:r>
      <w:r w:rsidR="00856160">
        <w:rPr>
          <w:rFonts w:ascii="Arial" w:hAnsi="Arial" w:cs="Arial"/>
          <w:sz w:val="24"/>
          <w:szCs w:val="24"/>
        </w:rPr>
        <w:t>ing</w:t>
      </w:r>
      <w:r w:rsidRPr="00AF0066">
        <w:rPr>
          <w:rFonts w:ascii="Arial" w:hAnsi="Arial" w:cs="Arial"/>
          <w:sz w:val="24"/>
          <w:szCs w:val="24"/>
        </w:rPr>
        <w:t xml:space="preserve"> to 400 patients and 340 events. </w:t>
      </w:r>
      <w:r w:rsidR="00856160" w:rsidRPr="00856160">
        <w:rPr>
          <w:rFonts w:ascii="Arial" w:hAnsi="Arial" w:cs="Arial"/>
          <w:sz w:val="24"/>
          <w:szCs w:val="24"/>
        </w:rPr>
        <w:t>At this point, the deci</w:t>
      </w:r>
      <w:r w:rsidR="005012D5">
        <w:rPr>
          <w:rFonts w:ascii="Arial" w:hAnsi="Arial" w:cs="Arial"/>
          <w:sz w:val="24"/>
          <w:szCs w:val="24"/>
        </w:rPr>
        <w:t>sion to stop or continue is</w:t>
      </w:r>
      <w:r w:rsidR="00856160" w:rsidRPr="00856160">
        <w:rPr>
          <w:rFonts w:ascii="Arial" w:hAnsi="Arial" w:cs="Arial"/>
          <w:sz w:val="24"/>
          <w:szCs w:val="24"/>
        </w:rPr>
        <w:t xml:space="preserve"> made on the basis of the hazard ratio for </w:t>
      </w:r>
      <w:r w:rsidR="005012D5">
        <w:rPr>
          <w:rFonts w:ascii="Arial" w:hAnsi="Arial" w:cs="Arial"/>
          <w:sz w:val="24"/>
          <w:szCs w:val="24"/>
        </w:rPr>
        <w:t>OS</w:t>
      </w:r>
      <w:r w:rsidR="00856160" w:rsidRPr="00856160">
        <w:rPr>
          <w:rFonts w:ascii="Arial" w:hAnsi="Arial" w:cs="Arial"/>
          <w:sz w:val="24"/>
          <w:szCs w:val="24"/>
        </w:rPr>
        <w:t xml:space="preserve">. </w:t>
      </w:r>
      <w:r w:rsidR="00856160">
        <w:rPr>
          <w:rFonts w:ascii="Arial" w:hAnsi="Arial" w:cs="Arial"/>
          <w:sz w:val="24"/>
          <w:szCs w:val="24"/>
        </w:rPr>
        <w:t>The aspiration of the study is a</w:t>
      </w:r>
      <w:r w:rsidR="00856160" w:rsidRPr="00856160">
        <w:rPr>
          <w:rFonts w:ascii="Arial" w:hAnsi="Arial" w:cs="Arial"/>
          <w:sz w:val="24"/>
          <w:szCs w:val="24"/>
        </w:rPr>
        <w:t xml:space="preserve"> doubling of survival from 11% to 22% at two years </w:t>
      </w:r>
      <w:r w:rsidR="00856160">
        <w:rPr>
          <w:rFonts w:ascii="Arial" w:hAnsi="Arial" w:cs="Arial"/>
          <w:sz w:val="24"/>
          <w:szCs w:val="24"/>
        </w:rPr>
        <w:t xml:space="preserve">which is </w:t>
      </w:r>
      <w:r w:rsidR="00856160" w:rsidRPr="00856160">
        <w:rPr>
          <w:rFonts w:ascii="Arial" w:hAnsi="Arial" w:cs="Arial"/>
          <w:sz w:val="24"/>
          <w:szCs w:val="24"/>
        </w:rPr>
        <w:t>equivalent to an average hazard ratio of 0.69</w:t>
      </w:r>
      <w:r w:rsidR="00856160">
        <w:rPr>
          <w:rFonts w:ascii="Arial" w:hAnsi="Arial" w:cs="Arial"/>
          <w:sz w:val="24"/>
          <w:szCs w:val="24"/>
        </w:rPr>
        <w:t>.</w:t>
      </w:r>
    </w:p>
    <w:p w14:paraId="2BB55FE3" w14:textId="1C564E8E" w:rsidR="004C7011" w:rsidRPr="00AF0066" w:rsidRDefault="004C7011" w:rsidP="00D11AD2">
      <w:pPr>
        <w:spacing w:line="480" w:lineRule="auto"/>
        <w:jc w:val="both"/>
        <w:rPr>
          <w:rFonts w:ascii="Arial" w:hAnsi="Arial" w:cs="Arial"/>
          <w:sz w:val="24"/>
          <w:szCs w:val="24"/>
        </w:rPr>
      </w:pPr>
      <w:r w:rsidRPr="00AF0066">
        <w:rPr>
          <w:rFonts w:ascii="Arial" w:hAnsi="Arial" w:cs="Arial"/>
          <w:sz w:val="24"/>
          <w:szCs w:val="24"/>
        </w:rPr>
        <w:lastRenderedPageBreak/>
        <w:t xml:space="preserve">At the time of this final analysis the median follow-up for </w:t>
      </w:r>
      <w:r w:rsidR="00533523">
        <w:rPr>
          <w:rFonts w:ascii="Arial" w:hAnsi="Arial" w:cs="Arial"/>
          <w:sz w:val="24"/>
          <w:szCs w:val="24"/>
        </w:rPr>
        <w:t>OS is</w:t>
      </w:r>
      <w:r w:rsidRPr="00AF0066">
        <w:rPr>
          <w:rFonts w:ascii="Arial" w:hAnsi="Arial" w:cs="Arial"/>
          <w:sz w:val="24"/>
          <w:szCs w:val="24"/>
        </w:rPr>
        <w:t xml:space="preserve"> </w:t>
      </w:r>
      <w:r w:rsidR="00CA1301">
        <w:rPr>
          <w:rFonts w:ascii="Arial" w:hAnsi="Arial" w:cs="Arial"/>
          <w:sz w:val="24"/>
          <w:szCs w:val="24"/>
        </w:rPr>
        <w:t>48</w:t>
      </w:r>
      <w:r w:rsidRPr="00AF0066">
        <w:rPr>
          <w:rFonts w:ascii="Arial" w:hAnsi="Arial" w:cs="Arial"/>
          <w:sz w:val="24"/>
          <w:szCs w:val="24"/>
        </w:rPr>
        <w:t xml:space="preserve"> months (range 0.2-40.5). Surviving patients are censored at the date last known to be alive.</w:t>
      </w:r>
    </w:p>
    <w:p w14:paraId="682C462D" w14:textId="77777777" w:rsidR="000051E4" w:rsidRPr="00AF0066" w:rsidRDefault="000051E4" w:rsidP="00D11AD2">
      <w:pPr>
        <w:spacing w:line="480" w:lineRule="auto"/>
        <w:jc w:val="both"/>
        <w:rPr>
          <w:rFonts w:ascii="Arial" w:hAnsi="Arial" w:cs="Arial"/>
          <w:sz w:val="24"/>
          <w:szCs w:val="24"/>
        </w:rPr>
      </w:pPr>
    </w:p>
    <w:p w14:paraId="058D2DD4" w14:textId="77777777" w:rsidR="00761C7C" w:rsidRPr="00AF0066" w:rsidRDefault="00761C7C" w:rsidP="00D11AD2">
      <w:pPr>
        <w:tabs>
          <w:tab w:val="left" w:pos="1418"/>
        </w:tabs>
        <w:spacing w:line="480" w:lineRule="auto"/>
        <w:jc w:val="both"/>
        <w:rPr>
          <w:rFonts w:ascii="Arial" w:hAnsi="Arial" w:cs="Arial"/>
          <w:b/>
          <w:sz w:val="24"/>
          <w:szCs w:val="24"/>
        </w:rPr>
      </w:pPr>
      <w:r w:rsidRPr="00AF0066">
        <w:rPr>
          <w:rFonts w:ascii="Arial" w:hAnsi="Arial" w:cs="Arial"/>
          <w:b/>
          <w:sz w:val="24"/>
          <w:szCs w:val="24"/>
        </w:rPr>
        <w:t>Results:</w:t>
      </w:r>
    </w:p>
    <w:p w14:paraId="1423CCB3" w14:textId="6BA19214" w:rsidR="009870AB" w:rsidRPr="00AF0066" w:rsidRDefault="009870AB" w:rsidP="00D11AD2">
      <w:pPr>
        <w:tabs>
          <w:tab w:val="left" w:pos="1418"/>
        </w:tabs>
        <w:spacing w:line="480" w:lineRule="auto"/>
        <w:jc w:val="both"/>
        <w:rPr>
          <w:rFonts w:ascii="Arial" w:hAnsi="Arial" w:cs="Arial"/>
          <w:sz w:val="24"/>
          <w:szCs w:val="24"/>
        </w:rPr>
      </w:pPr>
      <w:r w:rsidRPr="00AF0066">
        <w:rPr>
          <w:rFonts w:ascii="Arial" w:hAnsi="Arial" w:cs="Arial"/>
          <w:b/>
          <w:sz w:val="24"/>
          <w:szCs w:val="24"/>
        </w:rPr>
        <w:t xml:space="preserve">Patient Characteristics: </w:t>
      </w:r>
      <w:r w:rsidR="00761C7C" w:rsidRPr="00AF0066">
        <w:rPr>
          <w:rFonts w:ascii="Arial" w:hAnsi="Arial" w:cs="Arial"/>
          <w:sz w:val="24"/>
          <w:szCs w:val="24"/>
        </w:rPr>
        <w:t xml:space="preserve">Between </w:t>
      </w:r>
      <w:r w:rsidR="006D4481" w:rsidRPr="00AF0066">
        <w:rPr>
          <w:rFonts w:ascii="Arial" w:hAnsi="Arial" w:cs="Arial"/>
          <w:sz w:val="24"/>
          <w:szCs w:val="24"/>
        </w:rPr>
        <w:t xml:space="preserve">June </w:t>
      </w:r>
      <w:r w:rsidR="00761C7C" w:rsidRPr="00AF0066">
        <w:rPr>
          <w:rFonts w:ascii="Arial" w:hAnsi="Arial" w:cs="Arial"/>
          <w:sz w:val="24"/>
          <w:szCs w:val="24"/>
        </w:rPr>
        <w:t xml:space="preserve">2014 and </w:t>
      </w:r>
      <w:r w:rsidR="006D4481" w:rsidRPr="00AF0066">
        <w:rPr>
          <w:rFonts w:ascii="Arial" w:hAnsi="Arial" w:cs="Arial"/>
          <w:sz w:val="24"/>
          <w:szCs w:val="24"/>
        </w:rPr>
        <w:t>February</w:t>
      </w:r>
      <w:r w:rsidR="005A7E74" w:rsidRPr="00AF0066">
        <w:rPr>
          <w:rFonts w:ascii="Arial" w:hAnsi="Arial" w:cs="Arial"/>
          <w:sz w:val="24"/>
          <w:szCs w:val="24"/>
        </w:rPr>
        <w:t xml:space="preserve"> </w:t>
      </w:r>
      <w:r w:rsidR="00761C7C" w:rsidRPr="00AF0066">
        <w:rPr>
          <w:rFonts w:ascii="Arial" w:hAnsi="Arial" w:cs="Arial"/>
          <w:sz w:val="24"/>
          <w:szCs w:val="24"/>
        </w:rPr>
        <w:t>2017</w:t>
      </w:r>
      <w:r w:rsidR="005A7E74" w:rsidRPr="00AF0066">
        <w:rPr>
          <w:rFonts w:ascii="Arial" w:hAnsi="Arial" w:cs="Arial"/>
          <w:sz w:val="24"/>
          <w:szCs w:val="24"/>
        </w:rPr>
        <w:t>,</w:t>
      </w:r>
      <w:r w:rsidR="00761C7C" w:rsidRPr="00AF0066">
        <w:rPr>
          <w:rFonts w:ascii="Arial" w:hAnsi="Arial" w:cs="Arial"/>
          <w:sz w:val="24"/>
          <w:szCs w:val="24"/>
        </w:rPr>
        <w:t xml:space="preserve"> 24</w:t>
      </w:r>
      <w:r w:rsidR="00F10588">
        <w:rPr>
          <w:rFonts w:ascii="Arial" w:hAnsi="Arial" w:cs="Arial"/>
          <w:sz w:val="24"/>
          <w:szCs w:val="24"/>
        </w:rPr>
        <w:t>3</w:t>
      </w:r>
      <w:r w:rsidR="00761C7C" w:rsidRPr="00AF0066">
        <w:rPr>
          <w:rFonts w:ascii="Arial" w:hAnsi="Arial" w:cs="Arial"/>
          <w:sz w:val="24"/>
          <w:szCs w:val="24"/>
        </w:rPr>
        <w:t xml:space="preserve"> patients</w:t>
      </w:r>
      <w:r w:rsidR="006D4481" w:rsidRPr="00AF0066">
        <w:rPr>
          <w:rFonts w:ascii="Arial" w:hAnsi="Arial" w:cs="Arial"/>
          <w:sz w:val="24"/>
          <w:szCs w:val="24"/>
        </w:rPr>
        <w:t xml:space="preserve"> w</w:t>
      </w:r>
      <w:r w:rsidR="00533523">
        <w:rPr>
          <w:rFonts w:ascii="Arial" w:hAnsi="Arial" w:cs="Arial"/>
          <w:sz w:val="24"/>
          <w:szCs w:val="24"/>
        </w:rPr>
        <w:t>ith a m</w:t>
      </w:r>
      <w:r w:rsidR="00761C7C" w:rsidRPr="00AF0066">
        <w:rPr>
          <w:rFonts w:ascii="Arial" w:hAnsi="Arial" w:cs="Arial"/>
          <w:sz w:val="24"/>
          <w:szCs w:val="24"/>
        </w:rPr>
        <w:t>edian age</w:t>
      </w:r>
      <w:r w:rsidR="00533523">
        <w:rPr>
          <w:rFonts w:ascii="Arial" w:hAnsi="Arial" w:cs="Arial"/>
          <w:sz w:val="24"/>
          <w:szCs w:val="24"/>
        </w:rPr>
        <w:t xml:space="preserve"> of</w:t>
      </w:r>
      <w:r w:rsidR="00761C7C" w:rsidRPr="00AF0066">
        <w:rPr>
          <w:rFonts w:ascii="Arial" w:hAnsi="Arial" w:cs="Arial"/>
          <w:sz w:val="24"/>
          <w:szCs w:val="24"/>
        </w:rPr>
        <w:t xml:space="preserve"> 76 years (range 60-88) enter</w:t>
      </w:r>
      <w:r w:rsidR="00533523">
        <w:rPr>
          <w:rFonts w:ascii="Arial" w:hAnsi="Arial" w:cs="Arial"/>
          <w:sz w:val="24"/>
          <w:szCs w:val="24"/>
        </w:rPr>
        <w:t>ed</w:t>
      </w:r>
      <w:r w:rsidR="00761C7C" w:rsidRPr="00AF0066">
        <w:rPr>
          <w:rFonts w:ascii="Arial" w:hAnsi="Arial" w:cs="Arial"/>
          <w:sz w:val="24"/>
          <w:szCs w:val="24"/>
        </w:rPr>
        <w:t xml:space="preserve"> the randomisation</w:t>
      </w:r>
      <w:r w:rsidR="00432646" w:rsidRPr="00AF0066">
        <w:rPr>
          <w:rFonts w:ascii="Arial" w:hAnsi="Arial" w:cs="Arial"/>
          <w:sz w:val="24"/>
          <w:szCs w:val="24"/>
        </w:rPr>
        <w:t>,</w:t>
      </w:r>
      <w:r w:rsidR="00761C7C" w:rsidRPr="00AF0066">
        <w:rPr>
          <w:rFonts w:ascii="Arial" w:hAnsi="Arial" w:cs="Arial"/>
          <w:sz w:val="24"/>
          <w:szCs w:val="24"/>
        </w:rPr>
        <w:t xml:space="preserve"> of whom 60% were male</w:t>
      </w:r>
      <w:r w:rsidR="00533523">
        <w:rPr>
          <w:rFonts w:ascii="Arial" w:hAnsi="Arial" w:cs="Arial"/>
          <w:sz w:val="24"/>
          <w:szCs w:val="24"/>
        </w:rPr>
        <w:t xml:space="preserve"> and</w:t>
      </w:r>
      <w:r w:rsidR="006D4481" w:rsidRPr="00AF0066">
        <w:rPr>
          <w:rFonts w:ascii="Arial" w:hAnsi="Arial" w:cs="Arial"/>
          <w:sz w:val="24"/>
          <w:szCs w:val="24"/>
        </w:rPr>
        <w:t xml:space="preserve"> 40% female</w:t>
      </w:r>
      <w:r w:rsidR="00761C7C" w:rsidRPr="00AF0066">
        <w:rPr>
          <w:rFonts w:ascii="Arial" w:hAnsi="Arial" w:cs="Arial"/>
          <w:sz w:val="24"/>
          <w:szCs w:val="24"/>
        </w:rPr>
        <w:t>. Sixty-six percent</w:t>
      </w:r>
      <w:r w:rsidR="003A0157" w:rsidRPr="00AF0066">
        <w:rPr>
          <w:rFonts w:ascii="Arial" w:hAnsi="Arial" w:cs="Arial"/>
          <w:sz w:val="24"/>
          <w:szCs w:val="24"/>
        </w:rPr>
        <w:t xml:space="preserve"> had de n</w:t>
      </w:r>
      <w:r w:rsidR="00761C7C" w:rsidRPr="00AF0066">
        <w:rPr>
          <w:rFonts w:ascii="Arial" w:hAnsi="Arial" w:cs="Arial"/>
          <w:sz w:val="24"/>
          <w:szCs w:val="24"/>
        </w:rPr>
        <w:t>ovo</w:t>
      </w:r>
      <w:r w:rsidR="00533523">
        <w:rPr>
          <w:rFonts w:ascii="Arial" w:hAnsi="Arial" w:cs="Arial"/>
          <w:sz w:val="24"/>
          <w:szCs w:val="24"/>
        </w:rPr>
        <w:t xml:space="preserve"> AML, 28% secondary AML, and 6%</w:t>
      </w:r>
      <w:r w:rsidR="006D4481" w:rsidRPr="00AF0066">
        <w:rPr>
          <w:rFonts w:ascii="Arial" w:hAnsi="Arial" w:cs="Arial"/>
          <w:sz w:val="24"/>
          <w:szCs w:val="24"/>
        </w:rPr>
        <w:t xml:space="preserve"> </w:t>
      </w:r>
      <w:r w:rsidR="00761C7C" w:rsidRPr="00AF0066">
        <w:rPr>
          <w:rFonts w:ascii="Arial" w:hAnsi="Arial" w:cs="Arial"/>
          <w:sz w:val="24"/>
          <w:szCs w:val="24"/>
        </w:rPr>
        <w:t>high risk MDS</w:t>
      </w:r>
      <w:r w:rsidR="006D4481" w:rsidRPr="00AF0066">
        <w:rPr>
          <w:rFonts w:ascii="Arial" w:hAnsi="Arial" w:cs="Arial"/>
          <w:sz w:val="24"/>
          <w:szCs w:val="24"/>
        </w:rPr>
        <w:t>. Cytogenetic analysis identified</w:t>
      </w:r>
      <w:r w:rsidR="00761C7C" w:rsidRPr="00AF0066">
        <w:rPr>
          <w:rFonts w:ascii="Arial" w:hAnsi="Arial" w:cs="Arial"/>
          <w:sz w:val="24"/>
          <w:szCs w:val="24"/>
        </w:rPr>
        <w:t xml:space="preserve"> 1% had favou</w:t>
      </w:r>
      <w:r w:rsidR="00533523">
        <w:rPr>
          <w:rFonts w:ascii="Arial" w:hAnsi="Arial" w:cs="Arial"/>
          <w:sz w:val="24"/>
          <w:szCs w:val="24"/>
        </w:rPr>
        <w:t xml:space="preserve">rable, </w:t>
      </w:r>
      <w:r w:rsidR="00821E2F">
        <w:rPr>
          <w:rFonts w:ascii="Arial" w:hAnsi="Arial" w:cs="Arial"/>
          <w:sz w:val="24"/>
          <w:szCs w:val="24"/>
        </w:rPr>
        <w:t>65</w:t>
      </w:r>
      <w:r w:rsidR="00533523">
        <w:rPr>
          <w:rFonts w:ascii="Arial" w:hAnsi="Arial" w:cs="Arial"/>
          <w:sz w:val="24"/>
          <w:szCs w:val="24"/>
        </w:rPr>
        <w:t>% intermediate and 2</w:t>
      </w:r>
      <w:r w:rsidR="00821E2F">
        <w:rPr>
          <w:rFonts w:ascii="Arial" w:hAnsi="Arial" w:cs="Arial"/>
          <w:sz w:val="24"/>
          <w:szCs w:val="24"/>
        </w:rPr>
        <w:t>2</w:t>
      </w:r>
      <w:r w:rsidR="00533523">
        <w:rPr>
          <w:rFonts w:ascii="Arial" w:hAnsi="Arial" w:cs="Arial"/>
          <w:sz w:val="24"/>
          <w:szCs w:val="24"/>
        </w:rPr>
        <w:t>%</w:t>
      </w:r>
      <w:r w:rsidR="006D4481" w:rsidRPr="00AF0066">
        <w:rPr>
          <w:rFonts w:ascii="Arial" w:hAnsi="Arial" w:cs="Arial"/>
          <w:sz w:val="24"/>
          <w:szCs w:val="24"/>
        </w:rPr>
        <w:t xml:space="preserve"> </w:t>
      </w:r>
      <w:r w:rsidR="00761C7C" w:rsidRPr="00AF0066">
        <w:rPr>
          <w:rFonts w:ascii="Arial" w:hAnsi="Arial" w:cs="Arial"/>
          <w:sz w:val="24"/>
          <w:szCs w:val="24"/>
        </w:rPr>
        <w:t>adverse cytogenetics</w:t>
      </w:r>
      <w:r w:rsidRPr="00AF0066">
        <w:rPr>
          <w:rFonts w:ascii="Arial" w:hAnsi="Arial" w:cs="Arial"/>
          <w:sz w:val="24"/>
          <w:szCs w:val="24"/>
        </w:rPr>
        <w:t xml:space="preserve"> (table1)</w:t>
      </w:r>
      <w:r w:rsidR="00761C7C" w:rsidRPr="00AF0066">
        <w:rPr>
          <w:rFonts w:ascii="Arial" w:hAnsi="Arial" w:cs="Arial"/>
          <w:sz w:val="24"/>
          <w:szCs w:val="24"/>
        </w:rPr>
        <w:t>. By the validated Wheatley index</w:t>
      </w:r>
      <w:r w:rsidR="00F12DF1">
        <w:rPr>
          <w:rFonts w:ascii="Arial" w:hAnsi="Arial" w:cs="Arial"/>
          <w:sz w:val="24"/>
          <w:szCs w:val="24"/>
          <w:vertAlign w:val="superscript"/>
        </w:rPr>
        <w:t>1</w:t>
      </w:r>
      <w:r w:rsidR="00945AD4">
        <w:rPr>
          <w:rFonts w:ascii="Arial" w:hAnsi="Arial" w:cs="Arial"/>
          <w:sz w:val="24"/>
          <w:szCs w:val="24"/>
          <w:vertAlign w:val="superscript"/>
        </w:rPr>
        <w:t>9</w:t>
      </w:r>
      <w:r w:rsidR="00761C7C" w:rsidRPr="00AF0066">
        <w:rPr>
          <w:rFonts w:ascii="Arial" w:hAnsi="Arial" w:cs="Arial"/>
          <w:sz w:val="24"/>
          <w:szCs w:val="24"/>
        </w:rPr>
        <w:t xml:space="preserve">, </w:t>
      </w:r>
      <w:r w:rsidR="00821E2F">
        <w:rPr>
          <w:rFonts w:ascii="Arial" w:hAnsi="Arial" w:cs="Arial"/>
          <w:sz w:val="24"/>
          <w:szCs w:val="24"/>
        </w:rPr>
        <w:t>5</w:t>
      </w:r>
      <w:r w:rsidR="00761C7C" w:rsidRPr="00AF0066">
        <w:rPr>
          <w:rFonts w:ascii="Arial" w:hAnsi="Arial" w:cs="Arial"/>
          <w:sz w:val="24"/>
          <w:szCs w:val="24"/>
        </w:rPr>
        <w:t xml:space="preserve">% were good risk, 36% standard risk and </w:t>
      </w:r>
      <w:r w:rsidR="00821E2F">
        <w:rPr>
          <w:rFonts w:ascii="Arial" w:hAnsi="Arial" w:cs="Arial"/>
          <w:sz w:val="24"/>
          <w:szCs w:val="24"/>
        </w:rPr>
        <w:t>58</w:t>
      </w:r>
      <w:r w:rsidR="00761C7C" w:rsidRPr="00AF0066">
        <w:rPr>
          <w:rFonts w:ascii="Arial" w:hAnsi="Arial" w:cs="Arial"/>
          <w:sz w:val="24"/>
          <w:szCs w:val="24"/>
        </w:rPr>
        <w:t xml:space="preserve">% poor risk. </w:t>
      </w:r>
      <w:r w:rsidRPr="00AF0066">
        <w:rPr>
          <w:rFonts w:ascii="Arial" w:hAnsi="Arial" w:cs="Arial"/>
          <w:sz w:val="24"/>
          <w:szCs w:val="24"/>
        </w:rPr>
        <w:t xml:space="preserve">This validated score would predict an expected 12 month survival of 36%, 42% and 14% for LDAC monotherapy in the three risk groups based on historical data, and would be equivalent to a predicted overall 12-month survival of approximately 25%. </w:t>
      </w:r>
    </w:p>
    <w:p w14:paraId="3C70A8B9" w14:textId="2B66C0CD" w:rsidR="009870AB" w:rsidRPr="00AF0066" w:rsidRDefault="00761C7C" w:rsidP="00D11AD2">
      <w:pPr>
        <w:tabs>
          <w:tab w:val="left" w:pos="1418"/>
        </w:tabs>
        <w:spacing w:line="480" w:lineRule="auto"/>
        <w:jc w:val="both"/>
        <w:rPr>
          <w:rFonts w:ascii="Arial" w:hAnsi="Arial" w:cs="Arial"/>
          <w:sz w:val="24"/>
          <w:szCs w:val="24"/>
        </w:rPr>
      </w:pPr>
      <w:r w:rsidRPr="00AF0066">
        <w:rPr>
          <w:rFonts w:ascii="Arial" w:hAnsi="Arial" w:cs="Arial"/>
          <w:sz w:val="24"/>
          <w:szCs w:val="24"/>
        </w:rPr>
        <w:t xml:space="preserve">The disposition of the patients is shown in </w:t>
      </w:r>
      <w:r w:rsidR="00EC6734" w:rsidRPr="00AF0066">
        <w:rPr>
          <w:rFonts w:ascii="Arial" w:hAnsi="Arial" w:cs="Arial"/>
          <w:sz w:val="24"/>
          <w:szCs w:val="24"/>
        </w:rPr>
        <w:t>f</w:t>
      </w:r>
      <w:r w:rsidRPr="00AF0066">
        <w:rPr>
          <w:rFonts w:ascii="Arial" w:hAnsi="Arial" w:cs="Arial"/>
          <w:sz w:val="24"/>
          <w:szCs w:val="24"/>
        </w:rPr>
        <w:t>igure 1 (CONSORT diagram). A median of 2 courses (range 1-8) was delivered in either arm</w:t>
      </w:r>
      <w:r w:rsidR="006D4481" w:rsidRPr="00AF0066">
        <w:rPr>
          <w:rFonts w:ascii="Arial" w:hAnsi="Arial" w:cs="Arial"/>
          <w:sz w:val="24"/>
          <w:szCs w:val="24"/>
        </w:rPr>
        <w:t>.</w:t>
      </w:r>
      <w:r w:rsidR="00030C3A" w:rsidRPr="00030C3A">
        <w:t xml:space="preserve"> </w:t>
      </w:r>
      <w:r w:rsidR="00030C3A" w:rsidRPr="00030C3A">
        <w:rPr>
          <w:rFonts w:ascii="Arial" w:hAnsi="Arial" w:cs="Arial"/>
          <w:sz w:val="24"/>
          <w:szCs w:val="24"/>
        </w:rPr>
        <w:t>For LDAC-T the mean was 2.9; and number of courses was 0=6%; 1=38%; 2=24%; 3=5%; 4=6%; 5=5%; 6=4%; 7=3%; 8=13%.</w:t>
      </w:r>
      <w:r w:rsidR="006D4481" w:rsidRPr="00AF0066">
        <w:t xml:space="preserve"> </w:t>
      </w:r>
      <w:r w:rsidR="006D4481" w:rsidRPr="00AF0066">
        <w:rPr>
          <w:rFonts w:ascii="Arial" w:hAnsi="Arial" w:cs="Arial"/>
          <w:sz w:val="24"/>
          <w:szCs w:val="24"/>
        </w:rPr>
        <w:t xml:space="preserve">For LDAC alone, the mean was 2.3, and the number of courses was 0=5%; 1=34%; 2=18%; 3=4%; 4=10%; 5=3%; 6=9%; 7=2%; 8=15%; p= 0.3). </w:t>
      </w:r>
      <w:r w:rsidRPr="00AF0066">
        <w:rPr>
          <w:rFonts w:ascii="Arial" w:hAnsi="Arial" w:cs="Arial"/>
          <w:sz w:val="24"/>
          <w:szCs w:val="24"/>
        </w:rPr>
        <w:t xml:space="preserve"> </w:t>
      </w:r>
      <w:r w:rsidR="00F277D7" w:rsidRPr="00AF0066">
        <w:rPr>
          <w:rFonts w:ascii="Arial" w:hAnsi="Arial" w:cs="Arial"/>
          <w:sz w:val="24"/>
          <w:szCs w:val="24"/>
        </w:rPr>
        <w:t xml:space="preserve"> </w:t>
      </w:r>
    </w:p>
    <w:p w14:paraId="490595CD" w14:textId="62DB70E0" w:rsidR="009870AB" w:rsidRPr="00AF0066" w:rsidRDefault="009870AB" w:rsidP="00D11AD2">
      <w:pPr>
        <w:tabs>
          <w:tab w:val="left" w:pos="1418"/>
        </w:tabs>
        <w:spacing w:line="480" w:lineRule="auto"/>
        <w:jc w:val="both"/>
        <w:rPr>
          <w:rFonts w:ascii="Arial" w:hAnsi="Arial" w:cs="Arial"/>
          <w:sz w:val="24"/>
          <w:szCs w:val="24"/>
        </w:rPr>
      </w:pPr>
      <w:r w:rsidRPr="00AF0066">
        <w:rPr>
          <w:rFonts w:ascii="Arial" w:hAnsi="Arial" w:cs="Arial"/>
          <w:sz w:val="24"/>
          <w:szCs w:val="24"/>
        </w:rPr>
        <w:t xml:space="preserve">The reasons provided by investigators for not receiving intensive therapy were age in 90% of cases, fitness in 45% of cases (both together in 38% of cases), and other reasons in 5% of cases of which over half were patient choice. </w:t>
      </w:r>
      <w:r w:rsidR="00F6792A">
        <w:rPr>
          <w:rFonts w:ascii="Arial" w:hAnsi="Arial" w:cs="Arial"/>
          <w:sz w:val="24"/>
          <w:szCs w:val="24"/>
        </w:rPr>
        <w:t xml:space="preserve">The HCT-CI was (0 = 42%, 1-2 = </w:t>
      </w:r>
      <w:r w:rsidR="00F10588">
        <w:rPr>
          <w:rFonts w:ascii="Arial" w:hAnsi="Arial" w:cs="Arial"/>
          <w:sz w:val="24"/>
          <w:szCs w:val="24"/>
        </w:rPr>
        <w:t>30</w:t>
      </w:r>
      <w:r w:rsidR="00F6792A">
        <w:rPr>
          <w:rFonts w:ascii="Arial" w:hAnsi="Arial" w:cs="Arial"/>
          <w:sz w:val="24"/>
          <w:szCs w:val="24"/>
        </w:rPr>
        <w:t>%, 3+ =2</w:t>
      </w:r>
      <w:r w:rsidR="00F10588">
        <w:rPr>
          <w:rFonts w:ascii="Arial" w:hAnsi="Arial" w:cs="Arial"/>
          <w:sz w:val="24"/>
          <w:szCs w:val="24"/>
        </w:rPr>
        <w:t>8</w:t>
      </w:r>
      <w:r w:rsidR="00F6792A">
        <w:rPr>
          <w:rFonts w:ascii="Arial" w:hAnsi="Arial" w:cs="Arial"/>
          <w:sz w:val="24"/>
          <w:szCs w:val="24"/>
        </w:rPr>
        <w:t xml:space="preserve">%). </w:t>
      </w:r>
      <w:r w:rsidRPr="00AF0066">
        <w:rPr>
          <w:rFonts w:ascii="Arial" w:hAnsi="Arial" w:cs="Arial"/>
          <w:sz w:val="24"/>
          <w:szCs w:val="24"/>
        </w:rPr>
        <w:t xml:space="preserve">Of the co-morbidities listed on entry, the most frequent were those described as prior tumour (14%), diabetes (13%); cardiac (9%); infection </w:t>
      </w:r>
      <w:r w:rsidRPr="00AF0066">
        <w:rPr>
          <w:rFonts w:ascii="Arial" w:hAnsi="Arial" w:cs="Arial"/>
          <w:sz w:val="24"/>
          <w:szCs w:val="24"/>
        </w:rPr>
        <w:lastRenderedPageBreak/>
        <w:t>(9%), mild-to-moderate pulmonary (8%); rheumatological (8%); obesity (8%) and arrhythmia (5%) (</w:t>
      </w:r>
      <w:r w:rsidR="00DB5E72">
        <w:rPr>
          <w:rFonts w:ascii="Arial" w:hAnsi="Arial" w:cs="Arial"/>
          <w:sz w:val="24"/>
          <w:szCs w:val="24"/>
        </w:rPr>
        <w:t>table 1</w:t>
      </w:r>
      <w:r w:rsidRPr="00AF0066">
        <w:rPr>
          <w:rFonts w:ascii="Arial" w:hAnsi="Arial" w:cs="Arial"/>
          <w:sz w:val="24"/>
          <w:szCs w:val="24"/>
        </w:rPr>
        <w:t>). No other co-morbidity was present in more than 5% of patients.</w:t>
      </w:r>
    </w:p>
    <w:p w14:paraId="5BF4A27F" w14:textId="77777777" w:rsidR="00AF0066" w:rsidRPr="00AF0066" w:rsidRDefault="00761C7C" w:rsidP="00D11AD2">
      <w:pPr>
        <w:tabs>
          <w:tab w:val="left" w:pos="1418"/>
        </w:tabs>
        <w:spacing w:line="480" w:lineRule="auto"/>
        <w:jc w:val="both"/>
        <w:rPr>
          <w:rFonts w:ascii="Arial" w:hAnsi="Arial" w:cs="Arial"/>
          <w:b/>
          <w:sz w:val="24"/>
          <w:szCs w:val="24"/>
        </w:rPr>
      </w:pPr>
      <w:r w:rsidRPr="00AF0066">
        <w:rPr>
          <w:rFonts w:ascii="Arial" w:hAnsi="Arial" w:cs="Arial"/>
          <w:b/>
          <w:sz w:val="24"/>
          <w:szCs w:val="24"/>
        </w:rPr>
        <w:t xml:space="preserve">Response: </w:t>
      </w:r>
    </w:p>
    <w:p w14:paraId="0945F26F" w14:textId="22FA5696" w:rsidR="00AF0066" w:rsidRPr="00AF0066" w:rsidRDefault="00AF0066" w:rsidP="00D11AD2">
      <w:pPr>
        <w:tabs>
          <w:tab w:val="left" w:pos="1418"/>
        </w:tabs>
        <w:spacing w:line="480" w:lineRule="auto"/>
        <w:jc w:val="both"/>
        <w:rPr>
          <w:rFonts w:ascii="Arial" w:hAnsi="Arial" w:cs="Arial"/>
          <w:sz w:val="24"/>
          <w:szCs w:val="24"/>
        </w:rPr>
      </w:pPr>
      <w:r w:rsidRPr="00AF0066">
        <w:rPr>
          <w:rFonts w:ascii="Arial" w:hAnsi="Arial" w:cs="Arial"/>
          <w:sz w:val="24"/>
          <w:szCs w:val="24"/>
        </w:rPr>
        <w:t>In</w:t>
      </w:r>
      <w:r w:rsidR="000A73AC">
        <w:rPr>
          <w:rFonts w:ascii="Arial" w:hAnsi="Arial" w:cs="Arial"/>
          <w:sz w:val="24"/>
          <w:szCs w:val="24"/>
        </w:rPr>
        <w:t xml:space="preserve">itial assessment by the DMC </w:t>
      </w:r>
      <w:r w:rsidR="00AE0961">
        <w:rPr>
          <w:rFonts w:ascii="Arial" w:hAnsi="Arial" w:cs="Arial"/>
          <w:sz w:val="24"/>
          <w:szCs w:val="24"/>
        </w:rPr>
        <w:t xml:space="preserve">after the first 100 patients </w:t>
      </w:r>
      <w:r w:rsidR="000A73AC">
        <w:rPr>
          <w:rFonts w:ascii="Arial" w:hAnsi="Arial" w:cs="Arial"/>
          <w:sz w:val="24"/>
          <w:szCs w:val="24"/>
        </w:rPr>
        <w:t>in September 2015 agreed that the randomisation should continue. In</w:t>
      </w:r>
      <w:r w:rsidRPr="00AF0066">
        <w:rPr>
          <w:rFonts w:ascii="Arial" w:hAnsi="Arial" w:cs="Arial"/>
          <w:sz w:val="24"/>
          <w:szCs w:val="24"/>
        </w:rPr>
        <w:t xml:space="preserve"> February 2017, the DMC performed an outcomes assessment on the LDAC</w:t>
      </w:r>
      <w:r w:rsidR="00030C3A" w:rsidRPr="00030C3A">
        <w:rPr>
          <w:rFonts w:ascii="Arial" w:hAnsi="Arial" w:cs="Arial"/>
          <w:sz w:val="24"/>
          <w:szCs w:val="24"/>
        </w:rPr>
        <w:t>-T</w:t>
      </w:r>
      <w:r w:rsidRPr="00AF0066">
        <w:rPr>
          <w:rFonts w:ascii="Arial" w:hAnsi="Arial" w:cs="Arial"/>
          <w:sz w:val="24"/>
          <w:szCs w:val="24"/>
        </w:rPr>
        <w:t xml:space="preserve"> versus LDAC arms of the LI-1 trial (n=24</w:t>
      </w:r>
      <w:r w:rsidR="00F10588">
        <w:rPr>
          <w:rFonts w:ascii="Arial" w:hAnsi="Arial" w:cs="Arial"/>
          <w:sz w:val="24"/>
          <w:szCs w:val="24"/>
        </w:rPr>
        <w:t>3</w:t>
      </w:r>
      <w:r w:rsidRPr="00AF0066">
        <w:rPr>
          <w:rFonts w:ascii="Arial" w:hAnsi="Arial" w:cs="Arial"/>
          <w:sz w:val="24"/>
          <w:szCs w:val="24"/>
        </w:rPr>
        <w:t>), at which point additional randomi</w:t>
      </w:r>
      <w:r w:rsidR="00E25743">
        <w:rPr>
          <w:rFonts w:ascii="Arial" w:hAnsi="Arial" w:cs="Arial"/>
          <w:sz w:val="24"/>
          <w:szCs w:val="24"/>
        </w:rPr>
        <w:t>s</w:t>
      </w:r>
      <w:r w:rsidRPr="00AF0066">
        <w:rPr>
          <w:rFonts w:ascii="Arial" w:hAnsi="Arial" w:cs="Arial"/>
          <w:sz w:val="24"/>
          <w:szCs w:val="24"/>
        </w:rPr>
        <w:t>ations were suspended pending the review. At the second interim analysis</w:t>
      </w:r>
      <w:r w:rsidR="00E25743">
        <w:rPr>
          <w:rFonts w:ascii="Arial" w:hAnsi="Arial" w:cs="Arial"/>
          <w:sz w:val="24"/>
          <w:szCs w:val="24"/>
        </w:rPr>
        <w:t xml:space="preserve"> in November 2017</w:t>
      </w:r>
      <w:r w:rsidRPr="00AF0066">
        <w:rPr>
          <w:rFonts w:ascii="Arial" w:hAnsi="Arial" w:cs="Arial"/>
          <w:sz w:val="24"/>
          <w:szCs w:val="24"/>
        </w:rPr>
        <w:t xml:space="preserve"> after 183 events, while there was a benefit in remission rates,  </w:t>
      </w:r>
      <w:r w:rsidR="000A73AC">
        <w:rPr>
          <w:rFonts w:ascii="Arial" w:hAnsi="Arial" w:cs="Arial"/>
          <w:sz w:val="24"/>
          <w:szCs w:val="24"/>
        </w:rPr>
        <w:t xml:space="preserve">however </w:t>
      </w:r>
      <w:r w:rsidRPr="00AF0066">
        <w:rPr>
          <w:rFonts w:ascii="Arial" w:hAnsi="Arial" w:cs="Arial"/>
          <w:sz w:val="24"/>
          <w:szCs w:val="24"/>
        </w:rPr>
        <w:t xml:space="preserve">LDAC-T failed to show a sufficiently promising hazard ratio for survival, and </w:t>
      </w:r>
      <w:r w:rsidR="00E25743">
        <w:rPr>
          <w:rFonts w:ascii="Arial" w:hAnsi="Arial" w:cs="Arial"/>
          <w:sz w:val="24"/>
          <w:szCs w:val="24"/>
        </w:rPr>
        <w:t xml:space="preserve">therefore on the recommendation of the DMC </w:t>
      </w:r>
      <w:r w:rsidRPr="00AF0066">
        <w:rPr>
          <w:rFonts w:ascii="Arial" w:hAnsi="Arial" w:cs="Arial"/>
          <w:sz w:val="24"/>
          <w:szCs w:val="24"/>
        </w:rPr>
        <w:t>the arm was closed.  Patients who were benefitting from tosedostat were permitted to stay on treatment.</w:t>
      </w:r>
      <w:r w:rsidR="00E323C3">
        <w:rPr>
          <w:rFonts w:ascii="Arial" w:hAnsi="Arial" w:cs="Arial"/>
          <w:sz w:val="24"/>
          <w:szCs w:val="24"/>
        </w:rPr>
        <w:t xml:space="preserve"> The data presented here represents an analysis undertaken after the DMC recommendation with cleaner data and more mature follow up. </w:t>
      </w:r>
    </w:p>
    <w:p w14:paraId="7650B615" w14:textId="0FC33909" w:rsidR="00761C7C" w:rsidRPr="00AF0066" w:rsidRDefault="00761C7C" w:rsidP="00D11AD2">
      <w:pPr>
        <w:tabs>
          <w:tab w:val="left" w:pos="1418"/>
        </w:tabs>
        <w:spacing w:line="480" w:lineRule="auto"/>
        <w:jc w:val="both"/>
        <w:rPr>
          <w:rFonts w:ascii="Arial" w:hAnsi="Arial" w:cs="Arial"/>
          <w:sz w:val="24"/>
          <w:szCs w:val="24"/>
        </w:rPr>
      </w:pPr>
      <w:r w:rsidRPr="00AF0066">
        <w:rPr>
          <w:rFonts w:ascii="Arial" w:hAnsi="Arial" w:cs="Arial"/>
          <w:sz w:val="24"/>
          <w:szCs w:val="24"/>
        </w:rPr>
        <w:t xml:space="preserve">Overall, </w:t>
      </w:r>
      <w:r w:rsidR="0007375D" w:rsidRPr="00AF0066">
        <w:rPr>
          <w:rFonts w:ascii="Arial" w:hAnsi="Arial" w:cs="Arial"/>
          <w:sz w:val="24"/>
          <w:szCs w:val="24"/>
        </w:rPr>
        <w:t>CR</w:t>
      </w:r>
      <w:r w:rsidRPr="00AF0066">
        <w:rPr>
          <w:rFonts w:ascii="Arial" w:hAnsi="Arial" w:cs="Arial"/>
          <w:sz w:val="24"/>
          <w:szCs w:val="24"/>
        </w:rPr>
        <w:t xml:space="preserve"> was achieved in 1</w:t>
      </w:r>
      <w:r w:rsidR="00D71522">
        <w:rPr>
          <w:rFonts w:ascii="Arial" w:hAnsi="Arial" w:cs="Arial"/>
          <w:sz w:val="24"/>
          <w:szCs w:val="24"/>
        </w:rPr>
        <w:t>6</w:t>
      </w:r>
      <w:r w:rsidRPr="00AF0066">
        <w:rPr>
          <w:rFonts w:ascii="Arial" w:hAnsi="Arial" w:cs="Arial"/>
          <w:sz w:val="24"/>
          <w:szCs w:val="24"/>
        </w:rPr>
        <w:t xml:space="preserve">% of patients with a further </w:t>
      </w:r>
      <w:r w:rsidR="00D71522">
        <w:rPr>
          <w:rFonts w:ascii="Arial" w:hAnsi="Arial" w:cs="Arial"/>
          <w:sz w:val="24"/>
          <w:szCs w:val="24"/>
        </w:rPr>
        <w:t>6</w:t>
      </w:r>
      <w:r w:rsidRPr="00AF0066">
        <w:rPr>
          <w:rFonts w:ascii="Arial" w:hAnsi="Arial" w:cs="Arial"/>
          <w:sz w:val="24"/>
          <w:szCs w:val="24"/>
        </w:rPr>
        <w:t xml:space="preserve">% achieving a CRi (total ORR </w:t>
      </w:r>
      <w:r w:rsidR="00D71522">
        <w:rPr>
          <w:rFonts w:ascii="Arial" w:hAnsi="Arial" w:cs="Arial"/>
          <w:sz w:val="24"/>
          <w:szCs w:val="24"/>
        </w:rPr>
        <w:t>21</w:t>
      </w:r>
      <w:r w:rsidRPr="00AF0066">
        <w:rPr>
          <w:rFonts w:ascii="Arial" w:hAnsi="Arial" w:cs="Arial"/>
          <w:sz w:val="24"/>
          <w:szCs w:val="24"/>
        </w:rPr>
        <w:t>%).  There was a non-significant increase in CR rate with tosedostat</w:t>
      </w:r>
      <w:r w:rsidR="00F97CF8" w:rsidRPr="00AF0066">
        <w:rPr>
          <w:rFonts w:ascii="Arial" w:hAnsi="Arial" w:cs="Arial"/>
          <w:sz w:val="24"/>
          <w:szCs w:val="24"/>
        </w:rPr>
        <w:t xml:space="preserve"> (LDAC</w:t>
      </w:r>
      <w:r w:rsidR="00724C04">
        <w:rPr>
          <w:rFonts w:ascii="Arial" w:hAnsi="Arial" w:cs="Arial"/>
          <w:sz w:val="24"/>
          <w:szCs w:val="24"/>
        </w:rPr>
        <w:t>-T</w:t>
      </w:r>
      <w:r w:rsidR="00F97CF8" w:rsidRPr="00AF0066">
        <w:rPr>
          <w:rFonts w:ascii="Arial" w:hAnsi="Arial" w:cs="Arial"/>
          <w:sz w:val="24"/>
          <w:szCs w:val="24"/>
        </w:rPr>
        <w:t xml:space="preserve"> vs LDAC)</w:t>
      </w:r>
      <w:r w:rsidRPr="00AF0066">
        <w:rPr>
          <w:rFonts w:ascii="Arial" w:hAnsi="Arial" w:cs="Arial"/>
          <w:sz w:val="24"/>
          <w:szCs w:val="24"/>
        </w:rPr>
        <w:t xml:space="preserve"> (1</w:t>
      </w:r>
      <w:r w:rsidR="00724C04">
        <w:rPr>
          <w:rFonts w:ascii="Arial" w:hAnsi="Arial" w:cs="Arial"/>
          <w:sz w:val="24"/>
          <w:szCs w:val="24"/>
        </w:rPr>
        <w:t>9</w:t>
      </w:r>
      <w:r w:rsidRPr="00AF0066">
        <w:rPr>
          <w:rFonts w:ascii="Arial" w:hAnsi="Arial" w:cs="Arial"/>
          <w:sz w:val="24"/>
          <w:szCs w:val="24"/>
        </w:rPr>
        <w:t>% vs 1</w:t>
      </w:r>
      <w:r w:rsidR="00724C04">
        <w:rPr>
          <w:rFonts w:ascii="Arial" w:hAnsi="Arial" w:cs="Arial"/>
          <w:sz w:val="24"/>
          <w:szCs w:val="24"/>
        </w:rPr>
        <w:t>2</w:t>
      </w:r>
      <w:r w:rsidRPr="00AF0066">
        <w:rPr>
          <w:rFonts w:ascii="Arial" w:hAnsi="Arial" w:cs="Arial"/>
          <w:sz w:val="24"/>
          <w:szCs w:val="24"/>
        </w:rPr>
        <w:t>%, OR 0.</w:t>
      </w:r>
      <w:r w:rsidR="00D71522">
        <w:rPr>
          <w:rFonts w:ascii="Arial" w:hAnsi="Arial" w:cs="Arial"/>
          <w:sz w:val="24"/>
          <w:szCs w:val="24"/>
        </w:rPr>
        <w:t>61</w:t>
      </w:r>
      <w:r w:rsidRPr="00AF0066">
        <w:rPr>
          <w:rFonts w:ascii="Arial" w:hAnsi="Arial" w:cs="Arial"/>
          <w:sz w:val="24"/>
          <w:szCs w:val="24"/>
        </w:rPr>
        <w:t xml:space="preserve"> (0.</w:t>
      </w:r>
      <w:r w:rsidR="00D71522">
        <w:rPr>
          <w:rFonts w:ascii="Arial" w:hAnsi="Arial" w:cs="Arial"/>
          <w:sz w:val="24"/>
          <w:szCs w:val="24"/>
        </w:rPr>
        <w:t>30</w:t>
      </w:r>
      <w:r w:rsidRPr="00AF0066">
        <w:rPr>
          <w:rFonts w:ascii="Arial" w:hAnsi="Arial" w:cs="Arial"/>
          <w:sz w:val="24"/>
          <w:szCs w:val="24"/>
        </w:rPr>
        <w:t>-1.</w:t>
      </w:r>
      <w:r w:rsidR="00D71522">
        <w:rPr>
          <w:rFonts w:ascii="Arial" w:hAnsi="Arial" w:cs="Arial"/>
          <w:sz w:val="24"/>
          <w:szCs w:val="24"/>
        </w:rPr>
        <w:t>23</w:t>
      </w:r>
      <w:r w:rsidRPr="00AF0066">
        <w:rPr>
          <w:rFonts w:ascii="Arial" w:hAnsi="Arial" w:cs="Arial"/>
          <w:sz w:val="24"/>
          <w:szCs w:val="24"/>
        </w:rPr>
        <w:t>) p=0.1</w:t>
      </w:r>
      <w:r w:rsidR="00D71522">
        <w:rPr>
          <w:rFonts w:ascii="Arial" w:hAnsi="Arial" w:cs="Arial"/>
          <w:sz w:val="24"/>
          <w:szCs w:val="24"/>
        </w:rPr>
        <w:t>7</w:t>
      </w:r>
      <w:r w:rsidRPr="00AF0066">
        <w:rPr>
          <w:rFonts w:ascii="Arial" w:hAnsi="Arial" w:cs="Arial"/>
          <w:sz w:val="24"/>
          <w:szCs w:val="24"/>
        </w:rPr>
        <w:t>)</w:t>
      </w:r>
      <w:r w:rsidR="006C5D5A" w:rsidRPr="00AF0066">
        <w:rPr>
          <w:rFonts w:ascii="Arial" w:hAnsi="Arial" w:cs="Arial"/>
          <w:sz w:val="24"/>
          <w:szCs w:val="24"/>
        </w:rPr>
        <w:t>. For the overall response (CR+CRi)</w:t>
      </w:r>
      <w:r w:rsidRPr="00AF0066">
        <w:rPr>
          <w:rFonts w:ascii="Arial" w:hAnsi="Arial" w:cs="Arial"/>
          <w:sz w:val="24"/>
          <w:szCs w:val="24"/>
        </w:rPr>
        <w:t xml:space="preserve">, </w:t>
      </w:r>
      <w:r w:rsidR="006C5D5A" w:rsidRPr="00AF0066">
        <w:rPr>
          <w:rFonts w:ascii="Arial" w:hAnsi="Arial" w:cs="Arial"/>
          <w:sz w:val="24"/>
          <w:szCs w:val="24"/>
        </w:rPr>
        <w:t>the</w:t>
      </w:r>
      <w:r w:rsidR="00D71522">
        <w:rPr>
          <w:rFonts w:ascii="Arial" w:hAnsi="Arial" w:cs="Arial"/>
          <w:sz w:val="24"/>
          <w:szCs w:val="24"/>
        </w:rPr>
        <w:t>re was little evidence that a</w:t>
      </w:r>
      <w:r w:rsidR="006C5D5A" w:rsidRPr="00AF0066">
        <w:rPr>
          <w:rFonts w:ascii="Arial" w:hAnsi="Arial" w:cs="Arial"/>
          <w:sz w:val="24"/>
          <w:szCs w:val="24"/>
        </w:rPr>
        <w:t xml:space="preserve"> benefit of the addition of tosedostat could be seen </w:t>
      </w:r>
      <w:r w:rsidRPr="00AF0066">
        <w:rPr>
          <w:rFonts w:ascii="Arial" w:hAnsi="Arial" w:cs="Arial"/>
          <w:sz w:val="24"/>
          <w:szCs w:val="24"/>
        </w:rPr>
        <w:t>(</w:t>
      </w:r>
      <w:r w:rsidR="00724C04">
        <w:rPr>
          <w:rFonts w:ascii="Arial" w:hAnsi="Arial" w:cs="Arial"/>
          <w:sz w:val="24"/>
          <w:szCs w:val="24"/>
        </w:rPr>
        <w:t>25</w:t>
      </w:r>
      <w:r w:rsidRPr="00AF0066">
        <w:rPr>
          <w:rFonts w:ascii="Arial" w:hAnsi="Arial" w:cs="Arial"/>
          <w:sz w:val="24"/>
          <w:szCs w:val="24"/>
        </w:rPr>
        <w:t>% vs</w:t>
      </w:r>
      <w:r w:rsidR="00724C04">
        <w:rPr>
          <w:rFonts w:ascii="Arial" w:hAnsi="Arial" w:cs="Arial"/>
          <w:sz w:val="24"/>
          <w:szCs w:val="24"/>
        </w:rPr>
        <w:t>18</w:t>
      </w:r>
      <w:r w:rsidRPr="00AF0066">
        <w:rPr>
          <w:rFonts w:ascii="Arial" w:hAnsi="Arial" w:cs="Arial"/>
          <w:sz w:val="24"/>
          <w:szCs w:val="24"/>
        </w:rPr>
        <w:t>%; OR 0.</w:t>
      </w:r>
      <w:r w:rsidR="00D71522">
        <w:rPr>
          <w:rFonts w:ascii="Arial" w:hAnsi="Arial" w:cs="Arial"/>
          <w:sz w:val="24"/>
          <w:szCs w:val="24"/>
        </w:rPr>
        <w:t>68</w:t>
      </w:r>
      <w:r w:rsidRPr="00AF0066">
        <w:rPr>
          <w:rFonts w:ascii="Arial" w:hAnsi="Arial" w:cs="Arial"/>
          <w:sz w:val="24"/>
          <w:szCs w:val="24"/>
        </w:rPr>
        <w:t xml:space="preserve"> (0.</w:t>
      </w:r>
      <w:r w:rsidR="00D71522">
        <w:rPr>
          <w:rFonts w:ascii="Arial" w:hAnsi="Arial" w:cs="Arial"/>
          <w:sz w:val="24"/>
          <w:szCs w:val="24"/>
        </w:rPr>
        <w:t>37</w:t>
      </w:r>
      <w:r w:rsidRPr="00AF0066">
        <w:rPr>
          <w:rFonts w:ascii="Arial" w:hAnsi="Arial" w:cs="Arial"/>
          <w:sz w:val="24"/>
          <w:szCs w:val="24"/>
        </w:rPr>
        <w:t>-1.</w:t>
      </w:r>
      <w:r w:rsidR="00D71522">
        <w:rPr>
          <w:rFonts w:ascii="Arial" w:hAnsi="Arial" w:cs="Arial"/>
          <w:sz w:val="24"/>
          <w:szCs w:val="24"/>
        </w:rPr>
        <w:t>27</w:t>
      </w:r>
      <w:r w:rsidRPr="00AF0066">
        <w:rPr>
          <w:rFonts w:ascii="Arial" w:hAnsi="Arial" w:cs="Arial"/>
          <w:sz w:val="24"/>
          <w:szCs w:val="24"/>
        </w:rPr>
        <w:t>) p=0.</w:t>
      </w:r>
      <w:r w:rsidR="00D71522">
        <w:rPr>
          <w:rFonts w:ascii="Arial" w:hAnsi="Arial" w:cs="Arial"/>
          <w:sz w:val="24"/>
          <w:szCs w:val="24"/>
        </w:rPr>
        <w:t>22</w:t>
      </w:r>
      <w:r w:rsidRPr="00AF0066">
        <w:rPr>
          <w:rFonts w:ascii="Arial" w:hAnsi="Arial" w:cs="Arial"/>
          <w:sz w:val="24"/>
          <w:szCs w:val="24"/>
        </w:rPr>
        <w:t>).</w:t>
      </w:r>
      <w:r w:rsidR="008E77C8" w:rsidRPr="008E77C8">
        <w:rPr>
          <w:rFonts w:ascii="Arial" w:hAnsi="Arial" w:cs="Arial"/>
          <w:sz w:val="24"/>
          <w:szCs w:val="24"/>
        </w:rPr>
        <w:t xml:space="preserve"> </w:t>
      </w:r>
      <w:r w:rsidR="008E77C8">
        <w:rPr>
          <w:rFonts w:ascii="Arial" w:hAnsi="Arial" w:cs="Arial"/>
          <w:sz w:val="24"/>
          <w:szCs w:val="24"/>
        </w:rPr>
        <w:t xml:space="preserve">A </w:t>
      </w:r>
      <w:r w:rsidR="00D71522">
        <w:rPr>
          <w:rFonts w:ascii="Arial" w:hAnsi="Arial" w:cs="Arial"/>
          <w:sz w:val="24"/>
          <w:szCs w:val="24"/>
        </w:rPr>
        <w:t>non-</w:t>
      </w:r>
      <w:r w:rsidR="008E77C8">
        <w:rPr>
          <w:rFonts w:ascii="Arial" w:hAnsi="Arial" w:cs="Arial"/>
          <w:sz w:val="24"/>
          <w:szCs w:val="24"/>
        </w:rPr>
        <w:t>significant reduction in resistant d</w:t>
      </w:r>
      <w:r w:rsidR="008E77C8" w:rsidRPr="008E77C8">
        <w:rPr>
          <w:rFonts w:ascii="Arial" w:hAnsi="Arial" w:cs="Arial"/>
          <w:sz w:val="24"/>
          <w:szCs w:val="24"/>
        </w:rPr>
        <w:t>isease</w:t>
      </w:r>
      <w:r w:rsidR="008E77C8">
        <w:rPr>
          <w:rFonts w:ascii="Arial" w:hAnsi="Arial" w:cs="Arial"/>
          <w:sz w:val="24"/>
          <w:szCs w:val="24"/>
        </w:rPr>
        <w:t xml:space="preserve"> was observed by the addition of tosedostat (</w:t>
      </w:r>
      <w:r w:rsidR="00D71522">
        <w:rPr>
          <w:rFonts w:ascii="Arial" w:hAnsi="Arial" w:cs="Arial"/>
          <w:sz w:val="24"/>
          <w:szCs w:val="24"/>
        </w:rPr>
        <w:t>6</w:t>
      </w:r>
      <w:r w:rsidR="00724C04">
        <w:rPr>
          <w:rFonts w:ascii="Arial" w:hAnsi="Arial" w:cs="Arial"/>
          <w:sz w:val="24"/>
          <w:szCs w:val="24"/>
        </w:rPr>
        <w:t>0</w:t>
      </w:r>
      <w:r w:rsidR="008E77C8" w:rsidRPr="008E77C8">
        <w:rPr>
          <w:rFonts w:ascii="Arial" w:hAnsi="Arial" w:cs="Arial"/>
          <w:sz w:val="24"/>
          <w:szCs w:val="24"/>
        </w:rPr>
        <w:t>%</w:t>
      </w:r>
      <w:r w:rsidR="008E77C8">
        <w:rPr>
          <w:rFonts w:ascii="Arial" w:hAnsi="Arial" w:cs="Arial"/>
          <w:sz w:val="24"/>
          <w:szCs w:val="24"/>
        </w:rPr>
        <w:t xml:space="preserve"> vs </w:t>
      </w:r>
      <w:r w:rsidR="00D71522">
        <w:rPr>
          <w:rFonts w:ascii="Arial" w:hAnsi="Arial" w:cs="Arial"/>
          <w:sz w:val="24"/>
          <w:szCs w:val="24"/>
        </w:rPr>
        <w:t>6</w:t>
      </w:r>
      <w:r w:rsidR="00724C04">
        <w:rPr>
          <w:rFonts w:ascii="Arial" w:hAnsi="Arial" w:cs="Arial"/>
          <w:sz w:val="24"/>
          <w:szCs w:val="24"/>
        </w:rPr>
        <w:t>8</w:t>
      </w:r>
      <w:r w:rsidR="008E77C8" w:rsidRPr="008E77C8">
        <w:rPr>
          <w:rFonts w:ascii="Arial" w:hAnsi="Arial" w:cs="Arial"/>
          <w:sz w:val="24"/>
          <w:szCs w:val="24"/>
        </w:rPr>
        <w:t>%</w:t>
      </w:r>
      <w:r w:rsidR="008E77C8">
        <w:rPr>
          <w:rFonts w:ascii="Arial" w:hAnsi="Arial" w:cs="Arial"/>
          <w:sz w:val="24"/>
          <w:szCs w:val="24"/>
        </w:rPr>
        <w:t xml:space="preserve"> OR</w:t>
      </w:r>
      <w:r w:rsidR="00AA78FD">
        <w:rPr>
          <w:rFonts w:ascii="Arial" w:hAnsi="Arial" w:cs="Arial"/>
          <w:sz w:val="24"/>
          <w:szCs w:val="24"/>
        </w:rPr>
        <w:t xml:space="preserve"> </w:t>
      </w:r>
      <w:r w:rsidR="008E77C8">
        <w:rPr>
          <w:rFonts w:ascii="Arial" w:hAnsi="Arial" w:cs="Arial"/>
          <w:sz w:val="24"/>
          <w:szCs w:val="24"/>
        </w:rPr>
        <w:t>0.</w:t>
      </w:r>
      <w:r w:rsidR="00D71522">
        <w:rPr>
          <w:rFonts w:ascii="Arial" w:hAnsi="Arial" w:cs="Arial"/>
          <w:sz w:val="24"/>
          <w:szCs w:val="24"/>
        </w:rPr>
        <w:t>68</w:t>
      </w:r>
      <w:r w:rsidR="008E77C8">
        <w:rPr>
          <w:rFonts w:ascii="Arial" w:hAnsi="Arial" w:cs="Arial"/>
          <w:sz w:val="24"/>
          <w:szCs w:val="24"/>
        </w:rPr>
        <w:t xml:space="preserve"> (0.</w:t>
      </w:r>
      <w:r w:rsidR="00D71522">
        <w:rPr>
          <w:rFonts w:ascii="Arial" w:hAnsi="Arial" w:cs="Arial"/>
          <w:sz w:val="24"/>
          <w:szCs w:val="24"/>
        </w:rPr>
        <w:t>40</w:t>
      </w:r>
      <w:r w:rsidR="008E77C8">
        <w:rPr>
          <w:rFonts w:ascii="Arial" w:hAnsi="Arial" w:cs="Arial"/>
          <w:sz w:val="24"/>
          <w:szCs w:val="24"/>
        </w:rPr>
        <w:t>-0.</w:t>
      </w:r>
      <w:r w:rsidR="00D71522">
        <w:rPr>
          <w:rFonts w:ascii="Arial" w:hAnsi="Arial" w:cs="Arial"/>
          <w:sz w:val="24"/>
          <w:szCs w:val="24"/>
        </w:rPr>
        <w:t>16</w:t>
      </w:r>
      <w:r w:rsidR="008E77C8">
        <w:rPr>
          <w:rFonts w:ascii="Arial" w:hAnsi="Arial" w:cs="Arial"/>
          <w:sz w:val="24"/>
          <w:szCs w:val="24"/>
        </w:rPr>
        <w:t>) p=</w:t>
      </w:r>
      <w:r w:rsidR="008E77C8" w:rsidRPr="008E77C8">
        <w:rPr>
          <w:rFonts w:ascii="Arial" w:hAnsi="Arial" w:cs="Arial"/>
          <w:sz w:val="24"/>
          <w:szCs w:val="24"/>
        </w:rPr>
        <w:t>0.</w:t>
      </w:r>
      <w:r w:rsidR="00D71522">
        <w:rPr>
          <w:rFonts w:ascii="Arial" w:hAnsi="Arial" w:cs="Arial"/>
          <w:sz w:val="24"/>
          <w:szCs w:val="24"/>
        </w:rPr>
        <w:t>16</w:t>
      </w:r>
      <w:r w:rsidR="008E77C8">
        <w:rPr>
          <w:rFonts w:ascii="Arial" w:hAnsi="Arial" w:cs="Arial"/>
          <w:sz w:val="24"/>
          <w:szCs w:val="24"/>
        </w:rPr>
        <w:t>.</w:t>
      </w:r>
      <w:r w:rsidR="008E77C8" w:rsidRPr="00AF0066">
        <w:rPr>
          <w:rFonts w:ascii="Arial" w:hAnsi="Arial" w:cs="Arial"/>
          <w:sz w:val="24"/>
          <w:szCs w:val="24"/>
        </w:rPr>
        <w:t xml:space="preserve"> </w:t>
      </w:r>
      <w:r w:rsidRPr="00AF0066">
        <w:rPr>
          <w:rFonts w:ascii="Arial" w:hAnsi="Arial" w:cs="Arial"/>
          <w:sz w:val="24"/>
          <w:szCs w:val="24"/>
        </w:rPr>
        <w:t xml:space="preserve"> </w:t>
      </w:r>
      <w:r w:rsidR="006C5D5A" w:rsidRPr="00AF0066">
        <w:rPr>
          <w:rFonts w:ascii="Arial" w:hAnsi="Arial" w:cs="Arial"/>
          <w:sz w:val="24"/>
          <w:szCs w:val="24"/>
        </w:rPr>
        <w:t>The t</w:t>
      </w:r>
      <w:r w:rsidRPr="00AF0066">
        <w:rPr>
          <w:rFonts w:ascii="Arial" w:hAnsi="Arial" w:cs="Arial"/>
          <w:sz w:val="24"/>
          <w:szCs w:val="24"/>
        </w:rPr>
        <w:t>hirty-day mortality was not significantly increased (1</w:t>
      </w:r>
      <w:r w:rsidR="00724C04">
        <w:rPr>
          <w:rFonts w:ascii="Arial" w:hAnsi="Arial" w:cs="Arial"/>
          <w:sz w:val="24"/>
          <w:szCs w:val="24"/>
        </w:rPr>
        <w:t>6</w:t>
      </w:r>
      <w:r w:rsidRPr="00AF0066">
        <w:rPr>
          <w:rFonts w:ascii="Arial" w:hAnsi="Arial" w:cs="Arial"/>
          <w:sz w:val="24"/>
          <w:szCs w:val="24"/>
        </w:rPr>
        <w:t>% vs 1</w:t>
      </w:r>
      <w:r w:rsidR="00724C04">
        <w:rPr>
          <w:rFonts w:ascii="Arial" w:hAnsi="Arial" w:cs="Arial"/>
          <w:sz w:val="24"/>
          <w:szCs w:val="24"/>
        </w:rPr>
        <w:t>4</w:t>
      </w:r>
      <w:r w:rsidR="008E77C8">
        <w:rPr>
          <w:rFonts w:ascii="Arial" w:hAnsi="Arial" w:cs="Arial"/>
          <w:sz w:val="24"/>
          <w:szCs w:val="24"/>
        </w:rPr>
        <w:t>%, HR 1.</w:t>
      </w:r>
      <w:r w:rsidR="00D71522">
        <w:rPr>
          <w:rFonts w:ascii="Arial" w:hAnsi="Arial" w:cs="Arial"/>
          <w:sz w:val="24"/>
          <w:szCs w:val="24"/>
        </w:rPr>
        <w:t>2</w:t>
      </w:r>
      <w:r w:rsidR="008E77C8">
        <w:rPr>
          <w:rFonts w:ascii="Arial" w:hAnsi="Arial" w:cs="Arial"/>
          <w:sz w:val="24"/>
          <w:szCs w:val="24"/>
        </w:rPr>
        <w:t>6 (0.</w:t>
      </w:r>
      <w:r w:rsidR="00D71522">
        <w:rPr>
          <w:rFonts w:ascii="Arial" w:hAnsi="Arial" w:cs="Arial"/>
          <w:sz w:val="24"/>
          <w:szCs w:val="24"/>
        </w:rPr>
        <w:t>65</w:t>
      </w:r>
      <w:r w:rsidR="008E77C8">
        <w:rPr>
          <w:rFonts w:ascii="Arial" w:hAnsi="Arial" w:cs="Arial"/>
          <w:sz w:val="24"/>
          <w:szCs w:val="24"/>
        </w:rPr>
        <w:t>-2.</w:t>
      </w:r>
      <w:r w:rsidR="00D71522">
        <w:rPr>
          <w:rFonts w:ascii="Arial" w:hAnsi="Arial" w:cs="Arial"/>
          <w:sz w:val="24"/>
          <w:szCs w:val="24"/>
        </w:rPr>
        <w:t>46</w:t>
      </w:r>
      <w:r w:rsidR="008E77C8">
        <w:rPr>
          <w:rFonts w:ascii="Arial" w:hAnsi="Arial" w:cs="Arial"/>
          <w:sz w:val="24"/>
          <w:szCs w:val="24"/>
        </w:rPr>
        <w:t>) p=0.</w:t>
      </w:r>
      <w:r w:rsidR="00D71522">
        <w:rPr>
          <w:rFonts w:ascii="Arial" w:hAnsi="Arial" w:cs="Arial"/>
          <w:sz w:val="24"/>
          <w:szCs w:val="24"/>
        </w:rPr>
        <w:t>5</w:t>
      </w:r>
      <w:r w:rsidR="008E77C8">
        <w:rPr>
          <w:rFonts w:ascii="Arial" w:hAnsi="Arial" w:cs="Arial"/>
          <w:sz w:val="24"/>
          <w:szCs w:val="24"/>
        </w:rPr>
        <w:t xml:space="preserve">. </w:t>
      </w:r>
      <w:r w:rsidR="006C5D5A" w:rsidRPr="00AF0066">
        <w:rPr>
          <w:rFonts w:ascii="Arial" w:hAnsi="Arial" w:cs="Arial"/>
          <w:sz w:val="24"/>
          <w:szCs w:val="24"/>
        </w:rPr>
        <w:t>(</w:t>
      </w:r>
      <w:r w:rsidR="009870AB" w:rsidRPr="00AF0066">
        <w:rPr>
          <w:rFonts w:ascii="Arial" w:hAnsi="Arial" w:cs="Arial"/>
          <w:sz w:val="24"/>
          <w:szCs w:val="24"/>
        </w:rPr>
        <w:t>t</w:t>
      </w:r>
      <w:r w:rsidRPr="00AF0066">
        <w:rPr>
          <w:rFonts w:ascii="Arial" w:hAnsi="Arial" w:cs="Arial"/>
          <w:sz w:val="24"/>
          <w:szCs w:val="24"/>
        </w:rPr>
        <w:t>able 2)</w:t>
      </w:r>
      <w:r w:rsidR="00F10588" w:rsidRPr="00AF0066">
        <w:rPr>
          <w:rFonts w:ascii="Arial" w:hAnsi="Arial" w:cs="Arial"/>
          <w:sz w:val="24"/>
          <w:szCs w:val="24"/>
        </w:rPr>
        <w:t>.;</w:t>
      </w:r>
    </w:p>
    <w:p w14:paraId="116630F4" w14:textId="5C486AB8" w:rsidR="00A674C2" w:rsidRPr="00AF0066" w:rsidRDefault="002B7FF4" w:rsidP="00D11AD2">
      <w:pPr>
        <w:tabs>
          <w:tab w:val="left" w:pos="1418"/>
        </w:tabs>
        <w:spacing w:line="480" w:lineRule="auto"/>
        <w:jc w:val="both"/>
        <w:rPr>
          <w:rFonts w:ascii="Arial" w:hAnsi="Arial" w:cs="Arial"/>
          <w:sz w:val="24"/>
          <w:szCs w:val="24"/>
        </w:rPr>
      </w:pPr>
      <w:r w:rsidRPr="00AF0066">
        <w:rPr>
          <w:rFonts w:ascii="Arial" w:hAnsi="Arial" w:cs="Arial"/>
          <w:b/>
          <w:sz w:val="24"/>
          <w:szCs w:val="24"/>
        </w:rPr>
        <w:t xml:space="preserve">Treatment Compliance: </w:t>
      </w:r>
      <w:r w:rsidR="006C5D5A" w:rsidRPr="00AF0066">
        <w:rPr>
          <w:rFonts w:ascii="Arial" w:hAnsi="Arial" w:cs="Arial"/>
          <w:sz w:val="24"/>
          <w:szCs w:val="24"/>
        </w:rPr>
        <w:t>Following remission, treatment was given to 1</w:t>
      </w:r>
      <w:r w:rsidR="00966E1D">
        <w:rPr>
          <w:rFonts w:ascii="Arial" w:hAnsi="Arial" w:cs="Arial"/>
          <w:sz w:val="24"/>
          <w:szCs w:val="24"/>
        </w:rPr>
        <w:t>9</w:t>
      </w:r>
      <w:r w:rsidR="006C5D5A" w:rsidRPr="00AF0066">
        <w:rPr>
          <w:rFonts w:ascii="Arial" w:hAnsi="Arial" w:cs="Arial"/>
          <w:sz w:val="24"/>
          <w:szCs w:val="24"/>
        </w:rPr>
        <w:t>/</w:t>
      </w:r>
      <w:r w:rsidR="00966E1D">
        <w:rPr>
          <w:rFonts w:ascii="Arial" w:hAnsi="Arial" w:cs="Arial"/>
          <w:sz w:val="24"/>
          <w:szCs w:val="24"/>
        </w:rPr>
        <w:t>22</w:t>
      </w:r>
      <w:r w:rsidR="0007375D" w:rsidRPr="00AF0066">
        <w:rPr>
          <w:rFonts w:ascii="Arial" w:hAnsi="Arial" w:cs="Arial"/>
          <w:sz w:val="24"/>
          <w:szCs w:val="24"/>
        </w:rPr>
        <w:t xml:space="preserve"> LDAC patients (5 patients received</w:t>
      </w:r>
      <w:r w:rsidR="006C5D5A" w:rsidRPr="00AF0066">
        <w:rPr>
          <w:rFonts w:ascii="Arial" w:hAnsi="Arial" w:cs="Arial"/>
          <w:sz w:val="24"/>
          <w:szCs w:val="24"/>
        </w:rPr>
        <w:t xml:space="preserve"> 1 course, </w:t>
      </w:r>
      <w:r w:rsidR="00966E1D">
        <w:rPr>
          <w:rFonts w:ascii="Arial" w:hAnsi="Arial" w:cs="Arial"/>
          <w:sz w:val="24"/>
          <w:szCs w:val="24"/>
        </w:rPr>
        <w:t>4</w:t>
      </w:r>
      <w:r w:rsidR="006C5D5A" w:rsidRPr="00AF0066">
        <w:rPr>
          <w:rFonts w:ascii="Arial" w:hAnsi="Arial" w:cs="Arial"/>
          <w:sz w:val="24"/>
          <w:szCs w:val="24"/>
        </w:rPr>
        <w:t xml:space="preserve"> patients 2 courses, 1 patient 3 courses, 2 </w:t>
      </w:r>
      <w:r w:rsidR="006C5D5A" w:rsidRPr="00AF0066">
        <w:rPr>
          <w:rFonts w:ascii="Arial" w:hAnsi="Arial" w:cs="Arial"/>
          <w:sz w:val="24"/>
          <w:szCs w:val="24"/>
        </w:rPr>
        <w:lastRenderedPageBreak/>
        <w:t xml:space="preserve">patients 4 courses, and </w:t>
      </w:r>
      <w:r w:rsidR="00966E1D">
        <w:rPr>
          <w:rFonts w:ascii="Arial" w:hAnsi="Arial" w:cs="Arial"/>
          <w:sz w:val="24"/>
          <w:szCs w:val="24"/>
        </w:rPr>
        <w:t>7</w:t>
      </w:r>
      <w:r w:rsidR="006C5D5A" w:rsidRPr="00AF0066">
        <w:rPr>
          <w:rFonts w:ascii="Arial" w:hAnsi="Arial" w:cs="Arial"/>
          <w:sz w:val="24"/>
          <w:szCs w:val="24"/>
        </w:rPr>
        <w:t xml:space="preserve"> patien</w:t>
      </w:r>
      <w:r w:rsidR="0007375D" w:rsidRPr="00AF0066">
        <w:rPr>
          <w:rFonts w:ascii="Arial" w:hAnsi="Arial" w:cs="Arial"/>
          <w:sz w:val="24"/>
          <w:szCs w:val="24"/>
        </w:rPr>
        <w:t xml:space="preserve">ts 6 </w:t>
      </w:r>
      <w:r w:rsidR="00966E1D">
        <w:rPr>
          <w:rFonts w:ascii="Arial" w:hAnsi="Arial" w:cs="Arial"/>
          <w:sz w:val="24"/>
          <w:szCs w:val="24"/>
        </w:rPr>
        <w:t xml:space="preserve">or more </w:t>
      </w:r>
      <w:r w:rsidR="0007375D" w:rsidRPr="00AF0066">
        <w:rPr>
          <w:rFonts w:ascii="Arial" w:hAnsi="Arial" w:cs="Arial"/>
          <w:sz w:val="24"/>
          <w:szCs w:val="24"/>
        </w:rPr>
        <w:t>courses) and 2</w:t>
      </w:r>
      <w:r w:rsidR="00966E1D">
        <w:rPr>
          <w:rFonts w:ascii="Arial" w:hAnsi="Arial" w:cs="Arial"/>
          <w:sz w:val="24"/>
          <w:szCs w:val="24"/>
        </w:rPr>
        <w:t>6</w:t>
      </w:r>
      <w:r w:rsidR="0007375D" w:rsidRPr="00AF0066">
        <w:rPr>
          <w:rFonts w:ascii="Arial" w:hAnsi="Arial" w:cs="Arial"/>
          <w:sz w:val="24"/>
          <w:szCs w:val="24"/>
        </w:rPr>
        <w:t>/</w:t>
      </w:r>
      <w:r w:rsidR="00966E1D">
        <w:rPr>
          <w:rFonts w:ascii="Arial" w:hAnsi="Arial" w:cs="Arial"/>
          <w:sz w:val="24"/>
          <w:szCs w:val="24"/>
        </w:rPr>
        <w:t>30</w:t>
      </w:r>
      <w:r w:rsidR="006C5D5A" w:rsidRPr="00AF0066">
        <w:rPr>
          <w:rFonts w:ascii="Arial" w:hAnsi="Arial" w:cs="Arial"/>
          <w:sz w:val="24"/>
          <w:szCs w:val="24"/>
        </w:rPr>
        <w:t xml:space="preserve"> Tosedostat</w:t>
      </w:r>
      <w:r w:rsidR="0007375D" w:rsidRPr="00AF0066">
        <w:rPr>
          <w:rFonts w:ascii="Arial" w:hAnsi="Arial" w:cs="Arial"/>
          <w:sz w:val="24"/>
          <w:szCs w:val="24"/>
        </w:rPr>
        <w:t xml:space="preserve"> patients</w:t>
      </w:r>
      <w:r w:rsidR="006C5D5A" w:rsidRPr="00AF0066">
        <w:rPr>
          <w:rFonts w:ascii="Arial" w:hAnsi="Arial" w:cs="Arial"/>
          <w:sz w:val="24"/>
          <w:szCs w:val="24"/>
        </w:rPr>
        <w:t xml:space="preserve"> treated (3 patients received 1 course</w:t>
      </w:r>
      <w:r w:rsidR="0007375D" w:rsidRPr="00AF0066">
        <w:rPr>
          <w:rFonts w:ascii="Arial" w:hAnsi="Arial" w:cs="Arial"/>
          <w:sz w:val="24"/>
          <w:szCs w:val="24"/>
        </w:rPr>
        <w:t xml:space="preserve">, </w:t>
      </w:r>
      <w:r w:rsidR="00966E1D">
        <w:rPr>
          <w:rFonts w:ascii="Arial" w:hAnsi="Arial" w:cs="Arial"/>
          <w:sz w:val="24"/>
          <w:szCs w:val="24"/>
        </w:rPr>
        <w:t>4</w:t>
      </w:r>
      <w:r w:rsidR="0007375D" w:rsidRPr="00AF0066">
        <w:rPr>
          <w:rFonts w:ascii="Arial" w:hAnsi="Arial" w:cs="Arial"/>
          <w:sz w:val="24"/>
          <w:szCs w:val="24"/>
        </w:rPr>
        <w:t xml:space="preserve"> patients 2 courses, </w:t>
      </w:r>
      <w:r w:rsidR="00966E1D">
        <w:rPr>
          <w:rFonts w:ascii="Arial" w:hAnsi="Arial" w:cs="Arial"/>
          <w:sz w:val="24"/>
          <w:szCs w:val="24"/>
        </w:rPr>
        <w:t>6</w:t>
      </w:r>
      <w:r w:rsidR="0007375D" w:rsidRPr="00AF0066">
        <w:rPr>
          <w:rFonts w:ascii="Arial" w:hAnsi="Arial" w:cs="Arial"/>
          <w:sz w:val="24"/>
          <w:szCs w:val="24"/>
        </w:rPr>
        <w:t xml:space="preserve"> patient 3 courses, </w:t>
      </w:r>
      <w:r w:rsidR="00966E1D">
        <w:rPr>
          <w:rFonts w:ascii="Arial" w:hAnsi="Arial" w:cs="Arial"/>
          <w:sz w:val="24"/>
          <w:szCs w:val="24"/>
        </w:rPr>
        <w:t>4</w:t>
      </w:r>
      <w:r w:rsidR="0007375D" w:rsidRPr="00AF0066">
        <w:rPr>
          <w:rFonts w:ascii="Arial" w:hAnsi="Arial" w:cs="Arial"/>
          <w:sz w:val="24"/>
          <w:szCs w:val="24"/>
        </w:rPr>
        <w:t xml:space="preserve"> patients 4 courses, 1 patient 5 courses,</w:t>
      </w:r>
      <w:r w:rsidR="001C1F15">
        <w:rPr>
          <w:rFonts w:ascii="Arial" w:hAnsi="Arial" w:cs="Arial"/>
          <w:sz w:val="24"/>
          <w:szCs w:val="24"/>
        </w:rPr>
        <w:t xml:space="preserve"> </w:t>
      </w:r>
      <w:r w:rsidR="00966E1D">
        <w:rPr>
          <w:rFonts w:ascii="Arial" w:hAnsi="Arial" w:cs="Arial"/>
          <w:sz w:val="24"/>
          <w:szCs w:val="24"/>
        </w:rPr>
        <w:t>and 12</w:t>
      </w:r>
      <w:r w:rsidR="001C1F15">
        <w:rPr>
          <w:rFonts w:ascii="Arial" w:hAnsi="Arial" w:cs="Arial"/>
          <w:sz w:val="24"/>
          <w:szCs w:val="24"/>
        </w:rPr>
        <w:t xml:space="preserve"> patients 6 </w:t>
      </w:r>
      <w:r w:rsidR="00966E1D">
        <w:rPr>
          <w:rFonts w:ascii="Arial" w:hAnsi="Arial" w:cs="Arial"/>
          <w:sz w:val="24"/>
          <w:szCs w:val="24"/>
        </w:rPr>
        <w:t xml:space="preserve">or more </w:t>
      </w:r>
      <w:r w:rsidR="001C1F15">
        <w:rPr>
          <w:rFonts w:ascii="Arial" w:hAnsi="Arial" w:cs="Arial"/>
          <w:sz w:val="24"/>
          <w:szCs w:val="24"/>
        </w:rPr>
        <w:t>courses</w:t>
      </w:r>
      <w:r w:rsidR="006C5D5A" w:rsidRPr="00AF0066">
        <w:rPr>
          <w:rFonts w:ascii="Arial" w:hAnsi="Arial" w:cs="Arial"/>
          <w:sz w:val="24"/>
          <w:szCs w:val="24"/>
        </w:rPr>
        <w:t>). No patient</w:t>
      </w:r>
      <w:r w:rsidR="003A5762" w:rsidRPr="00AF0066">
        <w:rPr>
          <w:rFonts w:ascii="Arial" w:hAnsi="Arial" w:cs="Arial"/>
          <w:sz w:val="24"/>
          <w:szCs w:val="24"/>
        </w:rPr>
        <w:t xml:space="preserve"> allocated to LDAC alone</w:t>
      </w:r>
      <w:r w:rsidR="006C5D5A" w:rsidRPr="00AF0066">
        <w:rPr>
          <w:rFonts w:ascii="Arial" w:hAnsi="Arial" w:cs="Arial"/>
          <w:sz w:val="24"/>
          <w:szCs w:val="24"/>
        </w:rPr>
        <w:t xml:space="preserve"> received tosedostat; however 2 patients rando</w:t>
      </w:r>
      <w:r w:rsidR="00C7277F" w:rsidRPr="00AF0066">
        <w:rPr>
          <w:rFonts w:ascii="Arial" w:hAnsi="Arial" w:cs="Arial"/>
          <w:sz w:val="24"/>
          <w:szCs w:val="24"/>
        </w:rPr>
        <w:t>mised to receive LDAC-T</w:t>
      </w:r>
      <w:r w:rsidR="006C5D5A" w:rsidRPr="00AF0066">
        <w:rPr>
          <w:rFonts w:ascii="Arial" w:hAnsi="Arial" w:cs="Arial"/>
          <w:sz w:val="24"/>
          <w:szCs w:val="24"/>
        </w:rPr>
        <w:t xml:space="preserve"> received 1 and 3 courses of LDAC alone. </w:t>
      </w:r>
    </w:p>
    <w:p w14:paraId="25771CEE" w14:textId="5DAB0102" w:rsidR="00591790" w:rsidRDefault="00591790" w:rsidP="00D11AD2">
      <w:pPr>
        <w:tabs>
          <w:tab w:val="left" w:pos="1418"/>
        </w:tabs>
        <w:spacing w:line="480" w:lineRule="auto"/>
        <w:jc w:val="both"/>
        <w:rPr>
          <w:rFonts w:ascii="Arial" w:hAnsi="Arial" w:cs="Arial"/>
          <w:b/>
          <w:sz w:val="24"/>
          <w:szCs w:val="24"/>
        </w:rPr>
      </w:pPr>
      <w:r>
        <w:rPr>
          <w:rFonts w:ascii="Arial" w:hAnsi="Arial" w:cs="Arial"/>
          <w:b/>
          <w:sz w:val="24"/>
          <w:szCs w:val="24"/>
        </w:rPr>
        <w:t xml:space="preserve">Overall </w:t>
      </w:r>
      <w:r w:rsidR="00EA3610" w:rsidRPr="00AF0066">
        <w:rPr>
          <w:rFonts w:ascii="Arial" w:hAnsi="Arial" w:cs="Arial"/>
          <w:b/>
          <w:sz w:val="24"/>
          <w:szCs w:val="24"/>
        </w:rPr>
        <w:t>Survival</w:t>
      </w:r>
      <w:r w:rsidRPr="00591790">
        <w:rPr>
          <w:rFonts w:ascii="Arial" w:hAnsi="Arial" w:cs="Arial"/>
          <w:sz w:val="24"/>
          <w:szCs w:val="24"/>
        </w:rPr>
        <w:t xml:space="preserve"> </w:t>
      </w:r>
      <w:r w:rsidRPr="00AF0066">
        <w:rPr>
          <w:rFonts w:ascii="Arial" w:hAnsi="Arial" w:cs="Arial"/>
          <w:sz w:val="24"/>
          <w:szCs w:val="24"/>
        </w:rPr>
        <w:t xml:space="preserve">The </w:t>
      </w:r>
      <w:r>
        <w:rPr>
          <w:rFonts w:ascii="Arial" w:hAnsi="Arial" w:cs="Arial"/>
          <w:sz w:val="24"/>
          <w:szCs w:val="24"/>
        </w:rPr>
        <w:t>OS</w:t>
      </w:r>
      <w:r w:rsidRPr="00AF0066">
        <w:rPr>
          <w:rFonts w:ascii="Arial" w:hAnsi="Arial" w:cs="Arial"/>
          <w:sz w:val="24"/>
          <w:szCs w:val="24"/>
        </w:rPr>
        <w:t xml:space="preserve"> did not differ by treatment arm </w:t>
      </w:r>
      <w:r w:rsidR="00724C04">
        <w:rPr>
          <w:rFonts w:ascii="Arial" w:hAnsi="Arial" w:cs="Arial"/>
          <w:sz w:val="24"/>
          <w:szCs w:val="24"/>
        </w:rPr>
        <w:t>(LDAC-T vs LDAC</w:t>
      </w:r>
      <w:r w:rsidR="00724C04" w:rsidRPr="00724C04">
        <w:rPr>
          <w:rFonts w:ascii="Arial" w:hAnsi="Arial" w:cs="Arial"/>
          <w:sz w:val="24"/>
          <w:szCs w:val="24"/>
        </w:rPr>
        <w:t xml:space="preserve">) </w:t>
      </w:r>
      <w:r w:rsidRPr="00AF0066">
        <w:rPr>
          <w:rFonts w:ascii="Arial" w:hAnsi="Arial" w:cs="Arial"/>
          <w:sz w:val="24"/>
          <w:szCs w:val="24"/>
        </w:rPr>
        <w:t>(</w:t>
      </w:r>
      <w:r w:rsidRPr="00AE72EC">
        <w:rPr>
          <w:rFonts w:ascii="Arial" w:hAnsi="Arial" w:cs="Arial"/>
          <w:sz w:val="24"/>
          <w:szCs w:val="24"/>
        </w:rPr>
        <w:t>2-year OS 1</w:t>
      </w:r>
      <w:r w:rsidR="00724C04">
        <w:rPr>
          <w:rFonts w:ascii="Arial" w:hAnsi="Arial" w:cs="Arial"/>
          <w:sz w:val="24"/>
          <w:szCs w:val="24"/>
        </w:rPr>
        <w:t>6</w:t>
      </w:r>
      <w:r w:rsidRPr="00AE72EC">
        <w:rPr>
          <w:rFonts w:ascii="Arial" w:hAnsi="Arial" w:cs="Arial"/>
          <w:sz w:val="24"/>
          <w:szCs w:val="24"/>
        </w:rPr>
        <w:t>% vs 1</w:t>
      </w:r>
      <w:r w:rsidR="00724C04">
        <w:rPr>
          <w:rFonts w:ascii="Arial" w:hAnsi="Arial" w:cs="Arial"/>
          <w:sz w:val="24"/>
          <w:szCs w:val="24"/>
        </w:rPr>
        <w:t>2</w:t>
      </w:r>
      <w:r w:rsidRPr="00AE72EC">
        <w:rPr>
          <w:rFonts w:ascii="Arial" w:hAnsi="Arial" w:cs="Arial"/>
          <w:sz w:val="24"/>
          <w:szCs w:val="24"/>
        </w:rPr>
        <w:t>%, HR 0.9</w:t>
      </w:r>
      <w:r w:rsidR="00F10588">
        <w:rPr>
          <w:rFonts w:ascii="Arial" w:hAnsi="Arial" w:cs="Arial"/>
          <w:sz w:val="24"/>
          <w:szCs w:val="24"/>
        </w:rPr>
        <w:t>7</w:t>
      </w:r>
      <w:r w:rsidRPr="00AE72EC">
        <w:rPr>
          <w:rFonts w:ascii="Arial" w:hAnsi="Arial" w:cs="Arial"/>
          <w:sz w:val="24"/>
          <w:szCs w:val="24"/>
        </w:rPr>
        <w:t xml:space="preserve"> (0.7</w:t>
      </w:r>
      <w:r w:rsidR="00E34240">
        <w:rPr>
          <w:rFonts w:ascii="Arial" w:hAnsi="Arial" w:cs="Arial"/>
          <w:sz w:val="24"/>
          <w:szCs w:val="24"/>
        </w:rPr>
        <w:t>3</w:t>
      </w:r>
      <w:r w:rsidRPr="00AE72EC">
        <w:rPr>
          <w:rFonts w:ascii="Arial" w:hAnsi="Arial" w:cs="Arial"/>
          <w:sz w:val="24"/>
          <w:szCs w:val="24"/>
        </w:rPr>
        <w:t>-1.</w:t>
      </w:r>
      <w:r w:rsidR="00E34240">
        <w:rPr>
          <w:rFonts w:ascii="Arial" w:hAnsi="Arial" w:cs="Arial"/>
          <w:sz w:val="24"/>
          <w:szCs w:val="24"/>
        </w:rPr>
        <w:t>28</w:t>
      </w:r>
      <w:r w:rsidRPr="00AE72EC">
        <w:rPr>
          <w:rFonts w:ascii="Arial" w:hAnsi="Arial" w:cs="Arial"/>
          <w:sz w:val="24"/>
          <w:szCs w:val="24"/>
        </w:rPr>
        <w:t>) p=0.</w:t>
      </w:r>
      <w:r w:rsidR="00E34240">
        <w:rPr>
          <w:rFonts w:ascii="Arial" w:hAnsi="Arial" w:cs="Arial"/>
          <w:sz w:val="24"/>
          <w:szCs w:val="24"/>
        </w:rPr>
        <w:t>8</w:t>
      </w:r>
      <w:r w:rsidRPr="00AE72EC">
        <w:rPr>
          <w:rFonts w:ascii="Arial" w:hAnsi="Arial" w:cs="Arial"/>
          <w:sz w:val="24"/>
          <w:szCs w:val="24"/>
        </w:rPr>
        <w:t xml:space="preserve">; </w:t>
      </w:r>
      <w:r w:rsidRPr="00AF0066">
        <w:rPr>
          <w:rFonts w:ascii="Arial" w:hAnsi="Arial" w:cs="Arial"/>
          <w:sz w:val="24"/>
          <w:szCs w:val="24"/>
        </w:rPr>
        <w:t xml:space="preserve">figure </w:t>
      </w:r>
      <w:r w:rsidR="00DB5E72">
        <w:rPr>
          <w:rFonts w:ascii="Arial" w:hAnsi="Arial" w:cs="Arial"/>
          <w:sz w:val="24"/>
          <w:szCs w:val="24"/>
        </w:rPr>
        <w:t>2</w:t>
      </w:r>
      <w:r>
        <w:rPr>
          <w:rFonts w:ascii="Arial" w:hAnsi="Arial" w:cs="Arial"/>
          <w:sz w:val="24"/>
          <w:szCs w:val="24"/>
        </w:rPr>
        <w:t>a</w:t>
      </w:r>
      <w:r w:rsidRPr="00AF0066">
        <w:rPr>
          <w:rFonts w:ascii="Arial" w:hAnsi="Arial" w:cs="Arial"/>
          <w:sz w:val="24"/>
          <w:szCs w:val="24"/>
        </w:rPr>
        <w:t>).</w:t>
      </w:r>
    </w:p>
    <w:p w14:paraId="1870B4B8" w14:textId="5B105D2B" w:rsidR="006C5D5A" w:rsidRPr="00AF0066" w:rsidRDefault="00591790" w:rsidP="00D11AD2">
      <w:pPr>
        <w:tabs>
          <w:tab w:val="left" w:pos="1418"/>
        </w:tabs>
        <w:spacing w:line="480" w:lineRule="auto"/>
        <w:jc w:val="both"/>
        <w:rPr>
          <w:rFonts w:ascii="Arial" w:hAnsi="Arial" w:cs="Arial"/>
          <w:sz w:val="24"/>
          <w:szCs w:val="24"/>
        </w:rPr>
      </w:pPr>
      <w:r>
        <w:rPr>
          <w:rFonts w:ascii="Arial" w:hAnsi="Arial" w:cs="Arial"/>
          <w:b/>
          <w:sz w:val="24"/>
          <w:szCs w:val="24"/>
        </w:rPr>
        <w:t>Survival</w:t>
      </w:r>
      <w:r w:rsidR="00EA3610" w:rsidRPr="00AF0066">
        <w:rPr>
          <w:rFonts w:ascii="Arial" w:hAnsi="Arial" w:cs="Arial"/>
          <w:b/>
          <w:sz w:val="24"/>
          <w:szCs w:val="24"/>
        </w:rPr>
        <w:t xml:space="preserve"> of Responders: </w:t>
      </w:r>
      <w:r w:rsidR="00A674C2" w:rsidRPr="00AF0066">
        <w:rPr>
          <w:rFonts w:ascii="Arial" w:hAnsi="Arial" w:cs="Arial"/>
          <w:sz w:val="24"/>
          <w:szCs w:val="24"/>
        </w:rPr>
        <w:t>For the total</w:t>
      </w:r>
      <w:r w:rsidR="00A674C2" w:rsidRPr="00AF0066">
        <w:rPr>
          <w:rFonts w:ascii="Arial" w:hAnsi="Arial" w:cs="Arial"/>
          <w:b/>
          <w:sz w:val="24"/>
          <w:szCs w:val="24"/>
        </w:rPr>
        <w:t xml:space="preserve"> </w:t>
      </w:r>
      <w:r w:rsidR="00D42E0F">
        <w:rPr>
          <w:rFonts w:ascii="Arial" w:hAnsi="Arial" w:cs="Arial"/>
          <w:sz w:val="24"/>
          <w:szCs w:val="24"/>
        </w:rPr>
        <w:t>52</w:t>
      </w:r>
      <w:r w:rsidR="00A674C2" w:rsidRPr="00AF0066">
        <w:rPr>
          <w:rFonts w:ascii="Arial" w:hAnsi="Arial" w:cs="Arial"/>
          <w:sz w:val="24"/>
          <w:szCs w:val="24"/>
        </w:rPr>
        <w:t xml:space="preserve"> patients who achieved a CR/CRi, the median </w:t>
      </w:r>
      <w:r w:rsidR="00C7277F" w:rsidRPr="00AF0066">
        <w:rPr>
          <w:rFonts w:ascii="Arial" w:hAnsi="Arial" w:cs="Arial"/>
          <w:sz w:val="24"/>
          <w:szCs w:val="24"/>
        </w:rPr>
        <w:t>OS</w:t>
      </w:r>
      <w:r w:rsidR="00A674C2" w:rsidRPr="00AF0066">
        <w:rPr>
          <w:rFonts w:ascii="Arial" w:hAnsi="Arial" w:cs="Arial"/>
          <w:sz w:val="24"/>
          <w:szCs w:val="24"/>
        </w:rPr>
        <w:t xml:space="preserve"> from remission was 21.8 months. Although there was an apparent modest benefit in 2 years survival from response (</w:t>
      </w:r>
      <w:r w:rsidR="00D42E0F">
        <w:rPr>
          <w:rFonts w:ascii="Arial" w:hAnsi="Arial" w:cs="Arial"/>
          <w:sz w:val="24"/>
          <w:szCs w:val="24"/>
        </w:rPr>
        <w:t>4</w:t>
      </w:r>
      <w:r w:rsidR="003B62C1">
        <w:rPr>
          <w:rFonts w:ascii="Arial" w:hAnsi="Arial" w:cs="Arial"/>
          <w:sz w:val="24"/>
          <w:szCs w:val="24"/>
        </w:rPr>
        <w:t>4</w:t>
      </w:r>
      <w:r w:rsidR="00A674C2" w:rsidRPr="00AF0066">
        <w:rPr>
          <w:rFonts w:ascii="Arial" w:hAnsi="Arial" w:cs="Arial"/>
          <w:sz w:val="24"/>
          <w:szCs w:val="24"/>
        </w:rPr>
        <w:t xml:space="preserve">7% vs 36%), this failed to reach statistical significance </w:t>
      </w:r>
      <w:r>
        <w:rPr>
          <w:rFonts w:ascii="Arial" w:hAnsi="Arial" w:cs="Arial"/>
          <w:sz w:val="24"/>
          <w:szCs w:val="24"/>
        </w:rPr>
        <w:t>(HR 0.</w:t>
      </w:r>
      <w:r w:rsidR="00D42E0F">
        <w:rPr>
          <w:rFonts w:ascii="Arial" w:hAnsi="Arial" w:cs="Arial"/>
          <w:sz w:val="24"/>
          <w:szCs w:val="24"/>
        </w:rPr>
        <w:t>88</w:t>
      </w:r>
      <w:r>
        <w:rPr>
          <w:rFonts w:ascii="Arial" w:hAnsi="Arial" w:cs="Arial"/>
          <w:sz w:val="24"/>
          <w:szCs w:val="24"/>
        </w:rPr>
        <w:t xml:space="preserve"> (0.</w:t>
      </w:r>
      <w:r w:rsidR="00D42E0F">
        <w:rPr>
          <w:rFonts w:ascii="Arial" w:hAnsi="Arial" w:cs="Arial"/>
          <w:sz w:val="24"/>
          <w:szCs w:val="24"/>
        </w:rPr>
        <w:t>43</w:t>
      </w:r>
      <w:r>
        <w:rPr>
          <w:rFonts w:ascii="Arial" w:hAnsi="Arial" w:cs="Arial"/>
          <w:sz w:val="24"/>
          <w:szCs w:val="24"/>
        </w:rPr>
        <w:t>-</w:t>
      </w:r>
      <w:r w:rsidR="00D42E0F">
        <w:rPr>
          <w:rFonts w:ascii="Arial" w:hAnsi="Arial" w:cs="Arial"/>
          <w:sz w:val="24"/>
          <w:szCs w:val="24"/>
        </w:rPr>
        <w:t>1.80</w:t>
      </w:r>
      <w:r>
        <w:rPr>
          <w:rFonts w:ascii="Arial" w:hAnsi="Arial" w:cs="Arial"/>
          <w:sz w:val="24"/>
          <w:szCs w:val="24"/>
        </w:rPr>
        <w:t>)</w:t>
      </w:r>
      <w:r w:rsidR="00D42E0F">
        <w:rPr>
          <w:rFonts w:ascii="Arial" w:hAnsi="Arial" w:cs="Arial"/>
          <w:sz w:val="24"/>
          <w:szCs w:val="24"/>
        </w:rPr>
        <w:t xml:space="preserve"> p=0.7</w:t>
      </w:r>
      <w:r>
        <w:rPr>
          <w:rFonts w:ascii="Arial" w:hAnsi="Arial" w:cs="Arial"/>
          <w:sz w:val="24"/>
          <w:szCs w:val="24"/>
        </w:rPr>
        <w:t xml:space="preserve">) (figure </w:t>
      </w:r>
      <w:r w:rsidR="00DB5E72">
        <w:rPr>
          <w:rFonts w:ascii="Arial" w:hAnsi="Arial" w:cs="Arial"/>
          <w:sz w:val="24"/>
          <w:szCs w:val="24"/>
        </w:rPr>
        <w:t>2</w:t>
      </w:r>
      <w:r>
        <w:rPr>
          <w:rFonts w:ascii="Arial" w:hAnsi="Arial" w:cs="Arial"/>
          <w:sz w:val="24"/>
          <w:szCs w:val="24"/>
        </w:rPr>
        <w:t>b</w:t>
      </w:r>
      <w:r w:rsidR="00A674C2" w:rsidRPr="00AF0066">
        <w:rPr>
          <w:rFonts w:ascii="Arial" w:hAnsi="Arial" w:cs="Arial"/>
          <w:sz w:val="24"/>
          <w:szCs w:val="24"/>
        </w:rPr>
        <w:t xml:space="preserve">). </w:t>
      </w:r>
      <w:r w:rsidR="00C7277F" w:rsidRPr="00AF0066">
        <w:rPr>
          <w:rFonts w:ascii="Arial" w:hAnsi="Arial" w:cs="Arial"/>
          <w:sz w:val="24"/>
          <w:szCs w:val="24"/>
        </w:rPr>
        <w:t>For</w:t>
      </w:r>
      <w:r w:rsidR="000B0617" w:rsidRPr="00AF0066">
        <w:rPr>
          <w:rFonts w:ascii="Arial" w:hAnsi="Arial" w:cs="Arial"/>
          <w:sz w:val="24"/>
          <w:szCs w:val="24"/>
        </w:rPr>
        <w:t xml:space="preserve"> p</w:t>
      </w:r>
      <w:r w:rsidR="003A5762" w:rsidRPr="00AF0066">
        <w:rPr>
          <w:rFonts w:ascii="Arial" w:hAnsi="Arial" w:cs="Arial"/>
          <w:sz w:val="24"/>
          <w:szCs w:val="24"/>
        </w:rPr>
        <w:t>atients who relapsed, there was no significant difference in the survival following relapse between treatment arms (1 year sur</w:t>
      </w:r>
      <w:r w:rsidR="00533523">
        <w:rPr>
          <w:rFonts w:ascii="Arial" w:hAnsi="Arial" w:cs="Arial"/>
          <w:sz w:val="24"/>
          <w:szCs w:val="24"/>
        </w:rPr>
        <w:t>vival post relapse 3</w:t>
      </w:r>
      <w:r w:rsidR="00D42E0F">
        <w:rPr>
          <w:rFonts w:ascii="Arial" w:hAnsi="Arial" w:cs="Arial"/>
          <w:sz w:val="24"/>
          <w:szCs w:val="24"/>
        </w:rPr>
        <w:t>0</w:t>
      </w:r>
      <w:r w:rsidR="00533523">
        <w:rPr>
          <w:rFonts w:ascii="Arial" w:hAnsi="Arial" w:cs="Arial"/>
          <w:sz w:val="24"/>
          <w:szCs w:val="24"/>
        </w:rPr>
        <w:t xml:space="preserve">% vs </w:t>
      </w:r>
      <w:r w:rsidR="00D42E0F">
        <w:rPr>
          <w:rFonts w:ascii="Arial" w:hAnsi="Arial" w:cs="Arial"/>
          <w:sz w:val="24"/>
          <w:szCs w:val="24"/>
        </w:rPr>
        <w:t>17</w:t>
      </w:r>
      <w:r w:rsidR="00533523">
        <w:rPr>
          <w:rFonts w:ascii="Arial" w:hAnsi="Arial" w:cs="Arial"/>
          <w:sz w:val="24"/>
          <w:szCs w:val="24"/>
        </w:rPr>
        <w:t xml:space="preserve">%; </w:t>
      </w:r>
      <w:r w:rsidR="003A5762" w:rsidRPr="00AF0066">
        <w:rPr>
          <w:rFonts w:ascii="Arial" w:hAnsi="Arial" w:cs="Arial"/>
          <w:sz w:val="24"/>
          <w:szCs w:val="24"/>
        </w:rPr>
        <w:t>HR 0.9</w:t>
      </w:r>
      <w:r w:rsidR="00D42E0F">
        <w:rPr>
          <w:rFonts w:ascii="Arial" w:hAnsi="Arial" w:cs="Arial"/>
          <w:sz w:val="24"/>
          <w:szCs w:val="24"/>
        </w:rPr>
        <w:t>3</w:t>
      </w:r>
      <w:r w:rsidR="003A5762" w:rsidRPr="00AF0066">
        <w:rPr>
          <w:rFonts w:ascii="Arial" w:hAnsi="Arial" w:cs="Arial"/>
          <w:sz w:val="24"/>
          <w:szCs w:val="24"/>
        </w:rPr>
        <w:t xml:space="preserve"> (0.</w:t>
      </w:r>
      <w:r w:rsidR="00D42E0F">
        <w:rPr>
          <w:rFonts w:ascii="Arial" w:hAnsi="Arial" w:cs="Arial"/>
          <w:sz w:val="24"/>
          <w:szCs w:val="24"/>
        </w:rPr>
        <w:t>45</w:t>
      </w:r>
      <w:r w:rsidR="003A5762" w:rsidRPr="00AF0066">
        <w:rPr>
          <w:rFonts w:ascii="Arial" w:hAnsi="Arial" w:cs="Arial"/>
          <w:sz w:val="24"/>
          <w:szCs w:val="24"/>
        </w:rPr>
        <w:t>-</w:t>
      </w:r>
      <w:r w:rsidR="00D42E0F">
        <w:rPr>
          <w:rFonts w:ascii="Arial" w:hAnsi="Arial" w:cs="Arial"/>
          <w:sz w:val="24"/>
          <w:szCs w:val="24"/>
        </w:rPr>
        <w:t>1.92</w:t>
      </w:r>
      <w:r w:rsidR="003A5762" w:rsidRPr="00AF0066">
        <w:rPr>
          <w:rFonts w:ascii="Arial" w:hAnsi="Arial" w:cs="Arial"/>
          <w:sz w:val="24"/>
          <w:szCs w:val="24"/>
        </w:rPr>
        <w:t>) p=0.</w:t>
      </w:r>
      <w:r w:rsidR="00D42E0F">
        <w:rPr>
          <w:rFonts w:ascii="Arial" w:hAnsi="Arial" w:cs="Arial"/>
          <w:sz w:val="24"/>
          <w:szCs w:val="24"/>
        </w:rPr>
        <w:t>8</w:t>
      </w:r>
      <w:r w:rsidR="003A5762" w:rsidRPr="00AF0066">
        <w:rPr>
          <w:rFonts w:ascii="Arial" w:hAnsi="Arial" w:cs="Arial"/>
          <w:sz w:val="24"/>
          <w:szCs w:val="24"/>
        </w:rPr>
        <w:t xml:space="preserve">; </w:t>
      </w:r>
      <w:r w:rsidR="00A674C2" w:rsidRPr="00AF0066">
        <w:rPr>
          <w:rFonts w:ascii="Arial" w:hAnsi="Arial" w:cs="Arial"/>
          <w:sz w:val="24"/>
          <w:szCs w:val="24"/>
        </w:rPr>
        <w:t>(f</w:t>
      </w:r>
      <w:r w:rsidR="003A5762" w:rsidRPr="00AF0066">
        <w:rPr>
          <w:rFonts w:ascii="Arial" w:hAnsi="Arial" w:cs="Arial"/>
          <w:sz w:val="24"/>
          <w:szCs w:val="24"/>
        </w:rPr>
        <w:t xml:space="preserve">igure </w:t>
      </w:r>
      <w:r w:rsidR="00DB5E72">
        <w:rPr>
          <w:rFonts w:ascii="Arial" w:hAnsi="Arial" w:cs="Arial"/>
          <w:sz w:val="24"/>
          <w:szCs w:val="24"/>
        </w:rPr>
        <w:t>2</w:t>
      </w:r>
      <w:r>
        <w:rPr>
          <w:rFonts w:ascii="Arial" w:hAnsi="Arial" w:cs="Arial"/>
          <w:sz w:val="24"/>
          <w:szCs w:val="24"/>
        </w:rPr>
        <w:t>c</w:t>
      </w:r>
      <w:r w:rsidR="003A5762" w:rsidRPr="00AF0066">
        <w:rPr>
          <w:rFonts w:ascii="Arial" w:hAnsi="Arial" w:cs="Arial"/>
          <w:sz w:val="24"/>
          <w:szCs w:val="24"/>
        </w:rPr>
        <w:t>).</w:t>
      </w:r>
      <w:r w:rsidR="00A674C2" w:rsidRPr="00AF0066">
        <w:rPr>
          <w:rFonts w:ascii="Arial" w:hAnsi="Arial" w:cs="Arial"/>
          <w:sz w:val="24"/>
          <w:szCs w:val="24"/>
        </w:rPr>
        <w:t xml:space="preserve"> In the patients who did not achieve CR/CRi, the survival was </w:t>
      </w:r>
      <w:r w:rsidR="001D37FD" w:rsidRPr="00AF0066">
        <w:rPr>
          <w:rFonts w:ascii="Arial" w:hAnsi="Arial" w:cs="Arial"/>
          <w:sz w:val="24"/>
          <w:szCs w:val="24"/>
        </w:rPr>
        <w:t>n</w:t>
      </w:r>
      <w:r w:rsidR="00A674C2" w:rsidRPr="00AF0066">
        <w:rPr>
          <w:rFonts w:ascii="Arial" w:hAnsi="Arial" w:cs="Arial"/>
          <w:sz w:val="24"/>
          <w:szCs w:val="24"/>
        </w:rPr>
        <w:t xml:space="preserve">ot different between the arms.  </w:t>
      </w:r>
    </w:p>
    <w:p w14:paraId="36D1B389" w14:textId="2B9289BE" w:rsidR="002209B9" w:rsidRPr="00AF0066" w:rsidRDefault="00A674C2" w:rsidP="00D11AD2">
      <w:pPr>
        <w:tabs>
          <w:tab w:val="left" w:pos="1418"/>
        </w:tabs>
        <w:spacing w:line="480" w:lineRule="auto"/>
        <w:jc w:val="both"/>
        <w:rPr>
          <w:rFonts w:ascii="Arial" w:hAnsi="Arial" w:cs="Arial"/>
          <w:sz w:val="24"/>
          <w:szCs w:val="24"/>
        </w:rPr>
      </w:pPr>
      <w:r w:rsidRPr="00AF0066">
        <w:rPr>
          <w:rFonts w:ascii="Arial" w:hAnsi="Arial" w:cs="Arial"/>
          <w:b/>
          <w:sz w:val="24"/>
          <w:szCs w:val="24"/>
        </w:rPr>
        <w:t>Relapse</w:t>
      </w:r>
      <w:r w:rsidR="00591790">
        <w:rPr>
          <w:rFonts w:ascii="Arial" w:hAnsi="Arial" w:cs="Arial"/>
          <w:b/>
          <w:sz w:val="24"/>
          <w:szCs w:val="24"/>
        </w:rPr>
        <w:t xml:space="preserve"> Free</w:t>
      </w:r>
      <w:r w:rsidR="00761C7C" w:rsidRPr="00AF0066">
        <w:rPr>
          <w:rFonts w:ascii="Arial" w:hAnsi="Arial" w:cs="Arial"/>
          <w:b/>
          <w:sz w:val="24"/>
          <w:szCs w:val="24"/>
        </w:rPr>
        <w:t xml:space="preserve"> Survival:</w:t>
      </w:r>
      <w:r w:rsidR="001122EF" w:rsidRPr="00AF0066">
        <w:rPr>
          <w:rFonts w:ascii="Arial" w:hAnsi="Arial" w:cs="Arial"/>
          <w:b/>
          <w:sz w:val="24"/>
          <w:szCs w:val="24"/>
        </w:rPr>
        <w:t xml:space="preserve"> </w:t>
      </w:r>
      <w:r w:rsidR="00761C7C" w:rsidRPr="00AF0066">
        <w:rPr>
          <w:rFonts w:ascii="Arial" w:hAnsi="Arial" w:cs="Arial"/>
          <w:sz w:val="24"/>
          <w:szCs w:val="24"/>
        </w:rPr>
        <w:t xml:space="preserve">Although remission rates were higher in the tosedostat arm, there was no significant difference in duration of remission RFS </w:t>
      </w:r>
      <w:r w:rsidR="0001121D" w:rsidRPr="00AF0066">
        <w:rPr>
          <w:rFonts w:ascii="Arial" w:hAnsi="Arial" w:cs="Arial"/>
          <w:sz w:val="24"/>
          <w:szCs w:val="24"/>
        </w:rPr>
        <w:t>(</w:t>
      </w:r>
      <w:r w:rsidR="00761C7C" w:rsidRPr="00AF0066">
        <w:rPr>
          <w:rFonts w:ascii="Arial" w:hAnsi="Arial" w:cs="Arial"/>
          <w:sz w:val="24"/>
          <w:szCs w:val="24"/>
        </w:rPr>
        <w:t>HR 0.</w:t>
      </w:r>
      <w:r w:rsidR="00C84214">
        <w:rPr>
          <w:rFonts w:ascii="Arial" w:hAnsi="Arial" w:cs="Arial"/>
          <w:sz w:val="24"/>
          <w:szCs w:val="24"/>
        </w:rPr>
        <w:t>82</w:t>
      </w:r>
      <w:r w:rsidR="00761C7C" w:rsidRPr="00AF0066">
        <w:rPr>
          <w:rFonts w:ascii="Arial" w:hAnsi="Arial" w:cs="Arial"/>
          <w:sz w:val="24"/>
          <w:szCs w:val="24"/>
        </w:rPr>
        <w:t xml:space="preserve"> (0.4</w:t>
      </w:r>
      <w:r w:rsidR="00C84214">
        <w:rPr>
          <w:rFonts w:ascii="Arial" w:hAnsi="Arial" w:cs="Arial"/>
          <w:sz w:val="24"/>
          <w:szCs w:val="24"/>
        </w:rPr>
        <w:t>6</w:t>
      </w:r>
      <w:r w:rsidR="00761C7C" w:rsidRPr="00AF0066">
        <w:rPr>
          <w:rFonts w:ascii="Arial" w:hAnsi="Arial" w:cs="Arial"/>
          <w:sz w:val="24"/>
          <w:szCs w:val="24"/>
        </w:rPr>
        <w:t>-1.</w:t>
      </w:r>
      <w:r w:rsidR="00C84214">
        <w:rPr>
          <w:rFonts w:ascii="Arial" w:hAnsi="Arial" w:cs="Arial"/>
          <w:sz w:val="24"/>
          <w:szCs w:val="24"/>
        </w:rPr>
        <w:t>47</w:t>
      </w:r>
      <w:r w:rsidR="00761C7C" w:rsidRPr="00AF0066">
        <w:rPr>
          <w:rFonts w:ascii="Arial" w:hAnsi="Arial" w:cs="Arial"/>
          <w:sz w:val="24"/>
          <w:szCs w:val="24"/>
        </w:rPr>
        <w:t>) p=0.</w:t>
      </w:r>
      <w:r w:rsidR="00C84214">
        <w:rPr>
          <w:rFonts w:ascii="Arial" w:hAnsi="Arial" w:cs="Arial"/>
          <w:sz w:val="24"/>
          <w:szCs w:val="24"/>
        </w:rPr>
        <w:t>5</w:t>
      </w:r>
      <w:r w:rsidR="00761C7C" w:rsidRPr="00AF0066">
        <w:rPr>
          <w:rFonts w:ascii="Arial" w:hAnsi="Arial" w:cs="Arial"/>
          <w:sz w:val="24"/>
          <w:szCs w:val="24"/>
        </w:rPr>
        <w:t xml:space="preserve">; </w:t>
      </w:r>
      <w:r w:rsidR="0001121D" w:rsidRPr="00AF0066">
        <w:rPr>
          <w:rFonts w:ascii="Arial" w:hAnsi="Arial" w:cs="Arial"/>
          <w:sz w:val="24"/>
          <w:szCs w:val="24"/>
        </w:rPr>
        <w:t>f</w:t>
      </w:r>
      <w:r w:rsidR="00761C7C" w:rsidRPr="00AF0066">
        <w:rPr>
          <w:rFonts w:ascii="Arial" w:hAnsi="Arial" w:cs="Arial"/>
          <w:sz w:val="24"/>
          <w:szCs w:val="24"/>
        </w:rPr>
        <w:t xml:space="preserve">igure </w:t>
      </w:r>
      <w:r w:rsidR="00DB5E72">
        <w:rPr>
          <w:rFonts w:ascii="Arial" w:hAnsi="Arial" w:cs="Arial"/>
          <w:sz w:val="24"/>
          <w:szCs w:val="24"/>
        </w:rPr>
        <w:t>2</w:t>
      </w:r>
      <w:r w:rsidR="00591790">
        <w:rPr>
          <w:rFonts w:ascii="Arial" w:hAnsi="Arial" w:cs="Arial"/>
          <w:sz w:val="24"/>
          <w:szCs w:val="24"/>
        </w:rPr>
        <w:t>d</w:t>
      </w:r>
      <w:r w:rsidR="00761C7C" w:rsidRPr="00AF0066">
        <w:rPr>
          <w:rFonts w:ascii="Arial" w:hAnsi="Arial" w:cs="Arial"/>
          <w:sz w:val="24"/>
          <w:szCs w:val="24"/>
        </w:rPr>
        <w:t xml:space="preserve">). </w:t>
      </w:r>
    </w:p>
    <w:p w14:paraId="25E16D8E" w14:textId="43470027" w:rsidR="00A674C2" w:rsidRPr="00AF0066" w:rsidRDefault="00A674C2" w:rsidP="00D11AD2">
      <w:pPr>
        <w:tabs>
          <w:tab w:val="left" w:pos="1418"/>
        </w:tabs>
        <w:spacing w:line="480" w:lineRule="auto"/>
        <w:jc w:val="both"/>
        <w:rPr>
          <w:rFonts w:ascii="Arial" w:hAnsi="Arial" w:cs="Arial"/>
          <w:sz w:val="24"/>
          <w:szCs w:val="24"/>
        </w:rPr>
      </w:pPr>
      <w:r w:rsidRPr="00AF0066">
        <w:rPr>
          <w:rFonts w:ascii="Arial" w:hAnsi="Arial" w:cs="Arial"/>
          <w:b/>
          <w:sz w:val="24"/>
          <w:szCs w:val="24"/>
        </w:rPr>
        <w:t xml:space="preserve">Toxicity: </w:t>
      </w:r>
      <w:r w:rsidRPr="00AF0066">
        <w:rPr>
          <w:rFonts w:ascii="Arial" w:hAnsi="Arial" w:cs="Arial"/>
          <w:sz w:val="24"/>
          <w:szCs w:val="24"/>
        </w:rPr>
        <w:t>Although rates of grade 3+ toxicity were low overall, tosedostat was associated with significantly increased diarrhoea, and cardiac toxicity</w:t>
      </w:r>
      <w:r w:rsidR="0063252F">
        <w:rPr>
          <w:rFonts w:ascii="Arial" w:hAnsi="Arial" w:cs="Arial"/>
          <w:sz w:val="24"/>
          <w:szCs w:val="24"/>
        </w:rPr>
        <w:t xml:space="preserve"> (2 grade 4 events that led to tosedostat discontinuation- AF and raised troponin)</w:t>
      </w:r>
      <w:r w:rsidRPr="00AF0066">
        <w:rPr>
          <w:rFonts w:ascii="Arial" w:hAnsi="Arial" w:cs="Arial"/>
          <w:sz w:val="24"/>
          <w:szCs w:val="24"/>
        </w:rPr>
        <w:t xml:space="preserve"> in course 1, and with greater cardiac and liver </w:t>
      </w:r>
      <w:r w:rsidR="00AE72EC">
        <w:rPr>
          <w:rFonts w:ascii="Arial" w:hAnsi="Arial" w:cs="Arial"/>
          <w:sz w:val="24"/>
          <w:szCs w:val="24"/>
        </w:rPr>
        <w:t>alanine transaminase (</w:t>
      </w:r>
      <w:r w:rsidRPr="00AF0066">
        <w:rPr>
          <w:rFonts w:ascii="Arial" w:hAnsi="Arial" w:cs="Arial"/>
          <w:sz w:val="24"/>
          <w:szCs w:val="24"/>
        </w:rPr>
        <w:t>ALT</w:t>
      </w:r>
      <w:r w:rsidR="00AE72EC">
        <w:rPr>
          <w:rFonts w:ascii="Arial" w:hAnsi="Arial" w:cs="Arial"/>
          <w:sz w:val="24"/>
          <w:szCs w:val="24"/>
        </w:rPr>
        <w:t>)</w:t>
      </w:r>
      <w:r w:rsidRPr="00AF0066">
        <w:rPr>
          <w:rFonts w:ascii="Arial" w:hAnsi="Arial" w:cs="Arial"/>
          <w:sz w:val="24"/>
          <w:szCs w:val="24"/>
        </w:rPr>
        <w:t xml:space="preserve"> toxicity in course 2 . Resource usage</w:t>
      </w:r>
      <w:r w:rsidR="00841631">
        <w:rPr>
          <w:rFonts w:ascii="Arial" w:hAnsi="Arial" w:cs="Arial"/>
          <w:sz w:val="24"/>
          <w:szCs w:val="24"/>
        </w:rPr>
        <w:t xml:space="preserve"> (blood product support</w:t>
      </w:r>
      <w:r w:rsidR="00AB52BD">
        <w:rPr>
          <w:rFonts w:ascii="Arial" w:hAnsi="Arial" w:cs="Arial"/>
          <w:sz w:val="24"/>
          <w:szCs w:val="24"/>
        </w:rPr>
        <w:t>, antibiotics and hospital utilisation</w:t>
      </w:r>
      <w:r w:rsidR="00841631">
        <w:rPr>
          <w:rFonts w:ascii="Arial" w:hAnsi="Arial" w:cs="Arial"/>
          <w:sz w:val="24"/>
          <w:szCs w:val="24"/>
        </w:rPr>
        <w:t>)</w:t>
      </w:r>
      <w:r w:rsidRPr="00AF0066">
        <w:rPr>
          <w:rFonts w:ascii="Arial" w:hAnsi="Arial" w:cs="Arial"/>
          <w:sz w:val="24"/>
          <w:szCs w:val="24"/>
        </w:rPr>
        <w:t xml:space="preserve"> tended to be consistently higher in the tosedostat arm, th</w:t>
      </w:r>
      <w:r w:rsidR="00AE72EC">
        <w:rPr>
          <w:rFonts w:ascii="Arial" w:hAnsi="Arial" w:cs="Arial"/>
          <w:sz w:val="24"/>
          <w:szCs w:val="24"/>
        </w:rPr>
        <w:t>ough th</w:t>
      </w:r>
      <w:r w:rsidRPr="00AF0066">
        <w:rPr>
          <w:rFonts w:ascii="Arial" w:hAnsi="Arial" w:cs="Arial"/>
          <w:sz w:val="24"/>
          <w:szCs w:val="24"/>
        </w:rPr>
        <w:t xml:space="preserve">e only significant difference </w:t>
      </w:r>
      <w:r w:rsidRPr="00AF0066">
        <w:rPr>
          <w:rFonts w:ascii="Arial" w:hAnsi="Arial" w:cs="Arial"/>
          <w:sz w:val="24"/>
          <w:szCs w:val="24"/>
        </w:rPr>
        <w:lastRenderedPageBreak/>
        <w:t>between arms was an increased use of platelets in course 1 (mean 5.0 vs 3.5</w:t>
      </w:r>
      <w:r w:rsidR="00C7277F" w:rsidRPr="00AF0066">
        <w:rPr>
          <w:rFonts w:ascii="Arial" w:hAnsi="Arial" w:cs="Arial"/>
          <w:sz w:val="24"/>
          <w:szCs w:val="24"/>
        </w:rPr>
        <w:t xml:space="preserve"> pools</w:t>
      </w:r>
      <w:r w:rsidRPr="00AF0066">
        <w:rPr>
          <w:rFonts w:ascii="Arial" w:hAnsi="Arial" w:cs="Arial"/>
          <w:sz w:val="24"/>
          <w:szCs w:val="24"/>
        </w:rPr>
        <w:t xml:space="preserve"> p=0.006); (</w:t>
      </w:r>
      <w:r w:rsidR="00DB5E72">
        <w:rPr>
          <w:rFonts w:ascii="Arial" w:hAnsi="Arial" w:cs="Arial"/>
          <w:sz w:val="24"/>
          <w:szCs w:val="24"/>
        </w:rPr>
        <w:t>figure</w:t>
      </w:r>
      <w:r w:rsidRPr="00AF0066">
        <w:rPr>
          <w:rFonts w:ascii="Arial" w:hAnsi="Arial" w:cs="Arial"/>
          <w:sz w:val="24"/>
          <w:szCs w:val="24"/>
        </w:rPr>
        <w:t xml:space="preserve"> </w:t>
      </w:r>
      <w:r w:rsidR="00DB5E72">
        <w:rPr>
          <w:rFonts w:ascii="Arial" w:hAnsi="Arial" w:cs="Arial"/>
          <w:sz w:val="24"/>
          <w:szCs w:val="24"/>
        </w:rPr>
        <w:t>3</w:t>
      </w:r>
      <w:r w:rsidR="001D37FD" w:rsidRPr="00AF0066">
        <w:rPr>
          <w:rFonts w:ascii="Arial" w:hAnsi="Arial" w:cs="Arial"/>
          <w:sz w:val="24"/>
          <w:szCs w:val="24"/>
        </w:rPr>
        <w:t xml:space="preserve">a and </w:t>
      </w:r>
      <w:r w:rsidR="00DB5E72">
        <w:rPr>
          <w:rFonts w:ascii="Arial" w:hAnsi="Arial" w:cs="Arial"/>
          <w:sz w:val="24"/>
          <w:szCs w:val="24"/>
        </w:rPr>
        <w:t>3</w:t>
      </w:r>
      <w:r w:rsidR="001D37FD" w:rsidRPr="00AF0066">
        <w:rPr>
          <w:rFonts w:ascii="Arial" w:hAnsi="Arial" w:cs="Arial"/>
          <w:sz w:val="24"/>
          <w:szCs w:val="24"/>
        </w:rPr>
        <w:t>b</w:t>
      </w:r>
      <w:r w:rsidRPr="00AF0066">
        <w:rPr>
          <w:rFonts w:ascii="Arial" w:hAnsi="Arial" w:cs="Arial"/>
          <w:sz w:val="24"/>
          <w:szCs w:val="24"/>
        </w:rPr>
        <w:t>).</w:t>
      </w:r>
    </w:p>
    <w:p w14:paraId="5434B1CF" w14:textId="77777777" w:rsidR="00761C7C" w:rsidRPr="00AF0066" w:rsidRDefault="00761C7C" w:rsidP="00D11AD2">
      <w:pPr>
        <w:tabs>
          <w:tab w:val="left" w:pos="1418"/>
        </w:tabs>
        <w:spacing w:line="480" w:lineRule="auto"/>
        <w:jc w:val="both"/>
        <w:rPr>
          <w:rFonts w:ascii="Arial" w:hAnsi="Arial" w:cs="Arial"/>
          <w:b/>
          <w:sz w:val="24"/>
          <w:szCs w:val="24"/>
        </w:rPr>
      </w:pPr>
      <w:r w:rsidRPr="00AF0066">
        <w:rPr>
          <w:rFonts w:ascii="Arial" w:hAnsi="Arial" w:cs="Arial"/>
          <w:b/>
          <w:sz w:val="24"/>
          <w:szCs w:val="24"/>
        </w:rPr>
        <w:t>Exploratory Subgroup Analysis:</w:t>
      </w:r>
    </w:p>
    <w:p w14:paraId="04962825" w14:textId="6C29A609" w:rsidR="00761C7C" w:rsidRPr="00AF0066" w:rsidRDefault="00761C7C" w:rsidP="00D11AD2">
      <w:pPr>
        <w:tabs>
          <w:tab w:val="left" w:pos="1418"/>
        </w:tabs>
        <w:spacing w:line="480" w:lineRule="auto"/>
        <w:jc w:val="both"/>
        <w:rPr>
          <w:rFonts w:ascii="Arial" w:hAnsi="Arial" w:cs="Arial"/>
          <w:sz w:val="24"/>
          <w:szCs w:val="24"/>
        </w:rPr>
      </w:pPr>
      <w:r w:rsidRPr="00AF0066">
        <w:rPr>
          <w:rFonts w:ascii="Arial" w:hAnsi="Arial" w:cs="Arial"/>
          <w:sz w:val="24"/>
          <w:szCs w:val="24"/>
        </w:rPr>
        <w:t xml:space="preserve">Exploratory analyses were carried </w:t>
      </w:r>
      <w:r w:rsidR="000B0617" w:rsidRPr="00AF0066">
        <w:rPr>
          <w:rFonts w:ascii="Arial" w:hAnsi="Arial" w:cs="Arial"/>
          <w:sz w:val="24"/>
          <w:szCs w:val="24"/>
        </w:rPr>
        <w:t xml:space="preserve">out </w:t>
      </w:r>
      <w:r w:rsidRPr="00AF0066">
        <w:rPr>
          <w:rFonts w:ascii="Arial" w:hAnsi="Arial" w:cs="Arial"/>
          <w:sz w:val="24"/>
          <w:szCs w:val="24"/>
        </w:rPr>
        <w:t>on survival</w:t>
      </w:r>
      <w:r w:rsidR="000B0617" w:rsidRPr="00AF0066">
        <w:rPr>
          <w:rFonts w:ascii="Arial" w:hAnsi="Arial" w:cs="Arial"/>
          <w:sz w:val="24"/>
          <w:szCs w:val="24"/>
        </w:rPr>
        <w:t>,</w:t>
      </w:r>
      <w:r w:rsidRPr="00AF0066">
        <w:rPr>
          <w:rFonts w:ascii="Arial" w:hAnsi="Arial" w:cs="Arial"/>
          <w:sz w:val="24"/>
          <w:szCs w:val="24"/>
        </w:rPr>
        <w:t xml:space="preserve"> to find out if there was an identifiable subgroup with a differential effect of treatment. Baseline covariates including age, sex, diagnosis, cytogenetics, white blood count, performance status, and Wheatley risk group were explored (Supplemental Figure 2). </w:t>
      </w:r>
      <w:r w:rsidR="00581555" w:rsidRPr="00AF0066">
        <w:rPr>
          <w:rFonts w:ascii="Arial" w:hAnsi="Arial" w:cs="Arial"/>
          <w:sz w:val="24"/>
          <w:szCs w:val="24"/>
        </w:rPr>
        <w:t>Additional analysis by NPM1 and FLT3-ITD/TKD status was additionally explored.</w:t>
      </w:r>
      <w:r w:rsidR="00EE3344">
        <w:rPr>
          <w:rFonts w:ascii="Arial" w:hAnsi="Arial" w:cs="Arial"/>
          <w:sz w:val="24"/>
          <w:szCs w:val="24"/>
        </w:rPr>
        <w:t xml:space="preserve"> More detailed molecular analyses were not available.</w:t>
      </w:r>
      <w:r w:rsidR="00581555" w:rsidRPr="00AF0066">
        <w:rPr>
          <w:rFonts w:ascii="Arial" w:hAnsi="Arial" w:cs="Arial"/>
          <w:sz w:val="24"/>
          <w:szCs w:val="24"/>
        </w:rPr>
        <w:t xml:space="preserve"> </w:t>
      </w:r>
      <w:r w:rsidRPr="00AF0066">
        <w:rPr>
          <w:rFonts w:ascii="Arial" w:hAnsi="Arial" w:cs="Arial"/>
          <w:sz w:val="24"/>
          <w:szCs w:val="24"/>
        </w:rPr>
        <w:t>Although the power of such analyses is limited by small numbers in some subgroups, there were no significant interactions between baseline variables and treatment for survival</w:t>
      </w:r>
      <w:r w:rsidR="0001121D" w:rsidRPr="00AF0066">
        <w:rPr>
          <w:rFonts w:ascii="Arial" w:hAnsi="Arial" w:cs="Arial"/>
          <w:sz w:val="24"/>
          <w:szCs w:val="24"/>
        </w:rPr>
        <w:t>. I</w:t>
      </w:r>
      <w:r w:rsidRPr="00AF0066">
        <w:rPr>
          <w:rFonts w:ascii="Arial" w:hAnsi="Arial" w:cs="Arial"/>
          <w:sz w:val="24"/>
          <w:szCs w:val="24"/>
        </w:rPr>
        <w:t>n particular</w:t>
      </w:r>
      <w:r w:rsidR="004E158C" w:rsidRPr="00AF0066">
        <w:rPr>
          <w:rFonts w:ascii="Arial" w:hAnsi="Arial" w:cs="Arial"/>
          <w:sz w:val="24"/>
          <w:szCs w:val="24"/>
        </w:rPr>
        <w:t>,</w:t>
      </w:r>
      <w:r w:rsidRPr="00AF0066">
        <w:rPr>
          <w:rFonts w:ascii="Arial" w:hAnsi="Arial" w:cs="Arial"/>
          <w:sz w:val="24"/>
          <w:szCs w:val="24"/>
        </w:rPr>
        <w:t xml:space="preserve"> no subgroup could be identified where there was a benefit for </w:t>
      </w:r>
      <w:r w:rsidR="00EE0EC1" w:rsidRPr="00AF0066">
        <w:rPr>
          <w:rFonts w:ascii="Arial" w:hAnsi="Arial" w:cs="Arial"/>
          <w:sz w:val="24"/>
          <w:szCs w:val="24"/>
        </w:rPr>
        <w:t>LDAC-T</w:t>
      </w:r>
      <w:r w:rsidRPr="00AF0066">
        <w:rPr>
          <w:rFonts w:ascii="Arial" w:hAnsi="Arial" w:cs="Arial"/>
          <w:sz w:val="24"/>
          <w:szCs w:val="24"/>
        </w:rPr>
        <w:t xml:space="preserve">. </w:t>
      </w:r>
    </w:p>
    <w:p w14:paraId="75690068" w14:textId="77777777" w:rsidR="004211A0" w:rsidRPr="00AF0066" w:rsidRDefault="004211A0" w:rsidP="00D11AD2">
      <w:pPr>
        <w:spacing w:line="480" w:lineRule="auto"/>
        <w:jc w:val="both"/>
        <w:rPr>
          <w:rFonts w:ascii="Arial" w:hAnsi="Arial" w:cs="Arial"/>
          <w:sz w:val="24"/>
          <w:szCs w:val="24"/>
        </w:rPr>
      </w:pPr>
    </w:p>
    <w:p w14:paraId="58419D40" w14:textId="41C2A5B2" w:rsidR="004211A0" w:rsidRPr="00AF0066" w:rsidRDefault="004211A0" w:rsidP="00D11AD2">
      <w:pPr>
        <w:spacing w:line="480" w:lineRule="auto"/>
        <w:jc w:val="both"/>
        <w:rPr>
          <w:rFonts w:ascii="Arial" w:hAnsi="Arial" w:cs="Arial"/>
          <w:b/>
          <w:sz w:val="24"/>
          <w:szCs w:val="24"/>
        </w:rPr>
      </w:pPr>
      <w:r w:rsidRPr="00AF0066">
        <w:rPr>
          <w:rFonts w:ascii="Arial" w:hAnsi="Arial" w:cs="Arial"/>
          <w:b/>
          <w:sz w:val="24"/>
          <w:szCs w:val="24"/>
        </w:rPr>
        <w:t>Discussion</w:t>
      </w:r>
      <w:r w:rsidR="00AF0066" w:rsidRPr="00AF0066">
        <w:rPr>
          <w:rFonts w:ascii="Arial" w:hAnsi="Arial" w:cs="Arial"/>
          <w:b/>
          <w:sz w:val="24"/>
          <w:szCs w:val="24"/>
        </w:rPr>
        <w:t>:</w:t>
      </w:r>
    </w:p>
    <w:p w14:paraId="683A89AC" w14:textId="6EB67DDA" w:rsidR="00377673" w:rsidRPr="00AF0066" w:rsidRDefault="00EE0EC1" w:rsidP="00D11AD2">
      <w:pPr>
        <w:spacing w:line="480" w:lineRule="auto"/>
        <w:jc w:val="both"/>
        <w:rPr>
          <w:rFonts w:ascii="Arial" w:hAnsi="Arial" w:cs="Arial"/>
          <w:sz w:val="24"/>
          <w:szCs w:val="24"/>
        </w:rPr>
      </w:pPr>
      <w:r w:rsidRPr="00AF0066">
        <w:rPr>
          <w:rFonts w:ascii="Arial" w:hAnsi="Arial" w:cs="Arial"/>
          <w:sz w:val="24"/>
          <w:szCs w:val="24"/>
        </w:rPr>
        <w:t>Compared to</w:t>
      </w:r>
      <w:r w:rsidR="00377673" w:rsidRPr="00AF0066">
        <w:rPr>
          <w:rFonts w:ascii="Arial" w:hAnsi="Arial" w:cs="Arial"/>
          <w:sz w:val="24"/>
          <w:szCs w:val="24"/>
        </w:rPr>
        <w:t xml:space="preserve"> younger patients with AML, the decision in treatment strategy is not always obvious.  At one end of the spectrum there are patients who have several co-morbidities where even if the prognostic assessment of their disease biology is not adverse, are at high risk of not surviving a version of standard chemotherapy. At the other are patients who are chronologically old but </w:t>
      </w:r>
      <w:r w:rsidRPr="00AF0066">
        <w:rPr>
          <w:rFonts w:ascii="Arial" w:hAnsi="Arial" w:cs="Arial"/>
          <w:sz w:val="24"/>
          <w:szCs w:val="24"/>
        </w:rPr>
        <w:t>have few co-morbidities combined with</w:t>
      </w:r>
      <w:r w:rsidR="00377673" w:rsidRPr="00AF0066">
        <w:rPr>
          <w:rFonts w:ascii="Arial" w:hAnsi="Arial" w:cs="Arial"/>
          <w:sz w:val="24"/>
          <w:szCs w:val="24"/>
        </w:rPr>
        <w:t xml:space="preserve"> good </w:t>
      </w:r>
      <w:r w:rsidR="004E158C" w:rsidRPr="00AF0066">
        <w:rPr>
          <w:rFonts w:ascii="Arial" w:hAnsi="Arial" w:cs="Arial"/>
          <w:sz w:val="24"/>
          <w:szCs w:val="24"/>
        </w:rPr>
        <w:t>performance status</w:t>
      </w:r>
      <w:r w:rsidR="000B0617" w:rsidRPr="00AF0066">
        <w:rPr>
          <w:rFonts w:ascii="Arial" w:hAnsi="Arial" w:cs="Arial"/>
          <w:sz w:val="24"/>
          <w:szCs w:val="24"/>
        </w:rPr>
        <w:t xml:space="preserve">. </w:t>
      </w:r>
      <w:r w:rsidR="00377673" w:rsidRPr="00AF0066">
        <w:rPr>
          <w:rFonts w:ascii="Arial" w:hAnsi="Arial" w:cs="Arial"/>
          <w:sz w:val="24"/>
          <w:szCs w:val="24"/>
        </w:rPr>
        <w:t xml:space="preserve"> In these cases intensive chemotherapy may be of benefit, but the decision to offer conventional chemotherapy may be negatively influenced by adverse disease biology, where chemotherapy may have a low chance of success. Some patients who are fit may decline treatment in preference for more </w:t>
      </w:r>
      <w:r w:rsidR="00377673" w:rsidRPr="00AF0066">
        <w:rPr>
          <w:rFonts w:ascii="Arial" w:hAnsi="Arial" w:cs="Arial"/>
          <w:sz w:val="24"/>
          <w:szCs w:val="24"/>
        </w:rPr>
        <w:lastRenderedPageBreak/>
        <w:t>time out of hospital, particularly if facilitated by outpatient or oral medication. At the centre of this is the physician</w:t>
      </w:r>
      <w:r w:rsidR="000B0617" w:rsidRPr="00AF0066">
        <w:rPr>
          <w:rFonts w:ascii="Arial" w:hAnsi="Arial" w:cs="Arial"/>
          <w:sz w:val="24"/>
          <w:szCs w:val="24"/>
        </w:rPr>
        <w:t xml:space="preserve"> </w:t>
      </w:r>
      <w:r w:rsidR="00AE72EC">
        <w:rPr>
          <w:rFonts w:ascii="Arial" w:hAnsi="Arial" w:cs="Arial"/>
          <w:sz w:val="24"/>
          <w:szCs w:val="24"/>
        </w:rPr>
        <w:t>–</w:t>
      </w:r>
      <w:r w:rsidR="00377673" w:rsidRPr="00AF0066">
        <w:rPr>
          <w:rFonts w:ascii="Arial" w:hAnsi="Arial" w:cs="Arial"/>
          <w:sz w:val="24"/>
          <w:szCs w:val="24"/>
        </w:rPr>
        <w:t xml:space="preserve"> </w:t>
      </w:r>
      <w:r w:rsidR="004E158C" w:rsidRPr="00AF0066">
        <w:rPr>
          <w:rFonts w:ascii="Arial" w:hAnsi="Arial" w:cs="Arial"/>
          <w:sz w:val="24"/>
          <w:szCs w:val="24"/>
        </w:rPr>
        <w:t>in</w:t>
      </w:r>
      <w:r w:rsidR="00AE72EC">
        <w:rPr>
          <w:rFonts w:ascii="Arial" w:hAnsi="Arial" w:cs="Arial"/>
          <w:sz w:val="24"/>
          <w:szCs w:val="24"/>
        </w:rPr>
        <w:t>deed in</w:t>
      </w:r>
      <w:r w:rsidR="00377673" w:rsidRPr="00AF0066">
        <w:rPr>
          <w:rFonts w:ascii="Arial" w:hAnsi="Arial" w:cs="Arial"/>
          <w:sz w:val="24"/>
          <w:szCs w:val="24"/>
        </w:rPr>
        <w:t xml:space="preserve"> our previous AML14 trial where an intensive and non-intensive treatment approach were available, the physician emerged as an independent factor in treatment choice. Many prognostic scor</w:t>
      </w:r>
      <w:r w:rsidR="004E158C" w:rsidRPr="00AF0066">
        <w:rPr>
          <w:rFonts w:ascii="Arial" w:hAnsi="Arial" w:cs="Arial"/>
          <w:sz w:val="24"/>
          <w:szCs w:val="24"/>
        </w:rPr>
        <w:t>ing sy</w:t>
      </w:r>
      <w:r w:rsidR="00CD3A36" w:rsidRPr="00AF0066">
        <w:rPr>
          <w:rFonts w:ascii="Arial" w:hAnsi="Arial" w:cs="Arial"/>
          <w:sz w:val="24"/>
          <w:szCs w:val="24"/>
        </w:rPr>
        <w:t>s</w:t>
      </w:r>
      <w:r w:rsidR="004E158C" w:rsidRPr="00AF0066">
        <w:rPr>
          <w:rFonts w:ascii="Arial" w:hAnsi="Arial" w:cs="Arial"/>
          <w:sz w:val="24"/>
          <w:szCs w:val="24"/>
        </w:rPr>
        <w:t>tems</w:t>
      </w:r>
      <w:r w:rsidR="00377673" w:rsidRPr="00AF0066">
        <w:rPr>
          <w:rFonts w:ascii="Arial" w:hAnsi="Arial" w:cs="Arial"/>
          <w:sz w:val="24"/>
          <w:szCs w:val="24"/>
        </w:rPr>
        <w:t xml:space="preserve"> have been developed for younger patients to guide treatment decisions, and such score</w:t>
      </w:r>
      <w:r w:rsidRPr="00AF0066">
        <w:rPr>
          <w:rFonts w:ascii="Arial" w:hAnsi="Arial" w:cs="Arial"/>
          <w:sz w:val="24"/>
          <w:szCs w:val="24"/>
        </w:rPr>
        <w:t>s</w:t>
      </w:r>
      <w:r w:rsidR="00377673" w:rsidRPr="00AF0066">
        <w:rPr>
          <w:rFonts w:ascii="Arial" w:hAnsi="Arial" w:cs="Arial"/>
          <w:sz w:val="24"/>
          <w:szCs w:val="24"/>
        </w:rPr>
        <w:t xml:space="preserve"> can be developed for older patients, but few have been prospect</w:t>
      </w:r>
      <w:r w:rsidRPr="00AF0066">
        <w:rPr>
          <w:rFonts w:ascii="Arial" w:hAnsi="Arial" w:cs="Arial"/>
          <w:sz w:val="24"/>
          <w:szCs w:val="24"/>
        </w:rPr>
        <w:t>ively validated in recipients of</w:t>
      </w:r>
      <w:r w:rsidR="00377673" w:rsidRPr="00AF0066">
        <w:rPr>
          <w:rFonts w:ascii="Arial" w:hAnsi="Arial" w:cs="Arial"/>
          <w:sz w:val="24"/>
          <w:szCs w:val="24"/>
        </w:rPr>
        <w:t xml:space="preserve"> non-intensive therapy. </w:t>
      </w:r>
      <w:r w:rsidR="00AE72EC">
        <w:rPr>
          <w:rFonts w:ascii="Arial" w:hAnsi="Arial" w:cs="Arial"/>
          <w:sz w:val="24"/>
          <w:szCs w:val="24"/>
        </w:rPr>
        <w:t>We</w:t>
      </w:r>
      <w:r w:rsidR="00377673" w:rsidRPr="00AF0066">
        <w:rPr>
          <w:rFonts w:ascii="Arial" w:hAnsi="Arial" w:cs="Arial"/>
          <w:sz w:val="24"/>
          <w:szCs w:val="24"/>
        </w:rPr>
        <w:t xml:space="preserve"> developed the Wheatley Score</w:t>
      </w:r>
      <w:r w:rsidR="00342955">
        <w:rPr>
          <w:rFonts w:ascii="Arial" w:hAnsi="Arial" w:cs="Arial"/>
          <w:sz w:val="24"/>
          <w:szCs w:val="24"/>
          <w:vertAlign w:val="superscript"/>
        </w:rPr>
        <w:t>1</w:t>
      </w:r>
      <w:r w:rsidR="00945AD4">
        <w:rPr>
          <w:rFonts w:ascii="Arial" w:hAnsi="Arial" w:cs="Arial"/>
          <w:sz w:val="24"/>
          <w:szCs w:val="24"/>
          <w:vertAlign w:val="superscript"/>
        </w:rPr>
        <w:t>9</w:t>
      </w:r>
      <w:r w:rsidR="00377673" w:rsidRPr="00AF0066">
        <w:rPr>
          <w:rFonts w:ascii="Arial" w:hAnsi="Arial" w:cs="Arial"/>
          <w:sz w:val="24"/>
          <w:szCs w:val="24"/>
        </w:rPr>
        <w:t>, which is useful in predicting expected outcomes for non-intensive treatment approaches.  In this study</w:t>
      </w:r>
      <w:r w:rsidRPr="00AF0066">
        <w:rPr>
          <w:rFonts w:ascii="Arial" w:hAnsi="Arial" w:cs="Arial"/>
          <w:sz w:val="24"/>
          <w:szCs w:val="24"/>
        </w:rPr>
        <w:t xml:space="preserve"> based on the Wheatley score</w:t>
      </w:r>
      <w:r w:rsidR="00377673" w:rsidRPr="00AF0066">
        <w:rPr>
          <w:rFonts w:ascii="Arial" w:hAnsi="Arial" w:cs="Arial"/>
          <w:sz w:val="24"/>
          <w:szCs w:val="24"/>
        </w:rPr>
        <w:t xml:space="preserve"> </w:t>
      </w:r>
      <w:r w:rsidR="00790EF4">
        <w:rPr>
          <w:rFonts w:ascii="Arial" w:hAnsi="Arial" w:cs="Arial"/>
          <w:sz w:val="24"/>
          <w:szCs w:val="24"/>
        </w:rPr>
        <w:t>4</w:t>
      </w:r>
      <w:r w:rsidR="00377673" w:rsidRPr="00AF0066">
        <w:rPr>
          <w:rFonts w:ascii="Arial" w:hAnsi="Arial" w:cs="Arial"/>
          <w:sz w:val="24"/>
          <w:szCs w:val="24"/>
        </w:rPr>
        <w:t>% of patients were favourable, 3</w:t>
      </w:r>
      <w:r w:rsidR="00790EF4">
        <w:rPr>
          <w:rFonts w:ascii="Arial" w:hAnsi="Arial" w:cs="Arial"/>
          <w:sz w:val="24"/>
          <w:szCs w:val="24"/>
        </w:rPr>
        <w:t>1</w:t>
      </w:r>
      <w:r w:rsidR="00377673" w:rsidRPr="00AF0066">
        <w:rPr>
          <w:rFonts w:ascii="Arial" w:hAnsi="Arial" w:cs="Arial"/>
          <w:sz w:val="24"/>
          <w:szCs w:val="24"/>
        </w:rPr>
        <w:t>% intermediate and 6</w:t>
      </w:r>
      <w:r w:rsidR="00790EF4">
        <w:rPr>
          <w:rFonts w:ascii="Arial" w:hAnsi="Arial" w:cs="Arial"/>
          <w:sz w:val="24"/>
          <w:szCs w:val="24"/>
        </w:rPr>
        <w:t>5</w:t>
      </w:r>
      <w:r w:rsidR="00377673" w:rsidRPr="00AF0066">
        <w:rPr>
          <w:rFonts w:ascii="Arial" w:hAnsi="Arial" w:cs="Arial"/>
          <w:sz w:val="24"/>
          <w:szCs w:val="24"/>
        </w:rPr>
        <w:t xml:space="preserve">% were adverse risk with respective expected </w:t>
      </w:r>
      <w:r w:rsidR="00347782" w:rsidRPr="00AF0066">
        <w:rPr>
          <w:rFonts w:ascii="Arial" w:hAnsi="Arial" w:cs="Arial"/>
          <w:sz w:val="24"/>
          <w:szCs w:val="24"/>
        </w:rPr>
        <w:t>12-month</w:t>
      </w:r>
      <w:r w:rsidR="00377673" w:rsidRPr="00AF0066">
        <w:rPr>
          <w:rFonts w:ascii="Arial" w:hAnsi="Arial" w:cs="Arial"/>
          <w:sz w:val="24"/>
          <w:szCs w:val="24"/>
        </w:rPr>
        <w:t xml:space="preserve"> </w:t>
      </w:r>
      <w:r w:rsidR="005012D5">
        <w:rPr>
          <w:rFonts w:ascii="Arial" w:hAnsi="Arial" w:cs="Arial"/>
          <w:sz w:val="24"/>
          <w:szCs w:val="24"/>
        </w:rPr>
        <w:t>OS</w:t>
      </w:r>
      <w:r w:rsidR="005012D5" w:rsidRPr="00AF0066">
        <w:rPr>
          <w:rFonts w:ascii="Arial" w:hAnsi="Arial" w:cs="Arial"/>
          <w:sz w:val="24"/>
          <w:szCs w:val="24"/>
        </w:rPr>
        <w:t xml:space="preserve"> </w:t>
      </w:r>
      <w:r w:rsidR="00377673" w:rsidRPr="00AF0066">
        <w:rPr>
          <w:rFonts w:ascii="Arial" w:hAnsi="Arial" w:cs="Arial"/>
          <w:sz w:val="24"/>
          <w:szCs w:val="24"/>
        </w:rPr>
        <w:t>36%, 42% and 14%</w:t>
      </w:r>
      <w:r w:rsidR="005012D5">
        <w:rPr>
          <w:rFonts w:ascii="Arial" w:hAnsi="Arial" w:cs="Arial"/>
          <w:sz w:val="24"/>
          <w:szCs w:val="24"/>
        </w:rPr>
        <w:t xml:space="preserve"> respectively</w:t>
      </w:r>
      <w:r w:rsidR="00377673" w:rsidRPr="00AF0066">
        <w:rPr>
          <w:rFonts w:ascii="Arial" w:hAnsi="Arial" w:cs="Arial"/>
          <w:sz w:val="24"/>
          <w:szCs w:val="24"/>
        </w:rPr>
        <w:t xml:space="preserve">. The predicted 12 month </w:t>
      </w:r>
      <w:r w:rsidR="005012D5">
        <w:rPr>
          <w:rFonts w:ascii="Arial" w:hAnsi="Arial" w:cs="Arial"/>
          <w:sz w:val="24"/>
          <w:szCs w:val="24"/>
        </w:rPr>
        <w:t>OS</w:t>
      </w:r>
      <w:r w:rsidR="00377673" w:rsidRPr="00AF0066">
        <w:rPr>
          <w:rFonts w:ascii="Arial" w:hAnsi="Arial" w:cs="Arial"/>
          <w:sz w:val="24"/>
          <w:szCs w:val="24"/>
        </w:rPr>
        <w:t xml:space="preserve"> was 25%, which is what was achieved.</w:t>
      </w:r>
    </w:p>
    <w:p w14:paraId="28C07B21" w14:textId="5C6248D9" w:rsidR="00377673" w:rsidRPr="00AF0066" w:rsidRDefault="00377673" w:rsidP="00D11AD2">
      <w:pPr>
        <w:spacing w:line="480" w:lineRule="auto"/>
        <w:jc w:val="both"/>
        <w:rPr>
          <w:rFonts w:ascii="Arial" w:eastAsia="MS Mincho" w:hAnsi="Arial" w:cs="Arial"/>
          <w:bCs/>
          <w:snapToGrid w:val="0"/>
          <w:sz w:val="24"/>
          <w:szCs w:val="24"/>
          <w:lang w:val="en-US" w:eastAsia="ja-JP"/>
        </w:rPr>
      </w:pPr>
      <w:r w:rsidRPr="00AF0066">
        <w:rPr>
          <w:rFonts w:ascii="Arial" w:hAnsi="Arial" w:cs="Arial"/>
          <w:sz w:val="24"/>
          <w:szCs w:val="24"/>
        </w:rPr>
        <w:t>We developed LDAC as a standard of care at a time when no other randomised trials in this patient population had suggest</w:t>
      </w:r>
      <w:r w:rsidR="000B0617" w:rsidRPr="00AF0066">
        <w:rPr>
          <w:rFonts w:ascii="Arial" w:hAnsi="Arial" w:cs="Arial"/>
          <w:sz w:val="24"/>
          <w:szCs w:val="24"/>
        </w:rPr>
        <w:t>ed</w:t>
      </w:r>
      <w:r w:rsidRPr="00AF0066">
        <w:rPr>
          <w:rFonts w:ascii="Arial" w:hAnsi="Arial" w:cs="Arial"/>
          <w:sz w:val="24"/>
          <w:szCs w:val="24"/>
        </w:rPr>
        <w:t xml:space="preserve"> an alternative. We found that clinical toxicities were no greater than best supportive care</w:t>
      </w:r>
      <w:r w:rsidRPr="00AF0066">
        <w:rPr>
          <w:rFonts w:ascii="Arial" w:hAnsi="Arial" w:cs="Arial"/>
          <w:sz w:val="24"/>
          <w:szCs w:val="24"/>
          <w:vertAlign w:val="superscript"/>
        </w:rPr>
        <w:t>3</w:t>
      </w:r>
      <w:r w:rsidRPr="00AF0066">
        <w:rPr>
          <w:rFonts w:ascii="Arial" w:hAnsi="Arial" w:cs="Arial"/>
          <w:sz w:val="24"/>
          <w:szCs w:val="24"/>
        </w:rPr>
        <w:t>. However durable benefit was only seen in the 18% of patients who entered CR</w:t>
      </w:r>
      <w:r w:rsidR="004E158C" w:rsidRPr="00AF0066">
        <w:rPr>
          <w:rFonts w:ascii="Arial" w:hAnsi="Arial" w:cs="Arial"/>
          <w:sz w:val="24"/>
          <w:szCs w:val="24"/>
        </w:rPr>
        <w:t xml:space="preserve">, where median OS was 575 days </w:t>
      </w:r>
      <w:r w:rsidR="00F56605" w:rsidRPr="00AF0066">
        <w:rPr>
          <w:rFonts w:ascii="Arial" w:hAnsi="Arial" w:cs="Arial"/>
          <w:sz w:val="24"/>
          <w:szCs w:val="24"/>
        </w:rPr>
        <w:t xml:space="preserve">compared to </w:t>
      </w:r>
      <w:r w:rsidR="004E158C" w:rsidRPr="00AF0066">
        <w:rPr>
          <w:rFonts w:ascii="Arial" w:hAnsi="Arial" w:cs="Arial"/>
          <w:sz w:val="24"/>
          <w:szCs w:val="24"/>
        </w:rPr>
        <w:t>only 66 days for those that did not respond</w:t>
      </w:r>
      <w:r w:rsidRPr="00AF0066">
        <w:rPr>
          <w:rFonts w:ascii="Arial" w:hAnsi="Arial" w:cs="Arial"/>
          <w:sz w:val="24"/>
          <w:szCs w:val="24"/>
        </w:rPr>
        <w:t>. This experience led to the development of a “Pick a Winner” design which depended on an initial improvement in remission rate as a surrogate for future survival benefit. A number of novel treatments that produced encouraging results in unrandomised trials have been included, but failed the scrutiny of randomisation</w:t>
      </w:r>
      <w:r w:rsidR="00945AD4">
        <w:rPr>
          <w:rFonts w:ascii="Arial" w:hAnsi="Arial" w:cs="Arial"/>
          <w:sz w:val="24"/>
          <w:szCs w:val="24"/>
          <w:vertAlign w:val="superscript"/>
        </w:rPr>
        <w:t>20</w:t>
      </w:r>
      <w:r w:rsidR="00F12DF1">
        <w:rPr>
          <w:rFonts w:ascii="Arial" w:hAnsi="Arial" w:cs="Arial"/>
          <w:sz w:val="24"/>
          <w:szCs w:val="24"/>
          <w:vertAlign w:val="superscript"/>
        </w:rPr>
        <w:t>-2</w:t>
      </w:r>
      <w:r w:rsidR="00945AD4">
        <w:rPr>
          <w:rFonts w:ascii="Arial" w:hAnsi="Arial" w:cs="Arial"/>
          <w:sz w:val="24"/>
          <w:szCs w:val="24"/>
          <w:vertAlign w:val="superscript"/>
        </w:rPr>
        <w:t>3</w:t>
      </w:r>
      <w:r w:rsidR="000864CA">
        <w:rPr>
          <w:rFonts w:ascii="Arial" w:hAnsi="Arial" w:cs="Arial"/>
          <w:sz w:val="24"/>
          <w:szCs w:val="24"/>
        </w:rPr>
        <w:t xml:space="preserve">. </w:t>
      </w:r>
      <w:r w:rsidRPr="00AF0066">
        <w:rPr>
          <w:rFonts w:ascii="Arial" w:hAnsi="Arial" w:cs="Arial"/>
          <w:sz w:val="24"/>
          <w:szCs w:val="24"/>
        </w:rPr>
        <w:t>Others were able to double the remission rates but did not improve overall survival</w:t>
      </w:r>
      <w:r w:rsidR="00F12DF1">
        <w:rPr>
          <w:rFonts w:ascii="Arial" w:hAnsi="Arial" w:cs="Arial"/>
          <w:sz w:val="24"/>
          <w:szCs w:val="24"/>
          <w:vertAlign w:val="superscript"/>
        </w:rPr>
        <w:t>2</w:t>
      </w:r>
      <w:r w:rsidR="00945AD4">
        <w:rPr>
          <w:rFonts w:ascii="Arial" w:hAnsi="Arial" w:cs="Arial"/>
          <w:sz w:val="24"/>
          <w:szCs w:val="24"/>
          <w:vertAlign w:val="superscript"/>
        </w:rPr>
        <w:t>4</w:t>
      </w:r>
      <w:r w:rsidR="00F12DF1">
        <w:rPr>
          <w:rFonts w:ascii="Arial" w:hAnsi="Arial" w:cs="Arial"/>
          <w:sz w:val="24"/>
          <w:szCs w:val="24"/>
          <w:vertAlign w:val="superscript"/>
        </w:rPr>
        <w:t>,2</w:t>
      </w:r>
      <w:r w:rsidR="00945AD4">
        <w:rPr>
          <w:rFonts w:ascii="Arial" w:hAnsi="Arial" w:cs="Arial"/>
          <w:sz w:val="24"/>
          <w:szCs w:val="24"/>
          <w:vertAlign w:val="superscript"/>
        </w:rPr>
        <w:t>5</w:t>
      </w:r>
      <w:r w:rsidRPr="00AF0066">
        <w:rPr>
          <w:rFonts w:ascii="Arial" w:hAnsi="Arial" w:cs="Arial"/>
          <w:sz w:val="24"/>
          <w:szCs w:val="24"/>
        </w:rPr>
        <w:t xml:space="preserve">. Another observation has been that in different cohorts of LDAC patients the remission rate varied from </w:t>
      </w:r>
      <w:r w:rsidR="00F56605" w:rsidRPr="00AF0066">
        <w:rPr>
          <w:rFonts w:ascii="Arial" w:hAnsi="Arial" w:cs="Arial"/>
          <w:sz w:val="24"/>
          <w:szCs w:val="24"/>
        </w:rPr>
        <w:t>14</w:t>
      </w:r>
      <w:r w:rsidRPr="00AF0066">
        <w:rPr>
          <w:rFonts w:ascii="Arial" w:hAnsi="Arial" w:cs="Arial"/>
          <w:sz w:val="24"/>
          <w:szCs w:val="24"/>
        </w:rPr>
        <w:t xml:space="preserve">% to </w:t>
      </w:r>
      <w:r w:rsidR="00F56605" w:rsidRPr="00AF0066">
        <w:rPr>
          <w:rFonts w:ascii="Arial" w:hAnsi="Arial" w:cs="Arial"/>
          <w:sz w:val="24"/>
          <w:szCs w:val="24"/>
        </w:rPr>
        <w:t>21</w:t>
      </w:r>
      <w:r w:rsidRPr="00AF0066">
        <w:rPr>
          <w:rFonts w:ascii="Arial" w:hAnsi="Arial" w:cs="Arial"/>
          <w:sz w:val="24"/>
          <w:szCs w:val="24"/>
        </w:rPr>
        <w:t xml:space="preserve">% and the 12 month survival from </w:t>
      </w:r>
      <w:r w:rsidR="00F56605" w:rsidRPr="00AF0066">
        <w:rPr>
          <w:rFonts w:ascii="Arial" w:hAnsi="Arial" w:cs="Arial"/>
          <w:sz w:val="24"/>
          <w:szCs w:val="24"/>
        </w:rPr>
        <w:t>25</w:t>
      </w:r>
      <w:r w:rsidRPr="00AF0066">
        <w:rPr>
          <w:rFonts w:ascii="Arial" w:hAnsi="Arial" w:cs="Arial"/>
          <w:sz w:val="24"/>
          <w:szCs w:val="24"/>
        </w:rPr>
        <w:t xml:space="preserve">% to </w:t>
      </w:r>
      <w:r w:rsidR="00F56605" w:rsidRPr="00AF0066">
        <w:rPr>
          <w:rFonts w:ascii="Arial" w:hAnsi="Arial" w:cs="Arial"/>
          <w:sz w:val="24"/>
          <w:szCs w:val="24"/>
        </w:rPr>
        <w:t>32</w:t>
      </w:r>
      <w:r w:rsidRPr="00AF0066">
        <w:rPr>
          <w:rFonts w:ascii="Arial" w:hAnsi="Arial" w:cs="Arial"/>
          <w:sz w:val="24"/>
          <w:szCs w:val="24"/>
        </w:rPr>
        <w:t>%, without obvious differences in patients’ characteristics</w:t>
      </w:r>
      <w:r w:rsidR="000A5005">
        <w:rPr>
          <w:rFonts w:ascii="Arial" w:hAnsi="Arial" w:cs="Arial"/>
          <w:sz w:val="24"/>
          <w:szCs w:val="24"/>
          <w:vertAlign w:val="superscript"/>
        </w:rPr>
        <w:t>2</w:t>
      </w:r>
      <w:r w:rsidR="00945AD4">
        <w:rPr>
          <w:rFonts w:ascii="Arial" w:hAnsi="Arial" w:cs="Arial"/>
          <w:sz w:val="24"/>
          <w:szCs w:val="24"/>
          <w:vertAlign w:val="superscript"/>
        </w:rPr>
        <w:t>6</w:t>
      </w:r>
      <w:r w:rsidRPr="00AF0066">
        <w:rPr>
          <w:rFonts w:ascii="Arial" w:hAnsi="Arial" w:cs="Arial"/>
          <w:sz w:val="24"/>
          <w:szCs w:val="24"/>
        </w:rPr>
        <w:t>.  To date 2480 randomisations have been undertaken</w:t>
      </w:r>
      <w:r w:rsidR="000864CA">
        <w:rPr>
          <w:rFonts w:ascii="Arial" w:hAnsi="Arial" w:cs="Arial"/>
          <w:sz w:val="24"/>
          <w:szCs w:val="24"/>
        </w:rPr>
        <w:t xml:space="preserve"> in </w:t>
      </w:r>
      <w:r w:rsidR="000864CA">
        <w:rPr>
          <w:rFonts w:ascii="Arial" w:hAnsi="Arial" w:cs="Arial"/>
          <w:sz w:val="24"/>
          <w:szCs w:val="24"/>
        </w:rPr>
        <w:lastRenderedPageBreak/>
        <w:t>1753 patients to evaluate 13</w:t>
      </w:r>
      <w:r w:rsidRPr="00AF0066">
        <w:rPr>
          <w:rFonts w:ascii="Arial" w:hAnsi="Arial" w:cs="Arial"/>
          <w:sz w:val="24"/>
          <w:szCs w:val="24"/>
        </w:rPr>
        <w:t xml:space="preserve"> agents or combinations</w:t>
      </w:r>
      <w:r w:rsidR="000864CA">
        <w:rPr>
          <w:rFonts w:ascii="Arial" w:hAnsi="Arial" w:cs="Arial"/>
          <w:sz w:val="24"/>
          <w:szCs w:val="24"/>
          <w:vertAlign w:val="superscript"/>
        </w:rPr>
        <w:t>2</w:t>
      </w:r>
      <w:r w:rsidR="00945AD4">
        <w:rPr>
          <w:rFonts w:ascii="Arial" w:hAnsi="Arial" w:cs="Arial"/>
          <w:sz w:val="24"/>
          <w:szCs w:val="24"/>
          <w:vertAlign w:val="superscript"/>
        </w:rPr>
        <w:t>1</w:t>
      </w:r>
      <w:r w:rsidR="000864CA">
        <w:rPr>
          <w:rFonts w:ascii="Arial" w:hAnsi="Arial" w:cs="Arial"/>
          <w:sz w:val="24"/>
          <w:szCs w:val="24"/>
          <w:vertAlign w:val="superscript"/>
        </w:rPr>
        <w:t>-2</w:t>
      </w:r>
      <w:r w:rsidR="00945AD4">
        <w:rPr>
          <w:rFonts w:ascii="Arial" w:hAnsi="Arial" w:cs="Arial"/>
          <w:sz w:val="24"/>
          <w:szCs w:val="24"/>
          <w:vertAlign w:val="superscript"/>
        </w:rPr>
        <w:t>6</w:t>
      </w:r>
      <w:r w:rsidR="000864CA">
        <w:rPr>
          <w:rFonts w:ascii="Arial" w:hAnsi="Arial" w:cs="Arial"/>
          <w:sz w:val="24"/>
          <w:szCs w:val="24"/>
        </w:rPr>
        <w:t>.</w:t>
      </w:r>
      <w:r w:rsidR="000B0617" w:rsidRPr="00AF0066">
        <w:rPr>
          <w:rFonts w:ascii="Arial" w:hAnsi="Arial" w:cs="Arial"/>
          <w:sz w:val="24"/>
          <w:szCs w:val="24"/>
        </w:rPr>
        <w:t xml:space="preserve"> </w:t>
      </w:r>
      <w:r w:rsidR="000864CA">
        <w:rPr>
          <w:rFonts w:ascii="Arial" w:hAnsi="Arial" w:cs="Arial"/>
          <w:sz w:val="24"/>
          <w:szCs w:val="24"/>
        </w:rPr>
        <w:t>The e</w:t>
      </w:r>
      <w:r w:rsidRPr="00AF0066">
        <w:rPr>
          <w:rFonts w:ascii="Arial" w:hAnsi="Arial" w:cs="Arial"/>
          <w:sz w:val="24"/>
          <w:szCs w:val="24"/>
        </w:rPr>
        <w:t>valuation is complete on</w:t>
      </w:r>
      <w:r w:rsidR="00342955">
        <w:rPr>
          <w:rFonts w:ascii="Arial" w:hAnsi="Arial" w:cs="Arial"/>
          <w:sz w:val="24"/>
          <w:szCs w:val="24"/>
        </w:rPr>
        <w:t xml:space="preserve"> 11 options, and 2</w:t>
      </w:r>
      <w:r w:rsidRPr="00AF0066">
        <w:rPr>
          <w:rFonts w:ascii="Arial" w:hAnsi="Arial" w:cs="Arial"/>
          <w:sz w:val="24"/>
          <w:szCs w:val="24"/>
        </w:rPr>
        <w:t xml:space="preserve"> are ongoing.</w:t>
      </w:r>
      <w:r w:rsidR="00CD3A36" w:rsidRPr="00AF0066">
        <w:rPr>
          <w:rFonts w:ascii="Arial" w:hAnsi="Arial" w:cs="Arial"/>
          <w:sz w:val="24"/>
          <w:szCs w:val="24"/>
        </w:rPr>
        <w:t xml:space="preserve"> </w:t>
      </w:r>
      <w:r w:rsidRPr="00AF0066">
        <w:rPr>
          <w:rFonts w:ascii="Arial" w:hAnsi="Arial" w:cs="Arial"/>
          <w:sz w:val="24"/>
          <w:szCs w:val="24"/>
        </w:rPr>
        <w:t>The use of remission as a surrogate endpoint helps identify and exclude unpromising treatments, but should not replace survival as an endpoint in trials in this population.</w:t>
      </w:r>
      <w:r w:rsidRPr="00AF0066">
        <w:rPr>
          <w:rFonts w:ascii="Arial" w:eastAsia="MS Mincho" w:hAnsi="Arial" w:cs="Arial"/>
          <w:bCs/>
          <w:snapToGrid w:val="0"/>
          <w:sz w:val="24"/>
          <w:szCs w:val="24"/>
          <w:lang w:val="en-US" w:eastAsia="ja-JP"/>
        </w:rPr>
        <w:t xml:space="preserve"> </w:t>
      </w:r>
    </w:p>
    <w:p w14:paraId="7B406D30" w14:textId="07A8DD7F" w:rsidR="00377673" w:rsidRPr="00AF0066" w:rsidRDefault="00377673" w:rsidP="00D11AD2">
      <w:pPr>
        <w:spacing w:after="0" w:line="480" w:lineRule="auto"/>
        <w:jc w:val="both"/>
        <w:rPr>
          <w:rFonts w:ascii="Arial" w:eastAsia="MS Mincho" w:hAnsi="Arial" w:cs="Arial"/>
          <w:bCs/>
          <w:snapToGrid w:val="0"/>
          <w:sz w:val="24"/>
          <w:szCs w:val="24"/>
          <w:lang w:val="en-US" w:eastAsia="ja-JP"/>
        </w:rPr>
      </w:pPr>
      <w:r w:rsidRPr="00AF0066">
        <w:rPr>
          <w:rFonts w:ascii="Arial" w:eastAsia="MS Mincho" w:hAnsi="Arial" w:cs="Arial"/>
          <w:bCs/>
          <w:snapToGrid w:val="0"/>
          <w:sz w:val="24"/>
          <w:szCs w:val="24"/>
          <w:lang w:val="en-US" w:eastAsia="ja-JP"/>
        </w:rPr>
        <w:t>Mechanistically tosedostat has several properties which could be particularly helpful in older patients</w:t>
      </w:r>
      <w:r w:rsidR="00945AD4">
        <w:rPr>
          <w:rFonts w:ascii="Arial" w:eastAsia="MS Mincho" w:hAnsi="Arial" w:cs="Arial"/>
          <w:bCs/>
          <w:snapToGrid w:val="0"/>
          <w:sz w:val="24"/>
          <w:szCs w:val="24"/>
          <w:vertAlign w:val="superscript"/>
          <w:lang w:val="en-US" w:eastAsia="ja-JP"/>
        </w:rPr>
        <w:t>8</w:t>
      </w:r>
      <w:r w:rsidRPr="00AF0066">
        <w:rPr>
          <w:rFonts w:ascii="Arial" w:eastAsia="MS Mincho" w:hAnsi="Arial" w:cs="Arial"/>
          <w:bCs/>
          <w:snapToGrid w:val="0"/>
          <w:sz w:val="24"/>
          <w:szCs w:val="24"/>
          <w:lang w:val="en-US" w:eastAsia="ja-JP"/>
        </w:rPr>
        <w:t>. The developmental phase I/II experience in relapse and in combination was both feasible from the toxicity point of view, an</w:t>
      </w:r>
      <w:r w:rsidR="00D30278" w:rsidRPr="00AF0066">
        <w:rPr>
          <w:rFonts w:ascii="Arial" w:eastAsia="MS Mincho" w:hAnsi="Arial" w:cs="Arial"/>
          <w:bCs/>
          <w:snapToGrid w:val="0"/>
          <w:sz w:val="24"/>
          <w:szCs w:val="24"/>
          <w:lang w:val="en-US" w:eastAsia="ja-JP"/>
        </w:rPr>
        <w:t>d</w:t>
      </w:r>
      <w:r w:rsidRPr="00AF0066">
        <w:rPr>
          <w:rFonts w:ascii="Arial" w:eastAsia="MS Mincho" w:hAnsi="Arial" w:cs="Arial"/>
          <w:bCs/>
          <w:snapToGrid w:val="0"/>
          <w:sz w:val="24"/>
          <w:szCs w:val="24"/>
          <w:lang w:val="en-US" w:eastAsia="ja-JP"/>
        </w:rPr>
        <w:t xml:space="preserve"> appeared to offer an improved clinical response. </w:t>
      </w:r>
      <w:r w:rsidR="000137BA" w:rsidRPr="00AF0066">
        <w:rPr>
          <w:rFonts w:ascii="Arial" w:eastAsia="MS Mincho" w:hAnsi="Arial" w:cs="Arial"/>
          <w:bCs/>
          <w:snapToGrid w:val="0"/>
          <w:sz w:val="24"/>
          <w:szCs w:val="24"/>
          <w:lang w:val="en-US" w:eastAsia="ja-JP"/>
        </w:rPr>
        <w:t>The o</w:t>
      </w:r>
      <w:r w:rsidRPr="00AF0066">
        <w:rPr>
          <w:rFonts w:ascii="Arial" w:eastAsia="MS Mincho" w:hAnsi="Arial" w:cs="Arial"/>
          <w:bCs/>
          <w:snapToGrid w:val="0"/>
          <w:sz w:val="24"/>
          <w:szCs w:val="24"/>
          <w:lang w:val="en-US" w:eastAsia="ja-JP"/>
        </w:rPr>
        <w:t>ral formulation is also helpful in the elderly population. We therefore initia</w:t>
      </w:r>
      <w:r w:rsidR="00822E93">
        <w:rPr>
          <w:rFonts w:ascii="Arial" w:eastAsia="MS Mincho" w:hAnsi="Arial" w:cs="Arial"/>
          <w:bCs/>
          <w:snapToGrid w:val="0"/>
          <w:sz w:val="24"/>
          <w:szCs w:val="24"/>
          <w:lang w:val="en-US" w:eastAsia="ja-JP"/>
        </w:rPr>
        <w:t>ted the randomis</w:t>
      </w:r>
      <w:r w:rsidRPr="00AF0066">
        <w:rPr>
          <w:rFonts w:ascii="Arial" w:eastAsia="MS Mincho" w:hAnsi="Arial" w:cs="Arial"/>
          <w:bCs/>
          <w:snapToGrid w:val="0"/>
          <w:sz w:val="24"/>
          <w:szCs w:val="24"/>
          <w:lang w:val="en-US" w:eastAsia="ja-JP"/>
        </w:rPr>
        <w:t>ed comparison reported here. Disappointingly</w:t>
      </w:r>
      <w:r w:rsidR="000B0617" w:rsidRPr="00AF0066">
        <w:rPr>
          <w:rFonts w:ascii="Arial" w:eastAsia="MS Mincho" w:hAnsi="Arial" w:cs="Arial"/>
          <w:bCs/>
          <w:snapToGrid w:val="0"/>
          <w:sz w:val="24"/>
          <w:szCs w:val="24"/>
          <w:lang w:val="en-US" w:eastAsia="ja-JP"/>
        </w:rPr>
        <w:t>,</w:t>
      </w:r>
      <w:r w:rsidRPr="00AF0066">
        <w:rPr>
          <w:rFonts w:ascii="Arial" w:eastAsia="MS Mincho" w:hAnsi="Arial" w:cs="Arial"/>
          <w:bCs/>
          <w:snapToGrid w:val="0"/>
          <w:sz w:val="24"/>
          <w:szCs w:val="24"/>
          <w:lang w:val="en-US" w:eastAsia="ja-JP"/>
        </w:rPr>
        <w:t xml:space="preserve"> the combination failed to meet the </w:t>
      </w:r>
      <w:r w:rsidR="00FA51BF" w:rsidRPr="00AF0066">
        <w:rPr>
          <w:rFonts w:ascii="Arial" w:eastAsia="MS Mincho" w:hAnsi="Arial" w:cs="Arial"/>
          <w:bCs/>
          <w:snapToGrid w:val="0"/>
          <w:sz w:val="24"/>
          <w:szCs w:val="24"/>
          <w:lang w:val="en-US" w:eastAsia="ja-JP"/>
        </w:rPr>
        <w:t>IDMC</w:t>
      </w:r>
      <w:r w:rsidRPr="00AF0066">
        <w:rPr>
          <w:rFonts w:ascii="Arial" w:eastAsia="MS Mincho" w:hAnsi="Arial" w:cs="Arial"/>
          <w:bCs/>
          <w:snapToGrid w:val="0"/>
          <w:sz w:val="24"/>
          <w:szCs w:val="24"/>
          <w:lang w:val="en-US" w:eastAsia="ja-JP"/>
        </w:rPr>
        <w:t xml:space="preserve"> criteria to continue the trial. In reaching their recommendation the </w:t>
      </w:r>
      <w:r w:rsidR="00FA51BF" w:rsidRPr="00AF0066">
        <w:rPr>
          <w:rFonts w:ascii="Arial" w:eastAsia="MS Mincho" w:hAnsi="Arial" w:cs="Arial"/>
          <w:bCs/>
          <w:snapToGrid w:val="0"/>
          <w:sz w:val="24"/>
          <w:szCs w:val="24"/>
          <w:lang w:val="en-US" w:eastAsia="ja-JP"/>
        </w:rPr>
        <w:t>I</w:t>
      </w:r>
      <w:r w:rsidRPr="00AF0066">
        <w:rPr>
          <w:rFonts w:ascii="Arial" w:eastAsia="MS Mincho" w:hAnsi="Arial" w:cs="Arial"/>
          <w:bCs/>
          <w:snapToGrid w:val="0"/>
          <w:sz w:val="24"/>
          <w:szCs w:val="24"/>
          <w:lang w:val="en-US" w:eastAsia="ja-JP"/>
        </w:rPr>
        <w:t>DMC looked not only at the strict continuation criteria set down</w:t>
      </w:r>
      <w:r w:rsidR="000B0617" w:rsidRPr="00AF0066">
        <w:rPr>
          <w:rFonts w:ascii="Arial" w:eastAsia="MS Mincho" w:hAnsi="Arial" w:cs="Arial"/>
          <w:bCs/>
          <w:snapToGrid w:val="0"/>
          <w:sz w:val="24"/>
          <w:szCs w:val="24"/>
          <w:lang w:val="en-US" w:eastAsia="ja-JP"/>
        </w:rPr>
        <w:t>,</w:t>
      </w:r>
      <w:r w:rsidRPr="00AF0066">
        <w:rPr>
          <w:rFonts w:ascii="Arial" w:eastAsia="MS Mincho" w:hAnsi="Arial" w:cs="Arial"/>
          <w:bCs/>
          <w:snapToGrid w:val="0"/>
          <w:sz w:val="24"/>
          <w:szCs w:val="24"/>
          <w:lang w:val="en-US" w:eastAsia="ja-JP"/>
        </w:rPr>
        <w:t xml:space="preserve"> based upon remission</w:t>
      </w:r>
      <w:r w:rsidR="000B0617" w:rsidRPr="00AF0066">
        <w:rPr>
          <w:rFonts w:ascii="Arial" w:eastAsia="MS Mincho" w:hAnsi="Arial" w:cs="Arial"/>
          <w:bCs/>
          <w:snapToGrid w:val="0"/>
          <w:sz w:val="24"/>
          <w:szCs w:val="24"/>
          <w:lang w:val="en-US" w:eastAsia="ja-JP"/>
        </w:rPr>
        <w:t>,</w:t>
      </w:r>
      <w:r w:rsidRPr="00AF0066">
        <w:rPr>
          <w:rFonts w:ascii="Arial" w:eastAsia="MS Mincho" w:hAnsi="Arial" w:cs="Arial"/>
          <w:bCs/>
          <w:snapToGrid w:val="0"/>
          <w:sz w:val="24"/>
          <w:szCs w:val="24"/>
          <w:lang w:val="en-US" w:eastAsia="ja-JP"/>
        </w:rPr>
        <w:t xml:space="preserve"> but also relied upon safety data, and in particular early mortality when deciding whether or not to continue.  The IDMC closed the tosedostat arm based on a fai</w:t>
      </w:r>
      <w:r w:rsidR="0040026A" w:rsidRPr="00AF0066">
        <w:rPr>
          <w:rFonts w:ascii="Arial" w:eastAsia="MS Mincho" w:hAnsi="Arial" w:cs="Arial"/>
          <w:bCs/>
          <w:snapToGrid w:val="0"/>
          <w:sz w:val="24"/>
          <w:szCs w:val="24"/>
          <w:lang w:val="en-US" w:eastAsia="ja-JP"/>
        </w:rPr>
        <w:t>lure to improve survival as assessed by</w:t>
      </w:r>
      <w:r w:rsidRPr="00AF0066">
        <w:rPr>
          <w:rFonts w:ascii="Arial" w:eastAsia="MS Mincho" w:hAnsi="Arial" w:cs="Arial"/>
          <w:bCs/>
          <w:snapToGrid w:val="0"/>
          <w:sz w:val="24"/>
          <w:szCs w:val="24"/>
          <w:lang w:val="en-US" w:eastAsia="ja-JP"/>
        </w:rPr>
        <w:t xml:space="preserve"> the confidence intervals at the time of their analysis which depended on observing a hazard ratio of 0.</w:t>
      </w:r>
      <w:r w:rsidR="008838DA">
        <w:rPr>
          <w:rFonts w:ascii="Arial" w:eastAsia="MS Mincho" w:hAnsi="Arial" w:cs="Arial"/>
          <w:bCs/>
          <w:snapToGrid w:val="0"/>
          <w:sz w:val="24"/>
          <w:szCs w:val="24"/>
          <w:lang w:val="en-US" w:eastAsia="ja-JP"/>
        </w:rPr>
        <w:t>69</w:t>
      </w:r>
      <w:r w:rsidRPr="00AF0066">
        <w:rPr>
          <w:rFonts w:ascii="Arial" w:eastAsia="MS Mincho" w:hAnsi="Arial" w:cs="Arial"/>
          <w:bCs/>
          <w:snapToGrid w:val="0"/>
          <w:sz w:val="24"/>
          <w:szCs w:val="24"/>
          <w:lang w:val="en-US" w:eastAsia="ja-JP"/>
        </w:rPr>
        <w:t>, representing the requirement to improve 2-year survival from 11% to 22%. It was therefore concluded that even with m</w:t>
      </w:r>
      <w:r w:rsidR="00D4253B">
        <w:rPr>
          <w:rFonts w:ascii="Arial" w:eastAsia="MS Mincho" w:hAnsi="Arial" w:cs="Arial"/>
          <w:bCs/>
          <w:snapToGrid w:val="0"/>
          <w:sz w:val="24"/>
          <w:szCs w:val="24"/>
          <w:lang w:val="en-US" w:eastAsia="ja-JP"/>
        </w:rPr>
        <w:t>ore patients included the drug wa</w:t>
      </w:r>
      <w:r w:rsidRPr="00AF0066">
        <w:rPr>
          <w:rFonts w:ascii="Arial" w:eastAsia="MS Mincho" w:hAnsi="Arial" w:cs="Arial"/>
          <w:bCs/>
          <w:snapToGrid w:val="0"/>
          <w:sz w:val="24"/>
          <w:szCs w:val="24"/>
          <w:lang w:val="en-US" w:eastAsia="ja-JP"/>
        </w:rPr>
        <w:t xml:space="preserve">s unlikely to demonstrate the sort of benefit required by the design of the trial. </w:t>
      </w:r>
      <w:r w:rsidR="002809B3">
        <w:rPr>
          <w:rFonts w:ascii="Arial" w:eastAsia="MS Mincho" w:hAnsi="Arial" w:cs="Arial"/>
          <w:bCs/>
          <w:snapToGrid w:val="0"/>
          <w:sz w:val="24"/>
          <w:szCs w:val="24"/>
          <w:lang w:val="en-US" w:eastAsia="ja-JP"/>
        </w:rPr>
        <w:t xml:space="preserve">As is observed in many such studies the primary reason for discontinuation was refractory disease. For responding patients the median OS was an impressive 21.8 months, although we were unable to identify any clinical or laboratory findings which could reliably </w:t>
      </w:r>
      <w:r w:rsidR="00B47036">
        <w:rPr>
          <w:rFonts w:ascii="Arial" w:eastAsia="MS Mincho" w:hAnsi="Arial" w:cs="Arial"/>
          <w:bCs/>
          <w:snapToGrid w:val="0"/>
          <w:sz w:val="24"/>
          <w:szCs w:val="24"/>
          <w:lang w:val="en-US" w:eastAsia="ja-JP"/>
        </w:rPr>
        <w:t>identify such patients</w:t>
      </w:r>
      <w:r w:rsidR="002809B3">
        <w:rPr>
          <w:rFonts w:ascii="Arial" w:eastAsia="MS Mincho" w:hAnsi="Arial" w:cs="Arial"/>
          <w:bCs/>
          <w:snapToGrid w:val="0"/>
          <w:sz w:val="24"/>
          <w:szCs w:val="24"/>
          <w:lang w:val="en-US" w:eastAsia="ja-JP"/>
        </w:rPr>
        <w:t xml:space="preserve"> a recent publication by Visani</w:t>
      </w:r>
      <w:r w:rsidR="002809B3">
        <w:rPr>
          <w:rFonts w:ascii="Arial" w:eastAsia="MS Mincho" w:hAnsi="Arial" w:cs="Arial"/>
          <w:bCs/>
          <w:snapToGrid w:val="0"/>
          <w:sz w:val="24"/>
          <w:szCs w:val="24"/>
          <w:vertAlign w:val="superscript"/>
          <w:lang w:val="en-US" w:eastAsia="ja-JP"/>
        </w:rPr>
        <w:t>15</w:t>
      </w:r>
      <w:r w:rsidR="002809B3">
        <w:rPr>
          <w:rFonts w:ascii="Arial" w:eastAsia="MS Mincho" w:hAnsi="Arial" w:cs="Arial"/>
          <w:bCs/>
          <w:snapToGrid w:val="0"/>
          <w:sz w:val="24"/>
          <w:szCs w:val="24"/>
          <w:lang w:val="en-US" w:eastAsia="ja-JP"/>
        </w:rPr>
        <w:t xml:space="preserve"> has proposed a g</w:t>
      </w:r>
      <w:r w:rsidR="002809B3" w:rsidRPr="002809B3">
        <w:rPr>
          <w:rFonts w:ascii="Arial" w:eastAsia="MS Mincho" w:hAnsi="Arial" w:cs="Arial"/>
          <w:bCs/>
          <w:snapToGrid w:val="0"/>
          <w:sz w:val="24"/>
          <w:szCs w:val="24"/>
          <w:lang w:val="en-US" w:eastAsia="ja-JP"/>
        </w:rPr>
        <w:t xml:space="preserve">ene expression profile </w:t>
      </w:r>
      <w:r w:rsidR="00B47036">
        <w:rPr>
          <w:rFonts w:ascii="Arial" w:eastAsia="MS Mincho" w:hAnsi="Arial" w:cs="Arial"/>
          <w:bCs/>
          <w:snapToGrid w:val="0"/>
          <w:sz w:val="24"/>
          <w:szCs w:val="24"/>
          <w:lang w:val="en-US" w:eastAsia="ja-JP"/>
        </w:rPr>
        <w:t>that could predict such a response and could warrant further evaluation.</w:t>
      </w:r>
    </w:p>
    <w:p w14:paraId="71A9C039" w14:textId="77777777" w:rsidR="00F56605" w:rsidRPr="00AF0066" w:rsidRDefault="00F56605" w:rsidP="00D11AD2">
      <w:pPr>
        <w:spacing w:after="0" w:line="480" w:lineRule="auto"/>
        <w:jc w:val="both"/>
        <w:rPr>
          <w:rFonts w:ascii="Arial" w:eastAsia="MS Mincho" w:hAnsi="Arial" w:cs="Arial"/>
          <w:bCs/>
          <w:snapToGrid w:val="0"/>
          <w:sz w:val="24"/>
          <w:szCs w:val="24"/>
          <w:lang w:val="en-US" w:eastAsia="ja-JP"/>
        </w:rPr>
      </w:pPr>
    </w:p>
    <w:p w14:paraId="1840393B" w14:textId="3CEAD2EB" w:rsidR="00C772F7" w:rsidRPr="00AF0066" w:rsidRDefault="00F56605" w:rsidP="00D11AD2">
      <w:pPr>
        <w:spacing w:after="0" w:line="480" w:lineRule="auto"/>
        <w:jc w:val="both"/>
        <w:rPr>
          <w:rFonts w:ascii="Arial" w:eastAsia="MS Mincho" w:hAnsi="Arial" w:cs="Arial"/>
          <w:bCs/>
          <w:snapToGrid w:val="0"/>
          <w:sz w:val="24"/>
          <w:szCs w:val="24"/>
          <w:lang w:val="en-US" w:eastAsia="ja-JP"/>
        </w:rPr>
      </w:pPr>
      <w:r w:rsidRPr="00AF0066">
        <w:rPr>
          <w:rFonts w:ascii="Arial" w:eastAsia="MS Mincho" w:hAnsi="Arial" w:cs="Arial"/>
          <w:bCs/>
          <w:snapToGrid w:val="0"/>
          <w:sz w:val="24"/>
          <w:szCs w:val="24"/>
          <w:lang w:val="en-US" w:eastAsia="ja-JP"/>
        </w:rPr>
        <w:lastRenderedPageBreak/>
        <w:t>The introduction of hypomethy</w:t>
      </w:r>
      <w:r w:rsidR="0026394C" w:rsidRPr="00AF0066">
        <w:rPr>
          <w:rFonts w:ascii="Arial" w:eastAsia="MS Mincho" w:hAnsi="Arial" w:cs="Arial"/>
          <w:bCs/>
          <w:snapToGrid w:val="0"/>
          <w:sz w:val="24"/>
          <w:szCs w:val="24"/>
          <w:lang w:val="en-US" w:eastAsia="ja-JP"/>
        </w:rPr>
        <w:t>l</w:t>
      </w:r>
      <w:r w:rsidRPr="00AF0066">
        <w:rPr>
          <w:rFonts w:ascii="Arial" w:eastAsia="MS Mincho" w:hAnsi="Arial" w:cs="Arial"/>
          <w:bCs/>
          <w:snapToGrid w:val="0"/>
          <w:sz w:val="24"/>
          <w:szCs w:val="24"/>
          <w:lang w:val="en-US" w:eastAsia="ja-JP"/>
        </w:rPr>
        <w:t xml:space="preserve">ating agents </w:t>
      </w:r>
      <w:r w:rsidR="0040026A" w:rsidRPr="00AF0066">
        <w:rPr>
          <w:rFonts w:ascii="Arial" w:eastAsia="MS Mincho" w:hAnsi="Arial" w:cs="Arial"/>
          <w:bCs/>
          <w:snapToGrid w:val="0"/>
          <w:sz w:val="24"/>
          <w:szCs w:val="24"/>
          <w:lang w:val="en-US" w:eastAsia="ja-JP"/>
        </w:rPr>
        <w:t>has improved</w:t>
      </w:r>
      <w:r w:rsidRPr="00AF0066">
        <w:rPr>
          <w:rFonts w:ascii="Arial" w:eastAsia="MS Mincho" w:hAnsi="Arial" w:cs="Arial"/>
          <w:bCs/>
          <w:snapToGrid w:val="0"/>
          <w:sz w:val="24"/>
          <w:szCs w:val="24"/>
          <w:lang w:val="en-US" w:eastAsia="ja-JP"/>
        </w:rPr>
        <w:t xml:space="preserve"> survival without substantially improving the rate of remission</w:t>
      </w:r>
      <w:r w:rsidR="0040026A" w:rsidRPr="00AF0066">
        <w:rPr>
          <w:rFonts w:ascii="Arial" w:eastAsia="MS Mincho" w:hAnsi="Arial" w:cs="Arial"/>
          <w:bCs/>
          <w:snapToGrid w:val="0"/>
          <w:sz w:val="24"/>
          <w:szCs w:val="24"/>
          <w:vertAlign w:val="superscript"/>
          <w:lang w:val="en-US" w:eastAsia="ja-JP"/>
        </w:rPr>
        <w:t>4</w:t>
      </w:r>
      <w:r w:rsidR="00D30278" w:rsidRPr="00AF0066">
        <w:rPr>
          <w:rFonts w:ascii="Arial" w:eastAsia="MS Mincho" w:hAnsi="Arial" w:cs="Arial"/>
          <w:bCs/>
          <w:snapToGrid w:val="0"/>
          <w:sz w:val="24"/>
          <w:szCs w:val="24"/>
          <w:lang w:val="en-US" w:eastAsia="ja-JP"/>
        </w:rPr>
        <w:t xml:space="preserve"> and globally considered the standard of care for the frail unfit AML patient</w:t>
      </w:r>
      <w:r w:rsidR="00CD3A36" w:rsidRPr="00AF0066">
        <w:rPr>
          <w:rFonts w:ascii="Arial" w:eastAsia="MS Mincho" w:hAnsi="Arial" w:cs="Arial"/>
          <w:bCs/>
          <w:snapToGrid w:val="0"/>
          <w:sz w:val="24"/>
          <w:szCs w:val="24"/>
          <w:lang w:val="en-US" w:eastAsia="ja-JP"/>
        </w:rPr>
        <w:t xml:space="preserve">. </w:t>
      </w:r>
      <w:r w:rsidR="00377673" w:rsidRPr="00AF0066">
        <w:rPr>
          <w:rFonts w:ascii="Arial" w:eastAsia="MS Mincho" w:hAnsi="Arial" w:cs="Arial"/>
          <w:bCs/>
          <w:snapToGrid w:val="0"/>
          <w:sz w:val="24"/>
          <w:szCs w:val="24"/>
          <w:lang w:val="en-US" w:eastAsia="ja-JP"/>
        </w:rPr>
        <w:t>New combinations</w:t>
      </w:r>
      <w:r w:rsidR="00D4253B">
        <w:rPr>
          <w:rFonts w:ascii="Arial" w:eastAsia="MS Mincho" w:hAnsi="Arial" w:cs="Arial"/>
          <w:bCs/>
          <w:snapToGrid w:val="0"/>
          <w:sz w:val="24"/>
          <w:szCs w:val="24"/>
          <w:lang w:val="en-US" w:eastAsia="ja-JP"/>
        </w:rPr>
        <w:t xml:space="preserve"> (including venetoclax, enasidenib, ivosidenib and g</w:t>
      </w:r>
      <w:r w:rsidR="00D30278" w:rsidRPr="00AF0066">
        <w:rPr>
          <w:rFonts w:ascii="Arial" w:eastAsia="MS Mincho" w:hAnsi="Arial" w:cs="Arial"/>
          <w:bCs/>
          <w:snapToGrid w:val="0"/>
          <w:sz w:val="24"/>
          <w:szCs w:val="24"/>
          <w:lang w:val="en-US" w:eastAsia="ja-JP"/>
        </w:rPr>
        <w:t>lasdegib)</w:t>
      </w:r>
      <w:r w:rsidR="00377673" w:rsidRPr="00AF0066">
        <w:rPr>
          <w:rFonts w:ascii="Arial" w:eastAsia="MS Mincho" w:hAnsi="Arial" w:cs="Arial"/>
          <w:bCs/>
          <w:snapToGrid w:val="0"/>
          <w:sz w:val="24"/>
          <w:szCs w:val="24"/>
          <w:lang w:val="en-US" w:eastAsia="ja-JP"/>
        </w:rPr>
        <w:t xml:space="preserve"> show considerable promise, and indeed have received regulatory approval for this patient group</w:t>
      </w:r>
      <w:r w:rsidR="0026394C" w:rsidRPr="00AF0066">
        <w:rPr>
          <w:rFonts w:ascii="Arial" w:eastAsia="MS Mincho" w:hAnsi="Arial" w:cs="Arial"/>
          <w:bCs/>
          <w:snapToGrid w:val="0"/>
          <w:sz w:val="24"/>
          <w:szCs w:val="24"/>
          <w:lang w:val="en-US" w:eastAsia="ja-JP"/>
        </w:rPr>
        <w:t>,</w:t>
      </w:r>
      <w:r w:rsidR="00377673" w:rsidRPr="00AF0066">
        <w:rPr>
          <w:rFonts w:ascii="Arial" w:eastAsia="MS Mincho" w:hAnsi="Arial" w:cs="Arial"/>
          <w:bCs/>
          <w:snapToGrid w:val="0"/>
          <w:sz w:val="24"/>
          <w:szCs w:val="24"/>
          <w:lang w:val="en-US" w:eastAsia="ja-JP"/>
        </w:rPr>
        <w:t xml:space="preserve"> mostly </w:t>
      </w:r>
      <w:r w:rsidR="0026394C" w:rsidRPr="00AF0066">
        <w:rPr>
          <w:rFonts w:ascii="Arial" w:eastAsia="MS Mincho" w:hAnsi="Arial" w:cs="Arial"/>
          <w:bCs/>
          <w:snapToGrid w:val="0"/>
          <w:sz w:val="24"/>
          <w:szCs w:val="24"/>
          <w:lang w:val="en-US" w:eastAsia="ja-JP"/>
        </w:rPr>
        <w:t xml:space="preserve">based </w:t>
      </w:r>
      <w:r w:rsidR="00377673" w:rsidRPr="00AF0066">
        <w:rPr>
          <w:rFonts w:ascii="Arial" w:eastAsia="MS Mincho" w:hAnsi="Arial" w:cs="Arial"/>
          <w:bCs/>
          <w:snapToGrid w:val="0"/>
          <w:sz w:val="24"/>
          <w:szCs w:val="24"/>
          <w:lang w:val="en-US" w:eastAsia="ja-JP"/>
        </w:rPr>
        <w:t>on unrandomised data</w:t>
      </w:r>
      <w:r w:rsidR="00B73B60">
        <w:rPr>
          <w:rFonts w:ascii="Arial" w:eastAsia="MS Mincho" w:hAnsi="Arial" w:cs="Arial"/>
          <w:bCs/>
          <w:snapToGrid w:val="0"/>
          <w:sz w:val="24"/>
          <w:szCs w:val="24"/>
          <w:vertAlign w:val="superscript"/>
          <w:lang w:val="en-US" w:eastAsia="ja-JP"/>
        </w:rPr>
        <w:t>2</w:t>
      </w:r>
      <w:r w:rsidR="00945AD4">
        <w:rPr>
          <w:rFonts w:ascii="Arial" w:eastAsia="MS Mincho" w:hAnsi="Arial" w:cs="Arial"/>
          <w:bCs/>
          <w:snapToGrid w:val="0"/>
          <w:sz w:val="24"/>
          <w:szCs w:val="24"/>
          <w:vertAlign w:val="superscript"/>
          <w:lang w:val="en-US" w:eastAsia="ja-JP"/>
        </w:rPr>
        <w:t>7</w:t>
      </w:r>
      <w:r w:rsidR="00B73B60">
        <w:rPr>
          <w:rFonts w:ascii="Arial" w:eastAsia="MS Mincho" w:hAnsi="Arial" w:cs="Arial"/>
          <w:bCs/>
          <w:snapToGrid w:val="0"/>
          <w:sz w:val="24"/>
          <w:szCs w:val="24"/>
          <w:vertAlign w:val="superscript"/>
          <w:lang w:val="en-US" w:eastAsia="ja-JP"/>
        </w:rPr>
        <w:t>-3</w:t>
      </w:r>
      <w:r w:rsidR="00945AD4">
        <w:rPr>
          <w:rFonts w:ascii="Arial" w:eastAsia="MS Mincho" w:hAnsi="Arial" w:cs="Arial"/>
          <w:bCs/>
          <w:snapToGrid w:val="0"/>
          <w:sz w:val="24"/>
          <w:szCs w:val="24"/>
          <w:vertAlign w:val="superscript"/>
          <w:lang w:val="en-US" w:eastAsia="ja-JP"/>
        </w:rPr>
        <w:t>1</w:t>
      </w:r>
      <w:r w:rsidR="00377673" w:rsidRPr="00AF0066">
        <w:rPr>
          <w:rFonts w:ascii="Arial" w:eastAsia="MS Mincho" w:hAnsi="Arial" w:cs="Arial"/>
          <w:bCs/>
          <w:snapToGrid w:val="0"/>
          <w:sz w:val="24"/>
          <w:szCs w:val="24"/>
          <w:lang w:val="en-US" w:eastAsia="ja-JP"/>
        </w:rPr>
        <w:t xml:space="preserve">. </w:t>
      </w:r>
      <w:r w:rsidR="0026394C" w:rsidRPr="00AF0066">
        <w:rPr>
          <w:rFonts w:ascii="Arial" w:eastAsia="MS Mincho" w:hAnsi="Arial" w:cs="Arial"/>
          <w:bCs/>
          <w:snapToGrid w:val="0"/>
          <w:sz w:val="24"/>
          <w:szCs w:val="24"/>
          <w:lang w:val="en-US" w:eastAsia="ja-JP"/>
        </w:rPr>
        <w:t xml:space="preserve"> </w:t>
      </w:r>
      <w:r w:rsidR="00377673" w:rsidRPr="00AF0066">
        <w:rPr>
          <w:rFonts w:ascii="Arial" w:eastAsia="MS Mincho" w:hAnsi="Arial" w:cs="Arial"/>
          <w:bCs/>
          <w:snapToGrid w:val="0"/>
          <w:sz w:val="24"/>
          <w:szCs w:val="24"/>
          <w:lang w:val="en-US" w:eastAsia="ja-JP"/>
        </w:rPr>
        <w:t>As described above there are several examples of early promise which fail in the rigo</w:t>
      </w:r>
      <w:r w:rsidR="00D4253B">
        <w:rPr>
          <w:rFonts w:ascii="Arial" w:eastAsia="MS Mincho" w:hAnsi="Arial" w:cs="Arial"/>
          <w:bCs/>
          <w:snapToGrid w:val="0"/>
          <w:sz w:val="24"/>
          <w:szCs w:val="24"/>
          <w:lang w:val="en-US" w:eastAsia="ja-JP"/>
        </w:rPr>
        <w:t>u</w:t>
      </w:r>
      <w:r w:rsidR="00377673" w:rsidRPr="00AF0066">
        <w:rPr>
          <w:rFonts w:ascii="Arial" w:eastAsia="MS Mincho" w:hAnsi="Arial" w:cs="Arial"/>
          <w:bCs/>
          <w:snapToGrid w:val="0"/>
          <w:sz w:val="24"/>
          <w:szCs w:val="24"/>
          <w:lang w:val="en-US" w:eastAsia="ja-JP"/>
        </w:rPr>
        <w:t xml:space="preserve">r of </w:t>
      </w:r>
      <w:r w:rsidR="00581555" w:rsidRPr="00AF0066">
        <w:rPr>
          <w:rFonts w:ascii="Arial" w:eastAsia="MS Mincho" w:hAnsi="Arial" w:cs="Arial"/>
          <w:bCs/>
          <w:snapToGrid w:val="0"/>
          <w:sz w:val="24"/>
          <w:szCs w:val="24"/>
          <w:lang w:val="en-US" w:eastAsia="ja-JP"/>
        </w:rPr>
        <w:t>randomization. A</w:t>
      </w:r>
      <w:r w:rsidR="00C772F7" w:rsidRPr="00AF0066">
        <w:rPr>
          <w:rFonts w:ascii="Arial" w:eastAsia="MS Mincho" w:hAnsi="Arial" w:cs="Arial"/>
          <w:bCs/>
          <w:snapToGrid w:val="0"/>
          <w:sz w:val="24"/>
          <w:szCs w:val="24"/>
          <w:lang w:val="en-US" w:eastAsia="ja-JP"/>
        </w:rPr>
        <w:t>lthough</w:t>
      </w:r>
      <w:r w:rsidR="00581555" w:rsidRPr="00AF0066">
        <w:rPr>
          <w:rFonts w:ascii="Arial" w:eastAsia="MS Mincho" w:hAnsi="Arial" w:cs="Arial"/>
          <w:bCs/>
          <w:snapToGrid w:val="0"/>
          <w:sz w:val="24"/>
          <w:szCs w:val="24"/>
          <w:lang w:val="en-US" w:eastAsia="ja-JP"/>
        </w:rPr>
        <w:t xml:space="preserve"> </w:t>
      </w:r>
      <w:r w:rsidR="003E577C">
        <w:rPr>
          <w:rFonts w:ascii="Arial" w:eastAsia="MS Mincho" w:hAnsi="Arial" w:cs="Arial"/>
          <w:bCs/>
          <w:snapToGrid w:val="0"/>
          <w:sz w:val="24"/>
          <w:szCs w:val="24"/>
          <w:lang w:val="en-US" w:eastAsia="ja-JP"/>
        </w:rPr>
        <w:t>recently published</w:t>
      </w:r>
      <w:r w:rsidR="00C772F7" w:rsidRPr="00AF0066">
        <w:rPr>
          <w:rFonts w:ascii="Arial" w:eastAsia="MS Mincho" w:hAnsi="Arial" w:cs="Arial"/>
          <w:bCs/>
          <w:snapToGrid w:val="0"/>
          <w:sz w:val="24"/>
          <w:szCs w:val="24"/>
          <w:lang w:val="en-US" w:eastAsia="ja-JP"/>
        </w:rPr>
        <w:t xml:space="preserve"> data from the VIALE-A study</w:t>
      </w:r>
      <w:r w:rsidR="00D4253B">
        <w:rPr>
          <w:rFonts w:ascii="Arial" w:eastAsia="MS Mincho" w:hAnsi="Arial" w:cs="Arial"/>
          <w:bCs/>
          <w:snapToGrid w:val="0"/>
          <w:sz w:val="24"/>
          <w:szCs w:val="24"/>
          <w:lang w:val="en-US" w:eastAsia="ja-JP"/>
        </w:rPr>
        <w:t>,</w:t>
      </w:r>
      <w:r w:rsidR="00581555" w:rsidRPr="00AF0066">
        <w:rPr>
          <w:rFonts w:ascii="Arial" w:eastAsia="MS Mincho" w:hAnsi="Arial" w:cs="Arial"/>
          <w:bCs/>
          <w:snapToGrid w:val="0"/>
          <w:sz w:val="24"/>
          <w:szCs w:val="24"/>
          <w:lang w:val="en-US" w:eastAsia="ja-JP"/>
        </w:rPr>
        <w:t xml:space="preserve"> in perhaps a more selected frail elderly AML population</w:t>
      </w:r>
      <w:r w:rsidR="00D4253B">
        <w:rPr>
          <w:rFonts w:ascii="Arial" w:eastAsia="MS Mincho" w:hAnsi="Arial" w:cs="Arial"/>
          <w:bCs/>
          <w:snapToGrid w:val="0"/>
          <w:sz w:val="24"/>
          <w:szCs w:val="24"/>
          <w:lang w:val="en-US" w:eastAsia="ja-JP"/>
        </w:rPr>
        <w:t>, combining venetoclax with a</w:t>
      </w:r>
      <w:r w:rsidR="00C772F7" w:rsidRPr="00AF0066">
        <w:rPr>
          <w:rFonts w:ascii="Arial" w:eastAsia="MS Mincho" w:hAnsi="Arial" w:cs="Arial"/>
          <w:bCs/>
          <w:snapToGrid w:val="0"/>
          <w:sz w:val="24"/>
          <w:szCs w:val="24"/>
          <w:lang w:val="en-US" w:eastAsia="ja-JP"/>
        </w:rPr>
        <w:t>zacitidine has demonstrated a significant improvement in overall survival</w:t>
      </w:r>
      <w:r w:rsidR="00581555" w:rsidRPr="00AF0066">
        <w:rPr>
          <w:rFonts w:ascii="Arial" w:eastAsia="MS Mincho" w:hAnsi="Arial" w:cs="Arial"/>
          <w:bCs/>
          <w:snapToGrid w:val="0"/>
          <w:sz w:val="24"/>
          <w:szCs w:val="24"/>
          <w:lang w:val="en-US" w:eastAsia="ja-JP"/>
        </w:rPr>
        <w:t>,</w:t>
      </w:r>
      <w:r w:rsidR="00D4253B">
        <w:rPr>
          <w:rFonts w:ascii="Arial" w:eastAsia="MS Mincho" w:hAnsi="Arial" w:cs="Arial"/>
          <w:bCs/>
          <w:snapToGrid w:val="0"/>
          <w:sz w:val="24"/>
          <w:szCs w:val="24"/>
          <w:lang w:val="en-US" w:eastAsia="ja-JP"/>
        </w:rPr>
        <w:t xml:space="preserve"> thi</w:t>
      </w:r>
      <w:r w:rsidR="00C772F7" w:rsidRPr="00AF0066">
        <w:rPr>
          <w:rFonts w:ascii="Arial" w:eastAsia="MS Mincho" w:hAnsi="Arial" w:cs="Arial"/>
          <w:bCs/>
          <w:snapToGrid w:val="0"/>
          <w:sz w:val="24"/>
          <w:szCs w:val="24"/>
          <w:lang w:val="en-US" w:eastAsia="ja-JP"/>
        </w:rPr>
        <w:t>s</w:t>
      </w:r>
      <w:r w:rsidR="00D4253B">
        <w:rPr>
          <w:rFonts w:ascii="Arial" w:eastAsia="MS Mincho" w:hAnsi="Arial" w:cs="Arial"/>
          <w:bCs/>
          <w:snapToGrid w:val="0"/>
          <w:sz w:val="24"/>
          <w:szCs w:val="24"/>
          <w:lang w:val="en-US" w:eastAsia="ja-JP"/>
        </w:rPr>
        <w:t xml:space="preserve"> combination</w:t>
      </w:r>
      <w:r w:rsidR="00C772F7" w:rsidRPr="00AF0066">
        <w:rPr>
          <w:rFonts w:ascii="Arial" w:eastAsia="MS Mincho" w:hAnsi="Arial" w:cs="Arial"/>
          <w:bCs/>
          <w:snapToGrid w:val="0"/>
          <w:sz w:val="24"/>
          <w:szCs w:val="24"/>
          <w:lang w:val="en-US" w:eastAsia="ja-JP"/>
        </w:rPr>
        <w:t xml:space="preserve"> may ultimately become considered the new standard of care in this setting</w:t>
      </w:r>
      <w:r w:rsidR="00945AD4">
        <w:rPr>
          <w:rFonts w:ascii="Arial" w:eastAsia="MS Mincho" w:hAnsi="Arial" w:cs="Arial"/>
          <w:bCs/>
          <w:snapToGrid w:val="0"/>
          <w:sz w:val="24"/>
          <w:szCs w:val="24"/>
          <w:vertAlign w:val="superscript"/>
          <w:lang w:val="en-US" w:eastAsia="ja-JP"/>
        </w:rPr>
        <w:t>6</w:t>
      </w:r>
      <w:r w:rsidR="00B20F3C" w:rsidRPr="00AF0066">
        <w:rPr>
          <w:rFonts w:ascii="Arial" w:eastAsia="MS Mincho" w:hAnsi="Arial" w:cs="Arial"/>
          <w:bCs/>
          <w:snapToGrid w:val="0"/>
          <w:sz w:val="24"/>
          <w:szCs w:val="24"/>
          <w:lang w:val="en-US" w:eastAsia="ja-JP"/>
        </w:rPr>
        <w:t>.</w:t>
      </w:r>
    </w:p>
    <w:p w14:paraId="72E03CE9" w14:textId="77777777" w:rsidR="00377673" w:rsidRPr="00AF0066" w:rsidRDefault="00377673" w:rsidP="00D11AD2">
      <w:pPr>
        <w:spacing w:after="0" w:line="480" w:lineRule="auto"/>
        <w:jc w:val="both"/>
        <w:rPr>
          <w:rFonts w:ascii="Arial" w:eastAsia="MS Mincho" w:hAnsi="Arial" w:cs="Arial"/>
          <w:bCs/>
          <w:snapToGrid w:val="0"/>
          <w:sz w:val="24"/>
          <w:szCs w:val="24"/>
          <w:lang w:val="en-US" w:eastAsia="ja-JP"/>
        </w:rPr>
      </w:pPr>
    </w:p>
    <w:p w14:paraId="1F8DA47E" w14:textId="79848D8B" w:rsidR="00377673" w:rsidRPr="00AF0066" w:rsidRDefault="00377673" w:rsidP="00D11AD2">
      <w:pPr>
        <w:spacing w:after="0" w:line="480" w:lineRule="auto"/>
        <w:jc w:val="both"/>
        <w:rPr>
          <w:rFonts w:ascii="Arial" w:eastAsia="MS Mincho" w:hAnsi="Arial" w:cs="Arial"/>
          <w:bCs/>
          <w:snapToGrid w:val="0"/>
          <w:sz w:val="24"/>
          <w:szCs w:val="24"/>
          <w:lang w:val="en-US" w:eastAsia="ja-JP"/>
        </w:rPr>
      </w:pPr>
      <w:r w:rsidRPr="00AF0066">
        <w:rPr>
          <w:rFonts w:ascii="Arial" w:eastAsia="MS Mincho" w:hAnsi="Arial" w:cs="Arial"/>
          <w:bCs/>
          <w:snapToGrid w:val="0"/>
          <w:sz w:val="24"/>
          <w:szCs w:val="24"/>
          <w:lang w:val="en-US" w:eastAsia="ja-JP"/>
        </w:rPr>
        <w:t xml:space="preserve">In conclusion, tosedostat demonstrated promising early data </w:t>
      </w:r>
      <w:r w:rsidR="00D4253B">
        <w:rPr>
          <w:rFonts w:ascii="Arial" w:eastAsia="MS Mincho" w:hAnsi="Arial" w:cs="Arial"/>
          <w:bCs/>
          <w:snapToGrid w:val="0"/>
          <w:sz w:val="24"/>
          <w:szCs w:val="24"/>
          <w:lang w:val="en-US" w:eastAsia="ja-JP"/>
        </w:rPr>
        <w:t>and acceptable tolerability, its</w:t>
      </w:r>
      <w:r w:rsidRPr="00AF0066">
        <w:rPr>
          <w:rFonts w:ascii="Arial" w:eastAsia="MS Mincho" w:hAnsi="Arial" w:cs="Arial"/>
          <w:bCs/>
          <w:snapToGrid w:val="0"/>
          <w:sz w:val="24"/>
          <w:szCs w:val="24"/>
          <w:lang w:val="en-US" w:eastAsia="ja-JP"/>
        </w:rPr>
        <w:t xml:space="preserve"> addition to LDAC did achieve a</w:t>
      </w:r>
      <w:r w:rsidR="00D4253B">
        <w:rPr>
          <w:rFonts w:ascii="Arial" w:eastAsia="MS Mincho" w:hAnsi="Arial" w:cs="Arial"/>
          <w:bCs/>
          <w:snapToGrid w:val="0"/>
          <w:sz w:val="24"/>
          <w:szCs w:val="24"/>
          <w:lang w:val="en-US" w:eastAsia="ja-JP"/>
        </w:rPr>
        <w:t xml:space="preserve"> modest improvement in response</w:t>
      </w:r>
      <w:r w:rsidRPr="00AF0066">
        <w:rPr>
          <w:rFonts w:ascii="Arial" w:eastAsia="MS Mincho" w:hAnsi="Arial" w:cs="Arial"/>
          <w:bCs/>
          <w:snapToGrid w:val="0"/>
          <w:sz w:val="24"/>
          <w:szCs w:val="24"/>
          <w:lang w:val="en-US" w:eastAsia="ja-JP"/>
        </w:rPr>
        <w:t xml:space="preserve"> rates, but we did not find evidence that it produced a survival benefit in this group of patients. Strategies other than aminopeptidase inhibition appear to demonstrate m</w:t>
      </w:r>
      <w:r w:rsidR="005A6401">
        <w:rPr>
          <w:rFonts w:ascii="Arial" w:eastAsia="MS Mincho" w:hAnsi="Arial" w:cs="Arial"/>
          <w:bCs/>
          <w:snapToGrid w:val="0"/>
          <w:sz w:val="24"/>
          <w:szCs w:val="24"/>
          <w:lang w:val="en-US" w:eastAsia="ja-JP"/>
        </w:rPr>
        <w:t>ore rational approach</w:t>
      </w:r>
      <w:r w:rsidRPr="00AF0066">
        <w:rPr>
          <w:rFonts w:ascii="Arial" w:eastAsia="MS Mincho" w:hAnsi="Arial" w:cs="Arial"/>
          <w:bCs/>
          <w:snapToGrid w:val="0"/>
          <w:sz w:val="24"/>
          <w:szCs w:val="24"/>
          <w:lang w:val="en-US" w:eastAsia="ja-JP"/>
        </w:rPr>
        <w:t>es for future non intensive combination therapy</w:t>
      </w:r>
      <w:r w:rsidR="005012D5">
        <w:rPr>
          <w:rFonts w:ascii="Arial" w:eastAsia="MS Mincho" w:hAnsi="Arial" w:cs="Arial"/>
          <w:bCs/>
          <w:snapToGrid w:val="0"/>
          <w:sz w:val="24"/>
          <w:szCs w:val="24"/>
          <w:lang w:val="en-US" w:eastAsia="ja-JP"/>
        </w:rPr>
        <w:t xml:space="preserve"> in AML</w:t>
      </w:r>
      <w:r w:rsidRPr="00AF0066">
        <w:rPr>
          <w:rFonts w:ascii="Arial" w:eastAsia="MS Mincho" w:hAnsi="Arial" w:cs="Arial"/>
          <w:bCs/>
          <w:snapToGrid w:val="0"/>
          <w:sz w:val="24"/>
          <w:szCs w:val="24"/>
          <w:lang w:val="en-US" w:eastAsia="ja-JP"/>
        </w:rPr>
        <w:t>.</w:t>
      </w:r>
    </w:p>
    <w:p w14:paraId="17EC3457" w14:textId="77777777" w:rsidR="00377673" w:rsidRPr="00AF0066" w:rsidRDefault="00377673" w:rsidP="00D11AD2">
      <w:pPr>
        <w:spacing w:line="480" w:lineRule="auto"/>
        <w:rPr>
          <w:sz w:val="24"/>
        </w:rPr>
      </w:pPr>
    </w:p>
    <w:p w14:paraId="5BA0BAC8" w14:textId="77777777" w:rsidR="004211A0" w:rsidRPr="00AF0066" w:rsidRDefault="004211A0" w:rsidP="00D11AD2">
      <w:pPr>
        <w:spacing w:line="480" w:lineRule="auto"/>
        <w:jc w:val="both"/>
        <w:rPr>
          <w:rFonts w:ascii="Arial" w:hAnsi="Arial" w:cs="Arial"/>
          <w:b/>
          <w:sz w:val="24"/>
          <w:szCs w:val="24"/>
        </w:rPr>
      </w:pPr>
    </w:p>
    <w:p w14:paraId="402A67F1" w14:textId="77777777" w:rsidR="004211A0" w:rsidRPr="00AF0066" w:rsidRDefault="004211A0" w:rsidP="00D11AD2">
      <w:pPr>
        <w:spacing w:line="480" w:lineRule="auto"/>
        <w:jc w:val="both"/>
        <w:rPr>
          <w:rFonts w:ascii="Arial" w:hAnsi="Arial" w:cs="Arial"/>
          <w:b/>
          <w:sz w:val="24"/>
          <w:szCs w:val="24"/>
        </w:rPr>
      </w:pPr>
    </w:p>
    <w:p w14:paraId="35E267DC" w14:textId="77777777" w:rsidR="00761C7C" w:rsidRDefault="00761C7C" w:rsidP="00D11AD2">
      <w:pPr>
        <w:spacing w:after="0" w:line="480" w:lineRule="auto"/>
        <w:jc w:val="both"/>
        <w:rPr>
          <w:rFonts w:ascii="Arial" w:eastAsia="MS Mincho" w:hAnsi="Arial" w:cs="Arial"/>
          <w:bCs/>
          <w:snapToGrid w:val="0"/>
          <w:sz w:val="24"/>
          <w:szCs w:val="24"/>
          <w:lang w:eastAsia="ja-JP"/>
        </w:rPr>
      </w:pPr>
      <w:r w:rsidRPr="00AF0066">
        <w:rPr>
          <w:rFonts w:ascii="Arial" w:eastAsia="MS Mincho" w:hAnsi="Arial" w:cs="Arial"/>
          <w:bCs/>
          <w:snapToGrid w:val="0"/>
          <w:sz w:val="24"/>
          <w:szCs w:val="24"/>
          <w:lang w:eastAsia="ja-JP"/>
        </w:rPr>
        <w:t xml:space="preserve">. </w:t>
      </w:r>
    </w:p>
    <w:p w14:paraId="3ECBD400" w14:textId="77777777" w:rsidR="00BD537C" w:rsidRDefault="00BD537C" w:rsidP="00D11AD2">
      <w:pPr>
        <w:spacing w:after="0" w:line="480" w:lineRule="auto"/>
        <w:jc w:val="both"/>
        <w:rPr>
          <w:rFonts w:ascii="Arial" w:eastAsia="MS Mincho" w:hAnsi="Arial" w:cs="Arial"/>
          <w:bCs/>
          <w:snapToGrid w:val="0"/>
          <w:sz w:val="24"/>
          <w:szCs w:val="24"/>
          <w:lang w:eastAsia="ja-JP"/>
        </w:rPr>
      </w:pPr>
    </w:p>
    <w:p w14:paraId="08DE383C" w14:textId="77777777" w:rsidR="00BD537C" w:rsidRDefault="00BD537C" w:rsidP="00D11AD2">
      <w:pPr>
        <w:spacing w:after="0" w:line="480" w:lineRule="auto"/>
        <w:jc w:val="both"/>
        <w:rPr>
          <w:rFonts w:ascii="Arial" w:eastAsia="MS Mincho" w:hAnsi="Arial" w:cs="Arial"/>
          <w:bCs/>
          <w:snapToGrid w:val="0"/>
          <w:sz w:val="24"/>
          <w:szCs w:val="24"/>
          <w:lang w:eastAsia="ja-JP"/>
        </w:rPr>
      </w:pPr>
    </w:p>
    <w:p w14:paraId="050448DC" w14:textId="77777777" w:rsidR="00BD537C" w:rsidRPr="00AF0066" w:rsidRDefault="00BD537C" w:rsidP="00D11AD2">
      <w:pPr>
        <w:spacing w:after="0" w:line="480" w:lineRule="auto"/>
        <w:jc w:val="both"/>
        <w:rPr>
          <w:rFonts w:ascii="Arial" w:eastAsia="MS Mincho" w:hAnsi="Arial" w:cs="Arial"/>
          <w:bCs/>
          <w:snapToGrid w:val="0"/>
          <w:sz w:val="24"/>
          <w:szCs w:val="24"/>
          <w:lang w:val="en-US" w:eastAsia="ja-JP"/>
        </w:rPr>
      </w:pPr>
    </w:p>
    <w:p w14:paraId="49B73E8F" w14:textId="77777777" w:rsidR="007700A3" w:rsidRPr="00AF0066" w:rsidRDefault="007700A3" w:rsidP="00D11AD2">
      <w:pPr>
        <w:spacing w:line="480" w:lineRule="auto"/>
        <w:jc w:val="both"/>
        <w:rPr>
          <w:rFonts w:ascii="Arial" w:hAnsi="Arial" w:cs="Arial"/>
          <w:b/>
          <w:sz w:val="24"/>
        </w:rPr>
      </w:pPr>
      <w:r w:rsidRPr="00AF0066">
        <w:rPr>
          <w:rFonts w:ascii="Arial" w:hAnsi="Arial" w:cs="Arial"/>
          <w:b/>
          <w:sz w:val="24"/>
        </w:rPr>
        <w:lastRenderedPageBreak/>
        <w:t>Acknowledgements</w:t>
      </w:r>
    </w:p>
    <w:p w14:paraId="15E7D369" w14:textId="3D8A80C8" w:rsidR="007700A3" w:rsidRDefault="007700A3" w:rsidP="00D11AD2">
      <w:pPr>
        <w:spacing w:line="480" w:lineRule="auto"/>
        <w:jc w:val="both"/>
        <w:rPr>
          <w:sz w:val="24"/>
        </w:rPr>
      </w:pPr>
      <w:r w:rsidRPr="00AF0066">
        <w:rPr>
          <w:rFonts w:ascii="Arial" w:hAnsi="Arial" w:cs="Arial"/>
          <w:sz w:val="24"/>
        </w:rPr>
        <w:t xml:space="preserve">We wish to thank CTI Biopharma for supporting the trial, </w:t>
      </w:r>
      <w:r w:rsidR="00145A19" w:rsidRPr="00AF0066">
        <w:rPr>
          <w:rFonts w:ascii="Arial" w:hAnsi="Arial" w:cs="Arial"/>
          <w:sz w:val="24"/>
        </w:rPr>
        <w:t>Blood</w:t>
      </w:r>
      <w:r w:rsidR="00145A19">
        <w:rPr>
          <w:rFonts w:ascii="Arial" w:hAnsi="Arial" w:cs="Arial"/>
          <w:sz w:val="24"/>
        </w:rPr>
        <w:t xml:space="preserve"> Cancer UK</w:t>
      </w:r>
      <w:r w:rsidRPr="00AF0066">
        <w:rPr>
          <w:rFonts w:ascii="Arial" w:hAnsi="Arial" w:cs="Arial"/>
          <w:sz w:val="24"/>
        </w:rPr>
        <w:t xml:space="preserve"> for research support, and the Haematology Clinical Trials Unit and Centre for Trials Research, Cardiff University for managing</w:t>
      </w:r>
      <w:r w:rsidRPr="002B7FF4">
        <w:rPr>
          <w:rFonts w:ascii="Arial" w:hAnsi="Arial" w:cs="Arial"/>
          <w:sz w:val="24"/>
        </w:rPr>
        <w:t xml:space="preserve"> the trial</w:t>
      </w:r>
      <w:r w:rsidRPr="005E412B">
        <w:rPr>
          <w:sz w:val="24"/>
        </w:rPr>
        <w:t>.</w:t>
      </w:r>
    </w:p>
    <w:p w14:paraId="79A6265A" w14:textId="77777777" w:rsidR="007700A3" w:rsidRDefault="007700A3" w:rsidP="00D11AD2">
      <w:pPr>
        <w:spacing w:line="480" w:lineRule="auto"/>
        <w:rPr>
          <w:sz w:val="24"/>
        </w:rPr>
      </w:pPr>
    </w:p>
    <w:p w14:paraId="761A4846" w14:textId="77777777" w:rsidR="007700A3" w:rsidRDefault="007700A3" w:rsidP="00D11AD2">
      <w:pPr>
        <w:spacing w:line="480" w:lineRule="auto"/>
        <w:jc w:val="both"/>
        <w:rPr>
          <w:sz w:val="24"/>
        </w:rPr>
      </w:pPr>
      <w:r>
        <w:rPr>
          <w:sz w:val="24"/>
        </w:rPr>
        <w:t>The following investigators recruited patients to the trial:</w:t>
      </w:r>
    </w:p>
    <w:p w14:paraId="69538FC0" w14:textId="77777777" w:rsidR="007700A3" w:rsidRDefault="007700A3" w:rsidP="00D11AD2">
      <w:pPr>
        <w:spacing w:line="480" w:lineRule="auto"/>
        <w:jc w:val="both"/>
        <w:rPr>
          <w:rFonts w:ascii="Calibri" w:eastAsia="Times New Roman" w:hAnsi="Calibri" w:cs="Calibri"/>
          <w:color w:val="000000"/>
          <w:lang w:eastAsia="en-GB"/>
        </w:rPr>
      </w:pPr>
      <w:r w:rsidRPr="00970D4A">
        <w:rPr>
          <w:rFonts w:ascii="Calibri" w:eastAsia="Times New Roman" w:hAnsi="Calibri" w:cs="Calibri"/>
          <w:b/>
          <w:color w:val="000000"/>
          <w:lang w:eastAsia="en-GB"/>
        </w:rPr>
        <w:t>Aalborg University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Maria Kallenbach</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M Severinsen</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Aberdeen Royal Infirmary</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Dominic Culligan</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Caroline Duncan</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Addenbrooke's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Pramila Krishnamurthy</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Airedale General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Ann Cuthbert</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Chetan Patalappa</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Michail Spanoudakis</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Arrowe Park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David Galvani</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Auckland City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I Berkahn</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N Patton</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Lucy Pemberton</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Barnet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Andres Virchis</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Basildon University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Parag Jasani</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Beatson West of Scotland Cancer Centre</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Anne Parker</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Belfast City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Claire Arnold</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Robert Cuthbert</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Damien Finnega</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Birmingham Heartlands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Manos Nikolousis</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Guy Pratt</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Blackpool Victoria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Paul Cahalin</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Bradford Royal Infirmary</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Sam Ackroyd</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Bristol Haematology &amp; Oncology Centre</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Priyanka Mehta</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Rachel Protheroe</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Capital &amp; Coast DHB (Wellington)</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Robert Weinkove</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Castle Hill Hospital (Hull)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Sara Ali</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Chesterfield Royal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Emma Welch</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Christchurch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Mark Smith</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Ruth Spearing</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Churchill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Paresh Vyas</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Colchester General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Gavin Campbell</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Mike Hamblin</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Marion Wood</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Conquest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Sunil Gupta</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Simon Westonsmith</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Countess of Chester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Arvind Pillai</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Derriford Hospital (Plymouth)</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Hannah Hunter</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Simon Rule</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Forth Valley Royal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Roderick Neilson</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Gloucestershire Royal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Richard Lush</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Huddersfield Royal Infirmary</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Kate Rothwell</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Wunna Swe</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Ipswich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Isobel Chalmers</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Mahesh Prahladan</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Kettering General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Mark Kwan</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Matthew Lyttleton</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Leicester Royal Infirmary</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Ann Hunter</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Alexander M Martin</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Lincoln County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Kandeepan Saravanamuttu</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Manchester Royal Infirmary</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Muhammad Saif</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Eleni Tholouli</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Medway Maritime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Vivienne Andrews</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lastRenderedPageBreak/>
        <w:t>Middlemore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Sharon Jackson</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Rajeev Rajagopal</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New Victoria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Anne Morrison</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NHS Ayrshire &amp; Arran (Ayr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William Gordon</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NHS Lanarkshire</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Lindsay Mitchell</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Northampton General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Angela Bowen</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Alistair McGrann</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Sajjan Mittal</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Northwick Park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Nicki Panoskaltsis</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Nottingham University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Jenny Byrne</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Emma Das-Gupta</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Rohini Radia</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Nigel Russell</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Palmerston North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Bart Baker</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Allanah Kilfoyle</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Elayne Knottenbelt</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Pilgrim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Ciro Rinaldi</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Pinderfields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Paul Moreton</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Poole General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Darshyani Furby</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Fergus Jack</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Queen Alexandra Hospital (Portsmouth)</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Charles Alderman</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Edward Belsham</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Robert Corser</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Tanya Cranfield</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Helen Dignum</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Christopher James</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Queen Elizabeth Hospital, Kings Lynn</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Emma Gudgin</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Queen's Hospital, Romford</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Claire Hemmaway</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Mahalakshmi Mohan</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Rigshospitalet</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Peter Kampman</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Lars Kjeldsen</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Jindrich Mourek</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Ove Juul Nielsen</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Carsten Utoft Niemann</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Royal Berkshire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Henri Grech</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Asif Khan</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Rebecca Sampson</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Royal Cornwall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Desmond Creagh</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Royal Darwin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Ferenc Szabo</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Royal Devon &amp; Exeter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J Coppell</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D Veale</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Royal Free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Panagiotis Kottaridis</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Russells Hall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Savio Fernandes</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Salisbury District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Jonathan Cullis</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Effie Grand</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Sandwell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Farooq Wandroo</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Singleton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Unmesh Mohite</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Southport and Formby District General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David O'Brien</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St Helens &amp; Knowsley (Whiston)</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Toby Nicholson</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St Richard's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Sarah Janes</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Stoke Mandeville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Robin Aitchison</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Sunderland Royal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Mike Galloway</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Susanna Mathew</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The Christie</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Mike Dennis</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The Great Western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Norbert Blesing</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Sarah Green</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The James Cook University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Rajesh Mamadigi</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Diane Plews</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The Royal Bournemouth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Joseph Chacko</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The Royal Liverpool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Rahuman Salim</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The Royal Oldham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Allameddine Allameddine</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Hayley Greenfield</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David Osborne</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Townsville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Georgina Hodges</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Hock Choong Lai</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Trafford General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Patrick Carrington</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University Hospital Aintree</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Walid Sadik</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Lynny Yung</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University Hospital Coventry &amp; Warwickshire</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Anand Lokare</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University Hospital of Wales</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Caroline Alvares</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Steve Knapper</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Waikato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Hugh Goodman</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Shahid Islam</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Wycombe Hospital</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Robin Aitchison</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Jonathan Pattinson</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Beena Pushkaran</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Ysbyty Glan Clywd</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Earnest Heartin</w:t>
      </w:r>
      <w:r>
        <w:rPr>
          <w:rFonts w:ascii="Calibri" w:eastAsia="Times New Roman" w:hAnsi="Calibri" w:cs="Calibri"/>
          <w:color w:val="000000"/>
          <w:lang w:eastAsia="en-GB"/>
        </w:rPr>
        <w:t xml:space="preserve">; </w:t>
      </w:r>
      <w:r w:rsidRPr="00970D4A">
        <w:rPr>
          <w:rFonts w:ascii="Calibri" w:eastAsia="Times New Roman" w:hAnsi="Calibri" w:cs="Calibri"/>
          <w:b/>
          <w:color w:val="000000"/>
          <w:lang w:eastAsia="en-GB"/>
        </w:rPr>
        <w:t>Ysbyty Gwynedd</w:t>
      </w:r>
      <w:r>
        <w:rPr>
          <w:rFonts w:ascii="Calibri" w:eastAsia="Times New Roman" w:hAnsi="Calibri" w:cs="Calibri"/>
          <w:b/>
          <w:color w:val="000000"/>
          <w:lang w:eastAsia="en-GB"/>
        </w:rPr>
        <w:t xml:space="preserve">: </w:t>
      </w:r>
      <w:r w:rsidRPr="00970D4A">
        <w:rPr>
          <w:rFonts w:ascii="Calibri" w:eastAsia="Times New Roman" w:hAnsi="Calibri" w:cs="Calibri"/>
          <w:color w:val="000000"/>
          <w:lang w:eastAsia="en-GB"/>
        </w:rPr>
        <w:t>David Edwards</w:t>
      </w:r>
      <w:r>
        <w:rPr>
          <w:rFonts w:ascii="Calibri" w:eastAsia="Times New Roman" w:hAnsi="Calibri" w:cs="Calibri"/>
          <w:color w:val="000000"/>
          <w:lang w:eastAsia="en-GB"/>
        </w:rPr>
        <w:t xml:space="preserve">, </w:t>
      </w:r>
      <w:r w:rsidRPr="00970D4A">
        <w:rPr>
          <w:rFonts w:ascii="Calibri" w:eastAsia="Times New Roman" w:hAnsi="Calibri" w:cs="Calibri"/>
          <w:color w:val="000000"/>
          <w:lang w:eastAsia="en-GB"/>
        </w:rPr>
        <w:t>Jim Seale</w:t>
      </w:r>
    </w:p>
    <w:p w14:paraId="45BEAF5D" w14:textId="77777777" w:rsidR="004211A0" w:rsidRDefault="004211A0" w:rsidP="00D11AD2">
      <w:pPr>
        <w:spacing w:line="480" w:lineRule="auto"/>
        <w:rPr>
          <w:rFonts w:ascii="Calibri" w:eastAsia="Times New Roman" w:hAnsi="Calibri" w:cs="Calibri"/>
          <w:color w:val="000000"/>
          <w:lang w:eastAsia="en-GB"/>
        </w:rPr>
      </w:pPr>
    </w:p>
    <w:p w14:paraId="3F5A4ADE" w14:textId="77777777" w:rsidR="004211A0" w:rsidRPr="004211A0" w:rsidRDefault="004211A0" w:rsidP="00D11AD2">
      <w:pPr>
        <w:spacing w:line="480" w:lineRule="auto"/>
        <w:rPr>
          <w:rFonts w:ascii="Arial" w:hAnsi="Arial" w:cs="Arial"/>
          <w:b/>
          <w:sz w:val="24"/>
          <w:szCs w:val="24"/>
        </w:rPr>
      </w:pPr>
      <w:r w:rsidRPr="004211A0">
        <w:rPr>
          <w:rFonts w:ascii="Arial" w:eastAsia="Times New Roman" w:hAnsi="Arial" w:cs="Arial"/>
          <w:b/>
          <w:color w:val="000000"/>
          <w:sz w:val="24"/>
          <w:szCs w:val="24"/>
          <w:lang w:eastAsia="en-GB"/>
        </w:rPr>
        <w:t>References</w:t>
      </w:r>
    </w:p>
    <w:p w14:paraId="05F6F673" w14:textId="77777777" w:rsidR="007700A3" w:rsidRDefault="00E03452" w:rsidP="00D11AD2">
      <w:pPr>
        <w:pStyle w:val="ListParagraph"/>
        <w:numPr>
          <w:ilvl w:val="0"/>
          <w:numId w:val="7"/>
        </w:numPr>
        <w:autoSpaceDE w:val="0"/>
        <w:autoSpaceDN w:val="0"/>
        <w:adjustRightInd w:val="0"/>
        <w:spacing w:line="480" w:lineRule="auto"/>
        <w:rPr>
          <w:rFonts w:ascii="AdvOT46dcae81" w:hAnsi="AdvOT46dcae81" w:cs="AdvOT46dcae81"/>
          <w:sz w:val="14"/>
          <w:szCs w:val="14"/>
        </w:rPr>
      </w:pPr>
      <w:r w:rsidRPr="00E03452">
        <w:rPr>
          <w:rFonts w:ascii="Arial" w:hAnsi="Arial" w:cs="Arial"/>
        </w:rPr>
        <w:t xml:space="preserve">Kantarjian H, Ravandi F, O’Brien S, Cortes J, Faderl S, Garcia-Manero G et al.Intensive chemotherapy does not benefit most older patients (age 70 years or older) with acute myeloid leukemia. </w:t>
      </w:r>
      <w:r w:rsidRPr="004211A0">
        <w:rPr>
          <w:rFonts w:ascii="Arial" w:hAnsi="Arial" w:cs="Arial"/>
          <w:i/>
        </w:rPr>
        <w:t>Blood</w:t>
      </w:r>
      <w:r w:rsidRPr="00E03452">
        <w:rPr>
          <w:rFonts w:ascii="Arial" w:hAnsi="Arial" w:cs="Arial"/>
        </w:rPr>
        <w:t xml:space="preserve"> 2011; 116: 4422–4429</w:t>
      </w:r>
      <w:r w:rsidRPr="00E03452">
        <w:rPr>
          <w:rFonts w:ascii="AdvOT46dcae81" w:hAnsi="AdvOT46dcae81" w:cs="AdvOT46dcae81"/>
          <w:sz w:val="14"/>
          <w:szCs w:val="14"/>
        </w:rPr>
        <w:t>.</w:t>
      </w:r>
    </w:p>
    <w:p w14:paraId="6E595E69" w14:textId="77777777" w:rsidR="00E87DDA" w:rsidRDefault="00E87DDA" w:rsidP="00D11AD2">
      <w:pPr>
        <w:autoSpaceDE w:val="0"/>
        <w:autoSpaceDN w:val="0"/>
        <w:adjustRightInd w:val="0"/>
        <w:spacing w:after="0" w:line="480" w:lineRule="auto"/>
        <w:rPr>
          <w:rFonts w:ascii="Arial" w:hAnsi="Arial" w:cs="Arial"/>
          <w:sz w:val="20"/>
          <w:szCs w:val="20"/>
        </w:rPr>
      </w:pPr>
    </w:p>
    <w:p w14:paraId="7587CAAB" w14:textId="77777777" w:rsidR="00E87DDA" w:rsidRPr="00E87DDA" w:rsidRDefault="00E87DDA" w:rsidP="00D11AD2">
      <w:pPr>
        <w:pStyle w:val="ListParagraph"/>
        <w:numPr>
          <w:ilvl w:val="0"/>
          <w:numId w:val="7"/>
        </w:numPr>
        <w:autoSpaceDE w:val="0"/>
        <w:autoSpaceDN w:val="0"/>
        <w:adjustRightInd w:val="0"/>
        <w:spacing w:line="480" w:lineRule="auto"/>
        <w:rPr>
          <w:rFonts w:ascii="AdvOT46dcae81" w:hAnsi="AdvOT46dcae81" w:cs="AdvOT46dcae81"/>
          <w:b/>
        </w:rPr>
      </w:pPr>
      <w:r w:rsidRPr="00E87DDA">
        <w:rPr>
          <w:rFonts w:ascii="Arial" w:hAnsi="Arial" w:cs="Arial"/>
        </w:rPr>
        <w:t xml:space="preserve">Appelbaum,F.R; Gundacker,H.; Head,D.R et al.  Age and acute myeloid leukemia. </w:t>
      </w:r>
      <w:r w:rsidRPr="00E87DDA">
        <w:rPr>
          <w:rFonts w:ascii="Arial" w:hAnsi="Arial" w:cs="Arial"/>
          <w:i/>
        </w:rPr>
        <w:t xml:space="preserve">Blood </w:t>
      </w:r>
      <w:r w:rsidRPr="00E87DDA">
        <w:rPr>
          <w:rFonts w:ascii="Arial" w:hAnsi="Arial" w:cs="Arial"/>
        </w:rPr>
        <w:t xml:space="preserve">2008; 107(9), 3481-3285 </w:t>
      </w:r>
    </w:p>
    <w:p w14:paraId="7576EAF1" w14:textId="77777777" w:rsidR="00E87DDA" w:rsidRPr="00E87DDA" w:rsidRDefault="00E87DDA" w:rsidP="00D11AD2">
      <w:pPr>
        <w:spacing w:line="480" w:lineRule="auto"/>
        <w:ind w:left="360"/>
        <w:rPr>
          <w:rFonts w:ascii="Arial" w:hAnsi="Arial" w:cs="Arial"/>
        </w:rPr>
      </w:pPr>
    </w:p>
    <w:p w14:paraId="6E20243F" w14:textId="77777777" w:rsidR="007700A3" w:rsidRPr="00E03452" w:rsidRDefault="007700A3" w:rsidP="00D11AD2">
      <w:pPr>
        <w:pStyle w:val="ListParagraph"/>
        <w:numPr>
          <w:ilvl w:val="0"/>
          <w:numId w:val="7"/>
        </w:numPr>
        <w:spacing w:line="480" w:lineRule="auto"/>
        <w:rPr>
          <w:rFonts w:ascii="Arial" w:hAnsi="Arial" w:cs="Arial"/>
        </w:rPr>
      </w:pPr>
      <w:r w:rsidRPr="00E03452">
        <w:rPr>
          <w:rFonts w:ascii="Arial" w:hAnsi="Arial" w:cs="Arial"/>
          <w:lang w:val="fr-FR"/>
        </w:rPr>
        <w:t xml:space="preserve">Burnett AK, Milligan D, Prentice, AG, et al. </w:t>
      </w:r>
      <w:r w:rsidRPr="00E03452">
        <w:rPr>
          <w:rFonts w:ascii="Arial" w:hAnsi="Arial" w:cs="Arial"/>
        </w:rPr>
        <w:t xml:space="preserve">A comparison of low-dose cytarabine and hydroxyurea with or without all-trans retinoic acid for acute myeloid leukemia and high-risk myelodysplastic syndrome in patients not considered fit for intensive treatment. </w:t>
      </w:r>
      <w:r w:rsidRPr="00E03452">
        <w:rPr>
          <w:rFonts w:ascii="Arial" w:hAnsi="Arial" w:cs="Arial"/>
          <w:i/>
          <w:iCs/>
        </w:rPr>
        <w:t>Cancer</w:t>
      </w:r>
      <w:r w:rsidRPr="00E03452">
        <w:rPr>
          <w:rFonts w:ascii="Arial" w:hAnsi="Arial" w:cs="Arial"/>
        </w:rPr>
        <w:t>. 2007;109 (6):1114-1124.</w:t>
      </w:r>
    </w:p>
    <w:p w14:paraId="621B7919" w14:textId="77777777" w:rsidR="00E03452" w:rsidRPr="00E03452" w:rsidRDefault="00E03452" w:rsidP="00D11AD2">
      <w:pPr>
        <w:spacing w:after="0" w:line="480" w:lineRule="auto"/>
        <w:ind w:left="360"/>
        <w:rPr>
          <w:rFonts w:ascii="Arial" w:hAnsi="Arial" w:cs="Arial"/>
          <w:sz w:val="24"/>
          <w:szCs w:val="24"/>
        </w:rPr>
      </w:pPr>
    </w:p>
    <w:p w14:paraId="5301A9CB" w14:textId="77777777" w:rsidR="007700A3" w:rsidRDefault="007700A3" w:rsidP="00D11AD2">
      <w:pPr>
        <w:numPr>
          <w:ilvl w:val="0"/>
          <w:numId w:val="7"/>
        </w:numPr>
        <w:spacing w:after="0" w:line="480" w:lineRule="auto"/>
        <w:rPr>
          <w:rFonts w:ascii="Arial" w:hAnsi="Arial" w:cs="Arial"/>
          <w:sz w:val="24"/>
          <w:szCs w:val="24"/>
        </w:rPr>
      </w:pPr>
      <w:r w:rsidRPr="007700A3">
        <w:rPr>
          <w:rFonts w:ascii="Arial" w:hAnsi="Arial" w:cs="Arial"/>
          <w:sz w:val="24"/>
          <w:szCs w:val="24"/>
          <w:lang w:val="de-DE"/>
        </w:rPr>
        <w:t xml:space="preserve">Fenaux P, Mufti GJ, Hellstrom-Liindberg E, et al. </w:t>
      </w:r>
      <w:r w:rsidRPr="007700A3">
        <w:rPr>
          <w:rFonts w:ascii="Arial" w:hAnsi="Arial" w:cs="Arial"/>
          <w:sz w:val="24"/>
          <w:szCs w:val="24"/>
        </w:rPr>
        <w:t xml:space="preserve">Azacytidine prolongs overall survival compared with conventional care regimens in elderly patients with low bone marrow blast count acute myeloid leukemia. </w:t>
      </w:r>
      <w:r w:rsidRPr="004211A0">
        <w:rPr>
          <w:rFonts w:ascii="Arial" w:hAnsi="Arial" w:cs="Arial"/>
          <w:i/>
          <w:sz w:val="24"/>
          <w:szCs w:val="24"/>
        </w:rPr>
        <w:t>J. Clin.Oncol</w:t>
      </w:r>
      <w:r w:rsidRPr="007700A3">
        <w:rPr>
          <w:rFonts w:ascii="Arial" w:hAnsi="Arial" w:cs="Arial"/>
          <w:sz w:val="24"/>
          <w:szCs w:val="24"/>
        </w:rPr>
        <w:t>. 2010, 28: 562 – 569</w:t>
      </w:r>
    </w:p>
    <w:p w14:paraId="653A167F" w14:textId="77777777" w:rsidR="00371491" w:rsidRPr="007700A3" w:rsidRDefault="00371491" w:rsidP="00F12DF1">
      <w:pPr>
        <w:spacing w:after="0" w:line="480" w:lineRule="auto"/>
        <w:rPr>
          <w:rFonts w:ascii="Arial" w:hAnsi="Arial" w:cs="Arial"/>
          <w:sz w:val="24"/>
          <w:szCs w:val="24"/>
        </w:rPr>
      </w:pPr>
    </w:p>
    <w:p w14:paraId="007DECA5" w14:textId="77777777" w:rsidR="007700A3" w:rsidRDefault="007700A3" w:rsidP="00D11AD2">
      <w:pPr>
        <w:pStyle w:val="ListParagraph"/>
        <w:numPr>
          <w:ilvl w:val="0"/>
          <w:numId w:val="7"/>
        </w:numPr>
        <w:autoSpaceDE w:val="0"/>
        <w:autoSpaceDN w:val="0"/>
        <w:adjustRightInd w:val="0"/>
        <w:spacing w:line="480" w:lineRule="auto"/>
        <w:rPr>
          <w:rFonts w:ascii="Arial" w:hAnsi="Arial" w:cs="Arial"/>
        </w:rPr>
      </w:pPr>
      <w:r w:rsidRPr="007700A3">
        <w:rPr>
          <w:rFonts w:ascii="Arial" w:hAnsi="Arial" w:cs="Arial"/>
        </w:rPr>
        <w:t xml:space="preserve">Kantarjian HM, Thomas XG, Dmoszynska A, et al.. Multicenter, randomized, open-label, phase III trial of decitabine versus patient choice, with physician advice, of either supportive care or low-dose cytarabine for the treatment of older patients with newly diagnosed acute myeloid leukemia. </w:t>
      </w:r>
      <w:r w:rsidRPr="007700A3">
        <w:rPr>
          <w:rFonts w:ascii="Arial" w:hAnsi="Arial" w:cs="Arial"/>
          <w:i/>
          <w:iCs/>
        </w:rPr>
        <w:t xml:space="preserve">J.Clin.Oncol. </w:t>
      </w:r>
      <w:r w:rsidRPr="007700A3">
        <w:rPr>
          <w:rFonts w:ascii="Arial" w:hAnsi="Arial" w:cs="Arial"/>
        </w:rPr>
        <w:t>2012;30 (21):2670-2677.</w:t>
      </w:r>
    </w:p>
    <w:p w14:paraId="79EC2CA3" w14:textId="77777777" w:rsidR="00526138" w:rsidRDefault="00526138" w:rsidP="00D11AD2">
      <w:pPr>
        <w:pStyle w:val="ListParagraph"/>
        <w:spacing w:line="480" w:lineRule="auto"/>
        <w:rPr>
          <w:rFonts w:ascii="Arial" w:hAnsi="Arial" w:cs="Arial"/>
        </w:rPr>
      </w:pPr>
    </w:p>
    <w:p w14:paraId="34A7B84A" w14:textId="5467368E" w:rsidR="00945AD4" w:rsidRPr="00EE5B73" w:rsidRDefault="00945AD4" w:rsidP="00EE5B73">
      <w:pPr>
        <w:pStyle w:val="ListParagraph"/>
        <w:numPr>
          <w:ilvl w:val="0"/>
          <w:numId w:val="7"/>
        </w:numPr>
        <w:spacing w:line="480" w:lineRule="auto"/>
        <w:rPr>
          <w:rFonts w:ascii="Arial" w:hAnsi="Arial" w:cs="Arial"/>
        </w:rPr>
      </w:pPr>
      <w:r w:rsidRPr="00EE5B73">
        <w:rPr>
          <w:rFonts w:ascii="Arial" w:hAnsi="Arial" w:cs="Arial"/>
        </w:rPr>
        <w:t>DiNardo CD, Jonas BA, Pullarkat V, Thirman MJ, Garcia JS, Wei AH, Konopleva M, Döhner H, Letai A, Fenaux P, Koller E, Havelange V, Leber B, Esteve J, Wang J, Pejsa V, Hájek R, Porkka K, Illés Á, Lavie D, Lemoli RM, Yamamoto K, Yoon SS, Jang JH, Yeh SP, Turgut M, Hong WJ, Zhou Y, Potluri J, Pratz KW. Azacitidine and Venetoclax in Previously Untreated Acute Myeloid Leukemia. N Engl J Med. 2020 Aug 13;383(7):617-629. doi: 10.1056/NEJMoa2012971. PMID: 32786187.</w:t>
      </w:r>
    </w:p>
    <w:p w14:paraId="1A481397" w14:textId="77777777" w:rsidR="00945AD4" w:rsidRPr="00526138" w:rsidRDefault="00945AD4" w:rsidP="00D11AD2">
      <w:pPr>
        <w:pStyle w:val="ListParagraph"/>
        <w:spacing w:line="480" w:lineRule="auto"/>
        <w:rPr>
          <w:rFonts w:ascii="Arial" w:hAnsi="Arial" w:cs="Arial"/>
        </w:rPr>
      </w:pPr>
    </w:p>
    <w:p w14:paraId="747959FB" w14:textId="77777777" w:rsidR="00E03452" w:rsidRDefault="00E03452" w:rsidP="00D11AD2">
      <w:pPr>
        <w:pStyle w:val="ListParagraph"/>
        <w:numPr>
          <w:ilvl w:val="0"/>
          <w:numId w:val="7"/>
        </w:numPr>
        <w:autoSpaceDE w:val="0"/>
        <w:autoSpaceDN w:val="0"/>
        <w:adjustRightInd w:val="0"/>
        <w:spacing w:line="480" w:lineRule="auto"/>
        <w:rPr>
          <w:rFonts w:ascii="Arial" w:hAnsi="Arial" w:cs="Arial"/>
        </w:rPr>
      </w:pPr>
      <w:r w:rsidRPr="007700A3">
        <w:rPr>
          <w:rFonts w:ascii="Arial" w:hAnsi="Arial" w:cs="Arial"/>
        </w:rPr>
        <w:t xml:space="preserve">Reid AH, Protheroe A, Attard G, et al. A first-in-man phase i and pharmacokinetic study on CHR-2797 (Tosedostat), an inhibitor of M1 minopeptidases, in patients with advanced solid tumors. </w:t>
      </w:r>
      <w:r w:rsidRPr="007700A3">
        <w:rPr>
          <w:rFonts w:ascii="Arial" w:hAnsi="Arial" w:cs="Arial"/>
          <w:i/>
          <w:iCs/>
        </w:rPr>
        <w:t xml:space="preserve">Clin Cancer Res. </w:t>
      </w:r>
      <w:r w:rsidRPr="007700A3">
        <w:rPr>
          <w:rFonts w:ascii="Arial" w:hAnsi="Arial" w:cs="Arial"/>
        </w:rPr>
        <w:t>2009; 15(15):4978-4985</w:t>
      </w:r>
    </w:p>
    <w:p w14:paraId="6E7DE5CC" w14:textId="77777777" w:rsidR="00E03452" w:rsidRPr="00E03452" w:rsidRDefault="00E03452" w:rsidP="00D11AD2">
      <w:pPr>
        <w:pStyle w:val="ListParagraph"/>
        <w:spacing w:line="480" w:lineRule="auto"/>
        <w:rPr>
          <w:rFonts w:ascii="Arial" w:hAnsi="Arial" w:cs="Arial"/>
        </w:rPr>
      </w:pPr>
    </w:p>
    <w:p w14:paraId="6EE5A770" w14:textId="77777777" w:rsidR="00E03452" w:rsidRDefault="00E03452" w:rsidP="00D11AD2">
      <w:pPr>
        <w:pStyle w:val="ListParagraph"/>
        <w:numPr>
          <w:ilvl w:val="0"/>
          <w:numId w:val="7"/>
        </w:numPr>
        <w:autoSpaceDE w:val="0"/>
        <w:autoSpaceDN w:val="0"/>
        <w:adjustRightInd w:val="0"/>
        <w:spacing w:line="480" w:lineRule="auto"/>
        <w:rPr>
          <w:rFonts w:ascii="Arial" w:hAnsi="Arial" w:cs="Arial"/>
        </w:rPr>
      </w:pPr>
      <w:r w:rsidRPr="007700A3">
        <w:rPr>
          <w:rFonts w:ascii="Arial" w:hAnsi="Arial" w:cs="Arial"/>
        </w:rPr>
        <w:t xml:space="preserve">Krige D, Needham LA, Bawden LJ, et al. CHR-2797: an antiproliferative aminopeptidase inhibitor that leads to amino acid deprivation in human leukemic cells. </w:t>
      </w:r>
      <w:r w:rsidRPr="007700A3">
        <w:rPr>
          <w:rFonts w:ascii="Arial" w:hAnsi="Arial" w:cs="Arial"/>
          <w:i/>
          <w:iCs/>
        </w:rPr>
        <w:t xml:space="preserve">Cancer Res. </w:t>
      </w:r>
      <w:r w:rsidRPr="007700A3">
        <w:rPr>
          <w:rFonts w:ascii="Arial" w:hAnsi="Arial" w:cs="Arial"/>
        </w:rPr>
        <w:t>2008; 68(16):6669-6679.</w:t>
      </w:r>
    </w:p>
    <w:p w14:paraId="7B5555EA" w14:textId="77777777" w:rsidR="00E03452" w:rsidRPr="00E03452" w:rsidRDefault="00E03452" w:rsidP="00D11AD2">
      <w:pPr>
        <w:pStyle w:val="ListParagraph"/>
        <w:spacing w:line="480" w:lineRule="auto"/>
        <w:rPr>
          <w:rFonts w:ascii="Arial" w:hAnsi="Arial" w:cs="Arial"/>
        </w:rPr>
      </w:pPr>
    </w:p>
    <w:p w14:paraId="13CDF74F" w14:textId="77777777" w:rsidR="00E03452" w:rsidRDefault="00E03452" w:rsidP="00D11AD2">
      <w:pPr>
        <w:pStyle w:val="ListParagraph"/>
        <w:numPr>
          <w:ilvl w:val="0"/>
          <w:numId w:val="7"/>
        </w:numPr>
        <w:autoSpaceDE w:val="0"/>
        <w:autoSpaceDN w:val="0"/>
        <w:adjustRightInd w:val="0"/>
        <w:spacing w:line="480" w:lineRule="auto"/>
        <w:rPr>
          <w:rFonts w:ascii="Arial" w:hAnsi="Arial" w:cs="Arial"/>
        </w:rPr>
      </w:pPr>
      <w:r w:rsidRPr="00E03452">
        <w:rPr>
          <w:rFonts w:ascii="Arial" w:hAnsi="Arial" w:cs="Arial"/>
        </w:rPr>
        <w:t xml:space="preserve">Saric T, Graef CI and Goldberg AL. Pathway for degradation of peptides generated by proteasomes: a key role for thimet oligopeptidase and other metallopeptidases. </w:t>
      </w:r>
      <w:r w:rsidRPr="00E03452">
        <w:rPr>
          <w:rFonts w:ascii="Arial" w:hAnsi="Arial" w:cs="Arial"/>
          <w:i/>
          <w:iCs/>
        </w:rPr>
        <w:t>J. Biol. Chem</w:t>
      </w:r>
      <w:r w:rsidRPr="00E03452">
        <w:rPr>
          <w:rFonts w:ascii="Arial" w:hAnsi="Arial" w:cs="Arial"/>
        </w:rPr>
        <w:t>.</w:t>
      </w:r>
      <w:r w:rsidRPr="00E03452">
        <w:rPr>
          <w:rFonts w:ascii="Arial" w:hAnsi="Arial" w:cs="Arial"/>
          <w:bCs/>
        </w:rPr>
        <w:t>2004</w:t>
      </w:r>
      <w:r w:rsidRPr="00E03452">
        <w:rPr>
          <w:rFonts w:ascii="Arial" w:hAnsi="Arial" w:cs="Arial"/>
        </w:rPr>
        <w:t>, 279: 46723-46732</w:t>
      </w:r>
    </w:p>
    <w:p w14:paraId="5F954A91" w14:textId="77777777" w:rsidR="00E03452" w:rsidRPr="00E03452" w:rsidRDefault="00E03452" w:rsidP="00D11AD2">
      <w:pPr>
        <w:pStyle w:val="ListParagraph"/>
        <w:spacing w:line="480" w:lineRule="auto"/>
        <w:rPr>
          <w:rFonts w:ascii="Arial" w:hAnsi="Arial" w:cs="Arial"/>
        </w:rPr>
      </w:pPr>
    </w:p>
    <w:p w14:paraId="7D5A97B4" w14:textId="77777777" w:rsidR="00E03452" w:rsidRDefault="00E03452" w:rsidP="00D11AD2">
      <w:pPr>
        <w:pStyle w:val="ListParagraph"/>
        <w:numPr>
          <w:ilvl w:val="0"/>
          <w:numId w:val="7"/>
        </w:numPr>
        <w:autoSpaceDE w:val="0"/>
        <w:autoSpaceDN w:val="0"/>
        <w:adjustRightInd w:val="0"/>
        <w:spacing w:line="480" w:lineRule="auto"/>
        <w:rPr>
          <w:rFonts w:ascii="Arial" w:hAnsi="Arial" w:cs="Arial"/>
        </w:rPr>
      </w:pPr>
      <w:r w:rsidRPr="00E03452">
        <w:rPr>
          <w:rFonts w:ascii="Arial" w:hAnsi="Arial" w:cs="Arial"/>
        </w:rPr>
        <w:t xml:space="preserve">Drummond AH, Farmer H, Flores N, Miles LEC, Callaghan J, Bawden LJ and Krige D. Antiproliferative aminopeptidase inhibitors inhibit mTOR and alter </w:t>
      </w:r>
      <w:r w:rsidRPr="00E03452">
        <w:rPr>
          <w:rFonts w:ascii="Arial" w:hAnsi="Arial" w:cs="Arial"/>
        </w:rPr>
        <w:lastRenderedPageBreak/>
        <w:t xml:space="preserve">expression of Noxa and Mlc-1in leukemic cells via amino acid deprivation. </w:t>
      </w:r>
      <w:r w:rsidRPr="00E03452">
        <w:rPr>
          <w:rFonts w:ascii="Arial" w:hAnsi="Arial" w:cs="Arial"/>
          <w:i/>
          <w:iCs/>
        </w:rPr>
        <w:t xml:space="preserve">AACR Abstract </w:t>
      </w:r>
      <w:r w:rsidRPr="00E03452">
        <w:rPr>
          <w:rFonts w:ascii="Arial" w:hAnsi="Arial" w:cs="Arial"/>
        </w:rPr>
        <w:t>2007: 4069</w:t>
      </w:r>
    </w:p>
    <w:p w14:paraId="177ADE56" w14:textId="77777777" w:rsidR="00E03452" w:rsidRPr="00E03452" w:rsidRDefault="00E03452" w:rsidP="00D11AD2">
      <w:pPr>
        <w:pStyle w:val="ListParagraph"/>
        <w:spacing w:line="480" w:lineRule="auto"/>
        <w:rPr>
          <w:rFonts w:ascii="Arial" w:hAnsi="Arial" w:cs="Arial"/>
        </w:rPr>
      </w:pPr>
    </w:p>
    <w:p w14:paraId="5FB04C27" w14:textId="77777777" w:rsidR="00E03452" w:rsidRDefault="00E03452" w:rsidP="00D11AD2">
      <w:pPr>
        <w:pStyle w:val="ListParagraph"/>
        <w:numPr>
          <w:ilvl w:val="0"/>
          <w:numId w:val="7"/>
        </w:numPr>
        <w:spacing w:line="480" w:lineRule="auto"/>
        <w:rPr>
          <w:rStyle w:val="nlmlpage"/>
          <w:rFonts w:ascii="Arial" w:hAnsi="Arial" w:cs="Arial"/>
          <w:color w:val="333333"/>
        </w:rPr>
      </w:pPr>
      <w:r w:rsidRPr="00E03452">
        <w:rPr>
          <w:rStyle w:val="hlfld-contribauthor"/>
          <w:rFonts w:ascii="Arial" w:hAnsi="Arial" w:cs="Arial"/>
          <w:color w:val="333333"/>
        </w:rPr>
        <w:t>Jenkins </w:t>
      </w:r>
      <w:r w:rsidRPr="00E03452">
        <w:rPr>
          <w:rStyle w:val="nlmgiven-names"/>
          <w:rFonts w:ascii="Arial" w:hAnsi="Arial" w:cs="Arial"/>
          <w:color w:val="333333"/>
        </w:rPr>
        <w:t>C</w:t>
      </w:r>
      <w:r w:rsidRPr="00E03452">
        <w:rPr>
          <w:rFonts w:ascii="Arial" w:hAnsi="Arial" w:cs="Arial"/>
          <w:color w:val="333333"/>
        </w:rPr>
        <w:t>, </w:t>
      </w:r>
      <w:r w:rsidRPr="00E03452">
        <w:rPr>
          <w:rStyle w:val="hlfld-contribauthor"/>
          <w:rFonts w:ascii="Arial" w:hAnsi="Arial" w:cs="Arial"/>
          <w:color w:val="333333"/>
        </w:rPr>
        <w:t>Hewamana </w:t>
      </w:r>
      <w:r w:rsidRPr="00E03452">
        <w:rPr>
          <w:rStyle w:val="nlmgiven-names"/>
          <w:rFonts w:ascii="Arial" w:hAnsi="Arial" w:cs="Arial"/>
          <w:color w:val="333333"/>
        </w:rPr>
        <w:t>S</w:t>
      </w:r>
      <w:r w:rsidRPr="00E03452">
        <w:rPr>
          <w:rFonts w:ascii="Arial" w:hAnsi="Arial" w:cs="Arial"/>
          <w:color w:val="333333"/>
        </w:rPr>
        <w:t>, </w:t>
      </w:r>
      <w:r w:rsidRPr="00E03452">
        <w:rPr>
          <w:rStyle w:val="hlfld-contribauthor"/>
          <w:rFonts w:ascii="Arial" w:hAnsi="Arial" w:cs="Arial"/>
          <w:color w:val="333333"/>
        </w:rPr>
        <w:t>Krige </w:t>
      </w:r>
      <w:r w:rsidRPr="00E03452">
        <w:rPr>
          <w:rStyle w:val="nlmgiven-names"/>
          <w:rFonts w:ascii="Arial" w:hAnsi="Arial" w:cs="Arial"/>
          <w:color w:val="333333"/>
        </w:rPr>
        <w:t>D</w:t>
      </w:r>
      <w:r w:rsidRPr="00E03452">
        <w:rPr>
          <w:rFonts w:ascii="Arial" w:hAnsi="Arial" w:cs="Arial"/>
          <w:color w:val="333333"/>
        </w:rPr>
        <w:t>, et al. </w:t>
      </w:r>
      <w:r w:rsidRPr="00E03452">
        <w:rPr>
          <w:rStyle w:val="nlmarticle-title"/>
          <w:rFonts w:ascii="Arial" w:hAnsi="Arial" w:cs="Arial"/>
          <w:color w:val="333333"/>
        </w:rPr>
        <w:t>Aminopeptidase inhibition by the novel agent CHR-2797 (tosedostat) for the therapy of acute myeloid leukemia</w:t>
      </w:r>
      <w:r w:rsidRPr="00E03452">
        <w:rPr>
          <w:rFonts w:ascii="Arial" w:hAnsi="Arial" w:cs="Arial"/>
          <w:color w:val="333333"/>
        </w:rPr>
        <w:t xml:space="preserve">. </w:t>
      </w:r>
      <w:r w:rsidRPr="004211A0">
        <w:rPr>
          <w:rFonts w:ascii="Arial" w:hAnsi="Arial" w:cs="Arial"/>
          <w:i/>
          <w:color w:val="333333"/>
        </w:rPr>
        <w:t>Leuk Res</w:t>
      </w:r>
      <w:r w:rsidRPr="00E03452">
        <w:rPr>
          <w:rFonts w:ascii="Arial" w:hAnsi="Arial" w:cs="Arial"/>
          <w:color w:val="333333"/>
        </w:rPr>
        <w:t> </w:t>
      </w:r>
      <w:r w:rsidRPr="00E03452">
        <w:rPr>
          <w:rStyle w:val="nlmyear"/>
          <w:rFonts w:ascii="Arial" w:hAnsi="Arial" w:cs="Arial"/>
          <w:color w:val="333333"/>
        </w:rPr>
        <w:t>2011</w:t>
      </w:r>
      <w:r w:rsidRPr="00E03452">
        <w:rPr>
          <w:rFonts w:ascii="Arial" w:hAnsi="Arial" w:cs="Arial"/>
          <w:color w:val="333333"/>
        </w:rPr>
        <w:t>;35(5):</w:t>
      </w:r>
      <w:r w:rsidRPr="00E03452">
        <w:rPr>
          <w:rStyle w:val="nlmfpage"/>
          <w:rFonts w:ascii="Arial" w:hAnsi="Arial" w:cs="Arial"/>
          <w:color w:val="333333"/>
        </w:rPr>
        <w:t>677</w:t>
      </w:r>
      <w:r w:rsidRPr="00E03452">
        <w:rPr>
          <w:rFonts w:ascii="Arial" w:hAnsi="Arial" w:cs="Arial"/>
          <w:color w:val="333333"/>
        </w:rPr>
        <w:t>-</w:t>
      </w:r>
      <w:r w:rsidRPr="00E03452">
        <w:rPr>
          <w:rStyle w:val="nlmlpage"/>
          <w:rFonts w:ascii="Arial" w:hAnsi="Arial" w:cs="Arial"/>
          <w:color w:val="333333"/>
        </w:rPr>
        <w:t>81</w:t>
      </w:r>
    </w:p>
    <w:p w14:paraId="096655E1" w14:textId="77777777" w:rsidR="00E03452" w:rsidRPr="00E03452" w:rsidRDefault="00E03452" w:rsidP="00D11AD2">
      <w:pPr>
        <w:pStyle w:val="ListParagraph"/>
        <w:spacing w:line="480" w:lineRule="auto"/>
        <w:rPr>
          <w:rStyle w:val="nlmlpage"/>
          <w:rFonts w:ascii="Arial" w:hAnsi="Arial" w:cs="Arial"/>
          <w:color w:val="333333"/>
        </w:rPr>
      </w:pPr>
    </w:p>
    <w:p w14:paraId="35F946D2" w14:textId="77777777" w:rsidR="00E03452" w:rsidRPr="00E03452" w:rsidRDefault="00E03452" w:rsidP="00D11AD2">
      <w:pPr>
        <w:pStyle w:val="ListParagraph"/>
        <w:numPr>
          <w:ilvl w:val="0"/>
          <w:numId w:val="7"/>
        </w:numPr>
        <w:autoSpaceDE w:val="0"/>
        <w:autoSpaceDN w:val="0"/>
        <w:adjustRightInd w:val="0"/>
        <w:spacing w:line="480" w:lineRule="auto"/>
        <w:rPr>
          <w:rFonts w:ascii="Arial" w:hAnsi="Arial" w:cs="Arial"/>
        </w:rPr>
      </w:pPr>
      <w:r w:rsidRPr="00E03452">
        <w:rPr>
          <w:rFonts w:ascii="Arial" w:hAnsi="Arial" w:cs="Arial"/>
        </w:rPr>
        <w:t>Löwenberg B1, Morgan G, Ossenkoppele GJ, et al. Phase I/II clinical study of</w:t>
      </w:r>
    </w:p>
    <w:p w14:paraId="371EB4F7" w14:textId="77777777" w:rsidR="00E03452" w:rsidRDefault="00E03452" w:rsidP="00D11AD2">
      <w:pPr>
        <w:pStyle w:val="ListParagraph"/>
        <w:autoSpaceDE w:val="0"/>
        <w:autoSpaceDN w:val="0"/>
        <w:adjustRightInd w:val="0"/>
        <w:spacing w:line="480" w:lineRule="auto"/>
        <w:rPr>
          <w:rFonts w:ascii="Arial" w:hAnsi="Arial" w:cs="Arial"/>
        </w:rPr>
      </w:pPr>
      <w:r w:rsidRPr="007700A3">
        <w:rPr>
          <w:rFonts w:ascii="Arial" w:hAnsi="Arial" w:cs="Arial"/>
        </w:rPr>
        <w:t xml:space="preserve">Tosedostat, an inhibitor of aminopeptidases, in patients with acute myeloid leukemia and myelodysplasia. </w:t>
      </w:r>
      <w:r w:rsidRPr="007700A3">
        <w:rPr>
          <w:rFonts w:ascii="Arial" w:hAnsi="Arial" w:cs="Arial"/>
          <w:i/>
          <w:iCs/>
        </w:rPr>
        <w:t xml:space="preserve">J Clin Oncol. </w:t>
      </w:r>
      <w:r w:rsidRPr="007700A3">
        <w:rPr>
          <w:rFonts w:ascii="Arial" w:hAnsi="Arial" w:cs="Arial"/>
        </w:rPr>
        <w:t>2010; 28(28):4333-4338</w:t>
      </w:r>
    </w:p>
    <w:p w14:paraId="301136EE" w14:textId="77777777" w:rsidR="00E03452" w:rsidRDefault="00E03452" w:rsidP="00D11AD2">
      <w:pPr>
        <w:pStyle w:val="ListParagraph"/>
        <w:autoSpaceDE w:val="0"/>
        <w:autoSpaceDN w:val="0"/>
        <w:adjustRightInd w:val="0"/>
        <w:spacing w:line="480" w:lineRule="auto"/>
        <w:rPr>
          <w:rFonts w:ascii="Arial" w:hAnsi="Arial" w:cs="Arial"/>
        </w:rPr>
      </w:pPr>
    </w:p>
    <w:p w14:paraId="1F752214" w14:textId="77777777" w:rsidR="00E03452" w:rsidRDefault="00E03452" w:rsidP="00D11AD2">
      <w:pPr>
        <w:pStyle w:val="ListParagraph"/>
        <w:numPr>
          <w:ilvl w:val="0"/>
          <w:numId w:val="7"/>
        </w:numPr>
        <w:autoSpaceDE w:val="0"/>
        <w:autoSpaceDN w:val="0"/>
        <w:adjustRightInd w:val="0"/>
        <w:spacing w:line="480" w:lineRule="auto"/>
        <w:rPr>
          <w:rFonts w:ascii="Arial" w:hAnsi="Arial" w:cs="Arial"/>
        </w:rPr>
      </w:pPr>
      <w:r w:rsidRPr="007700A3">
        <w:rPr>
          <w:rFonts w:ascii="Arial" w:hAnsi="Arial" w:cs="Arial"/>
        </w:rPr>
        <w:t xml:space="preserve">Cortes J, Feldman E, Yee K, et al. Two dosing regimens with relapsed or refractory acute myeloid leukaemia (OPAL): a randomised open-label phase 2 study. </w:t>
      </w:r>
      <w:r w:rsidRPr="007700A3">
        <w:rPr>
          <w:rFonts w:ascii="Arial" w:hAnsi="Arial" w:cs="Arial"/>
          <w:i/>
          <w:iCs/>
        </w:rPr>
        <w:t xml:space="preserve">Lancet Oncol. </w:t>
      </w:r>
      <w:r w:rsidRPr="007700A3">
        <w:rPr>
          <w:rFonts w:ascii="Arial" w:hAnsi="Arial" w:cs="Arial"/>
        </w:rPr>
        <w:t>2013; 14(4):354-362</w:t>
      </w:r>
    </w:p>
    <w:p w14:paraId="6BA91608" w14:textId="77777777" w:rsidR="004211A0" w:rsidRDefault="004211A0" w:rsidP="00D11AD2">
      <w:pPr>
        <w:pStyle w:val="ListParagraph"/>
        <w:autoSpaceDE w:val="0"/>
        <w:autoSpaceDN w:val="0"/>
        <w:adjustRightInd w:val="0"/>
        <w:spacing w:line="480" w:lineRule="auto"/>
        <w:ind w:hanging="294"/>
        <w:rPr>
          <w:rFonts w:ascii="Arial" w:hAnsi="Arial" w:cs="Arial"/>
        </w:rPr>
      </w:pPr>
    </w:p>
    <w:p w14:paraId="50BF16A8" w14:textId="77777777" w:rsidR="004211A0" w:rsidRDefault="004211A0" w:rsidP="00D11AD2">
      <w:pPr>
        <w:pStyle w:val="ListParagraph"/>
        <w:numPr>
          <w:ilvl w:val="0"/>
          <w:numId w:val="7"/>
        </w:numPr>
        <w:autoSpaceDE w:val="0"/>
        <w:autoSpaceDN w:val="0"/>
        <w:adjustRightInd w:val="0"/>
        <w:spacing w:line="480" w:lineRule="auto"/>
        <w:rPr>
          <w:rFonts w:ascii="Arial" w:hAnsi="Arial" w:cs="Arial"/>
        </w:rPr>
      </w:pPr>
      <w:r w:rsidRPr="007700A3">
        <w:rPr>
          <w:rFonts w:ascii="Arial" w:hAnsi="Arial" w:cs="Arial"/>
        </w:rPr>
        <w:t xml:space="preserve">Mawad R, Becker PS, Hendrie P, et al. Phase II study of tosedostat with cytarabine or decitabine in newly diagnosed older patients with acute myeloid leukaemia or high-risk MDS. </w:t>
      </w:r>
      <w:r w:rsidRPr="007700A3">
        <w:rPr>
          <w:rFonts w:ascii="Arial" w:hAnsi="Arial" w:cs="Arial"/>
          <w:i/>
          <w:iCs/>
        </w:rPr>
        <w:t xml:space="preserve">Br J Haematol. </w:t>
      </w:r>
      <w:r w:rsidRPr="007700A3">
        <w:rPr>
          <w:rFonts w:ascii="Arial" w:hAnsi="Arial" w:cs="Arial"/>
        </w:rPr>
        <w:t>2016; 172(2):238-245.</w:t>
      </w:r>
    </w:p>
    <w:p w14:paraId="4DD51EA5" w14:textId="77777777" w:rsidR="004211A0" w:rsidRPr="004211A0" w:rsidRDefault="004211A0" w:rsidP="00D11AD2">
      <w:pPr>
        <w:pStyle w:val="ListParagraph"/>
        <w:spacing w:line="480" w:lineRule="auto"/>
        <w:rPr>
          <w:rFonts w:ascii="Arial" w:hAnsi="Arial" w:cs="Arial"/>
        </w:rPr>
      </w:pPr>
    </w:p>
    <w:p w14:paraId="04058433" w14:textId="57CA9C44" w:rsidR="004211A0" w:rsidRDefault="00342955" w:rsidP="00D11AD2">
      <w:pPr>
        <w:pStyle w:val="ListParagraph"/>
        <w:numPr>
          <w:ilvl w:val="0"/>
          <w:numId w:val="7"/>
        </w:numPr>
        <w:autoSpaceDE w:val="0"/>
        <w:autoSpaceDN w:val="0"/>
        <w:adjustRightInd w:val="0"/>
        <w:spacing w:line="480" w:lineRule="auto"/>
        <w:rPr>
          <w:rFonts w:ascii="Arial" w:hAnsi="Arial" w:cs="Arial"/>
        </w:rPr>
      </w:pPr>
      <w:r>
        <w:rPr>
          <w:rFonts w:ascii="Arial" w:hAnsi="Arial" w:cs="Arial"/>
        </w:rPr>
        <w:t>Vi</w:t>
      </w:r>
      <w:r w:rsidR="004211A0">
        <w:rPr>
          <w:rFonts w:ascii="Arial" w:hAnsi="Arial" w:cs="Arial"/>
        </w:rPr>
        <w:t xml:space="preserve">sani G, Loscocco F, Fuligini F et al. Tosedostat with Low-Dose Cytarabine combo induces a high rate of responses that can be predicted by genetic prifiling in AML: final results of a phase II multicentre study. </w:t>
      </w:r>
      <w:r w:rsidR="004211A0" w:rsidRPr="004211A0">
        <w:rPr>
          <w:rFonts w:ascii="Arial" w:hAnsi="Arial" w:cs="Arial"/>
          <w:i/>
        </w:rPr>
        <w:t>Haematologica</w:t>
      </w:r>
      <w:r w:rsidR="004211A0">
        <w:rPr>
          <w:rFonts w:ascii="Arial" w:hAnsi="Arial" w:cs="Arial"/>
        </w:rPr>
        <w:t xml:space="preserve"> 2015; 100703, p 564</w:t>
      </w:r>
    </w:p>
    <w:p w14:paraId="62AD4D5A" w14:textId="77777777" w:rsidR="000A1AA6" w:rsidRDefault="000A1AA6" w:rsidP="00D11AD2">
      <w:pPr>
        <w:pStyle w:val="ListParagraph"/>
        <w:spacing w:line="480" w:lineRule="auto"/>
        <w:rPr>
          <w:rFonts w:ascii="Arial" w:hAnsi="Arial" w:cs="Arial"/>
        </w:rPr>
      </w:pPr>
    </w:p>
    <w:p w14:paraId="4DA8FF55" w14:textId="478B44F7" w:rsidR="00342955" w:rsidRPr="00342955" w:rsidRDefault="00342955" w:rsidP="00342955">
      <w:pPr>
        <w:pStyle w:val="ListParagraph"/>
        <w:numPr>
          <w:ilvl w:val="0"/>
          <w:numId w:val="7"/>
        </w:numPr>
        <w:spacing w:line="480" w:lineRule="auto"/>
        <w:rPr>
          <w:rFonts w:ascii="Arial" w:hAnsi="Arial" w:cs="Arial"/>
        </w:rPr>
      </w:pPr>
      <w:r w:rsidRPr="00342955">
        <w:rPr>
          <w:rFonts w:ascii="Arial" w:hAnsi="Arial" w:cs="Arial"/>
        </w:rPr>
        <w:lastRenderedPageBreak/>
        <w:t>Visani G, Loscocco F, Dennis M, Zuffa E, Candoni A, Sensi A, Giannini B, Musuraca G, Mianulli AM, Clavio M, Rocchi M, Gibellini D, Navari M, Gilkes A, Piccaluga PP, Isidori A. Gene expression profile predicts response to the combination of tosedostat and low-dose cytarabine in elderly AML. Blood Adv. 2020 Oct 27;4(20):5040-5049.</w:t>
      </w:r>
    </w:p>
    <w:p w14:paraId="2F396EE7" w14:textId="77777777" w:rsidR="00342955" w:rsidRPr="000A1AA6" w:rsidRDefault="00342955" w:rsidP="00D11AD2">
      <w:pPr>
        <w:pStyle w:val="ListParagraph"/>
        <w:spacing w:line="480" w:lineRule="auto"/>
        <w:rPr>
          <w:rFonts w:ascii="Arial" w:hAnsi="Arial" w:cs="Arial"/>
        </w:rPr>
      </w:pPr>
    </w:p>
    <w:p w14:paraId="2D7D51B5" w14:textId="77777777" w:rsidR="000A1AA6" w:rsidRDefault="000A1AA6" w:rsidP="00D11AD2">
      <w:pPr>
        <w:numPr>
          <w:ilvl w:val="0"/>
          <w:numId w:val="7"/>
        </w:numPr>
        <w:autoSpaceDE w:val="0"/>
        <w:autoSpaceDN w:val="0"/>
        <w:adjustRightInd w:val="0"/>
        <w:spacing w:after="0" w:line="480" w:lineRule="auto"/>
        <w:rPr>
          <w:rFonts w:ascii="Arial" w:hAnsi="Arial" w:cs="Arial"/>
          <w:sz w:val="24"/>
          <w:szCs w:val="24"/>
        </w:rPr>
      </w:pPr>
      <w:r w:rsidRPr="007700A3">
        <w:rPr>
          <w:rFonts w:ascii="Arial" w:hAnsi="Arial" w:cs="Arial"/>
          <w:sz w:val="24"/>
          <w:szCs w:val="24"/>
        </w:rPr>
        <w:t xml:space="preserve">Hills RK, Burnett AK. Applicability of a "Pick a Winner" trial design to acute myeloid leukemia. </w:t>
      </w:r>
      <w:r w:rsidRPr="004211A0">
        <w:rPr>
          <w:rFonts w:ascii="Arial" w:hAnsi="Arial" w:cs="Arial"/>
          <w:i/>
          <w:sz w:val="24"/>
          <w:szCs w:val="24"/>
        </w:rPr>
        <w:t>Blood</w:t>
      </w:r>
      <w:r w:rsidRPr="007700A3">
        <w:rPr>
          <w:rFonts w:ascii="Arial" w:hAnsi="Arial" w:cs="Arial"/>
          <w:sz w:val="24"/>
          <w:szCs w:val="24"/>
        </w:rPr>
        <w:t xml:space="preserve">. 2011; </w:t>
      </w:r>
      <w:r w:rsidRPr="004211A0">
        <w:rPr>
          <w:rFonts w:ascii="Arial" w:hAnsi="Arial" w:cs="Arial"/>
          <w:sz w:val="24"/>
          <w:szCs w:val="24"/>
        </w:rPr>
        <w:t>118</w:t>
      </w:r>
      <w:r w:rsidRPr="007700A3">
        <w:rPr>
          <w:rFonts w:ascii="Arial" w:hAnsi="Arial" w:cs="Arial"/>
          <w:sz w:val="24"/>
          <w:szCs w:val="24"/>
        </w:rPr>
        <w:t>(9): 2389-94</w:t>
      </w:r>
    </w:p>
    <w:p w14:paraId="3BB468B1" w14:textId="77777777" w:rsidR="000A1AA6" w:rsidRDefault="000A1AA6" w:rsidP="00D11AD2">
      <w:pPr>
        <w:pStyle w:val="ListParagraph"/>
        <w:spacing w:line="480" w:lineRule="auto"/>
        <w:rPr>
          <w:rFonts w:ascii="Arial" w:hAnsi="Arial" w:cs="Arial"/>
        </w:rPr>
      </w:pPr>
    </w:p>
    <w:p w14:paraId="13212346" w14:textId="77777777" w:rsidR="004211A0" w:rsidRDefault="004211A0" w:rsidP="00D11AD2">
      <w:pPr>
        <w:numPr>
          <w:ilvl w:val="0"/>
          <w:numId w:val="7"/>
        </w:numPr>
        <w:autoSpaceDE w:val="0"/>
        <w:autoSpaceDN w:val="0"/>
        <w:adjustRightInd w:val="0"/>
        <w:spacing w:after="0" w:line="480" w:lineRule="auto"/>
        <w:rPr>
          <w:rFonts w:ascii="Arial" w:hAnsi="Arial" w:cs="Arial"/>
          <w:sz w:val="24"/>
          <w:szCs w:val="24"/>
        </w:rPr>
      </w:pPr>
      <w:r w:rsidRPr="007700A3">
        <w:rPr>
          <w:rFonts w:ascii="Arial" w:hAnsi="Arial" w:cs="Arial"/>
          <w:sz w:val="24"/>
          <w:szCs w:val="24"/>
        </w:rPr>
        <w:t xml:space="preserve">Sorror ML, Giralt S, Sandmaier BM, de Lima M, Shahjahan M, Maloney DG et    al. Hematopoietic cell transplantation-specific comorbidity index as an outcome predictor for patients with acute myeloid leukemia in first remission: combined FHCRC and MDACC experiences. </w:t>
      </w:r>
      <w:r w:rsidRPr="004211A0">
        <w:rPr>
          <w:rFonts w:ascii="Arial" w:hAnsi="Arial" w:cs="Arial"/>
          <w:i/>
          <w:sz w:val="24"/>
          <w:szCs w:val="24"/>
        </w:rPr>
        <w:t>Blood</w:t>
      </w:r>
      <w:r w:rsidRPr="007700A3">
        <w:rPr>
          <w:rFonts w:ascii="Arial" w:hAnsi="Arial" w:cs="Arial"/>
          <w:sz w:val="24"/>
          <w:szCs w:val="24"/>
        </w:rPr>
        <w:t xml:space="preserve"> 2007; 110: 4606–4613.</w:t>
      </w:r>
    </w:p>
    <w:p w14:paraId="7952E727" w14:textId="77777777" w:rsidR="004211A0" w:rsidRDefault="004211A0" w:rsidP="00D11AD2">
      <w:pPr>
        <w:pStyle w:val="ListParagraph"/>
        <w:spacing w:line="480" w:lineRule="auto"/>
        <w:rPr>
          <w:rFonts w:ascii="Arial" w:hAnsi="Arial" w:cs="Arial"/>
        </w:rPr>
      </w:pPr>
    </w:p>
    <w:p w14:paraId="770C7148" w14:textId="7E273480" w:rsidR="000935C8" w:rsidRDefault="004211A0" w:rsidP="00F12DF1">
      <w:pPr>
        <w:numPr>
          <w:ilvl w:val="0"/>
          <w:numId w:val="7"/>
        </w:numPr>
        <w:autoSpaceDE w:val="0"/>
        <w:autoSpaceDN w:val="0"/>
        <w:adjustRightInd w:val="0"/>
        <w:spacing w:after="0" w:line="480" w:lineRule="auto"/>
        <w:rPr>
          <w:rFonts w:ascii="Arial" w:hAnsi="Arial" w:cs="Arial"/>
          <w:sz w:val="24"/>
          <w:szCs w:val="24"/>
        </w:rPr>
      </w:pPr>
      <w:r w:rsidRPr="007700A3">
        <w:rPr>
          <w:rFonts w:ascii="Arial" w:hAnsi="Arial" w:cs="Arial"/>
          <w:sz w:val="24"/>
          <w:szCs w:val="24"/>
        </w:rPr>
        <w:t xml:space="preserve">Wheatley K, Brookes CL, Howman AJ, Goldstone AH, Milligan DW, Prentice AG et al. Prognostic factor analysis of the survival of elderly patients with AML in the MRC AML11 and LRF AML14 trials. </w:t>
      </w:r>
      <w:r w:rsidRPr="004211A0">
        <w:rPr>
          <w:rFonts w:ascii="Arial" w:hAnsi="Arial" w:cs="Arial"/>
          <w:i/>
          <w:sz w:val="24"/>
          <w:szCs w:val="24"/>
        </w:rPr>
        <w:t>Br J Haematol</w:t>
      </w:r>
      <w:r w:rsidRPr="007700A3">
        <w:rPr>
          <w:rFonts w:ascii="Arial" w:hAnsi="Arial" w:cs="Arial"/>
          <w:sz w:val="24"/>
          <w:szCs w:val="24"/>
        </w:rPr>
        <w:t xml:space="preserve"> 2009; 145:598–605.</w:t>
      </w:r>
    </w:p>
    <w:p w14:paraId="715CFCA2" w14:textId="77777777" w:rsidR="000935C8" w:rsidRPr="00F12DF1" w:rsidRDefault="000935C8" w:rsidP="00F12DF1">
      <w:pPr>
        <w:spacing w:line="480" w:lineRule="auto"/>
        <w:rPr>
          <w:rFonts w:ascii="Arial" w:hAnsi="Arial" w:cs="Arial"/>
        </w:rPr>
      </w:pPr>
    </w:p>
    <w:p w14:paraId="1754C173" w14:textId="77777777" w:rsidR="000935C8" w:rsidRDefault="000935C8" w:rsidP="00D11AD2">
      <w:pPr>
        <w:numPr>
          <w:ilvl w:val="0"/>
          <w:numId w:val="7"/>
        </w:numPr>
        <w:autoSpaceDE w:val="0"/>
        <w:autoSpaceDN w:val="0"/>
        <w:adjustRightInd w:val="0"/>
        <w:spacing w:after="0" w:line="480" w:lineRule="auto"/>
        <w:contextualSpacing/>
        <w:rPr>
          <w:rFonts w:ascii="Arial" w:eastAsia="MS Mincho" w:hAnsi="Arial" w:cs="Arial"/>
          <w:sz w:val="24"/>
          <w:szCs w:val="24"/>
          <w:lang w:eastAsia="ja-JP"/>
        </w:rPr>
      </w:pPr>
      <w:r w:rsidRPr="000935C8">
        <w:rPr>
          <w:rFonts w:ascii="Arial" w:eastAsia="MS Mincho" w:hAnsi="Arial" w:cs="Arial"/>
          <w:sz w:val="24"/>
          <w:szCs w:val="24"/>
          <w:lang w:eastAsia="ja-JP"/>
        </w:rPr>
        <w:t>Burnett AK, Russell NH, Culligan D, Cavanagh J, Kell J, Wheatley K et al. The addition of the farnesyl transferase inhibitor, tipifarnib, to low dose cytarabine does not improve outcome for older patients with AML. Br J Haematol   2012; 158: 519–522.</w:t>
      </w:r>
    </w:p>
    <w:p w14:paraId="298E1027" w14:textId="77777777" w:rsidR="000935C8" w:rsidRDefault="000935C8" w:rsidP="00D11AD2">
      <w:pPr>
        <w:pStyle w:val="ListParagraph"/>
        <w:spacing w:line="480" w:lineRule="auto"/>
        <w:rPr>
          <w:rFonts w:ascii="Arial" w:hAnsi="Arial" w:cs="Arial"/>
        </w:rPr>
      </w:pPr>
    </w:p>
    <w:p w14:paraId="4A0E648F" w14:textId="6F43AF19" w:rsidR="000935C8" w:rsidRPr="006B547A" w:rsidRDefault="000935C8" w:rsidP="00D11AD2">
      <w:pPr>
        <w:numPr>
          <w:ilvl w:val="0"/>
          <w:numId w:val="7"/>
        </w:numPr>
        <w:autoSpaceDE w:val="0"/>
        <w:autoSpaceDN w:val="0"/>
        <w:adjustRightInd w:val="0"/>
        <w:spacing w:after="0" w:line="480" w:lineRule="auto"/>
        <w:rPr>
          <w:rFonts w:ascii="Arial" w:hAnsi="Arial" w:cs="Arial"/>
          <w:sz w:val="24"/>
          <w:szCs w:val="24"/>
        </w:rPr>
      </w:pPr>
      <w:r w:rsidRPr="000935C8">
        <w:rPr>
          <w:rFonts w:ascii="Arial" w:eastAsia="MS Mincho" w:hAnsi="Arial" w:cs="Arial"/>
          <w:sz w:val="24"/>
          <w:szCs w:val="24"/>
          <w:lang w:eastAsia="ja-JP"/>
        </w:rPr>
        <w:lastRenderedPageBreak/>
        <w:t>Burnett AK, Hills RK, Hunter A, Milligan D, Kell J, Wheatley K et al. The addition of arsenic trioxide to low-dose Ara-C in older patients with AML does not improve outcome. Leukemia 2011; 25: 1122–1127</w:t>
      </w:r>
    </w:p>
    <w:p w14:paraId="75867A56" w14:textId="77777777" w:rsidR="006B547A" w:rsidRDefault="006B547A" w:rsidP="00D11AD2">
      <w:pPr>
        <w:pStyle w:val="ListParagraph"/>
        <w:spacing w:line="480" w:lineRule="auto"/>
        <w:rPr>
          <w:rFonts w:ascii="Arial" w:hAnsi="Arial" w:cs="Arial"/>
        </w:rPr>
      </w:pPr>
    </w:p>
    <w:p w14:paraId="6F8D14A2" w14:textId="7C397B6F" w:rsidR="006B547A" w:rsidRPr="006B547A" w:rsidRDefault="006B547A" w:rsidP="00D11AD2">
      <w:pPr>
        <w:numPr>
          <w:ilvl w:val="0"/>
          <w:numId w:val="7"/>
        </w:numPr>
        <w:autoSpaceDE w:val="0"/>
        <w:autoSpaceDN w:val="0"/>
        <w:adjustRightInd w:val="0"/>
        <w:spacing w:after="0" w:line="480" w:lineRule="auto"/>
        <w:rPr>
          <w:rFonts w:ascii="Arial" w:hAnsi="Arial" w:cs="Arial"/>
          <w:sz w:val="24"/>
          <w:szCs w:val="24"/>
        </w:rPr>
      </w:pPr>
      <w:r w:rsidRPr="006B547A">
        <w:rPr>
          <w:rFonts w:ascii="Arial" w:hAnsi="Arial" w:cs="Arial"/>
          <w:sz w:val="24"/>
          <w:szCs w:val="24"/>
        </w:rPr>
        <w:t>Burnett AK, Russell N, Hills RK, et al. A randomised comparison of the novel nucleoside analogue sapacitabine with low-dose cytarabine in older patients with acute myeloid leukaemia. Leukemia. 2015;29(6):1312-1319. doi:10.1038/leu.2015.38</w:t>
      </w:r>
    </w:p>
    <w:p w14:paraId="5ECCBD75" w14:textId="77777777" w:rsidR="006B547A" w:rsidRPr="006B547A" w:rsidRDefault="006B547A" w:rsidP="00D11AD2">
      <w:pPr>
        <w:autoSpaceDE w:val="0"/>
        <w:autoSpaceDN w:val="0"/>
        <w:adjustRightInd w:val="0"/>
        <w:spacing w:after="0" w:line="480" w:lineRule="auto"/>
        <w:ind w:left="644"/>
        <w:rPr>
          <w:rFonts w:ascii="Arial" w:hAnsi="Arial" w:cs="Arial"/>
          <w:sz w:val="24"/>
          <w:szCs w:val="24"/>
        </w:rPr>
      </w:pPr>
    </w:p>
    <w:p w14:paraId="00053FEF" w14:textId="47825A88" w:rsidR="006B547A" w:rsidRPr="000935C8" w:rsidRDefault="006B547A" w:rsidP="00D11AD2">
      <w:pPr>
        <w:numPr>
          <w:ilvl w:val="0"/>
          <w:numId w:val="7"/>
        </w:numPr>
        <w:autoSpaceDE w:val="0"/>
        <w:autoSpaceDN w:val="0"/>
        <w:adjustRightInd w:val="0"/>
        <w:spacing w:after="0" w:line="480" w:lineRule="auto"/>
        <w:rPr>
          <w:rFonts w:ascii="Arial" w:hAnsi="Arial" w:cs="Arial"/>
          <w:sz w:val="24"/>
          <w:szCs w:val="24"/>
        </w:rPr>
      </w:pPr>
      <w:r w:rsidRPr="006B547A">
        <w:rPr>
          <w:rFonts w:ascii="Arial" w:hAnsi="Arial" w:cs="Arial"/>
          <w:sz w:val="24"/>
          <w:szCs w:val="24"/>
        </w:rPr>
        <w:t>Dennis M, Russell N, Hills RK, et al. Vosaroxin and vosaroxin plus low-dose Ara-C (LDAC) vs low-dose Ara-C alone in older patients with acute myeloid leukemia. Blood. 2015;125(19):2923-2932. doi:10.1182/blood-2014-10-608117</w:t>
      </w:r>
    </w:p>
    <w:p w14:paraId="2534AB3A" w14:textId="77777777" w:rsidR="000935C8" w:rsidRPr="000935C8" w:rsidRDefault="000935C8" w:rsidP="00D11AD2">
      <w:pPr>
        <w:autoSpaceDE w:val="0"/>
        <w:autoSpaceDN w:val="0"/>
        <w:adjustRightInd w:val="0"/>
        <w:spacing w:after="0" w:line="480" w:lineRule="auto"/>
        <w:ind w:left="644"/>
        <w:rPr>
          <w:rFonts w:ascii="Arial" w:hAnsi="Arial" w:cs="Arial"/>
          <w:sz w:val="24"/>
          <w:szCs w:val="24"/>
        </w:rPr>
      </w:pPr>
    </w:p>
    <w:p w14:paraId="70998B69" w14:textId="12A1404E" w:rsidR="000935C8" w:rsidRPr="000935C8" w:rsidRDefault="000935C8" w:rsidP="00D11AD2">
      <w:pPr>
        <w:numPr>
          <w:ilvl w:val="0"/>
          <w:numId w:val="7"/>
        </w:numPr>
        <w:autoSpaceDE w:val="0"/>
        <w:autoSpaceDN w:val="0"/>
        <w:adjustRightInd w:val="0"/>
        <w:spacing w:after="0" w:line="480" w:lineRule="auto"/>
        <w:rPr>
          <w:rFonts w:ascii="Arial" w:hAnsi="Arial" w:cs="Arial"/>
          <w:sz w:val="24"/>
          <w:szCs w:val="24"/>
        </w:rPr>
      </w:pPr>
      <w:r w:rsidRPr="000935C8">
        <w:rPr>
          <w:rFonts w:ascii="Arial" w:eastAsia="MS Mincho" w:hAnsi="Arial" w:cs="Arial"/>
          <w:sz w:val="24"/>
          <w:szCs w:val="24"/>
          <w:lang w:eastAsia="ja-JP"/>
        </w:rPr>
        <w:t xml:space="preserve">Burnett, A. K., Hills, R. K., Hunter, A. E.et al, UK National Cancer Research Institute AML Working Group. The addition of gemtuzumab ozogamicin to low-dose Ara-C improves remission rate but does not significantly prolong survival in older patients with acute myeloid leukaemia: results from the LRF AML14 and NCRI AML16 pick-a-winner comparison. </w:t>
      </w:r>
      <w:r w:rsidRPr="000935C8">
        <w:rPr>
          <w:rFonts w:ascii="Arial" w:eastAsia="MS Mincho" w:hAnsi="Arial" w:cs="Arial"/>
          <w:i/>
          <w:iCs/>
          <w:sz w:val="24"/>
          <w:szCs w:val="24"/>
          <w:lang w:eastAsia="ja-JP"/>
        </w:rPr>
        <w:t>Leukemia</w:t>
      </w:r>
      <w:r w:rsidRPr="000935C8">
        <w:rPr>
          <w:rFonts w:ascii="Arial" w:eastAsia="MS Mincho" w:hAnsi="Arial" w:cs="Arial"/>
          <w:sz w:val="24"/>
          <w:szCs w:val="24"/>
          <w:lang w:eastAsia="ja-JP"/>
        </w:rPr>
        <w:t xml:space="preserve">, 2013; </w:t>
      </w:r>
      <w:r w:rsidRPr="000935C8">
        <w:rPr>
          <w:rFonts w:ascii="Arial" w:eastAsia="MS Mincho" w:hAnsi="Arial" w:cs="Arial"/>
          <w:i/>
          <w:iCs/>
          <w:sz w:val="24"/>
          <w:szCs w:val="24"/>
          <w:lang w:eastAsia="ja-JP"/>
        </w:rPr>
        <w:t>27</w:t>
      </w:r>
      <w:r w:rsidRPr="000935C8">
        <w:rPr>
          <w:rFonts w:ascii="Arial" w:eastAsia="MS Mincho" w:hAnsi="Arial" w:cs="Arial"/>
          <w:sz w:val="24"/>
          <w:szCs w:val="24"/>
          <w:lang w:eastAsia="ja-JP"/>
        </w:rPr>
        <w:t>(1), 75-81</w:t>
      </w:r>
    </w:p>
    <w:p w14:paraId="4D8635F4" w14:textId="77777777" w:rsidR="000935C8" w:rsidRPr="000935C8" w:rsidRDefault="000935C8" w:rsidP="00D11AD2">
      <w:pPr>
        <w:autoSpaceDE w:val="0"/>
        <w:autoSpaceDN w:val="0"/>
        <w:adjustRightInd w:val="0"/>
        <w:spacing w:after="0" w:line="480" w:lineRule="auto"/>
        <w:ind w:left="644"/>
        <w:rPr>
          <w:rFonts w:ascii="Arial" w:hAnsi="Arial" w:cs="Arial"/>
          <w:sz w:val="24"/>
          <w:szCs w:val="24"/>
        </w:rPr>
      </w:pPr>
    </w:p>
    <w:p w14:paraId="30D0A064" w14:textId="4F2CAB4E" w:rsidR="000935C8" w:rsidRDefault="000935C8" w:rsidP="00D11AD2">
      <w:pPr>
        <w:numPr>
          <w:ilvl w:val="0"/>
          <w:numId w:val="7"/>
        </w:numPr>
        <w:autoSpaceDE w:val="0"/>
        <w:autoSpaceDN w:val="0"/>
        <w:adjustRightInd w:val="0"/>
        <w:spacing w:after="0" w:line="480" w:lineRule="auto"/>
        <w:rPr>
          <w:rFonts w:ascii="Arial" w:hAnsi="Arial" w:cs="Arial"/>
          <w:sz w:val="24"/>
          <w:szCs w:val="24"/>
        </w:rPr>
      </w:pPr>
      <w:r w:rsidRPr="000935C8">
        <w:rPr>
          <w:rFonts w:ascii="Arial" w:eastAsia="MS Mincho" w:hAnsi="Arial" w:cs="Arial"/>
          <w:sz w:val="24"/>
          <w:szCs w:val="24"/>
          <w:lang w:eastAsia="ja-JP"/>
        </w:rPr>
        <w:t>Burnett AK, Russell NH, Hunter AE, Milligan D, Knapper S, Wheatley K et al.            Clofarabine doubles the response rate in older patients with acute myeloid leukemia but does not improve survival. Blood 2013; 122: 1384–1394</w:t>
      </w:r>
    </w:p>
    <w:p w14:paraId="38B8C46A" w14:textId="77777777" w:rsidR="0059433E" w:rsidRDefault="0059433E" w:rsidP="0059433E">
      <w:pPr>
        <w:spacing w:line="480" w:lineRule="auto"/>
        <w:rPr>
          <w:rFonts w:ascii="Arial" w:hAnsi="Arial" w:cs="Arial"/>
        </w:rPr>
      </w:pPr>
    </w:p>
    <w:p w14:paraId="180C76DC" w14:textId="66DA90AE" w:rsidR="0059433E" w:rsidRDefault="0059433E" w:rsidP="0059433E">
      <w:pPr>
        <w:pStyle w:val="ListParagraph"/>
        <w:numPr>
          <w:ilvl w:val="0"/>
          <w:numId w:val="7"/>
        </w:numPr>
        <w:spacing w:line="480" w:lineRule="auto"/>
        <w:rPr>
          <w:rFonts w:ascii="Arial" w:hAnsi="Arial" w:cs="Arial"/>
        </w:rPr>
      </w:pPr>
      <w:r w:rsidRPr="0059433E">
        <w:rPr>
          <w:rFonts w:ascii="Arial" w:hAnsi="Arial" w:cs="Arial"/>
        </w:rPr>
        <w:t xml:space="preserve">Dennis M, Hills R, Russell N, Copland M, Thomas I, McMullin MF, Ali S,  Dignum H and Burnett AK An Evaluation of 17 years of Low Dose Cytarabine </w:t>
      </w:r>
      <w:r w:rsidRPr="0059433E">
        <w:rPr>
          <w:rFonts w:ascii="Arial" w:hAnsi="Arial" w:cs="Arial"/>
        </w:rPr>
        <w:lastRenderedPageBreak/>
        <w:t>as Therapy for AML Patients Not Fit for Intensive Treatment, Including Patients with Adverse Cytogenetics, Shows Improving Survival and Potential Underutilisation. Blood (2017) 130 (Supplement 1): 3874</w:t>
      </w:r>
    </w:p>
    <w:p w14:paraId="720B17A1" w14:textId="77777777" w:rsidR="0059433E" w:rsidRPr="0059433E" w:rsidRDefault="0059433E" w:rsidP="0059433E">
      <w:pPr>
        <w:spacing w:line="480" w:lineRule="auto"/>
        <w:rPr>
          <w:rFonts w:ascii="Arial" w:hAnsi="Arial" w:cs="Arial"/>
        </w:rPr>
      </w:pPr>
    </w:p>
    <w:p w14:paraId="027B4EFF" w14:textId="01592AD8" w:rsidR="00E6483D" w:rsidRPr="0060275B" w:rsidRDefault="00B73B60" w:rsidP="00D11AD2">
      <w:pPr>
        <w:autoSpaceDE w:val="0"/>
        <w:autoSpaceDN w:val="0"/>
        <w:adjustRightInd w:val="0"/>
        <w:spacing w:after="0" w:line="480" w:lineRule="auto"/>
        <w:ind w:left="709" w:hanging="425"/>
        <w:rPr>
          <w:rFonts w:ascii="Arial" w:hAnsi="Arial" w:cs="Arial"/>
          <w:sz w:val="24"/>
          <w:szCs w:val="24"/>
        </w:rPr>
      </w:pPr>
      <w:r>
        <w:rPr>
          <w:rFonts w:ascii="Arial" w:hAnsi="Arial" w:cs="Arial"/>
          <w:sz w:val="24"/>
          <w:szCs w:val="24"/>
        </w:rPr>
        <w:t>2</w:t>
      </w:r>
      <w:r w:rsidR="00BD537C">
        <w:rPr>
          <w:rFonts w:ascii="Arial" w:hAnsi="Arial" w:cs="Arial"/>
          <w:sz w:val="24"/>
          <w:szCs w:val="24"/>
        </w:rPr>
        <w:t>7</w:t>
      </w:r>
      <w:r w:rsidR="00E6483D">
        <w:rPr>
          <w:rFonts w:ascii="Arial" w:hAnsi="Arial" w:cs="Arial"/>
          <w:sz w:val="24"/>
          <w:szCs w:val="24"/>
        </w:rPr>
        <w:t>.</w:t>
      </w:r>
      <w:r w:rsidR="00E6483D" w:rsidRPr="0060275B">
        <w:rPr>
          <w:rFonts w:ascii="Arial" w:hAnsi="Arial" w:cs="Arial"/>
          <w:sz w:val="24"/>
          <w:szCs w:val="24"/>
        </w:rPr>
        <w:t>Stein EM, DiNardo CD, Pollyea DA, et al. Enasidenib in mutant-IDH2 relapsed or refractory acute myeloid leukemia. Blood 2017:doi.10.1182/blood-2017-04-779405.</w:t>
      </w:r>
    </w:p>
    <w:p w14:paraId="4F924881" w14:textId="77777777" w:rsidR="00E6483D" w:rsidRPr="0060275B" w:rsidRDefault="00E6483D" w:rsidP="00D11AD2">
      <w:pPr>
        <w:autoSpaceDE w:val="0"/>
        <w:autoSpaceDN w:val="0"/>
        <w:adjustRightInd w:val="0"/>
        <w:spacing w:after="0" w:line="480" w:lineRule="auto"/>
        <w:ind w:left="709" w:hanging="425"/>
        <w:rPr>
          <w:rFonts w:ascii="Arial" w:hAnsi="Arial" w:cs="Arial"/>
          <w:sz w:val="24"/>
          <w:szCs w:val="24"/>
        </w:rPr>
      </w:pPr>
    </w:p>
    <w:p w14:paraId="39F45BBA" w14:textId="6E565F11" w:rsidR="000935C8" w:rsidRPr="00BD537C" w:rsidRDefault="00BD537C" w:rsidP="00BD537C">
      <w:pPr>
        <w:pStyle w:val="ListParagraph"/>
        <w:numPr>
          <w:ilvl w:val="0"/>
          <w:numId w:val="13"/>
        </w:numPr>
        <w:autoSpaceDE w:val="0"/>
        <w:autoSpaceDN w:val="0"/>
        <w:adjustRightInd w:val="0"/>
        <w:spacing w:line="480" w:lineRule="auto"/>
        <w:rPr>
          <w:rFonts w:ascii="Arial" w:hAnsi="Arial" w:cs="Arial"/>
        </w:rPr>
      </w:pPr>
      <w:r w:rsidRPr="00BD537C">
        <w:rPr>
          <w:rFonts w:ascii="Arial" w:hAnsi="Arial" w:cs="Arial"/>
        </w:rPr>
        <w:t>2</w:t>
      </w:r>
      <w:r>
        <w:rPr>
          <w:rFonts w:ascii="Arial" w:hAnsi="Arial" w:cs="Arial"/>
        </w:rPr>
        <w:t>8</w:t>
      </w:r>
      <w:r w:rsidR="00E6483D" w:rsidRPr="00BD537C">
        <w:rPr>
          <w:rFonts w:ascii="Arial" w:hAnsi="Arial" w:cs="Arial"/>
        </w:rPr>
        <w:t>DiNardo CD, Stein EM, de Botton S, et al. Durable Remissions with Ivosidenib in IDH1-Mutated Relapsed or Refractory AML. N Engl J Med 2018;378:2386-98.</w:t>
      </w:r>
    </w:p>
    <w:p w14:paraId="6E6FB766" w14:textId="77777777" w:rsidR="00E6483D" w:rsidRPr="0060275B" w:rsidRDefault="00E6483D" w:rsidP="00D11AD2">
      <w:pPr>
        <w:pStyle w:val="ListParagraph"/>
        <w:autoSpaceDE w:val="0"/>
        <w:autoSpaceDN w:val="0"/>
        <w:adjustRightInd w:val="0"/>
        <w:spacing w:line="480" w:lineRule="auto"/>
        <w:ind w:left="644"/>
        <w:rPr>
          <w:rFonts w:ascii="Arial" w:hAnsi="Arial" w:cs="Arial"/>
        </w:rPr>
      </w:pPr>
    </w:p>
    <w:p w14:paraId="08005E4B" w14:textId="00A3262F" w:rsidR="00BD537C" w:rsidRPr="00BD537C" w:rsidRDefault="00BD537C" w:rsidP="00BD537C">
      <w:pPr>
        <w:pStyle w:val="ListParagraph"/>
        <w:numPr>
          <w:ilvl w:val="0"/>
          <w:numId w:val="13"/>
        </w:numPr>
        <w:autoSpaceDE w:val="0"/>
        <w:autoSpaceDN w:val="0"/>
        <w:adjustRightInd w:val="0"/>
        <w:spacing w:line="480" w:lineRule="auto"/>
        <w:rPr>
          <w:rFonts w:ascii="Arial" w:hAnsi="Arial" w:cs="Arial"/>
        </w:rPr>
      </w:pPr>
      <w:r w:rsidRPr="00BD537C">
        <w:rPr>
          <w:rFonts w:ascii="Arial" w:hAnsi="Arial" w:cs="Arial"/>
        </w:rPr>
        <w:t>2</w:t>
      </w:r>
      <w:r>
        <w:rPr>
          <w:rFonts w:ascii="Arial" w:hAnsi="Arial" w:cs="Arial"/>
        </w:rPr>
        <w:t>9</w:t>
      </w:r>
      <w:r w:rsidR="00E6483D" w:rsidRPr="00BD537C">
        <w:rPr>
          <w:rFonts w:ascii="Arial" w:hAnsi="Arial" w:cs="Arial"/>
        </w:rPr>
        <w:t>Wei AH, Jr SAS, Hou J-Z, et al. Venetoclax Combined With Low-Dose Cytarabine for Previously Untreated Patients With Acute Myeloid Leukemia: Results From a Phase Ib/II Study. J Clin Oncol 2019;37:1277-84.</w:t>
      </w:r>
    </w:p>
    <w:p w14:paraId="00D0EF7F" w14:textId="77777777" w:rsidR="00E6483D" w:rsidRPr="00BD537C" w:rsidRDefault="00E6483D" w:rsidP="00BD537C">
      <w:pPr>
        <w:pStyle w:val="ListParagraph"/>
        <w:autoSpaceDE w:val="0"/>
        <w:autoSpaceDN w:val="0"/>
        <w:adjustRightInd w:val="0"/>
        <w:spacing w:line="480" w:lineRule="auto"/>
        <w:ind w:left="644"/>
      </w:pPr>
    </w:p>
    <w:p w14:paraId="6A809C8C" w14:textId="64901748" w:rsidR="00E6483D" w:rsidRPr="0060275B" w:rsidRDefault="00BD537C" w:rsidP="00D11AD2">
      <w:pPr>
        <w:autoSpaceDE w:val="0"/>
        <w:autoSpaceDN w:val="0"/>
        <w:adjustRightInd w:val="0"/>
        <w:spacing w:line="480" w:lineRule="auto"/>
        <w:ind w:left="709" w:hanging="425"/>
        <w:rPr>
          <w:rFonts w:ascii="Arial" w:hAnsi="Arial" w:cs="Arial"/>
          <w:sz w:val="24"/>
          <w:szCs w:val="24"/>
        </w:rPr>
      </w:pPr>
      <w:r>
        <w:rPr>
          <w:rFonts w:ascii="Arial" w:hAnsi="Arial" w:cs="Arial"/>
          <w:sz w:val="24"/>
          <w:szCs w:val="24"/>
        </w:rPr>
        <w:t>30</w:t>
      </w:r>
      <w:r w:rsidR="0060275B">
        <w:rPr>
          <w:rFonts w:ascii="Arial" w:hAnsi="Arial" w:cs="Arial"/>
          <w:sz w:val="24"/>
          <w:szCs w:val="24"/>
        </w:rPr>
        <w:t xml:space="preserve"> </w:t>
      </w:r>
      <w:r w:rsidR="00E6483D" w:rsidRPr="0060275B">
        <w:rPr>
          <w:rFonts w:ascii="Arial" w:hAnsi="Arial" w:cs="Arial"/>
          <w:sz w:val="24"/>
          <w:szCs w:val="24"/>
        </w:rPr>
        <w:t>.DiNardo CD, Pratz KW, Letai A, et al. Safety and preliminary efficacy of venetoclax  with decitabine or azacitidine in elderly patients with previously untreated acute myeloid leukaemia: a non-randomised, open-label, phase 1b study. The Lancet Oncology 2018;19:216-28</w:t>
      </w:r>
    </w:p>
    <w:p w14:paraId="630296A7" w14:textId="4CDA1FAD" w:rsidR="00E6483D" w:rsidRDefault="00B73B60" w:rsidP="00D11AD2">
      <w:pPr>
        <w:autoSpaceDE w:val="0"/>
        <w:autoSpaceDN w:val="0"/>
        <w:adjustRightInd w:val="0"/>
        <w:spacing w:line="480" w:lineRule="auto"/>
        <w:ind w:left="709" w:hanging="425"/>
        <w:rPr>
          <w:rFonts w:ascii="Arial" w:hAnsi="Arial" w:cs="Arial"/>
          <w:sz w:val="24"/>
          <w:szCs w:val="24"/>
        </w:rPr>
      </w:pPr>
      <w:r>
        <w:rPr>
          <w:rFonts w:ascii="Arial" w:hAnsi="Arial" w:cs="Arial"/>
          <w:sz w:val="24"/>
          <w:szCs w:val="24"/>
        </w:rPr>
        <w:t>3</w:t>
      </w:r>
      <w:r w:rsidR="00BD537C">
        <w:rPr>
          <w:rFonts w:ascii="Arial" w:hAnsi="Arial" w:cs="Arial"/>
          <w:sz w:val="24"/>
          <w:szCs w:val="24"/>
        </w:rPr>
        <w:t>1</w:t>
      </w:r>
      <w:r w:rsidR="0060275B" w:rsidRPr="0060275B">
        <w:rPr>
          <w:rFonts w:ascii="Arial" w:hAnsi="Arial" w:cs="Arial"/>
          <w:sz w:val="24"/>
          <w:szCs w:val="24"/>
        </w:rPr>
        <w:t xml:space="preserve">. </w:t>
      </w:r>
      <w:r w:rsidR="00E6483D" w:rsidRPr="0060275B">
        <w:rPr>
          <w:rFonts w:ascii="Arial" w:hAnsi="Arial" w:cs="Arial"/>
          <w:sz w:val="24"/>
          <w:szCs w:val="24"/>
        </w:rPr>
        <w:t>Cortes JE, Heidel FH, Hellmann A, et al. Randomized comparison of low dosecytarabine with or without glasdegib in patients with newly diagnosed acute myeloid</w:t>
      </w:r>
      <w:r w:rsidR="0060275B" w:rsidRPr="0060275B">
        <w:rPr>
          <w:rFonts w:ascii="Arial" w:hAnsi="Arial" w:cs="Arial"/>
          <w:sz w:val="24"/>
          <w:szCs w:val="24"/>
        </w:rPr>
        <w:t xml:space="preserve"> </w:t>
      </w:r>
      <w:r w:rsidR="00E6483D" w:rsidRPr="0060275B">
        <w:rPr>
          <w:rFonts w:ascii="Arial" w:hAnsi="Arial" w:cs="Arial"/>
          <w:sz w:val="24"/>
          <w:szCs w:val="24"/>
        </w:rPr>
        <w:t>leuk</w:t>
      </w:r>
      <w:r w:rsidR="0060275B" w:rsidRPr="0060275B">
        <w:rPr>
          <w:rFonts w:ascii="Arial" w:hAnsi="Arial" w:cs="Arial"/>
          <w:sz w:val="24"/>
          <w:szCs w:val="24"/>
        </w:rPr>
        <w:t>em</w:t>
      </w:r>
      <w:r w:rsidR="00E6483D" w:rsidRPr="0060275B">
        <w:rPr>
          <w:rFonts w:ascii="Arial" w:hAnsi="Arial" w:cs="Arial"/>
          <w:sz w:val="24"/>
          <w:szCs w:val="24"/>
        </w:rPr>
        <w:t>ia or high risk myelodysplastic syndrome. Leukemia 2019;33:379-389.</w:t>
      </w:r>
    </w:p>
    <w:p w14:paraId="4254928F" w14:textId="77777777" w:rsidR="000935C8" w:rsidRPr="000935C8" w:rsidRDefault="000935C8" w:rsidP="00BD537C">
      <w:pPr>
        <w:autoSpaceDE w:val="0"/>
        <w:autoSpaceDN w:val="0"/>
        <w:adjustRightInd w:val="0"/>
        <w:spacing w:after="0" w:line="480" w:lineRule="auto"/>
        <w:contextualSpacing/>
        <w:rPr>
          <w:rFonts w:ascii="Arial" w:eastAsia="MS Mincho" w:hAnsi="Arial" w:cs="Arial"/>
          <w:sz w:val="24"/>
          <w:szCs w:val="24"/>
          <w:lang w:eastAsia="ja-JP"/>
        </w:rPr>
      </w:pPr>
      <w:r w:rsidRPr="000935C8">
        <w:rPr>
          <w:rFonts w:ascii="Arial" w:eastAsia="MS Mincho" w:hAnsi="Arial" w:cs="Arial"/>
          <w:sz w:val="24"/>
          <w:szCs w:val="24"/>
          <w:lang w:eastAsia="ja-JP"/>
        </w:rPr>
        <w:lastRenderedPageBreak/>
        <w:t xml:space="preserve"> </w:t>
      </w:r>
    </w:p>
    <w:p w14:paraId="41875BE7" w14:textId="77777777" w:rsidR="00377673" w:rsidRPr="00936AA1" w:rsidRDefault="00377673" w:rsidP="00D11AD2">
      <w:pPr>
        <w:pStyle w:val="Default"/>
        <w:spacing w:line="480" w:lineRule="auto"/>
      </w:pPr>
      <w:r w:rsidRPr="00936AA1">
        <w:rPr>
          <w:b/>
          <w:bCs/>
        </w:rPr>
        <w:t xml:space="preserve">Disclosure of Conflicts of Interest </w:t>
      </w:r>
    </w:p>
    <w:p w14:paraId="00DD929A" w14:textId="706730AE" w:rsidR="00377673" w:rsidRDefault="00377673" w:rsidP="00D11AD2">
      <w:pPr>
        <w:spacing w:line="480" w:lineRule="auto"/>
        <w:jc w:val="both"/>
        <w:rPr>
          <w:rFonts w:ascii="Arial" w:hAnsi="Arial" w:cs="Arial"/>
          <w:sz w:val="20"/>
          <w:szCs w:val="20"/>
        </w:rPr>
      </w:pPr>
      <w:r>
        <w:rPr>
          <w:rFonts w:ascii="Arial" w:hAnsi="Arial" w:cs="Arial"/>
          <w:sz w:val="20"/>
          <w:szCs w:val="20"/>
        </w:rPr>
        <w:t>AKB was an employee of CTI Biopharma 2015-2017.</w:t>
      </w:r>
      <w:r w:rsidR="00ED53DE">
        <w:rPr>
          <w:rFonts w:ascii="Arial" w:hAnsi="Arial" w:cs="Arial"/>
          <w:sz w:val="20"/>
          <w:szCs w:val="20"/>
        </w:rPr>
        <w:t xml:space="preserve"> REC has received</w:t>
      </w:r>
      <w:r w:rsidR="00ED53DE" w:rsidRPr="00ED53DE">
        <w:rPr>
          <w:rFonts w:ascii="Arial" w:hAnsi="Arial" w:cs="Arial"/>
          <w:sz w:val="20"/>
          <w:szCs w:val="20"/>
        </w:rPr>
        <w:t xml:space="preserve"> research funding and honoraria from Novartis and Bristol Myers Squibb, and honoraria from Pfizer, Jazz Pharmaceuticals and Abbvie.</w:t>
      </w:r>
      <w:r w:rsidR="00ED53DE">
        <w:rPr>
          <w:rFonts w:ascii="Arial" w:hAnsi="Arial" w:cs="Arial"/>
          <w:sz w:val="20"/>
          <w:szCs w:val="20"/>
        </w:rPr>
        <w:t xml:space="preserve"> </w:t>
      </w:r>
      <w:r w:rsidR="005012D5" w:rsidRPr="005012D5">
        <w:rPr>
          <w:rFonts w:ascii="Arial" w:hAnsi="Arial" w:cs="Arial"/>
          <w:sz w:val="20"/>
          <w:szCs w:val="20"/>
        </w:rPr>
        <w:t xml:space="preserve">MC has received research funding from Novartis, Bristol-Myers Squibb, Cyclacel and Takeda/Incyte, is/has been an advisory board member for Bristol-Myers Squibb, Novartis, Incyte, Daiichi Sankyo, Jazz and Pfizer and has received honoraria from Astellas, Bristol-Myers Squibb, Novartis, Incyte, Pfizer and Gilead. </w:t>
      </w:r>
      <w:r w:rsidRPr="00A06D6A">
        <w:rPr>
          <w:rFonts w:ascii="Arial" w:hAnsi="Arial" w:cs="Arial"/>
          <w:sz w:val="20"/>
          <w:szCs w:val="20"/>
        </w:rPr>
        <w:t xml:space="preserve">The </w:t>
      </w:r>
      <w:r>
        <w:rPr>
          <w:rFonts w:ascii="Arial" w:hAnsi="Arial" w:cs="Arial"/>
          <w:sz w:val="20"/>
          <w:szCs w:val="20"/>
        </w:rPr>
        <w:t xml:space="preserve">other </w:t>
      </w:r>
      <w:r w:rsidRPr="00A06D6A">
        <w:rPr>
          <w:rFonts w:ascii="Arial" w:hAnsi="Arial" w:cs="Arial"/>
          <w:sz w:val="20"/>
          <w:szCs w:val="20"/>
        </w:rPr>
        <w:t>authors have nothing to disclose</w:t>
      </w:r>
      <w:r w:rsidR="00ED53DE">
        <w:rPr>
          <w:rFonts w:ascii="Arial" w:hAnsi="Arial" w:cs="Arial"/>
          <w:sz w:val="20"/>
          <w:szCs w:val="20"/>
        </w:rPr>
        <w:t>.</w:t>
      </w:r>
    </w:p>
    <w:p w14:paraId="4F4DBDB7" w14:textId="1B6FDFA0" w:rsidR="00222528" w:rsidRPr="000935C8" w:rsidRDefault="00222528" w:rsidP="00D11AD2">
      <w:pPr>
        <w:autoSpaceDE w:val="0"/>
        <w:autoSpaceDN w:val="0"/>
        <w:adjustRightInd w:val="0"/>
        <w:spacing w:after="0" w:line="480" w:lineRule="auto"/>
        <w:contextualSpacing/>
        <w:rPr>
          <w:rFonts w:ascii="Arial" w:eastAsia="MS Mincho" w:hAnsi="Arial" w:cs="Arial"/>
          <w:sz w:val="24"/>
          <w:szCs w:val="24"/>
          <w:lang w:eastAsia="ja-JP"/>
        </w:rPr>
      </w:pPr>
      <w:r w:rsidRPr="00A06D6A">
        <w:rPr>
          <w:rFonts w:ascii="Arial" w:hAnsi="Arial" w:cs="Arial"/>
          <w:b/>
          <w:sz w:val="20"/>
          <w:szCs w:val="20"/>
        </w:rPr>
        <w:t xml:space="preserve">Author Contributions: </w:t>
      </w:r>
      <w:r w:rsidRPr="00377673">
        <w:rPr>
          <w:rFonts w:ascii="Arial" w:hAnsi="Arial" w:cs="Arial"/>
          <w:sz w:val="20"/>
          <w:szCs w:val="20"/>
        </w:rPr>
        <w:t>MD</w:t>
      </w:r>
      <w:r>
        <w:rPr>
          <w:rFonts w:ascii="Arial" w:hAnsi="Arial" w:cs="Arial"/>
          <w:sz w:val="20"/>
          <w:szCs w:val="20"/>
        </w:rPr>
        <w:t>: chief investigator; reviewed the data</w:t>
      </w:r>
      <w:r w:rsidR="00EB3538">
        <w:rPr>
          <w:rFonts w:ascii="Arial" w:hAnsi="Arial" w:cs="Arial"/>
          <w:sz w:val="20"/>
          <w:szCs w:val="20"/>
        </w:rPr>
        <w:t xml:space="preserve"> and</w:t>
      </w:r>
      <w:r>
        <w:rPr>
          <w:rFonts w:ascii="Arial" w:hAnsi="Arial" w:cs="Arial"/>
          <w:sz w:val="20"/>
          <w:szCs w:val="20"/>
        </w:rPr>
        <w:t xml:space="preserve"> wrote</w:t>
      </w:r>
      <w:r w:rsidR="00EB3538">
        <w:rPr>
          <w:rFonts w:ascii="Arial" w:hAnsi="Arial" w:cs="Arial"/>
          <w:sz w:val="20"/>
          <w:szCs w:val="20"/>
        </w:rPr>
        <w:t xml:space="preserve"> the</w:t>
      </w:r>
      <w:r>
        <w:rPr>
          <w:rFonts w:ascii="Arial" w:hAnsi="Arial" w:cs="Arial"/>
          <w:sz w:val="20"/>
          <w:szCs w:val="20"/>
        </w:rPr>
        <w:t xml:space="preserve"> manuscript</w:t>
      </w:r>
      <w:r>
        <w:rPr>
          <w:rFonts w:ascii="Arial" w:hAnsi="Arial" w:cs="Arial"/>
          <w:b/>
          <w:sz w:val="20"/>
          <w:szCs w:val="20"/>
        </w:rPr>
        <w:t xml:space="preserve"> </w:t>
      </w:r>
      <w:r w:rsidRPr="00A06D6A">
        <w:rPr>
          <w:rFonts w:ascii="Arial" w:hAnsi="Arial" w:cs="Arial"/>
          <w:sz w:val="20"/>
          <w:szCs w:val="20"/>
        </w:rPr>
        <w:t>AKB: designed the trial; wrote protocol; chief investigator</w:t>
      </w:r>
      <w:r>
        <w:rPr>
          <w:rFonts w:ascii="Arial" w:hAnsi="Arial" w:cs="Arial"/>
          <w:sz w:val="20"/>
          <w:szCs w:val="20"/>
        </w:rPr>
        <w:t xml:space="preserve"> until Q3 2014</w:t>
      </w:r>
      <w:r w:rsidRPr="00A06D6A">
        <w:rPr>
          <w:rFonts w:ascii="Arial" w:hAnsi="Arial" w:cs="Arial"/>
          <w:sz w:val="20"/>
          <w:szCs w:val="20"/>
        </w:rPr>
        <w:t xml:space="preserve">; </w:t>
      </w:r>
      <w:r>
        <w:rPr>
          <w:rFonts w:ascii="Arial" w:hAnsi="Arial" w:cs="Arial"/>
          <w:sz w:val="20"/>
          <w:szCs w:val="20"/>
        </w:rPr>
        <w:t>RKH: designed the trial, wrote the protocol, analysed the data.</w:t>
      </w:r>
      <w:r w:rsidR="00CA1301">
        <w:rPr>
          <w:rFonts w:ascii="Arial" w:hAnsi="Arial" w:cs="Arial"/>
          <w:sz w:val="20"/>
          <w:szCs w:val="20"/>
        </w:rPr>
        <w:t xml:space="preserve"> CA analysed the data with extended follow up, </w:t>
      </w:r>
      <w:r>
        <w:rPr>
          <w:rFonts w:ascii="Arial" w:hAnsi="Arial" w:cs="Arial"/>
          <w:sz w:val="20"/>
          <w:szCs w:val="20"/>
        </w:rPr>
        <w:t xml:space="preserve"> IT supervised the data collection</w:t>
      </w:r>
      <w:r w:rsidR="0026394C">
        <w:rPr>
          <w:rFonts w:ascii="Arial" w:hAnsi="Arial" w:cs="Arial"/>
          <w:sz w:val="20"/>
          <w:szCs w:val="20"/>
        </w:rPr>
        <w:t>, reviewed the data</w:t>
      </w:r>
      <w:r w:rsidR="00DF249D">
        <w:rPr>
          <w:rFonts w:ascii="Arial" w:hAnsi="Arial" w:cs="Arial"/>
          <w:sz w:val="20"/>
          <w:szCs w:val="20"/>
        </w:rPr>
        <w:t>. MTS</w:t>
      </w:r>
      <w:r>
        <w:rPr>
          <w:rFonts w:ascii="Arial" w:hAnsi="Arial" w:cs="Arial"/>
          <w:sz w:val="20"/>
          <w:szCs w:val="20"/>
        </w:rPr>
        <w:t xml:space="preserve">, CH, </w:t>
      </w:r>
      <w:r w:rsidR="00E8327D">
        <w:rPr>
          <w:rFonts w:ascii="Arial" w:hAnsi="Arial" w:cs="Arial"/>
          <w:sz w:val="20"/>
          <w:szCs w:val="20"/>
        </w:rPr>
        <w:t xml:space="preserve">and </w:t>
      </w:r>
      <w:r>
        <w:rPr>
          <w:rFonts w:ascii="Arial" w:hAnsi="Arial" w:cs="Arial"/>
          <w:sz w:val="20"/>
          <w:szCs w:val="20"/>
        </w:rPr>
        <w:t xml:space="preserve">PG were major recruiters. </w:t>
      </w:r>
      <w:r w:rsidRPr="00A06D6A">
        <w:rPr>
          <w:rFonts w:ascii="Arial" w:hAnsi="Arial" w:cs="Arial"/>
          <w:sz w:val="20"/>
          <w:szCs w:val="20"/>
        </w:rPr>
        <w:t>NHR: designed trial</w:t>
      </w:r>
      <w:r>
        <w:rPr>
          <w:rFonts w:ascii="Arial" w:hAnsi="Arial" w:cs="Arial"/>
          <w:sz w:val="20"/>
          <w:szCs w:val="20"/>
        </w:rPr>
        <w:t>; reviewed the data</w:t>
      </w:r>
      <w:r w:rsidRPr="00A06D6A">
        <w:rPr>
          <w:rFonts w:ascii="Arial" w:hAnsi="Arial" w:cs="Arial"/>
          <w:sz w:val="20"/>
          <w:szCs w:val="20"/>
        </w:rPr>
        <w:t xml:space="preserve">. </w:t>
      </w:r>
      <w:r w:rsidR="00E8327D">
        <w:rPr>
          <w:rFonts w:ascii="Arial" w:hAnsi="Arial" w:cs="Arial"/>
          <w:sz w:val="20"/>
          <w:szCs w:val="20"/>
        </w:rPr>
        <w:t xml:space="preserve">MC Co-CI, </w:t>
      </w:r>
      <w:r w:rsidR="000B47D6">
        <w:rPr>
          <w:rFonts w:ascii="Arial" w:hAnsi="Arial" w:cs="Arial"/>
          <w:sz w:val="20"/>
          <w:szCs w:val="20"/>
        </w:rPr>
        <w:t xml:space="preserve">and REC </w:t>
      </w:r>
      <w:r w:rsidR="00E8327D">
        <w:rPr>
          <w:rFonts w:ascii="Arial" w:hAnsi="Arial" w:cs="Arial"/>
          <w:sz w:val="20"/>
          <w:szCs w:val="20"/>
        </w:rPr>
        <w:t xml:space="preserve">reviewed the data. </w:t>
      </w:r>
      <w:r>
        <w:rPr>
          <w:rFonts w:ascii="Arial" w:hAnsi="Arial" w:cs="Arial"/>
          <w:sz w:val="20"/>
          <w:szCs w:val="20"/>
        </w:rPr>
        <w:t>A</w:t>
      </w:r>
      <w:r w:rsidRPr="00A06D6A">
        <w:rPr>
          <w:rFonts w:ascii="Arial" w:hAnsi="Arial" w:cs="Arial"/>
          <w:sz w:val="20"/>
          <w:szCs w:val="20"/>
        </w:rPr>
        <w:t>ll authors reviewed the manuscript</w:t>
      </w:r>
      <w:r w:rsidR="000B47D6">
        <w:rPr>
          <w:rFonts w:ascii="Arial" w:hAnsi="Arial" w:cs="Arial"/>
          <w:sz w:val="20"/>
          <w:szCs w:val="20"/>
        </w:rPr>
        <w:t>.</w:t>
      </w:r>
    </w:p>
    <w:p w14:paraId="7473EFEB" w14:textId="77777777" w:rsidR="00222528" w:rsidRDefault="00222528" w:rsidP="00D11AD2">
      <w:pPr>
        <w:spacing w:line="480" w:lineRule="auto"/>
        <w:jc w:val="both"/>
        <w:rPr>
          <w:rFonts w:ascii="Arial" w:hAnsi="Arial" w:cs="Arial"/>
          <w:sz w:val="20"/>
          <w:szCs w:val="20"/>
        </w:rPr>
      </w:pPr>
    </w:p>
    <w:p w14:paraId="1EC7F8E5" w14:textId="77777777" w:rsidR="00222528" w:rsidRDefault="00222528" w:rsidP="00D11AD2">
      <w:pPr>
        <w:spacing w:line="480" w:lineRule="auto"/>
        <w:jc w:val="both"/>
        <w:rPr>
          <w:rFonts w:ascii="Arial" w:hAnsi="Arial" w:cs="Arial"/>
          <w:sz w:val="20"/>
          <w:szCs w:val="20"/>
        </w:rPr>
      </w:pPr>
    </w:p>
    <w:p w14:paraId="78A419AB" w14:textId="77777777" w:rsidR="00222528" w:rsidRPr="00A06D6A" w:rsidRDefault="00222528" w:rsidP="00D11AD2">
      <w:pPr>
        <w:spacing w:line="480" w:lineRule="auto"/>
        <w:jc w:val="both"/>
        <w:rPr>
          <w:rFonts w:ascii="Arial" w:hAnsi="Arial" w:cs="Arial"/>
          <w:sz w:val="20"/>
          <w:szCs w:val="20"/>
        </w:rPr>
      </w:pPr>
    </w:p>
    <w:p w14:paraId="4A79A2F7" w14:textId="77777777" w:rsidR="00377673" w:rsidRDefault="00377673" w:rsidP="00D11AD2">
      <w:pPr>
        <w:spacing w:line="480" w:lineRule="auto"/>
      </w:pPr>
      <w:r>
        <w:t xml:space="preserve"> </w:t>
      </w:r>
    </w:p>
    <w:p w14:paraId="376DC2A9" w14:textId="77777777" w:rsidR="000935C8" w:rsidRPr="000935C8" w:rsidRDefault="000935C8" w:rsidP="00D11AD2">
      <w:pPr>
        <w:autoSpaceDE w:val="0"/>
        <w:autoSpaceDN w:val="0"/>
        <w:adjustRightInd w:val="0"/>
        <w:spacing w:after="0" w:line="480" w:lineRule="auto"/>
        <w:ind w:left="360"/>
        <w:contextualSpacing/>
        <w:rPr>
          <w:rFonts w:ascii="Arial" w:eastAsia="MS Mincho" w:hAnsi="Arial" w:cs="Arial"/>
          <w:sz w:val="24"/>
          <w:szCs w:val="24"/>
          <w:lang w:eastAsia="ja-JP"/>
        </w:rPr>
      </w:pPr>
    </w:p>
    <w:p w14:paraId="08D19A93" w14:textId="77777777" w:rsidR="000935C8" w:rsidRPr="000935C8" w:rsidRDefault="000935C8" w:rsidP="00D11AD2">
      <w:pPr>
        <w:autoSpaceDE w:val="0"/>
        <w:autoSpaceDN w:val="0"/>
        <w:adjustRightInd w:val="0"/>
        <w:spacing w:after="0" w:line="480" w:lineRule="auto"/>
        <w:ind w:left="720"/>
        <w:contextualSpacing/>
        <w:rPr>
          <w:rFonts w:ascii="Arial" w:eastAsia="MS Mincho" w:hAnsi="Arial" w:cs="Arial"/>
          <w:sz w:val="24"/>
          <w:szCs w:val="24"/>
          <w:lang w:eastAsia="ja-JP"/>
        </w:rPr>
      </w:pPr>
    </w:p>
    <w:p w14:paraId="6C23B053" w14:textId="77777777" w:rsidR="000935C8" w:rsidRPr="000935C8" w:rsidRDefault="000935C8" w:rsidP="00D11AD2">
      <w:pPr>
        <w:autoSpaceDE w:val="0"/>
        <w:autoSpaceDN w:val="0"/>
        <w:adjustRightInd w:val="0"/>
        <w:spacing w:after="0" w:line="480" w:lineRule="auto"/>
        <w:ind w:left="1211"/>
        <w:contextualSpacing/>
        <w:rPr>
          <w:rFonts w:ascii="Arial" w:eastAsia="MS Mincho" w:hAnsi="Arial" w:cs="Arial"/>
          <w:sz w:val="24"/>
          <w:szCs w:val="24"/>
          <w:lang w:eastAsia="ja-JP"/>
        </w:rPr>
      </w:pPr>
      <w:r w:rsidRPr="000935C8">
        <w:rPr>
          <w:rFonts w:ascii="Arial" w:eastAsia="MS Mincho" w:hAnsi="Arial" w:cs="Arial"/>
          <w:sz w:val="24"/>
          <w:szCs w:val="24"/>
          <w:lang w:eastAsia="ja-JP"/>
        </w:rPr>
        <w:t xml:space="preserve"> </w:t>
      </w:r>
    </w:p>
    <w:p w14:paraId="30303F76" w14:textId="77777777" w:rsidR="007700A3" w:rsidRPr="007700A3" w:rsidRDefault="007700A3" w:rsidP="00D11AD2">
      <w:pPr>
        <w:autoSpaceDE w:val="0"/>
        <w:autoSpaceDN w:val="0"/>
        <w:adjustRightInd w:val="0"/>
        <w:spacing w:after="0" w:line="480" w:lineRule="auto"/>
        <w:ind w:left="720"/>
        <w:rPr>
          <w:rFonts w:ascii="Arial" w:hAnsi="Arial" w:cs="Arial"/>
          <w:sz w:val="24"/>
          <w:szCs w:val="24"/>
        </w:rPr>
      </w:pPr>
    </w:p>
    <w:p w14:paraId="45FF6D81" w14:textId="77777777" w:rsidR="0095341F" w:rsidRDefault="0095341F" w:rsidP="00D11AD2">
      <w:pPr>
        <w:pStyle w:val="ListParagraph"/>
        <w:autoSpaceDE w:val="0"/>
        <w:autoSpaceDN w:val="0"/>
        <w:adjustRightInd w:val="0"/>
        <w:spacing w:line="480" w:lineRule="auto"/>
        <w:rPr>
          <w:rFonts w:ascii="Arial" w:hAnsi="Arial" w:cs="Arial"/>
        </w:rPr>
      </w:pPr>
    </w:p>
    <w:p w14:paraId="7318CD52" w14:textId="77777777" w:rsidR="0095341F" w:rsidRDefault="0095341F" w:rsidP="00D11AD2">
      <w:pPr>
        <w:pStyle w:val="ListParagraph"/>
        <w:autoSpaceDE w:val="0"/>
        <w:autoSpaceDN w:val="0"/>
        <w:adjustRightInd w:val="0"/>
        <w:spacing w:line="480" w:lineRule="auto"/>
        <w:rPr>
          <w:rFonts w:ascii="Arial" w:hAnsi="Arial" w:cs="Arial"/>
        </w:rPr>
      </w:pPr>
    </w:p>
    <w:p w14:paraId="1989AC5E" w14:textId="77777777" w:rsidR="0095341F" w:rsidRPr="007700A3" w:rsidRDefault="0095341F" w:rsidP="00D11AD2">
      <w:pPr>
        <w:pStyle w:val="ListParagraph"/>
        <w:autoSpaceDE w:val="0"/>
        <w:autoSpaceDN w:val="0"/>
        <w:adjustRightInd w:val="0"/>
        <w:spacing w:line="480" w:lineRule="auto"/>
        <w:rPr>
          <w:rFonts w:ascii="Arial" w:hAnsi="Arial" w:cs="Arial"/>
        </w:rPr>
      </w:pPr>
      <w:r>
        <w:rPr>
          <w:rFonts w:ascii="Arial" w:hAnsi="Arial" w:cs="Arial"/>
        </w:rPr>
        <w:t>.</w:t>
      </w:r>
    </w:p>
    <w:p w14:paraId="51A64313" w14:textId="77777777" w:rsidR="007700A3" w:rsidRDefault="007700A3" w:rsidP="00D11AD2">
      <w:pPr>
        <w:autoSpaceDE w:val="0"/>
        <w:autoSpaceDN w:val="0"/>
        <w:adjustRightInd w:val="0"/>
        <w:spacing w:after="0" w:line="480" w:lineRule="auto"/>
        <w:ind w:left="720"/>
        <w:rPr>
          <w:sz w:val="24"/>
          <w:szCs w:val="24"/>
        </w:rPr>
      </w:pPr>
    </w:p>
    <w:sectPr w:rsidR="007700A3" w:rsidSect="00393574">
      <w:headerReference w:type="default" r:id="rId8"/>
      <w:pgSz w:w="11906" w:h="16838" w:code="9"/>
      <w:pgMar w:top="1440" w:right="1440" w:bottom="1440" w:left="1440" w:header="709" w:footer="709"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4CFC" w16cex:dateUtc="2021-03-10T13:49:00Z"/>
  <w16cex:commentExtensible w16cex:durableId="23F351DF" w16cex:dateUtc="2021-03-10T14:10:00Z"/>
  <w16cex:commentExtensible w16cex:durableId="23F352A3" w16cex:dateUtc="2021-03-10T1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DE5896" w16cid:durableId="23F34CFC"/>
  <w16cid:commentId w16cid:paraId="39352287" w16cid:durableId="23F351DF"/>
  <w16cid:commentId w16cid:paraId="74F1DDA3" w16cid:durableId="23F352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08EA3" w14:textId="77777777" w:rsidR="00BA6D5B" w:rsidRDefault="00BA6D5B" w:rsidP="00D11AD2">
      <w:pPr>
        <w:spacing w:after="0" w:line="240" w:lineRule="auto"/>
      </w:pPr>
      <w:r>
        <w:separator/>
      </w:r>
    </w:p>
  </w:endnote>
  <w:endnote w:type="continuationSeparator" w:id="0">
    <w:p w14:paraId="07E29748" w14:textId="77777777" w:rsidR="00BA6D5B" w:rsidRDefault="00BA6D5B" w:rsidP="00D11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dvOT46dcae81">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B905B" w14:textId="77777777" w:rsidR="00BA6D5B" w:rsidRDefault="00BA6D5B" w:rsidP="00D11AD2">
      <w:pPr>
        <w:spacing w:after="0" w:line="240" w:lineRule="auto"/>
      </w:pPr>
      <w:r>
        <w:separator/>
      </w:r>
    </w:p>
  </w:footnote>
  <w:footnote w:type="continuationSeparator" w:id="0">
    <w:p w14:paraId="48BC77D9" w14:textId="77777777" w:rsidR="00BA6D5B" w:rsidRDefault="00BA6D5B" w:rsidP="00D11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775679"/>
      <w:docPartObj>
        <w:docPartGallery w:val="Page Numbers (Top of Page)"/>
        <w:docPartUnique/>
      </w:docPartObj>
    </w:sdtPr>
    <w:sdtEndPr>
      <w:rPr>
        <w:noProof/>
      </w:rPr>
    </w:sdtEndPr>
    <w:sdtContent>
      <w:p w14:paraId="55F0C78E" w14:textId="1D8B9ADB" w:rsidR="00D11AD2" w:rsidRDefault="00D11AD2">
        <w:pPr>
          <w:pStyle w:val="Header"/>
        </w:pPr>
        <w:r>
          <w:fldChar w:fldCharType="begin"/>
        </w:r>
        <w:r>
          <w:instrText xml:space="preserve"> PAGE   \* MERGEFORMAT </w:instrText>
        </w:r>
        <w:r>
          <w:fldChar w:fldCharType="separate"/>
        </w:r>
        <w:r w:rsidR="00F52D9C">
          <w:rPr>
            <w:noProof/>
          </w:rPr>
          <w:t>1</w:t>
        </w:r>
        <w:r>
          <w:rPr>
            <w:noProof/>
          </w:rPr>
          <w:fldChar w:fldCharType="end"/>
        </w:r>
        <w:r w:rsidR="00D247E3">
          <w:rPr>
            <w:noProof/>
          </w:rPr>
          <w:t xml:space="preserve"> </w:t>
        </w:r>
        <w:r w:rsidR="00D247E3" w:rsidRPr="00D247E3">
          <w:rPr>
            <w:noProof/>
          </w:rPr>
          <w:t>A RANDOMISED EVALUATION OF LOW-DOSE ARA-C PLUS TOSEDOSTAT VERSUS LOW DOSE ARA-C.</w:t>
        </w:r>
      </w:p>
    </w:sdtContent>
  </w:sdt>
  <w:p w14:paraId="6FD2900B" w14:textId="77777777" w:rsidR="00D11AD2" w:rsidRDefault="00D11A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4F15"/>
    <w:multiLevelType w:val="hybridMultilevel"/>
    <w:tmpl w:val="1BC243CC"/>
    <w:lvl w:ilvl="0" w:tplc="40BAA0A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935FA"/>
    <w:multiLevelType w:val="hybridMultilevel"/>
    <w:tmpl w:val="24040778"/>
    <w:lvl w:ilvl="0" w:tplc="AC78F86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909B2"/>
    <w:multiLevelType w:val="hybridMultilevel"/>
    <w:tmpl w:val="9DA8B6E6"/>
    <w:lvl w:ilvl="0" w:tplc="BD56156E">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C3C3D"/>
    <w:multiLevelType w:val="hybridMultilevel"/>
    <w:tmpl w:val="00E84508"/>
    <w:lvl w:ilvl="0" w:tplc="C52CA506">
      <w:start w:val="1"/>
      <w:numFmt w:val="decimal"/>
      <w:lvlText w:val="%1."/>
      <w:lvlJc w:val="left"/>
      <w:pPr>
        <w:ind w:left="644"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C3459"/>
    <w:multiLevelType w:val="hybridMultilevel"/>
    <w:tmpl w:val="C1F6B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B73D9"/>
    <w:multiLevelType w:val="hybridMultilevel"/>
    <w:tmpl w:val="C62E8780"/>
    <w:lvl w:ilvl="0" w:tplc="89867FB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685B03"/>
    <w:multiLevelType w:val="hybridMultilevel"/>
    <w:tmpl w:val="981AAF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DC13AE"/>
    <w:multiLevelType w:val="hybridMultilevel"/>
    <w:tmpl w:val="82627A90"/>
    <w:lvl w:ilvl="0" w:tplc="0809000F">
      <w:start w:val="1"/>
      <w:numFmt w:val="decimal"/>
      <w:lvlText w:val="%1."/>
      <w:lvlJc w:val="left"/>
      <w:pPr>
        <w:ind w:left="1212" w:hanging="360"/>
      </w:p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8" w15:restartNumberingAfterBreak="0">
    <w:nsid w:val="57FD48A7"/>
    <w:multiLevelType w:val="hybridMultilevel"/>
    <w:tmpl w:val="2F32E61E"/>
    <w:lvl w:ilvl="0" w:tplc="5322B12A">
      <w:start w:val="2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643756FF"/>
    <w:multiLevelType w:val="hybridMultilevel"/>
    <w:tmpl w:val="00E84508"/>
    <w:lvl w:ilvl="0" w:tplc="C52CA506">
      <w:start w:val="1"/>
      <w:numFmt w:val="decimal"/>
      <w:lvlText w:val="%1."/>
      <w:lvlJc w:val="left"/>
      <w:pPr>
        <w:ind w:left="644"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B81977"/>
    <w:multiLevelType w:val="hybridMultilevel"/>
    <w:tmpl w:val="61F68CF2"/>
    <w:lvl w:ilvl="0" w:tplc="522E3C8E">
      <w:start w:val="2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7A8E5D2F"/>
    <w:multiLevelType w:val="hybridMultilevel"/>
    <w:tmpl w:val="D8FCC5F8"/>
    <w:lvl w:ilvl="0" w:tplc="F5D448D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8913A2"/>
    <w:multiLevelType w:val="hybridMultilevel"/>
    <w:tmpl w:val="8438C76A"/>
    <w:lvl w:ilvl="0" w:tplc="860C0358">
      <w:start w:val="1"/>
      <w:numFmt w:val="decimal"/>
      <w:lvlText w:val="%1."/>
      <w:lvlJc w:val="left"/>
      <w:pPr>
        <w:ind w:left="1080" w:hanging="360"/>
      </w:pPr>
      <w:rPr>
        <w:rFonts w:ascii="Arial" w:hAnsi="Arial" w:cs="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1"/>
  </w:num>
  <w:num w:numId="3">
    <w:abstractNumId w:val="0"/>
  </w:num>
  <w:num w:numId="4">
    <w:abstractNumId w:val="5"/>
  </w:num>
  <w:num w:numId="5">
    <w:abstractNumId w:val="4"/>
  </w:num>
  <w:num w:numId="6">
    <w:abstractNumId w:val="12"/>
  </w:num>
  <w:num w:numId="7">
    <w:abstractNumId w:val="3"/>
  </w:num>
  <w:num w:numId="8">
    <w:abstractNumId w:val="6"/>
  </w:num>
  <w:num w:numId="9">
    <w:abstractNumId w:val="1"/>
  </w:num>
  <w:num w:numId="10">
    <w:abstractNumId w:val="2"/>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FB"/>
    <w:rsid w:val="000051E4"/>
    <w:rsid w:val="0001121D"/>
    <w:rsid w:val="000137BA"/>
    <w:rsid w:val="00026271"/>
    <w:rsid w:val="00030C3A"/>
    <w:rsid w:val="00036806"/>
    <w:rsid w:val="000419AB"/>
    <w:rsid w:val="0007375D"/>
    <w:rsid w:val="000864CA"/>
    <w:rsid w:val="000935C8"/>
    <w:rsid w:val="00094CCD"/>
    <w:rsid w:val="000A1AA6"/>
    <w:rsid w:val="000A5005"/>
    <w:rsid w:val="000A73AC"/>
    <w:rsid w:val="000B0617"/>
    <w:rsid w:val="000B3F65"/>
    <w:rsid w:val="000B47D6"/>
    <w:rsid w:val="001122EF"/>
    <w:rsid w:val="00123129"/>
    <w:rsid w:val="001336D2"/>
    <w:rsid w:val="00145A19"/>
    <w:rsid w:val="00186F4C"/>
    <w:rsid w:val="001C1F15"/>
    <w:rsid w:val="001D37FD"/>
    <w:rsid w:val="002209B9"/>
    <w:rsid w:val="00222528"/>
    <w:rsid w:val="00232E35"/>
    <w:rsid w:val="00253A6C"/>
    <w:rsid w:val="0025590D"/>
    <w:rsid w:val="0026394C"/>
    <w:rsid w:val="002809B3"/>
    <w:rsid w:val="002B1948"/>
    <w:rsid w:val="002B7FF4"/>
    <w:rsid w:val="00300C95"/>
    <w:rsid w:val="00302D46"/>
    <w:rsid w:val="00312154"/>
    <w:rsid w:val="003160B8"/>
    <w:rsid w:val="00342955"/>
    <w:rsid w:val="00347782"/>
    <w:rsid w:val="003560BA"/>
    <w:rsid w:val="00364AFB"/>
    <w:rsid w:val="00371491"/>
    <w:rsid w:val="00377673"/>
    <w:rsid w:val="00393574"/>
    <w:rsid w:val="003A0157"/>
    <w:rsid w:val="003A5762"/>
    <w:rsid w:val="003B62C1"/>
    <w:rsid w:val="003C4FAE"/>
    <w:rsid w:val="003E577C"/>
    <w:rsid w:val="0040026A"/>
    <w:rsid w:val="00401B3B"/>
    <w:rsid w:val="00412B6A"/>
    <w:rsid w:val="004151C9"/>
    <w:rsid w:val="00415F86"/>
    <w:rsid w:val="004211A0"/>
    <w:rsid w:val="00424162"/>
    <w:rsid w:val="00432646"/>
    <w:rsid w:val="00480E98"/>
    <w:rsid w:val="00495442"/>
    <w:rsid w:val="004C7011"/>
    <w:rsid w:val="004E158C"/>
    <w:rsid w:val="004F55D4"/>
    <w:rsid w:val="005012D5"/>
    <w:rsid w:val="00526138"/>
    <w:rsid w:val="00533523"/>
    <w:rsid w:val="00534C97"/>
    <w:rsid w:val="00540B0E"/>
    <w:rsid w:val="00581555"/>
    <w:rsid w:val="00591790"/>
    <w:rsid w:val="0059433E"/>
    <w:rsid w:val="005A6401"/>
    <w:rsid w:val="005A7E74"/>
    <w:rsid w:val="005D25CF"/>
    <w:rsid w:val="00601A91"/>
    <w:rsid w:val="0060275B"/>
    <w:rsid w:val="0063252F"/>
    <w:rsid w:val="00697A2A"/>
    <w:rsid w:val="006A16D0"/>
    <w:rsid w:val="006B045A"/>
    <w:rsid w:val="006B547A"/>
    <w:rsid w:val="006C5D5A"/>
    <w:rsid w:val="006C7405"/>
    <w:rsid w:val="006D11E2"/>
    <w:rsid w:val="006D4481"/>
    <w:rsid w:val="006D47B8"/>
    <w:rsid w:val="00724C04"/>
    <w:rsid w:val="00734870"/>
    <w:rsid w:val="00735128"/>
    <w:rsid w:val="00761C7C"/>
    <w:rsid w:val="007700A3"/>
    <w:rsid w:val="00790EF4"/>
    <w:rsid w:val="007A326E"/>
    <w:rsid w:val="007F7605"/>
    <w:rsid w:val="00821E2F"/>
    <w:rsid w:val="00822E93"/>
    <w:rsid w:val="00841631"/>
    <w:rsid w:val="00856160"/>
    <w:rsid w:val="008838DA"/>
    <w:rsid w:val="008936B8"/>
    <w:rsid w:val="008C3370"/>
    <w:rsid w:val="008E77C8"/>
    <w:rsid w:val="0090244F"/>
    <w:rsid w:val="00945AD4"/>
    <w:rsid w:val="0095341F"/>
    <w:rsid w:val="00954D0B"/>
    <w:rsid w:val="00966E1D"/>
    <w:rsid w:val="00985867"/>
    <w:rsid w:val="00986120"/>
    <w:rsid w:val="009870AB"/>
    <w:rsid w:val="009E35B5"/>
    <w:rsid w:val="00A510FD"/>
    <w:rsid w:val="00A63058"/>
    <w:rsid w:val="00A674C2"/>
    <w:rsid w:val="00AA78FD"/>
    <w:rsid w:val="00AB52BD"/>
    <w:rsid w:val="00AE0961"/>
    <w:rsid w:val="00AE72EC"/>
    <w:rsid w:val="00AF0066"/>
    <w:rsid w:val="00B20F3C"/>
    <w:rsid w:val="00B47036"/>
    <w:rsid w:val="00B73B60"/>
    <w:rsid w:val="00B83264"/>
    <w:rsid w:val="00BA6D5B"/>
    <w:rsid w:val="00BD52EE"/>
    <w:rsid w:val="00BD537C"/>
    <w:rsid w:val="00C002A7"/>
    <w:rsid w:val="00C016B6"/>
    <w:rsid w:val="00C04D79"/>
    <w:rsid w:val="00C7277F"/>
    <w:rsid w:val="00C772F7"/>
    <w:rsid w:val="00C84214"/>
    <w:rsid w:val="00CA1301"/>
    <w:rsid w:val="00CD3A36"/>
    <w:rsid w:val="00D11AD2"/>
    <w:rsid w:val="00D16474"/>
    <w:rsid w:val="00D23C5D"/>
    <w:rsid w:val="00D247E3"/>
    <w:rsid w:val="00D30278"/>
    <w:rsid w:val="00D4253B"/>
    <w:rsid w:val="00D42E0F"/>
    <w:rsid w:val="00D54083"/>
    <w:rsid w:val="00D71522"/>
    <w:rsid w:val="00D73422"/>
    <w:rsid w:val="00D84D55"/>
    <w:rsid w:val="00DB5E72"/>
    <w:rsid w:val="00DF249D"/>
    <w:rsid w:val="00E03452"/>
    <w:rsid w:val="00E25743"/>
    <w:rsid w:val="00E323C3"/>
    <w:rsid w:val="00E34240"/>
    <w:rsid w:val="00E35AE1"/>
    <w:rsid w:val="00E54504"/>
    <w:rsid w:val="00E6483D"/>
    <w:rsid w:val="00E715B8"/>
    <w:rsid w:val="00E8327D"/>
    <w:rsid w:val="00E87DDA"/>
    <w:rsid w:val="00EA3610"/>
    <w:rsid w:val="00EB3538"/>
    <w:rsid w:val="00EC6734"/>
    <w:rsid w:val="00ED53DE"/>
    <w:rsid w:val="00EE0EC1"/>
    <w:rsid w:val="00EE3344"/>
    <w:rsid w:val="00EE5B73"/>
    <w:rsid w:val="00F10588"/>
    <w:rsid w:val="00F12DF1"/>
    <w:rsid w:val="00F201A6"/>
    <w:rsid w:val="00F277D7"/>
    <w:rsid w:val="00F2781A"/>
    <w:rsid w:val="00F52D9C"/>
    <w:rsid w:val="00F56605"/>
    <w:rsid w:val="00F60705"/>
    <w:rsid w:val="00F6792A"/>
    <w:rsid w:val="00F97CF8"/>
    <w:rsid w:val="00FA51BF"/>
    <w:rsid w:val="00FE05C6"/>
    <w:rsid w:val="00FF2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B333E"/>
  <w15:docId w15:val="{5488D032-1EAC-4B24-857D-2C9EC23B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0051E4"/>
    <w:pPr>
      <w:keepNext/>
      <w:spacing w:before="240" w:after="60" w:line="240" w:lineRule="auto"/>
      <w:outlineLvl w:val="1"/>
    </w:pPr>
    <w:rPr>
      <w:rFonts w:ascii="Cambria" w:eastAsia="Times New Roman" w:hAnsi="Cambria" w:cs="Times New Roman"/>
      <w:b/>
      <w:bCs/>
      <w:i/>
      <w:iCs/>
      <w:snapToGrid w:val="0"/>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51E4"/>
    <w:rPr>
      <w:rFonts w:ascii="Cambria" w:eastAsia="Times New Roman" w:hAnsi="Cambria" w:cs="Times New Roman"/>
      <w:b/>
      <w:bCs/>
      <w:i/>
      <w:iCs/>
      <w:snapToGrid w:val="0"/>
      <w:sz w:val="28"/>
      <w:szCs w:val="28"/>
      <w:lang w:val="en-US" w:eastAsia="ja-JP"/>
    </w:rPr>
  </w:style>
  <w:style w:type="character" w:styleId="CommentReference">
    <w:name w:val="annotation reference"/>
    <w:basedOn w:val="DefaultParagraphFont"/>
    <w:uiPriority w:val="99"/>
    <w:semiHidden/>
    <w:unhideWhenUsed/>
    <w:rsid w:val="00424162"/>
    <w:rPr>
      <w:sz w:val="16"/>
      <w:szCs w:val="16"/>
    </w:rPr>
  </w:style>
  <w:style w:type="paragraph" w:styleId="CommentText">
    <w:name w:val="annotation text"/>
    <w:basedOn w:val="Normal"/>
    <w:link w:val="CommentTextChar"/>
    <w:uiPriority w:val="99"/>
    <w:semiHidden/>
    <w:unhideWhenUsed/>
    <w:rsid w:val="00424162"/>
    <w:pPr>
      <w:spacing w:line="240" w:lineRule="auto"/>
    </w:pPr>
    <w:rPr>
      <w:sz w:val="20"/>
      <w:szCs w:val="20"/>
    </w:rPr>
  </w:style>
  <w:style w:type="character" w:customStyle="1" w:styleId="CommentTextChar">
    <w:name w:val="Comment Text Char"/>
    <w:basedOn w:val="DefaultParagraphFont"/>
    <w:link w:val="CommentText"/>
    <w:uiPriority w:val="99"/>
    <w:semiHidden/>
    <w:rsid w:val="00424162"/>
    <w:rPr>
      <w:sz w:val="20"/>
      <w:szCs w:val="20"/>
    </w:rPr>
  </w:style>
  <w:style w:type="paragraph" w:styleId="CommentSubject">
    <w:name w:val="annotation subject"/>
    <w:basedOn w:val="CommentText"/>
    <w:next w:val="CommentText"/>
    <w:link w:val="CommentSubjectChar"/>
    <w:uiPriority w:val="99"/>
    <w:semiHidden/>
    <w:unhideWhenUsed/>
    <w:rsid w:val="00424162"/>
    <w:rPr>
      <w:b/>
      <w:bCs/>
    </w:rPr>
  </w:style>
  <w:style w:type="character" w:customStyle="1" w:styleId="CommentSubjectChar">
    <w:name w:val="Comment Subject Char"/>
    <w:basedOn w:val="CommentTextChar"/>
    <w:link w:val="CommentSubject"/>
    <w:uiPriority w:val="99"/>
    <w:semiHidden/>
    <w:rsid w:val="00424162"/>
    <w:rPr>
      <w:b/>
      <w:bCs/>
      <w:sz w:val="20"/>
      <w:szCs w:val="20"/>
    </w:rPr>
  </w:style>
  <w:style w:type="paragraph" w:styleId="BalloonText">
    <w:name w:val="Balloon Text"/>
    <w:basedOn w:val="Normal"/>
    <w:link w:val="BalloonTextChar"/>
    <w:uiPriority w:val="99"/>
    <w:semiHidden/>
    <w:unhideWhenUsed/>
    <w:rsid w:val="00424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162"/>
    <w:rPr>
      <w:rFonts w:ascii="Tahoma" w:hAnsi="Tahoma" w:cs="Tahoma"/>
      <w:sz w:val="16"/>
      <w:szCs w:val="16"/>
    </w:rPr>
  </w:style>
  <w:style w:type="paragraph" w:styleId="ListParagraph">
    <w:name w:val="List Paragraph"/>
    <w:basedOn w:val="Normal"/>
    <w:uiPriority w:val="34"/>
    <w:qFormat/>
    <w:rsid w:val="007700A3"/>
    <w:pPr>
      <w:spacing w:after="0" w:line="240" w:lineRule="auto"/>
      <w:ind w:left="720"/>
      <w:contextualSpacing/>
    </w:pPr>
    <w:rPr>
      <w:rFonts w:ascii="Times New Roman" w:eastAsia="MS Mincho" w:hAnsi="Times New Roman" w:cs="Times New Roman"/>
      <w:sz w:val="24"/>
      <w:szCs w:val="24"/>
      <w:lang w:eastAsia="ja-JP"/>
    </w:rPr>
  </w:style>
  <w:style w:type="character" w:customStyle="1" w:styleId="hlfld-contribauthor">
    <w:name w:val="hlfld-contribauthor"/>
    <w:rsid w:val="0095341F"/>
  </w:style>
  <w:style w:type="character" w:customStyle="1" w:styleId="nlmgiven-names">
    <w:name w:val="nlm_given-names"/>
    <w:rsid w:val="0095341F"/>
  </w:style>
  <w:style w:type="character" w:customStyle="1" w:styleId="nlmarticle-title">
    <w:name w:val="nlm_article-title"/>
    <w:rsid w:val="0095341F"/>
  </w:style>
  <w:style w:type="character" w:customStyle="1" w:styleId="nlmyear">
    <w:name w:val="nlm_year"/>
    <w:rsid w:val="0095341F"/>
  </w:style>
  <w:style w:type="character" w:customStyle="1" w:styleId="nlmfpage">
    <w:name w:val="nlm_fpage"/>
    <w:rsid w:val="0095341F"/>
  </w:style>
  <w:style w:type="character" w:customStyle="1" w:styleId="nlmlpage">
    <w:name w:val="nlm_lpage"/>
    <w:rsid w:val="0095341F"/>
  </w:style>
  <w:style w:type="character" w:styleId="Hyperlink">
    <w:name w:val="Hyperlink"/>
    <w:rsid w:val="00EA3610"/>
    <w:rPr>
      <w:color w:val="0000FF"/>
      <w:u w:val="single"/>
    </w:rPr>
  </w:style>
  <w:style w:type="paragraph" w:customStyle="1" w:styleId="Default">
    <w:name w:val="Default"/>
    <w:rsid w:val="00EA3610"/>
    <w:pPr>
      <w:autoSpaceDE w:val="0"/>
      <w:autoSpaceDN w:val="0"/>
      <w:adjustRightInd w:val="0"/>
      <w:spacing w:after="0" w:line="240" w:lineRule="auto"/>
    </w:pPr>
    <w:rPr>
      <w:rFonts w:ascii="Arial" w:eastAsia="MS Mincho" w:hAnsi="Arial" w:cs="Arial"/>
      <w:color w:val="000000"/>
      <w:sz w:val="24"/>
      <w:szCs w:val="24"/>
      <w:lang w:eastAsia="en-GB"/>
    </w:rPr>
  </w:style>
  <w:style w:type="character" w:styleId="LineNumber">
    <w:name w:val="line number"/>
    <w:basedOn w:val="DefaultParagraphFont"/>
    <w:uiPriority w:val="99"/>
    <w:semiHidden/>
    <w:unhideWhenUsed/>
    <w:rsid w:val="00D11AD2"/>
  </w:style>
  <w:style w:type="paragraph" w:styleId="Header">
    <w:name w:val="header"/>
    <w:basedOn w:val="Normal"/>
    <w:link w:val="HeaderChar"/>
    <w:uiPriority w:val="99"/>
    <w:unhideWhenUsed/>
    <w:rsid w:val="00D11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AD2"/>
  </w:style>
  <w:style w:type="paragraph" w:styleId="Footer">
    <w:name w:val="footer"/>
    <w:basedOn w:val="Normal"/>
    <w:link w:val="FooterChar"/>
    <w:uiPriority w:val="99"/>
    <w:unhideWhenUsed/>
    <w:rsid w:val="00D11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E2A9F-2189-4054-A9D9-A3354312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5763</Words>
  <Characters>32850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38536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dc:creator>
  <cp:lastModifiedBy>user</cp:lastModifiedBy>
  <cp:revision>2</cp:revision>
  <cp:lastPrinted>2021-03-10T12:34:00Z</cp:lastPrinted>
  <dcterms:created xsi:type="dcterms:W3CDTF">2021-05-11T09:44:00Z</dcterms:created>
  <dcterms:modified xsi:type="dcterms:W3CDTF">2021-05-11T09:44:00Z</dcterms:modified>
</cp:coreProperties>
</file>