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365B" w14:textId="77777777" w:rsidR="00590E81" w:rsidRPr="00194B7F" w:rsidRDefault="00590E81" w:rsidP="00590E81">
      <w:pPr>
        <w:spacing w:after="0"/>
        <w:rPr>
          <w:b/>
          <w:bCs/>
        </w:rPr>
      </w:pPr>
      <w:bookmarkStart w:id="0" w:name="_Hlk48974259"/>
      <w:bookmarkStart w:id="1" w:name="_GoBack"/>
      <w:bookmarkEnd w:id="1"/>
      <w:r w:rsidRPr="00194B7F">
        <w:rPr>
          <w:b/>
          <w:bCs/>
        </w:rPr>
        <w:t>Engaging users in the sharing economy: Individual and collective psychological ownership as antecedents to actor engagement</w:t>
      </w:r>
    </w:p>
    <w:p w14:paraId="4F9B1354" w14:textId="77777777" w:rsidR="00590E81" w:rsidRPr="00194B7F" w:rsidRDefault="00590E81" w:rsidP="00590E81">
      <w:pPr>
        <w:spacing w:after="0" w:line="240" w:lineRule="auto"/>
        <w:ind w:left="360"/>
        <w:jc w:val="center"/>
        <w:rPr>
          <w:rFonts w:cs="Times New Roman"/>
          <w:b/>
          <w:bCs/>
          <w:color w:val="000000" w:themeColor="text1"/>
          <w:szCs w:val="24"/>
        </w:rPr>
      </w:pPr>
    </w:p>
    <w:p w14:paraId="0B41684B" w14:textId="1E7861E8" w:rsidR="00590E81" w:rsidRPr="00194B7F" w:rsidRDefault="00590E81" w:rsidP="00590E81">
      <w:pPr>
        <w:spacing w:after="0"/>
        <w:rPr>
          <w:rFonts w:cs="Times New Roman"/>
          <w:szCs w:val="24"/>
        </w:rPr>
      </w:pPr>
      <w:r w:rsidRPr="00194B7F">
        <w:rPr>
          <w:rFonts w:cs="Times New Roman"/>
          <w:b/>
          <w:szCs w:val="24"/>
        </w:rPr>
        <w:t>Purpose</w:t>
      </w:r>
      <w:r w:rsidRPr="00194B7F">
        <w:rPr>
          <w:rFonts w:cs="Times New Roman"/>
          <w:szCs w:val="24"/>
        </w:rPr>
        <w:t xml:space="preserve"> – This conceptual study </w:t>
      </w:r>
      <w:r w:rsidR="00C840D3" w:rsidRPr="00DC1AEF">
        <w:rPr>
          <w:rFonts w:cs="Times New Roman"/>
          <w:szCs w:val="24"/>
        </w:rPr>
        <w:t>explicates</w:t>
      </w:r>
      <w:r w:rsidRPr="00DC1AEF">
        <w:rPr>
          <w:rFonts w:cs="Times New Roman"/>
          <w:szCs w:val="24"/>
        </w:rPr>
        <w:t xml:space="preserve"> </w:t>
      </w:r>
      <w:r w:rsidRPr="00194B7F">
        <w:rPr>
          <w:rFonts w:cs="Times New Roman"/>
          <w:szCs w:val="24"/>
        </w:rPr>
        <w:t xml:space="preserve">the </w:t>
      </w:r>
      <w:r w:rsidRPr="00194B7F">
        <w:rPr>
          <w:rFonts w:cs="Times New Roman"/>
          <w:szCs w:val="24"/>
          <w:lang w:val="en-US"/>
        </w:rPr>
        <w:t xml:space="preserve">dynamic, interlinked relationship between two of the most popular theories in marketing today – psychological </w:t>
      </w:r>
      <w:r w:rsidRPr="00194B7F">
        <w:rPr>
          <w:rFonts w:cs="Times New Roman"/>
          <w:szCs w:val="24"/>
        </w:rPr>
        <w:t xml:space="preserve">ownership (PO) and engagement. </w:t>
      </w:r>
      <w:r w:rsidR="00717A50">
        <w:rPr>
          <w:rFonts w:cs="Times New Roman"/>
          <w:szCs w:val="24"/>
        </w:rPr>
        <w:t xml:space="preserve">The study is set in the </w:t>
      </w:r>
      <w:r w:rsidRPr="00194B7F">
        <w:rPr>
          <w:rFonts w:cs="Times New Roman"/>
          <w:szCs w:val="24"/>
        </w:rPr>
        <w:t>sharing economy (SE)</w:t>
      </w:r>
      <w:r w:rsidR="00717A50">
        <w:rPr>
          <w:rFonts w:cs="Times New Roman"/>
          <w:szCs w:val="24"/>
        </w:rPr>
        <w:t>,</w:t>
      </w:r>
      <w:r w:rsidRPr="00194B7F">
        <w:rPr>
          <w:rFonts w:cs="Times New Roman"/>
          <w:szCs w:val="24"/>
        </w:rPr>
        <w:t xml:space="preserve"> where platform business success </w:t>
      </w:r>
      <w:r w:rsidR="005666AA">
        <w:rPr>
          <w:rFonts w:cs="Times New Roman"/>
          <w:szCs w:val="24"/>
        </w:rPr>
        <w:t>d</w:t>
      </w:r>
      <w:r w:rsidRPr="00194B7F">
        <w:rPr>
          <w:rFonts w:cs="Times New Roman"/>
          <w:szCs w:val="24"/>
        </w:rPr>
        <w:t>epend</w:t>
      </w:r>
      <w:r w:rsidR="005666AA">
        <w:rPr>
          <w:rFonts w:cs="Times New Roman"/>
          <w:szCs w:val="24"/>
        </w:rPr>
        <w:t>s</w:t>
      </w:r>
      <w:r w:rsidRPr="00194B7F">
        <w:rPr>
          <w:rFonts w:cs="Times New Roman"/>
          <w:szCs w:val="24"/>
        </w:rPr>
        <w:t xml:space="preserve"> on high levels of engagement by</w:t>
      </w:r>
      <w:r w:rsidR="005666AA">
        <w:rPr>
          <w:rFonts w:cs="Times New Roman"/>
          <w:szCs w:val="24"/>
        </w:rPr>
        <w:t xml:space="preserve"> users – both </w:t>
      </w:r>
      <w:r w:rsidRPr="00194B7F">
        <w:rPr>
          <w:rFonts w:cs="Times New Roman"/>
          <w:szCs w:val="24"/>
        </w:rPr>
        <w:t>individual</w:t>
      </w:r>
      <w:r w:rsidR="002247CD">
        <w:rPr>
          <w:rFonts w:cs="Times New Roman"/>
          <w:szCs w:val="24"/>
        </w:rPr>
        <w:t>s</w:t>
      </w:r>
      <w:r w:rsidRPr="00194B7F">
        <w:rPr>
          <w:rFonts w:cs="Times New Roman"/>
          <w:szCs w:val="24"/>
        </w:rPr>
        <w:t xml:space="preserve"> and </w:t>
      </w:r>
      <w:r w:rsidR="00474FAE">
        <w:rPr>
          <w:rFonts w:cs="Times New Roman"/>
          <w:szCs w:val="24"/>
        </w:rPr>
        <w:t>collectives</w:t>
      </w:r>
      <w:r w:rsidR="00717A50">
        <w:rPr>
          <w:rFonts w:cs="Times New Roman"/>
          <w:szCs w:val="24"/>
        </w:rPr>
        <w:t>.</w:t>
      </w:r>
      <w:r w:rsidRPr="00194B7F">
        <w:rPr>
          <w:rFonts w:cs="Times New Roman"/>
          <w:szCs w:val="24"/>
        </w:rPr>
        <w:t xml:space="preserve"> </w:t>
      </w:r>
      <w:r w:rsidR="001C60E6">
        <w:rPr>
          <w:rFonts w:cs="Times New Roman"/>
          <w:szCs w:val="24"/>
        </w:rPr>
        <w:t>T</w:t>
      </w:r>
      <w:r w:rsidRPr="00194B7F">
        <w:rPr>
          <w:rFonts w:cs="Times New Roman"/>
          <w:szCs w:val="24"/>
        </w:rPr>
        <w:t xml:space="preserve">he study </w:t>
      </w:r>
      <w:r w:rsidR="00C840D3">
        <w:rPr>
          <w:rFonts w:cs="Times New Roman"/>
          <w:szCs w:val="24"/>
        </w:rPr>
        <w:t>argues</w:t>
      </w:r>
      <w:r w:rsidR="00C840D3" w:rsidRPr="00194B7F">
        <w:rPr>
          <w:rFonts w:cs="Times New Roman"/>
          <w:szCs w:val="24"/>
        </w:rPr>
        <w:t xml:space="preserve"> </w:t>
      </w:r>
      <w:r w:rsidRPr="00194B7F">
        <w:rPr>
          <w:rFonts w:cs="Times New Roman"/>
          <w:szCs w:val="24"/>
        </w:rPr>
        <w:t xml:space="preserve">individual PO </w:t>
      </w:r>
      <w:r w:rsidR="0005372F">
        <w:rPr>
          <w:rFonts w:cs="Times New Roman"/>
          <w:szCs w:val="24"/>
        </w:rPr>
        <w:t xml:space="preserve">acts </w:t>
      </w:r>
      <w:r w:rsidRPr="00194B7F">
        <w:rPr>
          <w:rFonts w:cs="Times New Roman"/>
          <w:szCs w:val="24"/>
        </w:rPr>
        <w:t xml:space="preserve">as the antecedent to engagement within a dyad of brand and user, </w:t>
      </w:r>
      <w:r w:rsidRPr="00194B7F">
        <w:rPr>
          <w:rFonts w:cs="Times New Roman"/>
          <w:szCs w:val="24"/>
          <w:lang w:val="en-AU"/>
        </w:rPr>
        <w:t xml:space="preserve">and collective PO as the antecedent to collective engagement by communities of users. </w:t>
      </w:r>
    </w:p>
    <w:p w14:paraId="674AB280" w14:textId="77777777" w:rsidR="00590E81" w:rsidRPr="00194B7F" w:rsidRDefault="00590E81" w:rsidP="00590E81">
      <w:pPr>
        <w:spacing w:after="0"/>
        <w:rPr>
          <w:rFonts w:cs="Times New Roman"/>
          <w:b/>
          <w:bCs/>
          <w:szCs w:val="24"/>
        </w:rPr>
      </w:pPr>
    </w:p>
    <w:p w14:paraId="37AECD9D" w14:textId="77777777" w:rsidR="00590E81" w:rsidRPr="00194B7F" w:rsidRDefault="00590E81" w:rsidP="00590E81">
      <w:pPr>
        <w:spacing w:after="0"/>
        <w:rPr>
          <w:rFonts w:cs="Times New Roman"/>
          <w:szCs w:val="24"/>
        </w:rPr>
      </w:pPr>
      <w:r w:rsidRPr="00194B7F">
        <w:rPr>
          <w:rFonts w:cs="Times New Roman"/>
          <w:b/>
          <w:bCs/>
          <w:szCs w:val="24"/>
        </w:rPr>
        <w:t xml:space="preserve">Design/methodology/approach </w:t>
      </w:r>
      <w:r w:rsidRPr="00194B7F">
        <w:rPr>
          <w:rFonts w:cs="Times New Roman"/>
          <w:szCs w:val="24"/>
        </w:rPr>
        <w:t xml:space="preserve">– This conceptual study synthesizes PO theory and engagement theory to produce a PO-Engagement Framework. We adopt a dual-level perspective encompassing individual- and group-level phenomena in the SE and employ examples from practice to illustrate our arguments.  </w:t>
      </w:r>
    </w:p>
    <w:p w14:paraId="4812D634" w14:textId="77777777" w:rsidR="00590E81" w:rsidRPr="00194B7F" w:rsidRDefault="00590E81" w:rsidP="00590E81">
      <w:pPr>
        <w:spacing w:after="0"/>
        <w:rPr>
          <w:rFonts w:cs="Times New Roman"/>
          <w:b/>
          <w:bCs/>
          <w:szCs w:val="24"/>
        </w:rPr>
      </w:pPr>
    </w:p>
    <w:p w14:paraId="15B05E63" w14:textId="7A513AB1" w:rsidR="00590E81" w:rsidRPr="00194B7F" w:rsidRDefault="00590E81" w:rsidP="00590E81">
      <w:pPr>
        <w:spacing w:after="0"/>
        <w:rPr>
          <w:rFonts w:cs="Times New Roman"/>
          <w:bCs/>
          <w:color w:val="000000" w:themeColor="text1"/>
          <w:szCs w:val="24"/>
        </w:rPr>
      </w:pPr>
      <w:r w:rsidRPr="00194B7F">
        <w:rPr>
          <w:rFonts w:cs="Times New Roman"/>
          <w:b/>
          <w:bCs/>
          <w:szCs w:val="24"/>
        </w:rPr>
        <w:t xml:space="preserve">Findings </w:t>
      </w:r>
      <w:r w:rsidRPr="00194B7F">
        <w:rPr>
          <w:rFonts w:cs="Times New Roman"/>
          <w:szCs w:val="24"/>
        </w:rPr>
        <w:t xml:space="preserve">– PO acts as </w:t>
      </w:r>
      <w:r w:rsidR="003748AB">
        <w:rPr>
          <w:rFonts w:cs="Times New Roman"/>
          <w:szCs w:val="24"/>
        </w:rPr>
        <w:t>the</w:t>
      </w:r>
      <w:r w:rsidRPr="00194B7F">
        <w:rPr>
          <w:rFonts w:cs="Times New Roman"/>
          <w:szCs w:val="24"/>
        </w:rPr>
        <w:t xml:space="preserve"> antecedent to the positively </w:t>
      </w:r>
      <w:proofErr w:type="spellStart"/>
      <w:r w:rsidRPr="00194B7F">
        <w:rPr>
          <w:rFonts w:cs="Times New Roman"/>
          <w:szCs w:val="24"/>
        </w:rPr>
        <w:t>valenced</w:t>
      </w:r>
      <w:proofErr w:type="spellEnd"/>
      <w:r w:rsidRPr="00194B7F">
        <w:rPr>
          <w:rFonts w:cs="Times New Roman"/>
          <w:szCs w:val="24"/>
        </w:rPr>
        <w:t xml:space="preserve"> disposition and engagement activities of actor</w:t>
      </w:r>
      <w:r w:rsidR="00275194">
        <w:rPr>
          <w:rFonts w:cs="Times New Roman"/>
          <w:szCs w:val="24"/>
        </w:rPr>
        <w:t>s</w:t>
      </w:r>
      <w:r w:rsidRPr="00194B7F">
        <w:rPr>
          <w:rFonts w:cs="Times New Roman"/>
          <w:szCs w:val="24"/>
        </w:rPr>
        <w:t xml:space="preserve"> in the SE. Individual PO manifests as engagement within a dyad of brand and </w:t>
      </w:r>
      <w:r w:rsidR="006A7913">
        <w:rPr>
          <w:rFonts w:cs="Times New Roman"/>
          <w:szCs w:val="24"/>
        </w:rPr>
        <w:t>user.</w:t>
      </w:r>
      <w:r w:rsidRPr="00194B7F">
        <w:rPr>
          <w:rFonts w:cs="Times New Roman"/>
          <w:szCs w:val="24"/>
        </w:rPr>
        <w:t xml:space="preserve"> </w:t>
      </w:r>
      <w:r w:rsidR="00F85FD5">
        <w:rPr>
          <w:rFonts w:cs="Times New Roman"/>
          <w:szCs w:val="24"/>
        </w:rPr>
        <w:t>Outcomes include</w:t>
      </w:r>
      <w:r w:rsidRPr="00194B7F">
        <w:rPr>
          <w:rFonts w:cs="Times New Roman"/>
          <w:szCs w:val="24"/>
        </w:rPr>
        <w:t xml:space="preserve"> brand love and contributions to brand reputation and service offerings. Collective PO manifests as engagement within a community or collective</w:t>
      </w:r>
      <w:r w:rsidR="00F85FD5">
        <w:rPr>
          <w:rFonts w:cs="Times New Roman"/>
          <w:szCs w:val="24"/>
        </w:rPr>
        <w:t>. Outcomes</w:t>
      </w:r>
      <w:r w:rsidRPr="00194B7F">
        <w:rPr>
          <w:rFonts w:cs="Times New Roman"/>
          <w:szCs w:val="24"/>
        </w:rPr>
        <w:t xml:space="preserve"> include community-oriented peer-to-peer sharing for the benefit of others.</w:t>
      </w:r>
    </w:p>
    <w:p w14:paraId="2A21B91C" w14:textId="77777777" w:rsidR="00590E81" w:rsidRPr="00194B7F" w:rsidRDefault="00590E81" w:rsidP="00590E81">
      <w:pPr>
        <w:spacing w:after="0"/>
        <w:rPr>
          <w:rFonts w:cs="Times New Roman"/>
          <w:b/>
          <w:bCs/>
          <w:szCs w:val="24"/>
        </w:rPr>
      </w:pPr>
    </w:p>
    <w:p w14:paraId="6AC7230A" w14:textId="1CAAED9D" w:rsidR="00590E81" w:rsidRPr="00194B7F" w:rsidRDefault="00590E81" w:rsidP="00590E81">
      <w:pPr>
        <w:spacing w:after="0"/>
        <w:rPr>
          <w:rFonts w:cs="Times New Roman"/>
          <w:szCs w:val="24"/>
        </w:rPr>
      </w:pPr>
      <w:r w:rsidRPr="00194B7F">
        <w:rPr>
          <w:rFonts w:cs="Times New Roman"/>
          <w:b/>
          <w:bCs/>
          <w:szCs w:val="24"/>
        </w:rPr>
        <w:t xml:space="preserve">Originality/value </w:t>
      </w:r>
      <w:r w:rsidRPr="00194B7F">
        <w:rPr>
          <w:rFonts w:cs="Times New Roman"/>
          <w:szCs w:val="24"/>
        </w:rPr>
        <w:t>–</w:t>
      </w:r>
      <w:bookmarkStart w:id="2" w:name="_Toc453553024"/>
      <w:r w:rsidRPr="00194B7F">
        <w:rPr>
          <w:rFonts w:cs="Times New Roman"/>
          <w:szCs w:val="24"/>
        </w:rPr>
        <w:t xml:space="preserve"> This study offers a dynamic framework of PO and engagement in the SE, the PO-Engagement Framework. We contribute to</w:t>
      </w:r>
      <w:r w:rsidR="005411B6">
        <w:rPr>
          <w:rFonts w:cs="Times New Roman"/>
          <w:szCs w:val="24"/>
        </w:rPr>
        <w:t xml:space="preserve"> PO and engagement</w:t>
      </w:r>
      <w:r w:rsidRPr="00194B7F">
        <w:rPr>
          <w:rFonts w:cs="Times New Roman"/>
          <w:szCs w:val="24"/>
        </w:rPr>
        <w:t xml:space="preserve"> literatures</w:t>
      </w:r>
      <w:r w:rsidR="000A1A0A">
        <w:rPr>
          <w:rFonts w:cs="Times New Roman"/>
          <w:szCs w:val="24"/>
        </w:rPr>
        <w:t xml:space="preserve"> in marketing </w:t>
      </w:r>
      <w:r w:rsidRPr="00194B7F">
        <w:rPr>
          <w:rFonts w:cs="Times New Roman"/>
          <w:szCs w:val="24"/>
        </w:rPr>
        <w:t xml:space="preserve">by illustrating how a platform user’s attachment to targets in the SE motivates emergence of PO, and how different types of engagement manifest from different types of PO. </w:t>
      </w:r>
    </w:p>
    <w:p w14:paraId="7498157D" w14:textId="77777777" w:rsidR="00590E81" w:rsidRPr="00194B7F" w:rsidRDefault="00590E81" w:rsidP="00590E81">
      <w:pPr>
        <w:spacing w:after="0"/>
        <w:rPr>
          <w:rFonts w:cs="Times New Roman"/>
          <w:szCs w:val="24"/>
        </w:rPr>
      </w:pPr>
    </w:p>
    <w:p w14:paraId="097D5B1E" w14:textId="526F388E" w:rsidR="00590E81" w:rsidRPr="00194B7F" w:rsidRDefault="00590E81" w:rsidP="00590E81">
      <w:pPr>
        <w:spacing w:after="0"/>
        <w:rPr>
          <w:rFonts w:cs="Times New Roman"/>
          <w:szCs w:val="24"/>
        </w:rPr>
      </w:pPr>
      <w:r w:rsidRPr="00194B7F">
        <w:rPr>
          <w:rFonts w:cs="Times New Roman"/>
          <w:b/>
          <w:szCs w:val="24"/>
        </w:rPr>
        <w:t>Keywords</w:t>
      </w:r>
      <w:bookmarkStart w:id="3" w:name="_Toc453553025"/>
      <w:bookmarkEnd w:id="2"/>
      <w:r w:rsidRPr="00194B7F">
        <w:rPr>
          <w:rFonts w:cs="Times New Roman"/>
          <w:b/>
          <w:szCs w:val="24"/>
        </w:rPr>
        <w:t xml:space="preserve"> – </w:t>
      </w:r>
      <w:r w:rsidRPr="00194B7F">
        <w:rPr>
          <w:rFonts w:cs="Times New Roman"/>
          <w:bCs/>
          <w:szCs w:val="24"/>
        </w:rPr>
        <w:t>s</w:t>
      </w:r>
      <w:r w:rsidRPr="00194B7F">
        <w:rPr>
          <w:rFonts w:cs="Times New Roman"/>
          <w:bCs/>
          <w:color w:val="000000" w:themeColor="text1"/>
          <w:szCs w:val="24"/>
        </w:rPr>
        <w:t xml:space="preserve">haring economy, individual psychological ownership, collective psychological ownership, customer engagement, actor engagement, collective engagement, platform </w:t>
      </w:r>
      <w:r w:rsidR="00EA733D">
        <w:rPr>
          <w:rFonts w:cs="Times New Roman"/>
          <w:bCs/>
          <w:color w:val="000000" w:themeColor="text1"/>
          <w:szCs w:val="24"/>
        </w:rPr>
        <w:t>success</w:t>
      </w:r>
      <w:r w:rsidR="007005E4">
        <w:rPr>
          <w:rFonts w:cs="Times New Roman"/>
          <w:bCs/>
          <w:color w:val="000000" w:themeColor="text1"/>
          <w:szCs w:val="24"/>
        </w:rPr>
        <w:t>, antecedents</w:t>
      </w:r>
      <w:r w:rsidR="00522139">
        <w:rPr>
          <w:rFonts w:cs="Times New Roman"/>
          <w:bCs/>
          <w:color w:val="000000" w:themeColor="text1"/>
          <w:szCs w:val="24"/>
        </w:rPr>
        <w:t xml:space="preserve"> to engagement</w:t>
      </w:r>
    </w:p>
    <w:p w14:paraId="291D475F" w14:textId="77777777" w:rsidR="00590E81" w:rsidRPr="00194B7F" w:rsidRDefault="00590E81" w:rsidP="00590E81">
      <w:pPr>
        <w:spacing w:after="0"/>
        <w:rPr>
          <w:rFonts w:cs="Times New Roman"/>
          <w:b/>
          <w:szCs w:val="24"/>
        </w:rPr>
      </w:pPr>
    </w:p>
    <w:p w14:paraId="6347C733" w14:textId="77777777" w:rsidR="00590E81" w:rsidRDefault="00590E81" w:rsidP="00590E81">
      <w:r w:rsidRPr="00194B7F">
        <w:rPr>
          <w:rFonts w:cs="Times New Roman"/>
          <w:b/>
          <w:szCs w:val="24"/>
        </w:rPr>
        <w:t>Paper Type</w:t>
      </w:r>
      <w:bookmarkEnd w:id="3"/>
      <w:r w:rsidRPr="00194B7F">
        <w:rPr>
          <w:rFonts w:cs="Times New Roman"/>
          <w:b/>
          <w:szCs w:val="24"/>
        </w:rPr>
        <w:t xml:space="preserve">: </w:t>
      </w:r>
      <w:r w:rsidRPr="00194B7F">
        <w:rPr>
          <w:rFonts w:cs="Times New Roman"/>
          <w:szCs w:val="24"/>
        </w:rPr>
        <w:t>Conceptual paper</w:t>
      </w:r>
    </w:p>
    <w:p w14:paraId="7C206515" w14:textId="77777777" w:rsidR="00590E81" w:rsidRDefault="00590E81" w:rsidP="00A13A1B">
      <w:pPr>
        <w:spacing w:after="0"/>
        <w:rPr>
          <w:b/>
          <w:bCs/>
          <w:lang w:val="en-US"/>
        </w:rPr>
        <w:sectPr w:rsidR="00590E81" w:rsidSect="00DC1AE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titlePg/>
          <w:docGrid w:linePitch="360"/>
        </w:sectPr>
      </w:pPr>
    </w:p>
    <w:p w14:paraId="024E3D47" w14:textId="37D18677" w:rsidR="00A13A1B" w:rsidRPr="005F2A26" w:rsidRDefault="00A13A1B" w:rsidP="00A13A1B">
      <w:pPr>
        <w:spacing w:after="0"/>
        <w:rPr>
          <w:b/>
          <w:bCs/>
          <w:lang w:val="en-US"/>
        </w:rPr>
      </w:pPr>
      <w:r w:rsidRPr="005F2A26">
        <w:rPr>
          <w:b/>
          <w:bCs/>
          <w:lang w:val="en-US"/>
        </w:rPr>
        <w:lastRenderedPageBreak/>
        <w:t>Engaging users in the sharing economy: Individual and collective psychological ownership as antecedents to actor engagement</w:t>
      </w:r>
    </w:p>
    <w:p w14:paraId="7A5CF868" w14:textId="77777777" w:rsidR="00A13A1B" w:rsidRPr="005F2A26" w:rsidRDefault="00A13A1B" w:rsidP="00A13A1B">
      <w:pPr>
        <w:spacing w:after="0"/>
        <w:rPr>
          <w:b/>
          <w:bCs/>
          <w:lang w:val="en-US"/>
        </w:rPr>
      </w:pPr>
    </w:p>
    <w:p w14:paraId="33867835" w14:textId="0DFB3CED" w:rsidR="00C44216" w:rsidRPr="005F2A26" w:rsidRDefault="00C44216" w:rsidP="00C93EC4">
      <w:pPr>
        <w:spacing w:after="0" w:line="480" w:lineRule="auto"/>
        <w:rPr>
          <w:b/>
          <w:bCs/>
          <w:lang w:val="en-US"/>
        </w:rPr>
      </w:pPr>
      <w:r w:rsidRPr="005F2A26">
        <w:rPr>
          <w:b/>
          <w:bCs/>
          <w:lang w:val="en-US"/>
        </w:rPr>
        <w:t>Introduction</w:t>
      </w:r>
    </w:p>
    <w:p w14:paraId="1E7AFF1C" w14:textId="033137C1" w:rsidR="00CC554B" w:rsidRPr="005F2A26" w:rsidRDefault="000D5A20" w:rsidP="00723159">
      <w:pPr>
        <w:autoSpaceDE w:val="0"/>
        <w:autoSpaceDN w:val="0"/>
        <w:adjustRightInd w:val="0"/>
        <w:spacing w:after="0" w:line="480" w:lineRule="auto"/>
        <w:rPr>
          <w:rFonts w:cs="Times New Roman"/>
          <w:szCs w:val="24"/>
          <w:lang w:val="en-US"/>
        </w:rPr>
      </w:pPr>
      <w:bookmarkStart w:id="4" w:name="_Hlk36371239"/>
      <w:r w:rsidRPr="005F2A26">
        <w:rPr>
          <w:rFonts w:cs="Times New Roman"/>
          <w:szCs w:val="24"/>
          <w:lang w:val="en-US"/>
        </w:rPr>
        <w:t xml:space="preserve">Two theories have become a major focus of marketing scholars </w:t>
      </w:r>
      <w:r w:rsidR="00803B56" w:rsidRPr="005F2A26">
        <w:rPr>
          <w:rFonts w:cs="Times New Roman"/>
          <w:szCs w:val="24"/>
          <w:lang w:val="en-US"/>
        </w:rPr>
        <w:t>over</w:t>
      </w:r>
      <w:r w:rsidRPr="005F2A26">
        <w:rPr>
          <w:rFonts w:cs="Times New Roman"/>
          <w:szCs w:val="24"/>
          <w:lang w:val="en-US"/>
        </w:rPr>
        <w:t xml:space="preserve"> the last decade</w:t>
      </w:r>
      <w:r w:rsidR="006A74BC" w:rsidRPr="005F2A26">
        <w:rPr>
          <w:rFonts w:cs="Times New Roman"/>
          <w:szCs w:val="24"/>
          <w:lang w:val="en-US"/>
        </w:rPr>
        <w:t xml:space="preserve"> –</w:t>
      </w:r>
      <w:r w:rsidR="0062068C" w:rsidRPr="005F2A26">
        <w:rPr>
          <w:rFonts w:cs="Times New Roman"/>
          <w:szCs w:val="24"/>
          <w:lang w:val="en-US"/>
        </w:rPr>
        <w:t xml:space="preserve"> </w:t>
      </w:r>
      <w:r w:rsidR="00043387" w:rsidRPr="005F2A26">
        <w:rPr>
          <w:rFonts w:cs="Times New Roman"/>
          <w:szCs w:val="24"/>
          <w:lang w:val="en-US"/>
        </w:rPr>
        <w:t>‘</w:t>
      </w:r>
      <w:r w:rsidR="006A74BC" w:rsidRPr="005F2A26">
        <w:rPr>
          <w:rFonts w:cs="Times New Roman"/>
          <w:szCs w:val="24"/>
          <w:lang w:val="en-US"/>
        </w:rPr>
        <w:t>engagement</w:t>
      </w:r>
      <w:r w:rsidR="00043387" w:rsidRPr="005F2A26">
        <w:rPr>
          <w:rFonts w:cs="Times New Roman"/>
          <w:szCs w:val="24"/>
          <w:lang w:val="en-US"/>
        </w:rPr>
        <w:t>’</w:t>
      </w:r>
      <w:r w:rsidR="0062068C" w:rsidRPr="005F2A26">
        <w:rPr>
          <w:rFonts w:cs="Times New Roman"/>
          <w:szCs w:val="24"/>
          <w:lang w:val="en-US"/>
        </w:rPr>
        <w:t xml:space="preserve"> </w:t>
      </w:r>
      <w:r w:rsidR="006A74BC" w:rsidRPr="005F2A26">
        <w:rPr>
          <w:rFonts w:cs="Times New Roman"/>
          <w:szCs w:val="24"/>
          <w:lang w:val="en-US"/>
        </w:rPr>
        <w:t xml:space="preserve">(e.g., Brodie </w:t>
      </w:r>
      <w:r w:rsidR="00957690" w:rsidRPr="00957690">
        <w:rPr>
          <w:rFonts w:cs="Times New Roman"/>
          <w:i/>
          <w:iCs/>
          <w:szCs w:val="24"/>
          <w:lang w:val="en-US"/>
        </w:rPr>
        <w:t>et al.</w:t>
      </w:r>
      <w:r w:rsidR="006A74BC" w:rsidRPr="005F2A26">
        <w:rPr>
          <w:rFonts w:cs="Times New Roman"/>
          <w:szCs w:val="24"/>
          <w:lang w:val="en-US"/>
        </w:rPr>
        <w:t xml:space="preserve">, 2013; 2019; </w:t>
      </w:r>
      <w:proofErr w:type="spellStart"/>
      <w:r w:rsidR="006A74BC" w:rsidRPr="005F2A26">
        <w:rPr>
          <w:rFonts w:cs="Times New Roman"/>
          <w:szCs w:val="24"/>
          <w:lang w:val="en-US"/>
        </w:rPr>
        <w:t>Hollebeek</w:t>
      </w:r>
      <w:proofErr w:type="spellEnd"/>
      <w:r w:rsidR="006A74BC" w:rsidRPr="005F2A26">
        <w:rPr>
          <w:rFonts w:cs="Times New Roman"/>
          <w:szCs w:val="24"/>
          <w:lang w:val="en-US"/>
        </w:rPr>
        <w:t xml:space="preserve"> </w:t>
      </w:r>
      <w:r w:rsidR="00957690" w:rsidRPr="00957690">
        <w:rPr>
          <w:rFonts w:cs="Times New Roman"/>
          <w:i/>
          <w:iCs/>
          <w:szCs w:val="24"/>
          <w:lang w:val="en-US"/>
        </w:rPr>
        <w:t>et al.</w:t>
      </w:r>
      <w:r w:rsidR="006A74BC" w:rsidRPr="005F2A26">
        <w:rPr>
          <w:rFonts w:cs="Times New Roman"/>
          <w:szCs w:val="24"/>
          <w:lang w:val="en-US"/>
        </w:rPr>
        <w:t xml:space="preserve">, 2014) and </w:t>
      </w:r>
      <w:r w:rsidR="00043387" w:rsidRPr="005F2A26">
        <w:rPr>
          <w:rFonts w:cs="Times New Roman"/>
          <w:szCs w:val="24"/>
          <w:lang w:val="en-US"/>
        </w:rPr>
        <w:t>‘</w:t>
      </w:r>
      <w:r w:rsidR="006A74BC" w:rsidRPr="005F2A26">
        <w:rPr>
          <w:rFonts w:cs="Times New Roman"/>
          <w:szCs w:val="24"/>
          <w:lang w:val="en-US"/>
        </w:rPr>
        <w:t>psychological ownership</w:t>
      </w:r>
      <w:r w:rsidR="00043387" w:rsidRPr="005F2A26">
        <w:rPr>
          <w:rFonts w:cs="Times New Roman"/>
          <w:szCs w:val="24"/>
          <w:lang w:val="en-US"/>
        </w:rPr>
        <w:t>’</w:t>
      </w:r>
      <w:r w:rsidR="0062068C" w:rsidRPr="005F2A26">
        <w:rPr>
          <w:rFonts w:cs="Times New Roman"/>
          <w:szCs w:val="24"/>
          <w:lang w:val="en-US"/>
        </w:rPr>
        <w:t xml:space="preserve"> (PO) </w:t>
      </w:r>
      <w:r w:rsidRPr="005F2A26">
        <w:rPr>
          <w:rFonts w:cs="Times New Roman"/>
          <w:szCs w:val="24"/>
          <w:lang w:val="en-US"/>
        </w:rPr>
        <w:t>(</w:t>
      </w:r>
      <w:r w:rsidR="00336A54" w:rsidRPr="005F2A26">
        <w:rPr>
          <w:rFonts w:cs="Times New Roman"/>
          <w:szCs w:val="24"/>
          <w:lang w:val="en-US"/>
        </w:rPr>
        <w:t xml:space="preserve">e.g., </w:t>
      </w:r>
      <w:proofErr w:type="spellStart"/>
      <w:r w:rsidRPr="005F2A26">
        <w:rPr>
          <w:rFonts w:cs="Times New Roman"/>
          <w:szCs w:val="24"/>
          <w:lang w:val="en-US"/>
        </w:rPr>
        <w:t>Jussila</w:t>
      </w:r>
      <w:proofErr w:type="spellEnd"/>
      <w:r w:rsidRPr="005F2A26">
        <w:rPr>
          <w:rFonts w:cs="Times New Roman"/>
          <w:szCs w:val="24"/>
          <w:lang w:val="en-US"/>
        </w:rPr>
        <w:t xml:space="preserve"> </w:t>
      </w:r>
      <w:r w:rsidR="00957690" w:rsidRPr="00957690">
        <w:rPr>
          <w:rFonts w:cs="Times New Roman"/>
          <w:i/>
          <w:iCs/>
          <w:szCs w:val="24"/>
          <w:lang w:val="en-US"/>
        </w:rPr>
        <w:t>et al.</w:t>
      </w:r>
      <w:r w:rsidRPr="005F2A26">
        <w:rPr>
          <w:rFonts w:cs="Times New Roman"/>
          <w:szCs w:val="24"/>
          <w:lang w:val="en-US"/>
        </w:rPr>
        <w:t>, 2015</w:t>
      </w:r>
      <w:r w:rsidR="008B0EA6" w:rsidRPr="005F2A26">
        <w:rPr>
          <w:rFonts w:cs="Times New Roman"/>
          <w:szCs w:val="24"/>
          <w:lang w:val="en-US"/>
        </w:rPr>
        <w:t xml:space="preserve">; Pierce </w:t>
      </w:r>
      <w:r w:rsidR="00957690" w:rsidRPr="00957690">
        <w:rPr>
          <w:rFonts w:cs="Times New Roman"/>
          <w:i/>
          <w:iCs/>
          <w:szCs w:val="24"/>
          <w:lang w:val="en-US"/>
        </w:rPr>
        <w:t>et al.</w:t>
      </w:r>
      <w:r w:rsidR="008B0EA6" w:rsidRPr="005F2A26">
        <w:rPr>
          <w:rFonts w:cs="Times New Roman"/>
          <w:szCs w:val="24"/>
          <w:lang w:val="en-US"/>
        </w:rPr>
        <w:t>, 2003</w:t>
      </w:r>
      <w:r w:rsidRPr="005F2A26">
        <w:rPr>
          <w:rFonts w:cs="Times New Roman"/>
          <w:szCs w:val="24"/>
          <w:lang w:val="en-US"/>
        </w:rPr>
        <w:t xml:space="preserve">). </w:t>
      </w:r>
      <w:r w:rsidR="00336A54" w:rsidRPr="005F2A26">
        <w:rPr>
          <w:rFonts w:cs="Times New Roman"/>
          <w:szCs w:val="24"/>
          <w:lang w:val="en-US"/>
        </w:rPr>
        <w:t>First, e</w:t>
      </w:r>
      <w:r w:rsidRPr="005F2A26">
        <w:rPr>
          <w:rFonts w:cs="Times New Roman"/>
          <w:szCs w:val="24"/>
          <w:lang w:val="en-US"/>
        </w:rPr>
        <w:t xml:space="preserve">ngagement theory </w:t>
      </w:r>
      <w:r w:rsidR="00043387" w:rsidRPr="005F2A26">
        <w:rPr>
          <w:rFonts w:cs="Times New Roman"/>
          <w:szCs w:val="24"/>
          <w:lang w:val="en-US"/>
        </w:rPr>
        <w:t>explore</w:t>
      </w:r>
      <w:r w:rsidR="00D84290" w:rsidRPr="005F2A26">
        <w:rPr>
          <w:rFonts w:cs="Times New Roman"/>
          <w:szCs w:val="24"/>
          <w:lang w:val="en-US"/>
        </w:rPr>
        <w:t>s</w:t>
      </w:r>
      <w:r w:rsidR="00043387" w:rsidRPr="005F2A26">
        <w:rPr>
          <w:rFonts w:cs="Times New Roman"/>
          <w:szCs w:val="24"/>
          <w:lang w:val="en-US"/>
        </w:rPr>
        <w:t xml:space="preserve"> </w:t>
      </w:r>
      <w:r w:rsidR="007670DD" w:rsidRPr="005F2A26">
        <w:rPr>
          <w:rFonts w:cs="Times New Roman"/>
          <w:szCs w:val="24"/>
          <w:lang w:val="en-US"/>
        </w:rPr>
        <w:t xml:space="preserve">the </w:t>
      </w:r>
      <w:r w:rsidR="003D5789" w:rsidRPr="005F2A26">
        <w:rPr>
          <w:rFonts w:cs="Times New Roman"/>
          <w:lang w:val="en-US"/>
        </w:rPr>
        <w:t xml:space="preserve">positively </w:t>
      </w:r>
      <w:proofErr w:type="spellStart"/>
      <w:r w:rsidR="003D5789" w:rsidRPr="005F2A26">
        <w:rPr>
          <w:rFonts w:cs="Times New Roman"/>
          <w:lang w:val="en-US"/>
        </w:rPr>
        <w:t>valenced</w:t>
      </w:r>
      <w:proofErr w:type="spellEnd"/>
      <w:r w:rsidR="006A74BC" w:rsidRPr="005F2A26">
        <w:rPr>
          <w:rFonts w:cs="Times New Roman"/>
          <w:lang w:val="en-US"/>
        </w:rPr>
        <w:t xml:space="preserve"> cognitive, </w:t>
      </w:r>
      <w:r w:rsidR="00DD392F" w:rsidRPr="005F2A26">
        <w:rPr>
          <w:rFonts w:cs="Times New Roman"/>
          <w:lang w:val="en-US"/>
        </w:rPr>
        <w:t xml:space="preserve">affective, and </w:t>
      </w:r>
      <w:r w:rsidR="006A74BC" w:rsidRPr="005F2A26">
        <w:rPr>
          <w:rFonts w:cs="Times New Roman"/>
          <w:lang w:val="en-US"/>
        </w:rPr>
        <w:t>behavioral disposition</w:t>
      </w:r>
      <w:r w:rsidR="007670DD" w:rsidRPr="005F2A26">
        <w:rPr>
          <w:rFonts w:cs="Times New Roman"/>
          <w:lang w:val="en-US"/>
        </w:rPr>
        <w:t xml:space="preserve"> and activities</w:t>
      </w:r>
      <w:r w:rsidR="00B92715" w:rsidRPr="005F2A26">
        <w:rPr>
          <w:rFonts w:cs="Times New Roman"/>
          <w:lang w:val="en-US"/>
        </w:rPr>
        <w:t xml:space="preserve"> </w:t>
      </w:r>
      <w:r w:rsidR="009315E3" w:rsidRPr="005F2A26">
        <w:rPr>
          <w:rFonts w:cs="Times New Roman"/>
          <w:lang w:val="en-US"/>
        </w:rPr>
        <w:t>of</w:t>
      </w:r>
      <w:r w:rsidR="007670DD" w:rsidRPr="005F2A26">
        <w:rPr>
          <w:rFonts w:cs="Times New Roman"/>
          <w:lang w:val="en-US"/>
        </w:rPr>
        <w:t xml:space="preserve"> </w:t>
      </w:r>
      <w:r w:rsidR="009315E3" w:rsidRPr="005F2A26">
        <w:rPr>
          <w:rFonts w:cs="Times New Roman"/>
          <w:lang w:val="en-US"/>
        </w:rPr>
        <w:t xml:space="preserve">an </w:t>
      </w:r>
      <w:r w:rsidR="007670DD" w:rsidRPr="005F2A26">
        <w:rPr>
          <w:rFonts w:cs="Times New Roman"/>
          <w:lang w:val="en-US"/>
        </w:rPr>
        <w:t xml:space="preserve">actor </w:t>
      </w:r>
      <w:r w:rsidR="006A74BC" w:rsidRPr="005F2A26">
        <w:rPr>
          <w:rFonts w:cs="Times New Roman"/>
          <w:lang w:val="en-US"/>
        </w:rPr>
        <w:t xml:space="preserve">towards a </w:t>
      </w:r>
      <w:r w:rsidR="006A74BC" w:rsidRPr="005F2A26">
        <w:rPr>
          <w:rFonts w:cs="Times New Roman"/>
          <w:szCs w:val="24"/>
          <w:lang w:val="en-US"/>
        </w:rPr>
        <w:t>brand</w:t>
      </w:r>
      <w:r w:rsidR="00B92715" w:rsidRPr="005F2A26">
        <w:rPr>
          <w:rFonts w:cs="Times New Roman"/>
          <w:szCs w:val="24"/>
          <w:lang w:val="en-US"/>
        </w:rPr>
        <w:t xml:space="preserve"> </w:t>
      </w:r>
      <w:r w:rsidR="00CE573A" w:rsidRPr="005F2A26">
        <w:rPr>
          <w:rFonts w:cs="Times New Roman"/>
          <w:szCs w:val="24"/>
          <w:lang w:val="en-US"/>
        </w:rPr>
        <w:t>or</w:t>
      </w:r>
      <w:r w:rsidR="006A74BC" w:rsidRPr="005F2A26">
        <w:rPr>
          <w:rFonts w:cs="Times New Roman"/>
          <w:szCs w:val="24"/>
          <w:lang w:val="en-US"/>
        </w:rPr>
        <w:t xml:space="preserve"> within</w:t>
      </w:r>
      <w:r w:rsidR="00CE573A" w:rsidRPr="005F2A26">
        <w:rPr>
          <w:rFonts w:cs="Times New Roman"/>
          <w:szCs w:val="24"/>
          <w:lang w:val="en-US"/>
        </w:rPr>
        <w:t xml:space="preserve"> a</w:t>
      </w:r>
      <w:r w:rsidR="006A74BC" w:rsidRPr="005F2A26">
        <w:rPr>
          <w:rFonts w:cs="Times New Roman"/>
          <w:szCs w:val="24"/>
          <w:lang w:val="en-US"/>
        </w:rPr>
        <w:t xml:space="preserve"> network (Brodie </w:t>
      </w:r>
      <w:r w:rsidR="00957690" w:rsidRPr="00957690">
        <w:rPr>
          <w:rFonts w:cs="Times New Roman"/>
          <w:i/>
          <w:iCs/>
          <w:szCs w:val="24"/>
          <w:lang w:val="en-US"/>
        </w:rPr>
        <w:t>et al.</w:t>
      </w:r>
      <w:r w:rsidR="006A74BC" w:rsidRPr="005F2A26">
        <w:rPr>
          <w:rFonts w:cs="Times New Roman"/>
          <w:szCs w:val="24"/>
          <w:lang w:val="en-US"/>
        </w:rPr>
        <w:t>, 201</w:t>
      </w:r>
      <w:r w:rsidR="00CE573A" w:rsidRPr="005F2A26">
        <w:rPr>
          <w:rFonts w:cs="Times New Roman"/>
          <w:szCs w:val="24"/>
          <w:lang w:val="en-US"/>
        </w:rPr>
        <w:t>9</w:t>
      </w:r>
      <w:r w:rsidR="006A74BC" w:rsidRPr="005F2A26">
        <w:rPr>
          <w:rFonts w:cs="Times New Roman"/>
          <w:szCs w:val="24"/>
          <w:lang w:val="en-US"/>
        </w:rPr>
        <w:t xml:space="preserve">). </w:t>
      </w:r>
      <w:r w:rsidR="008E3317" w:rsidRPr="005F2A26">
        <w:rPr>
          <w:rFonts w:cs="Times New Roman"/>
          <w:szCs w:val="24"/>
          <w:lang w:val="en-US"/>
        </w:rPr>
        <w:t>An en</w:t>
      </w:r>
      <w:r w:rsidR="006A74BC" w:rsidRPr="005F2A26">
        <w:rPr>
          <w:rFonts w:cs="Times New Roman"/>
          <w:szCs w:val="24"/>
          <w:lang w:val="en-US"/>
        </w:rPr>
        <w:t xml:space="preserve">gaged </w:t>
      </w:r>
      <w:r w:rsidR="00B92715" w:rsidRPr="005F2A26">
        <w:rPr>
          <w:rFonts w:cs="Times New Roman"/>
          <w:szCs w:val="24"/>
          <w:lang w:val="en-US"/>
        </w:rPr>
        <w:t>actor</w:t>
      </w:r>
      <w:r w:rsidR="006A74BC" w:rsidRPr="005F2A26">
        <w:rPr>
          <w:rFonts w:eastAsia="Calibri" w:cs="Times New Roman"/>
          <w:szCs w:val="24"/>
          <w:lang w:val="en-US"/>
        </w:rPr>
        <w:t xml:space="preserve"> invest</w:t>
      </w:r>
      <w:r w:rsidR="008E3317" w:rsidRPr="005F2A26">
        <w:rPr>
          <w:rFonts w:eastAsia="Calibri" w:cs="Times New Roman"/>
          <w:szCs w:val="24"/>
          <w:lang w:val="en-US"/>
        </w:rPr>
        <w:t>s</w:t>
      </w:r>
      <w:r w:rsidR="00336A54" w:rsidRPr="005F2A26">
        <w:rPr>
          <w:rFonts w:eastAsia="Calibri" w:cs="Times New Roman"/>
          <w:szCs w:val="24"/>
          <w:lang w:val="en-US"/>
        </w:rPr>
        <w:t xml:space="preserve"> their own</w:t>
      </w:r>
      <w:r w:rsidR="006A74BC" w:rsidRPr="005F2A26">
        <w:rPr>
          <w:rFonts w:eastAsia="Calibri" w:cs="Times New Roman"/>
          <w:szCs w:val="24"/>
          <w:lang w:val="en-US"/>
        </w:rPr>
        <w:t xml:space="preserve"> resources </w:t>
      </w:r>
      <w:r w:rsidR="006A74BC" w:rsidRPr="005F2A26">
        <w:rPr>
          <w:rFonts w:cs="Times New Roman"/>
          <w:szCs w:val="24"/>
          <w:lang w:val="en-US"/>
        </w:rPr>
        <w:t xml:space="preserve">beyond those required for just a transaction, </w:t>
      </w:r>
      <w:r w:rsidR="00CE573A" w:rsidRPr="005F2A26">
        <w:rPr>
          <w:rFonts w:cs="Times New Roman"/>
          <w:szCs w:val="24"/>
          <w:lang w:val="en-US"/>
        </w:rPr>
        <w:t xml:space="preserve">e.g., </w:t>
      </w:r>
      <w:r w:rsidR="00B92715" w:rsidRPr="005F2A26">
        <w:rPr>
          <w:rFonts w:cs="Times New Roman"/>
          <w:szCs w:val="24"/>
          <w:lang w:val="en-US"/>
        </w:rPr>
        <w:t>their</w:t>
      </w:r>
      <w:r w:rsidR="00336A54" w:rsidRPr="005F2A26">
        <w:rPr>
          <w:rFonts w:cs="Times New Roman"/>
          <w:szCs w:val="24"/>
          <w:lang w:val="en-US"/>
        </w:rPr>
        <w:t xml:space="preserve"> </w:t>
      </w:r>
      <w:r w:rsidR="006A74BC" w:rsidRPr="005F2A26">
        <w:rPr>
          <w:rFonts w:cs="Times New Roman"/>
          <w:szCs w:val="24"/>
          <w:lang w:val="en-US"/>
        </w:rPr>
        <w:t xml:space="preserve">knowledge, skills, labor, and time (Jaakkola and Alexander, 2014; </w:t>
      </w:r>
      <w:proofErr w:type="spellStart"/>
      <w:r w:rsidR="006A74BC" w:rsidRPr="005F2A26">
        <w:rPr>
          <w:rFonts w:cs="Times New Roman"/>
          <w:szCs w:val="24"/>
          <w:lang w:val="en-US"/>
        </w:rPr>
        <w:t>Verleye</w:t>
      </w:r>
      <w:proofErr w:type="spellEnd"/>
      <w:r w:rsidR="006A74BC" w:rsidRPr="005F2A26">
        <w:rPr>
          <w:rFonts w:cs="Times New Roman"/>
          <w:szCs w:val="24"/>
          <w:lang w:val="en-US"/>
        </w:rPr>
        <w:t xml:space="preserve"> </w:t>
      </w:r>
      <w:r w:rsidR="00957690" w:rsidRPr="00957690">
        <w:rPr>
          <w:rFonts w:cs="Times New Roman"/>
          <w:i/>
          <w:iCs/>
          <w:szCs w:val="24"/>
          <w:lang w:val="en-US"/>
        </w:rPr>
        <w:t>et al.</w:t>
      </w:r>
      <w:r w:rsidR="006A74BC" w:rsidRPr="005F2A26">
        <w:rPr>
          <w:rFonts w:cs="Times New Roman"/>
          <w:szCs w:val="24"/>
          <w:lang w:val="en-US"/>
        </w:rPr>
        <w:t>, 2014)</w:t>
      </w:r>
      <w:r w:rsidR="00336A54" w:rsidRPr="005F2A26">
        <w:rPr>
          <w:rFonts w:cs="Times New Roman"/>
          <w:szCs w:val="24"/>
          <w:lang w:val="en-US"/>
        </w:rPr>
        <w:t>.</w:t>
      </w:r>
      <w:r w:rsidR="00CE573A" w:rsidRPr="005F2A26">
        <w:rPr>
          <w:rFonts w:cs="Times New Roman"/>
          <w:szCs w:val="24"/>
          <w:lang w:val="en-US"/>
        </w:rPr>
        <w:t xml:space="preserve"> </w:t>
      </w:r>
      <w:r w:rsidR="000C59EA" w:rsidRPr="005F2A26">
        <w:rPr>
          <w:rFonts w:cs="Times New Roman"/>
          <w:szCs w:val="24"/>
          <w:lang w:val="en-US"/>
        </w:rPr>
        <w:t>Consequences of engagement are as diverse as brand love, increased loyalty</w:t>
      </w:r>
      <w:r w:rsidR="003A0F1E" w:rsidRPr="005F2A26">
        <w:rPr>
          <w:rFonts w:cs="Times New Roman"/>
          <w:szCs w:val="24"/>
          <w:lang w:val="en-US"/>
        </w:rPr>
        <w:t>,</w:t>
      </w:r>
      <w:r w:rsidR="000C59EA" w:rsidRPr="005F2A26">
        <w:rPr>
          <w:rFonts w:cs="Times New Roman"/>
          <w:szCs w:val="24"/>
          <w:lang w:val="en-US"/>
        </w:rPr>
        <w:t xml:space="preserve"> trust and purchasing intent, contributions to product development (Brodie </w:t>
      </w:r>
      <w:r w:rsidR="00957690" w:rsidRPr="00957690">
        <w:rPr>
          <w:rFonts w:cs="Times New Roman"/>
          <w:i/>
          <w:iCs/>
          <w:szCs w:val="24"/>
          <w:lang w:val="en-US"/>
        </w:rPr>
        <w:t>et al.</w:t>
      </w:r>
      <w:r w:rsidR="000C59EA" w:rsidRPr="005F2A26">
        <w:rPr>
          <w:rFonts w:cs="Times New Roman"/>
          <w:i/>
          <w:iCs/>
          <w:szCs w:val="24"/>
          <w:lang w:val="en-US"/>
        </w:rPr>
        <w:t>,</w:t>
      </w:r>
      <w:r w:rsidR="000C59EA" w:rsidRPr="005F2A26">
        <w:rPr>
          <w:rFonts w:cs="Times New Roman"/>
          <w:szCs w:val="24"/>
          <w:lang w:val="en-US"/>
        </w:rPr>
        <w:t xml:space="preserve"> 2011; </w:t>
      </w:r>
      <w:proofErr w:type="spellStart"/>
      <w:r w:rsidR="000C59EA" w:rsidRPr="005F2A26">
        <w:rPr>
          <w:rFonts w:cs="Times New Roman"/>
          <w:szCs w:val="24"/>
          <w:lang w:val="en-US"/>
        </w:rPr>
        <w:t>Pansari</w:t>
      </w:r>
      <w:proofErr w:type="spellEnd"/>
      <w:r w:rsidR="000C59EA" w:rsidRPr="005F2A26">
        <w:rPr>
          <w:rFonts w:cs="Times New Roman"/>
          <w:szCs w:val="24"/>
          <w:lang w:val="en-US"/>
        </w:rPr>
        <w:t xml:space="preserve"> and Kumar, 2017</w:t>
      </w:r>
      <w:r w:rsidR="00CE573A" w:rsidRPr="005F2A26">
        <w:rPr>
          <w:rFonts w:cs="Times New Roman"/>
          <w:szCs w:val="24"/>
          <w:lang w:val="en-US"/>
        </w:rPr>
        <w:t>)</w:t>
      </w:r>
      <w:r w:rsidR="00E26131" w:rsidRPr="005F2A26">
        <w:rPr>
          <w:rFonts w:cs="Times New Roman"/>
          <w:szCs w:val="24"/>
          <w:lang w:val="en-US"/>
        </w:rPr>
        <w:t xml:space="preserve">, and </w:t>
      </w:r>
      <w:r w:rsidR="005E38F0" w:rsidRPr="005F2A26">
        <w:rPr>
          <w:rFonts w:cs="Times New Roman"/>
          <w:szCs w:val="24"/>
          <w:lang w:val="en-US"/>
        </w:rPr>
        <w:t xml:space="preserve">enhanced corporate performance </w:t>
      </w:r>
      <w:r w:rsidR="005F43F8" w:rsidRPr="005F2A26">
        <w:rPr>
          <w:rFonts w:cs="Times New Roman"/>
          <w:szCs w:val="24"/>
          <w:lang w:val="en-US"/>
        </w:rPr>
        <w:t>for the firm</w:t>
      </w:r>
      <w:r w:rsidR="00E26131" w:rsidRPr="005F2A26">
        <w:rPr>
          <w:rFonts w:cs="Times New Roman"/>
          <w:szCs w:val="24"/>
          <w:lang w:val="en-US"/>
        </w:rPr>
        <w:t xml:space="preserve"> (Brodie </w:t>
      </w:r>
      <w:r w:rsidR="00957690" w:rsidRPr="00957690">
        <w:rPr>
          <w:rFonts w:cs="Times New Roman"/>
          <w:i/>
          <w:iCs/>
          <w:szCs w:val="24"/>
          <w:lang w:val="en-US"/>
        </w:rPr>
        <w:t>et al.</w:t>
      </w:r>
      <w:r w:rsidR="00E26131" w:rsidRPr="005F2A26">
        <w:rPr>
          <w:rFonts w:cs="Times New Roman"/>
          <w:szCs w:val="24"/>
          <w:lang w:val="en-US"/>
        </w:rPr>
        <w:t>, 2013</w:t>
      </w:r>
      <w:r w:rsidR="00E7366B" w:rsidRPr="005F2A26">
        <w:rPr>
          <w:rFonts w:cs="Times New Roman"/>
          <w:szCs w:val="24"/>
          <w:lang w:val="en-US"/>
        </w:rPr>
        <w:t>; 2019</w:t>
      </w:r>
      <w:r w:rsidR="001461A4" w:rsidRPr="005F2A26">
        <w:rPr>
          <w:rFonts w:cs="Times New Roman"/>
          <w:szCs w:val="24"/>
          <w:lang w:val="en-US"/>
        </w:rPr>
        <w:t xml:space="preserve">; Kumar and </w:t>
      </w:r>
      <w:proofErr w:type="spellStart"/>
      <w:r w:rsidR="001461A4" w:rsidRPr="005F2A26">
        <w:rPr>
          <w:rFonts w:cs="Times New Roman"/>
          <w:szCs w:val="24"/>
          <w:lang w:val="en-US"/>
        </w:rPr>
        <w:t>Pansari</w:t>
      </w:r>
      <w:proofErr w:type="spellEnd"/>
      <w:r w:rsidR="001461A4" w:rsidRPr="005F2A26">
        <w:rPr>
          <w:rFonts w:cs="Times New Roman"/>
          <w:szCs w:val="24"/>
          <w:lang w:val="en-US"/>
        </w:rPr>
        <w:t>, 2016</w:t>
      </w:r>
      <w:r w:rsidR="00E26131" w:rsidRPr="005F2A26">
        <w:rPr>
          <w:rFonts w:cs="Times New Roman"/>
          <w:szCs w:val="24"/>
          <w:lang w:val="en-US"/>
        </w:rPr>
        <w:t>)</w:t>
      </w:r>
      <w:r w:rsidR="00CE573A" w:rsidRPr="005F2A26">
        <w:rPr>
          <w:rFonts w:cs="Times New Roman"/>
          <w:szCs w:val="24"/>
          <w:lang w:val="en-US"/>
        </w:rPr>
        <w:t xml:space="preserve">. </w:t>
      </w:r>
    </w:p>
    <w:p w14:paraId="18D79C9D" w14:textId="6DC4ECB8" w:rsidR="000317B9" w:rsidRPr="005F2A26" w:rsidRDefault="00B92715">
      <w:pPr>
        <w:autoSpaceDE w:val="0"/>
        <w:autoSpaceDN w:val="0"/>
        <w:adjustRightInd w:val="0"/>
        <w:spacing w:after="0" w:line="480" w:lineRule="auto"/>
        <w:ind w:firstLine="720"/>
        <w:rPr>
          <w:rFonts w:eastAsia="Calibri" w:cs="Times New Roman"/>
          <w:szCs w:val="24"/>
          <w:lang w:val="en-US"/>
        </w:rPr>
      </w:pPr>
      <w:r w:rsidRPr="005F2A26">
        <w:rPr>
          <w:rFonts w:cs="Times New Roman"/>
          <w:szCs w:val="24"/>
          <w:lang w:val="en-US"/>
        </w:rPr>
        <w:t xml:space="preserve">Second, </w:t>
      </w:r>
      <w:r w:rsidR="008D631B" w:rsidRPr="005F2A26">
        <w:rPr>
          <w:rFonts w:cs="Times New Roman"/>
          <w:szCs w:val="24"/>
          <w:lang w:val="en-US"/>
        </w:rPr>
        <w:t xml:space="preserve">PO theory asserts </w:t>
      </w:r>
      <w:r w:rsidR="008B0EA6" w:rsidRPr="005F2A26">
        <w:rPr>
          <w:rFonts w:cs="Times New Roman"/>
          <w:szCs w:val="24"/>
          <w:lang w:val="en-US"/>
        </w:rPr>
        <w:t>someone experience</w:t>
      </w:r>
      <w:r w:rsidR="001D4250" w:rsidRPr="005F2A26">
        <w:rPr>
          <w:rFonts w:cs="Times New Roman"/>
          <w:szCs w:val="24"/>
          <w:lang w:val="en-US"/>
        </w:rPr>
        <w:t>s</w:t>
      </w:r>
      <w:r w:rsidR="0062068C" w:rsidRPr="005F2A26">
        <w:rPr>
          <w:rFonts w:cs="Times New Roman"/>
          <w:szCs w:val="24"/>
          <w:lang w:val="en-US"/>
        </w:rPr>
        <w:t xml:space="preserve"> </w:t>
      </w:r>
      <w:r w:rsidR="00E70DA3" w:rsidRPr="005F2A26">
        <w:rPr>
          <w:rFonts w:cs="Times New Roman"/>
          <w:szCs w:val="24"/>
          <w:lang w:val="en-US"/>
        </w:rPr>
        <w:t xml:space="preserve">individual </w:t>
      </w:r>
      <w:r w:rsidR="006A74BC" w:rsidRPr="005F2A26">
        <w:rPr>
          <w:rFonts w:cs="Times New Roman"/>
          <w:szCs w:val="24"/>
          <w:lang w:val="en-US"/>
        </w:rPr>
        <w:t>PO</w:t>
      </w:r>
      <w:r w:rsidR="00E70DA3" w:rsidRPr="005F2A26">
        <w:rPr>
          <w:rFonts w:cs="Times New Roman"/>
          <w:szCs w:val="24"/>
          <w:lang w:val="en-US"/>
        </w:rPr>
        <w:t xml:space="preserve"> (iPO)</w:t>
      </w:r>
      <w:r w:rsidR="008B0EA6" w:rsidRPr="005F2A26">
        <w:rPr>
          <w:rFonts w:cs="Times New Roman"/>
          <w:szCs w:val="24"/>
          <w:lang w:val="en-US"/>
        </w:rPr>
        <w:t xml:space="preserve"> </w:t>
      </w:r>
      <w:r w:rsidR="008B0EA6" w:rsidRPr="005F2A26">
        <w:rPr>
          <w:rFonts w:eastAsia="Calibri" w:cs="Times New Roman"/>
          <w:szCs w:val="24"/>
          <w:lang w:val="en-US"/>
        </w:rPr>
        <w:t>when they sense an object as ‘theirs’ (</w:t>
      </w:r>
      <w:r w:rsidR="00336A54" w:rsidRPr="005F2A26">
        <w:rPr>
          <w:rFonts w:eastAsia="Calibri" w:cs="Times New Roman"/>
          <w:szCs w:val="24"/>
          <w:lang w:val="en-US"/>
        </w:rPr>
        <w:t>“It is MINE”</w:t>
      </w:r>
      <w:r w:rsidR="008B0EA6" w:rsidRPr="005F2A26">
        <w:rPr>
          <w:rFonts w:eastAsia="Calibri" w:cs="Times New Roman"/>
          <w:szCs w:val="24"/>
          <w:lang w:val="en-US"/>
        </w:rPr>
        <w:t>)</w:t>
      </w:r>
      <w:r w:rsidR="008E3317" w:rsidRPr="005F2A26">
        <w:rPr>
          <w:rFonts w:eastAsia="Calibri" w:cs="Times New Roman"/>
          <w:szCs w:val="24"/>
          <w:lang w:val="en-US"/>
        </w:rPr>
        <w:t>, and g</w:t>
      </w:r>
      <w:r w:rsidR="00336A54" w:rsidRPr="005F2A26">
        <w:rPr>
          <w:rFonts w:eastAsia="Calibri" w:cs="Times New Roman"/>
          <w:szCs w:val="24"/>
          <w:lang w:val="en-US"/>
        </w:rPr>
        <w:t xml:space="preserve">roups of people experience </w:t>
      </w:r>
      <w:r w:rsidR="00E70DA3" w:rsidRPr="005F2A26">
        <w:rPr>
          <w:rFonts w:eastAsia="Calibri" w:cs="Times New Roman"/>
          <w:szCs w:val="24"/>
          <w:lang w:val="en-US"/>
        </w:rPr>
        <w:t>‘</w:t>
      </w:r>
      <w:r w:rsidR="00336A54" w:rsidRPr="005F2A26">
        <w:rPr>
          <w:rFonts w:eastAsia="Calibri" w:cs="Times New Roman"/>
          <w:szCs w:val="24"/>
          <w:lang w:val="en-US"/>
        </w:rPr>
        <w:t>collective PO</w:t>
      </w:r>
      <w:r w:rsidR="00E70DA3" w:rsidRPr="005F2A26">
        <w:rPr>
          <w:rFonts w:eastAsia="Calibri" w:cs="Times New Roman"/>
          <w:szCs w:val="24"/>
          <w:lang w:val="en-US"/>
        </w:rPr>
        <w:t>’</w:t>
      </w:r>
      <w:r w:rsidR="00336A54" w:rsidRPr="005F2A26">
        <w:rPr>
          <w:rFonts w:eastAsia="Calibri" w:cs="Times New Roman"/>
          <w:szCs w:val="24"/>
          <w:lang w:val="en-US"/>
        </w:rPr>
        <w:t xml:space="preserve"> </w:t>
      </w:r>
      <w:r w:rsidR="008B0EA6" w:rsidRPr="005F2A26">
        <w:rPr>
          <w:rFonts w:eastAsia="Calibri" w:cs="Times New Roman"/>
          <w:szCs w:val="24"/>
          <w:lang w:val="en-US"/>
        </w:rPr>
        <w:t xml:space="preserve">(cPO) when </w:t>
      </w:r>
      <w:r w:rsidR="00336A54" w:rsidRPr="005F2A26">
        <w:rPr>
          <w:rFonts w:eastAsia="Calibri" w:cs="Times New Roman"/>
          <w:szCs w:val="24"/>
          <w:lang w:val="en-US"/>
        </w:rPr>
        <w:t xml:space="preserve">they </w:t>
      </w:r>
      <w:r w:rsidR="008B0EA6" w:rsidRPr="005F2A26">
        <w:rPr>
          <w:rFonts w:eastAsia="Calibri" w:cs="Times New Roman"/>
          <w:szCs w:val="24"/>
          <w:lang w:val="en-US"/>
        </w:rPr>
        <w:t xml:space="preserve">sense an object as </w:t>
      </w:r>
      <w:r w:rsidR="00336A54" w:rsidRPr="005F2A26">
        <w:rPr>
          <w:rFonts w:eastAsia="Calibri" w:cs="Times New Roman"/>
          <w:szCs w:val="24"/>
          <w:lang w:val="en-US"/>
        </w:rPr>
        <w:t>“</w:t>
      </w:r>
      <w:r w:rsidR="008B0EA6" w:rsidRPr="005F2A26">
        <w:rPr>
          <w:rFonts w:eastAsia="Calibri" w:cs="Times New Roman"/>
          <w:szCs w:val="24"/>
          <w:lang w:val="en-US"/>
        </w:rPr>
        <w:t>OURS</w:t>
      </w:r>
      <w:r w:rsidR="00336A54" w:rsidRPr="005F2A26">
        <w:rPr>
          <w:rFonts w:eastAsia="Calibri" w:cs="Times New Roman"/>
          <w:szCs w:val="24"/>
          <w:lang w:val="en-US"/>
        </w:rPr>
        <w:t>”</w:t>
      </w:r>
      <w:r w:rsidR="008B0EA6" w:rsidRPr="005F2A26">
        <w:rPr>
          <w:rFonts w:eastAsia="Calibri" w:cs="Times New Roman"/>
          <w:szCs w:val="24"/>
          <w:lang w:val="en-US"/>
        </w:rPr>
        <w:t xml:space="preserve"> (</w:t>
      </w:r>
      <w:r w:rsidR="008B0EA6" w:rsidRPr="005F2A26">
        <w:rPr>
          <w:rFonts w:cs="Times New Roman"/>
          <w:szCs w:val="24"/>
          <w:lang w:val="en-US"/>
        </w:rPr>
        <w:t xml:space="preserve">Pierce </w:t>
      </w:r>
      <w:r w:rsidR="00957690" w:rsidRPr="00957690">
        <w:rPr>
          <w:rFonts w:cs="Times New Roman"/>
          <w:i/>
          <w:iCs/>
          <w:szCs w:val="24"/>
          <w:lang w:val="en-US"/>
        </w:rPr>
        <w:t>et al.</w:t>
      </w:r>
      <w:r w:rsidR="008B0EA6" w:rsidRPr="005F2A26">
        <w:rPr>
          <w:rFonts w:cs="Times New Roman"/>
          <w:szCs w:val="24"/>
          <w:lang w:val="en-US"/>
        </w:rPr>
        <w:t>, 2003</w:t>
      </w:r>
      <w:r w:rsidR="008E3317" w:rsidRPr="005F2A26">
        <w:rPr>
          <w:rFonts w:cs="Times New Roman"/>
          <w:szCs w:val="24"/>
          <w:lang w:val="en-US"/>
        </w:rPr>
        <w:t>;</w:t>
      </w:r>
      <w:r w:rsidR="008B0EA6" w:rsidRPr="005F2A26">
        <w:rPr>
          <w:rFonts w:cs="Times New Roman"/>
          <w:szCs w:val="24"/>
          <w:lang w:val="en-US"/>
        </w:rPr>
        <w:t xml:space="preserve"> 2019</w:t>
      </w:r>
      <w:r w:rsidR="008B0EA6" w:rsidRPr="005F2A26">
        <w:rPr>
          <w:rFonts w:eastAsia="Calibri" w:cs="Times New Roman"/>
          <w:szCs w:val="24"/>
          <w:lang w:val="en-US"/>
        </w:rPr>
        <w:t xml:space="preserve">). </w:t>
      </w:r>
      <w:r w:rsidR="003A0F1E" w:rsidRPr="005F2A26">
        <w:rPr>
          <w:rFonts w:eastAsiaTheme="minorEastAsia" w:cs="Times New Roman"/>
          <w:szCs w:val="24"/>
          <w:lang w:val="en-US" w:eastAsia="zh-CN"/>
        </w:rPr>
        <w:t>In consumption settings, a</w:t>
      </w:r>
      <w:r w:rsidR="00E70DA3" w:rsidRPr="005F2A26">
        <w:rPr>
          <w:rFonts w:eastAsiaTheme="minorEastAsia" w:cs="Times New Roman"/>
          <w:szCs w:val="24"/>
          <w:lang w:val="en-US" w:eastAsia="zh-CN"/>
        </w:rPr>
        <w:t xml:space="preserve"> sense of PO has been shown to deliver outcomes such as heightened customer satisfaction and loyalty, and increased willingness to pay (</w:t>
      </w:r>
      <w:r w:rsidR="00CA1D11" w:rsidRPr="005F2A26">
        <w:rPr>
          <w:rFonts w:eastAsiaTheme="minorEastAsia" w:cs="Times New Roman"/>
          <w:szCs w:val="24"/>
          <w:lang w:val="en-US" w:eastAsia="zh-CN"/>
        </w:rPr>
        <w:t>Asatryan and Oh, 2008</w:t>
      </w:r>
      <w:r w:rsidR="00E70DA3" w:rsidRPr="005F2A26">
        <w:rPr>
          <w:rFonts w:eastAsiaTheme="minorEastAsia" w:cs="Times New Roman"/>
          <w:szCs w:val="24"/>
          <w:lang w:val="en-US" w:eastAsia="zh-CN"/>
        </w:rPr>
        <w:t xml:space="preserve">; Fuchs </w:t>
      </w:r>
      <w:r w:rsidR="00957690" w:rsidRPr="00957690">
        <w:rPr>
          <w:rFonts w:eastAsiaTheme="minorEastAsia" w:cs="Times New Roman"/>
          <w:i/>
          <w:iCs/>
          <w:szCs w:val="24"/>
          <w:lang w:val="en-US" w:eastAsia="zh-CN"/>
        </w:rPr>
        <w:t>et al.</w:t>
      </w:r>
      <w:r w:rsidR="00E70DA3" w:rsidRPr="005F2A26">
        <w:rPr>
          <w:rFonts w:eastAsiaTheme="minorEastAsia" w:cs="Times New Roman"/>
          <w:szCs w:val="24"/>
          <w:lang w:val="en-US" w:eastAsia="zh-CN"/>
        </w:rPr>
        <w:t xml:space="preserve">, 2010; </w:t>
      </w:r>
      <w:proofErr w:type="spellStart"/>
      <w:r w:rsidR="00E70DA3" w:rsidRPr="005F2A26">
        <w:rPr>
          <w:rFonts w:eastAsiaTheme="minorEastAsia" w:cs="Times New Roman"/>
          <w:szCs w:val="24"/>
          <w:lang w:val="en-US" w:eastAsia="zh-CN"/>
        </w:rPr>
        <w:t>Morewedge</w:t>
      </w:r>
      <w:proofErr w:type="spellEnd"/>
      <w:r w:rsidR="00E70DA3"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E70DA3" w:rsidRPr="005F2A26">
        <w:rPr>
          <w:rFonts w:eastAsiaTheme="minorEastAsia" w:cs="Times New Roman"/>
          <w:szCs w:val="24"/>
          <w:lang w:val="en-US" w:eastAsia="zh-CN"/>
        </w:rPr>
        <w:t>, 2021).</w:t>
      </w:r>
    </w:p>
    <w:p w14:paraId="2D60AF46" w14:textId="1234AA1A" w:rsidR="0049059C" w:rsidRPr="005F2A26" w:rsidRDefault="009353ED" w:rsidP="00091AE3">
      <w:pPr>
        <w:autoSpaceDE w:val="0"/>
        <w:autoSpaceDN w:val="0"/>
        <w:adjustRightInd w:val="0"/>
        <w:spacing w:after="0" w:line="480" w:lineRule="auto"/>
        <w:ind w:firstLine="720"/>
        <w:rPr>
          <w:rFonts w:eastAsia="Calibri" w:cs="Times New Roman"/>
          <w:szCs w:val="24"/>
          <w:lang w:val="en-US"/>
        </w:rPr>
      </w:pPr>
      <w:r w:rsidRPr="005F2A26">
        <w:rPr>
          <w:rFonts w:eastAsia="Calibri" w:cs="Times New Roman"/>
          <w:szCs w:val="24"/>
          <w:lang w:val="en-US"/>
        </w:rPr>
        <w:t>However, d</w:t>
      </w:r>
      <w:r w:rsidR="00081244" w:rsidRPr="005F2A26">
        <w:rPr>
          <w:rFonts w:eastAsia="Calibri" w:cs="Times New Roman"/>
          <w:szCs w:val="24"/>
          <w:lang w:val="en-US"/>
        </w:rPr>
        <w:t>espite the parallels between</w:t>
      </w:r>
      <w:r w:rsidR="008E3317" w:rsidRPr="005F2A26">
        <w:rPr>
          <w:rFonts w:eastAsia="Calibri" w:cs="Times New Roman"/>
          <w:szCs w:val="24"/>
          <w:lang w:val="en-US"/>
        </w:rPr>
        <w:t xml:space="preserve"> </w:t>
      </w:r>
      <w:r w:rsidR="00614FB9" w:rsidRPr="005F2A26">
        <w:rPr>
          <w:rFonts w:eastAsia="Calibri" w:cs="Times New Roman"/>
          <w:szCs w:val="24"/>
          <w:lang w:val="en-US"/>
        </w:rPr>
        <w:t>these two popular theories</w:t>
      </w:r>
      <w:r w:rsidR="00081244" w:rsidRPr="005F2A26">
        <w:rPr>
          <w:rFonts w:eastAsia="Calibri" w:cs="Times New Roman"/>
          <w:szCs w:val="24"/>
          <w:lang w:val="en-US"/>
        </w:rPr>
        <w:t>, little attention has been given to understanding the relationship between</w:t>
      </w:r>
      <w:r w:rsidR="00614FB9" w:rsidRPr="005F2A26">
        <w:rPr>
          <w:rFonts w:eastAsia="Calibri" w:cs="Times New Roman"/>
          <w:szCs w:val="24"/>
          <w:lang w:val="en-US"/>
        </w:rPr>
        <w:t xml:space="preserve"> them</w:t>
      </w:r>
      <w:r w:rsidR="00081244" w:rsidRPr="005F2A26">
        <w:rPr>
          <w:rFonts w:eastAsia="Calibri" w:cs="Times New Roman"/>
          <w:szCs w:val="24"/>
          <w:lang w:val="en-US"/>
        </w:rPr>
        <w:t>.</w:t>
      </w:r>
      <w:r w:rsidR="00091AE3" w:rsidRPr="005F2A26">
        <w:rPr>
          <w:rFonts w:eastAsia="Calibri" w:cs="Times New Roman"/>
          <w:szCs w:val="24"/>
          <w:lang w:val="en-US"/>
        </w:rPr>
        <w:t xml:space="preserve"> </w:t>
      </w:r>
      <w:r w:rsidR="00E44247" w:rsidRPr="005F2A26">
        <w:rPr>
          <w:rFonts w:eastAsia="Calibri" w:cs="Times New Roman"/>
          <w:szCs w:val="24"/>
          <w:lang w:val="en-US"/>
        </w:rPr>
        <w:t>W</w:t>
      </w:r>
      <w:r w:rsidR="00A70A7B" w:rsidRPr="005F2A26">
        <w:rPr>
          <w:rFonts w:eastAsia="Calibri" w:cs="Times New Roman"/>
          <w:szCs w:val="24"/>
          <w:lang w:val="en-US"/>
        </w:rPr>
        <w:t>here engagement predominantly focuses on the</w:t>
      </w:r>
      <w:r w:rsidR="0003161D" w:rsidRPr="005F2A26">
        <w:rPr>
          <w:rFonts w:eastAsia="Calibri" w:cs="Times New Roman"/>
          <w:szCs w:val="24"/>
          <w:lang w:val="en-US"/>
        </w:rPr>
        <w:t xml:space="preserve"> </w:t>
      </w:r>
      <w:r w:rsidR="00A70A7B" w:rsidRPr="005F2A26">
        <w:rPr>
          <w:rFonts w:eastAsia="Calibri" w:cs="Times New Roman"/>
          <w:szCs w:val="24"/>
          <w:lang w:val="en-US"/>
        </w:rPr>
        <w:t xml:space="preserve">consequences of an actor’s </w:t>
      </w:r>
      <w:r w:rsidR="00A87258" w:rsidRPr="005F2A26">
        <w:rPr>
          <w:rFonts w:eastAsia="Calibri" w:cs="Times New Roman"/>
          <w:szCs w:val="24"/>
          <w:lang w:val="en-US"/>
        </w:rPr>
        <w:t xml:space="preserve">positively </w:t>
      </w:r>
      <w:proofErr w:type="spellStart"/>
      <w:r w:rsidR="00A87258" w:rsidRPr="005F2A26">
        <w:rPr>
          <w:rFonts w:eastAsia="Calibri" w:cs="Times New Roman"/>
          <w:szCs w:val="24"/>
          <w:lang w:val="en-US"/>
        </w:rPr>
        <w:t>valenced</w:t>
      </w:r>
      <w:proofErr w:type="spellEnd"/>
      <w:r w:rsidR="00A87258" w:rsidRPr="005F2A26">
        <w:rPr>
          <w:rFonts w:eastAsia="Calibri" w:cs="Times New Roman"/>
          <w:szCs w:val="24"/>
          <w:lang w:val="en-US"/>
        </w:rPr>
        <w:t xml:space="preserve"> </w:t>
      </w:r>
      <w:r w:rsidR="00A70A7B" w:rsidRPr="005F2A26">
        <w:rPr>
          <w:rFonts w:eastAsia="Calibri" w:cs="Times New Roman"/>
          <w:szCs w:val="24"/>
          <w:lang w:val="en-US"/>
        </w:rPr>
        <w:t>disposition</w:t>
      </w:r>
      <w:r w:rsidR="00AF758F" w:rsidRPr="005F2A26">
        <w:rPr>
          <w:rFonts w:eastAsia="Calibri" w:cs="Times New Roman"/>
          <w:szCs w:val="24"/>
          <w:lang w:val="en-US"/>
        </w:rPr>
        <w:t xml:space="preserve"> and activities</w:t>
      </w:r>
      <w:r w:rsidR="002B383C" w:rsidRPr="005F2A26">
        <w:rPr>
          <w:rFonts w:eastAsia="Calibri" w:cs="Times New Roman"/>
          <w:szCs w:val="24"/>
          <w:lang w:val="en-US"/>
        </w:rPr>
        <w:t xml:space="preserve"> (e.g., </w:t>
      </w:r>
      <w:r w:rsidR="008E3317" w:rsidRPr="005F2A26">
        <w:rPr>
          <w:rFonts w:cs="Times New Roman"/>
          <w:szCs w:val="24"/>
          <w:lang w:val="en-US"/>
        </w:rPr>
        <w:t>Jaakkola and Alexander, 2014</w:t>
      </w:r>
      <w:r w:rsidR="00305882" w:rsidRPr="005F2A26">
        <w:rPr>
          <w:rFonts w:cs="Times New Roman"/>
          <w:szCs w:val="24"/>
          <w:lang w:val="en-US"/>
        </w:rPr>
        <w:t xml:space="preserve">; Storbacka </w:t>
      </w:r>
      <w:r w:rsidR="00957690" w:rsidRPr="00957690">
        <w:rPr>
          <w:rFonts w:cs="Times New Roman"/>
          <w:i/>
          <w:iCs/>
          <w:szCs w:val="24"/>
          <w:lang w:val="en-US"/>
        </w:rPr>
        <w:t>et al.</w:t>
      </w:r>
      <w:r w:rsidR="00305882" w:rsidRPr="005F2A26">
        <w:rPr>
          <w:rFonts w:cs="Times New Roman"/>
          <w:szCs w:val="24"/>
          <w:lang w:val="en-US"/>
        </w:rPr>
        <w:t>, 2016</w:t>
      </w:r>
      <w:r w:rsidR="002B383C" w:rsidRPr="005F2A26">
        <w:rPr>
          <w:rFonts w:eastAsia="Calibri" w:cs="Times New Roman"/>
          <w:szCs w:val="24"/>
          <w:lang w:val="en-US"/>
        </w:rPr>
        <w:t>)</w:t>
      </w:r>
      <w:r w:rsidR="00A70A7B" w:rsidRPr="005F2A26">
        <w:rPr>
          <w:rFonts w:eastAsia="Calibri" w:cs="Times New Roman"/>
          <w:szCs w:val="24"/>
          <w:lang w:val="en-US"/>
        </w:rPr>
        <w:t xml:space="preserve">, PO </w:t>
      </w:r>
      <w:r w:rsidR="00112ABB" w:rsidRPr="005F2A26">
        <w:rPr>
          <w:rFonts w:eastAsia="Calibri" w:cs="Times New Roman"/>
          <w:szCs w:val="24"/>
          <w:lang w:val="en-US"/>
        </w:rPr>
        <w:t xml:space="preserve">theory </w:t>
      </w:r>
      <w:r w:rsidR="00A70A7B" w:rsidRPr="005F2A26">
        <w:rPr>
          <w:rFonts w:eastAsia="Calibri" w:cs="Times New Roman"/>
          <w:szCs w:val="24"/>
          <w:lang w:val="en-US"/>
        </w:rPr>
        <w:t xml:space="preserve">predominantly </w:t>
      </w:r>
      <w:r w:rsidR="00653450" w:rsidRPr="005F2A26">
        <w:rPr>
          <w:rFonts w:eastAsia="Calibri" w:cs="Times New Roman"/>
          <w:szCs w:val="24"/>
          <w:lang w:val="en-US"/>
        </w:rPr>
        <w:t xml:space="preserve">focuses on the causes of </w:t>
      </w:r>
      <w:r w:rsidR="002B383C" w:rsidRPr="005F2A26">
        <w:rPr>
          <w:rFonts w:eastAsia="Calibri" w:cs="Times New Roman"/>
          <w:szCs w:val="24"/>
          <w:lang w:val="en-US"/>
        </w:rPr>
        <w:t xml:space="preserve">an actor’s </w:t>
      </w:r>
      <w:r w:rsidR="00653450" w:rsidRPr="005F2A26">
        <w:rPr>
          <w:rFonts w:eastAsia="Calibri" w:cs="Times New Roman"/>
          <w:szCs w:val="24"/>
          <w:lang w:val="en-US"/>
        </w:rPr>
        <w:t>(</w:t>
      </w:r>
      <w:r w:rsidR="00661DA8" w:rsidRPr="005F2A26">
        <w:rPr>
          <w:rFonts w:eastAsia="Calibri" w:cs="Times New Roman"/>
          <w:szCs w:val="24"/>
          <w:lang w:val="en-US"/>
        </w:rPr>
        <w:t>motivational, attitudinal, and behavioral</w:t>
      </w:r>
      <w:r w:rsidR="00653450" w:rsidRPr="005F2A26">
        <w:rPr>
          <w:rFonts w:eastAsia="Calibri" w:cs="Times New Roman"/>
          <w:szCs w:val="24"/>
          <w:lang w:val="en-US"/>
        </w:rPr>
        <w:t>)</w:t>
      </w:r>
      <w:r w:rsidR="00661DA8" w:rsidRPr="005F2A26">
        <w:rPr>
          <w:rFonts w:eastAsia="Calibri" w:cs="Times New Roman"/>
          <w:szCs w:val="24"/>
          <w:lang w:val="en-US"/>
        </w:rPr>
        <w:t xml:space="preserve"> </w:t>
      </w:r>
      <w:r w:rsidR="002B383C" w:rsidRPr="005F2A26">
        <w:rPr>
          <w:rFonts w:eastAsia="Calibri" w:cs="Times New Roman"/>
          <w:szCs w:val="24"/>
          <w:lang w:val="en-US"/>
        </w:rPr>
        <w:t xml:space="preserve">disposition (e.g., </w:t>
      </w:r>
      <w:proofErr w:type="spellStart"/>
      <w:r w:rsidR="002B383C" w:rsidRPr="005F2A26">
        <w:rPr>
          <w:rFonts w:eastAsia="Calibri" w:cs="Times New Roman"/>
          <w:szCs w:val="24"/>
          <w:lang w:val="en-US"/>
        </w:rPr>
        <w:t>Jussila</w:t>
      </w:r>
      <w:proofErr w:type="spellEnd"/>
      <w:r w:rsidR="002B383C" w:rsidRPr="005F2A26">
        <w:rPr>
          <w:rFonts w:eastAsia="Calibri" w:cs="Times New Roman"/>
          <w:szCs w:val="24"/>
          <w:lang w:val="en-US"/>
        </w:rPr>
        <w:t xml:space="preserve"> </w:t>
      </w:r>
      <w:r w:rsidR="00957690" w:rsidRPr="00957690">
        <w:rPr>
          <w:rFonts w:eastAsia="Calibri" w:cs="Times New Roman"/>
          <w:i/>
          <w:iCs/>
          <w:szCs w:val="24"/>
          <w:lang w:val="en-US"/>
        </w:rPr>
        <w:t xml:space="preserve">et </w:t>
      </w:r>
      <w:r w:rsidR="00957690" w:rsidRPr="00957690">
        <w:rPr>
          <w:rFonts w:eastAsia="Calibri" w:cs="Times New Roman"/>
          <w:i/>
          <w:iCs/>
          <w:szCs w:val="24"/>
          <w:lang w:val="en-US"/>
        </w:rPr>
        <w:lastRenderedPageBreak/>
        <w:t>al.</w:t>
      </w:r>
      <w:r w:rsidR="002B383C" w:rsidRPr="005F2A26">
        <w:rPr>
          <w:rFonts w:eastAsia="Calibri" w:cs="Times New Roman"/>
          <w:szCs w:val="24"/>
          <w:lang w:val="en-US"/>
        </w:rPr>
        <w:t>, 2015).</w:t>
      </w:r>
      <w:r w:rsidR="00C8329A" w:rsidRPr="005F2A26">
        <w:rPr>
          <w:rFonts w:eastAsia="Calibri" w:cs="Times New Roman"/>
          <w:szCs w:val="24"/>
          <w:lang w:val="en-US"/>
        </w:rPr>
        <w:t xml:space="preserve"> </w:t>
      </w:r>
      <w:r w:rsidR="00554F37" w:rsidRPr="005F2A26">
        <w:rPr>
          <w:rFonts w:eastAsia="Calibri" w:cs="Times New Roman"/>
          <w:szCs w:val="24"/>
          <w:lang w:val="en-US"/>
        </w:rPr>
        <w:t xml:space="preserve">Hence, this paper argues </w:t>
      </w:r>
      <w:r w:rsidR="007E01B8" w:rsidRPr="005F2A26">
        <w:rPr>
          <w:rFonts w:eastAsia="Calibri" w:cs="Times New Roman"/>
          <w:szCs w:val="24"/>
          <w:lang w:val="en-US"/>
        </w:rPr>
        <w:t xml:space="preserve">these </w:t>
      </w:r>
      <w:r w:rsidR="0049059C" w:rsidRPr="005F2A26">
        <w:rPr>
          <w:rFonts w:eastAsia="Calibri" w:cs="Times New Roman"/>
          <w:szCs w:val="24"/>
          <w:lang w:val="en-US"/>
        </w:rPr>
        <w:t>theories</w:t>
      </w:r>
      <w:r w:rsidR="009933D5" w:rsidRPr="005F2A26">
        <w:rPr>
          <w:rFonts w:eastAsia="Calibri" w:cs="Times New Roman"/>
          <w:szCs w:val="24"/>
          <w:lang w:val="en-US"/>
        </w:rPr>
        <w:t xml:space="preserve"> </w:t>
      </w:r>
      <w:r w:rsidR="009C789E" w:rsidRPr="005F2A26">
        <w:rPr>
          <w:rFonts w:eastAsia="Calibri" w:cs="Times New Roman"/>
          <w:szCs w:val="24"/>
          <w:lang w:val="en-US"/>
        </w:rPr>
        <w:t>intersect</w:t>
      </w:r>
      <w:r w:rsidR="0049059C" w:rsidRPr="005F2A26">
        <w:rPr>
          <w:rFonts w:eastAsia="Calibri" w:cs="Times New Roman"/>
          <w:szCs w:val="24"/>
          <w:lang w:val="en-US"/>
        </w:rPr>
        <w:t xml:space="preserve"> – where PO leaves off, engagement begins. </w:t>
      </w:r>
      <w:r w:rsidR="006040ED" w:rsidRPr="005F2A26">
        <w:rPr>
          <w:rFonts w:eastAsia="Calibri" w:cs="Times New Roman"/>
          <w:szCs w:val="24"/>
          <w:lang w:val="en-US"/>
        </w:rPr>
        <w:t>Additionally, the latest developments of both theories</w:t>
      </w:r>
      <w:r w:rsidR="00A9604E" w:rsidRPr="005F2A26">
        <w:rPr>
          <w:rFonts w:eastAsia="Calibri" w:cs="Times New Roman"/>
          <w:szCs w:val="24"/>
          <w:lang w:val="en-US"/>
        </w:rPr>
        <w:t xml:space="preserve"> (e.g., </w:t>
      </w:r>
      <w:r w:rsidR="008A278A" w:rsidRPr="005F2A26">
        <w:rPr>
          <w:rFonts w:eastAsia="Calibri" w:cs="Times New Roman"/>
          <w:szCs w:val="24"/>
          <w:lang w:val="en-US"/>
        </w:rPr>
        <w:t xml:space="preserve">Brodie </w:t>
      </w:r>
      <w:r w:rsidR="00957690" w:rsidRPr="00957690">
        <w:rPr>
          <w:rFonts w:eastAsia="Calibri" w:cs="Times New Roman"/>
          <w:i/>
          <w:iCs/>
          <w:szCs w:val="24"/>
          <w:lang w:val="en-US"/>
        </w:rPr>
        <w:t>et al.</w:t>
      </w:r>
      <w:r w:rsidR="008A278A" w:rsidRPr="005F2A26">
        <w:rPr>
          <w:rFonts w:eastAsia="Calibri" w:cs="Times New Roman"/>
          <w:szCs w:val="24"/>
          <w:lang w:val="en-US"/>
        </w:rPr>
        <w:t xml:space="preserve">, 2019; </w:t>
      </w:r>
      <w:r w:rsidR="00A9604E" w:rsidRPr="005F2A26">
        <w:rPr>
          <w:rFonts w:cs="Times New Roman"/>
          <w:szCs w:val="24"/>
          <w:lang w:val="en-US"/>
        </w:rPr>
        <w:t xml:space="preserve">Kleinaltenkamp </w:t>
      </w:r>
      <w:r w:rsidR="00957690" w:rsidRPr="00957690">
        <w:rPr>
          <w:rFonts w:cs="Times New Roman"/>
          <w:i/>
          <w:iCs/>
          <w:szCs w:val="24"/>
          <w:lang w:val="en-US"/>
        </w:rPr>
        <w:t>et al.</w:t>
      </w:r>
      <w:r w:rsidR="00A9604E" w:rsidRPr="005F2A26">
        <w:rPr>
          <w:rFonts w:cs="Times New Roman"/>
          <w:szCs w:val="24"/>
          <w:lang w:val="en-US"/>
        </w:rPr>
        <w:t xml:space="preserve">, 2019; Pierce </w:t>
      </w:r>
      <w:r w:rsidR="00957690" w:rsidRPr="00957690">
        <w:rPr>
          <w:rFonts w:cs="Times New Roman"/>
          <w:i/>
          <w:iCs/>
          <w:szCs w:val="24"/>
          <w:lang w:val="en-US"/>
        </w:rPr>
        <w:t>et al.</w:t>
      </w:r>
      <w:r w:rsidR="00A9604E" w:rsidRPr="005F2A26">
        <w:rPr>
          <w:rFonts w:cs="Times New Roman"/>
          <w:szCs w:val="24"/>
          <w:lang w:val="en-US"/>
        </w:rPr>
        <w:t>, 2019)</w:t>
      </w:r>
      <w:r w:rsidR="006040ED" w:rsidRPr="005F2A26">
        <w:rPr>
          <w:rFonts w:eastAsia="Calibri" w:cs="Times New Roman"/>
          <w:szCs w:val="24"/>
          <w:lang w:val="en-US"/>
        </w:rPr>
        <w:t xml:space="preserve"> </w:t>
      </w:r>
      <w:r w:rsidR="00537B52" w:rsidRPr="005F2A26">
        <w:rPr>
          <w:rFonts w:eastAsia="Calibri" w:cs="Times New Roman"/>
          <w:szCs w:val="24"/>
          <w:lang w:val="en-US"/>
        </w:rPr>
        <w:t>have introduced</w:t>
      </w:r>
      <w:r w:rsidR="006040ED" w:rsidRPr="005F2A26">
        <w:rPr>
          <w:rFonts w:eastAsia="Calibri" w:cs="Times New Roman"/>
          <w:szCs w:val="24"/>
          <w:lang w:val="en-US"/>
        </w:rPr>
        <w:t xml:space="preserve"> a dual-level perspective </w:t>
      </w:r>
      <w:r w:rsidR="00A87258" w:rsidRPr="005F2A26">
        <w:rPr>
          <w:rFonts w:eastAsia="Calibri" w:cs="Times New Roman"/>
          <w:szCs w:val="24"/>
          <w:lang w:val="en-US"/>
        </w:rPr>
        <w:t>encompassing</w:t>
      </w:r>
      <w:r w:rsidR="006040ED" w:rsidRPr="005F2A26">
        <w:rPr>
          <w:rFonts w:eastAsia="Calibri" w:cs="Times New Roman"/>
          <w:szCs w:val="24"/>
          <w:lang w:val="en-US"/>
        </w:rPr>
        <w:t xml:space="preserve"> both individual</w:t>
      </w:r>
      <w:r w:rsidR="00A87258" w:rsidRPr="005F2A26">
        <w:rPr>
          <w:rFonts w:eastAsia="Calibri" w:cs="Times New Roman"/>
          <w:szCs w:val="24"/>
          <w:lang w:val="en-US"/>
        </w:rPr>
        <w:t>-</w:t>
      </w:r>
      <w:r w:rsidR="006040ED" w:rsidRPr="005F2A26">
        <w:rPr>
          <w:rFonts w:eastAsia="Calibri" w:cs="Times New Roman"/>
          <w:szCs w:val="24"/>
          <w:lang w:val="en-US"/>
        </w:rPr>
        <w:t xml:space="preserve"> and group</w:t>
      </w:r>
      <w:r w:rsidR="00A87258" w:rsidRPr="005F2A26">
        <w:rPr>
          <w:rFonts w:eastAsia="Calibri" w:cs="Times New Roman"/>
          <w:szCs w:val="24"/>
          <w:lang w:val="en-US"/>
        </w:rPr>
        <w:t>-</w:t>
      </w:r>
      <w:r w:rsidR="006040ED" w:rsidRPr="005F2A26">
        <w:rPr>
          <w:rFonts w:eastAsia="Calibri" w:cs="Times New Roman"/>
          <w:szCs w:val="24"/>
          <w:lang w:val="en-US"/>
        </w:rPr>
        <w:t xml:space="preserve">level phenomena, </w:t>
      </w:r>
      <w:r w:rsidR="001A3109" w:rsidRPr="005F2A26">
        <w:rPr>
          <w:rFonts w:eastAsia="Calibri" w:cs="Times New Roman"/>
          <w:szCs w:val="24"/>
          <w:lang w:val="en-US"/>
        </w:rPr>
        <w:t xml:space="preserve">thereby reflecting the social, networked, and collective nature of </w:t>
      </w:r>
      <w:r w:rsidR="006040ED" w:rsidRPr="005F2A26">
        <w:rPr>
          <w:rFonts w:eastAsia="Calibri" w:cs="Times New Roman"/>
          <w:szCs w:val="24"/>
          <w:lang w:val="en-US"/>
        </w:rPr>
        <w:t>contemporary consumption contexts.</w:t>
      </w:r>
    </w:p>
    <w:p w14:paraId="56A23B3B" w14:textId="7052D1AB" w:rsidR="0049059C" w:rsidRPr="005F2A26" w:rsidRDefault="00830D6B" w:rsidP="00E40079">
      <w:pPr>
        <w:autoSpaceDE w:val="0"/>
        <w:autoSpaceDN w:val="0"/>
        <w:adjustRightInd w:val="0"/>
        <w:spacing w:after="0" w:line="480" w:lineRule="auto"/>
        <w:ind w:firstLine="720"/>
        <w:rPr>
          <w:rFonts w:eastAsia="Calibri" w:cs="Times New Roman"/>
          <w:szCs w:val="24"/>
          <w:lang w:val="en-US"/>
        </w:rPr>
      </w:pPr>
      <w:r w:rsidRPr="005F2A26">
        <w:rPr>
          <w:rFonts w:cs="Times New Roman"/>
          <w:szCs w:val="24"/>
          <w:lang w:val="en-US"/>
        </w:rPr>
        <w:t>Hence</w:t>
      </w:r>
      <w:r w:rsidR="0049059C" w:rsidRPr="005F2A26">
        <w:rPr>
          <w:rFonts w:cs="Times New Roman"/>
          <w:szCs w:val="24"/>
          <w:lang w:val="en-US"/>
        </w:rPr>
        <w:t>, th</w:t>
      </w:r>
      <w:r w:rsidR="009F17A8" w:rsidRPr="005F2A26">
        <w:rPr>
          <w:rFonts w:cs="Times New Roman"/>
          <w:szCs w:val="24"/>
          <w:lang w:val="en-US"/>
        </w:rPr>
        <w:t>e purpose of this</w:t>
      </w:r>
      <w:r w:rsidR="0049059C" w:rsidRPr="005F2A26">
        <w:rPr>
          <w:rFonts w:cs="Times New Roman"/>
          <w:szCs w:val="24"/>
          <w:lang w:val="en-US"/>
        </w:rPr>
        <w:t xml:space="preserve"> conceptual study</w:t>
      </w:r>
      <w:r w:rsidR="009F17A8" w:rsidRPr="005F2A26">
        <w:rPr>
          <w:rFonts w:cs="Times New Roman"/>
          <w:szCs w:val="24"/>
          <w:lang w:val="en-US"/>
        </w:rPr>
        <w:t xml:space="preserve"> is to</w:t>
      </w:r>
      <w:r w:rsidR="0049059C" w:rsidRPr="005F2A26">
        <w:rPr>
          <w:rFonts w:cs="Times New Roman"/>
          <w:szCs w:val="24"/>
          <w:lang w:val="en-US"/>
        </w:rPr>
        <w:t xml:space="preserve"> </w:t>
      </w:r>
      <w:r w:rsidR="0049059C" w:rsidRPr="005F2A26">
        <w:rPr>
          <w:rFonts w:cs="Times New Roman"/>
          <w:i/>
          <w:iCs/>
          <w:szCs w:val="24"/>
          <w:lang w:val="en-US"/>
        </w:rPr>
        <w:t>explicate the dynamic, interlinked relationship between individual and collective psychological ownership as antecedents to actor engagement</w:t>
      </w:r>
      <w:r w:rsidR="0049059C" w:rsidRPr="005F2A26">
        <w:rPr>
          <w:rFonts w:cs="Times New Roman"/>
          <w:szCs w:val="24"/>
          <w:lang w:val="en-US"/>
        </w:rPr>
        <w:t xml:space="preserve">. Methodologically, we engage in a process of ‘theory </w:t>
      </w:r>
      <w:r w:rsidR="00705BAA" w:rsidRPr="005F2A26">
        <w:rPr>
          <w:rFonts w:cs="Times New Roman"/>
          <w:szCs w:val="24"/>
          <w:lang w:val="en-US"/>
        </w:rPr>
        <w:t>synthesis’</w:t>
      </w:r>
      <w:r w:rsidR="0049059C" w:rsidRPr="005F2A26">
        <w:rPr>
          <w:rFonts w:cs="Times New Roman"/>
          <w:szCs w:val="24"/>
          <w:lang w:val="en-US"/>
        </w:rPr>
        <w:t xml:space="preserve"> (Jaakkola, 2020, p.2</w:t>
      </w:r>
      <w:r w:rsidR="00E40079" w:rsidRPr="005F2A26">
        <w:rPr>
          <w:rFonts w:cs="Times New Roman"/>
          <w:szCs w:val="24"/>
          <w:lang w:val="en-US"/>
        </w:rPr>
        <w:t>1</w:t>
      </w:r>
      <w:r w:rsidR="0049059C" w:rsidRPr="005F2A26">
        <w:rPr>
          <w:rFonts w:cs="Times New Roman"/>
          <w:szCs w:val="24"/>
          <w:lang w:val="en-US"/>
        </w:rPr>
        <w:t>) by “</w:t>
      </w:r>
      <w:r w:rsidR="00E40079" w:rsidRPr="005F2A26">
        <w:rPr>
          <w:rFonts w:cs="Times New Roman"/>
          <w:szCs w:val="24"/>
          <w:lang w:val="en-US"/>
        </w:rPr>
        <w:t>offer</w:t>
      </w:r>
      <w:r w:rsidR="00302AD5" w:rsidRPr="005F2A26">
        <w:rPr>
          <w:rFonts w:cs="Times New Roman"/>
          <w:szCs w:val="24"/>
          <w:lang w:val="en-US"/>
        </w:rPr>
        <w:t>[</w:t>
      </w:r>
      <w:proofErr w:type="spellStart"/>
      <w:r w:rsidR="00302AD5" w:rsidRPr="005F2A26">
        <w:rPr>
          <w:rFonts w:cs="Times New Roman"/>
          <w:szCs w:val="24"/>
          <w:lang w:val="en-US"/>
        </w:rPr>
        <w:t>ing</w:t>
      </w:r>
      <w:proofErr w:type="spellEnd"/>
      <w:r w:rsidR="00302AD5" w:rsidRPr="005F2A26">
        <w:rPr>
          <w:rFonts w:cs="Times New Roman"/>
          <w:szCs w:val="24"/>
          <w:lang w:val="en-US"/>
        </w:rPr>
        <w:t>]</w:t>
      </w:r>
      <w:r w:rsidR="00E40079" w:rsidRPr="005F2A26">
        <w:rPr>
          <w:rFonts w:cs="Times New Roman"/>
          <w:szCs w:val="24"/>
          <w:lang w:val="en-US"/>
        </w:rPr>
        <w:t xml:space="preserve"> a new or enhanced view of a concept or phenomenon </w:t>
      </w:r>
      <w:r w:rsidR="00302AD5" w:rsidRPr="005F2A26">
        <w:rPr>
          <w:rFonts w:cs="Times New Roman"/>
          <w:szCs w:val="24"/>
          <w:lang w:val="en-US"/>
        </w:rPr>
        <w:t>[</w:t>
      </w:r>
      <w:r w:rsidR="009533A2" w:rsidRPr="005F2A26">
        <w:rPr>
          <w:rFonts w:cs="Times New Roman"/>
          <w:szCs w:val="24"/>
          <w:lang w:val="en-US"/>
        </w:rPr>
        <w:t>e</w:t>
      </w:r>
      <w:r w:rsidR="00302AD5" w:rsidRPr="005F2A26">
        <w:rPr>
          <w:rFonts w:cs="Times New Roman"/>
          <w:szCs w:val="24"/>
          <w:lang w:val="en-US"/>
        </w:rPr>
        <w:t xml:space="preserve">ngagement] </w:t>
      </w:r>
      <w:r w:rsidR="00E40079" w:rsidRPr="005F2A26">
        <w:rPr>
          <w:rFonts w:cs="Times New Roman"/>
          <w:szCs w:val="24"/>
          <w:lang w:val="en-US"/>
        </w:rPr>
        <w:t xml:space="preserve">by linking previously unconnected or incompatible pieces </w:t>
      </w:r>
      <w:r w:rsidR="004C29BD" w:rsidRPr="005F2A26">
        <w:rPr>
          <w:rFonts w:cs="Times New Roman"/>
          <w:szCs w:val="24"/>
          <w:lang w:val="en-US"/>
        </w:rPr>
        <w:t>[</w:t>
      </w:r>
      <w:r w:rsidR="007B514C">
        <w:rPr>
          <w:rFonts w:cs="Times New Roman"/>
          <w:szCs w:val="24"/>
          <w:lang w:val="en-US"/>
        </w:rPr>
        <w:t xml:space="preserve">individual and collective </w:t>
      </w:r>
      <w:r w:rsidR="00696E13" w:rsidRPr="005F2A26">
        <w:rPr>
          <w:rFonts w:cs="Times New Roman"/>
          <w:szCs w:val="24"/>
          <w:lang w:val="en-US"/>
        </w:rPr>
        <w:t>PO</w:t>
      </w:r>
      <w:r w:rsidR="004C29BD" w:rsidRPr="005F2A26">
        <w:rPr>
          <w:rFonts w:cs="Times New Roman"/>
          <w:szCs w:val="24"/>
          <w:lang w:val="en-US"/>
        </w:rPr>
        <w:t>]</w:t>
      </w:r>
      <w:r w:rsidR="00E40079" w:rsidRPr="005F2A26">
        <w:rPr>
          <w:rFonts w:cs="Times New Roman"/>
          <w:szCs w:val="24"/>
          <w:lang w:val="en-US"/>
        </w:rPr>
        <w:t xml:space="preserve"> in a novel way.” </w:t>
      </w:r>
      <w:r w:rsidR="0049059C" w:rsidRPr="005F2A26">
        <w:rPr>
          <w:rFonts w:cs="Times New Roman"/>
          <w:szCs w:val="24"/>
          <w:lang w:val="en-US"/>
        </w:rPr>
        <w:t xml:space="preserve">To do so, we </w:t>
      </w:r>
      <w:r w:rsidR="00E40079" w:rsidRPr="005F2A26">
        <w:rPr>
          <w:rFonts w:cs="Times New Roman"/>
          <w:szCs w:val="24"/>
          <w:lang w:val="en-US"/>
        </w:rPr>
        <w:t>summarize and integrate (</w:t>
      </w:r>
      <w:proofErr w:type="spellStart"/>
      <w:r w:rsidR="00E40079" w:rsidRPr="005F2A26">
        <w:rPr>
          <w:rFonts w:cs="Times New Roman"/>
          <w:szCs w:val="24"/>
          <w:lang w:val="en-US"/>
        </w:rPr>
        <w:t>MacInnis</w:t>
      </w:r>
      <w:proofErr w:type="spellEnd"/>
      <w:r w:rsidR="00E40079" w:rsidRPr="005F2A26">
        <w:rPr>
          <w:rFonts w:cs="Times New Roman"/>
          <w:szCs w:val="24"/>
          <w:lang w:val="en-US"/>
        </w:rPr>
        <w:t xml:space="preserve">, 2011) </w:t>
      </w:r>
      <w:r w:rsidR="0049059C" w:rsidRPr="005F2A26">
        <w:rPr>
          <w:rFonts w:cs="Times New Roman"/>
          <w:szCs w:val="24"/>
          <w:lang w:val="en-US"/>
        </w:rPr>
        <w:t xml:space="preserve">PO theory from marketing and management (e.g., </w:t>
      </w:r>
      <w:proofErr w:type="spellStart"/>
      <w:r w:rsidR="0049059C" w:rsidRPr="005F2A26">
        <w:rPr>
          <w:rFonts w:cs="Times New Roman"/>
          <w:szCs w:val="24"/>
          <w:lang w:val="en-US"/>
        </w:rPr>
        <w:t>Jussila</w:t>
      </w:r>
      <w:proofErr w:type="spellEnd"/>
      <w:r w:rsidR="0049059C" w:rsidRPr="005F2A26">
        <w:rPr>
          <w:rFonts w:cs="Times New Roman"/>
          <w:szCs w:val="24"/>
          <w:lang w:val="en-US"/>
        </w:rPr>
        <w:t xml:space="preserve"> </w:t>
      </w:r>
      <w:r w:rsidR="00957690" w:rsidRPr="00957690">
        <w:rPr>
          <w:rFonts w:cs="Times New Roman"/>
          <w:i/>
          <w:iCs/>
          <w:szCs w:val="24"/>
          <w:lang w:val="en-US"/>
        </w:rPr>
        <w:t>et al.</w:t>
      </w:r>
      <w:r w:rsidR="0049059C" w:rsidRPr="005F2A26">
        <w:rPr>
          <w:rFonts w:cs="Times New Roman"/>
          <w:szCs w:val="24"/>
          <w:lang w:val="en-US"/>
        </w:rPr>
        <w:t xml:space="preserve">, 2015; Pierce </w:t>
      </w:r>
      <w:r w:rsidR="00957690" w:rsidRPr="00957690">
        <w:rPr>
          <w:rFonts w:cs="Times New Roman"/>
          <w:i/>
          <w:iCs/>
          <w:szCs w:val="24"/>
          <w:lang w:val="en-US"/>
        </w:rPr>
        <w:t>et al.</w:t>
      </w:r>
      <w:r w:rsidR="0049059C" w:rsidRPr="005F2A26">
        <w:rPr>
          <w:rFonts w:cs="Times New Roman"/>
          <w:szCs w:val="24"/>
          <w:lang w:val="en-US"/>
        </w:rPr>
        <w:t xml:space="preserve">, 2003, 2019; Pierce and </w:t>
      </w:r>
      <w:proofErr w:type="spellStart"/>
      <w:r w:rsidR="0049059C" w:rsidRPr="005F2A26">
        <w:rPr>
          <w:rFonts w:cs="Times New Roman"/>
          <w:szCs w:val="24"/>
          <w:lang w:val="en-US"/>
        </w:rPr>
        <w:t>Jussila</w:t>
      </w:r>
      <w:proofErr w:type="spellEnd"/>
      <w:r w:rsidR="0049059C" w:rsidRPr="005F2A26">
        <w:rPr>
          <w:rFonts w:cs="Times New Roman"/>
          <w:szCs w:val="24"/>
          <w:lang w:val="en-US"/>
        </w:rPr>
        <w:t xml:space="preserve">, 2010) </w:t>
      </w:r>
      <w:r w:rsidR="00F55978" w:rsidRPr="005F2A26">
        <w:rPr>
          <w:rFonts w:cs="Times New Roman"/>
          <w:szCs w:val="24"/>
          <w:lang w:val="en-US"/>
        </w:rPr>
        <w:t>and</w:t>
      </w:r>
      <w:r w:rsidR="0049059C" w:rsidRPr="005F2A26">
        <w:rPr>
          <w:rFonts w:cs="Times New Roman"/>
          <w:szCs w:val="24"/>
          <w:lang w:val="en-US"/>
        </w:rPr>
        <w:t xml:space="preserve"> the engagement literature (e.g., Brodie </w:t>
      </w:r>
      <w:r w:rsidR="00957690" w:rsidRPr="00957690">
        <w:rPr>
          <w:rFonts w:cs="Times New Roman"/>
          <w:i/>
          <w:iCs/>
          <w:szCs w:val="24"/>
          <w:lang w:val="en-US"/>
        </w:rPr>
        <w:t>et al.</w:t>
      </w:r>
      <w:r w:rsidR="0049059C" w:rsidRPr="005F2A26">
        <w:rPr>
          <w:rFonts w:cs="Times New Roman"/>
          <w:szCs w:val="24"/>
          <w:lang w:val="en-US"/>
        </w:rPr>
        <w:t xml:space="preserve">, 2013, 2019; Jaakkola and Alexander, 2014), including the emergent literature on collective engagement (Kleinaltenkamp </w:t>
      </w:r>
      <w:r w:rsidR="00957690" w:rsidRPr="00957690">
        <w:rPr>
          <w:rFonts w:cs="Times New Roman"/>
          <w:i/>
          <w:iCs/>
          <w:szCs w:val="24"/>
          <w:lang w:val="en-US"/>
        </w:rPr>
        <w:t>et al.</w:t>
      </w:r>
      <w:r w:rsidR="0049059C" w:rsidRPr="005F2A26">
        <w:rPr>
          <w:rFonts w:cs="Times New Roman"/>
          <w:szCs w:val="24"/>
          <w:lang w:val="en-US"/>
        </w:rPr>
        <w:t>, 2019)</w:t>
      </w:r>
      <w:r w:rsidR="000E45B5" w:rsidRPr="005F2A26">
        <w:rPr>
          <w:rFonts w:cs="Times New Roman"/>
          <w:szCs w:val="24"/>
          <w:lang w:val="en-US"/>
        </w:rPr>
        <w:t xml:space="preserve">, to produce a dynamic PO-Engagement </w:t>
      </w:r>
      <w:r w:rsidR="00C672BB" w:rsidRPr="005F2A26">
        <w:rPr>
          <w:rFonts w:cs="Times New Roman"/>
          <w:szCs w:val="24"/>
          <w:lang w:val="en-US"/>
        </w:rPr>
        <w:t>F</w:t>
      </w:r>
      <w:r w:rsidR="000E45B5" w:rsidRPr="005F2A26">
        <w:rPr>
          <w:rFonts w:cs="Times New Roman"/>
          <w:szCs w:val="24"/>
          <w:lang w:val="en-US"/>
        </w:rPr>
        <w:t>ramework</w:t>
      </w:r>
      <w:r w:rsidR="0049059C" w:rsidRPr="005F2A26">
        <w:rPr>
          <w:rFonts w:cs="Times New Roman"/>
          <w:szCs w:val="24"/>
          <w:lang w:val="en-US"/>
        </w:rPr>
        <w:t>.</w:t>
      </w:r>
      <w:r w:rsidR="0049059C" w:rsidRPr="005F2A26">
        <w:rPr>
          <w:rFonts w:eastAsia="Calibri" w:cs="Times New Roman"/>
          <w:szCs w:val="24"/>
          <w:lang w:val="en-US"/>
        </w:rPr>
        <w:t xml:space="preserve"> </w:t>
      </w:r>
    </w:p>
    <w:p w14:paraId="78F27ACF" w14:textId="268AD861" w:rsidR="00407C03" w:rsidRPr="005F2A26" w:rsidRDefault="00DE35FF" w:rsidP="00407C03">
      <w:pPr>
        <w:autoSpaceDE w:val="0"/>
        <w:autoSpaceDN w:val="0"/>
        <w:adjustRightInd w:val="0"/>
        <w:spacing w:after="0" w:line="480" w:lineRule="auto"/>
        <w:ind w:firstLine="720"/>
        <w:rPr>
          <w:szCs w:val="24"/>
          <w:lang w:val="en-US"/>
        </w:rPr>
      </w:pPr>
      <w:r w:rsidRPr="005F2A26">
        <w:rPr>
          <w:rFonts w:eastAsia="Calibri" w:cs="Times New Roman"/>
          <w:szCs w:val="24"/>
          <w:lang w:val="en-US"/>
        </w:rPr>
        <w:t xml:space="preserve">To ground our study, we </w:t>
      </w:r>
      <w:r w:rsidR="00091AE3" w:rsidRPr="005F2A26">
        <w:rPr>
          <w:rFonts w:cs="Times New Roman"/>
          <w:szCs w:val="24"/>
          <w:lang w:val="en-US"/>
        </w:rPr>
        <w:t xml:space="preserve">set </w:t>
      </w:r>
      <w:r w:rsidRPr="005F2A26">
        <w:rPr>
          <w:rFonts w:cs="Times New Roman"/>
          <w:szCs w:val="24"/>
          <w:lang w:val="en-US"/>
        </w:rPr>
        <w:t>it in</w:t>
      </w:r>
      <w:r w:rsidR="00091AE3" w:rsidRPr="005F2A26">
        <w:rPr>
          <w:rFonts w:cs="Times New Roman"/>
          <w:szCs w:val="24"/>
          <w:lang w:val="en-US"/>
        </w:rPr>
        <w:t xml:space="preserve"> the sharing economy (SE) </w:t>
      </w:r>
      <w:r w:rsidR="00091AE3" w:rsidRPr="005F2A26">
        <w:rPr>
          <w:rFonts w:eastAsia="Calibri" w:cs="Times New Roman"/>
          <w:szCs w:val="24"/>
          <w:lang w:val="en-US"/>
        </w:rPr>
        <w:t>as</w:t>
      </w:r>
      <w:r w:rsidR="0027725D" w:rsidRPr="005F2A26">
        <w:rPr>
          <w:rFonts w:eastAsia="Calibri" w:cs="Times New Roman"/>
          <w:szCs w:val="24"/>
          <w:lang w:val="en-US"/>
        </w:rPr>
        <w:t xml:space="preserve"> </w:t>
      </w:r>
      <w:r w:rsidR="00091AE3" w:rsidRPr="005F2A26">
        <w:rPr>
          <w:rFonts w:eastAsia="Calibri" w:cs="Times New Roman"/>
          <w:szCs w:val="24"/>
          <w:lang w:val="en-US"/>
        </w:rPr>
        <w:t xml:space="preserve">a </w:t>
      </w:r>
      <w:r w:rsidR="005373F3" w:rsidRPr="005F2A26">
        <w:rPr>
          <w:rFonts w:eastAsia="Calibri" w:cs="Times New Roman"/>
          <w:szCs w:val="24"/>
          <w:lang w:val="en-US"/>
        </w:rPr>
        <w:t xml:space="preserve">contemporary consumption </w:t>
      </w:r>
      <w:r w:rsidR="00091AE3" w:rsidRPr="005F2A26">
        <w:rPr>
          <w:rFonts w:eastAsia="Calibri" w:cs="Times New Roman"/>
          <w:szCs w:val="24"/>
          <w:lang w:val="en-US"/>
        </w:rPr>
        <w:t>context</w:t>
      </w:r>
      <w:r w:rsidR="00EC689D" w:rsidRPr="005F2A26">
        <w:rPr>
          <w:rFonts w:eastAsia="Calibri" w:cs="Times New Roman"/>
          <w:szCs w:val="24"/>
          <w:lang w:val="en-US"/>
        </w:rPr>
        <w:t xml:space="preserve"> that requires</w:t>
      </w:r>
      <w:r w:rsidR="009F17A8" w:rsidRPr="005F2A26">
        <w:rPr>
          <w:rFonts w:eastAsia="Calibri" w:cs="Times New Roman"/>
          <w:szCs w:val="24"/>
          <w:lang w:val="en-US"/>
        </w:rPr>
        <w:t xml:space="preserve"> a </w:t>
      </w:r>
      <w:r w:rsidR="00640D2A" w:rsidRPr="005F2A26">
        <w:rPr>
          <w:rFonts w:eastAsia="Calibri" w:cs="Times New Roman"/>
          <w:szCs w:val="24"/>
          <w:lang w:val="en-US"/>
        </w:rPr>
        <w:t>multi-level</w:t>
      </w:r>
      <w:r w:rsidR="009F17A8" w:rsidRPr="005F2A26">
        <w:rPr>
          <w:rFonts w:eastAsia="Calibri" w:cs="Times New Roman"/>
          <w:szCs w:val="24"/>
          <w:lang w:val="en-US"/>
        </w:rPr>
        <w:t xml:space="preserve"> perspective </w:t>
      </w:r>
      <w:r w:rsidR="00F3036A" w:rsidRPr="005F2A26">
        <w:rPr>
          <w:rFonts w:eastAsia="Calibri" w:cs="Times New Roman"/>
          <w:szCs w:val="24"/>
          <w:lang w:val="en-US"/>
        </w:rPr>
        <w:t>of</w:t>
      </w:r>
      <w:r w:rsidR="009F17A8" w:rsidRPr="005F2A26">
        <w:rPr>
          <w:rFonts w:eastAsia="Calibri" w:cs="Times New Roman"/>
          <w:szCs w:val="24"/>
          <w:lang w:val="en-US"/>
        </w:rPr>
        <w:t xml:space="preserve"> individual</w:t>
      </w:r>
      <w:r w:rsidR="00AD71D9" w:rsidRPr="005F2A26">
        <w:rPr>
          <w:rFonts w:eastAsia="Calibri" w:cs="Times New Roman"/>
          <w:szCs w:val="24"/>
          <w:lang w:val="en-US"/>
        </w:rPr>
        <w:t>-</w:t>
      </w:r>
      <w:r w:rsidR="009F17A8" w:rsidRPr="005F2A26">
        <w:rPr>
          <w:rFonts w:eastAsia="Calibri" w:cs="Times New Roman"/>
          <w:szCs w:val="24"/>
          <w:lang w:val="en-US"/>
        </w:rPr>
        <w:t xml:space="preserve"> and group</w:t>
      </w:r>
      <w:r w:rsidR="00AD71D9" w:rsidRPr="005F2A26">
        <w:rPr>
          <w:rFonts w:eastAsia="Calibri" w:cs="Times New Roman"/>
          <w:szCs w:val="24"/>
          <w:lang w:val="en-US"/>
        </w:rPr>
        <w:t>-</w:t>
      </w:r>
      <w:r w:rsidR="009F17A8" w:rsidRPr="005F2A26">
        <w:rPr>
          <w:rFonts w:eastAsia="Calibri" w:cs="Times New Roman"/>
          <w:szCs w:val="24"/>
          <w:lang w:val="en-US"/>
        </w:rPr>
        <w:t>level phenomena</w:t>
      </w:r>
      <w:r w:rsidR="00754F17" w:rsidRPr="005F2A26">
        <w:rPr>
          <w:rFonts w:eastAsia="Calibri" w:cs="Times New Roman"/>
          <w:bCs/>
          <w:szCs w:val="24"/>
          <w:lang w:val="en-US"/>
        </w:rPr>
        <w:t>,</w:t>
      </w:r>
      <w:r w:rsidR="00267EAD" w:rsidRPr="005F2A26">
        <w:rPr>
          <w:rFonts w:eastAsia="Calibri" w:cs="Times New Roman"/>
          <w:bCs/>
          <w:szCs w:val="24"/>
          <w:lang w:val="en-US"/>
        </w:rPr>
        <w:t xml:space="preserve"> </w:t>
      </w:r>
      <w:r w:rsidR="00754F17" w:rsidRPr="005F2A26">
        <w:rPr>
          <w:rFonts w:eastAsia="Calibri" w:cs="Times New Roman"/>
          <w:bCs/>
          <w:szCs w:val="24"/>
          <w:lang w:val="en-US"/>
        </w:rPr>
        <w:t>where engagement</w:t>
      </w:r>
      <w:r w:rsidR="00754F17" w:rsidRPr="005F2A26">
        <w:rPr>
          <w:rFonts w:eastAsia="Calibri" w:cs="Times New Roman"/>
          <w:szCs w:val="24"/>
          <w:lang w:val="en-US"/>
        </w:rPr>
        <w:t xml:space="preserve"> </w:t>
      </w:r>
      <w:r w:rsidR="0027725D" w:rsidRPr="005F2A26">
        <w:rPr>
          <w:rFonts w:eastAsia="Calibri" w:cs="Times New Roman"/>
          <w:szCs w:val="24"/>
          <w:lang w:val="en-US"/>
        </w:rPr>
        <w:t>has been demonstrated to be</w:t>
      </w:r>
      <w:r w:rsidR="00091AE3" w:rsidRPr="005F2A26">
        <w:rPr>
          <w:rFonts w:eastAsia="Calibri" w:cs="Times New Roman"/>
          <w:szCs w:val="24"/>
          <w:lang w:val="en-US"/>
        </w:rPr>
        <w:t xml:space="preserve"> critical to </w:t>
      </w:r>
      <w:r w:rsidR="00D767FF" w:rsidRPr="005F2A26">
        <w:rPr>
          <w:rFonts w:eastAsia="Calibri" w:cs="Times New Roman"/>
          <w:szCs w:val="24"/>
          <w:lang w:val="en-US"/>
        </w:rPr>
        <w:t xml:space="preserve">platform </w:t>
      </w:r>
      <w:r w:rsidR="00091AE3" w:rsidRPr="005F2A26">
        <w:rPr>
          <w:rFonts w:eastAsia="Calibri" w:cs="Times New Roman"/>
          <w:szCs w:val="24"/>
          <w:lang w:val="en-US"/>
        </w:rPr>
        <w:t xml:space="preserve">success (Brodie </w:t>
      </w:r>
      <w:r w:rsidR="00957690" w:rsidRPr="00957690">
        <w:rPr>
          <w:rFonts w:eastAsia="Calibri" w:cs="Times New Roman"/>
          <w:i/>
          <w:iCs/>
          <w:szCs w:val="24"/>
          <w:lang w:val="en-US"/>
        </w:rPr>
        <w:t>et al.</w:t>
      </w:r>
      <w:r w:rsidR="00091AE3" w:rsidRPr="005F2A26">
        <w:rPr>
          <w:rFonts w:eastAsia="Calibri" w:cs="Times New Roman"/>
          <w:szCs w:val="24"/>
          <w:lang w:val="en-US"/>
        </w:rPr>
        <w:t xml:space="preserve">, 2019; </w:t>
      </w:r>
      <w:proofErr w:type="spellStart"/>
      <w:r w:rsidR="00091AE3" w:rsidRPr="005F2A26">
        <w:rPr>
          <w:rFonts w:eastAsia="Calibri" w:cs="Times New Roman"/>
          <w:bCs/>
          <w:szCs w:val="24"/>
          <w:lang w:val="en-US"/>
        </w:rPr>
        <w:t>Fritze</w:t>
      </w:r>
      <w:proofErr w:type="spellEnd"/>
      <w:r w:rsidR="00091AE3" w:rsidRPr="005F2A26">
        <w:rPr>
          <w:rFonts w:eastAsia="Calibri" w:cs="Times New Roman"/>
          <w:bCs/>
          <w:szCs w:val="24"/>
          <w:lang w:val="en-US"/>
        </w:rPr>
        <w:t xml:space="preserve"> </w:t>
      </w:r>
      <w:r w:rsidR="00957690" w:rsidRPr="00957690">
        <w:rPr>
          <w:rFonts w:eastAsia="Calibri" w:cs="Times New Roman"/>
          <w:bCs/>
          <w:i/>
          <w:iCs/>
          <w:szCs w:val="24"/>
          <w:lang w:val="en-US"/>
        </w:rPr>
        <w:t>et al.</w:t>
      </w:r>
      <w:r w:rsidR="00091AE3" w:rsidRPr="005F2A26">
        <w:rPr>
          <w:rFonts w:eastAsia="Calibri" w:cs="Times New Roman"/>
          <w:bCs/>
          <w:szCs w:val="24"/>
          <w:lang w:val="en-US"/>
        </w:rPr>
        <w:t xml:space="preserve">, 2020; </w:t>
      </w:r>
      <w:r w:rsidR="00091AE3" w:rsidRPr="005F2A26">
        <w:rPr>
          <w:rFonts w:eastAsia="Calibri" w:cs="Times New Roman"/>
          <w:szCs w:val="24"/>
          <w:lang w:val="en-US"/>
        </w:rPr>
        <w:t xml:space="preserve">Wirtz </w:t>
      </w:r>
      <w:r w:rsidR="00957690" w:rsidRPr="00957690">
        <w:rPr>
          <w:rFonts w:eastAsia="Calibri" w:cs="Times New Roman"/>
          <w:i/>
          <w:iCs/>
          <w:szCs w:val="24"/>
          <w:lang w:val="en-US"/>
        </w:rPr>
        <w:t>et al.</w:t>
      </w:r>
      <w:r w:rsidR="00091AE3" w:rsidRPr="005F2A26">
        <w:rPr>
          <w:rFonts w:eastAsia="Calibri" w:cs="Times New Roman"/>
          <w:szCs w:val="24"/>
          <w:lang w:val="en-US"/>
        </w:rPr>
        <w:t>, 2019</w:t>
      </w:r>
      <w:r w:rsidR="00091AE3" w:rsidRPr="005F2A26">
        <w:rPr>
          <w:rFonts w:eastAsia="Calibri" w:cs="Times New Roman"/>
          <w:bCs/>
          <w:szCs w:val="24"/>
          <w:lang w:val="en-US"/>
        </w:rPr>
        <w:t xml:space="preserve">). </w:t>
      </w:r>
      <w:r w:rsidR="00A946FF" w:rsidRPr="005F2A26">
        <w:rPr>
          <w:rFonts w:eastAsia="Calibri" w:cs="Times New Roman"/>
          <w:bCs/>
          <w:szCs w:val="24"/>
          <w:lang w:val="en-US"/>
        </w:rPr>
        <w:t xml:space="preserve">In the SE, consequences of engagement include </w:t>
      </w:r>
      <w:r w:rsidR="00AD71D9" w:rsidRPr="005F2A26">
        <w:rPr>
          <w:rFonts w:eastAsia="Calibri" w:cs="Times New Roman"/>
          <w:bCs/>
          <w:szCs w:val="24"/>
          <w:lang w:val="en-US"/>
        </w:rPr>
        <w:t xml:space="preserve">generation of </w:t>
      </w:r>
      <w:r w:rsidR="00A946FF" w:rsidRPr="005F2A26">
        <w:rPr>
          <w:rFonts w:eastAsia="Calibri" w:cs="Times New Roman"/>
          <w:bCs/>
          <w:szCs w:val="24"/>
          <w:lang w:val="en-US"/>
        </w:rPr>
        <w:t>user</w:t>
      </w:r>
      <w:r w:rsidR="00A946FF" w:rsidRPr="005F2A26">
        <w:rPr>
          <w:rFonts w:eastAsia="Calibri" w:cs="Times New Roman"/>
          <w:szCs w:val="24"/>
          <w:lang w:val="en-US"/>
        </w:rPr>
        <w:t xml:space="preserve"> content like reviews and electronic word-of-mouth (e-WOM</w:t>
      </w:r>
      <w:r w:rsidR="004C00A3" w:rsidRPr="005F2A26">
        <w:rPr>
          <w:rFonts w:eastAsia="Calibri" w:cs="Times New Roman"/>
          <w:szCs w:val="24"/>
          <w:lang w:val="en-US"/>
        </w:rPr>
        <w:t>) and</w:t>
      </w:r>
      <w:r w:rsidR="00A946FF" w:rsidRPr="005F2A26">
        <w:rPr>
          <w:rFonts w:eastAsia="Calibri" w:cs="Times New Roman"/>
          <w:szCs w:val="24"/>
          <w:lang w:val="en-US"/>
        </w:rPr>
        <w:t xml:space="preserve"> sharing of knowledge for the benefit of peers (Sheng, 2019). </w:t>
      </w:r>
      <w:r w:rsidR="008F1B3B" w:rsidRPr="00A3354F">
        <w:rPr>
          <w:rFonts w:eastAsia="Calibri" w:cs="Times New Roman"/>
          <w:color w:val="FF0000"/>
          <w:szCs w:val="24"/>
          <w:lang w:val="en-US"/>
        </w:rPr>
        <w:t>However</w:t>
      </w:r>
      <w:r w:rsidR="007B1BCC" w:rsidRPr="00A3354F">
        <w:rPr>
          <w:rFonts w:eastAsia="Calibri" w:cs="Times New Roman"/>
          <w:color w:val="FF0000"/>
          <w:szCs w:val="24"/>
          <w:lang w:val="en-US"/>
        </w:rPr>
        <w:t xml:space="preserve">, </w:t>
      </w:r>
      <w:r w:rsidR="00407C03" w:rsidRPr="00A3354F">
        <w:rPr>
          <w:rFonts w:cs="Times New Roman"/>
          <w:color w:val="FF0000"/>
          <w:szCs w:val="24"/>
          <w:lang w:val="en-US"/>
        </w:rPr>
        <w:t>little agreement exists</w:t>
      </w:r>
      <w:r w:rsidR="007B1BCC" w:rsidRPr="00A3354F">
        <w:rPr>
          <w:rFonts w:cs="Times New Roman"/>
          <w:color w:val="FF0000"/>
          <w:szCs w:val="24"/>
          <w:lang w:val="en-US"/>
        </w:rPr>
        <w:t xml:space="preserve"> in the literature </w:t>
      </w:r>
      <w:r w:rsidR="00407C03" w:rsidRPr="00A3354F">
        <w:rPr>
          <w:rFonts w:cs="Times New Roman"/>
          <w:color w:val="FF0000"/>
          <w:szCs w:val="24"/>
          <w:lang w:val="en-US"/>
        </w:rPr>
        <w:t xml:space="preserve">as to </w:t>
      </w:r>
      <w:r w:rsidR="00435613" w:rsidRPr="00A3354F">
        <w:rPr>
          <w:rFonts w:cs="Times New Roman"/>
          <w:color w:val="FF0000"/>
          <w:szCs w:val="24"/>
          <w:lang w:val="en-US"/>
        </w:rPr>
        <w:t xml:space="preserve">what comprise </w:t>
      </w:r>
      <w:r w:rsidR="00407C03" w:rsidRPr="00A3354F">
        <w:rPr>
          <w:rFonts w:cs="Times New Roman"/>
          <w:color w:val="FF0000"/>
          <w:szCs w:val="24"/>
          <w:lang w:val="en-US"/>
        </w:rPr>
        <w:t xml:space="preserve">the antecedents </w:t>
      </w:r>
      <w:r w:rsidR="00514A96" w:rsidRPr="00A3354F">
        <w:rPr>
          <w:rFonts w:cs="Times New Roman"/>
          <w:color w:val="FF0000"/>
          <w:szCs w:val="24"/>
          <w:lang w:val="en-US"/>
        </w:rPr>
        <w:t>to</w:t>
      </w:r>
      <w:r w:rsidR="00407C03" w:rsidRPr="00A3354F">
        <w:rPr>
          <w:rFonts w:cs="Times New Roman"/>
          <w:color w:val="FF0000"/>
          <w:szCs w:val="24"/>
          <w:lang w:val="en-US"/>
        </w:rPr>
        <w:t xml:space="preserve"> engagement in online contexts</w:t>
      </w:r>
      <w:r w:rsidR="00CD619F" w:rsidRPr="00A3354F">
        <w:rPr>
          <w:rFonts w:cs="Times New Roman"/>
          <w:color w:val="FF0000"/>
          <w:szCs w:val="24"/>
          <w:lang w:val="en-US"/>
        </w:rPr>
        <w:t>.</w:t>
      </w:r>
      <w:r w:rsidR="009368A5" w:rsidRPr="00A3354F">
        <w:rPr>
          <w:rFonts w:cs="Times New Roman"/>
          <w:color w:val="FF0000"/>
          <w:szCs w:val="24"/>
          <w:lang w:val="en-US"/>
        </w:rPr>
        <w:t xml:space="preserve"> </w:t>
      </w:r>
      <w:r w:rsidR="00CD619F" w:rsidRPr="00A3354F">
        <w:rPr>
          <w:rFonts w:cs="Times New Roman"/>
          <w:color w:val="FF0000"/>
          <w:szCs w:val="24"/>
          <w:lang w:val="en-US"/>
        </w:rPr>
        <w:t>A</w:t>
      </w:r>
      <w:r w:rsidR="009368A5" w:rsidRPr="00A3354F">
        <w:rPr>
          <w:rFonts w:cs="Times New Roman"/>
          <w:color w:val="FF0000"/>
          <w:szCs w:val="24"/>
          <w:lang w:val="en-US"/>
        </w:rPr>
        <w:t xml:space="preserve"> variety of factors</w:t>
      </w:r>
      <w:r w:rsidR="00CD619F" w:rsidRPr="00A3354F">
        <w:rPr>
          <w:rFonts w:cs="Times New Roman"/>
          <w:color w:val="FF0000"/>
          <w:szCs w:val="24"/>
          <w:lang w:val="en-US"/>
        </w:rPr>
        <w:t xml:space="preserve"> have been</w:t>
      </w:r>
      <w:r w:rsidR="009368A5" w:rsidRPr="00A3354F">
        <w:rPr>
          <w:rFonts w:cs="Times New Roman"/>
          <w:color w:val="FF0000"/>
          <w:szCs w:val="24"/>
          <w:lang w:val="en-US"/>
        </w:rPr>
        <w:t xml:space="preserve"> </w:t>
      </w:r>
      <w:r w:rsidR="00407C03" w:rsidRPr="00A3354F">
        <w:rPr>
          <w:rFonts w:cs="Times New Roman"/>
          <w:color w:val="FF0000"/>
          <w:szCs w:val="24"/>
          <w:lang w:val="en-US"/>
        </w:rPr>
        <w:t xml:space="preserve">asserted </w:t>
      </w:r>
      <w:r w:rsidR="009368A5" w:rsidRPr="00A3354F">
        <w:rPr>
          <w:rFonts w:cs="Times New Roman"/>
          <w:color w:val="FF0000"/>
          <w:szCs w:val="24"/>
          <w:lang w:val="en-US"/>
        </w:rPr>
        <w:t>including</w:t>
      </w:r>
      <w:r w:rsidR="00407C03" w:rsidRPr="00A3354F">
        <w:rPr>
          <w:rFonts w:cs="Times New Roman"/>
          <w:color w:val="FF0000"/>
          <w:szCs w:val="24"/>
          <w:lang w:val="en-US"/>
        </w:rPr>
        <w:t xml:space="preserve"> s</w:t>
      </w:r>
      <w:r w:rsidR="00407C03" w:rsidRPr="00A3354F">
        <w:rPr>
          <w:color w:val="FF0000"/>
          <w:szCs w:val="24"/>
          <w:lang w:val="en-US"/>
        </w:rPr>
        <w:t>atisfaction and emotion (</w:t>
      </w:r>
      <w:proofErr w:type="spellStart"/>
      <w:r w:rsidR="00407C03" w:rsidRPr="00A3354F">
        <w:rPr>
          <w:color w:val="FF0000"/>
          <w:szCs w:val="24"/>
          <w:lang w:val="en-US"/>
        </w:rPr>
        <w:t>Pansari</w:t>
      </w:r>
      <w:proofErr w:type="spellEnd"/>
      <w:r w:rsidR="00407C03" w:rsidRPr="00A3354F">
        <w:rPr>
          <w:color w:val="FF0000"/>
          <w:szCs w:val="24"/>
          <w:lang w:val="en-US"/>
        </w:rPr>
        <w:t xml:space="preserve"> and Kumar, 2017), technical and functional service quality (Islam </w:t>
      </w:r>
      <w:r w:rsidR="00957690" w:rsidRPr="00A3354F">
        <w:rPr>
          <w:rFonts w:cs="Times New Roman"/>
          <w:i/>
          <w:iCs/>
          <w:color w:val="FF0000"/>
          <w:szCs w:val="24"/>
          <w:lang w:val="en-US"/>
        </w:rPr>
        <w:t>et al.</w:t>
      </w:r>
      <w:r w:rsidR="00407C03" w:rsidRPr="00A3354F">
        <w:rPr>
          <w:rFonts w:cs="Times New Roman"/>
          <w:color w:val="FF0000"/>
          <w:szCs w:val="24"/>
          <w:lang w:val="en-US"/>
        </w:rPr>
        <w:t xml:space="preserve">, </w:t>
      </w:r>
      <w:r w:rsidR="00407C03" w:rsidRPr="00A3354F">
        <w:rPr>
          <w:color w:val="FF0000"/>
          <w:szCs w:val="24"/>
          <w:lang w:val="en-US"/>
        </w:rPr>
        <w:t xml:space="preserve">2019), and social contagion (Bowden </w:t>
      </w:r>
      <w:r w:rsidR="00957690" w:rsidRPr="00A3354F">
        <w:rPr>
          <w:i/>
          <w:iCs/>
          <w:color w:val="FF0000"/>
          <w:szCs w:val="24"/>
          <w:lang w:val="en-US"/>
        </w:rPr>
        <w:t>et al.</w:t>
      </w:r>
      <w:r w:rsidR="00407C03" w:rsidRPr="00A3354F">
        <w:rPr>
          <w:color w:val="FF0000"/>
          <w:szCs w:val="24"/>
          <w:lang w:val="en-US"/>
        </w:rPr>
        <w:t>, 2017</w:t>
      </w:r>
      <w:r w:rsidR="00F22636" w:rsidRPr="00A3354F">
        <w:rPr>
          <w:color w:val="FF0000"/>
          <w:szCs w:val="24"/>
          <w:lang w:val="en-US"/>
        </w:rPr>
        <w:t xml:space="preserve">; Rather </w:t>
      </w:r>
      <w:r w:rsidR="00957690" w:rsidRPr="00A3354F">
        <w:rPr>
          <w:i/>
          <w:iCs/>
          <w:color w:val="FF0000"/>
          <w:szCs w:val="24"/>
          <w:lang w:val="en-US"/>
        </w:rPr>
        <w:t>et al.</w:t>
      </w:r>
      <w:r w:rsidR="00F22636" w:rsidRPr="00A3354F">
        <w:rPr>
          <w:color w:val="FF0000"/>
          <w:szCs w:val="24"/>
          <w:lang w:val="en-US"/>
        </w:rPr>
        <w:t>, 2019</w:t>
      </w:r>
      <w:r w:rsidR="00407C03" w:rsidRPr="00A3354F">
        <w:rPr>
          <w:color w:val="FF0000"/>
          <w:szCs w:val="24"/>
          <w:lang w:val="en-US"/>
        </w:rPr>
        <w:t xml:space="preserve">). </w:t>
      </w:r>
      <w:r w:rsidR="00621008" w:rsidRPr="003B2486">
        <w:rPr>
          <w:color w:val="FF0000"/>
          <w:szCs w:val="24"/>
          <w:lang w:val="en-US"/>
        </w:rPr>
        <w:t xml:space="preserve">We argue why and how these </w:t>
      </w:r>
      <w:r w:rsidR="00F656AA" w:rsidRPr="003B2486">
        <w:rPr>
          <w:color w:val="FF0000"/>
          <w:szCs w:val="24"/>
          <w:lang w:val="en-US"/>
        </w:rPr>
        <w:t xml:space="preserve">factors </w:t>
      </w:r>
      <w:r w:rsidR="00F656AA" w:rsidRPr="003B2486">
        <w:rPr>
          <w:color w:val="FF0000"/>
          <w:szCs w:val="24"/>
          <w:lang w:val="en-US"/>
        </w:rPr>
        <w:lastRenderedPageBreak/>
        <w:t xml:space="preserve">operate as antecedents </w:t>
      </w:r>
      <w:r w:rsidR="0052461F" w:rsidRPr="003B2486">
        <w:rPr>
          <w:color w:val="FF0000"/>
          <w:szCs w:val="24"/>
          <w:lang w:val="en-US"/>
        </w:rPr>
        <w:t>can be</w:t>
      </w:r>
      <w:r w:rsidR="00F656AA" w:rsidRPr="003B2486">
        <w:rPr>
          <w:color w:val="FF0000"/>
          <w:szCs w:val="24"/>
          <w:lang w:val="en-US"/>
        </w:rPr>
        <w:t xml:space="preserve"> explained through </w:t>
      </w:r>
      <w:r w:rsidR="003A5346" w:rsidRPr="003B2486">
        <w:rPr>
          <w:color w:val="FF0000"/>
          <w:szCs w:val="24"/>
          <w:lang w:val="en-US"/>
        </w:rPr>
        <w:t>a</w:t>
      </w:r>
      <w:r w:rsidR="00F656AA" w:rsidRPr="003B2486">
        <w:rPr>
          <w:color w:val="FF0000"/>
          <w:szCs w:val="24"/>
          <w:lang w:val="en-US"/>
        </w:rPr>
        <w:t xml:space="preserve"> </w:t>
      </w:r>
      <w:r w:rsidR="0027556E" w:rsidRPr="003B2486">
        <w:rPr>
          <w:color w:val="FF0000"/>
          <w:szCs w:val="24"/>
          <w:lang w:val="en-US"/>
        </w:rPr>
        <w:t xml:space="preserve">synthesis </w:t>
      </w:r>
      <w:r w:rsidR="00F656AA" w:rsidRPr="003B2486">
        <w:rPr>
          <w:color w:val="FF0000"/>
          <w:szCs w:val="24"/>
          <w:lang w:val="en-US"/>
        </w:rPr>
        <w:t xml:space="preserve">of PO </w:t>
      </w:r>
      <w:r w:rsidR="00D700BF" w:rsidRPr="003B2486">
        <w:rPr>
          <w:color w:val="FF0000"/>
          <w:szCs w:val="24"/>
          <w:lang w:val="en-US"/>
        </w:rPr>
        <w:t>and engagement theories</w:t>
      </w:r>
      <w:r w:rsidR="0052461F" w:rsidRPr="003B2486">
        <w:rPr>
          <w:color w:val="FF0000"/>
          <w:szCs w:val="24"/>
          <w:lang w:val="en-US"/>
        </w:rPr>
        <w:t xml:space="preserve">. </w:t>
      </w:r>
      <w:r w:rsidR="008F1B3B" w:rsidRPr="003B2486">
        <w:rPr>
          <w:color w:val="FF0000"/>
          <w:szCs w:val="24"/>
          <w:lang w:val="en-US"/>
        </w:rPr>
        <w:t>W</w:t>
      </w:r>
      <w:r w:rsidR="00F55978" w:rsidRPr="003B2486">
        <w:rPr>
          <w:color w:val="FF0000"/>
          <w:szCs w:val="24"/>
          <w:lang w:val="en-US"/>
        </w:rPr>
        <w:t xml:space="preserve">e </w:t>
      </w:r>
      <w:r w:rsidR="00F76E76" w:rsidRPr="003B2486">
        <w:rPr>
          <w:color w:val="FF0000"/>
          <w:szCs w:val="24"/>
          <w:lang w:val="en-US"/>
        </w:rPr>
        <w:t>posit</w:t>
      </w:r>
      <w:r w:rsidR="00407C03" w:rsidRPr="003B2486">
        <w:rPr>
          <w:rFonts w:cs="Times New Roman"/>
          <w:color w:val="FF0000"/>
          <w:szCs w:val="24"/>
          <w:lang w:val="en-US"/>
        </w:rPr>
        <w:t xml:space="preserve"> </w:t>
      </w:r>
      <w:r w:rsidR="00521BD9">
        <w:rPr>
          <w:rFonts w:cs="Times New Roman"/>
          <w:color w:val="FF0000"/>
          <w:szCs w:val="24"/>
          <w:lang w:val="en-US"/>
        </w:rPr>
        <w:t xml:space="preserve">these factors </w:t>
      </w:r>
      <w:r w:rsidR="00856E8B">
        <w:rPr>
          <w:rFonts w:cs="Times New Roman"/>
          <w:color w:val="FF0000"/>
          <w:szCs w:val="24"/>
          <w:lang w:val="en-US"/>
        </w:rPr>
        <w:t xml:space="preserve">act as either motivators or causes of PO, and </w:t>
      </w:r>
      <w:r w:rsidR="00407C03" w:rsidRPr="003B2486">
        <w:rPr>
          <w:rFonts w:cs="Times New Roman"/>
          <w:color w:val="FF0000"/>
          <w:szCs w:val="24"/>
          <w:lang w:val="en-US"/>
        </w:rPr>
        <w:t xml:space="preserve">different </w:t>
      </w:r>
      <w:r w:rsidR="00E52EC5" w:rsidRPr="003B2486">
        <w:rPr>
          <w:rFonts w:cs="Times New Roman"/>
          <w:color w:val="FF0000"/>
          <w:szCs w:val="24"/>
          <w:lang w:val="en-US"/>
        </w:rPr>
        <w:t>types of</w:t>
      </w:r>
      <w:r w:rsidR="00D870ED" w:rsidRPr="003B2486">
        <w:rPr>
          <w:rFonts w:cs="Times New Roman"/>
          <w:color w:val="FF0000"/>
          <w:szCs w:val="24"/>
          <w:lang w:val="en-US"/>
        </w:rPr>
        <w:t xml:space="preserve"> PO manifest as different </w:t>
      </w:r>
      <w:r w:rsidR="00E52EC5" w:rsidRPr="003B2486">
        <w:rPr>
          <w:rFonts w:cs="Times New Roman"/>
          <w:color w:val="FF0000"/>
          <w:szCs w:val="24"/>
          <w:lang w:val="en-US"/>
        </w:rPr>
        <w:t>t</w:t>
      </w:r>
      <w:r w:rsidR="00D870ED" w:rsidRPr="003B2486">
        <w:rPr>
          <w:rFonts w:cs="Times New Roman"/>
          <w:color w:val="FF0000"/>
          <w:szCs w:val="24"/>
          <w:lang w:val="en-US"/>
        </w:rPr>
        <w:t>ypes of</w:t>
      </w:r>
      <w:r w:rsidR="00E52EC5" w:rsidRPr="003B2486">
        <w:rPr>
          <w:rFonts w:cs="Times New Roman"/>
          <w:color w:val="FF0000"/>
          <w:szCs w:val="24"/>
          <w:lang w:val="en-US"/>
        </w:rPr>
        <w:t xml:space="preserve"> engagement</w:t>
      </w:r>
      <w:r w:rsidR="00B40118" w:rsidRPr="003B2486">
        <w:rPr>
          <w:rFonts w:cs="Times New Roman"/>
          <w:color w:val="FF0000"/>
          <w:szCs w:val="24"/>
          <w:lang w:val="en-US"/>
        </w:rPr>
        <w:t xml:space="preserve"> in the SE</w:t>
      </w:r>
      <w:r w:rsidR="009B1999" w:rsidRPr="003B2486">
        <w:rPr>
          <w:rFonts w:cs="Times New Roman"/>
          <w:color w:val="FF0000"/>
          <w:szCs w:val="24"/>
          <w:lang w:val="en-US"/>
        </w:rPr>
        <w:t xml:space="preserve"> – </w:t>
      </w:r>
      <w:r w:rsidR="008F1B3B" w:rsidRPr="003B2486">
        <w:rPr>
          <w:rFonts w:cs="Times New Roman"/>
          <w:color w:val="FF0000"/>
          <w:szCs w:val="24"/>
          <w:lang w:val="en-US"/>
        </w:rPr>
        <w:t>within</w:t>
      </w:r>
      <w:r w:rsidR="00407C03" w:rsidRPr="003B2486">
        <w:rPr>
          <w:rFonts w:cs="Times New Roman"/>
          <w:color w:val="FF0000"/>
          <w:szCs w:val="24"/>
          <w:lang w:val="en-US"/>
        </w:rPr>
        <w:t xml:space="preserve"> dyads of </w:t>
      </w:r>
      <w:r w:rsidR="00366EF7" w:rsidRPr="003B2486">
        <w:rPr>
          <w:rFonts w:cs="Times New Roman"/>
          <w:color w:val="FF0000"/>
          <w:szCs w:val="24"/>
          <w:lang w:val="en-US"/>
        </w:rPr>
        <w:t>platform users</w:t>
      </w:r>
      <w:r w:rsidR="00407C03" w:rsidRPr="003B2486">
        <w:rPr>
          <w:rFonts w:cs="Times New Roman"/>
          <w:color w:val="FF0000"/>
          <w:szCs w:val="24"/>
          <w:lang w:val="en-US"/>
        </w:rPr>
        <w:t xml:space="preserve"> and brands</w:t>
      </w:r>
      <w:r w:rsidR="009B1999" w:rsidRPr="003B2486">
        <w:rPr>
          <w:rFonts w:cs="Times New Roman"/>
          <w:color w:val="FF0000"/>
          <w:szCs w:val="24"/>
          <w:lang w:val="en-US"/>
        </w:rPr>
        <w:t>,</w:t>
      </w:r>
      <w:r w:rsidR="00407C03" w:rsidRPr="003B2486">
        <w:rPr>
          <w:rFonts w:cs="Times New Roman"/>
          <w:color w:val="FF0000"/>
          <w:szCs w:val="24"/>
          <w:lang w:val="en-US"/>
        </w:rPr>
        <w:t xml:space="preserve"> or within </w:t>
      </w:r>
      <w:r w:rsidR="00AD71D9" w:rsidRPr="003B2486">
        <w:rPr>
          <w:rFonts w:cs="Times New Roman"/>
          <w:color w:val="FF0000"/>
          <w:szCs w:val="24"/>
          <w:lang w:val="en-US"/>
        </w:rPr>
        <w:t xml:space="preserve">online </w:t>
      </w:r>
      <w:r w:rsidR="00407C03" w:rsidRPr="003B2486">
        <w:rPr>
          <w:rFonts w:cs="Times New Roman"/>
          <w:color w:val="FF0000"/>
          <w:szCs w:val="24"/>
          <w:lang w:val="en-US"/>
        </w:rPr>
        <w:t>communities.</w:t>
      </w:r>
      <w:r w:rsidR="00097264" w:rsidRPr="003B2486">
        <w:rPr>
          <w:color w:val="FF0000"/>
          <w:szCs w:val="24"/>
          <w:lang w:val="en-US"/>
        </w:rPr>
        <w:t xml:space="preserve"> </w:t>
      </w:r>
      <w:r w:rsidR="00AD71D9" w:rsidRPr="005F2A26">
        <w:rPr>
          <w:szCs w:val="24"/>
          <w:lang w:val="en-US"/>
        </w:rPr>
        <w:t xml:space="preserve">Moreover, </w:t>
      </w:r>
      <w:r w:rsidR="00EA0CEE" w:rsidRPr="005F2A26">
        <w:rPr>
          <w:szCs w:val="24"/>
          <w:lang w:val="en-US"/>
        </w:rPr>
        <w:t>despite</w:t>
      </w:r>
      <w:r w:rsidR="00D91A00">
        <w:rPr>
          <w:szCs w:val="24"/>
          <w:lang w:val="en-US"/>
        </w:rPr>
        <w:t xml:space="preserve"> the PO literature featuring</w:t>
      </w:r>
      <w:r w:rsidR="00EA0CEE" w:rsidRPr="005F2A26">
        <w:rPr>
          <w:szCs w:val="24"/>
          <w:lang w:val="en-US"/>
        </w:rPr>
        <w:t xml:space="preserve"> </w:t>
      </w:r>
      <w:r w:rsidR="00097264" w:rsidRPr="005F2A26">
        <w:rPr>
          <w:szCs w:val="24"/>
          <w:lang w:val="en-US"/>
        </w:rPr>
        <w:t xml:space="preserve">a small number of </w:t>
      </w:r>
      <w:r w:rsidR="00EA0CEE" w:rsidRPr="005F2A26">
        <w:rPr>
          <w:szCs w:val="24"/>
          <w:lang w:val="en-US"/>
        </w:rPr>
        <w:t xml:space="preserve">studies </w:t>
      </w:r>
      <w:r w:rsidR="00717424" w:rsidRPr="005F2A26">
        <w:rPr>
          <w:szCs w:val="24"/>
          <w:lang w:val="en-US"/>
        </w:rPr>
        <w:t>on</w:t>
      </w:r>
      <w:r w:rsidR="00514A96" w:rsidRPr="005F2A26">
        <w:rPr>
          <w:szCs w:val="24"/>
          <w:lang w:val="en-US"/>
        </w:rPr>
        <w:t xml:space="preserve"> access-based consumption</w:t>
      </w:r>
      <w:r w:rsidR="00097264" w:rsidRPr="005F2A26">
        <w:rPr>
          <w:szCs w:val="24"/>
          <w:lang w:val="en-US"/>
        </w:rPr>
        <w:t xml:space="preserve"> </w:t>
      </w:r>
      <w:r w:rsidR="00514A96" w:rsidRPr="005F2A26">
        <w:rPr>
          <w:szCs w:val="24"/>
          <w:lang w:val="en-US"/>
        </w:rPr>
        <w:t xml:space="preserve">(e.g., </w:t>
      </w:r>
      <w:proofErr w:type="spellStart"/>
      <w:r w:rsidR="00D77966" w:rsidRPr="005F2A26">
        <w:rPr>
          <w:szCs w:val="24"/>
          <w:lang w:val="en-US"/>
        </w:rPr>
        <w:t>Danckwerts</w:t>
      </w:r>
      <w:proofErr w:type="spellEnd"/>
      <w:r w:rsidR="00514A96" w:rsidRPr="005F2A26">
        <w:rPr>
          <w:szCs w:val="24"/>
          <w:lang w:val="en-US"/>
        </w:rPr>
        <w:t xml:space="preserve"> and Kenning, 2019; </w:t>
      </w:r>
      <w:proofErr w:type="spellStart"/>
      <w:r w:rsidR="00514A96" w:rsidRPr="005F2A26">
        <w:rPr>
          <w:szCs w:val="24"/>
          <w:lang w:val="en-US"/>
        </w:rPr>
        <w:t>Fritze</w:t>
      </w:r>
      <w:proofErr w:type="spellEnd"/>
      <w:r w:rsidR="00514A96" w:rsidRPr="005F2A26">
        <w:rPr>
          <w:i/>
          <w:iCs/>
          <w:szCs w:val="24"/>
          <w:lang w:val="en-US"/>
        </w:rPr>
        <w:t xml:space="preserve"> </w:t>
      </w:r>
      <w:r w:rsidR="00957690" w:rsidRPr="00957690">
        <w:rPr>
          <w:i/>
          <w:iCs/>
          <w:szCs w:val="24"/>
          <w:lang w:val="en-US"/>
        </w:rPr>
        <w:t>et al.</w:t>
      </w:r>
      <w:r w:rsidR="00514A96" w:rsidRPr="005F2A26">
        <w:rPr>
          <w:szCs w:val="24"/>
          <w:lang w:val="en-US"/>
        </w:rPr>
        <w:t>, 2020)</w:t>
      </w:r>
      <w:r w:rsidR="00717424" w:rsidRPr="005F2A26">
        <w:rPr>
          <w:szCs w:val="24"/>
          <w:lang w:val="en-US"/>
        </w:rPr>
        <w:t>, little progress has been made</w:t>
      </w:r>
      <w:r w:rsidR="00E4679E" w:rsidRPr="005F2A26">
        <w:rPr>
          <w:szCs w:val="24"/>
          <w:lang w:val="en-US"/>
        </w:rPr>
        <w:t xml:space="preserve"> </w:t>
      </w:r>
      <w:r w:rsidR="00717424" w:rsidRPr="005F2A26">
        <w:rPr>
          <w:szCs w:val="24"/>
          <w:lang w:val="en-US"/>
        </w:rPr>
        <w:t>exploring</w:t>
      </w:r>
      <w:r w:rsidR="00082791" w:rsidRPr="005F2A26">
        <w:rPr>
          <w:szCs w:val="24"/>
          <w:lang w:val="en-US"/>
        </w:rPr>
        <w:t xml:space="preserve"> </w:t>
      </w:r>
      <w:r w:rsidR="00717424" w:rsidRPr="005F2A26">
        <w:rPr>
          <w:szCs w:val="24"/>
          <w:lang w:val="en-US"/>
        </w:rPr>
        <w:t>peer-to-peer (P2P)</w:t>
      </w:r>
      <w:r w:rsidR="00082791" w:rsidRPr="005F2A26">
        <w:rPr>
          <w:szCs w:val="24"/>
          <w:lang w:val="en-US"/>
        </w:rPr>
        <w:t xml:space="preserve"> </w:t>
      </w:r>
      <w:r w:rsidR="00E4679E" w:rsidRPr="005F2A26">
        <w:rPr>
          <w:szCs w:val="24"/>
          <w:lang w:val="en-US"/>
        </w:rPr>
        <w:t>contexts</w:t>
      </w:r>
      <w:r w:rsidR="00514A96" w:rsidRPr="005F2A26">
        <w:rPr>
          <w:szCs w:val="24"/>
          <w:lang w:val="en-US"/>
        </w:rPr>
        <w:t xml:space="preserve">. This is </w:t>
      </w:r>
      <w:r w:rsidR="00EA0CEE" w:rsidRPr="005F2A26">
        <w:rPr>
          <w:szCs w:val="24"/>
          <w:lang w:val="en-US"/>
        </w:rPr>
        <w:t>surprising given</w:t>
      </w:r>
      <w:r w:rsidR="00514A96" w:rsidRPr="005F2A26">
        <w:rPr>
          <w:szCs w:val="24"/>
          <w:lang w:val="en-US"/>
        </w:rPr>
        <w:t xml:space="preserve"> the importance a collective sense of ‘ours’ plays in driving platform </w:t>
      </w:r>
      <w:r w:rsidR="002521DD" w:rsidRPr="005F2A26">
        <w:rPr>
          <w:szCs w:val="24"/>
          <w:lang w:val="en-US"/>
        </w:rPr>
        <w:t xml:space="preserve">business </w:t>
      </w:r>
      <w:r w:rsidR="00514A96" w:rsidRPr="005F2A26">
        <w:rPr>
          <w:szCs w:val="24"/>
          <w:lang w:val="en-US"/>
        </w:rPr>
        <w:t>success (</w:t>
      </w:r>
      <w:r w:rsidR="00133C05" w:rsidRPr="005F2A26">
        <w:rPr>
          <w:szCs w:val="24"/>
          <w:lang w:val="en-US"/>
        </w:rPr>
        <w:t xml:space="preserve">e.g., </w:t>
      </w:r>
      <w:r w:rsidR="00514A96" w:rsidRPr="005F2A26">
        <w:rPr>
          <w:szCs w:val="24"/>
          <w:lang w:val="en-US"/>
        </w:rPr>
        <w:t>Cusumano, 2018).</w:t>
      </w:r>
    </w:p>
    <w:p w14:paraId="27C60E5F" w14:textId="6BD4A0B3" w:rsidR="00FB7F18" w:rsidRDefault="00AC23E4" w:rsidP="00133C05">
      <w:pPr>
        <w:autoSpaceDE w:val="0"/>
        <w:autoSpaceDN w:val="0"/>
        <w:adjustRightInd w:val="0"/>
        <w:spacing w:after="0" w:line="480" w:lineRule="auto"/>
        <w:ind w:firstLine="720"/>
        <w:rPr>
          <w:rFonts w:cs="Times New Roman"/>
          <w:szCs w:val="24"/>
          <w:lang w:val="en-US"/>
        </w:rPr>
      </w:pPr>
      <w:r w:rsidRPr="005F2A26">
        <w:rPr>
          <w:rFonts w:cs="Times New Roman"/>
          <w:szCs w:val="24"/>
          <w:lang w:val="en-US"/>
        </w:rPr>
        <w:t xml:space="preserve">This study contributes to marketing theory in the following ways. </w:t>
      </w:r>
      <w:r w:rsidR="00053F8F" w:rsidRPr="005F2A26">
        <w:rPr>
          <w:rFonts w:cs="Times New Roman"/>
          <w:szCs w:val="24"/>
          <w:lang w:val="en-US"/>
        </w:rPr>
        <w:t>W</w:t>
      </w:r>
      <w:r w:rsidRPr="005F2A26">
        <w:rPr>
          <w:rFonts w:cs="Times New Roman"/>
          <w:szCs w:val="24"/>
          <w:lang w:val="en-US"/>
        </w:rPr>
        <w:t xml:space="preserve">e offer a </w:t>
      </w:r>
      <w:r w:rsidR="003D26FD" w:rsidRPr="005F2A26">
        <w:rPr>
          <w:rFonts w:cs="Times New Roman"/>
          <w:szCs w:val="24"/>
          <w:lang w:val="en-US"/>
        </w:rPr>
        <w:t xml:space="preserve">dynamic </w:t>
      </w:r>
      <w:r w:rsidRPr="005F2A26">
        <w:rPr>
          <w:rFonts w:cs="Times New Roman"/>
          <w:szCs w:val="24"/>
          <w:lang w:val="en-US"/>
        </w:rPr>
        <w:t>conceptual framework</w:t>
      </w:r>
      <w:r w:rsidR="00B24594" w:rsidRPr="005F2A26">
        <w:rPr>
          <w:rFonts w:cs="Times New Roman"/>
          <w:szCs w:val="24"/>
          <w:lang w:val="en-US"/>
        </w:rPr>
        <w:t xml:space="preserve"> – the PO-Engagement </w:t>
      </w:r>
      <w:r w:rsidR="00C672BB" w:rsidRPr="005F2A26">
        <w:rPr>
          <w:rFonts w:cs="Times New Roman"/>
          <w:szCs w:val="24"/>
          <w:lang w:val="en-US"/>
        </w:rPr>
        <w:t>F</w:t>
      </w:r>
      <w:r w:rsidR="00B24594" w:rsidRPr="005F2A26">
        <w:rPr>
          <w:rFonts w:cs="Times New Roman"/>
          <w:szCs w:val="24"/>
          <w:lang w:val="en-US"/>
        </w:rPr>
        <w:t xml:space="preserve">ramework – for </w:t>
      </w:r>
      <w:r w:rsidRPr="005F2A26">
        <w:rPr>
          <w:rFonts w:cs="Times New Roman"/>
          <w:szCs w:val="24"/>
          <w:lang w:val="en-US"/>
        </w:rPr>
        <w:t>the interlinked and interdependent relationship between iPO and cPO as antecedents to actor engagement.</w:t>
      </w:r>
      <w:r w:rsidR="0030073E" w:rsidRPr="005F2A26">
        <w:rPr>
          <w:rFonts w:cs="Times New Roman"/>
          <w:szCs w:val="24"/>
          <w:lang w:val="en-US"/>
        </w:rPr>
        <w:t xml:space="preserve"> </w:t>
      </w:r>
      <w:r w:rsidR="00B24594" w:rsidRPr="005F2A26">
        <w:rPr>
          <w:rFonts w:cs="Times New Roman"/>
          <w:szCs w:val="24"/>
          <w:lang w:val="en-US"/>
        </w:rPr>
        <w:t>The framework</w:t>
      </w:r>
      <w:r w:rsidR="0030073E" w:rsidRPr="005F2A26">
        <w:rPr>
          <w:rFonts w:cs="Times New Roman"/>
          <w:szCs w:val="24"/>
          <w:lang w:val="en-US"/>
        </w:rPr>
        <w:t xml:space="preserve"> e</w:t>
      </w:r>
      <w:r w:rsidRPr="005F2A26">
        <w:rPr>
          <w:rFonts w:cs="Times New Roman"/>
          <w:szCs w:val="24"/>
          <w:lang w:val="en-US"/>
        </w:rPr>
        <w:t xml:space="preserve">ncompasses a </w:t>
      </w:r>
      <w:r w:rsidR="0030073E" w:rsidRPr="005F2A26">
        <w:rPr>
          <w:rFonts w:cs="Times New Roman"/>
          <w:szCs w:val="24"/>
          <w:lang w:val="en-US"/>
        </w:rPr>
        <w:t>dual-level</w:t>
      </w:r>
      <w:r w:rsidRPr="005F2A26">
        <w:rPr>
          <w:rFonts w:cs="Times New Roman"/>
          <w:szCs w:val="24"/>
          <w:lang w:val="en-US"/>
        </w:rPr>
        <w:t xml:space="preserve"> perspective </w:t>
      </w:r>
      <w:r w:rsidR="008F1B3B" w:rsidRPr="005F2A26">
        <w:rPr>
          <w:rFonts w:cs="Times New Roman"/>
          <w:szCs w:val="24"/>
          <w:lang w:val="en-US"/>
        </w:rPr>
        <w:t xml:space="preserve">that includes </w:t>
      </w:r>
      <w:r w:rsidR="008926F8" w:rsidRPr="005F2A26">
        <w:rPr>
          <w:rFonts w:cs="Times New Roman"/>
          <w:szCs w:val="24"/>
          <w:lang w:val="en-US"/>
        </w:rPr>
        <w:t xml:space="preserve">1) </w:t>
      </w:r>
      <w:r w:rsidR="008F1B3B" w:rsidRPr="005F2A26">
        <w:rPr>
          <w:rFonts w:cs="Times New Roman"/>
          <w:szCs w:val="24"/>
          <w:lang w:val="en-US"/>
        </w:rPr>
        <w:t xml:space="preserve">how </w:t>
      </w:r>
      <w:r w:rsidR="008926F8" w:rsidRPr="005F2A26">
        <w:rPr>
          <w:rFonts w:cs="Times New Roman"/>
          <w:szCs w:val="24"/>
          <w:lang w:val="en-US"/>
        </w:rPr>
        <w:t xml:space="preserve">engagement </w:t>
      </w:r>
      <w:r w:rsidR="009A4755" w:rsidRPr="005F2A26">
        <w:rPr>
          <w:rFonts w:eastAsia="Calibri" w:cs="Times New Roman"/>
          <w:szCs w:val="24"/>
          <w:lang w:val="en-US"/>
        </w:rPr>
        <w:t xml:space="preserve">inspired by </w:t>
      </w:r>
      <w:r w:rsidR="00E44247" w:rsidRPr="005F2A26">
        <w:rPr>
          <w:rFonts w:eastAsia="Calibri" w:cs="Times New Roman"/>
          <w:szCs w:val="24"/>
          <w:lang w:val="en-US"/>
        </w:rPr>
        <w:t xml:space="preserve">iPO manifests within a dyad of user and brand, </w:t>
      </w:r>
      <w:r w:rsidR="008926F8" w:rsidRPr="005F2A26">
        <w:rPr>
          <w:rFonts w:eastAsia="Calibri" w:cs="Times New Roman"/>
          <w:szCs w:val="24"/>
          <w:lang w:val="en-US"/>
        </w:rPr>
        <w:t>and 2) how</w:t>
      </w:r>
      <w:r w:rsidR="00E44247" w:rsidRPr="005F2A26">
        <w:rPr>
          <w:rFonts w:eastAsia="Calibri" w:cs="Times New Roman"/>
          <w:szCs w:val="24"/>
          <w:lang w:val="en-US"/>
        </w:rPr>
        <w:t xml:space="preserve"> </w:t>
      </w:r>
      <w:r w:rsidR="009A4755" w:rsidRPr="005F2A26">
        <w:rPr>
          <w:rFonts w:eastAsia="Calibri" w:cs="Times New Roman"/>
          <w:szCs w:val="24"/>
          <w:lang w:val="en-US"/>
        </w:rPr>
        <w:t xml:space="preserve">engagement inspired by </w:t>
      </w:r>
      <w:r w:rsidR="00E44247" w:rsidRPr="005F2A26">
        <w:rPr>
          <w:rFonts w:eastAsia="Calibri" w:cs="Times New Roman"/>
          <w:szCs w:val="24"/>
          <w:lang w:val="en-US"/>
        </w:rPr>
        <w:t>cPO</w:t>
      </w:r>
      <w:r w:rsidR="00913404" w:rsidRPr="005F2A26">
        <w:rPr>
          <w:rFonts w:eastAsia="Calibri" w:cs="Times New Roman"/>
          <w:szCs w:val="24"/>
          <w:lang w:val="en-US"/>
        </w:rPr>
        <w:t xml:space="preserve"> manifests</w:t>
      </w:r>
      <w:r w:rsidR="00E44247" w:rsidRPr="005F2A26">
        <w:rPr>
          <w:rFonts w:eastAsia="Calibri" w:cs="Times New Roman"/>
          <w:szCs w:val="24"/>
          <w:lang w:val="en-US"/>
        </w:rPr>
        <w:t xml:space="preserve"> within </w:t>
      </w:r>
      <w:r w:rsidR="009A4755" w:rsidRPr="005F2A26">
        <w:rPr>
          <w:rFonts w:eastAsia="Calibri" w:cs="Times New Roman"/>
          <w:szCs w:val="24"/>
          <w:lang w:val="en-US"/>
        </w:rPr>
        <w:t xml:space="preserve">a </w:t>
      </w:r>
      <w:r w:rsidR="00E44247" w:rsidRPr="005F2A26">
        <w:rPr>
          <w:rFonts w:eastAsia="Calibri" w:cs="Times New Roman"/>
          <w:szCs w:val="24"/>
          <w:lang w:val="en-US"/>
        </w:rPr>
        <w:t>collective</w:t>
      </w:r>
      <w:r w:rsidR="009A4755" w:rsidRPr="005F2A26">
        <w:rPr>
          <w:rFonts w:eastAsia="Calibri" w:cs="Times New Roman"/>
          <w:szCs w:val="24"/>
          <w:lang w:val="en-US"/>
        </w:rPr>
        <w:t xml:space="preserve">, </w:t>
      </w:r>
      <w:r w:rsidR="008926F8" w:rsidRPr="005F2A26">
        <w:rPr>
          <w:rFonts w:eastAsia="Calibri" w:cs="Times New Roman"/>
          <w:szCs w:val="24"/>
          <w:lang w:val="en-US"/>
        </w:rPr>
        <w:t>which generates</w:t>
      </w:r>
      <w:r w:rsidR="00E44247" w:rsidRPr="005F2A26">
        <w:rPr>
          <w:rFonts w:eastAsia="Calibri" w:cs="Times New Roman"/>
          <w:szCs w:val="24"/>
          <w:lang w:val="en-US"/>
        </w:rPr>
        <w:t xml:space="preserve"> community-oriented </w:t>
      </w:r>
      <w:r w:rsidR="00E44247" w:rsidRPr="005F2A26">
        <w:rPr>
          <w:rFonts w:cs="Times New Roman"/>
          <w:szCs w:val="24"/>
          <w:lang w:val="en-US"/>
        </w:rPr>
        <w:t xml:space="preserve">P2P interactions (Dawkins </w:t>
      </w:r>
      <w:r w:rsidR="00957690" w:rsidRPr="00957690">
        <w:rPr>
          <w:rFonts w:cs="Times New Roman"/>
          <w:i/>
          <w:iCs/>
          <w:szCs w:val="24"/>
          <w:lang w:val="en-US"/>
        </w:rPr>
        <w:t>et al.</w:t>
      </w:r>
      <w:r w:rsidR="00E44247" w:rsidRPr="005F2A26">
        <w:rPr>
          <w:rFonts w:cs="Times New Roman"/>
          <w:szCs w:val="24"/>
          <w:lang w:val="en-US"/>
        </w:rPr>
        <w:t>, 2017).</w:t>
      </w:r>
      <w:r w:rsidR="00896B2C" w:rsidRPr="005F2A26">
        <w:rPr>
          <w:rFonts w:cs="Times New Roman"/>
          <w:szCs w:val="24"/>
          <w:lang w:val="en-US"/>
        </w:rPr>
        <w:t xml:space="preserve"> </w:t>
      </w:r>
      <w:r w:rsidR="009E0437" w:rsidRPr="005F2A26">
        <w:rPr>
          <w:rFonts w:cs="Times New Roman"/>
          <w:szCs w:val="24"/>
          <w:lang w:val="en-US"/>
        </w:rPr>
        <w:t>To do so</w:t>
      </w:r>
      <w:r w:rsidR="00B47835" w:rsidRPr="005F2A26">
        <w:rPr>
          <w:rFonts w:cs="Times New Roman"/>
          <w:szCs w:val="24"/>
          <w:lang w:val="en-US"/>
        </w:rPr>
        <w:t xml:space="preserve">, we categorize platform businesses according to the </w:t>
      </w:r>
      <w:r w:rsidR="00823E15">
        <w:rPr>
          <w:rFonts w:cs="Times New Roman"/>
          <w:szCs w:val="24"/>
          <w:lang w:val="en-US"/>
        </w:rPr>
        <w:t xml:space="preserve">degree of control </w:t>
      </w:r>
      <w:r w:rsidR="00B47835" w:rsidRPr="005F2A26">
        <w:rPr>
          <w:rFonts w:cs="Times New Roman"/>
          <w:szCs w:val="24"/>
          <w:lang w:val="en-US"/>
        </w:rPr>
        <w:t xml:space="preserve">they take in mediating user interactions, and the </w:t>
      </w:r>
      <w:r w:rsidR="00823E15">
        <w:rPr>
          <w:rFonts w:cs="Times New Roman"/>
          <w:szCs w:val="24"/>
          <w:lang w:val="en-US"/>
        </w:rPr>
        <w:t>optimal type</w:t>
      </w:r>
      <w:r w:rsidR="00152272">
        <w:rPr>
          <w:rFonts w:cs="Times New Roman"/>
          <w:szCs w:val="24"/>
          <w:lang w:val="en-US"/>
        </w:rPr>
        <w:t>s</w:t>
      </w:r>
      <w:r w:rsidR="00823E15">
        <w:rPr>
          <w:rFonts w:cs="Times New Roman"/>
          <w:szCs w:val="24"/>
          <w:lang w:val="en-US"/>
        </w:rPr>
        <w:t xml:space="preserve"> of</w:t>
      </w:r>
      <w:r w:rsidR="00B47835" w:rsidRPr="005F2A26">
        <w:rPr>
          <w:rFonts w:cs="Times New Roman"/>
          <w:szCs w:val="24"/>
          <w:lang w:val="en-US"/>
        </w:rPr>
        <w:t xml:space="preserve"> engagement</w:t>
      </w:r>
      <w:r w:rsidR="004852C2">
        <w:rPr>
          <w:rFonts w:cs="Times New Roman"/>
          <w:szCs w:val="24"/>
          <w:lang w:val="en-US"/>
        </w:rPr>
        <w:t xml:space="preserve"> required for platform success</w:t>
      </w:r>
      <w:r w:rsidR="00B47835" w:rsidRPr="005F2A26">
        <w:rPr>
          <w:rFonts w:cs="Times New Roman"/>
          <w:szCs w:val="24"/>
          <w:lang w:val="en-US"/>
        </w:rPr>
        <w:t xml:space="preserve">. </w:t>
      </w:r>
      <w:r w:rsidR="00893E01">
        <w:rPr>
          <w:rFonts w:cs="Times New Roman"/>
          <w:szCs w:val="24"/>
          <w:lang w:val="en-US"/>
        </w:rPr>
        <w:t xml:space="preserve">Some platforms </w:t>
      </w:r>
      <w:r w:rsidR="00B47835" w:rsidRPr="005F2A26">
        <w:rPr>
          <w:rFonts w:cs="Times New Roman"/>
          <w:szCs w:val="24"/>
          <w:lang w:val="en-US"/>
        </w:rPr>
        <w:t xml:space="preserve">closely control </w:t>
      </w:r>
      <w:r w:rsidR="0040779B">
        <w:rPr>
          <w:rFonts w:cs="Times New Roman"/>
          <w:szCs w:val="24"/>
          <w:lang w:val="en-US"/>
        </w:rPr>
        <w:t xml:space="preserve">user interactions, </w:t>
      </w:r>
      <w:r w:rsidR="00B47835" w:rsidRPr="005F2A26">
        <w:rPr>
          <w:rFonts w:cs="Times New Roman"/>
          <w:szCs w:val="24"/>
          <w:lang w:val="en-US"/>
        </w:rPr>
        <w:t>the service offering</w:t>
      </w:r>
      <w:r w:rsidR="0040779B">
        <w:rPr>
          <w:rFonts w:cs="Times New Roman"/>
          <w:szCs w:val="24"/>
          <w:lang w:val="en-US"/>
        </w:rPr>
        <w:t>,</w:t>
      </w:r>
      <w:r w:rsidR="00B47835" w:rsidRPr="005F2A26">
        <w:rPr>
          <w:rFonts w:cs="Times New Roman"/>
          <w:szCs w:val="24"/>
          <w:lang w:val="en-US"/>
        </w:rPr>
        <w:t xml:space="preserve"> and payments (e.g., Uber)</w:t>
      </w:r>
      <w:r w:rsidR="004852C2">
        <w:rPr>
          <w:rFonts w:cs="Times New Roman"/>
          <w:szCs w:val="24"/>
          <w:lang w:val="en-US"/>
        </w:rPr>
        <w:t>, and us</w:t>
      </w:r>
      <w:r w:rsidR="005313E0" w:rsidRPr="005F2A26">
        <w:rPr>
          <w:rFonts w:cs="Times New Roman"/>
          <w:szCs w:val="24"/>
          <w:lang w:val="en-US"/>
        </w:rPr>
        <w:t xml:space="preserve">ers are </w:t>
      </w:r>
      <w:r w:rsidR="009E0437" w:rsidRPr="005F2A26">
        <w:rPr>
          <w:rFonts w:cs="Times New Roman"/>
          <w:szCs w:val="24"/>
          <w:lang w:val="en-US"/>
        </w:rPr>
        <w:t>mostly</w:t>
      </w:r>
      <w:r w:rsidR="005313E0" w:rsidRPr="005F2A26">
        <w:rPr>
          <w:rFonts w:cs="Times New Roman"/>
          <w:szCs w:val="24"/>
          <w:lang w:val="en-US"/>
        </w:rPr>
        <w:t xml:space="preserve"> asked to </w:t>
      </w:r>
      <w:r w:rsidR="007A1B66" w:rsidRPr="005F2A26">
        <w:rPr>
          <w:rFonts w:cs="Times New Roman"/>
          <w:szCs w:val="24"/>
          <w:lang w:val="en-US"/>
        </w:rPr>
        <w:t xml:space="preserve">simply </w:t>
      </w:r>
      <w:r w:rsidR="005313E0" w:rsidRPr="005F2A26">
        <w:rPr>
          <w:rFonts w:cs="Times New Roman"/>
          <w:szCs w:val="24"/>
          <w:lang w:val="en-US"/>
        </w:rPr>
        <w:t xml:space="preserve">rank </w:t>
      </w:r>
      <w:r w:rsidR="009E0437" w:rsidRPr="005F2A26">
        <w:rPr>
          <w:rFonts w:cs="Times New Roman"/>
          <w:szCs w:val="24"/>
          <w:lang w:val="en-US"/>
        </w:rPr>
        <w:t xml:space="preserve">each </w:t>
      </w:r>
      <w:r w:rsidR="005313E0" w:rsidRPr="005F2A26">
        <w:rPr>
          <w:rFonts w:cs="Times New Roman"/>
          <w:szCs w:val="24"/>
          <w:lang w:val="en-US"/>
        </w:rPr>
        <w:t>other</w:t>
      </w:r>
      <w:r w:rsidR="0040779B">
        <w:rPr>
          <w:rFonts w:cs="Times New Roman"/>
          <w:szCs w:val="24"/>
          <w:lang w:val="en-US"/>
        </w:rPr>
        <w:t>. For these platforms,</w:t>
      </w:r>
      <w:r w:rsidR="0083651C">
        <w:rPr>
          <w:rFonts w:cs="Times New Roman"/>
          <w:szCs w:val="24"/>
          <w:lang w:val="en-US"/>
        </w:rPr>
        <w:t xml:space="preserve"> </w:t>
      </w:r>
      <w:r w:rsidR="005313E0" w:rsidRPr="005F2A26">
        <w:rPr>
          <w:rFonts w:cs="Times New Roman"/>
          <w:szCs w:val="24"/>
          <w:lang w:val="en-US"/>
        </w:rPr>
        <w:t>dyadic engagement</w:t>
      </w:r>
      <w:r w:rsidR="006C7DD2" w:rsidRPr="005F2A26">
        <w:rPr>
          <w:rFonts w:cs="Times New Roman"/>
          <w:szCs w:val="24"/>
          <w:lang w:val="en-US"/>
        </w:rPr>
        <w:t xml:space="preserve"> between platform and user</w:t>
      </w:r>
      <w:r w:rsidR="00316017">
        <w:rPr>
          <w:rFonts w:cs="Times New Roman"/>
          <w:szCs w:val="24"/>
          <w:lang w:val="en-US"/>
        </w:rPr>
        <w:t xml:space="preserve"> is optimal</w:t>
      </w:r>
      <w:r w:rsidR="00EB4783">
        <w:rPr>
          <w:rFonts w:cs="Times New Roman"/>
          <w:szCs w:val="24"/>
          <w:lang w:val="en-US"/>
        </w:rPr>
        <w:t>. We</w:t>
      </w:r>
      <w:r w:rsidR="00314D12">
        <w:rPr>
          <w:rFonts w:cs="Times New Roman"/>
          <w:szCs w:val="24"/>
          <w:lang w:val="en-US"/>
        </w:rPr>
        <w:t xml:space="preserve"> argue this dyadic engagement</w:t>
      </w:r>
      <w:r w:rsidR="005313E0" w:rsidRPr="005F2A26">
        <w:rPr>
          <w:rFonts w:cs="Times New Roman"/>
          <w:szCs w:val="24"/>
          <w:lang w:val="en-US"/>
        </w:rPr>
        <w:t xml:space="preserve"> </w:t>
      </w:r>
      <w:r w:rsidR="00314D12">
        <w:rPr>
          <w:rFonts w:cs="Times New Roman"/>
          <w:szCs w:val="24"/>
          <w:lang w:val="en-US"/>
        </w:rPr>
        <w:t xml:space="preserve">is preceded by a sense of </w:t>
      </w:r>
      <w:r w:rsidR="005313E0" w:rsidRPr="005F2A26">
        <w:rPr>
          <w:rFonts w:cs="Times New Roman"/>
          <w:szCs w:val="24"/>
          <w:lang w:val="en-US"/>
        </w:rPr>
        <w:t>iPO</w:t>
      </w:r>
      <w:r w:rsidR="00314D12">
        <w:rPr>
          <w:rFonts w:cs="Times New Roman"/>
          <w:szCs w:val="24"/>
          <w:lang w:val="en-US"/>
        </w:rPr>
        <w:t xml:space="preserve"> in the user</w:t>
      </w:r>
      <w:r w:rsidR="005313E0" w:rsidRPr="005F2A26">
        <w:rPr>
          <w:rFonts w:cs="Times New Roman"/>
          <w:szCs w:val="24"/>
          <w:lang w:val="en-US"/>
        </w:rPr>
        <w:t>.</w:t>
      </w:r>
      <w:r w:rsidR="00B47835" w:rsidRPr="005F2A26">
        <w:rPr>
          <w:rFonts w:cs="Times New Roman"/>
          <w:szCs w:val="24"/>
          <w:lang w:val="en-US"/>
        </w:rPr>
        <w:t xml:space="preserve"> </w:t>
      </w:r>
      <w:r w:rsidR="005313E0" w:rsidRPr="005F2A26">
        <w:rPr>
          <w:rFonts w:cs="Times New Roman"/>
          <w:szCs w:val="24"/>
          <w:lang w:val="en-US"/>
        </w:rPr>
        <w:t xml:space="preserve">Where a platform relies heavily on dynamic P2P interactions and user generated content for success, collective engagement </w:t>
      </w:r>
      <w:r w:rsidR="005C4C2E" w:rsidRPr="005F2A26">
        <w:rPr>
          <w:rFonts w:cs="Times New Roman"/>
          <w:szCs w:val="24"/>
          <w:lang w:val="en-US"/>
        </w:rPr>
        <w:t>within and amongst a community</w:t>
      </w:r>
      <w:r w:rsidR="009266DC">
        <w:rPr>
          <w:rFonts w:cs="Times New Roman"/>
          <w:szCs w:val="24"/>
          <w:lang w:val="en-US"/>
        </w:rPr>
        <w:t xml:space="preserve"> is optimal. This type of engagement is preceded by </w:t>
      </w:r>
      <w:r w:rsidR="003E6545">
        <w:rPr>
          <w:rFonts w:cs="Times New Roman"/>
          <w:szCs w:val="24"/>
          <w:lang w:val="en-US"/>
        </w:rPr>
        <w:t xml:space="preserve">both </w:t>
      </w:r>
      <w:r w:rsidR="00792CDF">
        <w:rPr>
          <w:rFonts w:cs="Times New Roman"/>
          <w:szCs w:val="24"/>
          <w:lang w:val="en-US"/>
        </w:rPr>
        <w:t xml:space="preserve">a sense of </w:t>
      </w:r>
      <w:r w:rsidR="003E6545">
        <w:rPr>
          <w:rFonts w:cs="Times New Roman"/>
          <w:szCs w:val="24"/>
          <w:lang w:val="en-US"/>
        </w:rPr>
        <w:t xml:space="preserve">iPO and </w:t>
      </w:r>
      <w:r w:rsidR="005313E0" w:rsidRPr="005F2A26">
        <w:rPr>
          <w:rFonts w:cs="Times New Roman"/>
          <w:szCs w:val="24"/>
          <w:lang w:val="en-US"/>
        </w:rPr>
        <w:t xml:space="preserve">cPO </w:t>
      </w:r>
      <w:r w:rsidR="00622D70">
        <w:rPr>
          <w:rFonts w:cs="Times New Roman"/>
          <w:szCs w:val="24"/>
          <w:lang w:val="en-US"/>
        </w:rPr>
        <w:t>in platform users</w:t>
      </w:r>
      <w:r w:rsidR="005313E0" w:rsidRPr="005F2A26">
        <w:rPr>
          <w:rFonts w:cs="Times New Roman"/>
          <w:szCs w:val="24"/>
          <w:lang w:val="en-US"/>
        </w:rPr>
        <w:t xml:space="preserve">. </w:t>
      </w:r>
    </w:p>
    <w:p w14:paraId="47B0E9B1" w14:textId="6B6E18CB" w:rsidR="00AC23E4" w:rsidRPr="005F2A26" w:rsidRDefault="006D5B1D" w:rsidP="00133C05">
      <w:pPr>
        <w:autoSpaceDE w:val="0"/>
        <w:autoSpaceDN w:val="0"/>
        <w:adjustRightInd w:val="0"/>
        <w:spacing w:after="0" w:line="480" w:lineRule="auto"/>
        <w:ind w:firstLine="720"/>
        <w:rPr>
          <w:rFonts w:cs="Times New Roman"/>
          <w:szCs w:val="24"/>
          <w:lang w:val="en-US"/>
        </w:rPr>
      </w:pPr>
      <w:r>
        <w:rPr>
          <w:rFonts w:cs="Times New Roman"/>
          <w:szCs w:val="24"/>
          <w:lang w:val="en-US"/>
        </w:rPr>
        <w:t>Further, by</w:t>
      </w:r>
      <w:r w:rsidR="00896B2C" w:rsidRPr="005F2A26">
        <w:rPr>
          <w:rFonts w:cs="Times New Roman"/>
          <w:szCs w:val="24"/>
          <w:lang w:val="en-US"/>
        </w:rPr>
        <w:t xml:space="preserve"> </w:t>
      </w:r>
      <w:r w:rsidR="00AC23E4" w:rsidRPr="005F2A26">
        <w:rPr>
          <w:rFonts w:cs="Times New Roman"/>
          <w:szCs w:val="24"/>
          <w:lang w:val="en-US"/>
        </w:rPr>
        <w:t>illustrat</w:t>
      </w:r>
      <w:r w:rsidR="00896B2C" w:rsidRPr="005F2A26">
        <w:rPr>
          <w:rFonts w:cs="Times New Roman"/>
          <w:szCs w:val="24"/>
          <w:lang w:val="en-US"/>
        </w:rPr>
        <w:t>ing</w:t>
      </w:r>
      <w:r w:rsidR="00AC23E4" w:rsidRPr="005F2A26">
        <w:rPr>
          <w:rFonts w:cs="Times New Roman"/>
          <w:szCs w:val="24"/>
          <w:lang w:val="en-US"/>
        </w:rPr>
        <w:t xml:space="preserve"> the emergence of both iPO and cPO in the SE context</w:t>
      </w:r>
      <w:r w:rsidR="00896B2C" w:rsidRPr="005F2A26">
        <w:rPr>
          <w:rFonts w:cs="Times New Roman"/>
          <w:szCs w:val="24"/>
          <w:lang w:val="en-US"/>
        </w:rPr>
        <w:t xml:space="preserve">, </w:t>
      </w:r>
      <w:r w:rsidR="00693D84">
        <w:rPr>
          <w:rFonts w:cs="Times New Roman"/>
          <w:szCs w:val="24"/>
          <w:lang w:val="en-US"/>
        </w:rPr>
        <w:t xml:space="preserve">we also </w:t>
      </w:r>
      <w:r w:rsidR="00AC23E4" w:rsidRPr="005F2A26">
        <w:rPr>
          <w:rFonts w:cs="Times New Roman"/>
          <w:szCs w:val="24"/>
          <w:lang w:val="en-US"/>
        </w:rPr>
        <w:t>identif</w:t>
      </w:r>
      <w:r w:rsidR="00693D84">
        <w:rPr>
          <w:rFonts w:cs="Times New Roman"/>
          <w:szCs w:val="24"/>
          <w:lang w:val="en-US"/>
        </w:rPr>
        <w:t>y</w:t>
      </w:r>
      <w:r w:rsidR="00AC23E4" w:rsidRPr="005F2A26">
        <w:rPr>
          <w:rFonts w:cs="Times New Roman"/>
          <w:szCs w:val="24"/>
          <w:lang w:val="en-US"/>
        </w:rPr>
        <w:t xml:space="preserve"> the </w:t>
      </w:r>
      <w:r w:rsidR="00896B2C" w:rsidRPr="005F2A26">
        <w:rPr>
          <w:rFonts w:cs="Times New Roman"/>
          <w:szCs w:val="24"/>
          <w:lang w:val="en-US"/>
        </w:rPr>
        <w:t xml:space="preserve">diversity of </w:t>
      </w:r>
      <w:r w:rsidR="00AC23E4" w:rsidRPr="005F2A26">
        <w:rPr>
          <w:rFonts w:cs="Times New Roman"/>
          <w:szCs w:val="24"/>
          <w:lang w:val="en-US"/>
        </w:rPr>
        <w:t xml:space="preserve">‘targets’ to which </w:t>
      </w:r>
      <w:r w:rsidR="008D386E" w:rsidRPr="005F2A26">
        <w:rPr>
          <w:rFonts w:cs="Times New Roman"/>
          <w:szCs w:val="24"/>
          <w:lang w:val="en-US"/>
        </w:rPr>
        <w:t xml:space="preserve">individual or collective </w:t>
      </w:r>
      <w:r w:rsidR="00AC23E4" w:rsidRPr="005F2A26">
        <w:rPr>
          <w:rFonts w:cs="Times New Roman"/>
          <w:szCs w:val="24"/>
          <w:lang w:val="en-US"/>
        </w:rPr>
        <w:t>actors attach themselves</w:t>
      </w:r>
      <w:r w:rsidR="00896B2C" w:rsidRPr="005F2A26">
        <w:rPr>
          <w:rFonts w:cs="Times New Roman"/>
          <w:szCs w:val="24"/>
          <w:lang w:val="en-US"/>
        </w:rPr>
        <w:t xml:space="preserve">, </w:t>
      </w:r>
      <w:r w:rsidR="00896B2C" w:rsidRPr="005F2A26">
        <w:rPr>
          <w:rFonts w:cs="Times New Roman"/>
          <w:szCs w:val="24"/>
          <w:lang w:val="en-US"/>
        </w:rPr>
        <w:lastRenderedPageBreak/>
        <w:t>including</w:t>
      </w:r>
      <w:r w:rsidR="00AC23E4" w:rsidRPr="005F2A26">
        <w:rPr>
          <w:rFonts w:cs="Times New Roman"/>
          <w:szCs w:val="24"/>
          <w:lang w:val="en-US"/>
        </w:rPr>
        <w:t xml:space="preserve"> brands, service offerings, personal ratings, or ‘our SE-community’ </w:t>
      </w:r>
      <w:r w:rsidR="00AC23E4" w:rsidRPr="005F2A26">
        <w:rPr>
          <w:rFonts w:eastAsiaTheme="minorEastAsia" w:cs="Times New Roman"/>
          <w:szCs w:val="24"/>
          <w:lang w:val="en-US" w:eastAsia="zh-CN"/>
        </w:rPr>
        <w:t>(Kumar, 2019)</w:t>
      </w:r>
      <w:r w:rsidR="00AC23E4" w:rsidRPr="005F2A26">
        <w:rPr>
          <w:rFonts w:cs="Times New Roman"/>
          <w:szCs w:val="24"/>
          <w:lang w:val="en-US"/>
        </w:rPr>
        <w:t xml:space="preserve">. </w:t>
      </w:r>
      <w:r w:rsidR="00562B16" w:rsidRPr="005F2A26">
        <w:rPr>
          <w:rFonts w:cs="Times New Roman"/>
          <w:szCs w:val="24"/>
          <w:lang w:val="en-US"/>
        </w:rPr>
        <w:t>T</w:t>
      </w:r>
      <w:r w:rsidR="00AC23E4" w:rsidRPr="005F2A26">
        <w:rPr>
          <w:rFonts w:cs="Times New Roman"/>
          <w:szCs w:val="24"/>
          <w:lang w:val="en-US"/>
        </w:rPr>
        <w:t>hrough its methodological approach, th</w:t>
      </w:r>
      <w:r w:rsidR="00AF43C2" w:rsidRPr="005F2A26">
        <w:rPr>
          <w:rFonts w:cs="Times New Roman"/>
          <w:szCs w:val="24"/>
          <w:lang w:val="en-US"/>
        </w:rPr>
        <w:t>is</w:t>
      </w:r>
      <w:r w:rsidR="00AC23E4" w:rsidRPr="005F2A26">
        <w:rPr>
          <w:rFonts w:cs="Times New Roman"/>
          <w:szCs w:val="24"/>
          <w:lang w:val="en-US"/>
        </w:rPr>
        <w:t xml:space="preserve"> study highlights the benefits that both PO and engagement theory can achieve through synthesis. For engagement, PO theory </w:t>
      </w:r>
      <w:r w:rsidR="00F70789">
        <w:rPr>
          <w:rFonts w:cs="Times New Roman"/>
          <w:szCs w:val="24"/>
          <w:lang w:val="en-US"/>
        </w:rPr>
        <w:t>explains</w:t>
      </w:r>
      <w:r w:rsidR="000864F5" w:rsidRPr="005F2A26">
        <w:rPr>
          <w:rFonts w:cs="Times New Roman"/>
          <w:szCs w:val="24"/>
          <w:lang w:val="en-US"/>
        </w:rPr>
        <w:t xml:space="preserve"> </w:t>
      </w:r>
      <w:r w:rsidR="00AC23E4" w:rsidRPr="005F2A26">
        <w:rPr>
          <w:rFonts w:cs="Times New Roman"/>
          <w:szCs w:val="24"/>
          <w:lang w:val="en-US"/>
        </w:rPr>
        <w:t xml:space="preserve">the antecedents that precede </w:t>
      </w:r>
      <w:r w:rsidR="00AF43C2" w:rsidRPr="005F2A26">
        <w:rPr>
          <w:rFonts w:cs="Times New Roman"/>
          <w:szCs w:val="24"/>
          <w:lang w:val="en-US"/>
        </w:rPr>
        <w:t xml:space="preserve">an actor’s </w:t>
      </w:r>
      <w:r w:rsidR="000A28F9" w:rsidRPr="005F2A26">
        <w:rPr>
          <w:rFonts w:cs="Times New Roman"/>
          <w:szCs w:val="24"/>
          <w:lang w:val="en-US"/>
        </w:rPr>
        <w:t xml:space="preserve">positively </w:t>
      </w:r>
      <w:proofErr w:type="spellStart"/>
      <w:r w:rsidR="000A28F9" w:rsidRPr="005F2A26">
        <w:rPr>
          <w:rFonts w:cs="Times New Roman"/>
          <w:szCs w:val="24"/>
          <w:lang w:val="en-US"/>
        </w:rPr>
        <w:t>valenced</w:t>
      </w:r>
      <w:proofErr w:type="spellEnd"/>
      <w:r w:rsidR="000A28F9" w:rsidRPr="005F2A26">
        <w:rPr>
          <w:rFonts w:cs="Times New Roman"/>
          <w:szCs w:val="24"/>
          <w:lang w:val="en-US"/>
        </w:rPr>
        <w:t xml:space="preserve"> disposition</w:t>
      </w:r>
      <w:r w:rsidR="00716D1A" w:rsidRPr="005F2A26">
        <w:rPr>
          <w:rFonts w:cs="Times New Roman"/>
          <w:szCs w:val="24"/>
          <w:lang w:val="en-US"/>
        </w:rPr>
        <w:t xml:space="preserve"> and activities</w:t>
      </w:r>
      <w:r w:rsidR="00AF43C2" w:rsidRPr="005F2A26">
        <w:rPr>
          <w:rFonts w:cs="Times New Roman"/>
          <w:szCs w:val="24"/>
          <w:lang w:val="en-US"/>
        </w:rPr>
        <w:t>, and</w:t>
      </w:r>
      <w:r w:rsidR="00AC23E4" w:rsidRPr="005F2A26">
        <w:rPr>
          <w:rFonts w:cs="Times New Roman"/>
          <w:szCs w:val="24"/>
          <w:lang w:val="en-US"/>
        </w:rPr>
        <w:t xml:space="preserve"> </w:t>
      </w:r>
      <w:r w:rsidR="00AF43C2" w:rsidRPr="005F2A26">
        <w:rPr>
          <w:rFonts w:cs="Times New Roman"/>
          <w:szCs w:val="24"/>
          <w:lang w:val="en-US"/>
        </w:rPr>
        <w:t>f</w:t>
      </w:r>
      <w:r w:rsidR="00AC23E4" w:rsidRPr="005F2A26">
        <w:rPr>
          <w:rFonts w:cs="Times New Roman"/>
          <w:szCs w:val="24"/>
          <w:lang w:val="en-US"/>
        </w:rPr>
        <w:t>or PO, engagement theory offers increased clarification of the</w:t>
      </w:r>
      <w:r w:rsidR="009B1E82" w:rsidRPr="005F2A26">
        <w:rPr>
          <w:rFonts w:cs="Times New Roman"/>
          <w:szCs w:val="24"/>
          <w:lang w:val="en-US"/>
        </w:rPr>
        <w:t xml:space="preserve"> </w:t>
      </w:r>
      <w:r w:rsidR="001D60D7" w:rsidRPr="005F2A26">
        <w:rPr>
          <w:rFonts w:cs="Times New Roman"/>
          <w:szCs w:val="24"/>
          <w:lang w:val="en-US"/>
        </w:rPr>
        <w:t>consequences</w:t>
      </w:r>
      <w:r w:rsidR="00AC23E4" w:rsidRPr="005F2A26">
        <w:rPr>
          <w:rFonts w:cs="Times New Roman"/>
          <w:szCs w:val="24"/>
          <w:lang w:val="en-US"/>
        </w:rPr>
        <w:t xml:space="preserve"> of iPO and cPO. </w:t>
      </w:r>
    </w:p>
    <w:p w14:paraId="4B583658" w14:textId="514522F4" w:rsidR="00B916E3" w:rsidRPr="005F2A26" w:rsidRDefault="00AC23E4">
      <w:pPr>
        <w:autoSpaceDE w:val="0"/>
        <w:autoSpaceDN w:val="0"/>
        <w:adjustRightInd w:val="0"/>
        <w:spacing w:after="0" w:line="480" w:lineRule="auto"/>
        <w:ind w:firstLine="720"/>
        <w:rPr>
          <w:rFonts w:cs="Times New Roman"/>
          <w:szCs w:val="24"/>
          <w:lang w:val="en-US"/>
        </w:rPr>
      </w:pPr>
      <w:r w:rsidRPr="005F2A26">
        <w:rPr>
          <w:rFonts w:cs="Times New Roman"/>
          <w:szCs w:val="24"/>
          <w:lang w:val="en-US"/>
        </w:rPr>
        <w:t xml:space="preserve">The remainder of the paper is organized as follows. First, we offer a brief background to </w:t>
      </w:r>
      <w:r w:rsidR="004221A3" w:rsidRPr="005F2A26">
        <w:rPr>
          <w:rFonts w:cs="Times New Roman"/>
          <w:szCs w:val="24"/>
          <w:lang w:val="en-US"/>
        </w:rPr>
        <w:t xml:space="preserve">our research context, </w:t>
      </w:r>
      <w:r w:rsidRPr="005F2A26">
        <w:rPr>
          <w:rFonts w:cs="Times New Roman"/>
          <w:szCs w:val="24"/>
          <w:lang w:val="en-US"/>
        </w:rPr>
        <w:t xml:space="preserve">the SE. Second, </w:t>
      </w:r>
      <w:r w:rsidR="004221A3" w:rsidRPr="005F2A26">
        <w:rPr>
          <w:rFonts w:cs="Times New Roman"/>
          <w:szCs w:val="24"/>
          <w:lang w:val="en-US"/>
        </w:rPr>
        <w:t xml:space="preserve">developments in the engagement literature are </w:t>
      </w:r>
      <w:r w:rsidR="008B4433" w:rsidRPr="005F2A26">
        <w:rPr>
          <w:rFonts w:cs="Times New Roman"/>
          <w:szCs w:val="24"/>
          <w:lang w:val="en-US"/>
        </w:rPr>
        <w:t>summarized</w:t>
      </w:r>
      <w:r w:rsidR="004221A3" w:rsidRPr="005F2A26">
        <w:rPr>
          <w:rFonts w:cs="Times New Roman"/>
          <w:szCs w:val="24"/>
          <w:lang w:val="en-US"/>
        </w:rPr>
        <w:t xml:space="preserve">, including the evolution from customer, to actor, to collective engagement. Third, </w:t>
      </w:r>
      <w:r w:rsidRPr="005F2A26">
        <w:rPr>
          <w:rFonts w:cs="Times New Roman"/>
          <w:szCs w:val="24"/>
          <w:lang w:val="en-US"/>
        </w:rPr>
        <w:t xml:space="preserve">iPO and cPO are introduced, including identifying the </w:t>
      </w:r>
      <w:r w:rsidR="004221A3" w:rsidRPr="005F2A26">
        <w:rPr>
          <w:rFonts w:cs="Times New Roman"/>
          <w:szCs w:val="24"/>
          <w:lang w:val="en-US"/>
        </w:rPr>
        <w:t>human needs</w:t>
      </w:r>
      <w:r w:rsidRPr="005F2A26">
        <w:rPr>
          <w:rFonts w:cs="Times New Roman"/>
          <w:szCs w:val="24"/>
          <w:lang w:val="en-US"/>
        </w:rPr>
        <w:t xml:space="preserve"> </w:t>
      </w:r>
      <w:r w:rsidR="004221A3" w:rsidRPr="005F2A26">
        <w:rPr>
          <w:rFonts w:cs="Times New Roman"/>
          <w:szCs w:val="24"/>
          <w:lang w:val="en-US"/>
        </w:rPr>
        <w:t xml:space="preserve">and causes that drive their emergence, and </w:t>
      </w:r>
      <w:r w:rsidRPr="005F2A26">
        <w:rPr>
          <w:rFonts w:cs="Times New Roman"/>
          <w:szCs w:val="24"/>
          <w:lang w:val="en-US"/>
        </w:rPr>
        <w:t>the</w:t>
      </w:r>
      <w:r w:rsidR="00D47F6C" w:rsidRPr="005F2A26">
        <w:rPr>
          <w:rFonts w:cs="Times New Roman"/>
          <w:szCs w:val="24"/>
          <w:lang w:val="en-US"/>
        </w:rPr>
        <w:t xml:space="preserve"> nature of targets of PO in the SE. </w:t>
      </w:r>
      <w:r w:rsidR="004221A3" w:rsidRPr="005F2A26">
        <w:rPr>
          <w:rFonts w:cs="Times New Roman"/>
          <w:szCs w:val="24"/>
          <w:lang w:val="en-US"/>
        </w:rPr>
        <w:t>Fourth</w:t>
      </w:r>
      <w:r w:rsidRPr="005F2A26">
        <w:rPr>
          <w:rFonts w:cs="Times New Roman"/>
          <w:szCs w:val="24"/>
          <w:lang w:val="en-US"/>
        </w:rPr>
        <w:t xml:space="preserve">, these discussions enable us to introduce </w:t>
      </w:r>
      <w:r w:rsidR="00892E5A" w:rsidRPr="005F2A26">
        <w:rPr>
          <w:rFonts w:cs="Times New Roman"/>
          <w:szCs w:val="24"/>
          <w:lang w:val="en-US"/>
        </w:rPr>
        <w:t>our</w:t>
      </w:r>
      <w:r w:rsidRPr="005F2A26">
        <w:rPr>
          <w:rFonts w:cs="Times New Roman"/>
          <w:szCs w:val="24"/>
          <w:lang w:val="en-US"/>
        </w:rPr>
        <w:t xml:space="preserve"> dynamic </w:t>
      </w:r>
      <w:r w:rsidR="00966018" w:rsidRPr="005F2A26">
        <w:rPr>
          <w:rFonts w:cs="Times New Roman"/>
          <w:szCs w:val="24"/>
          <w:lang w:val="en-US"/>
        </w:rPr>
        <w:t xml:space="preserve">PO-Engagement </w:t>
      </w:r>
      <w:r w:rsidR="00C672BB" w:rsidRPr="005F2A26">
        <w:rPr>
          <w:rFonts w:cs="Times New Roman"/>
          <w:szCs w:val="24"/>
          <w:lang w:val="en-US"/>
        </w:rPr>
        <w:t>F</w:t>
      </w:r>
      <w:r w:rsidRPr="005F2A26">
        <w:rPr>
          <w:rFonts w:cs="Times New Roman"/>
          <w:szCs w:val="24"/>
          <w:lang w:val="en-US"/>
        </w:rPr>
        <w:t>ramework</w:t>
      </w:r>
      <w:r w:rsidR="00892E5A" w:rsidRPr="005F2A26">
        <w:rPr>
          <w:rFonts w:cs="Times New Roman"/>
          <w:szCs w:val="24"/>
          <w:lang w:val="en-US"/>
        </w:rPr>
        <w:t xml:space="preserve"> </w:t>
      </w:r>
      <w:r w:rsidRPr="005F2A26">
        <w:rPr>
          <w:rFonts w:cs="Times New Roman"/>
          <w:szCs w:val="24"/>
          <w:lang w:val="en-US"/>
        </w:rPr>
        <w:t>before concluding with our theoretical contribution, managerial implications, and suggestions for future research.</w:t>
      </w:r>
      <w:bookmarkEnd w:id="4"/>
    </w:p>
    <w:p w14:paraId="100A6899" w14:textId="19428B69" w:rsidR="00C44216" w:rsidRPr="005F2A26" w:rsidRDefault="00692C5C" w:rsidP="00C93EC4">
      <w:pPr>
        <w:spacing w:after="0" w:line="480" w:lineRule="auto"/>
        <w:ind w:firstLine="720"/>
        <w:rPr>
          <w:rFonts w:cs="Times New Roman"/>
          <w:szCs w:val="24"/>
          <w:lang w:val="en-US"/>
        </w:rPr>
      </w:pPr>
      <w:r w:rsidRPr="005F2A26">
        <w:rPr>
          <w:rFonts w:cs="Times New Roman"/>
          <w:szCs w:val="24"/>
          <w:lang w:val="en-US"/>
        </w:rPr>
        <w:t xml:space="preserve"> </w:t>
      </w:r>
      <w:r w:rsidR="00C44216" w:rsidRPr="005F2A26">
        <w:rPr>
          <w:rFonts w:cs="Times New Roman"/>
          <w:szCs w:val="24"/>
          <w:lang w:val="en-US"/>
        </w:rPr>
        <w:t xml:space="preserve"> </w:t>
      </w:r>
    </w:p>
    <w:bookmarkEnd w:id="0"/>
    <w:p w14:paraId="7A5B6948" w14:textId="742F767C" w:rsidR="00C44216" w:rsidRPr="005F2A26" w:rsidRDefault="00C44216" w:rsidP="00C93EC4">
      <w:pPr>
        <w:keepNext/>
        <w:spacing w:after="0" w:line="480" w:lineRule="auto"/>
        <w:rPr>
          <w:rFonts w:eastAsiaTheme="minorEastAsia" w:cs="Times New Roman"/>
          <w:szCs w:val="24"/>
          <w:lang w:val="en-US" w:eastAsia="zh-CN"/>
        </w:rPr>
      </w:pPr>
      <w:r w:rsidRPr="005F2A26">
        <w:rPr>
          <w:b/>
          <w:bCs/>
          <w:lang w:val="en-US"/>
        </w:rPr>
        <w:t xml:space="preserve">The </w:t>
      </w:r>
      <w:r w:rsidR="00265E19" w:rsidRPr="005F2A26">
        <w:rPr>
          <w:b/>
          <w:bCs/>
          <w:lang w:val="en-US"/>
        </w:rPr>
        <w:t>s</w:t>
      </w:r>
      <w:r w:rsidRPr="005F2A26">
        <w:rPr>
          <w:b/>
          <w:bCs/>
          <w:lang w:val="en-US"/>
        </w:rPr>
        <w:t xml:space="preserve">haring </w:t>
      </w:r>
      <w:r w:rsidR="00265E19" w:rsidRPr="005F2A26">
        <w:rPr>
          <w:b/>
          <w:bCs/>
          <w:lang w:val="en-US"/>
        </w:rPr>
        <w:t>e</w:t>
      </w:r>
      <w:r w:rsidRPr="005F2A26">
        <w:rPr>
          <w:b/>
          <w:bCs/>
          <w:lang w:val="en-US"/>
        </w:rPr>
        <w:t xml:space="preserve">conomy </w:t>
      </w:r>
      <w:r w:rsidR="00FF3A26" w:rsidRPr="005F2A26">
        <w:rPr>
          <w:b/>
          <w:bCs/>
          <w:lang w:val="en-US"/>
        </w:rPr>
        <w:t>(SE)</w:t>
      </w:r>
    </w:p>
    <w:p w14:paraId="4BF954F6" w14:textId="3A84409B" w:rsidR="00C27F25" w:rsidRPr="005F2A26" w:rsidRDefault="00672DC3" w:rsidP="00C93EC4">
      <w:pPr>
        <w:keepNext/>
        <w:spacing w:after="0" w:line="480" w:lineRule="auto"/>
        <w:rPr>
          <w:rFonts w:cs="Times New Roman"/>
          <w:szCs w:val="24"/>
          <w:lang w:val="en-US"/>
        </w:rPr>
      </w:pPr>
      <w:r w:rsidRPr="005F2A26">
        <w:rPr>
          <w:rFonts w:cs="Times New Roman"/>
          <w:szCs w:val="24"/>
          <w:lang w:val="en-US"/>
        </w:rPr>
        <w:t>The SE construct encompasses a diverse range of platforms, business models</w:t>
      </w:r>
      <w:r w:rsidR="002A07A1" w:rsidRPr="005F2A26">
        <w:rPr>
          <w:rFonts w:cs="Times New Roman"/>
          <w:szCs w:val="24"/>
          <w:lang w:val="en-US"/>
        </w:rPr>
        <w:t>,</w:t>
      </w:r>
      <w:r w:rsidRPr="005F2A26">
        <w:rPr>
          <w:rFonts w:cs="Times New Roman"/>
          <w:szCs w:val="24"/>
          <w:lang w:val="en-US"/>
        </w:rPr>
        <w:t xml:space="preserve"> and exchange logics</w:t>
      </w:r>
      <w:r w:rsidR="00885B03" w:rsidRPr="005F2A26">
        <w:rPr>
          <w:rFonts w:cs="Times New Roman"/>
          <w:szCs w:val="24"/>
          <w:lang w:val="en-US"/>
        </w:rPr>
        <w:t xml:space="preserve"> that </w:t>
      </w:r>
      <w:r w:rsidR="003D52C0" w:rsidRPr="005F2A26">
        <w:rPr>
          <w:rFonts w:cs="Times New Roman"/>
          <w:szCs w:val="24"/>
          <w:lang w:val="en-US"/>
        </w:rPr>
        <w:t>have</w:t>
      </w:r>
      <w:r w:rsidR="00885B03" w:rsidRPr="005F2A26">
        <w:rPr>
          <w:rFonts w:cs="Times New Roman"/>
          <w:szCs w:val="24"/>
          <w:lang w:val="en-US"/>
        </w:rPr>
        <w:t xml:space="preserve"> revolutioni</w:t>
      </w:r>
      <w:r w:rsidR="003D52C0" w:rsidRPr="005F2A26">
        <w:rPr>
          <w:rFonts w:cs="Times New Roman"/>
          <w:szCs w:val="24"/>
          <w:lang w:val="en-US"/>
        </w:rPr>
        <w:t>zed</w:t>
      </w:r>
      <w:r w:rsidR="00885B03" w:rsidRPr="005F2A26">
        <w:rPr>
          <w:rFonts w:cs="Times New Roman"/>
          <w:szCs w:val="24"/>
          <w:lang w:val="en-US"/>
        </w:rPr>
        <w:t xml:space="preserve"> consumption patterns </w:t>
      </w:r>
      <w:r w:rsidR="00D060EB" w:rsidRPr="005F2A26">
        <w:rPr>
          <w:rFonts w:cs="Times New Roman"/>
          <w:szCs w:val="24"/>
          <w:lang w:val="en-US"/>
        </w:rPr>
        <w:t>and</w:t>
      </w:r>
      <w:r w:rsidR="00885B03" w:rsidRPr="005F2A26">
        <w:rPr>
          <w:rFonts w:cs="Times New Roman"/>
          <w:szCs w:val="24"/>
          <w:lang w:val="en-US"/>
        </w:rPr>
        <w:t xml:space="preserve"> </w:t>
      </w:r>
      <w:r w:rsidR="003D52C0" w:rsidRPr="005F2A26">
        <w:rPr>
          <w:rFonts w:cs="Times New Roman"/>
          <w:szCs w:val="24"/>
          <w:lang w:val="en-US"/>
        </w:rPr>
        <w:t xml:space="preserve">many </w:t>
      </w:r>
      <w:r w:rsidR="00885B03" w:rsidRPr="005F2A26">
        <w:rPr>
          <w:rFonts w:cs="Times New Roman"/>
          <w:szCs w:val="24"/>
          <w:lang w:val="en-US"/>
        </w:rPr>
        <w:t>traditional industries (</w:t>
      </w:r>
      <w:r w:rsidR="00933BD5" w:rsidRPr="005F2A26">
        <w:rPr>
          <w:rFonts w:cs="Times New Roman"/>
          <w:szCs w:val="24"/>
          <w:lang w:val="en-US"/>
        </w:rPr>
        <w:t xml:space="preserve">Eckhardt </w:t>
      </w:r>
      <w:r w:rsidR="00957690" w:rsidRPr="00957690">
        <w:rPr>
          <w:rFonts w:cs="Times New Roman"/>
          <w:i/>
          <w:iCs/>
          <w:szCs w:val="24"/>
          <w:lang w:val="en-US"/>
        </w:rPr>
        <w:t>et al.</w:t>
      </w:r>
      <w:r w:rsidR="00933BD5" w:rsidRPr="005F2A26">
        <w:rPr>
          <w:rFonts w:cs="Times New Roman"/>
          <w:szCs w:val="24"/>
          <w:lang w:val="en-US"/>
        </w:rPr>
        <w:t>, 2019</w:t>
      </w:r>
      <w:r w:rsidR="00344BC7" w:rsidRPr="005F2A26">
        <w:rPr>
          <w:rFonts w:cs="Times New Roman"/>
          <w:szCs w:val="24"/>
          <w:lang w:val="en-US"/>
        </w:rPr>
        <w:t xml:space="preserve">; Fehrer </w:t>
      </w:r>
      <w:r w:rsidR="00957690" w:rsidRPr="00957690">
        <w:rPr>
          <w:rFonts w:cs="Times New Roman"/>
          <w:i/>
          <w:iCs/>
          <w:szCs w:val="24"/>
          <w:lang w:val="en-US"/>
        </w:rPr>
        <w:t>et al.</w:t>
      </w:r>
      <w:r w:rsidR="00344BC7" w:rsidRPr="005F2A26">
        <w:rPr>
          <w:rFonts w:cs="Times New Roman"/>
          <w:szCs w:val="24"/>
          <w:lang w:val="en-US"/>
        </w:rPr>
        <w:t>, 2018</w:t>
      </w:r>
      <w:r w:rsidR="000565A0">
        <w:rPr>
          <w:rFonts w:cs="Times New Roman"/>
          <w:szCs w:val="24"/>
          <w:lang w:val="en-US"/>
        </w:rPr>
        <w:t>a</w:t>
      </w:r>
      <w:r w:rsidR="00885B03" w:rsidRPr="005F2A26">
        <w:rPr>
          <w:rFonts w:cs="Times New Roman"/>
          <w:szCs w:val="24"/>
          <w:lang w:val="en-US"/>
        </w:rPr>
        <w:t>)</w:t>
      </w:r>
      <w:r w:rsidRPr="005F2A26">
        <w:rPr>
          <w:rFonts w:cs="Times New Roman"/>
          <w:szCs w:val="24"/>
          <w:lang w:val="en-US"/>
        </w:rPr>
        <w:t>. Due to th</w:t>
      </w:r>
      <w:r w:rsidR="0037460E" w:rsidRPr="005F2A26">
        <w:rPr>
          <w:rFonts w:cs="Times New Roman"/>
          <w:szCs w:val="24"/>
          <w:lang w:val="en-US"/>
        </w:rPr>
        <w:t>e</w:t>
      </w:r>
      <w:r w:rsidRPr="005F2A26">
        <w:rPr>
          <w:rFonts w:cs="Times New Roman"/>
          <w:szCs w:val="24"/>
          <w:lang w:val="en-US"/>
        </w:rPr>
        <w:t xml:space="preserve"> diversity of </w:t>
      </w:r>
      <w:r w:rsidR="0037460E" w:rsidRPr="005F2A26">
        <w:rPr>
          <w:rFonts w:cs="Times New Roman"/>
          <w:szCs w:val="24"/>
          <w:lang w:val="en-US"/>
        </w:rPr>
        <w:t xml:space="preserve">phenomena in the </w:t>
      </w:r>
      <w:r w:rsidRPr="005F2A26">
        <w:rPr>
          <w:rFonts w:cs="Times New Roman"/>
          <w:szCs w:val="24"/>
          <w:lang w:val="en-US"/>
        </w:rPr>
        <w:t>SE, emerging academic research lacks conceptual clarity (</w:t>
      </w:r>
      <w:proofErr w:type="spellStart"/>
      <w:r w:rsidRPr="005F2A26">
        <w:rPr>
          <w:rFonts w:cs="Times New Roman"/>
          <w:szCs w:val="24"/>
          <w:lang w:val="en-US"/>
        </w:rPr>
        <w:t>Gerwe</w:t>
      </w:r>
      <w:proofErr w:type="spellEnd"/>
      <w:r w:rsidRPr="005F2A26">
        <w:rPr>
          <w:rFonts w:cs="Times New Roman"/>
          <w:szCs w:val="24"/>
          <w:lang w:val="en-US"/>
        </w:rPr>
        <w:t xml:space="preserve"> and Silva, 2020</w:t>
      </w:r>
      <w:r w:rsidR="00C56908" w:rsidRPr="005F2A26">
        <w:rPr>
          <w:rFonts w:cs="Times New Roman"/>
          <w:szCs w:val="24"/>
          <w:lang w:val="en-US"/>
        </w:rPr>
        <w:t>) with</w:t>
      </w:r>
      <w:r w:rsidR="00F465B0" w:rsidRPr="005F2A26">
        <w:rPr>
          <w:rFonts w:cs="Times New Roman"/>
          <w:szCs w:val="24"/>
          <w:lang w:val="en-US"/>
        </w:rPr>
        <w:t xml:space="preserve"> a variety of </w:t>
      </w:r>
      <w:r w:rsidRPr="005F2A26">
        <w:rPr>
          <w:rFonts w:cs="Times New Roman"/>
          <w:szCs w:val="24"/>
          <w:lang w:val="en-US"/>
        </w:rPr>
        <w:t xml:space="preserve">expressions used to describe </w:t>
      </w:r>
      <w:r w:rsidR="00F465B0" w:rsidRPr="005F2A26">
        <w:rPr>
          <w:rFonts w:cs="Times New Roman"/>
          <w:szCs w:val="24"/>
          <w:lang w:val="en-US"/>
        </w:rPr>
        <w:t>it</w:t>
      </w:r>
      <w:r w:rsidR="006D0297" w:rsidRPr="005F2A26">
        <w:rPr>
          <w:rFonts w:cs="Times New Roman"/>
          <w:szCs w:val="24"/>
          <w:lang w:val="en-US"/>
        </w:rPr>
        <w:t>,</w:t>
      </w:r>
      <w:r w:rsidR="003D52C0" w:rsidRPr="005F2A26">
        <w:rPr>
          <w:rFonts w:cs="Times New Roman"/>
          <w:szCs w:val="24"/>
          <w:lang w:val="en-US"/>
        </w:rPr>
        <w:t xml:space="preserve"> like</w:t>
      </w:r>
      <w:r w:rsidRPr="005F2A26">
        <w:rPr>
          <w:rFonts w:cs="Times New Roman"/>
          <w:szCs w:val="24"/>
          <w:lang w:val="en-US"/>
        </w:rPr>
        <w:t xml:space="preserve"> collaborative consumption (</w:t>
      </w:r>
      <w:proofErr w:type="spellStart"/>
      <w:r w:rsidRPr="005F2A26">
        <w:rPr>
          <w:rFonts w:cs="Times New Roman"/>
          <w:szCs w:val="24"/>
          <w:lang w:val="en-US"/>
        </w:rPr>
        <w:t>Botsman</w:t>
      </w:r>
      <w:proofErr w:type="spellEnd"/>
      <w:r w:rsidRPr="005F2A26">
        <w:rPr>
          <w:rFonts w:cs="Times New Roman"/>
          <w:szCs w:val="24"/>
          <w:lang w:val="en-US"/>
        </w:rPr>
        <w:t xml:space="preserve"> and Rogers, 2010), access-based consumption (</w:t>
      </w:r>
      <w:proofErr w:type="spellStart"/>
      <w:r w:rsidRPr="005F2A26">
        <w:rPr>
          <w:rFonts w:cs="Times New Roman"/>
          <w:szCs w:val="24"/>
          <w:lang w:val="en-US"/>
        </w:rPr>
        <w:t>Fritze</w:t>
      </w:r>
      <w:proofErr w:type="spellEnd"/>
      <w:r w:rsidRPr="005F2A26">
        <w:rPr>
          <w:rFonts w:cs="Times New Roman"/>
          <w:szCs w:val="24"/>
          <w:lang w:val="en-US"/>
        </w:rPr>
        <w:t xml:space="preserve"> </w:t>
      </w:r>
      <w:r w:rsidR="00957690" w:rsidRPr="00957690">
        <w:rPr>
          <w:rFonts w:cs="Times New Roman"/>
          <w:i/>
          <w:iCs/>
          <w:szCs w:val="24"/>
          <w:lang w:val="en-US"/>
        </w:rPr>
        <w:t>et al.</w:t>
      </w:r>
      <w:r w:rsidRPr="005F2A26">
        <w:rPr>
          <w:rFonts w:cs="Times New Roman"/>
          <w:szCs w:val="24"/>
          <w:lang w:val="en-US"/>
        </w:rPr>
        <w:t xml:space="preserve">, 2020), stranger sharing (Schor, 2014), </w:t>
      </w:r>
      <w:r w:rsidR="00C56908" w:rsidRPr="005F2A26">
        <w:rPr>
          <w:rFonts w:cs="Times New Roman"/>
          <w:szCs w:val="24"/>
          <w:lang w:val="en-US"/>
        </w:rPr>
        <w:t>P2P</w:t>
      </w:r>
      <w:r w:rsidRPr="005F2A26">
        <w:rPr>
          <w:rFonts w:cs="Times New Roman"/>
          <w:szCs w:val="24"/>
          <w:lang w:val="en-US"/>
        </w:rPr>
        <w:t xml:space="preserve"> economy</w:t>
      </w:r>
      <w:r w:rsidR="00224315" w:rsidRPr="005F2A26">
        <w:rPr>
          <w:rFonts w:cs="Times New Roman"/>
          <w:szCs w:val="24"/>
          <w:lang w:val="en-US"/>
        </w:rPr>
        <w:t xml:space="preserve"> (</w:t>
      </w:r>
      <w:proofErr w:type="spellStart"/>
      <w:r w:rsidR="00224315" w:rsidRPr="005F2A26">
        <w:rPr>
          <w:rFonts w:cs="Times New Roman"/>
          <w:szCs w:val="24"/>
          <w:lang w:val="en-US"/>
        </w:rPr>
        <w:t>Selloni</w:t>
      </w:r>
      <w:proofErr w:type="spellEnd"/>
      <w:r w:rsidRPr="005F2A26">
        <w:rPr>
          <w:rFonts w:cs="Times New Roman"/>
          <w:szCs w:val="24"/>
          <w:lang w:val="en-US"/>
        </w:rPr>
        <w:t>,</w:t>
      </w:r>
      <w:r w:rsidR="00224315" w:rsidRPr="005F2A26">
        <w:rPr>
          <w:rFonts w:cs="Times New Roman"/>
          <w:szCs w:val="24"/>
          <w:lang w:val="en-US"/>
        </w:rPr>
        <w:t xml:space="preserve"> 2017),</w:t>
      </w:r>
      <w:r w:rsidRPr="005F2A26">
        <w:rPr>
          <w:rFonts w:cs="Times New Roman"/>
          <w:szCs w:val="24"/>
          <w:lang w:val="en-US"/>
        </w:rPr>
        <w:t xml:space="preserve"> platform economy</w:t>
      </w:r>
      <w:r w:rsidR="00570FD1" w:rsidRPr="005F2A26">
        <w:rPr>
          <w:rFonts w:cs="Times New Roman"/>
          <w:szCs w:val="24"/>
          <w:lang w:val="en-US"/>
        </w:rPr>
        <w:t xml:space="preserve"> (</w:t>
      </w:r>
      <w:r w:rsidR="00570FD1" w:rsidRPr="005F2A26">
        <w:rPr>
          <w:szCs w:val="24"/>
          <w:shd w:val="clear" w:color="auto" w:fill="FFFFFF"/>
          <w:lang w:val="en-US"/>
        </w:rPr>
        <w:t xml:space="preserve">Kenney and </w:t>
      </w:r>
      <w:proofErr w:type="spellStart"/>
      <w:r w:rsidR="00570FD1" w:rsidRPr="005F2A26">
        <w:rPr>
          <w:szCs w:val="24"/>
          <w:shd w:val="clear" w:color="auto" w:fill="FFFFFF"/>
          <w:lang w:val="en-US"/>
        </w:rPr>
        <w:t>Zysman</w:t>
      </w:r>
      <w:proofErr w:type="spellEnd"/>
      <w:r w:rsidR="00570FD1" w:rsidRPr="005F2A26">
        <w:rPr>
          <w:szCs w:val="24"/>
          <w:shd w:val="clear" w:color="auto" w:fill="FFFFFF"/>
          <w:lang w:val="en-US"/>
        </w:rPr>
        <w:t>, 2016)</w:t>
      </w:r>
      <w:r w:rsidRPr="005F2A26">
        <w:rPr>
          <w:rFonts w:cs="Times New Roman"/>
          <w:szCs w:val="24"/>
          <w:lang w:val="en-US"/>
        </w:rPr>
        <w:t xml:space="preserve">, and </w:t>
      </w:r>
      <w:r w:rsidR="002A07A1" w:rsidRPr="005F2A26">
        <w:rPr>
          <w:rFonts w:cs="Times New Roman"/>
          <w:szCs w:val="24"/>
          <w:lang w:val="en-US"/>
        </w:rPr>
        <w:t xml:space="preserve">the </w:t>
      </w:r>
      <w:r w:rsidRPr="005F2A26">
        <w:rPr>
          <w:rFonts w:cs="Times New Roman"/>
          <w:szCs w:val="24"/>
          <w:lang w:val="en-US"/>
        </w:rPr>
        <w:t>gig economy (</w:t>
      </w:r>
      <w:r w:rsidR="00570FD1" w:rsidRPr="005F2A26">
        <w:rPr>
          <w:rFonts w:cs="Times New Roman"/>
          <w:szCs w:val="24"/>
          <w:lang w:val="en-US"/>
        </w:rPr>
        <w:t xml:space="preserve">Wood </w:t>
      </w:r>
      <w:r w:rsidR="00957690" w:rsidRPr="00957690">
        <w:rPr>
          <w:rFonts w:cs="Times New Roman"/>
          <w:i/>
          <w:iCs/>
          <w:szCs w:val="24"/>
          <w:lang w:val="en-US"/>
        </w:rPr>
        <w:t>et al.</w:t>
      </w:r>
      <w:r w:rsidR="00570FD1" w:rsidRPr="005F2A26">
        <w:rPr>
          <w:rFonts w:cs="Times New Roman"/>
          <w:szCs w:val="24"/>
          <w:lang w:val="en-US"/>
        </w:rPr>
        <w:t>, 2019)</w:t>
      </w:r>
      <w:r w:rsidRPr="005F2A26">
        <w:rPr>
          <w:rFonts w:cs="Times New Roman"/>
          <w:szCs w:val="24"/>
          <w:lang w:val="en-US"/>
        </w:rPr>
        <w:t>. </w:t>
      </w:r>
    </w:p>
    <w:p w14:paraId="56E6109E" w14:textId="2008AADA" w:rsidR="00F41EA2" w:rsidRPr="00790756" w:rsidRDefault="00672DC3" w:rsidP="00384C7A">
      <w:pPr>
        <w:keepNext/>
        <w:spacing w:after="0" w:line="480" w:lineRule="auto"/>
        <w:ind w:firstLine="720"/>
        <w:rPr>
          <w:rFonts w:cs="Times New Roman"/>
          <w:color w:val="FF0000"/>
          <w:szCs w:val="24"/>
          <w:lang w:val="en-US"/>
        </w:rPr>
      </w:pPr>
      <w:r w:rsidRPr="00790756">
        <w:rPr>
          <w:rFonts w:cs="Times New Roman"/>
          <w:color w:val="FF0000"/>
          <w:szCs w:val="24"/>
          <w:lang w:val="en-US"/>
        </w:rPr>
        <w:t>However, studies</w:t>
      </w:r>
      <w:r w:rsidR="00141181" w:rsidRPr="00790756">
        <w:rPr>
          <w:rFonts w:cs="Times New Roman"/>
          <w:color w:val="FF0000"/>
          <w:szCs w:val="24"/>
          <w:lang w:val="en-US"/>
        </w:rPr>
        <w:t xml:space="preserve"> generally</w:t>
      </w:r>
      <w:r w:rsidRPr="00790756">
        <w:rPr>
          <w:rFonts w:cs="Times New Roman"/>
          <w:color w:val="FF0000"/>
          <w:szCs w:val="24"/>
          <w:lang w:val="en-US"/>
        </w:rPr>
        <w:t xml:space="preserve"> use the term SE as an umbrella construct that encompasses those entities that mobilize resources for efficient use via access</w:t>
      </w:r>
      <w:r w:rsidR="00E90F12" w:rsidRPr="00790756">
        <w:rPr>
          <w:rFonts w:cs="Times New Roman"/>
          <w:color w:val="FF0000"/>
          <w:szCs w:val="24"/>
          <w:lang w:val="en-US"/>
        </w:rPr>
        <w:t>,</w:t>
      </w:r>
      <w:r w:rsidRPr="00790756">
        <w:rPr>
          <w:rFonts w:cs="Times New Roman"/>
          <w:color w:val="FF0000"/>
          <w:szCs w:val="24"/>
          <w:lang w:val="en-US"/>
        </w:rPr>
        <w:t xml:space="preserve"> to users for a fee or free, where the users have no or limited asset ownership (Wirtz </w:t>
      </w:r>
      <w:r w:rsidR="00957690" w:rsidRPr="00957690">
        <w:rPr>
          <w:rFonts w:cs="Times New Roman"/>
          <w:i/>
          <w:iCs/>
          <w:color w:val="FF0000"/>
          <w:szCs w:val="24"/>
          <w:lang w:val="en-US"/>
        </w:rPr>
        <w:t>et al.</w:t>
      </w:r>
      <w:r w:rsidRPr="00790756">
        <w:rPr>
          <w:rFonts w:cs="Times New Roman"/>
          <w:color w:val="FF0000"/>
          <w:szCs w:val="24"/>
          <w:lang w:val="en-US"/>
        </w:rPr>
        <w:t xml:space="preserve">, 2019). </w:t>
      </w:r>
      <w:r w:rsidR="00881FA6" w:rsidRPr="00790756">
        <w:rPr>
          <w:rFonts w:cs="Times New Roman"/>
          <w:color w:val="FF0000"/>
          <w:szCs w:val="24"/>
          <w:lang w:val="en-US"/>
        </w:rPr>
        <w:t>Hence, the SE is</w:t>
      </w:r>
      <w:r w:rsidRPr="00790756">
        <w:rPr>
          <w:rFonts w:cs="Times New Roman"/>
          <w:color w:val="FF0000"/>
          <w:szCs w:val="24"/>
          <w:lang w:val="en-US"/>
        </w:rPr>
        <w:t xml:space="preserve"> “a </w:t>
      </w:r>
      <w:r w:rsidRPr="00790756">
        <w:rPr>
          <w:rFonts w:cs="Times New Roman"/>
          <w:color w:val="FF0000"/>
          <w:szCs w:val="24"/>
          <w:lang w:val="en-US"/>
        </w:rPr>
        <w:lastRenderedPageBreak/>
        <w:t>scalable socio-economic system that employs technology-enabled platforms to provide users with temporary access to tangible and intangible resources that may be crowdsourced”</w:t>
      </w:r>
      <w:r w:rsidR="00881FA6" w:rsidRPr="00790756">
        <w:rPr>
          <w:rFonts w:cs="Times New Roman"/>
          <w:color w:val="FF0000"/>
          <w:szCs w:val="24"/>
          <w:lang w:val="en-US"/>
        </w:rPr>
        <w:t xml:space="preserve"> (Eckhardt </w:t>
      </w:r>
      <w:r w:rsidR="00957690" w:rsidRPr="00957690">
        <w:rPr>
          <w:rFonts w:cs="Times New Roman"/>
          <w:i/>
          <w:iCs/>
          <w:color w:val="FF0000"/>
          <w:szCs w:val="24"/>
          <w:lang w:val="en-US"/>
        </w:rPr>
        <w:t>et al.</w:t>
      </w:r>
      <w:r w:rsidR="00881FA6" w:rsidRPr="00790756">
        <w:rPr>
          <w:rFonts w:cs="Times New Roman"/>
          <w:color w:val="FF0000"/>
          <w:szCs w:val="24"/>
          <w:lang w:val="en-US"/>
        </w:rPr>
        <w:t>, 2019</w:t>
      </w:r>
      <w:r w:rsidR="00D77966" w:rsidRPr="00790756">
        <w:rPr>
          <w:rFonts w:cs="Times New Roman"/>
          <w:color w:val="FF0000"/>
          <w:szCs w:val="24"/>
          <w:lang w:val="en-US"/>
        </w:rPr>
        <w:t>,</w:t>
      </w:r>
      <w:r w:rsidR="00881FA6" w:rsidRPr="00790756">
        <w:rPr>
          <w:rFonts w:cs="Times New Roman"/>
          <w:color w:val="FF0000"/>
          <w:szCs w:val="24"/>
          <w:lang w:val="en-US"/>
        </w:rPr>
        <w:t xml:space="preserve"> p.7)</w:t>
      </w:r>
      <w:r w:rsidR="009D232A" w:rsidRPr="00790756">
        <w:rPr>
          <w:rFonts w:cs="Times New Roman"/>
          <w:color w:val="FF0000"/>
          <w:szCs w:val="24"/>
          <w:lang w:val="en-US"/>
        </w:rPr>
        <w:t xml:space="preserve">. Those resources are as diverse as accommodation (e.g., Airbnb or VRBO), high fashion (e.g., Rent the Runway or </w:t>
      </w:r>
      <w:proofErr w:type="spellStart"/>
      <w:r w:rsidR="009D232A" w:rsidRPr="00790756">
        <w:rPr>
          <w:rFonts w:cs="Times New Roman"/>
          <w:color w:val="FF0000"/>
          <w:szCs w:val="24"/>
          <w:lang w:val="en-US"/>
        </w:rPr>
        <w:t>Tulerie</w:t>
      </w:r>
      <w:proofErr w:type="spellEnd"/>
      <w:r w:rsidR="009D232A" w:rsidRPr="00790756">
        <w:rPr>
          <w:rFonts w:cs="Times New Roman"/>
          <w:color w:val="FF0000"/>
          <w:szCs w:val="24"/>
          <w:lang w:val="en-US"/>
        </w:rPr>
        <w:t xml:space="preserve">), finance (e.g., Prosper or </w:t>
      </w:r>
      <w:proofErr w:type="spellStart"/>
      <w:r w:rsidR="009D232A" w:rsidRPr="00790756">
        <w:rPr>
          <w:rFonts w:cs="Times New Roman"/>
          <w:color w:val="FF0000"/>
          <w:szCs w:val="24"/>
          <w:lang w:val="en-US"/>
        </w:rPr>
        <w:t>SoFi</w:t>
      </w:r>
      <w:proofErr w:type="spellEnd"/>
      <w:r w:rsidR="009D232A" w:rsidRPr="00790756">
        <w:rPr>
          <w:rFonts w:cs="Times New Roman"/>
          <w:color w:val="FF0000"/>
          <w:szCs w:val="24"/>
          <w:lang w:val="en-US"/>
        </w:rPr>
        <w:t xml:space="preserve">), personal services (e.g., Timebank, TaskRabbit, or Care.com), ridesharing (e.g., Uber or </w:t>
      </w:r>
      <w:proofErr w:type="spellStart"/>
      <w:r w:rsidR="009D232A" w:rsidRPr="00790756">
        <w:rPr>
          <w:rFonts w:cs="Times New Roman"/>
          <w:color w:val="FF0000"/>
          <w:szCs w:val="24"/>
          <w:lang w:val="en-US"/>
        </w:rPr>
        <w:t>Gett</w:t>
      </w:r>
      <w:proofErr w:type="spellEnd"/>
      <w:r w:rsidR="009D232A" w:rsidRPr="00790756">
        <w:rPr>
          <w:rFonts w:cs="Times New Roman"/>
          <w:color w:val="FF0000"/>
          <w:szCs w:val="24"/>
          <w:lang w:val="en-US"/>
        </w:rPr>
        <w:t>), and numerous others.</w:t>
      </w:r>
      <w:r w:rsidR="00AB592F" w:rsidRPr="00790756">
        <w:rPr>
          <w:rFonts w:cs="Times New Roman"/>
          <w:color w:val="FF0000"/>
          <w:szCs w:val="24"/>
          <w:lang w:val="en-US"/>
        </w:rPr>
        <w:t xml:space="preserve"> </w:t>
      </w:r>
    </w:p>
    <w:p w14:paraId="760314E2" w14:textId="6BA1F21B" w:rsidR="00F41EA2" w:rsidRPr="005F2A26" w:rsidRDefault="000E26D9" w:rsidP="00B6463E">
      <w:pPr>
        <w:keepNext/>
        <w:spacing w:after="0" w:line="480" w:lineRule="auto"/>
        <w:ind w:firstLine="720"/>
        <w:rPr>
          <w:rFonts w:cs="Times New Roman"/>
          <w:szCs w:val="24"/>
          <w:lang w:val="en-US"/>
        </w:rPr>
      </w:pPr>
      <w:r w:rsidRPr="00D3588E">
        <w:rPr>
          <w:rFonts w:cs="Times New Roman"/>
          <w:szCs w:val="24"/>
          <w:lang w:val="en-US"/>
        </w:rPr>
        <w:t>F</w:t>
      </w:r>
      <w:r w:rsidR="00F41EA2" w:rsidRPr="00D3588E">
        <w:rPr>
          <w:rFonts w:cs="Times New Roman"/>
          <w:szCs w:val="24"/>
          <w:lang w:val="en-US"/>
        </w:rPr>
        <w:t xml:space="preserve">unctional and psychological barriers can drive consumer avoidance of engaging </w:t>
      </w:r>
      <w:r w:rsidR="005E6F95" w:rsidRPr="00D3588E">
        <w:rPr>
          <w:rFonts w:cs="Times New Roman"/>
          <w:szCs w:val="24"/>
          <w:lang w:val="en-US"/>
        </w:rPr>
        <w:t>with</w:t>
      </w:r>
      <w:r w:rsidR="00F41EA2" w:rsidRPr="00D3588E">
        <w:rPr>
          <w:rFonts w:cs="Times New Roman"/>
          <w:szCs w:val="24"/>
          <w:lang w:val="en-US"/>
        </w:rPr>
        <w:t xml:space="preserve"> the SE. Barriers include the complexity of digital platforms</w:t>
      </w:r>
      <w:r w:rsidR="00322813" w:rsidRPr="00D3588E">
        <w:rPr>
          <w:rFonts w:cs="Times New Roman"/>
          <w:szCs w:val="24"/>
          <w:lang w:val="en-US"/>
        </w:rPr>
        <w:t xml:space="preserve"> and the inability of some platforms to build critical mass</w:t>
      </w:r>
      <w:r w:rsidR="00F41EA2" w:rsidRPr="00D3588E">
        <w:rPr>
          <w:rFonts w:cs="Times New Roman"/>
          <w:szCs w:val="24"/>
          <w:lang w:val="en-US"/>
        </w:rPr>
        <w:t xml:space="preserve">, </w:t>
      </w:r>
      <w:r w:rsidR="008C7A7C" w:rsidRPr="00D3588E">
        <w:rPr>
          <w:rFonts w:cs="Times New Roman"/>
          <w:szCs w:val="24"/>
          <w:lang w:val="en-US"/>
        </w:rPr>
        <w:t xml:space="preserve">the </w:t>
      </w:r>
      <w:r w:rsidR="00C67178" w:rsidRPr="00D3588E">
        <w:rPr>
          <w:rFonts w:cs="Times New Roman"/>
          <w:szCs w:val="24"/>
          <w:lang w:val="en-US"/>
        </w:rPr>
        <w:t xml:space="preserve">contamination and lack of ownership of </w:t>
      </w:r>
      <w:r w:rsidR="00322813" w:rsidRPr="00D3588E">
        <w:rPr>
          <w:rFonts w:cs="Times New Roman"/>
          <w:szCs w:val="24"/>
          <w:lang w:val="en-US"/>
        </w:rPr>
        <w:t>shared assets,</w:t>
      </w:r>
      <w:r w:rsidR="00C67178" w:rsidRPr="00D3588E">
        <w:rPr>
          <w:rFonts w:cs="Times New Roman"/>
          <w:szCs w:val="24"/>
          <w:lang w:val="en-US"/>
        </w:rPr>
        <w:t xml:space="preserve"> </w:t>
      </w:r>
      <w:r w:rsidR="00F41EA2" w:rsidRPr="00D3588E">
        <w:rPr>
          <w:rFonts w:cs="Times New Roman"/>
          <w:szCs w:val="24"/>
          <w:lang w:val="en-US"/>
        </w:rPr>
        <w:t xml:space="preserve">lack of control over service quality, high competition for idle resources, changes to the legal environment, incompatibility with consumer lifestyles, </w:t>
      </w:r>
      <w:r w:rsidR="00DD6693" w:rsidRPr="00D3588E">
        <w:rPr>
          <w:rFonts w:cs="Times New Roman"/>
          <w:szCs w:val="24"/>
          <w:lang w:val="en-US"/>
        </w:rPr>
        <w:t xml:space="preserve">and </w:t>
      </w:r>
      <w:r w:rsidR="003338F5" w:rsidRPr="00D3588E">
        <w:rPr>
          <w:rFonts w:cs="Times New Roman"/>
          <w:szCs w:val="24"/>
          <w:lang w:val="en-US"/>
        </w:rPr>
        <w:t xml:space="preserve">lack of tangibility of experiential </w:t>
      </w:r>
      <w:r w:rsidR="00C43EE6" w:rsidRPr="00D3588E">
        <w:rPr>
          <w:rFonts w:cs="Times New Roman"/>
          <w:szCs w:val="24"/>
          <w:lang w:val="en-US"/>
        </w:rPr>
        <w:t xml:space="preserve">goods </w:t>
      </w:r>
      <w:r w:rsidR="00F41EA2" w:rsidRPr="00D3588E">
        <w:rPr>
          <w:rFonts w:cs="Times New Roman"/>
          <w:szCs w:val="24"/>
          <w:lang w:val="en-US"/>
        </w:rPr>
        <w:t>(</w:t>
      </w:r>
      <w:proofErr w:type="spellStart"/>
      <w:r w:rsidR="00F41EA2" w:rsidRPr="00D3588E">
        <w:rPr>
          <w:rFonts w:cs="Times New Roman"/>
          <w:szCs w:val="24"/>
          <w:lang w:val="en-US"/>
        </w:rPr>
        <w:t>Hazée</w:t>
      </w:r>
      <w:proofErr w:type="spellEnd"/>
      <w:r w:rsidR="00F41EA2" w:rsidRPr="00D3588E">
        <w:rPr>
          <w:rFonts w:cs="Times New Roman"/>
          <w:szCs w:val="24"/>
          <w:lang w:val="en-US"/>
        </w:rPr>
        <w:t xml:space="preserve"> </w:t>
      </w:r>
      <w:r w:rsidR="00957690" w:rsidRPr="00957690">
        <w:rPr>
          <w:rFonts w:cs="Times New Roman"/>
          <w:i/>
          <w:iCs/>
          <w:szCs w:val="24"/>
          <w:lang w:val="en-US"/>
        </w:rPr>
        <w:t>et al.</w:t>
      </w:r>
      <w:r w:rsidR="00AC7A88" w:rsidRPr="00D3588E">
        <w:rPr>
          <w:rFonts w:cs="Times New Roman"/>
          <w:szCs w:val="24"/>
          <w:lang w:val="en-US"/>
        </w:rPr>
        <w:t xml:space="preserve">, </w:t>
      </w:r>
      <w:r w:rsidR="00F41EA2" w:rsidRPr="00D3588E">
        <w:rPr>
          <w:rFonts w:cs="Times New Roman"/>
          <w:szCs w:val="24"/>
          <w:lang w:val="en-US"/>
        </w:rPr>
        <w:t xml:space="preserve">2020; Hofmann </w:t>
      </w:r>
      <w:r w:rsidR="00957690" w:rsidRPr="00957690">
        <w:rPr>
          <w:rFonts w:cs="Times New Roman"/>
          <w:i/>
          <w:iCs/>
          <w:szCs w:val="24"/>
          <w:lang w:val="en-US"/>
        </w:rPr>
        <w:t>et al.</w:t>
      </w:r>
      <w:r w:rsidR="00AC7A88" w:rsidRPr="00D3588E">
        <w:rPr>
          <w:rFonts w:cs="Times New Roman"/>
          <w:szCs w:val="24"/>
          <w:lang w:val="en-US"/>
        </w:rPr>
        <w:t xml:space="preserve">, </w:t>
      </w:r>
      <w:r w:rsidR="00F41EA2" w:rsidRPr="00D3588E">
        <w:rPr>
          <w:rFonts w:cs="Times New Roman"/>
          <w:szCs w:val="24"/>
          <w:lang w:val="en-US"/>
        </w:rPr>
        <w:t>2017</w:t>
      </w:r>
      <w:r w:rsidR="007F6AD4" w:rsidRPr="00D3588E">
        <w:rPr>
          <w:rFonts w:cs="Times New Roman"/>
          <w:szCs w:val="24"/>
          <w:lang w:val="en-US"/>
        </w:rPr>
        <w:t xml:space="preserve">; </w:t>
      </w:r>
      <w:proofErr w:type="spellStart"/>
      <w:r w:rsidR="007F6AD4" w:rsidRPr="00D3588E">
        <w:rPr>
          <w:rFonts w:cs="Times New Roman"/>
          <w:szCs w:val="24"/>
          <w:lang w:val="en-US"/>
        </w:rPr>
        <w:t>Morewedge</w:t>
      </w:r>
      <w:proofErr w:type="spellEnd"/>
      <w:r w:rsidR="007F6AD4" w:rsidRPr="00D3588E">
        <w:rPr>
          <w:rFonts w:cs="Times New Roman"/>
          <w:szCs w:val="24"/>
          <w:lang w:val="en-US"/>
        </w:rPr>
        <w:t xml:space="preserve"> </w:t>
      </w:r>
      <w:r w:rsidR="00957690" w:rsidRPr="00957690">
        <w:rPr>
          <w:rFonts w:cs="Times New Roman"/>
          <w:i/>
          <w:iCs/>
          <w:szCs w:val="24"/>
          <w:lang w:val="en-US"/>
        </w:rPr>
        <w:t>et al.</w:t>
      </w:r>
      <w:r w:rsidR="007F6AD4" w:rsidRPr="00D3588E">
        <w:rPr>
          <w:rFonts w:cs="Times New Roman"/>
          <w:szCs w:val="24"/>
          <w:lang w:val="en-US"/>
        </w:rPr>
        <w:t>, 2021</w:t>
      </w:r>
      <w:r w:rsidR="00F41EA2" w:rsidRPr="00D3588E">
        <w:rPr>
          <w:rFonts w:cs="Times New Roman"/>
          <w:szCs w:val="24"/>
          <w:lang w:val="en-US"/>
        </w:rPr>
        <w:t xml:space="preserve">). </w:t>
      </w:r>
      <w:r w:rsidR="00F41EA2" w:rsidRPr="005F2A26">
        <w:rPr>
          <w:rFonts w:cs="Times New Roman"/>
          <w:szCs w:val="24"/>
          <w:lang w:val="en-US"/>
        </w:rPr>
        <w:t xml:space="preserve">Additionally, the building of trust and transparency acts as a major barrier to engagement with the SE, including negative interactions with undesirable consumers, the difficulty of establishing trust, and shortcomings of mechanisms for establishing trust. Hofmann </w:t>
      </w:r>
      <w:r w:rsidR="00957690" w:rsidRPr="00957690">
        <w:rPr>
          <w:rFonts w:cs="Times New Roman"/>
          <w:i/>
          <w:iCs/>
          <w:szCs w:val="24"/>
          <w:lang w:val="en-US"/>
        </w:rPr>
        <w:t>et al.</w:t>
      </w:r>
      <w:r w:rsidR="00F41EA2" w:rsidRPr="005F2A26">
        <w:rPr>
          <w:rFonts w:cs="Times New Roman"/>
          <w:szCs w:val="24"/>
          <w:lang w:val="en-US"/>
        </w:rPr>
        <w:t xml:space="preserve"> (2017) suggest in P2P contexts consumers have reason-based trust, where they search for metaphors of trust such as provider ratings. Hence, </w:t>
      </w:r>
      <w:r w:rsidR="00A35B84" w:rsidRPr="005F2A26">
        <w:rPr>
          <w:rFonts w:cs="Times New Roman"/>
          <w:szCs w:val="24"/>
          <w:lang w:val="en-US"/>
        </w:rPr>
        <w:t>engagement with</w:t>
      </w:r>
      <w:r w:rsidR="006D0297" w:rsidRPr="005F2A26">
        <w:rPr>
          <w:rFonts w:cs="Times New Roman"/>
          <w:szCs w:val="24"/>
          <w:lang w:val="en-US"/>
        </w:rPr>
        <w:t xml:space="preserve"> a brand and </w:t>
      </w:r>
      <w:r w:rsidR="00F41EA2" w:rsidRPr="005F2A26">
        <w:rPr>
          <w:rFonts w:cs="Times New Roman"/>
          <w:szCs w:val="24"/>
          <w:lang w:val="en-US"/>
        </w:rPr>
        <w:t>review</w:t>
      </w:r>
      <w:r w:rsidR="00A35B84" w:rsidRPr="005F2A26">
        <w:rPr>
          <w:rFonts w:cs="Times New Roman"/>
          <w:szCs w:val="24"/>
          <w:lang w:val="en-US"/>
        </w:rPr>
        <w:t>ing</w:t>
      </w:r>
      <w:r w:rsidR="00F41EA2" w:rsidRPr="005F2A26">
        <w:rPr>
          <w:rFonts w:cs="Times New Roman"/>
          <w:szCs w:val="24"/>
          <w:lang w:val="en-US"/>
        </w:rPr>
        <w:t xml:space="preserve"> and rating </w:t>
      </w:r>
      <w:r w:rsidR="00A35B84" w:rsidRPr="005F2A26">
        <w:rPr>
          <w:rFonts w:cs="Times New Roman"/>
          <w:szCs w:val="24"/>
          <w:lang w:val="en-US"/>
        </w:rPr>
        <w:t>others</w:t>
      </w:r>
      <w:r w:rsidR="00F41EA2" w:rsidRPr="005F2A26">
        <w:rPr>
          <w:rFonts w:cs="Times New Roman"/>
          <w:szCs w:val="24"/>
          <w:lang w:val="en-US"/>
        </w:rPr>
        <w:t xml:space="preserve"> help</w:t>
      </w:r>
      <w:r w:rsidR="00A35B84" w:rsidRPr="005F2A26">
        <w:rPr>
          <w:rFonts w:cs="Times New Roman"/>
          <w:szCs w:val="24"/>
          <w:lang w:val="en-US"/>
        </w:rPr>
        <w:t xml:space="preserve">s </w:t>
      </w:r>
      <w:r w:rsidR="00F41EA2" w:rsidRPr="005F2A26">
        <w:rPr>
          <w:rFonts w:cs="Times New Roman"/>
          <w:szCs w:val="24"/>
          <w:lang w:val="en-US"/>
        </w:rPr>
        <w:t>reduce uncertainty and risk, and enable</w:t>
      </w:r>
      <w:r w:rsidR="00F90B97" w:rsidRPr="005F2A26">
        <w:rPr>
          <w:rFonts w:cs="Times New Roman"/>
          <w:szCs w:val="24"/>
          <w:lang w:val="en-US"/>
        </w:rPr>
        <w:t>s</w:t>
      </w:r>
      <w:r w:rsidR="00F41EA2" w:rsidRPr="005F2A26">
        <w:rPr>
          <w:rFonts w:cs="Times New Roman"/>
          <w:szCs w:val="24"/>
          <w:lang w:val="en-US"/>
        </w:rPr>
        <w:t xml:space="preserve"> trust.   </w:t>
      </w:r>
    </w:p>
    <w:p w14:paraId="5ADB783B" w14:textId="43302398" w:rsidR="00AB592F" w:rsidRPr="005F2A26" w:rsidRDefault="00AB592F" w:rsidP="00B6463E">
      <w:pPr>
        <w:keepNext/>
        <w:spacing w:after="0" w:line="480" w:lineRule="auto"/>
        <w:ind w:firstLine="720"/>
        <w:rPr>
          <w:rFonts w:cs="Times New Roman"/>
          <w:szCs w:val="24"/>
          <w:lang w:val="en-US"/>
        </w:rPr>
      </w:pPr>
    </w:p>
    <w:p w14:paraId="596DFB63" w14:textId="0CB59F80" w:rsidR="009A25E6" w:rsidRPr="005F2A26" w:rsidRDefault="00AB592F" w:rsidP="00B6463E">
      <w:pPr>
        <w:keepNext/>
        <w:spacing w:after="0" w:line="480" w:lineRule="auto"/>
        <w:rPr>
          <w:rFonts w:cs="Times New Roman"/>
          <w:szCs w:val="24"/>
          <w:lang w:val="en-US"/>
        </w:rPr>
      </w:pPr>
      <w:r w:rsidRPr="005F2A26">
        <w:rPr>
          <w:rFonts w:cs="Times New Roman"/>
          <w:i/>
          <w:iCs/>
          <w:szCs w:val="24"/>
          <w:lang w:val="en-US"/>
        </w:rPr>
        <w:t>Categorizing platforms</w:t>
      </w:r>
    </w:p>
    <w:p w14:paraId="4E38F3AF" w14:textId="7645B50D" w:rsidR="00AB592F" w:rsidRPr="005F2A26" w:rsidRDefault="00384C7A" w:rsidP="007162F3">
      <w:pPr>
        <w:keepNext/>
        <w:spacing w:after="0" w:line="480" w:lineRule="auto"/>
        <w:rPr>
          <w:rFonts w:cs="Times New Roman"/>
          <w:szCs w:val="24"/>
          <w:lang w:val="en-US"/>
        </w:rPr>
      </w:pPr>
      <w:r w:rsidRPr="005F2A26">
        <w:rPr>
          <w:rFonts w:cs="Times New Roman"/>
          <w:szCs w:val="24"/>
          <w:lang w:val="en-US"/>
        </w:rPr>
        <w:t xml:space="preserve">Given the broad array of organizations in the SE, </w:t>
      </w:r>
      <w:r w:rsidR="00F90B97" w:rsidRPr="005F2A26">
        <w:rPr>
          <w:rFonts w:cs="Times New Roman"/>
          <w:szCs w:val="24"/>
          <w:lang w:val="en-US"/>
        </w:rPr>
        <w:t xml:space="preserve">it is necessary to </w:t>
      </w:r>
      <w:r w:rsidR="00486915" w:rsidRPr="005F2A26">
        <w:rPr>
          <w:rFonts w:cs="Times New Roman"/>
          <w:szCs w:val="24"/>
          <w:lang w:val="en-US"/>
        </w:rPr>
        <w:t>first</w:t>
      </w:r>
      <w:r w:rsidR="00E7634C" w:rsidRPr="005F2A26">
        <w:rPr>
          <w:rFonts w:cs="Times New Roman"/>
          <w:szCs w:val="24"/>
          <w:lang w:val="en-US"/>
        </w:rPr>
        <w:t xml:space="preserve"> explain </w:t>
      </w:r>
      <w:r w:rsidR="00486915" w:rsidRPr="005F2A26">
        <w:rPr>
          <w:rFonts w:cs="Times New Roman"/>
          <w:szCs w:val="24"/>
          <w:lang w:val="en-US"/>
        </w:rPr>
        <w:t xml:space="preserve">what </w:t>
      </w:r>
      <w:r w:rsidR="00F90B97" w:rsidRPr="005F2A26">
        <w:rPr>
          <w:rFonts w:cs="Times New Roman"/>
          <w:szCs w:val="24"/>
          <w:lang w:val="en-US"/>
        </w:rPr>
        <w:t xml:space="preserve">type of </w:t>
      </w:r>
      <w:r w:rsidR="00486915" w:rsidRPr="005F2A26">
        <w:rPr>
          <w:rFonts w:cs="Times New Roman"/>
          <w:szCs w:val="24"/>
          <w:lang w:val="en-US"/>
        </w:rPr>
        <w:t>platform business</w:t>
      </w:r>
      <w:r w:rsidR="00C73B83" w:rsidRPr="005F2A26">
        <w:rPr>
          <w:rFonts w:cs="Times New Roman"/>
          <w:szCs w:val="24"/>
          <w:lang w:val="en-US"/>
        </w:rPr>
        <w:t xml:space="preserve"> </w:t>
      </w:r>
      <w:r w:rsidR="00F90B97" w:rsidRPr="005F2A26">
        <w:rPr>
          <w:rFonts w:cs="Times New Roman"/>
          <w:szCs w:val="24"/>
          <w:lang w:val="en-US"/>
        </w:rPr>
        <w:t xml:space="preserve">is included </w:t>
      </w:r>
      <w:r w:rsidR="00C73B83" w:rsidRPr="005F2A26">
        <w:rPr>
          <w:rFonts w:cs="Times New Roman"/>
          <w:szCs w:val="24"/>
          <w:lang w:val="en-US"/>
        </w:rPr>
        <w:t xml:space="preserve">in this </w:t>
      </w:r>
      <w:r w:rsidR="0042220C" w:rsidRPr="005F2A26">
        <w:rPr>
          <w:rFonts w:cs="Times New Roman"/>
          <w:szCs w:val="24"/>
          <w:lang w:val="en-US"/>
        </w:rPr>
        <w:t>paper</w:t>
      </w:r>
      <w:r w:rsidRPr="005F2A26">
        <w:rPr>
          <w:rFonts w:cs="Times New Roman"/>
          <w:szCs w:val="24"/>
          <w:lang w:val="en-US"/>
        </w:rPr>
        <w:t xml:space="preserve">. </w:t>
      </w:r>
      <w:r w:rsidR="00AB592F" w:rsidRPr="005F2A26">
        <w:rPr>
          <w:rFonts w:cs="Times New Roman"/>
          <w:szCs w:val="24"/>
          <w:lang w:val="en-US"/>
        </w:rPr>
        <w:t xml:space="preserve">There are four key features of the SE that are common to many studies (e.g., </w:t>
      </w:r>
      <w:proofErr w:type="spellStart"/>
      <w:r w:rsidR="00AB592F" w:rsidRPr="005F2A26">
        <w:rPr>
          <w:rFonts w:cs="Times New Roman"/>
          <w:szCs w:val="24"/>
          <w:lang w:val="en-US"/>
        </w:rPr>
        <w:t>Gerwe</w:t>
      </w:r>
      <w:proofErr w:type="spellEnd"/>
      <w:r w:rsidR="00AB592F" w:rsidRPr="005F2A26">
        <w:rPr>
          <w:rFonts w:cs="Times New Roman"/>
          <w:szCs w:val="24"/>
          <w:lang w:val="en-US"/>
        </w:rPr>
        <w:t xml:space="preserve"> and Silva, 2020, Eckhardt </w:t>
      </w:r>
      <w:r w:rsidR="00957690" w:rsidRPr="00957690">
        <w:rPr>
          <w:rFonts w:cs="Times New Roman"/>
          <w:i/>
          <w:iCs/>
          <w:szCs w:val="24"/>
          <w:lang w:val="en-US"/>
        </w:rPr>
        <w:t>et al.</w:t>
      </w:r>
      <w:r w:rsidR="00AB592F" w:rsidRPr="005F2A26">
        <w:rPr>
          <w:rFonts w:cs="Times New Roman"/>
          <w:szCs w:val="24"/>
          <w:lang w:val="en-US"/>
        </w:rPr>
        <w:t xml:space="preserve">, 2019). First is </w:t>
      </w:r>
      <w:r w:rsidR="00AB592F" w:rsidRPr="005F2A26">
        <w:rPr>
          <w:rFonts w:cs="Times New Roman"/>
          <w:i/>
          <w:iCs/>
          <w:szCs w:val="24"/>
          <w:lang w:val="en-US"/>
        </w:rPr>
        <w:t>platform mediation</w:t>
      </w:r>
      <w:r w:rsidR="00AB592F" w:rsidRPr="005F2A26">
        <w:rPr>
          <w:rFonts w:cs="Times New Roman"/>
          <w:szCs w:val="24"/>
          <w:lang w:val="en-US"/>
        </w:rPr>
        <w:t xml:space="preserve">, where the SE is organized around digital platforms that enable interactions between users (Breidbach and Brodie, 2017; </w:t>
      </w:r>
      <w:proofErr w:type="spellStart"/>
      <w:r w:rsidR="00AB592F" w:rsidRPr="005F2A26">
        <w:rPr>
          <w:rFonts w:cs="Times New Roman"/>
          <w:szCs w:val="24"/>
          <w:lang w:val="en-US"/>
        </w:rPr>
        <w:t>Hamari</w:t>
      </w:r>
      <w:proofErr w:type="spellEnd"/>
      <w:r w:rsidR="00AB592F" w:rsidRPr="005F2A26">
        <w:rPr>
          <w:rFonts w:cs="Times New Roman"/>
          <w:szCs w:val="24"/>
          <w:lang w:val="en-US"/>
        </w:rPr>
        <w:t xml:space="preserve"> </w:t>
      </w:r>
      <w:r w:rsidR="00957690" w:rsidRPr="00957690">
        <w:rPr>
          <w:rFonts w:cs="Times New Roman"/>
          <w:i/>
          <w:iCs/>
          <w:szCs w:val="24"/>
          <w:lang w:val="en-US"/>
        </w:rPr>
        <w:t>et al.</w:t>
      </w:r>
      <w:r w:rsidR="00AB592F" w:rsidRPr="005F2A26">
        <w:rPr>
          <w:rFonts w:cs="Times New Roman"/>
          <w:szCs w:val="24"/>
          <w:lang w:val="en-US"/>
        </w:rPr>
        <w:t xml:space="preserve">, 2015). Second, the SE facilitates </w:t>
      </w:r>
      <w:r w:rsidR="00AB592F" w:rsidRPr="005F2A26">
        <w:rPr>
          <w:rFonts w:cs="Times New Roman"/>
          <w:i/>
          <w:iCs/>
          <w:szCs w:val="24"/>
          <w:lang w:val="en-US"/>
        </w:rPr>
        <w:t xml:space="preserve">P2P </w:t>
      </w:r>
      <w:r w:rsidR="00AB592F" w:rsidRPr="005F2A26">
        <w:rPr>
          <w:rFonts w:cs="Times New Roman"/>
          <w:i/>
          <w:iCs/>
          <w:szCs w:val="24"/>
          <w:lang w:val="en-US"/>
        </w:rPr>
        <w:lastRenderedPageBreak/>
        <w:t>exchanges</w:t>
      </w:r>
      <w:r w:rsidR="00AB592F" w:rsidRPr="005F2A26">
        <w:rPr>
          <w:rFonts w:cs="Times New Roman"/>
          <w:szCs w:val="24"/>
          <w:lang w:val="en-US"/>
        </w:rPr>
        <w:t xml:space="preserve"> so that </w:t>
      </w:r>
      <w:r w:rsidR="00AB592F" w:rsidRPr="005F2A26">
        <w:rPr>
          <w:rFonts w:cs="Times New Roman"/>
          <w:bCs/>
          <w:szCs w:val="24"/>
          <w:lang w:val="en-US"/>
        </w:rPr>
        <w:t xml:space="preserve">versatile actors can engage with one another in a non-hierarchical manner (Fehrer </w:t>
      </w:r>
      <w:r w:rsidR="00957690" w:rsidRPr="00957690">
        <w:rPr>
          <w:rFonts w:cs="Times New Roman"/>
          <w:bCs/>
          <w:i/>
          <w:iCs/>
          <w:szCs w:val="24"/>
          <w:lang w:val="en-US"/>
        </w:rPr>
        <w:t>et al.</w:t>
      </w:r>
      <w:r w:rsidR="00AB592F" w:rsidRPr="005F2A26">
        <w:rPr>
          <w:rFonts w:cs="Times New Roman"/>
          <w:bCs/>
          <w:szCs w:val="24"/>
          <w:lang w:val="en-US"/>
        </w:rPr>
        <w:t>, 2018</w:t>
      </w:r>
      <w:r w:rsidR="000565A0">
        <w:rPr>
          <w:rFonts w:cs="Times New Roman"/>
          <w:bCs/>
          <w:szCs w:val="24"/>
          <w:lang w:val="en-US"/>
        </w:rPr>
        <w:t>a</w:t>
      </w:r>
      <w:r w:rsidR="00AB592F" w:rsidRPr="005F2A26">
        <w:rPr>
          <w:rFonts w:cs="Times New Roman"/>
          <w:bCs/>
          <w:szCs w:val="24"/>
          <w:lang w:val="en-US"/>
        </w:rPr>
        <w:t xml:space="preserve">; </w:t>
      </w:r>
      <w:proofErr w:type="spellStart"/>
      <w:r w:rsidR="00AB592F" w:rsidRPr="005F2A26">
        <w:rPr>
          <w:rFonts w:cs="Times New Roman"/>
          <w:bCs/>
          <w:szCs w:val="24"/>
          <w:lang w:val="en-US"/>
        </w:rPr>
        <w:t>Perren</w:t>
      </w:r>
      <w:proofErr w:type="spellEnd"/>
      <w:r w:rsidR="00AB592F" w:rsidRPr="005F2A26">
        <w:rPr>
          <w:rFonts w:cs="Times New Roman"/>
          <w:bCs/>
          <w:szCs w:val="24"/>
          <w:lang w:val="en-US"/>
        </w:rPr>
        <w:t xml:space="preserve"> and </w:t>
      </w:r>
      <w:proofErr w:type="spellStart"/>
      <w:r w:rsidR="00AB592F" w:rsidRPr="005F2A26">
        <w:rPr>
          <w:rFonts w:cs="Times New Roman"/>
          <w:bCs/>
          <w:szCs w:val="24"/>
          <w:lang w:val="en-US"/>
        </w:rPr>
        <w:t>Kozinets</w:t>
      </w:r>
      <w:proofErr w:type="spellEnd"/>
      <w:r w:rsidR="00AB592F" w:rsidRPr="005F2A26">
        <w:rPr>
          <w:rFonts w:cs="Times New Roman"/>
          <w:bCs/>
          <w:szCs w:val="24"/>
          <w:lang w:val="en-US"/>
        </w:rPr>
        <w:t>, 2018)</w:t>
      </w:r>
      <w:r w:rsidR="00AB592F" w:rsidRPr="005F2A26">
        <w:rPr>
          <w:rFonts w:cs="Times New Roman"/>
          <w:szCs w:val="24"/>
          <w:lang w:val="en-US"/>
        </w:rPr>
        <w:t>.</w:t>
      </w:r>
      <w:r w:rsidR="00300463" w:rsidRPr="005F2A26">
        <w:rPr>
          <w:rFonts w:cs="Times New Roman"/>
          <w:szCs w:val="24"/>
          <w:lang w:val="en-US"/>
        </w:rPr>
        <w:t xml:space="preserve"> </w:t>
      </w:r>
      <w:r w:rsidR="00AB592F" w:rsidRPr="005F2A26">
        <w:rPr>
          <w:rFonts w:cs="Times New Roman"/>
          <w:szCs w:val="24"/>
          <w:lang w:val="en-US"/>
        </w:rPr>
        <w:t xml:space="preserve">Third, the SE </w:t>
      </w:r>
      <w:r w:rsidRPr="005F2A26">
        <w:rPr>
          <w:rFonts w:cs="Times New Roman"/>
          <w:szCs w:val="24"/>
          <w:lang w:val="en-US"/>
        </w:rPr>
        <w:t>emphasizes</w:t>
      </w:r>
      <w:r w:rsidR="00AB592F" w:rsidRPr="005F2A26">
        <w:rPr>
          <w:rFonts w:cs="Times New Roman"/>
          <w:szCs w:val="24"/>
          <w:lang w:val="en-US"/>
        </w:rPr>
        <w:t xml:space="preserve"> </w:t>
      </w:r>
      <w:r w:rsidR="00AB592F" w:rsidRPr="005F2A26">
        <w:rPr>
          <w:rFonts w:cs="Times New Roman"/>
          <w:i/>
          <w:iCs/>
          <w:szCs w:val="24"/>
          <w:lang w:val="en-US"/>
        </w:rPr>
        <w:t>access to, rather than ownership of, resources</w:t>
      </w:r>
      <w:r w:rsidR="00AB592F" w:rsidRPr="005F2A26">
        <w:rPr>
          <w:rFonts w:cs="Times New Roman"/>
          <w:szCs w:val="24"/>
          <w:lang w:val="en-US"/>
        </w:rPr>
        <w:t>, as no transfer of ownership occurs (</w:t>
      </w:r>
      <w:proofErr w:type="spellStart"/>
      <w:r w:rsidR="00AB592F" w:rsidRPr="005F2A26">
        <w:rPr>
          <w:rFonts w:cs="Times New Roman"/>
          <w:szCs w:val="24"/>
          <w:lang w:val="en-US"/>
        </w:rPr>
        <w:t>Fritze</w:t>
      </w:r>
      <w:proofErr w:type="spellEnd"/>
      <w:r w:rsidR="00AB592F" w:rsidRPr="005F2A26">
        <w:rPr>
          <w:rFonts w:cs="Times New Roman"/>
          <w:szCs w:val="24"/>
          <w:lang w:val="en-US"/>
        </w:rPr>
        <w:t xml:space="preserve"> </w:t>
      </w:r>
      <w:r w:rsidR="00957690" w:rsidRPr="00957690">
        <w:rPr>
          <w:rFonts w:cs="Times New Roman"/>
          <w:i/>
          <w:iCs/>
          <w:szCs w:val="24"/>
          <w:lang w:val="en-US"/>
        </w:rPr>
        <w:t>et al.</w:t>
      </w:r>
      <w:r w:rsidR="00AB592F" w:rsidRPr="005F2A26">
        <w:rPr>
          <w:rFonts w:cs="Times New Roman"/>
          <w:szCs w:val="24"/>
          <w:lang w:val="en-US"/>
        </w:rPr>
        <w:t xml:space="preserve">, 2020). Hence, an online e-tailing platform like Amazon does not count as part of the sharing economy. </w:t>
      </w:r>
      <w:r w:rsidR="00DA5726" w:rsidRPr="005F2A26">
        <w:rPr>
          <w:rFonts w:cs="Times New Roman"/>
          <w:szCs w:val="24"/>
          <w:lang w:val="en-US"/>
        </w:rPr>
        <w:t xml:space="preserve">Further, sometimes the resources accessed through a platform are owned by the platform (e.g., Zipcar owns the </w:t>
      </w:r>
      <w:r w:rsidR="00B6463E" w:rsidRPr="005F2A26">
        <w:rPr>
          <w:rFonts w:cs="Times New Roman"/>
          <w:szCs w:val="24"/>
          <w:lang w:val="en-US"/>
        </w:rPr>
        <w:t xml:space="preserve">vehicles </w:t>
      </w:r>
      <w:r w:rsidR="00DA5726" w:rsidRPr="005F2A26">
        <w:rPr>
          <w:rFonts w:cs="Times New Roman"/>
          <w:szCs w:val="24"/>
          <w:lang w:val="en-US"/>
        </w:rPr>
        <w:t xml:space="preserve">that are rented through its platforms), and sometimes by peers (e.g., a private car owned and operated by an Uber driver) (Wirtz </w:t>
      </w:r>
      <w:r w:rsidR="00957690" w:rsidRPr="00957690">
        <w:rPr>
          <w:rFonts w:cs="Times New Roman"/>
          <w:i/>
          <w:iCs/>
          <w:szCs w:val="24"/>
          <w:lang w:val="en-US"/>
        </w:rPr>
        <w:t>et al.</w:t>
      </w:r>
      <w:r w:rsidR="00DA5726" w:rsidRPr="005F2A26">
        <w:rPr>
          <w:rFonts w:cs="Times New Roman"/>
          <w:szCs w:val="24"/>
          <w:lang w:val="en-US"/>
        </w:rPr>
        <w:t>,</w:t>
      </w:r>
      <w:r w:rsidR="00DA5726" w:rsidRPr="005F2A26">
        <w:rPr>
          <w:rFonts w:cs="Times New Roman"/>
          <w:i/>
          <w:iCs/>
          <w:szCs w:val="24"/>
          <w:lang w:val="en-US"/>
        </w:rPr>
        <w:t xml:space="preserve"> </w:t>
      </w:r>
      <w:r w:rsidR="00DA5726" w:rsidRPr="005F2A26">
        <w:rPr>
          <w:rFonts w:cs="Times New Roman"/>
          <w:szCs w:val="24"/>
          <w:lang w:val="en-US"/>
        </w:rPr>
        <w:t>2019). For the purposes of this study, we see platforms that enable sharing of peer-owned resources as emblematic of the SE, which means if the resource is owned by the platform business</w:t>
      </w:r>
      <w:r w:rsidR="00C84395" w:rsidRPr="005F2A26">
        <w:rPr>
          <w:rFonts w:cs="Times New Roman"/>
          <w:szCs w:val="24"/>
          <w:lang w:val="en-US"/>
        </w:rPr>
        <w:t>,</w:t>
      </w:r>
      <w:r w:rsidR="00DA5726" w:rsidRPr="005F2A26">
        <w:rPr>
          <w:rFonts w:cs="Times New Roman"/>
          <w:szCs w:val="24"/>
          <w:lang w:val="en-US"/>
        </w:rPr>
        <w:t xml:space="preserve"> we exclude it from </w:t>
      </w:r>
      <w:r w:rsidR="00F465B0" w:rsidRPr="005F2A26">
        <w:rPr>
          <w:rFonts w:cs="Times New Roman"/>
          <w:szCs w:val="24"/>
          <w:lang w:val="en-US"/>
        </w:rPr>
        <w:t>consideration</w:t>
      </w:r>
      <w:r w:rsidR="00DA5726" w:rsidRPr="005F2A26">
        <w:rPr>
          <w:rFonts w:cs="Times New Roman"/>
          <w:szCs w:val="24"/>
          <w:lang w:val="en-US"/>
        </w:rPr>
        <w:t xml:space="preserve">. </w:t>
      </w:r>
      <w:r w:rsidR="00AB592F" w:rsidRPr="005F2A26">
        <w:rPr>
          <w:rFonts w:cs="Times New Roman"/>
          <w:szCs w:val="24"/>
          <w:lang w:val="en-US"/>
        </w:rPr>
        <w:t xml:space="preserve">And fourth, the SE focusses on </w:t>
      </w:r>
      <w:r w:rsidR="00AB592F" w:rsidRPr="005F2A26">
        <w:rPr>
          <w:rFonts w:cs="Times New Roman"/>
          <w:i/>
          <w:iCs/>
          <w:szCs w:val="24"/>
          <w:lang w:val="en-US"/>
        </w:rPr>
        <w:t>using under-utilized capacity</w:t>
      </w:r>
      <w:r w:rsidR="00AB592F" w:rsidRPr="005F2A26">
        <w:rPr>
          <w:rFonts w:cs="Times New Roman"/>
          <w:szCs w:val="24"/>
          <w:lang w:val="en-US"/>
        </w:rPr>
        <w:t xml:space="preserve"> such as physical assets, skills, or time to transmit economic value (Cusumano, 2018). </w:t>
      </w:r>
    </w:p>
    <w:p w14:paraId="0F339122" w14:textId="4791043C" w:rsidR="007C73B4" w:rsidRPr="005F2A26" w:rsidRDefault="00F307D0" w:rsidP="008F2062">
      <w:pPr>
        <w:keepNext/>
        <w:spacing w:after="0" w:line="480" w:lineRule="auto"/>
        <w:ind w:firstLine="720"/>
        <w:rPr>
          <w:rFonts w:cs="Times New Roman"/>
          <w:szCs w:val="24"/>
          <w:lang w:val="en-US"/>
        </w:rPr>
      </w:pPr>
      <w:r w:rsidRPr="00A12766">
        <w:rPr>
          <w:rFonts w:cs="Times New Roman"/>
          <w:color w:val="FF0000"/>
          <w:szCs w:val="24"/>
          <w:lang w:val="en-US"/>
        </w:rPr>
        <w:t xml:space="preserve">Additionally, </w:t>
      </w:r>
      <w:r w:rsidR="007D5CF9" w:rsidRPr="00A12766">
        <w:rPr>
          <w:rFonts w:cs="Times New Roman"/>
          <w:color w:val="FF0000"/>
          <w:szCs w:val="24"/>
          <w:lang w:val="en-US"/>
        </w:rPr>
        <w:t>as depicted in Figure</w:t>
      </w:r>
      <w:r w:rsidR="008E0AF9" w:rsidRPr="00A12766">
        <w:rPr>
          <w:rFonts w:cs="Times New Roman"/>
          <w:color w:val="FF0000"/>
          <w:szCs w:val="24"/>
          <w:lang w:val="en-US"/>
        </w:rPr>
        <w:t xml:space="preserve"> 1</w:t>
      </w:r>
      <w:r w:rsidR="007D5CF9" w:rsidRPr="00A12766">
        <w:rPr>
          <w:rFonts w:cs="Times New Roman"/>
          <w:color w:val="FF0000"/>
          <w:szCs w:val="24"/>
          <w:lang w:val="en-US"/>
        </w:rPr>
        <w:t xml:space="preserve">, </w:t>
      </w:r>
      <w:r w:rsidRPr="00A12766">
        <w:rPr>
          <w:rFonts w:cs="Times New Roman"/>
          <w:color w:val="FF0000"/>
          <w:szCs w:val="24"/>
          <w:lang w:val="en-US"/>
        </w:rPr>
        <w:t xml:space="preserve">we </w:t>
      </w:r>
      <w:r w:rsidR="00DA1B8C" w:rsidRPr="00A12766">
        <w:rPr>
          <w:rFonts w:cs="Times New Roman"/>
          <w:color w:val="FF0000"/>
          <w:szCs w:val="24"/>
          <w:lang w:val="en-US"/>
        </w:rPr>
        <w:t xml:space="preserve">argue </w:t>
      </w:r>
      <w:r w:rsidR="007D5CF9" w:rsidRPr="00A12766">
        <w:rPr>
          <w:rFonts w:cs="Times New Roman"/>
          <w:color w:val="FF0000"/>
          <w:szCs w:val="24"/>
          <w:lang w:val="en-US"/>
        </w:rPr>
        <w:t xml:space="preserve">there are </w:t>
      </w:r>
      <w:r w:rsidR="00B87BAF" w:rsidRPr="00A12766">
        <w:rPr>
          <w:rFonts w:cs="Times New Roman"/>
          <w:color w:val="FF0000"/>
          <w:szCs w:val="24"/>
          <w:lang w:val="en-US"/>
        </w:rPr>
        <w:t>two</w:t>
      </w:r>
      <w:r w:rsidR="00B04505" w:rsidRPr="00A12766">
        <w:rPr>
          <w:rFonts w:cs="Times New Roman"/>
          <w:color w:val="FF0000"/>
          <w:szCs w:val="24"/>
          <w:lang w:val="en-US"/>
        </w:rPr>
        <w:t xml:space="preserve"> characteristic</w:t>
      </w:r>
      <w:r w:rsidR="00B87BAF" w:rsidRPr="00A12766">
        <w:rPr>
          <w:rFonts w:cs="Times New Roman"/>
          <w:color w:val="FF0000"/>
          <w:szCs w:val="24"/>
          <w:lang w:val="en-US"/>
        </w:rPr>
        <w:t>s</w:t>
      </w:r>
      <w:r w:rsidR="008452BA" w:rsidRPr="00A12766">
        <w:rPr>
          <w:rFonts w:cs="Times New Roman"/>
          <w:color w:val="FF0000"/>
          <w:szCs w:val="24"/>
          <w:lang w:val="en-US"/>
        </w:rPr>
        <w:t xml:space="preserve"> </w:t>
      </w:r>
      <w:r w:rsidR="008273CA" w:rsidRPr="00A12766">
        <w:rPr>
          <w:rFonts w:cs="Times New Roman"/>
          <w:color w:val="FF0000"/>
          <w:szCs w:val="24"/>
          <w:lang w:val="en-US"/>
        </w:rPr>
        <w:t xml:space="preserve">that distinguish between </w:t>
      </w:r>
      <w:r w:rsidR="008452BA" w:rsidRPr="00A12766">
        <w:rPr>
          <w:rFonts w:cs="Times New Roman"/>
          <w:color w:val="FF0000"/>
          <w:szCs w:val="24"/>
          <w:lang w:val="en-US"/>
        </w:rPr>
        <w:t>different</w:t>
      </w:r>
      <w:r w:rsidR="008273CA" w:rsidRPr="00A12766">
        <w:rPr>
          <w:rFonts w:cs="Times New Roman"/>
          <w:color w:val="FF0000"/>
          <w:szCs w:val="24"/>
          <w:lang w:val="en-US"/>
        </w:rPr>
        <w:t xml:space="preserve"> types of</w:t>
      </w:r>
      <w:r w:rsidR="008452BA" w:rsidRPr="00A12766">
        <w:rPr>
          <w:rFonts w:cs="Times New Roman"/>
          <w:color w:val="FF0000"/>
          <w:szCs w:val="24"/>
          <w:lang w:val="en-US"/>
        </w:rPr>
        <w:t xml:space="preserve"> platforms</w:t>
      </w:r>
      <w:r w:rsidR="007D5CF9" w:rsidRPr="00A12766">
        <w:rPr>
          <w:rFonts w:cs="Times New Roman"/>
          <w:color w:val="FF0000"/>
          <w:szCs w:val="24"/>
          <w:lang w:val="en-US"/>
        </w:rPr>
        <w:t>. First is</w:t>
      </w:r>
      <w:r w:rsidR="00DC6E92" w:rsidRPr="00A12766">
        <w:rPr>
          <w:rFonts w:cs="Times New Roman"/>
          <w:color w:val="FF0000"/>
          <w:szCs w:val="24"/>
          <w:lang w:val="en-US"/>
        </w:rPr>
        <w:t xml:space="preserve"> </w:t>
      </w:r>
      <w:r w:rsidR="00300463" w:rsidRPr="00A12766">
        <w:rPr>
          <w:rFonts w:cs="Times New Roman"/>
          <w:color w:val="FF0000"/>
          <w:szCs w:val="24"/>
          <w:lang w:val="en-US"/>
        </w:rPr>
        <w:t xml:space="preserve">the </w:t>
      </w:r>
      <w:r w:rsidR="00F16B83" w:rsidRPr="00A12766">
        <w:rPr>
          <w:rFonts w:cs="Times New Roman"/>
          <w:color w:val="FF0000"/>
          <w:szCs w:val="24"/>
          <w:lang w:val="en-US"/>
        </w:rPr>
        <w:t xml:space="preserve">level of involvement </w:t>
      </w:r>
      <w:r w:rsidR="00DC6E92" w:rsidRPr="00A12766">
        <w:rPr>
          <w:rFonts w:cs="Times New Roman"/>
          <w:color w:val="FF0000"/>
          <w:szCs w:val="24"/>
          <w:lang w:val="en-US"/>
        </w:rPr>
        <w:t>a</w:t>
      </w:r>
      <w:r w:rsidR="00300463" w:rsidRPr="00A12766">
        <w:rPr>
          <w:rFonts w:cs="Times New Roman"/>
          <w:color w:val="FF0000"/>
          <w:szCs w:val="24"/>
          <w:lang w:val="en-US"/>
        </w:rPr>
        <w:t xml:space="preserve"> platform takes </w:t>
      </w:r>
      <w:r w:rsidR="007162F3" w:rsidRPr="00A12766">
        <w:rPr>
          <w:rFonts w:cs="Times New Roman"/>
          <w:color w:val="FF0000"/>
          <w:szCs w:val="24"/>
          <w:lang w:val="en-US"/>
        </w:rPr>
        <w:t>in mediating actor interactions</w:t>
      </w:r>
      <w:r w:rsidR="0068717C" w:rsidRPr="00A12766">
        <w:rPr>
          <w:rFonts w:cs="Times New Roman"/>
          <w:color w:val="FF0000"/>
          <w:szCs w:val="24"/>
          <w:lang w:val="en-US"/>
        </w:rPr>
        <w:t>,</w:t>
      </w:r>
      <w:r w:rsidR="00CC2E28" w:rsidRPr="00A12766">
        <w:rPr>
          <w:rFonts w:cs="Times New Roman"/>
          <w:color w:val="FF0000"/>
          <w:szCs w:val="24"/>
          <w:lang w:val="en-US"/>
        </w:rPr>
        <w:t xml:space="preserve"> and </w:t>
      </w:r>
      <w:r w:rsidR="007D5CF9" w:rsidRPr="00A12766">
        <w:rPr>
          <w:rFonts w:cs="Times New Roman"/>
          <w:color w:val="FF0000"/>
          <w:szCs w:val="24"/>
          <w:lang w:val="en-US"/>
        </w:rPr>
        <w:t>second</w:t>
      </w:r>
      <w:r w:rsidR="008E0AF9" w:rsidRPr="00A12766">
        <w:rPr>
          <w:rFonts w:cs="Times New Roman"/>
          <w:color w:val="FF0000"/>
          <w:szCs w:val="24"/>
          <w:lang w:val="en-US"/>
        </w:rPr>
        <w:t xml:space="preserve"> is</w:t>
      </w:r>
      <w:r w:rsidR="00CC2E28" w:rsidRPr="00A12766">
        <w:rPr>
          <w:rFonts w:cs="Times New Roman"/>
          <w:color w:val="FF0000"/>
          <w:szCs w:val="24"/>
          <w:lang w:val="en-US"/>
        </w:rPr>
        <w:t xml:space="preserve"> the type of </w:t>
      </w:r>
      <w:r w:rsidR="004F4F63">
        <w:rPr>
          <w:rFonts w:cs="Times New Roman"/>
          <w:color w:val="FF0000"/>
          <w:szCs w:val="24"/>
          <w:lang w:val="en-US"/>
        </w:rPr>
        <w:t xml:space="preserve">actor </w:t>
      </w:r>
      <w:r w:rsidR="00CC2E28" w:rsidRPr="00A12766">
        <w:rPr>
          <w:rFonts w:cs="Times New Roman"/>
          <w:color w:val="FF0000"/>
          <w:szCs w:val="24"/>
          <w:lang w:val="en-US"/>
        </w:rPr>
        <w:t xml:space="preserve">engagement </w:t>
      </w:r>
      <w:r w:rsidR="00956EC9">
        <w:rPr>
          <w:rFonts w:cs="Times New Roman"/>
          <w:color w:val="FF0000"/>
          <w:szCs w:val="24"/>
          <w:lang w:val="en-US"/>
        </w:rPr>
        <w:t>that is desir</w:t>
      </w:r>
      <w:r w:rsidR="004F4F63">
        <w:rPr>
          <w:rFonts w:cs="Times New Roman"/>
          <w:color w:val="FF0000"/>
          <w:szCs w:val="24"/>
          <w:lang w:val="en-US"/>
        </w:rPr>
        <w:t xml:space="preserve">able for the platform to achieve </w:t>
      </w:r>
      <w:r w:rsidR="00B87BAF" w:rsidRPr="00A12766">
        <w:rPr>
          <w:rFonts w:cs="Times New Roman"/>
          <w:color w:val="FF0000"/>
          <w:szCs w:val="24"/>
          <w:lang w:val="en-US"/>
        </w:rPr>
        <w:t>optimal success</w:t>
      </w:r>
      <w:r w:rsidR="00300463" w:rsidRPr="00A12766">
        <w:rPr>
          <w:rFonts w:cs="Times New Roman"/>
          <w:color w:val="FF0000"/>
          <w:szCs w:val="24"/>
          <w:lang w:val="en-US"/>
        </w:rPr>
        <w:t xml:space="preserve">. </w:t>
      </w:r>
      <w:r w:rsidR="00CF6F10" w:rsidRPr="00A12766">
        <w:rPr>
          <w:rFonts w:cs="Times New Roman"/>
          <w:color w:val="FF0000"/>
          <w:szCs w:val="24"/>
          <w:lang w:val="en-US"/>
        </w:rPr>
        <w:t>At one extreme</w:t>
      </w:r>
      <w:r w:rsidR="007162F3" w:rsidRPr="00A12766">
        <w:rPr>
          <w:rFonts w:cs="Times New Roman"/>
          <w:color w:val="FF0000"/>
          <w:szCs w:val="24"/>
          <w:lang w:val="en-US"/>
        </w:rPr>
        <w:t xml:space="preserve">, </w:t>
      </w:r>
      <w:r w:rsidR="00170A78" w:rsidRPr="00A12766">
        <w:rPr>
          <w:rFonts w:cs="Times New Roman"/>
          <w:color w:val="FF0000"/>
          <w:szCs w:val="24"/>
          <w:lang w:val="en-US"/>
        </w:rPr>
        <w:t xml:space="preserve">some platforms take a central role in matching platform users, </w:t>
      </w:r>
      <w:r w:rsidR="00C31E3C" w:rsidRPr="00A12766">
        <w:rPr>
          <w:rFonts w:cs="Times New Roman"/>
          <w:color w:val="FF0000"/>
          <w:szCs w:val="24"/>
          <w:lang w:val="en-US"/>
        </w:rPr>
        <w:t xml:space="preserve">and closely </w:t>
      </w:r>
      <w:r w:rsidR="00170A78" w:rsidRPr="00A12766">
        <w:rPr>
          <w:rFonts w:cs="Times New Roman"/>
          <w:color w:val="FF0000"/>
          <w:szCs w:val="24"/>
          <w:lang w:val="en-US"/>
        </w:rPr>
        <w:t>control the distribution of peer-owned resources. For example, the lending platform Prosper</w:t>
      </w:r>
      <w:r w:rsidR="00306BE6" w:rsidRPr="00A12766">
        <w:rPr>
          <w:rFonts w:cs="Times New Roman"/>
          <w:color w:val="FF0000"/>
          <w:szCs w:val="24"/>
          <w:lang w:val="en-US"/>
        </w:rPr>
        <w:t xml:space="preserve"> (prosper.com)</w:t>
      </w:r>
      <w:r w:rsidR="00170A78" w:rsidRPr="00A12766">
        <w:rPr>
          <w:rFonts w:cs="Times New Roman"/>
          <w:color w:val="FF0000"/>
          <w:szCs w:val="24"/>
          <w:lang w:val="en-US"/>
        </w:rPr>
        <w:t xml:space="preserve"> ranks borrowers according to their risk profile, marries lenders to those borrowers</w:t>
      </w:r>
      <w:r w:rsidR="00306BE6" w:rsidRPr="00A12766">
        <w:rPr>
          <w:rFonts w:cs="Times New Roman"/>
          <w:color w:val="FF0000"/>
          <w:szCs w:val="24"/>
          <w:lang w:val="en-US"/>
        </w:rPr>
        <w:t>, and “handles all loan servicing on behalf of the matched borrowers and investors</w:t>
      </w:r>
      <w:r w:rsidR="00170A78" w:rsidRPr="00A12766">
        <w:rPr>
          <w:rFonts w:cs="Times New Roman"/>
          <w:color w:val="FF0000"/>
          <w:szCs w:val="24"/>
          <w:lang w:val="en-US"/>
        </w:rPr>
        <w:t>.</w:t>
      </w:r>
      <w:r w:rsidR="00306BE6" w:rsidRPr="00A12766">
        <w:rPr>
          <w:rFonts w:cs="Times New Roman"/>
          <w:color w:val="FF0000"/>
          <w:szCs w:val="24"/>
          <w:lang w:val="en-US"/>
        </w:rPr>
        <w:t>”</w:t>
      </w:r>
      <w:r w:rsidR="00170A78" w:rsidRPr="00A12766">
        <w:rPr>
          <w:rFonts w:cs="Times New Roman"/>
          <w:color w:val="FF0000"/>
          <w:szCs w:val="24"/>
          <w:lang w:val="en-US"/>
        </w:rPr>
        <w:t xml:space="preserve"> In this case, </w:t>
      </w:r>
      <w:r w:rsidR="003A736D" w:rsidRPr="00A12766">
        <w:rPr>
          <w:rFonts w:cs="Times New Roman"/>
          <w:color w:val="FF0000"/>
          <w:szCs w:val="24"/>
          <w:lang w:val="en-US"/>
        </w:rPr>
        <w:t>users are simply expected to rank one another</w:t>
      </w:r>
      <w:r w:rsidR="00B2723C" w:rsidRPr="00A12766">
        <w:rPr>
          <w:rFonts w:cs="Times New Roman"/>
          <w:color w:val="FF0000"/>
          <w:szCs w:val="24"/>
          <w:lang w:val="en-US"/>
        </w:rPr>
        <w:t>.</w:t>
      </w:r>
      <w:r w:rsidR="004C0D87" w:rsidRPr="00A12766">
        <w:rPr>
          <w:rFonts w:cs="Times New Roman"/>
          <w:color w:val="FF0000"/>
          <w:szCs w:val="24"/>
          <w:lang w:val="en-US"/>
        </w:rPr>
        <w:t xml:space="preserve"> </w:t>
      </w:r>
      <w:r w:rsidR="001566F1" w:rsidRPr="00A12766">
        <w:rPr>
          <w:rFonts w:cs="Times New Roman"/>
          <w:color w:val="FF0000"/>
          <w:szCs w:val="24"/>
          <w:lang w:val="en-US"/>
        </w:rPr>
        <w:t>Fo</w:t>
      </w:r>
      <w:r w:rsidR="004C0D87" w:rsidRPr="00A12766">
        <w:rPr>
          <w:rFonts w:cs="Times New Roman"/>
          <w:color w:val="FF0000"/>
          <w:szCs w:val="24"/>
          <w:lang w:val="en-US"/>
        </w:rPr>
        <w:t xml:space="preserve">r optimal success, </w:t>
      </w:r>
      <w:r w:rsidR="006D2622" w:rsidRPr="00A12766">
        <w:rPr>
          <w:rFonts w:cs="Times New Roman"/>
          <w:color w:val="FF0000"/>
          <w:szCs w:val="24"/>
          <w:lang w:val="en-US"/>
        </w:rPr>
        <w:t xml:space="preserve">a </w:t>
      </w:r>
      <w:r w:rsidR="004C0D87" w:rsidRPr="00A12766">
        <w:rPr>
          <w:rFonts w:cs="Times New Roman"/>
          <w:color w:val="FF0000"/>
          <w:szCs w:val="24"/>
          <w:lang w:val="en-US"/>
        </w:rPr>
        <w:t xml:space="preserve">high level of </w:t>
      </w:r>
      <w:r w:rsidR="00617295">
        <w:rPr>
          <w:rFonts w:cs="Times New Roman"/>
          <w:color w:val="FF0000"/>
          <w:szCs w:val="24"/>
          <w:lang w:val="en-US"/>
        </w:rPr>
        <w:t>actor</w:t>
      </w:r>
      <w:r w:rsidR="001D5B9A" w:rsidRPr="00A12766">
        <w:rPr>
          <w:rFonts w:cs="Times New Roman"/>
          <w:color w:val="FF0000"/>
          <w:szCs w:val="24"/>
          <w:lang w:val="en-US"/>
        </w:rPr>
        <w:t xml:space="preserve"> </w:t>
      </w:r>
      <w:r w:rsidR="004C0D87" w:rsidRPr="00A12766">
        <w:rPr>
          <w:rFonts w:cs="Times New Roman"/>
          <w:color w:val="FF0000"/>
          <w:szCs w:val="24"/>
          <w:lang w:val="en-US"/>
        </w:rPr>
        <w:t>engagement within th</w:t>
      </w:r>
      <w:r w:rsidR="00B2723C" w:rsidRPr="00A12766">
        <w:rPr>
          <w:rFonts w:cs="Times New Roman"/>
          <w:color w:val="FF0000"/>
          <w:szCs w:val="24"/>
          <w:lang w:val="en-US"/>
        </w:rPr>
        <w:t>e</w:t>
      </w:r>
      <w:r w:rsidR="004C0D87" w:rsidRPr="00A12766">
        <w:rPr>
          <w:rFonts w:cs="Times New Roman"/>
          <w:color w:val="FF0000"/>
          <w:szCs w:val="24"/>
          <w:lang w:val="en-US"/>
        </w:rPr>
        <w:t xml:space="preserve"> dya</w:t>
      </w:r>
      <w:r w:rsidR="006D2622" w:rsidRPr="00A12766">
        <w:rPr>
          <w:rFonts w:cs="Times New Roman"/>
          <w:color w:val="FF0000"/>
          <w:szCs w:val="24"/>
          <w:lang w:val="en-US"/>
        </w:rPr>
        <w:t>d</w:t>
      </w:r>
      <w:r w:rsidR="00B2723C" w:rsidRPr="00A12766">
        <w:rPr>
          <w:rFonts w:cs="Times New Roman"/>
          <w:color w:val="FF0000"/>
          <w:szCs w:val="24"/>
          <w:lang w:val="en-US"/>
        </w:rPr>
        <w:t xml:space="preserve"> of user and platform</w:t>
      </w:r>
      <w:r w:rsidR="006D2622" w:rsidRPr="00A12766">
        <w:rPr>
          <w:rFonts w:cs="Times New Roman"/>
          <w:color w:val="FF0000"/>
          <w:szCs w:val="24"/>
          <w:lang w:val="en-US"/>
        </w:rPr>
        <w:t xml:space="preserve"> </w:t>
      </w:r>
      <w:r w:rsidR="001D5B9A" w:rsidRPr="00A12766">
        <w:rPr>
          <w:rFonts w:cs="Times New Roman"/>
          <w:color w:val="FF0000"/>
          <w:szCs w:val="24"/>
          <w:lang w:val="en-US"/>
        </w:rPr>
        <w:t>is desirable</w:t>
      </w:r>
      <w:r w:rsidR="00085C92" w:rsidRPr="00A12766">
        <w:rPr>
          <w:rFonts w:cs="Times New Roman"/>
          <w:color w:val="FF0000"/>
          <w:szCs w:val="24"/>
          <w:lang w:val="en-US"/>
        </w:rPr>
        <w:t xml:space="preserve"> (e.g., a sense of love for the brand).</w:t>
      </w:r>
      <w:r w:rsidR="004C0D87" w:rsidRPr="00A12766">
        <w:rPr>
          <w:rFonts w:cs="Times New Roman"/>
          <w:color w:val="FF0000"/>
          <w:szCs w:val="24"/>
          <w:lang w:val="en-US"/>
        </w:rPr>
        <w:t xml:space="preserve"> </w:t>
      </w:r>
      <w:r w:rsidR="00302CD0" w:rsidRPr="00A12766">
        <w:rPr>
          <w:rFonts w:cs="Times New Roman"/>
          <w:color w:val="FF0000"/>
          <w:szCs w:val="24"/>
          <w:lang w:val="en-US"/>
        </w:rPr>
        <w:t>The same phenomenon occurs with a platform like Uber</w:t>
      </w:r>
      <w:r w:rsidR="00306BE6" w:rsidRPr="00A12766">
        <w:rPr>
          <w:rFonts w:cs="Times New Roman"/>
          <w:color w:val="FF0000"/>
          <w:szCs w:val="24"/>
          <w:lang w:val="en-US"/>
        </w:rPr>
        <w:t xml:space="preserve"> (uber.com)</w:t>
      </w:r>
      <w:r w:rsidR="00302CD0" w:rsidRPr="00A12766">
        <w:rPr>
          <w:rFonts w:cs="Times New Roman"/>
          <w:color w:val="FF0000"/>
          <w:szCs w:val="24"/>
          <w:lang w:val="en-US"/>
        </w:rPr>
        <w:t>, where the software application matches drive</w:t>
      </w:r>
      <w:r w:rsidR="00EB7EE3" w:rsidRPr="00A12766">
        <w:rPr>
          <w:rFonts w:cs="Times New Roman"/>
          <w:color w:val="FF0000"/>
          <w:szCs w:val="24"/>
          <w:lang w:val="en-US"/>
        </w:rPr>
        <w:t>r</w:t>
      </w:r>
      <w:r w:rsidR="00302CD0" w:rsidRPr="00A12766">
        <w:rPr>
          <w:rFonts w:cs="Times New Roman"/>
          <w:color w:val="FF0000"/>
          <w:szCs w:val="24"/>
          <w:lang w:val="en-US"/>
        </w:rPr>
        <w:t xml:space="preserve"> and rider, plots the route and coordinates payment, and </w:t>
      </w:r>
      <w:r w:rsidR="00EB7EE3" w:rsidRPr="00A12766">
        <w:rPr>
          <w:rFonts w:cs="Times New Roman"/>
          <w:color w:val="FF0000"/>
          <w:szCs w:val="24"/>
          <w:lang w:val="en-US"/>
        </w:rPr>
        <w:t xml:space="preserve">the </w:t>
      </w:r>
      <w:r w:rsidR="00302CD0" w:rsidRPr="00A12766">
        <w:rPr>
          <w:rFonts w:cs="Times New Roman"/>
          <w:color w:val="FF0000"/>
          <w:szCs w:val="24"/>
          <w:lang w:val="en-US"/>
        </w:rPr>
        <w:t>users simply rank</w:t>
      </w:r>
      <w:r w:rsidR="009C2BDA" w:rsidRPr="00A12766">
        <w:rPr>
          <w:rFonts w:cs="Times New Roman"/>
          <w:color w:val="FF0000"/>
          <w:szCs w:val="24"/>
          <w:lang w:val="en-US"/>
        </w:rPr>
        <w:t xml:space="preserve"> one another</w:t>
      </w:r>
      <w:r w:rsidR="00302CD0" w:rsidRPr="00F6068C">
        <w:rPr>
          <w:rFonts w:cs="Times New Roman"/>
          <w:color w:val="FF0000"/>
          <w:szCs w:val="24"/>
          <w:lang w:val="en-US"/>
        </w:rPr>
        <w:t xml:space="preserve">. </w:t>
      </w:r>
    </w:p>
    <w:p w14:paraId="50A43D7D" w14:textId="3590E96B" w:rsidR="005A3517" w:rsidRPr="005F2A26" w:rsidRDefault="00CF6F10" w:rsidP="008F2062">
      <w:pPr>
        <w:keepNext/>
        <w:spacing w:after="0" w:line="480" w:lineRule="auto"/>
        <w:ind w:firstLine="720"/>
        <w:rPr>
          <w:rFonts w:cs="Times New Roman"/>
          <w:szCs w:val="24"/>
          <w:lang w:val="en-US"/>
        </w:rPr>
      </w:pPr>
      <w:r w:rsidRPr="005F2A26">
        <w:rPr>
          <w:rFonts w:cs="Times New Roman"/>
          <w:szCs w:val="24"/>
          <w:lang w:val="en-US"/>
        </w:rPr>
        <w:t>At the other extreme</w:t>
      </w:r>
      <w:r w:rsidR="007162F3" w:rsidRPr="005F2A26">
        <w:rPr>
          <w:rFonts w:cs="Times New Roman"/>
          <w:szCs w:val="24"/>
          <w:lang w:val="en-US"/>
        </w:rPr>
        <w:t>,</w:t>
      </w:r>
      <w:r w:rsidR="00170A78" w:rsidRPr="005F2A26">
        <w:rPr>
          <w:rFonts w:cs="Times New Roman"/>
          <w:szCs w:val="24"/>
          <w:lang w:val="en-US"/>
        </w:rPr>
        <w:t xml:space="preserve"> some</w:t>
      </w:r>
      <w:r w:rsidR="00EC4BB5" w:rsidRPr="005F2A26">
        <w:rPr>
          <w:rFonts w:cs="Times New Roman"/>
          <w:szCs w:val="24"/>
          <w:lang w:val="en-US"/>
        </w:rPr>
        <w:t xml:space="preserve"> </w:t>
      </w:r>
      <w:r w:rsidR="00170A78" w:rsidRPr="005F2A26">
        <w:rPr>
          <w:rFonts w:cs="Times New Roman"/>
          <w:szCs w:val="24"/>
          <w:lang w:val="en-US"/>
        </w:rPr>
        <w:t xml:space="preserve">platforms </w:t>
      </w:r>
      <w:r w:rsidR="00991C48" w:rsidRPr="005F2A26">
        <w:rPr>
          <w:rFonts w:cs="Times New Roman"/>
          <w:szCs w:val="24"/>
          <w:lang w:val="en-US"/>
        </w:rPr>
        <w:t xml:space="preserve">do not closely control interactions but instead </w:t>
      </w:r>
      <w:r w:rsidR="00170A78" w:rsidRPr="005F2A26">
        <w:rPr>
          <w:rFonts w:cs="Times New Roman"/>
          <w:szCs w:val="24"/>
          <w:lang w:val="en-US"/>
        </w:rPr>
        <w:t>rel</w:t>
      </w:r>
      <w:r w:rsidR="00991C48" w:rsidRPr="005F2A26">
        <w:rPr>
          <w:rFonts w:cs="Times New Roman"/>
          <w:szCs w:val="24"/>
          <w:lang w:val="en-US"/>
        </w:rPr>
        <w:t>y heavily</w:t>
      </w:r>
      <w:r w:rsidR="00170A78" w:rsidRPr="005F2A26">
        <w:rPr>
          <w:rFonts w:cs="Times New Roman"/>
          <w:szCs w:val="24"/>
          <w:lang w:val="en-US"/>
        </w:rPr>
        <w:t xml:space="preserve"> on </w:t>
      </w:r>
      <w:r w:rsidR="00991C48" w:rsidRPr="005F2A26">
        <w:rPr>
          <w:rFonts w:cs="Times New Roman"/>
          <w:szCs w:val="24"/>
          <w:lang w:val="en-US"/>
        </w:rPr>
        <w:t xml:space="preserve">free-flowing, </w:t>
      </w:r>
      <w:r w:rsidR="001E05B1" w:rsidRPr="005F2A26">
        <w:rPr>
          <w:rFonts w:cs="Times New Roman"/>
          <w:szCs w:val="24"/>
          <w:lang w:val="en-US"/>
        </w:rPr>
        <w:t xml:space="preserve">P2P </w:t>
      </w:r>
      <w:r w:rsidR="00170A78" w:rsidRPr="005F2A26">
        <w:rPr>
          <w:rFonts w:cs="Times New Roman"/>
          <w:szCs w:val="24"/>
          <w:lang w:val="en-US"/>
        </w:rPr>
        <w:t>collaboration</w:t>
      </w:r>
      <w:r w:rsidR="00BA0783" w:rsidRPr="005F2A26">
        <w:rPr>
          <w:rFonts w:cs="Times New Roman"/>
          <w:szCs w:val="24"/>
          <w:lang w:val="en-US"/>
        </w:rPr>
        <w:t xml:space="preserve"> and sharing</w:t>
      </w:r>
      <w:r w:rsidR="00170A78" w:rsidRPr="005F2A26">
        <w:rPr>
          <w:rFonts w:cs="Times New Roman"/>
          <w:szCs w:val="24"/>
          <w:lang w:val="en-US"/>
        </w:rPr>
        <w:t xml:space="preserve"> (e.g.,</w:t>
      </w:r>
      <w:r w:rsidR="00BA0783" w:rsidRPr="005F2A26">
        <w:rPr>
          <w:rFonts w:cs="Times New Roman"/>
          <w:szCs w:val="24"/>
          <w:lang w:val="en-US"/>
        </w:rPr>
        <w:t xml:space="preserve"> </w:t>
      </w:r>
      <w:r w:rsidR="00170A78" w:rsidRPr="005F2A26">
        <w:rPr>
          <w:rFonts w:cs="Times New Roman"/>
          <w:szCs w:val="24"/>
          <w:lang w:val="en-US"/>
        </w:rPr>
        <w:t xml:space="preserve">of </w:t>
      </w:r>
      <w:r w:rsidR="0082682B" w:rsidRPr="005F2A26">
        <w:rPr>
          <w:rFonts w:cs="Times New Roman"/>
          <w:szCs w:val="24"/>
          <w:lang w:val="en-US"/>
        </w:rPr>
        <w:t xml:space="preserve">specialized </w:t>
      </w:r>
      <w:r w:rsidR="00170A78" w:rsidRPr="005F2A26">
        <w:rPr>
          <w:rFonts w:cs="Times New Roman"/>
          <w:szCs w:val="24"/>
          <w:lang w:val="en-US"/>
        </w:rPr>
        <w:t xml:space="preserve">knowledge, </w:t>
      </w:r>
      <w:r w:rsidR="00170A78" w:rsidRPr="005F2A26">
        <w:rPr>
          <w:rFonts w:cs="Times New Roman"/>
          <w:szCs w:val="24"/>
          <w:lang w:val="en-US"/>
        </w:rPr>
        <w:lastRenderedPageBreak/>
        <w:t>information, tips, reviews, and experiences</w:t>
      </w:r>
      <w:r w:rsidR="00661446" w:rsidRPr="005F2A26">
        <w:rPr>
          <w:rFonts w:cs="Times New Roman"/>
          <w:szCs w:val="24"/>
          <w:lang w:val="en-US"/>
        </w:rPr>
        <w:t>)</w:t>
      </w:r>
      <w:r w:rsidR="00170A78" w:rsidRPr="005F2A26">
        <w:rPr>
          <w:rFonts w:cs="Times New Roman"/>
          <w:szCs w:val="24"/>
          <w:lang w:val="en-US"/>
        </w:rPr>
        <w:t xml:space="preserve"> for the benefit of others. For example, the computer code swap site, </w:t>
      </w:r>
      <w:proofErr w:type="spellStart"/>
      <w:r w:rsidR="00170A78" w:rsidRPr="005F2A26">
        <w:rPr>
          <w:rFonts w:cs="Times New Roman"/>
          <w:szCs w:val="24"/>
          <w:lang w:val="en-US"/>
        </w:rPr>
        <w:t>Stackoverflow</w:t>
      </w:r>
      <w:proofErr w:type="spellEnd"/>
      <w:r w:rsidR="000726DD" w:rsidRPr="005F2A26">
        <w:rPr>
          <w:rFonts w:cs="Times New Roman"/>
          <w:szCs w:val="24"/>
          <w:lang w:val="en-US"/>
        </w:rPr>
        <w:t xml:space="preserve"> (stackoverflow.com)</w:t>
      </w:r>
      <w:r w:rsidR="00170A78" w:rsidRPr="005F2A26">
        <w:rPr>
          <w:rFonts w:cs="Times New Roman"/>
          <w:szCs w:val="24"/>
          <w:lang w:val="en-US"/>
        </w:rPr>
        <w:t>, relies greatly on a vibrant community of</w:t>
      </w:r>
      <w:r w:rsidR="005E165A">
        <w:rPr>
          <w:rFonts w:cs="Times New Roman"/>
          <w:szCs w:val="24"/>
          <w:lang w:val="en-US"/>
        </w:rPr>
        <w:t xml:space="preserve"> highly engaged</w:t>
      </w:r>
      <w:r w:rsidR="00170A78" w:rsidRPr="005F2A26">
        <w:rPr>
          <w:rFonts w:cs="Times New Roman"/>
          <w:szCs w:val="24"/>
          <w:lang w:val="en-US"/>
        </w:rPr>
        <w:t xml:space="preserve"> coders </w:t>
      </w:r>
      <w:r w:rsidR="005E165A">
        <w:rPr>
          <w:rFonts w:cs="Times New Roman"/>
          <w:szCs w:val="24"/>
          <w:lang w:val="en-US"/>
        </w:rPr>
        <w:t>who collectively</w:t>
      </w:r>
      <w:r w:rsidR="00170A78" w:rsidRPr="005F2A26">
        <w:rPr>
          <w:rFonts w:cs="Times New Roman"/>
          <w:szCs w:val="24"/>
          <w:lang w:val="en-US"/>
        </w:rPr>
        <w:t xml:space="preserve"> generate, share, rate, comment on,</w:t>
      </w:r>
      <w:r w:rsidR="00FF71D6" w:rsidRPr="005F2A26">
        <w:rPr>
          <w:rFonts w:cs="Times New Roman"/>
          <w:szCs w:val="24"/>
          <w:lang w:val="en-US"/>
        </w:rPr>
        <w:t xml:space="preserve"> fix,</w:t>
      </w:r>
      <w:r w:rsidR="00170A78" w:rsidRPr="005F2A26">
        <w:rPr>
          <w:rFonts w:cs="Times New Roman"/>
          <w:szCs w:val="24"/>
          <w:lang w:val="en-US"/>
        </w:rPr>
        <w:t xml:space="preserve"> </w:t>
      </w:r>
      <w:r w:rsidR="00086153" w:rsidRPr="005F2A26">
        <w:rPr>
          <w:rFonts w:cs="Times New Roman"/>
          <w:szCs w:val="24"/>
          <w:lang w:val="en-US"/>
        </w:rPr>
        <w:t>vote up or down,</w:t>
      </w:r>
      <w:r w:rsidR="00170A78" w:rsidRPr="005F2A26">
        <w:rPr>
          <w:rFonts w:cs="Times New Roman"/>
          <w:szCs w:val="24"/>
          <w:lang w:val="en-US"/>
        </w:rPr>
        <w:t xml:space="preserve"> and download code.</w:t>
      </w:r>
      <w:r w:rsidR="00A8003C">
        <w:rPr>
          <w:rFonts w:cs="Times New Roman"/>
          <w:szCs w:val="24"/>
          <w:lang w:val="en-US"/>
        </w:rPr>
        <w:t xml:space="preserve"> </w:t>
      </w:r>
      <w:r w:rsidR="00492FB4" w:rsidRPr="005F2A26">
        <w:rPr>
          <w:rFonts w:cs="Times New Roman"/>
          <w:szCs w:val="24"/>
          <w:lang w:val="en-US"/>
        </w:rPr>
        <w:t xml:space="preserve">Likewise, the P2P gardening platform </w:t>
      </w:r>
      <w:proofErr w:type="spellStart"/>
      <w:r w:rsidR="00492FB4" w:rsidRPr="005F2A26">
        <w:rPr>
          <w:rFonts w:cs="Times New Roman"/>
          <w:szCs w:val="24"/>
          <w:lang w:val="en-US"/>
        </w:rPr>
        <w:t>GardenTag</w:t>
      </w:r>
      <w:r w:rsidR="00ED1E42" w:rsidRPr="005F2A26">
        <w:rPr>
          <w:rFonts w:cs="Times New Roman"/>
          <w:szCs w:val="24"/>
          <w:lang w:val="en-US"/>
        </w:rPr>
        <w:t>s</w:t>
      </w:r>
      <w:proofErr w:type="spellEnd"/>
      <w:r w:rsidR="007D3F16" w:rsidRPr="005F2A26">
        <w:rPr>
          <w:rFonts w:cs="Times New Roman"/>
          <w:szCs w:val="24"/>
          <w:lang w:val="en-US"/>
        </w:rPr>
        <w:t xml:space="preserve"> (gardentags.com)</w:t>
      </w:r>
      <w:r w:rsidR="00492FB4" w:rsidRPr="005F2A26">
        <w:rPr>
          <w:rFonts w:cs="Times New Roman"/>
          <w:szCs w:val="24"/>
          <w:lang w:val="en-US"/>
        </w:rPr>
        <w:t xml:space="preserve"> requires </w:t>
      </w:r>
      <w:r w:rsidR="00412CE7" w:rsidRPr="005F2A26">
        <w:rPr>
          <w:rFonts w:cs="Times New Roman"/>
          <w:szCs w:val="24"/>
          <w:lang w:val="en-US"/>
        </w:rPr>
        <w:t>many</w:t>
      </w:r>
      <w:r w:rsidR="00492FB4" w:rsidRPr="005F2A26">
        <w:rPr>
          <w:rFonts w:cs="Times New Roman"/>
          <w:szCs w:val="24"/>
          <w:lang w:val="en-US"/>
        </w:rPr>
        <w:t xml:space="preserve"> highly engaged experienced gardeners willing to collectively share their knowledge and advice to a community of novice growers for the platform to be feasible. </w:t>
      </w:r>
      <w:r w:rsidR="00A55EAC">
        <w:rPr>
          <w:rFonts w:cs="Times New Roman"/>
          <w:szCs w:val="24"/>
          <w:lang w:val="en-US"/>
        </w:rPr>
        <w:t>For optimal success, t</w:t>
      </w:r>
      <w:r w:rsidR="00170A78" w:rsidRPr="005F2A26">
        <w:rPr>
          <w:rFonts w:cs="Times New Roman"/>
          <w:szCs w:val="24"/>
          <w:lang w:val="en-US"/>
        </w:rPr>
        <w:t>hese types of P2P sites require multi-dimensional collective engagement by a community of actors who implicitly and/or explicitly have shared goals of relationship building and collaboration</w:t>
      </w:r>
      <w:r w:rsidR="00D75A11" w:rsidRPr="005F2A26">
        <w:rPr>
          <w:rFonts w:cs="Times New Roman"/>
          <w:szCs w:val="24"/>
          <w:lang w:val="en-US"/>
        </w:rPr>
        <w:t xml:space="preserve"> for the betterment of </w:t>
      </w:r>
      <w:r w:rsidR="00635AF6">
        <w:rPr>
          <w:rFonts w:cs="Times New Roman"/>
          <w:szCs w:val="24"/>
          <w:lang w:val="en-US"/>
        </w:rPr>
        <w:t xml:space="preserve">both </w:t>
      </w:r>
      <w:r w:rsidR="008B40A3" w:rsidRPr="005F2A26">
        <w:rPr>
          <w:rFonts w:cs="Times New Roman"/>
          <w:szCs w:val="24"/>
          <w:lang w:val="en-US"/>
        </w:rPr>
        <w:t xml:space="preserve">themselves and </w:t>
      </w:r>
      <w:r w:rsidR="00D75A11" w:rsidRPr="005F2A26">
        <w:rPr>
          <w:rFonts w:cs="Times New Roman"/>
          <w:szCs w:val="24"/>
          <w:lang w:val="en-US"/>
        </w:rPr>
        <w:t>the</w:t>
      </w:r>
      <w:r w:rsidR="00635AF6">
        <w:rPr>
          <w:rFonts w:cs="Times New Roman"/>
          <w:szCs w:val="24"/>
          <w:lang w:val="en-US"/>
        </w:rPr>
        <w:t xml:space="preserve"> wider</w:t>
      </w:r>
      <w:r w:rsidR="00D75A11" w:rsidRPr="005F2A26">
        <w:rPr>
          <w:rFonts w:cs="Times New Roman"/>
          <w:szCs w:val="24"/>
          <w:lang w:val="en-US"/>
        </w:rPr>
        <w:t xml:space="preserve"> </w:t>
      </w:r>
      <w:r w:rsidR="00877080" w:rsidRPr="005F2A26">
        <w:rPr>
          <w:rFonts w:cs="Times New Roman"/>
          <w:szCs w:val="24"/>
          <w:lang w:val="en-US"/>
        </w:rPr>
        <w:t>group</w:t>
      </w:r>
      <w:r w:rsidR="00170A78" w:rsidRPr="005F2A26">
        <w:rPr>
          <w:rFonts w:cs="Times New Roman"/>
          <w:szCs w:val="24"/>
          <w:lang w:val="en-US"/>
        </w:rPr>
        <w:t>.</w:t>
      </w:r>
    </w:p>
    <w:p w14:paraId="6F298FBA" w14:textId="32DD9AE3" w:rsidR="006F5937" w:rsidRPr="005F2A26" w:rsidRDefault="00904765" w:rsidP="00D60DD1">
      <w:pPr>
        <w:keepNext/>
        <w:spacing w:after="0" w:line="480" w:lineRule="auto"/>
        <w:ind w:firstLine="720"/>
        <w:rPr>
          <w:rFonts w:cs="Times New Roman"/>
          <w:szCs w:val="24"/>
          <w:lang w:val="en-US"/>
        </w:rPr>
      </w:pPr>
      <w:r w:rsidRPr="00F6068C">
        <w:rPr>
          <w:rFonts w:cs="Times New Roman"/>
          <w:color w:val="FF0000"/>
          <w:szCs w:val="24"/>
          <w:lang w:val="en-US"/>
        </w:rPr>
        <w:t xml:space="preserve">Finally, </w:t>
      </w:r>
      <w:r w:rsidR="00543999" w:rsidRPr="00F6068C">
        <w:rPr>
          <w:rFonts w:cs="Times New Roman"/>
          <w:color w:val="FF0000"/>
          <w:szCs w:val="24"/>
          <w:lang w:val="en-US"/>
        </w:rPr>
        <w:t xml:space="preserve">many </w:t>
      </w:r>
      <w:r w:rsidRPr="00F6068C">
        <w:rPr>
          <w:rFonts w:cs="Times New Roman"/>
          <w:color w:val="FF0000"/>
          <w:szCs w:val="24"/>
          <w:lang w:val="en-US"/>
        </w:rPr>
        <w:t xml:space="preserve">platforms reside </w:t>
      </w:r>
      <w:r w:rsidR="0037486A" w:rsidRPr="00F6068C">
        <w:rPr>
          <w:rFonts w:cs="Times New Roman"/>
          <w:color w:val="FF0000"/>
          <w:szCs w:val="24"/>
          <w:lang w:val="en-US"/>
        </w:rPr>
        <w:t>between these two extremes</w:t>
      </w:r>
      <w:r w:rsidR="00476E14" w:rsidRPr="00F6068C">
        <w:rPr>
          <w:rFonts w:cs="Times New Roman"/>
          <w:color w:val="FF0000"/>
          <w:szCs w:val="24"/>
          <w:lang w:val="en-US"/>
        </w:rPr>
        <w:t xml:space="preserve">. </w:t>
      </w:r>
      <w:r w:rsidR="00B215F9" w:rsidRPr="00F6068C">
        <w:rPr>
          <w:rFonts w:cs="Times New Roman"/>
          <w:color w:val="FF0000"/>
          <w:szCs w:val="24"/>
          <w:lang w:val="en-US"/>
        </w:rPr>
        <w:t>T</w:t>
      </w:r>
      <w:r w:rsidR="00476E14" w:rsidRPr="00F6068C">
        <w:rPr>
          <w:rFonts w:cs="Times New Roman"/>
          <w:color w:val="FF0000"/>
          <w:szCs w:val="24"/>
          <w:lang w:val="en-US"/>
        </w:rPr>
        <w:t>hey</w:t>
      </w:r>
      <w:r w:rsidR="009B450A" w:rsidRPr="00F6068C">
        <w:rPr>
          <w:rFonts w:cs="Times New Roman"/>
          <w:color w:val="FF0000"/>
          <w:szCs w:val="24"/>
          <w:lang w:val="en-US"/>
        </w:rPr>
        <w:t xml:space="preserve"> </w:t>
      </w:r>
      <w:r w:rsidR="00B215F9" w:rsidRPr="00F6068C">
        <w:rPr>
          <w:rFonts w:cs="Times New Roman"/>
          <w:color w:val="FF0000"/>
          <w:szCs w:val="24"/>
          <w:lang w:val="en-US"/>
        </w:rPr>
        <w:t>take a moderate role in mediating user interactions</w:t>
      </w:r>
      <w:r w:rsidR="007674DA" w:rsidRPr="00F6068C">
        <w:rPr>
          <w:rFonts w:cs="Times New Roman"/>
          <w:color w:val="FF0000"/>
          <w:szCs w:val="24"/>
          <w:lang w:val="en-US"/>
        </w:rPr>
        <w:t xml:space="preserve"> </w:t>
      </w:r>
      <w:r w:rsidR="00701903" w:rsidRPr="00F6068C">
        <w:rPr>
          <w:rFonts w:cs="Times New Roman"/>
          <w:color w:val="FF0000"/>
          <w:szCs w:val="24"/>
          <w:lang w:val="en-US"/>
        </w:rPr>
        <w:t xml:space="preserve">as they </w:t>
      </w:r>
      <w:r w:rsidRPr="00F6068C">
        <w:rPr>
          <w:rFonts w:cs="Times New Roman"/>
          <w:color w:val="FF0000"/>
          <w:szCs w:val="24"/>
          <w:lang w:val="en-US"/>
        </w:rPr>
        <w:t>rel</w:t>
      </w:r>
      <w:r w:rsidR="003F1D62" w:rsidRPr="00F6068C">
        <w:rPr>
          <w:rFonts w:cs="Times New Roman"/>
          <w:color w:val="FF0000"/>
          <w:szCs w:val="24"/>
          <w:lang w:val="en-US"/>
        </w:rPr>
        <w:t>y</w:t>
      </w:r>
      <w:r w:rsidRPr="00F6068C">
        <w:rPr>
          <w:rFonts w:cs="Times New Roman"/>
          <w:color w:val="FF0000"/>
          <w:szCs w:val="24"/>
          <w:lang w:val="en-US"/>
        </w:rPr>
        <w:t xml:space="preserve"> on </w:t>
      </w:r>
      <w:r w:rsidR="00B215F9" w:rsidRPr="00F6068C">
        <w:rPr>
          <w:rFonts w:cs="Times New Roman"/>
          <w:color w:val="FF0000"/>
          <w:szCs w:val="24"/>
          <w:lang w:val="en-US"/>
        </w:rPr>
        <w:t xml:space="preserve">users </w:t>
      </w:r>
      <w:r w:rsidR="007674DA" w:rsidRPr="00F6068C">
        <w:rPr>
          <w:rFonts w:cs="Times New Roman"/>
          <w:color w:val="FF0000"/>
          <w:szCs w:val="24"/>
          <w:lang w:val="en-US"/>
        </w:rPr>
        <w:t>to</w:t>
      </w:r>
      <w:r w:rsidR="00757D0E" w:rsidRPr="00F6068C">
        <w:rPr>
          <w:rFonts w:cs="Times New Roman"/>
          <w:color w:val="FF0000"/>
          <w:szCs w:val="24"/>
          <w:lang w:val="en-US"/>
        </w:rPr>
        <w:t>, not just</w:t>
      </w:r>
      <w:r w:rsidR="007674DA" w:rsidRPr="00F6068C">
        <w:rPr>
          <w:rFonts w:cs="Times New Roman"/>
          <w:color w:val="FF0000"/>
          <w:szCs w:val="24"/>
          <w:lang w:val="en-US"/>
        </w:rPr>
        <w:t xml:space="preserve"> </w:t>
      </w:r>
      <w:r w:rsidRPr="00F6068C">
        <w:rPr>
          <w:rFonts w:cs="Times New Roman"/>
          <w:color w:val="FF0000"/>
          <w:szCs w:val="24"/>
          <w:lang w:val="en-US"/>
        </w:rPr>
        <w:t>rank</w:t>
      </w:r>
      <w:r w:rsidR="00757D0E" w:rsidRPr="00F6068C">
        <w:rPr>
          <w:rFonts w:cs="Times New Roman"/>
          <w:color w:val="FF0000"/>
          <w:szCs w:val="24"/>
          <w:lang w:val="en-US"/>
        </w:rPr>
        <w:t xml:space="preserve"> one another, but also freely share</w:t>
      </w:r>
      <w:r w:rsidRPr="00F6068C">
        <w:rPr>
          <w:rFonts w:cs="Times New Roman"/>
          <w:color w:val="FF0000"/>
          <w:szCs w:val="24"/>
          <w:lang w:val="en-US"/>
        </w:rPr>
        <w:t xml:space="preserve"> review</w:t>
      </w:r>
      <w:r w:rsidR="00B215F9" w:rsidRPr="00F6068C">
        <w:rPr>
          <w:rFonts w:cs="Times New Roman"/>
          <w:color w:val="FF0000"/>
          <w:szCs w:val="24"/>
          <w:lang w:val="en-US"/>
        </w:rPr>
        <w:t>s</w:t>
      </w:r>
      <w:r w:rsidR="002047CB" w:rsidRPr="00F6068C">
        <w:rPr>
          <w:rFonts w:cs="Times New Roman"/>
          <w:color w:val="FF0000"/>
          <w:szCs w:val="24"/>
          <w:lang w:val="en-US"/>
        </w:rPr>
        <w:t xml:space="preserve"> and recommendations</w:t>
      </w:r>
      <w:r w:rsidR="00543999" w:rsidRPr="00F6068C">
        <w:rPr>
          <w:rFonts w:cs="Times New Roman"/>
          <w:color w:val="FF0000"/>
          <w:szCs w:val="24"/>
          <w:lang w:val="en-US"/>
        </w:rPr>
        <w:t>.</w:t>
      </w:r>
      <w:r w:rsidR="00543999" w:rsidRPr="005F2A26">
        <w:rPr>
          <w:rFonts w:cs="Times New Roman"/>
          <w:szCs w:val="24"/>
          <w:lang w:val="en-US"/>
        </w:rPr>
        <w:t xml:space="preserve"> For example, the high-fashion lending platform </w:t>
      </w:r>
      <w:proofErr w:type="spellStart"/>
      <w:r w:rsidR="00543999" w:rsidRPr="005F2A26">
        <w:rPr>
          <w:rFonts w:cs="Times New Roman"/>
          <w:szCs w:val="24"/>
          <w:lang w:val="en-US"/>
        </w:rPr>
        <w:t>Tulerie</w:t>
      </w:r>
      <w:proofErr w:type="spellEnd"/>
      <w:r w:rsidR="00082871" w:rsidRPr="005F2A26">
        <w:rPr>
          <w:rFonts w:cs="Times New Roman"/>
          <w:szCs w:val="24"/>
          <w:lang w:val="en-US"/>
        </w:rPr>
        <w:t xml:space="preserve"> (tulerie.com)</w:t>
      </w:r>
      <w:r w:rsidR="00543999" w:rsidRPr="005F2A26">
        <w:rPr>
          <w:rFonts w:cs="Times New Roman"/>
          <w:szCs w:val="24"/>
          <w:lang w:val="en-US"/>
        </w:rPr>
        <w:t xml:space="preserve"> acts as the intermediary in the lending of clothes, however all </w:t>
      </w:r>
      <w:r w:rsidR="005A3517" w:rsidRPr="005F2A26">
        <w:rPr>
          <w:rFonts w:cs="Times New Roman"/>
          <w:szCs w:val="24"/>
          <w:lang w:val="en-US"/>
        </w:rPr>
        <w:t>users</w:t>
      </w:r>
      <w:r w:rsidR="00543999" w:rsidRPr="005F2A26">
        <w:rPr>
          <w:rFonts w:cs="Times New Roman"/>
          <w:szCs w:val="24"/>
          <w:lang w:val="en-US"/>
        </w:rPr>
        <w:t xml:space="preserve"> must also actively review and rank their experiences</w:t>
      </w:r>
      <w:r w:rsidR="005A3517" w:rsidRPr="005F2A26">
        <w:rPr>
          <w:rFonts w:cs="Times New Roman"/>
          <w:szCs w:val="24"/>
          <w:lang w:val="en-US"/>
        </w:rPr>
        <w:t>.</w:t>
      </w:r>
      <w:r w:rsidR="001559FC" w:rsidRPr="005F2A26">
        <w:rPr>
          <w:rFonts w:cs="Times New Roman"/>
          <w:szCs w:val="24"/>
          <w:lang w:val="en-US"/>
        </w:rPr>
        <w:t xml:space="preserve"> </w:t>
      </w:r>
      <w:r w:rsidR="005A3517" w:rsidRPr="005F2A26">
        <w:rPr>
          <w:rFonts w:cs="Times New Roman"/>
          <w:szCs w:val="24"/>
          <w:lang w:val="en-US"/>
        </w:rPr>
        <w:t>T</w:t>
      </w:r>
      <w:r w:rsidR="00C56A70" w:rsidRPr="005F2A26">
        <w:rPr>
          <w:rFonts w:cs="Times New Roman"/>
          <w:szCs w:val="24"/>
          <w:lang w:val="en-US"/>
        </w:rPr>
        <w:t>hat is to say, t</w:t>
      </w:r>
      <w:r w:rsidR="001559FC" w:rsidRPr="005F2A26">
        <w:rPr>
          <w:rFonts w:cs="Times New Roman"/>
          <w:szCs w:val="24"/>
          <w:lang w:val="en-US"/>
        </w:rPr>
        <w:t xml:space="preserve">he clothing providers review and rate the borrowers and the clothing borrowers review and rate both the </w:t>
      </w:r>
      <w:r w:rsidR="00543999" w:rsidRPr="005F2A26">
        <w:rPr>
          <w:rFonts w:cs="Times New Roman"/>
          <w:szCs w:val="24"/>
          <w:lang w:val="en-US"/>
        </w:rPr>
        <w:t>borrowed clothes</w:t>
      </w:r>
      <w:r w:rsidR="001559FC" w:rsidRPr="005F2A26">
        <w:rPr>
          <w:rFonts w:cs="Times New Roman"/>
          <w:szCs w:val="24"/>
          <w:lang w:val="en-US"/>
        </w:rPr>
        <w:t xml:space="preserve"> and the clothing providers</w:t>
      </w:r>
      <w:r w:rsidRPr="005F2A26">
        <w:rPr>
          <w:rFonts w:cs="Times New Roman"/>
          <w:szCs w:val="24"/>
          <w:lang w:val="en-US"/>
        </w:rPr>
        <w:t>.</w:t>
      </w:r>
      <w:r w:rsidR="00543999" w:rsidRPr="005F2A26">
        <w:rPr>
          <w:rFonts w:cs="Times New Roman"/>
          <w:szCs w:val="24"/>
          <w:lang w:val="en-US"/>
        </w:rPr>
        <w:t xml:space="preserve"> </w:t>
      </w:r>
      <w:r w:rsidR="001559FC" w:rsidRPr="005F2A26">
        <w:rPr>
          <w:rFonts w:cs="Times New Roman"/>
          <w:szCs w:val="24"/>
          <w:lang w:val="en-US"/>
        </w:rPr>
        <w:t>Similarly</w:t>
      </w:r>
      <w:r w:rsidR="00543999" w:rsidRPr="005F2A26">
        <w:rPr>
          <w:rFonts w:cs="Times New Roman"/>
          <w:szCs w:val="24"/>
          <w:lang w:val="en-US"/>
        </w:rPr>
        <w:t xml:space="preserve">, Airbnb </w:t>
      </w:r>
      <w:r w:rsidR="00082871" w:rsidRPr="005F2A26">
        <w:rPr>
          <w:rFonts w:cs="Times New Roman"/>
          <w:szCs w:val="24"/>
          <w:lang w:val="en-US"/>
        </w:rPr>
        <w:t xml:space="preserve">(airbnb.com) </w:t>
      </w:r>
      <w:r w:rsidR="00543999" w:rsidRPr="005F2A26">
        <w:rPr>
          <w:rFonts w:cs="Times New Roman"/>
          <w:szCs w:val="24"/>
          <w:lang w:val="en-US"/>
        </w:rPr>
        <w:t xml:space="preserve">requires engagement through fulsome </w:t>
      </w:r>
      <w:r w:rsidR="001559FC" w:rsidRPr="005F2A26">
        <w:rPr>
          <w:rFonts w:cs="Times New Roman"/>
          <w:szCs w:val="24"/>
          <w:lang w:val="en-US"/>
        </w:rPr>
        <w:t xml:space="preserve">rating and </w:t>
      </w:r>
      <w:r w:rsidR="00543999" w:rsidRPr="005F2A26">
        <w:rPr>
          <w:rFonts w:cs="Times New Roman"/>
          <w:szCs w:val="24"/>
          <w:lang w:val="en-US"/>
        </w:rPr>
        <w:t xml:space="preserve">reviewing by </w:t>
      </w:r>
      <w:r w:rsidR="001559FC" w:rsidRPr="005F2A26">
        <w:rPr>
          <w:rFonts w:cs="Times New Roman"/>
          <w:szCs w:val="24"/>
          <w:lang w:val="en-US"/>
        </w:rPr>
        <w:t>both</w:t>
      </w:r>
      <w:r w:rsidR="005A3517" w:rsidRPr="005F2A26">
        <w:rPr>
          <w:rFonts w:cs="Times New Roman"/>
          <w:szCs w:val="24"/>
          <w:lang w:val="en-US"/>
        </w:rPr>
        <w:t xml:space="preserve"> providers and </w:t>
      </w:r>
      <w:r w:rsidR="00CA198A" w:rsidRPr="005F2A26">
        <w:rPr>
          <w:rFonts w:cs="Times New Roman"/>
          <w:szCs w:val="24"/>
          <w:lang w:val="en-US"/>
        </w:rPr>
        <w:t>guests</w:t>
      </w:r>
      <w:r w:rsidR="00B6463E" w:rsidRPr="005F2A26">
        <w:rPr>
          <w:rFonts w:cs="Times New Roman"/>
          <w:szCs w:val="24"/>
          <w:lang w:val="en-US"/>
        </w:rPr>
        <w:t xml:space="preserve">, and users are </w:t>
      </w:r>
      <w:r w:rsidR="00082871" w:rsidRPr="005F2A26">
        <w:rPr>
          <w:rFonts w:cs="Times New Roman"/>
          <w:szCs w:val="24"/>
          <w:lang w:val="en-US"/>
        </w:rPr>
        <w:t xml:space="preserve">required </w:t>
      </w:r>
      <w:r w:rsidR="00B6463E" w:rsidRPr="005F2A26">
        <w:rPr>
          <w:rFonts w:cs="Times New Roman"/>
          <w:szCs w:val="24"/>
          <w:lang w:val="en-US"/>
        </w:rPr>
        <w:t>to have profiles with photos, location details, and a personal ranking</w:t>
      </w:r>
      <w:r w:rsidR="00543999" w:rsidRPr="005F2A26">
        <w:rPr>
          <w:rFonts w:cs="Times New Roman"/>
          <w:szCs w:val="24"/>
          <w:lang w:val="en-US"/>
        </w:rPr>
        <w:t>.</w:t>
      </w:r>
      <w:r w:rsidR="00F2256A">
        <w:rPr>
          <w:rFonts w:cs="Times New Roman"/>
          <w:szCs w:val="24"/>
          <w:lang w:val="en-US"/>
        </w:rPr>
        <w:t xml:space="preserve"> </w:t>
      </w:r>
      <w:r w:rsidR="00F2256A" w:rsidRPr="00396E00">
        <w:rPr>
          <w:rFonts w:cs="Times New Roman"/>
          <w:color w:val="FF0000"/>
          <w:szCs w:val="24"/>
          <w:lang w:val="en-US"/>
        </w:rPr>
        <w:t>O</w:t>
      </w:r>
      <w:r w:rsidR="00DC4D3C" w:rsidRPr="00396E00">
        <w:rPr>
          <w:rFonts w:cs="Times New Roman"/>
          <w:color w:val="FF0000"/>
          <w:szCs w:val="24"/>
          <w:lang w:val="en-US"/>
        </w:rPr>
        <w:t>ptimal success of these types of platforms</w:t>
      </w:r>
      <w:r w:rsidR="00F2256A" w:rsidRPr="00396E00">
        <w:rPr>
          <w:rFonts w:cs="Times New Roman"/>
          <w:color w:val="FF0000"/>
          <w:szCs w:val="24"/>
          <w:lang w:val="en-US"/>
        </w:rPr>
        <w:t xml:space="preserve"> depends on</w:t>
      </w:r>
      <w:r w:rsidR="00DC4D3C" w:rsidRPr="00396E00">
        <w:rPr>
          <w:rFonts w:cs="Times New Roman"/>
          <w:color w:val="FF0000"/>
          <w:szCs w:val="24"/>
          <w:lang w:val="en-US"/>
        </w:rPr>
        <w:t xml:space="preserve"> </w:t>
      </w:r>
      <w:r w:rsidR="00F2256A" w:rsidRPr="00396E00">
        <w:rPr>
          <w:rFonts w:cs="Times New Roman"/>
          <w:color w:val="FF0000"/>
          <w:szCs w:val="24"/>
          <w:lang w:val="en-US"/>
        </w:rPr>
        <w:t xml:space="preserve">users who are highly engaged with </w:t>
      </w:r>
      <w:r w:rsidR="00537C3C" w:rsidRPr="00396E00">
        <w:rPr>
          <w:rFonts w:cs="Times New Roman"/>
          <w:color w:val="FF0000"/>
          <w:szCs w:val="24"/>
          <w:lang w:val="en-US"/>
        </w:rPr>
        <w:t>both</w:t>
      </w:r>
      <w:r w:rsidR="00F2256A" w:rsidRPr="00396E00">
        <w:rPr>
          <w:rFonts w:cs="Times New Roman"/>
          <w:color w:val="FF0000"/>
          <w:szCs w:val="24"/>
          <w:lang w:val="en-US"/>
        </w:rPr>
        <w:t xml:space="preserve"> brand</w:t>
      </w:r>
      <w:r w:rsidR="00CF74D9" w:rsidRPr="00396E00">
        <w:rPr>
          <w:rFonts w:cs="Times New Roman"/>
          <w:color w:val="FF0000"/>
          <w:szCs w:val="24"/>
          <w:lang w:val="en-US"/>
        </w:rPr>
        <w:t xml:space="preserve"> and community.</w:t>
      </w:r>
    </w:p>
    <w:p w14:paraId="5E6A6C1F" w14:textId="745B60D7" w:rsidR="003520EF" w:rsidRPr="005F2A26" w:rsidRDefault="000849D1" w:rsidP="00D60DD1">
      <w:pPr>
        <w:keepNext/>
        <w:spacing w:after="0" w:line="480" w:lineRule="auto"/>
        <w:ind w:firstLine="720"/>
        <w:rPr>
          <w:rFonts w:cs="Times New Roman"/>
          <w:szCs w:val="24"/>
          <w:lang w:val="en-US"/>
        </w:rPr>
      </w:pPr>
      <w:r w:rsidRPr="005F2A26">
        <w:rPr>
          <w:rFonts w:cs="Times New Roman"/>
          <w:szCs w:val="24"/>
          <w:lang w:val="en-US"/>
        </w:rPr>
        <w:t>In sum,</w:t>
      </w:r>
      <w:r w:rsidR="005A3517" w:rsidRPr="005F2A26">
        <w:rPr>
          <w:rFonts w:cs="Times New Roman"/>
          <w:szCs w:val="24"/>
          <w:lang w:val="en-US"/>
        </w:rPr>
        <w:t xml:space="preserve"> </w:t>
      </w:r>
      <w:r w:rsidR="00847A70" w:rsidRPr="005F2A26">
        <w:rPr>
          <w:rFonts w:cs="Times New Roman"/>
          <w:szCs w:val="24"/>
          <w:lang w:val="en-US"/>
        </w:rPr>
        <w:t xml:space="preserve">for the sake of this study, </w:t>
      </w:r>
      <w:r w:rsidRPr="005F2A26">
        <w:rPr>
          <w:rFonts w:cs="Times New Roman"/>
          <w:szCs w:val="24"/>
          <w:lang w:val="en-US"/>
        </w:rPr>
        <w:t xml:space="preserve">a platform business in the SE always </w:t>
      </w:r>
      <w:r w:rsidR="00617219" w:rsidRPr="005F2A26">
        <w:rPr>
          <w:rFonts w:cs="Times New Roman"/>
          <w:szCs w:val="24"/>
          <w:lang w:val="en-US"/>
        </w:rPr>
        <w:t>enabl</w:t>
      </w:r>
      <w:r w:rsidR="005A3517" w:rsidRPr="005F2A26">
        <w:rPr>
          <w:rFonts w:cs="Times New Roman"/>
          <w:szCs w:val="24"/>
          <w:lang w:val="en-US"/>
        </w:rPr>
        <w:t>es</w:t>
      </w:r>
      <w:r w:rsidR="00617219" w:rsidRPr="005F2A26">
        <w:rPr>
          <w:rFonts w:cs="Times New Roman"/>
          <w:szCs w:val="24"/>
          <w:lang w:val="en-US"/>
        </w:rPr>
        <w:t xml:space="preserve"> </w:t>
      </w:r>
      <w:r w:rsidR="00E63B01" w:rsidRPr="005F2A26">
        <w:rPr>
          <w:rFonts w:cs="Times New Roman"/>
          <w:szCs w:val="24"/>
          <w:lang w:val="en-US"/>
        </w:rPr>
        <w:t>sharing</w:t>
      </w:r>
      <w:r w:rsidR="00617219" w:rsidRPr="005F2A26">
        <w:rPr>
          <w:rFonts w:cs="Times New Roman"/>
          <w:szCs w:val="24"/>
          <w:lang w:val="en-US"/>
        </w:rPr>
        <w:t xml:space="preserve"> </w:t>
      </w:r>
      <w:r w:rsidR="006F5937" w:rsidRPr="005F2A26">
        <w:rPr>
          <w:rFonts w:cs="Times New Roman"/>
          <w:szCs w:val="24"/>
          <w:lang w:val="en-US"/>
        </w:rPr>
        <w:t xml:space="preserve">of </w:t>
      </w:r>
      <w:r w:rsidR="00B45EDD">
        <w:rPr>
          <w:rFonts w:cs="Times New Roman"/>
          <w:szCs w:val="24"/>
          <w:lang w:val="en-US"/>
        </w:rPr>
        <w:t>peer-owned</w:t>
      </w:r>
      <w:r w:rsidR="00F316A8" w:rsidRPr="005F2A26">
        <w:rPr>
          <w:rFonts w:cs="Times New Roman"/>
          <w:szCs w:val="24"/>
          <w:lang w:val="en-US"/>
        </w:rPr>
        <w:t xml:space="preserve"> </w:t>
      </w:r>
      <w:r w:rsidR="00617219" w:rsidRPr="005F2A26">
        <w:rPr>
          <w:rFonts w:cs="Times New Roman"/>
          <w:szCs w:val="24"/>
          <w:lang w:val="en-US"/>
        </w:rPr>
        <w:t>resources</w:t>
      </w:r>
      <w:r w:rsidR="00015660" w:rsidRPr="005F2A26">
        <w:rPr>
          <w:rFonts w:cs="Times New Roman"/>
          <w:szCs w:val="24"/>
          <w:lang w:val="en-US"/>
        </w:rPr>
        <w:t>. H</w:t>
      </w:r>
      <w:r w:rsidR="006F5937" w:rsidRPr="005F2A26">
        <w:rPr>
          <w:rFonts w:cs="Times New Roman"/>
          <w:szCs w:val="24"/>
          <w:lang w:val="en-US"/>
        </w:rPr>
        <w:t xml:space="preserve">owever, </w:t>
      </w:r>
      <w:bookmarkStart w:id="5" w:name="_Hlk62578622"/>
      <w:r w:rsidR="001559FC" w:rsidRPr="005F2A26">
        <w:rPr>
          <w:rFonts w:cs="Times New Roman"/>
          <w:szCs w:val="24"/>
          <w:lang w:val="en-US"/>
        </w:rPr>
        <w:t xml:space="preserve">we additionally </w:t>
      </w:r>
      <w:r w:rsidR="00571A24" w:rsidRPr="005F2A26">
        <w:rPr>
          <w:rFonts w:cs="Times New Roman"/>
          <w:szCs w:val="24"/>
          <w:lang w:val="en-US"/>
        </w:rPr>
        <w:t>conceptualize platform</w:t>
      </w:r>
      <w:r w:rsidR="00B6463E" w:rsidRPr="005F2A26">
        <w:rPr>
          <w:rFonts w:cs="Times New Roman"/>
          <w:szCs w:val="24"/>
          <w:lang w:val="en-US"/>
        </w:rPr>
        <w:t>s</w:t>
      </w:r>
      <w:r w:rsidR="00617219" w:rsidRPr="005F2A26">
        <w:rPr>
          <w:rFonts w:cs="Times New Roman"/>
          <w:szCs w:val="24"/>
          <w:lang w:val="en-US"/>
        </w:rPr>
        <w:t xml:space="preserve"> based on the </w:t>
      </w:r>
      <w:r w:rsidR="00DA4DFD" w:rsidRPr="005F2A26">
        <w:rPr>
          <w:rFonts w:cs="Times New Roman"/>
          <w:szCs w:val="24"/>
          <w:lang w:val="en-US"/>
        </w:rPr>
        <w:t>degree of control they take over mediating the interactions of users</w:t>
      </w:r>
      <w:r w:rsidR="00C12732" w:rsidRPr="005F2A26">
        <w:rPr>
          <w:rFonts w:cs="Times New Roman"/>
          <w:szCs w:val="24"/>
          <w:lang w:val="en-US"/>
        </w:rPr>
        <w:t>,</w:t>
      </w:r>
      <w:r w:rsidR="00DA4DFD" w:rsidRPr="005F2A26">
        <w:rPr>
          <w:rFonts w:cs="Times New Roman"/>
          <w:szCs w:val="24"/>
          <w:lang w:val="en-US"/>
        </w:rPr>
        <w:t xml:space="preserve"> and </w:t>
      </w:r>
      <w:r w:rsidR="00C12732" w:rsidRPr="005F2A26">
        <w:rPr>
          <w:rFonts w:cs="Times New Roman"/>
          <w:szCs w:val="24"/>
          <w:lang w:val="en-US"/>
        </w:rPr>
        <w:t xml:space="preserve">by extension, </w:t>
      </w:r>
      <w:r w:rsidR="00DA4DFD" w:rsidRPr="005F2A26">
        <w:rPr>
          <w:rFonts w:cs="Times New Roman"/>
          <w:szCs w:val="24"/>
          <w:lang w:val="en-US"/>
        </w:rPr>
        <w:t xml:space="preserve">the </w:t>
      </w:r>
      <w:r w:rsidR="005E3D71" w:rsidRPr="005F2A26">
        <w:rPr>
          <w:rFonts w:cs="Times New Roman"/>
          <w:szCs w:val="24"/>
          <w:lang w:val="en-US"/>
        </w:rPr>
        <w:t>type of engagement they rely on</w:t>
      </w:r>
      <w:r w:rsidR="00C4660E">
        <w:rPr>
          <w:rFonts w:cs="Times New Roman"/>
          <w:szCs w:val="24"/>
          <w:lang w:val="en-US"/>
        </w:rPr>
        <w:t xml:space="preserve"> for optimal success. </w:t>
      </w:r>
      <w:r w:rsidR="00C4660E" w:rsidRPr="00396E00">
        <w:rPr>
          <w:rFonts w:cs="Times New Roman"/>
          <w:color w:val="FF0000"/>
          <w:szCs w:val="24"/>
          <w:lang w:val="en-US"/>
        </w:rPr>
        <w:t xml:space="preserve">These </w:t>
      </w:r>
      <w:r w:rsidR="007007F9" w:rsidRPr="00396E00">
        <w:rPr>
          <w:rFonts w:cs="Times New Roman"/>
          <w:color w:val="FF0000"/>
          <w:szCs w:val="24"/>
          <w:lang w:val="en-US"/>
        </w:rPr>
        <w:t xml:space="preserve">different </w:t>
      </w:r>
      <w:r w:rsidR="00C4660E" w:rsidRPr="00396E00">
        <w:rPr>
          <w:rFonts w:cs="Times New Roman"/>
          <w:color w:val="FF0000"/>
          <w:szCs w:val="24"/>
          <w:lang w:val="en-US"/>
        </w:rPr>
        <w:t xml:space="preserve">types of </w:t>
      </w:r>
      <w:r w:rsidR="005D44FF" w:rsidRPr="00396E00">
        <w:rPr>
          <w:rFonts w:cs="Times New Roman"/>
          <w:color w:val="FF0000"/>
          <w:szCs w:val="24"/>
          <w:lang w:val="en-US"/>
        </w:rPr>
        <w:t>platforms a</w:t>
      </w:r>
      <w:r w:rsidR="00A258FB" w:rsidRPr="00396E00">
        <w:rPr>
          <w:rFonts w:cs="Times New Roman"/>
          <w:color w:val="FF0000"/>
          <w:szCs w:val="24"/>
          <w:lang w:val="en-US"/>
        </w:rPr>
        <w:t>re</w:t>
      </w:r>
      <w:r w:rsidR="00581353" w:rsidRPr="00396E00">
        <w:rPr>
          <w:rFonts w:cs="Times New Roman"/>
          <w:color w:val="FF0000"/>
          <w:szCs w:val="24"/>
          <w:lang w:val="en-US"/>
        </w:rPr>
        <w:t xml:space="preserve"> </w:t>
      </w:r>
      <w:r w:rsidR="00CC26B7" w:rsidRPr="00396E00">
        <w:rPr>
          <w:rFonts w:cs="Times New Roman"/>
          <w:color w:val="FF0000"/>
          <w:szCs w:val="24"/>
          <w:lang w:val="en-US"/>
        </w:rPr>
        <w:t xml:space="preserve">1) </w:t>
      </w:r>
      <w:r w:rsidR="00A258FB" w:rsidRPr="00396E00">
        <w:rPr>
          <w:rFonts w:cs="Times New Roman"/>
          <w:color w:val="FF0000"/>
          <w:szCs w:val="24"/>
          <w:lang w:val="en-US"/>
        </w:rPr>
        <w:t xml:space="preserve">those that closely control user interactions </w:t>
      </w:r>
      <w:r w:rsidR="00513159">
        <w:rPr>
          <w:rFonts w:cs="Times New Roman"/>
          <w:color w:val="FF0000"/>
          <w:szCs w:val="24"/>
          <w:lang w:val="en-US"/>
        </w:rPr>
        <w:t>but</w:t>
      </w:r>
      <w:r w:rsidR="00A258FB" w:rsidRPr="00396E00">
        <w:rPr>
          <w:rFonts w:cs="Times New Roman"/>
          <w:color w:val="FF0000"/>
          <w:szCs w:val="24"/>
          <w:lang w:val="en-US"/>
        </w:rPr>
        <w:t xml:space="preserve"> </w:t>
      </w:r>
      <w:r w:rsidR="005E2B40">
        <w:rPr>
          <w:rFonts w:cs="Times New Roman"/>
          <w:color w:val="FF0000"/>
          <w:szCs w:val="24"/>
          <w:lang w:val="en-US"/>
        </w:rPr>
        <w:t>thrive</w:t>
      </w:r>
      <w:r w:rsidR="00A258FB" w:rsidRPr="00396E00">
        <w:rPr>
          <w:rFonts w:cs="Times New Roman"/>
          <w:color w:val="FF0000"/>
          <w:szCs w:val="24"/>
          <w:lang w:val="en-US"/>
        </w:rPr>
        <w:t xml:space="preserve"> on </w:t>
      </w:r>
      <w:r w:rsidR="00FB1EDE" w:rsidRPr="00396E00">
        <w:rPr>
          <w:rFonts w:cs="Times New Roman"/>
          <w:color w:val="FF0000"/>
          <w:szCs w:val="24"/>
          <w:lang w:val="en-US"/>
        </w:rPr>
        <w:t xml:space="preserve">high levels of </w:t>
      </w:r>
      <w:r w:rsidR="00DA4DFD" w:rsidRPr="00396E00">
        <w:rPr>
          <w:rFonts w:cs="Times New Roman"/>
          <w:color w:val="FF0000"/>
          <w:szCs w:val="24"/>
          <w:lang w:val="en-US"/>
        </w:rPr>
        <w:t>dyadic engagement between</w:t>
      </w:r>
      <w:r w:rsidR="003D36D4" w:rsidRPr="00396E00">
        <w:rPr>
          <w:rFonts w:cs="Times New Roman"/>
          <w:color w:val="FF0000"/>
          <w:szCs w:val="24"/>
          <w:lang w:val="en-US"/>
        </w:rPr>
        <w:t xml:space="preserve"> </w:t>
      </w:r>
      <w:r w:rsidR="003D36D4" w:rsidRPr="00396E00">
        <w:rPr>
          <w:rFonts w:cs="Times New Roman"/>
          <w:color w:val="FF0000"/>
          <w:szCs w:val="24"/>
          <w:lang w:val="en-US"/>
        </w:rPr>
        <w:lastRenderedPageBreak/>
        <w:t>them and their users</w:t>
      </w:r>
      <w:r w:rsidR="00FC390A" w:rsidRPr="00396E00">
        <w:rPr>
          <w:rFonts w:cs="Times New Roman"/>
          <w:color w:val="FF0000"/>
          <w:szCs w:val="24"/>
          <w:lang w:val="en-US"/>
        </w:rPr>
        <w:t>,</w:t>
      </w:r>
      <w:r w:rsidR="00DA4DFD" w:rsidRPr="00396E00">
        <w:rPr>
          <w:rFonts w:cs="Times New Roman"/>
          <w:color w:val="FF0000"/>
          <w:szCs w:val="24"/>
          <w:lang w:val="en-US"/>
        </w:rPr>
        <w:t xml:space="preserve"> </w:t>
      </w:r>
      <w:r w:rsidR="00CC26B7" w:rsidRPr="00396E00">
        <w:rPr>
          <w:rFonts w:cs="Times New Roman"/>
          <w:color w:val="FF0000"/>
          <w:szCs w:val="24"/>
          <w:lang w:val="en-US"/>
        </w:rPr>
        <w:t>2)</w:t>
      </w:r>
      <w:r w:rsidR="00BD57C7" w:rsidRPr="00396E00">
        <w:rPr>
          <w:rFonts w:cs="Times New Roman"/>
          <w:color w:val="FF0000"/>
          <w:szCs w:val="24"/>
          <w:lang w:val="en-US"/>
        </w:rPr>
        <w:t xml:space="preserve"> </w:t>
      </w:r>
      <w:r w:rsidR="00814675" w:rsidRPr="00396E00">
        <w:rPr>
          <w:rFonts w:cs="Times New Roman"/>
          <w:color w:val="FF0000"/>
          <w:szCs w:val="24"/>
          <w:lang w:val="en-US"/>
        </w:rPr>
        <w:t xml:space="preserve">those </w:t>
      </w:r>
      <w:r w:rsidR="002970E0">
        <w:rPr>
          <w:rFonts w:cs="Times New Roman"/>
          <w:color w:val="FF0000"/>
          <w:szCs w:val="24"/>
          <w:lang w:val="en-US"/>
        </w:rPr>
        <w:t>that take relatively</w:t>
      </w:r>
      <w:r w:rsidR="00814675" w:rsidRPr="00396E00">
        <w:rPr>
          <w:rFonts w:cs="Times New Roman"/>
          <w:color w:val="FF0000"/>
          <w:szCs w:val="24"/>
          <w:lang w:val="en-US"/>
        </w:rPr>
        <w:t xml:space="preserve"> low control over user interactions that rely on the free-flowing sharing of a network of highly engaged, community-minded users</w:t>
      </w:r>
      <w:r w:rsidR="002970E0">
        <w:rPr>
          <w:rFonts w:cs="Times New Roman"/>
          <w:color w:val="FF0000"/>
          <w:szCs w:val="24"/>
          <w:lang w:val="en-US"/>
        </w:rPr>
        <w:t xml:space="preserve">, </w:t>
      </w:r>
      <w:r w:rsidR="00BD57C7" w:rsidRPr="00396E00">
        <w:rPr>
          <w:rFonts w:cs="Times New Roman"/>
          <w:color w:val="FF0000"/>
          <w:szCs w:val="24"/>
          <w:lang w:val="en-US"/>
        </w:rPr>
        <w:t xml:space="preserve">and </w:t>
      </w:r>
      <w:r w:rsidR="00CC26B7" w:rsidRPr="00396E00">
        <w:rPr>
          <w:rFonts w:cs="Times New Roman"/>
          <w:color w:val="FF0000"/>
          <w:szCs w:val="24"/>
          <w:lang w:val="en-US"/>
        </w:rPr>
        <w:t>3)</w:t>
      </w:r>
      <w:r w:rsidR="00F37328" w:rsidRPr="00396E00">
        <w:rPr>
          <w:rFonts w:cs="Times New Roman"/>
          <w:color w:val="FF0000"/>
          <w:szCs w:val="24"/>
          <w:lang w:val="en-US"/>
        </w:rPr>
        <w:t xml:space="preserve"> </w:t>
      </w:r>
      <w:r w:rsidR="00814675" w:rsidRPr="00396E00">
        <w:rPr>
          <w:rFonts w:cs="Times New Roman"/>
          <w:color w:val="FF0000"/>
          <w:szCs w:val="24"/>
          <w:lang w:val="en-US"/>
        </w:rPr>
        <w:t xml:space="preserve">those that moderately control user interactions and </w:t>
      </w:r>
      <w:r w:rsidR="00814675">
        <w:rPr>
          <w:rFonts w:cs="Times New Roman"/>
          <w:color w:val="FF0000"/>
          <w:szCs w:val="24"/>
          <w:lang w:val="en-US"/>
        </w:rPr>
        <w:t>succeed when there is</w:t>
      </w:r>
      <w:r w:rsidR="007F17B0">
        <w:rPr>
          <w:rFonts w:cs="Times New Roman"/>
          <w:color w:val="FF0000"/>
          <w:szCs w:val="24"/>
          <w:lang w:val="en-US"/>
        </w:rPr>
        <w:t xml:space="preserve"> both high engagement between brand and user and within </w:t>
      </w:r>
      <w:r w:rsidR="00814675">
        <w:rPr>
          <w:rFonts w:cs="Times New Roman"/>
          <w:color w:val="FF0000"/>
          <w:szCs w:val="24"/>
          <w:lang w:val="en-US"/>
        </w:rPr>
        <w:t>the</w:t>
      </w:r>
      <w:r w:rsidR="00814675" w:rsidRPr="00396E00">
        <w:rPr>
          <w:rFonts w:cs="Times New Roman"/>
          <w:color w:val="FF0000"/>
          <w:szCs w:val="24"/>
          <w:lang w:val="en-US"/>
        </w:rPr>
        <w:t xml:space="preserve"> platform community</w:t>
      </w:r>
      <w:r w:rsidR="00814675">
        <w:rPr>
          <w:rFonts w:cs="Times New Roman"/>
          <w:color w:val="FF0000"/>
          <w:szCs w:val="24"/>
          <w:lang w:val="en-US"/>
        </w:rPr>
        <w:t>.</w:t>
      </w:r>
      <w:r w:rsidR="00814675" w:rsidRPr="00396E00">
        <w:rPr>
          <w:rFonts w:cs="Times New Roman"/>
          <w:color w:val="FF0000"/>
          <w:szCs w:val="24"/>
          <w:lang w:val="en-US"/>
        </w:rPr>
        <w:t xml:space="preserve"> </w:t>
      </w:r>
      <w:r w:rsidR="00D84C93">
        <w:rPr>
          <w:rFonts w:cs="Times New Roman"/>
          <w:szCs w:val="24"/>
          <w:lang w:val="en-US"/>
        </w:rPr>
        <w:t>En</w:t>
      </w:r>
      <w:r w:rsidR="002246E8" w:rsidRPr="005F2A26">
        <w:rPr>
          <w:rFonts w:cs="Times New Roman"/>
          <w:szCs w:val="24"/>
          <w:lang w:val="en-US"/>
        </w:rPr>
        <w:t>gagement</w:t>
      </w:r>
      <w:r w:rsidR="00B274BF" w:rsidRPr="005F2A26">
        <w:rPr>
          <w:rFonts w:cs="Times New Roman"/>
          <w:szCs w:val="24"/>
          <w:lang w:val="en-US"/>
        </w:rPr>
        <w:t xml:space="preserve"> in dyads and collectives is</w:t>
      </w:r>
      <w:r w:rsidR="002246E8" w:rsidRPr="005F2A26">
        <w:rPr>
          <w:rFonts w:cs="Times New Roman"/>
          <w:szCs w:val="24"/>
          <w:lang w:val="en-US"/>
        </w:rPr>
        <w:t xml:space="preserve"> </w:t>
      </w:r>
      <w:r w:rsidR="00A33731" w:rsidRPr="005F2A26">
        <w:rPr>
          <w:rFonts w:cs="Times New Roman"/>
          <w:szCs w:val="24"/>
          <w:lang w:val="en-US"/>
        </w:rPr>
        <w:t>discussed in more detail</w:t>
      </w:r>
      <w:r w:rsidR="00D84C93">
        <w:rPr>
          <w:rFonts w:cs="Times New Roman"/>
          <w:szCs w:val="24"/>
          <w:lang w:val="en-US"/>
        </w:rPr>
        <w:t>, next,</w:t>
      </w:r>
      <w:r w:rsidR="002246E8" w:rsidRPr="005F2A26">
        <w:rPr>
          <w:rFonts w:cs="Times New Roman"/>
          <w:szCs w:val="24"/>
          <w:lang w:val="en-US"/>
        </w:rPr>
        <w:t xml:space="preserve"> </w:t>
      </w:r>
      <w:r w:rsidR="00FD6CC8" w:rsidRPr="005F2A26">
        <w:rPr>
          <w:rFonts w:cs="Times New Roman"/>
          <w:szCs w:val="24"/>
          <w:lang w:val="en-US"/>
        </w:rPr>
        <w:t>before</w:t>
      </w:r>
      <w:r w:rsidR="00A836BC" w:rsidRPr="005F2A26">
        <w:rPr>
          <w:rFonts w:cs="Times New Roman"/>
          <w:szCs w:val="24"/>
          <w:lang w:val="en-US"/>
        </w:rPr>
        <w:t xml:space="preserve"> we introduce </w:t>
      </w:r>
      <w:r w:rsidR="00957FDD" w:rsidRPr="005F2A26">
        <w:rPr>
          <w:rFonts w:cs="Times New Roman"/>
          <w:szCs w:val="24"/>
          <w:lang w:val="en-US"/>
        </w:rPr>
        <w:t xml:space="preserve">the relationship </w:t>
      </w:r>
      <w:r w:rsidR="00AB01FB" w:rsidRPr="005F2A26">
        <w:rPr>
          <w:rFonts w:cs="Times New Roman"/>
          <w:szCs w:val="24"/>
          <w:lang w:val="en-US"/>
        </w:rPr>
        <w:t>between</w:t>
      </w:r>
      <w:r w:rsidR="00957FDD" w:rsidRPr="005F2A26">
        <w:rPr>
          <w:rFonts w:cs="Times New Roman"/>
          <w:szCs w:val="24"/>
          <w:lang w:val="en-US"/>
        </w:rPr>
        <w:t xml:space="preserve"> different types of engagement </w:t>
      </w:r>
      <w:r w:rsidR="00AB01FB" w:rsidRPr="005F2A26">
        <w:rPr>
          <w:rFonts w:cs="Times New Roman"/>
          <w:szCs w:val="24"/>
          <w:lang w:val="en-US"/>
        </w:rPr>
        <w:t>and</w:t>
      </w:r>
      <w:r w:rsidR="00957FDD" w:rsidRPr="005F2A26">
        <w:rPr>
          <w:rFonts w:cs="Times New Roman"/>
          <w:szCs w:val="24"/>
          <w:lang w:val="en-US"/>
        </w:rPr>
        <w:t xml:space="preserve"> PO</w:t>
      </w:r>
      <w:r w:rsidR="00A33731" w:rsidRPr="005F2A26">
        <w:rPr>
          <w:rFonts w:cs="Times New Roman"/>
          <w:szCs w:val="24"/>
          <w:lang w:val="en-US"/>
        </w:rPr>
        <w:t>.</w:t>
      </w:r>
    </w:p>
    <w:bookmarkEnd w:id="5"/>
    <w:p w14:paraId="3782C2C7" w14:textId="1FBAF64B" w:rsidR="001559FC" w:rsidRPr="005F2A26" w:rsidRDefault="00A33731" w:rsidP="00B6463E">
      <w:pPr>
        <w:rPr>
          <w:lang w:val="en-US"/>
        </w:rPr>
      </w:pPr>
      <w:r w:rsidRPr="005F2A26">
        <w:rPr>
          <w:lang w:val="en-US"/>
        </w:rPr>
        <w:t xml:space="preserve"> </w:t>
      </w:r>
    </w:p>
    <w:p w14:paraId="03B01F11" w14:textId="06B062F1" w:rsidR="00E42C1B" w:rsidRDefault="00E42C1B" w:rsidP="00B6463E">
      <w:pPr>
        <w:pStyle w:val="Caption"/>
        <w:keepNext/>
        <w:rPr>
          <w:sz w:val="24"/>
          <w:szCs w:val="24"/>
          <w:lang w:val="en-US"/>
        </w:rPr>
      </w:pPr>
      <w:r w:rsidRPr="005F2A26">
        <w:rPr>
          <w:sz w:val="24"/>
          <w:szCs w:val="24"/>
          <w:lang w:val="en-US"/>
        </w:rPr>
        <w:t xml:space="preserve">Figure </w:t>
      </w:r>
      <w:r w:rsidRPr="005F2A26">
        <w:rPr>
          <w:sz w:val="24"/>
          <w:szCs w:val="24"/>
          <w:lang w:val="en-US"/>
        </w:rPr>
        <w:fldChar w:fldCharType="begin"/>
      </w:r>
      <w:r w:rsidRPr="005F2A26">
        <w:rPr>
          <w:sz w:val="24"/>
          <w:szCs w:val="24"/>
          <w:lang w:val="en-US"/>
        </w:rPr>
        <w:instrText xml:space="preserve"> SEQ Figure \* ARABIC </w:instrText>
      </w:r>
      <w:r w:rsidRPr="005F2A26">
        <w:rPr>
          <w:sz w:val="24"/>
          <w:szCs w:val="24"/>
          <w:lang w:val="en-US"/>
        </w:rPr>
        <w:fldChar w:fldCharType="separate"/>
      </w:r>
      <w:r w:rsidRPr="005F2A26">
        <w:rPr>
          <w:noProof/>
          <w:sz w:val="24"/>
          <w:szCs w:val="24"/>
          <w:lang w:val="en-US"/>
        </w:rPr>
        <w:t>1</w:t>
      </w:r>
      <w:r w:rsidRPr="005F2A26">
        <w:rPr>
          <w:sz w:val="24"/>
          <w:szCs w:val="24"/>
          <w:lang w:val="en-US"/>
        </w:rPr>
        <w:fldChar w:fldCharType="end"/>
      </w:r>
      <w:r w:rsidRPr="005F2A26">
        <w:rPr>
          <w:sz w:val="24"/>
          <w:szCs w:val="24"/>
          <w:lang w:val="en-US"/>
        </w:rPr>
        <w:t>:</w:t>
      </w:r>
      <w:r w:rsidR="00A13641" w:rsidRPr="005F2A26">
        <w:rPr>
          <w:sz w:val="24"/>
          <w:szCs w:val="24"/>
          <w:lang w:val="en-US"/>
        </w:rPr>
        <w:t xml:space="preserve"> M</w:t>
      </w:r>
      <w:r w:rsidRPr="005F2A26">
        <w:rPr>
          <w:sz w:val="24"/>
          <w:szCs w:val="24"/>
          <w:lang w:val="en-US"/>
        </w:rPr>
        <w:t>ediating role</w:t>
      </w:r>
      <w:r w:rsidR="00A13641" w:rsidRPr="005F2A26">
        <w:rPr>
          <w:sz w:val="24"/>
          <w:szCs w:val="24"/>
          <w:lang w:val="en-US"/>
        </w:rPr>
        <w:t xml:space="preserve"> of</w:t>
      </w:r>
      <w:r w:rsidRPr="005F2A26">
        <w:rPr>
          <w:sz w:val="24"/>
          <w:szCs w:val="24"/>
          <w:lang w:val="en-US"/>
        </w:rPr>
        <w:t xml:space="preserve"> platform businesses</w:t>
      </w:r>
      <w:r w:rsidR="00A13641" w:rsidRPr="005F2A26">
        <w:rPr>
          <w:sz w:val="24"/>
          <w:szCs w:val="24"/>
          <w:lang w:val="en-US"/>
        </w:rPr>
        <w:t xml:space="preserve"> in the SE, and the</w:t>
      </w:r>
      <w:r w:rsidR="00662DBA">
        <w:rPr>
          <w:sz w:val="24"/>
          <w:szCs w:val="24"/>
          <w:lang w:val="en-US"/>
        </w:rPr>
        <w:t xml:space="preserve"> optimal</w:t>
      </w:r>
      <w:r w:rsidR="00A13641" w:rsidRPr="005F2A26">
        <w:rPr>
          <w:sz w:val="24"/>
          <w:szCs w:val="24"/>
          <w:lang w:val="en-US"/>
        </w:rPr>
        <w:t xml:space="preserve"> type of engagement</w:t>
      </w:r>
      <w:r w:rsidR="00502439" w:rsidRPr="005F2A26">
        <w:rPr>
          <w:sz w:val="24"/>
          <w:szCs w:val="24"/>
          <w:lang w:val="en-US"/>
        </w:rPr>
        <w:t>.</w:t>
      </w:r>
    </w:p>
    <w:p w14:paraId="0DA92D7A" w14:textId="7E899F3D" w:rsidR="00B42A31" w:rsidRPr="00B42A31" w:rsidRDefault="00B42A31" w:rsidP="00B42A31">
      <w:pPr>
        <w:rPr>
          <w:lang w:val="en-US"/>
        </w:rPr>
      </w:pPr>
      <w:r>
        <w:rPr>
          <w:noProof/>
        </w:rPr>
        <w:drawing>
          <wp:inline distT="0" distB="0" distL="0" distR="0" wp14:anchorId="00AED336" wp14:editId="5CD19B8F">
            <wp:extent cx="5731510" cy="44557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455795"/>
                    </a:xfrm>
                    <a:prstGeom prst="rect">
                      <a:avLst/>
                    </a:prstGeom>
                  </pic:spPr>
                </pic:pic>
              </a:graphicData>
            </a:graphic>
          </wp:inline>
        </w:drawing>
      </w:r>
    </w:p>
    <w:p w14:paraId="3A46C4A0" w14:textId="119730A0" w:rsidR="00E42C1B" w:rsidRPr="005F2A26" w:rsidRDefault="00E42C1B">
      <w:pPr>
        <w:keepNext/>
        <w:spacing w:after="0" w:line="480" w:lineRule="auto"/>
        <w:rPr>
          <w:rFonts w:cs="Times New Roman"/>
          <w:szCs w:val="24"/>
          <w:lang w:val="en-US"/>
        </w:rPr>
      </w:pPr>
    </w:p>
    <w:p w14:paraId="75893CDD" w14:textId="010171DE" w:rsidR="00637A69" w:rsidRPr="005F2A26" w:rsidRDefault="00882437" w:rsidP="00C93EC4">
      <w:pPr>
        <w:keepNext/>
        <w:spacing w:after="0" w:line="480" w:lineRule="auto"/>
        <w:rPr>
          <w:b/>
          <w:bCs/>
          <w:lang w:val="en-US"/>
        </w:rPr>
      </w:pPr>
      <w:r w:rsidRPr="005F2A26">
        <w:rPr>
          <w:rFonts w:cs="Times New Roman"/>
          <w:b/>
          <w:bCs/>
          <w:szCs w:val="24"/>
          <w:lang w:val="en-US"/>
        </w:rPr>
        <w:t>Engagement</w:t>
      </w:r>
      <w:r w:rsidR="00E46462" w:rsidRPr="005F2A26">
        <w:rPr>
          <w:rFonts w:cs="Times New Roman"/>
          <w:b/>
          <w:bCs/>
          <w:szCs w:val="24"/>
          <w:lang w:val="en-US"/>
        </w:rPr>
        <w:t xml:space="preserve"> </w:t>
      </w:r>
    </w:p>
    <w:p w14:paraId="62598F1B" w14:textId="096E69C3" w:rsidR="00F268DC" w:rsidRPr="00396E00" w:rsidRDefault="00F268DC" w:rsidP="00757FEF">
      <w:pPr>
        <w:spacing w:after="0" w:line="480" w:lineRule="auto"/>
        <w:rPr>
          <w:rFonts w:cs="Times New Roman"/>
          <w:color w:val="FF0000"/>
          <w:lang w:val="en-US"/>
        </w:rPr>
      </w:pPr>
      <w:r w:rsidRPr="005F2A26">
        <w:rPr>
          <w:rFonts w:cs="Times New Roman"/>
          <w:lang w:val="en-US"/>
        </w:rPr>
        <w:t>Although the concept of engagement has been widely adopted in multiple disciplines</w:t>
      </w:r>
      <w:r w:rsidR="002E6E65" w:rsidRPr="005F2A26">
        <w:rPr>
          <w:rFonts w:cs="Times New Roman"/>
          <w:lang w:val="en-US"/>
        </w:rPr>
        <w:t xml:space="preserve"> (Brodie </w:t>
      </w:r>
      <w:r w:rsidR="00957690" w:rsidRPr="00957690">
        <w:rPr>
          <w:rFonts w:cs="Times New Roman"/>
          <w:i/>
          <w:iCs/>
          <w:lang w:val="en-US"/>
        </w:rPr>
        <w:t>et al.</w:t>
      </w:r>
      <w:r w:rsidR="00D77966" w:rsidRPr="005F2A26">
        <w:rPr>
          <w:rFonts w:cs="Times New Roman"/>
          <w:lang w:val="en-US"/>
        </w:rPr>
        <w:t xml:space="preserve">, </w:t>
      </w:r>
      <w:r w:rsidR="002E6E65" w:rsidRPr="005F2A26">
        <w:rPr>
          <w:rFonts w:cs="Times New Roman"/>
          <w:lang w:val="en-US"/>
        </w:rPr>
        <w:t>2011)</w:t>
      </w:r>
      <w:r w:rsidRPr="005F2A26">
        <w:rPr>
          <w:rFonts w:cs="Times New Roman"/>
          <w:lang w:val="en-US"/>
        </w:rPr>
        <w:t xml:space="preserve"> including psychology (</w:t>
      </w:r>
      <w:proofErr w:type="spellStart"/>
      <w:r w:rsidRPr="005F2A26">
        <w:rPr>
          <w:rFonts w:cs="Times New Roman"/>
          <w:lang w:val="en-US"/>
        </w:rPr>
        <w:t>Garczynski</w:t>
      </w:r>
      <w:proofErr w:type="spellEnd"/>
      <w:r w:rsidRPr="005F2A26">
        <w:rPr>
          <w:rFonts w:cs="Times New Roman"/>
          <w:lang w:val="en-US"/>
        </w:rPr>
        <w:t xml:space="preserve"> </w:t>
      </w:r>
      <w:r w:rsidR="00957690" w:rsidRPr="00957690">
        <w:rPr>
          <w:rFonts w:cs="Times New Roman"/>
          <w:i/>
          <w:iCs/>
          <w:lang w:val="en-US"/>
        </w:rPr>
        <w:t>et al.</w:t>
      </w:r>
      <w:r w:rsidRPr="005F2A26">
        <w:rPr>
          <w:rFonts w:cs="Times New Roman"/>
          <w:lang w:val="en-US"/>
        </w:rPr>
        <w:t>, 2013)</w:t>
      </w:r>
      <w:r w:rsidR="0084425A" w:rsidRPr="005F2A26">
        <w:rPr>
          <w:rFonts w:cs="Times New Roman"/>
          <w:lang w:val="en-US"/>
        </w:rPr>
        <w:t>, education (Reeve, 2012),</w:t>
      </w:r>
      <w:r w:rsidRPr="005F2A26">
        <w:rPr>
          <w:rFonts w:cs="Times New Roman"/>
          <w:lang w:val="en-US"/>
        </w:rPr>
        <w:t xml:space="preserve"> and </w:t>
      </w:r>
      <w:r w:rsidRPr="005F2A26">
        <w:rPr>
          <w:rFonts w:cs="Times New Roman"/>
          <w:lang w:val="en-US"/>
        </w:rPr>
        <w:lastRenderedPageBreak/>
        <w:t>organizational behavior (</w:t>
      </w:r>
      <w:r w:rsidR="00D46F2E" w:rsidRPr="005F2A26">
        <w:rPr>
          <w:rFonts w:cs="Times New Roman"/>
          <w:lang w:val="en-US"/>
        </w:rPr>
        <w:t xml:space="preserve">e.g., </w:t>
      </w:r>
      <w:r w:rsidR="0084425A" w:rsidRPr="005F2A26">
        <w:rPr>
          <w:rFonts w:cs="Times New Roman"/>
          <w:lang w:val="en-US"/>
        </w:rPr>
        <w:t xml:space="preserve">Costa </w:t>
      </w:r>
      <w:r w:rsidR="00957690" w:rsidRPr="00957690">
        <w:rPr>
          <w:rFonts w:cs="Times New Roman"/>
          <w:i/>
          <w:iCs/>
          <w:lang w:val="en-US"/>
        </w:rPr>
        <w:t>et al.</w:t>
      </w:r>
      <w:r w:rsidR="0084425A" w:rsidRPr="005F2A26">
        <w:rPr>
          <w:rFonts w:cs="Times New Roman"/>
          <w:lang w:val="en-US"/>
        </w:rPr>
        <w:t>, 2014</w:t>
      </w:r>
      <w:r w:rsidRPr="005F2A26">
        <w:rPr>
          <w:rFonts w:cs="Times New Roman"/>
          <w:lang w:val="en-US"/>
        </w:rPr>
        <w:t>), it has emerged as central to marketing</w:t>
      </w:r>
      <w:r w:rsidR="00D174AF" w:rsidRPr="005F2A26">
        <w:rPr>
          <w:rFonts w:cs="Times New Roman"/>
          <w:lang w:val="en-US"/>
        </w:rPr>
        <w:t xml:space="preserve"> research</w:t>
      </w:r>
      <w:r w:rsidR="002E6E65" w:rsidRPr="005F2A26">
        <w:rPr>
          <w:rFonts w:cs="Times New Roman"/>
          <w:lang w:val="en-US"/>
        </w:rPr>
        <w:t xml:space="preserve"> in the last </w:t>
      </w:r>
      <w:r w:rsidRPr="005F2A26">
        <w:rPr>
          <w:rFonts w:cs="Times New Roman"/>
          <w:lang w:val="en-US"/>
        </w:rPr>
        <w:t>decade</w:t>
      </w:r>
      <w:r w:rsidR="009F17A4" w:rsidRPr="005F2A26">
        <w:rPr>
          <w:rFonts w:cs="Times New Roman"/>
          <w:lang w:val="en-US"/>
        </w:rPr>
        <w:t xml:space="preserve"> (e.g., Brodie </w:t>
      </w:r>
      <w:r w:rsidR="00957690" w:rsidRPr="00957690">
        <w:rPr>
          <w:rFonts w:cs="Times New Roman"/>
          <w:i/>
          <w:iCs/>
          <w:lang w:val="en-US"/>
        </w:rPr>
        <w:t>et al.</w:t>
      </w:r>
      <w:r w:rsidR="009F17A4" w:rsidRPr="005F2A26">
        <w:rPr>
          <w:rFonts w:cs="Times New Roman"/>
          <w:lang w:val="en-US"/>
        </w:rPr>
        <w:t xml:space="preserve">, 2011; 2013; Jaakkola </w:t>
      </w:r>
      <w:r w:rsidR="00AC7A88" w:rsidRPr="005F2A26">
        <w:rPr>
          <w:rFonts w:cs="Times New Roman"/>
          <w:lang w:val="en-US"/>
        </w:rPr>
        <w:t>and</w:t>
      </w:r>
      <w:r w:rsidR="009F17A4" w:rsidRPr="005F2A26">
        <w:rPr>
          <w:rFonts w:cs="Times New Roman"/>
          <w:lang w:val="en-US"/>
        </w:rPr>
        <w:t xml:space="preserve"> Alexander, 2014; Van </w:t>
      </w:r>
      <w:proofErr w:type="spellStart"/>
      <w:r w:rsidR="009F17A4" w:rsidRPr="005F2A26">
        <w:rPr>
          <w:rFonts w:cs="Times New Roman"/>
          <w:lang w:val="en-US"/>
        </w:rPr>
        <w:t>Doorn</w:t>
      </w:r>
      <w:proofErr w:type="spellEnd"/>
      <w:r w:rsidR="009F17A4" w:rsidRPr="005F2A26">
        <w:rPr>
          <w:rFonts w:cs="Times New Roman"/>
          <w:lang w:val="en-US"/>
        </w:rPr>
        <w:t xml:space="preserve"> </w:t>
      </w:r>
      <w:r w:rsidR="00957690" w:rsidRPr="00957690">
        <w:rPr>
          <w:rFonts w:cs="Times New Roman"/>
          <w:i/>
          <w:iCs/>
          <w:lang w:val="en-US"/>
        </w:rPr>
        <w:t>et al.</w:t>
      </w:r>
      <w:r w:rsidR="009F17A4" w:rsidRPr="005F2A26">
        <w:rPr>
          <w:rFonts w:cs="Times New Roman"/>
          <w:lang w:val="en-US"/>
        </w:rPr>
        <w:t>, 2010)</w:t>
      </w:r>
      <w:r w:rsidRPr="005F2A26">
        <w:rPr>
          <w:rFonts w:cs="Times New Roman"/>
          <w:lang w:val="en-US"/>
        </w:rPr>
        <w:t xml:space="preserve">. </w:t>
      </w:r>
      <w:r w:rsidR="00EB594C" w:rsidRPr="00396E00">
        <w:rPr>
          <w:rFonts w:cs="Times New Roman"/>
          <w:color w:val="FF0000"/>
          <w:lang w:val="en-US"/>
        </w:rPr>
        <w:t xml:space="preserve">Engagement is </w:t>
      </w:r>
      <w:r w:rsidR="00233F27" w:rsidRPr="00396E00">
        <w:rPr>
          <w:rFonts w:cs="Times New Roman"/>
          <w:color w:val="FF0000"/>
          <w:lang w:val="en-NZ"/>
        </w:rPr>
        <w:t xml:space="preserve">“a dynamic and iterative process that reflects actors’ dispositions to invest resources in their interactions with other connected actors in a service system” (Brodie </w:t>
      </w:r>
      <w:r w:rsidR="00957690" w:rsidRPr="00957690">
        <w:rPr>
          <w:rFonts w:cs="Times New Roman"/>
          <w:i/>
          <w:iCs/>
          <w:color w:val="FF0000"/>
          <w:lang w:val="en-NZ"/>
        </w:rPr>
        <w:t>et al.</w:t>
      </w:r>
      <w:r w:rsidR="00233F27" w:rsidRPr="00396E00">
        <w:rPr>
          <w:rFonts w:cs="Times New Roman"/>
          <w:color w:val="FF0000"/>
          <w:lang w:val="en-NZ"/>
        </w:rPr>
        <w:t xml:space="preserve"> 2019, p.173). </w:t>
      </w:r>
      <w:r w:rsidR="002C51EE">
        <w:rPr>
          <w:rFonts w:cs="Times New Roman"/>
          <w:color w:val="FF0000"/>
          <w:lang w:val="en-NZ"/>
        </w:rPr>
        <w:t xml:space="preserve">The iterative nature of engagement is reflected in </w:t>
      </w:r>
      <w:r w:rsidR="00D16798">
        <w:rPr>
          <w:rFonts w:cs="Times New Roman"/>
          <w:color w:val="FF0000"/>
          <w:lang w:val="en-NZ"/>
        </w:rPr>
        <w:t>changing levels of engagement felt by an actor</w:t>
      </w:r>
      <w:r w:rsidR="001D6E62">
        <w:rPr>
          <w:rFonts w:cs="Times New Roman"/>
          <w:color w:val="FF0000"/>
          <w:lang w:val="en-NZ"/>
        </w:rPr>
        <w:t>.</w:t>
      </w:r>
      <w:r w:rsidR="00B97794" w:rsidRPr="00396E00">
        <w:rPr>
          <w:rFonts w:cs="Times New Roman"/>
          <w:color w:val="FF0000"/>
          <w:lang w:val="en-NZ"/>
        </w:rPr>
        <w:t xml:space="preserve"> </w:t>
      </w:r>
      <w:r w:rsidR="00757FEF">
        <w:rPr>
          <w:rFonts w:cs="Times New Roman"/>
          <w:color w:val="FF0000"/>
          <w:lang w:val="en-NZ"/>
        </w:rPr>
        <w:t>Indeed, p</w:t>
      </w:r>
      <w:r w:rsidR="00D24F7F" w:rsidRPr="00396E00">
        <w:rPr>
          <w:rFonts w:cs="Times New Roman"/>
          <w:color w:val="FF0000"/>
          <w:lang w:val="en-NZ"/>
        </w:rPr>
        <w:t xml:space="preserve">ositive </w:t>
      </w:r>
      <w:r w:rsidR="007A4A82" w:rsidRPr="00396E00">
        <w:rPr>
          <w:rFonts w:cs="Times New Roman"/>
          <w:color w:val="FF0000"/>
          <w:lang w:val="en-NZ"/>
        </w:rPr>
        <w:t xml:space="preserve">engagement </w:t>
      </w:r>
      <w:r w:rsidR="00D24F7F" w:rsidRPr="00396E00">
        <w:rPr>
          <w:rFonts w:cs="Times New Roman"/>
          <w:color w:val="FF0000"/>
          <w:lang w:val="en-NZ"/>
        </w:rPr>
        <w:t>outcomes</w:t>
      </w:r>
      <w:r w:rsidR="007A4A82" w:rsidRPr="00396E00">
        <w:rPr>
          <w:rFonts w:cs="Times New Roman"/>
          <w:color w:val="FF0000"/>
          <w:lang w:val="en-NZ"/>
        </w:rPr>
        <w:t xml:space="preserve"> </w:t>
      </w:r>
      <w:r w:rsidR="00F304C0">
        <w:rPr>
          <w:rFonts w:cs="Times New Roman"/>
          <w:color w:val="FF0000"/>
          <w:lang w:val="en-NZ"/>
        </w:rPr>
        <w:t xml:space="preserve">can </w:t>
      </w:r>
      <w:r w:rsidR="0048299C" w:rsidRPr="00396E00">
        <w:rPr>
          <w:rFonts w:cs="Times New Roman"/>
          <w:color w:val="FF0000"/>
          <w:lang w:val="en-NZ"/>
        </w:rPr>
        <w:t xml:space="preserve">further </w:t>
      </w:r>
      <w:r w:rsidR="007A4A82" w:rsidRPr="00396E00">
        <w:rPr>
          <w:rFonts w:cs="Times New Roman"/>
          <w:color w:val="FF0000"/>
          <w:lang w:val="en-NZ"/>
        </w:rPr>
        <w:t xml:space="preserve">drive </w:t>
      </w:r>
      <w:r w:rsidR="001052EC">
        <w:rPr>
          <w:rFonts w:cs="Times New Roman"/>
          <w:color w:val="FF0000"/>
          <w:lang w:val="en-NZ"/>
        </w:rPr>
        <w:t>the</w:t>
      </w:r>
      <w:r w:rsidR="007A4A82" w:rsidRPr="00396E00">
        <w:rPr>
          <w:rFonts w:cs="Times New Roman"/>
          <w:color w:val="FF0000"/>
          <w:lang w:val="en-NZ"/>
        </w:rPr>
        <w:t xml:space="preserve"> disposition for actors to engage (</w:t>
      </w:r>
      <w:r w:rsidR="008516B8" w:rsidRPr="00396E00">
        <w:rPr>
          <w:rFonts w:cs="Times New Roman"/>
          <w:color w:val="FF0000"/>
          <w:lang w:val="en-NZ"/>
        </w:rPr>
        <w:t xml:space="preserve">Brodie </w:t>
      </w:r>
      <w:r w:rsidR="00957690" w:rsidRPr="00957690">
        <w:rPr>
          <w:rFonts w:cs="Times New Roman"/>
          <w:i/>
          <w:iCs/>
          <w:color w:val="FF0000"/>
          <w:lang w:val="en-NZ"/>
        </w:rPr>
        <w:t>et al.</w:t>
      </w:r>
      <w:r w:rsidR="008516B8" w:rsidRPr="00396E00">
        <w:rPr>
          <w:rFonts w:cs="Times New Roman"/>
          <w:color w:val="FF0000"/>
          <w:lang w:val="en-NZ"/>
        </w:rPr>
        <w:t>, 201</w:t>
      </w:r>
      <w:r w:rsidR="00DC1AEF">
        <w:rPr>
          <w:rFonts w:cs="Times New Roman"/>
          <w:color w:val="FF0000"/>
          <w:lang w:val="en-NZ"/>
        </w:rPr>
        <w:t>9</w:t>
      </w:r>
      <w:r w:rsidR="008516B8" w:rsidRPr="00396E00">
        <w:rPr>
          <w:rFonts w:cs="Times New Roman"/>
          <w:color w:val="FF0000"/>
          <w:lang w:val="en-NZ"/>
        </w:rPr>
        <w:t xml:space="preserve">; </w:t>
      </w:r>
      <w:r w:rsidR="006E2D47" w:rsidRPr="00396E00">
        <w:rPr>
          <w:rFonts w:cs="Times New Roman"/>
          <w:color w:val="FF0000"/>
          <w:lang w:val="en-NZ"/>
        </w:rPr>
        <w:t xml:space="preserve">Fehrer </w:t>
      </w:r>
      <w:r w:rsidR="00957690" w:rsidRPr="00957690">
        <w:rPr>
          <w:rFonts w:cs="Times New Roman"/>
          <w:i/>
          <w:iCs/>
          <w:color w:val="FF0000"/>
          <w:lang w:val="en-NZ"/>
        </w:rPr>
        <w:t>et al.</w:t>
      </w:r>
      <w:r w:rsidR="006E2D47" w:rsidRPr="00396E00">
        <w:rPr>
          <w:rFonts w:cs="Times New Roman"/>
          <w:color w:val="FF0000"/>
          <w:lang w:val="en-NZ"/>
        </w:rPr>
        <w:t>, 2018b</w:t>
      </w:r>
      <w:r w:rsidR="006E2D47">
        <w:rPr>
          <w:rFonts w:cs="Times New Roman"/>
          <w:color w:val="FF0000"/>
          <w:lang w:val="en-NZ"/>
        </w:rPr>
        <w:t>;</w:t>
      </w:r>
      <w:r w:rsidR="006E2D47" w:rsidRPr="00396E00">
        <w:rPr>
          <w:rFonts w:cs="Times New Roman"/>
          <w:color w:val="FF0000"/>
          <w:lang w:val="en-NZ"/>
        </w:rPr>
        <w:t xml:space="preserve"> </w:t>
      </w:r>
      <w:r w:rsidR="007A4A82" w:rsidRPr="00396E00">
        <w:rPr>
          <w:rFonts w:cs="Times New Roman"/>
          <w:color w:val="FF0000"/>
          <w:lang w:val="en-NZ"/>
        </w:rPr>
        <w:t>Jaakkola and Alexander,</w:t>
      </w:r>
      <w:r w:rsidR="008516B8" w:rsidRPr="00396E00">
        <w:rPr>
          <w:rFonts w:cs="Times New Roman"/>
          <w:color w:val="FF0000"/>
          <w:lang w:val="en-NZ"/>
        </w:rPr>
        <w:t xml:space="preserve"> 2014).</w:t>
      </w:r>
      <w:r w:rsidR="00D175A3" w:rsidRPr="00396E00">
        <w:rPr>
          <w:rFonts w:cs="Times New Roman"/>
          <w:color w:val="FF0000"/>
          <w:lang w:val="en-NZ"/>
        </w:rPr>
        <w:t xml:space="preserve"> </w:t>
      </w:r>
      <w:r w:rsidR="007B5815" w:rsidRPr="00396E00">
        <w:rPr>
          <w:rFonts w:cs="Times New Roman"/>
          <w:color w:val="FF0000"/>
          <w:lang w:val="en-NZ"/>
        </w:rPr>
        <w:t>How the PO construct helps explain this phenomenon will be detailed later.</w:t>
      </w:r>
      <w:r w:rsidR="00757FEF">
        <w:rPr>
          <w:rFonts w:cs="Times New Roman"/>
          <w:color w:val="FF0000"/>
          <w:lang w:val="en-NZ"/>
        </w:rPr>
        <w:t xml:space="preserve"> </w:t>
      </w:r>
      <w:r w:rsidR="0094152E" w:rsidRPr="00396E00">
        <w:rPr>
          <w:rFonts w:cs="Times New Roman"/>
          <w:color w:val="FF0000"/>
          <w:lang w:val="en-US"/>
        </w:rPr>
        <w:t>First</w:t>
      </w:r>
      <w:r w:rsidR="00F9612C" w:rsidRPr="00396E00">
        <w:rPr>
          <w:rFonts w:cs="Times New Roman"/>
          <w:color w:val="FF0000"/>
          <w:lang w:val="en-US"/>
        </w:rPr>
        <w:t xml:space="preserve">, we </w:t>
      </w:r>
      <w:r w:rsidR="007E4D2A">
        <w:rPr>
          <w:rFonts w:cs="Times New Roman"/>
          <w:color w:val="FF0000"/>
          <w:lang w:val="en-US"/>
        </w:rPr>
        <w:t>explain</w:t>
      </w:r>
      <w:r w:rsidR="0028672D">
        <w:rPr>
          <w:rFonts w:cs="Times New Roman"/>
          <w:color w:val="FF0000"/>
          <w:lang w:val="en-US"/>
        </w:rPr>
        <w:t xml:space="preserve"> the </w:t>
      </w:r>
      <w:r w:rsidR="00901EA8" w:rsidRPr="00396E00">
        <w:rPr>
          <w:rFonts w:cs="Times New Roman"/>
          <w:color w:val="FF0000"/>
          <w:lang w:val="en-US"/>
        </w:rPr>
        <w:t xml:space="preserve">different </w:t>
      </w:r>
      <w:r w:rsidR="009743C3" w:rsidRPr="00396E00">
        <w:rPr>
          <w:rFonts w:cs="Times New Roman"/>
          <w:color w:val="FF0000"/>
          <w:lang w:val="en-US"/>
        </w:rPr>
        <w:t xml:space="preserve">types </w:t>
      </w:r>
      <w:r w:rsidR="00901EA8" w:rsidRPr="00396E00">
        <w:rPr>
          <w:rFonts w:cs="Times New Roman"/>
          <w:color w:val="FF0000"/>
          <w:lang w:val="en-US"/>
        </w:rPr>
        <w:t xml:space="preserve">of engagement – </w:t>
      </w:r>
      <w:r w:rsidR="001906F9" w:rsidRPr="00396E00">
        <w:rPr>
          <w:rFonts w:cs="Times New Roman"/>
          <w:color w:val="FF0000"/>
          <w:lang w:val="en-US"/>
        </w:rPr>
        <w:t>between</w:t>
      </w:r>
      <w:r w:rsidR="00901EA8" w:rsidRPr="00396E00">
        <w:rPr>
          <w:rFonts w:cs="Times New Roman"/>
          <w:color w:val="FF0000"/>
          <w:lang w:val="en-US"/>
        </w:rPr>
        <w:t xml:space="preserve"> dyads or within collectives. </w:t>
      </w:r>
      <w:r w:rsidR="007E4D2A">
        <w:rPr>
          <w:rFonts w:cs="Times New Roman"/>
          <w:color w:val="FF0000"/>
          <w:lang w:val="en-US"/>
        </w:rPr>
        <w:t>Then w</w:t>
      </w:r>
      <w:r w:rsidR="003D4596" w:rsidRPr="00396E00">
        <w:rPr>
          <w:rFonts w:cs="Times New Roman"/>
          <w:color w:val="FF0000"/>
          <w:lang w:val="en-US"/>
        </w:rPr>
        <w:t>e conclude this</w:t>
      </w:r>
      <w:r w:rsidR="00507B5B" w:rsidRPr="00396E00">
        <w:rPr>
          <w:rFonts w:cs="Times New Roman"/>
          <w:color w:val="FF0000"/>
          <w:lang w:val="en-US"/>
        </w:rPr>
        <w:t xml:space="preserve"> </w:t>
      </w:r>
      <w:r w:rsidR="003D4596" w:rsidRPr="00396E00">
        <w:rPr>
          <w:rFonts w:cs="Times New Roman"/>
          <w:color w:val="FF0000"/>
          <w:lang w:val="en-US"/>
        </w:rPr>
        <w:t xml:space="preserve">section with a </w:t>
      </w:r>
      <w:r w:rsidR="00C52AAD" w:rsidRPr="00396E00">
        <w:rPr>
          <w:rFonts w:cs="Times New Roman"/>
          <w:color w:val="FF0000"/>
          <w:lang w:val="en-US"/>
        </w:rPr>
        <w:t>summary</w:t>
      </w:r>
      <w:r w:rsidR="003D4596" w:rsidRPr="00396E00">
        <w:rPr>
          <w:rFonts w:cs="Times New Roman"/>
          <w:color w:val="FF0000"/>
          <w:lang w:val="en-US"/>
        </w:rPr>
        <w:t xml:space="preserve"> of </w:t>
      </w:r>
      <w:r w:rsidR="0051288B">
        <w:rPr>
          <w:rFonts w:cs="Times New Roman"/>
          <w:color w:val="FF0000"/>
          <w:lang w:val="en-US"/>
        </w:rPr>
        <w:t>the</w:t>
      </w:r>
      <w:r w:rsidR="00DA0824" w:rsidRPr="00396E00">
        <w:rPr>
          <w:rFonts w:cs="Times New Roman"/>
          <w:color w:val="FF0000"/>
          <w:lang w:val="en-US"/>
        </w:rPr>
        <w:t xml:space="preserve"> factors</w:t>
      </w:r>
      <w:r w:rsidR="003D4596" w:rsidRPr="00396E00">
        <w:rPr>
          <w:rFonts w:cs="Times New Roman"/>
          <w:color w:val="FF0000"/>
          <w:lang w:val="en-US"/>
        </w:rPr>
        <w:t xml:space="preserve"> </w:t>
      </w:r>
      <w:r w:rsidR="00E42C1B" w:rsidRPr="00396E00">
        <w:rPr>
          <w:rFonts w:cs="Times New Roman"/>
          <w:color w:val="FF0000"/>
          <w:lang w:val="en-US"/>
        </w:rPr>
        <w:t>suggested</w:t>
      </w:r>
      <w:r w:rsidR="000E0B2A" w:rsidRPr="00396E00">
        <w:rPr>
          <w:rFonts w:cs="Times New Roman"/>
          <w:color w:val="FF0000"/>
          <w:lang w:val="en-US"/>
        </w:rPr>
        <w:t xml:space="preserve"> as antecedents to </w:t>
      </w:r>
      <w:r w:rsidR="003D4596" w:rsidRPr="00396E00">
        <w:rPr>
          <w:rFonts w:cs="Times New Roman"/>
          <w:color w:val="FF0000"/>
          <w:lang w:val="en-US"/>
        </w:rPr>
        <w:t>engagement</w:t>
      </w:r>
      <w:r w:rsidR="00597F7B" w:rsidRPr="00396E00">
        <w:rPr>
          <w:rFonts w:cs="Times New Roman"/>
          <w:color w:val="FF0000"/>
          <w:lang w:val="en-US"/>
        </w:rPr>
        <w:t xml:space="preserve">, before </w:t>
      </w:r>
      <w:r w:rsidR="00443C24" w:rsidRPr="00396E00">
        <w:rPr>
          <w:rFonts w:cs="Times New Roman"/>
          <w:color w:val="FF0000"/>
          <w:lang w:val="en-US"/>
        </w:rPr>
        <w:t xml:space="preserve">asserting our theorization </w:t>
      </w:r>
      <w:r w:rsidR="00026628" w:rsidRPr="00396E00">
        <w:rPr>
          <w:rFonts w:cs="Times New Roman"/>
          <w:color w:val="FF0000"/>
          <w:lang w:val="en-US"/>
        </w:rPr>
        <w:t xml:space="preserve">that </w:t>
      </w:r>
      <w:r w:rsidR="00597F7B" w:rsidRPr="00396E00">
        <w:rPr>
          <w:rFonts w:cs="Times New Roman"/>
          <w:color w:val="FF0000"/>
          <w:lang w:val="en-US"/>
        </w:rPr>
        <w:t xml:space="preserve">iPO </w:t>
      </w:r>
      <w:r w:rsidR="00DE6631" w:rsidRPr="00396E00">
        <w:rPr>
          <w:rFonts w:cs="Times New Roman"/>
          <w:color w:val="FF0000"/>
          <w:lang w:val="en-US"/>
        </w:rPr>
        <w:t>and</w:t>
      </w:r>
      <w:r w:rsidR="00597F7B" w:rsidRPr="00396E00">
        <w:rPr>
          <w:rFonts w:cs="Times New Roman"/>
          <w:color w:val="FF0000"/>
          <w:lang w:val="en-US"/>
        </w:rPr>
        <w:t xml:space="preserve"> cPO</w:t>
      </w:r>
      <w:r w:rsidR="00443C24" w:rsidRPr="00396E00">
        <w:rPr>
          <w:rFonts w:cs="Times New Roman"/>
          <w:color w:val="FF0000"/>
          <w:lang w:val="en-US"/>
        </w:rPr>
        <w:t xml:space="preserve"> </w:t>
      </w:r>
      <w:r w:rsidR="00026628" w:rsidRPr="00396E00">
        <w:rPr>
          <w:rFonts w:cs="Times New Roman"/>
          <w:color w:val="FF0000"/>
          <w:lang w:val="en-US"/>
        </w:rPr>
        <w:t xml:space="preserve">explain how </w:t>
      </w:r>
      <w:r w:rsidR="00B75AFC" w:rsidRPr="00396E00">
        <w:rPr>
          <w:rFonts w:cs="Times New Roman"/>
          <w:color w:val="FF0000"/>
          <w:lang w:val="en-US"/>
        </w:rPr>
        <w:t xml:space="preserve">and why </w:t>
      </w:r>
      <w:r w:rsidR="00443C24" w:rsidRPr="00396E00">
        <w:rPr>
          <w:rFonts w:cs="Times New Roman"/>
          <w:color w:val="FF0000"/>
          <w:lang w:val="en-US"/>
        </w:rPr>
        <w:t>the</w:t>
      </w:r>
      <w:r w:rsidR="00DA0824" w:rsidRPr="00396E00">
        <w:rPr>
          <w:rFonts w:cs="Times New Roman"/>
          <w:color w:val="FF0000"/>
          <w:lang w:val="en-US"/>
        </w:rPr>
        <w:t>se factors act as</w:t>
      </w:r>
      <w:r w:rsidR="00443C24" w:rsidRPr="00396E00">
        <w:rPr>
          <w:rFonts w:cs="Times New Roman"/>
          <w:color w:val="FF0000"/>
          <w:lang w:val="en-US"/>
        </w:rPr>
        <w:t xml:space="preserve"> antecedent</w:t>
      </w:r>
      <w:r w:rsidR="000E0B2A" w:rsidRPr="00396E00">
        <w:rPr>
          <w:rFonts w:cs="Times New Roman"/>
          <w:color w:val="FF0000"/>
          <w:lang w:val="en-US"/>
        </w:rPr>
        <w:t>s</w:t>
      </w:r>
      <w:r w:rsidR="00597F7B" w:rsidRPr="00396E00">
        <w:rPr>
          <w:rFonts w:cs="Times New Roman"/>
          <w:color w:val="FF0000"/>
          <w:lang w:val="en-US"/>
        </w:rPr>
        <w:t xml:space="preserve">. </w:t>
      </w:r>
      <w:r w:rsidR="003D4596" w:rsidRPr="00396E00">
        <w:rPr>
          <w:rFonts w:cs="Times New Roman"/>
          <w:color w:val="FF0000"/>
          <w:lang w:val="en-US"/>
        </w:rPr>
        <w:t xml:space="preserve"> </w:t>
      </w:r>
    </w:p>
    <w:p w14:paraId="27BE543B" w14:textId="77777777" w:rsidR="00175B9F" w:rsidRPr="005F2A26" w:rsidRDefault="00175B9F" w:rsidP="002537EB">
      <w:pPr>
        <w:spacing w:after="0" w:line="480" w:lineRule="auto"/>
        <w:rPr>
          <w:rFonts w:cs="Times New Roman"/>
          <w:i/>
          <w:iCs/>
          <w:lang w:val="en-US"/>
        </w:rPr>
      </w:pPr>
    </w:p>
    <w:p w14:paraId="3940E197" w14:textId="339170CE" w:rsidR="00F850CF" w:rsidRPr="005F2A26" w:rsidRDefault="00901EA8" w:rsidP="00B6463E">
      <w:pPr>
        <w:keepNext/>
        <w:spacing w:after="0" w:line="480" w:lineRule="auto"/>
        <w:rPr>
          <w:rFonts w:cs="Times New Roman"/>
          <w:i/>
          <w:iCs/>
          <w:lang w:val="en-US"/>
        </w:rPr>
      </w:pPr>
      <w:r w:rsidRPr="005F2A26">
        <w:rPr>
          <w:rFonts w:cs="Times New Roman"/>
          <w:i/>
          <w:iCs/>
          <w:lang w:val="en-US"/>
        </w:rPr>
        <w:t>E</w:t>
      </w:r>
      <w:r w:rsidR="00F850CF" w:rsidRPr="005F2A26">
        <w:rPr>
          <w:rFonts w:cs="Times New Roman"/>
          <w:i/>
          <w:iCs/>
          <w:lang w:val="en-US"/>
        </w:rPr>
        <w:t>ngagement</w:t>
      </w:r>
      <w:r w:rsidRPr="005F2A26">
        <w:rPr>
          <w:rFonts w:cs="Times New Roman"/>
          <w:i/>
          <w:iCs/>
          <w:lang w:val="en-US"/>
        </w:rPr>
        <w:t xml:space="preserve"> within dyads</w:t>
      </w:r>
    </w:p>
    <w:p w14:paraId="05D2B54D" w14:textId="704D9D0B" w:rsidR="00195382" w:rsidRPr="005F2A26" w:rsidRDefault="00901EA8" w:rsidP="00B6463E">
      <w:pPr>
        <w:keepNext/>
        <w:spacing w:after="0" w:line="480" w:lineRule="auto"/>
        <w:rPr>
          <w:rFonts w:cs="Times New Roman"/>
          <w:szCs w:val="24"/>
          <w:lang w:val="en-US"/>
        </w:rPr>
      </w:pPr>
      <w:r w:rsidRPr="005F2A26">
        <w:rPr>
          <w:rFonts w:cs="Times New Roman"/>
          <w:lang w:val="en-US"/>
        </w:rPr>
        <w:t>Engagement within the dyad of customer and firm</w:t>
      </w:r>
      <w:r w:rsidR="00D2584D" w:rsidRPr="005F2A26">
        <w:rPr>
          <w:rFonts w:cs="Times New Roman"/>
          <w:lang w:val="en-US"/>
        </w:rPr>
        <w:t xml:space="preserve"> – called customer engagement – was </w:t>
      </w:r>
      <w:r w:rsidRPr="005F2A26">
        <w:rPr>
          <w:rFonts w:cs="Times New Roman"/>
          <w:lang w:val="en-US"/>
        </w:rPr>
        <w:t xml:space="preserve">the initial </w:t>
      </w:r>
      <w:r w:rsidR="002537EB" w:rsidRPr="005F2A26">
        <w:rPr>
          <w:rFonts w:cs="Times New Roman"/>
          <w:lang w:val="en-US"/>
        </w:rPr>
        <w:t>focus o</w:t>
      </w:r>
      <w:r w:rsidR="00784CB0" w:rsidRPr="005F2A26">
        <w:rPr>
          <w:rFonts w:cs="Times New Roman"/>
          <w:lang w:val="en-US"/>
        </w:rPr>
        <w:t>f</w:t>
      </w:r>
      <w:r w:rsidR="002537EB" w:rsidRPr="005F2A26">
        <w:rPr>
          <w:rFonts w:cs="Times New Roman"/>
          <w:lang w:val="en-US"/>
        </w:rPr>
        <w:t xml:space="preserve"> engagement </w:t>
      </w:r>
      <w:r w:rsidR="00784CB0" w:rsidRPr="005F2A26">
        <w:rPr>
          <w:rFonts w:cs="Times New Roman"/>
          <w:lang w:val="en-US"/>
        </w:rPr>
        <w:t>research</w:t>
      </w:r>
      <w:r w:rsidR="00F268DC" w:rsidRPr="005F2A26">
        <w:rPr>
          <w:rFonts w:cs="Times New Roman"/>
          <w:lang w:val="en-US"/>
        </w:rPr>
        <w:t xml:space="preserve">. </w:t>
      </w:r>
      <w:r w:rsidR="002537EB" w:rsidRPr="005F2A26">
        <w:rPr>
          <w:rFonts w:cs="Times New Roman"/>
          <w:szCs w:val="24"/>
          <w:lang w:val="en-US"/>
        </w:rPr>
        <w:t xml:space="preserve">Some authors </w:t>
      </w:r>
      <w:r w:rsidR="00381F5D" w:rsidRPr="005F2A26">
        <w:rPr>
          <w:rFonts w:cs="Times New Roman"/>
          <w:szCs w:val="24"/>
          <w:lang w:val="en-US"/>
        </w:rPr>
        <w:t>emphasized</w:t>
      </w:r>
      <w:r w:rsidR="002537EB" w:rsidRPr="005F2A26">
        <w:rPr>
          <w:rFonts w:cs="Times New Roman"/>
          <w:szCs w:val="24"/>
          <w:lang w:val="en-US"/>
        </w:rPr>
        <w:t xml:space="preserve"> the behavioral dimension of </w:t>
      </w:r>
      <w:r w:rsidRPr="005F2A26">
        <w:rPr>
          <w:rFonts w:cs="Times New Roman"/>
          <w:szCs w:val="24"/>
          <w:lang w:val="en-US"/>
        </w:rPr>
        <w:t xml:space="preserve">customer </w:t>
      </w:r>
      <w:r w:rsidR="002537EB" w:rsidRPr="005F2A26">
        <w:rPr>
          <w:rFonts w:cs="Times New Roman"/>
          <w:szCs w:val="24"/>
          <w:lang w:val="en-US"/>
        </w:rPr>
        <w:t>engagement</w:t>
      </w:r>
      <w:r w:rsidR="00A419BB" w:rsidRPr="005F2A26">
        <w:rPr>
          <w:rFonts w:cs="Times New Roman"/>
          <w:szCs w:val="24"/>
          <w:lang w:val="en-US"/>
        </w:rPr>
        <w:t xml:space="preserve"> (Jaakkola and Alexander, 2</w:t>
      </w:r>
      <w:r w:rsidR="008C08C6" w:rsidRPr="005F2A26">
        <w:rPr>
          <w:rFonts w:cs="Times New Roman"/>
          <w:szCs w:val="24"/>
          <w:lang w:val="en-US"/>
        </w:rPr>
        <w:t>0</w:t>
      </w:r>
      <w:r w:rsidR="00A419BB" w:rsidRPr="005F2A26">
        <w:rPr>
          <w:rFonts w:cs="Times New Roman"/>
          <w:szCs w:val="24"/>
          <w:lang w:val="en-US"/>
        </w:rPr>
        <w:t>14)</w:t>
      </w:r>
      <w:r w:rsidR="008B66C8" w:rsidRPr="005F2A26">
        <w:rPr>
          <w:rFonts w:cs="Times New Roman"/>
          <w:szCs w:val="24"/>
          <w:lang w:val="en-US"/>
        </w:rPr>
        <w:t>. For example,</w:t>
      </w:r>
      <w:r w:rsidRPr="005F2A26">
        <w:rPr>
          <w:rFonts w:cs="Times New Roman"/>
          <w:szCs w:val="24"/>
          <w:lang w:val="en-US"/>
        </w:rPr>
        <w:t xml:space="preserve"> </w:t>
      </w:r>
      <w:r w:rsidR="00496E91" w:rsidRPr="005F2A26">
        <w:rPr>
          <w:rFonts w:cs="Times New Roman"/>
          <w:szCs w:val="24"/>
          <w:lang w:val="en-US"/>
        </w:rPr>
        <w:t xml:space="preserve">Van </w:t>
      </w:r>
      <w:proofErr w:type="spellStart"/>
      <w:r w:rsidR="00496E91" w:rsidRPr="005F2A26">
        <w:rPr>
          <w:rFonts w:cs="Times New Roman"/>
          <w:szCs w:val="24"/>
          <w:lang w:val="en-US"/>
        </w:rPr>
        <w:t>Doorn</w:t>
      </w:r>
      <w:proofErr w:type="spellEnd"/>
      <w:r w:rsidR="00496E91" w:rsidRPr="005F2A26">
        <w:rPr>
          <w:rFonts w:cs="Times New Roman"/>
          <w:szCs w:val="24"/>
          <w:lang w:val="en-US"/>
        </w:rPr>
        <w:t xml:space="preserve"> </w:t>
      </w:r>
      <w:r w:rsidR="00957690" w:rsidRPr="00957690">
        <w:rPr>
          <w:rFonts w:cs="Times New Roman"/>
          <w:i/>
          <w:iCs/>
          <w:szCs w:val="24"/>
          <w:lang w:val="en-US"/>
        </w:rPr>
        <w:t>et al.</w:t>
      </w:r>
      <w:r w:rsidR="00496E91" w:rsidRPr="005F2A26">
        <w:rPr>
          <w:rFonts w:cs="Times New Roman"/>
          <w:szCs w:val="24"/>
          <w:lang w:val="en-US"/>
        </w:rPr>
        <w:t xml:space="preserve"> (2010, p</w:t>
      </w:r>
      <w:r w:rsidR="00D46F2E" w:rsidRPr="005F2A26">
        <w:rPr>
          <w:rFonts w:cs="Times New Roman"/>
          <w:szCs w:val="24"/>
          <w:lang w:val="en-US"/>
        </w:rPr>
        <w:t>.</w:t>
      </w:r>
      <w:r w:rsidR="00496E91" w:rsidRPr="005F2A26">
        <w:rPr>
          <w:rFonts w:cs="Times New Roman"/>
          <w:szCs w:val="24"/>
          <w:lang w:val="en-US"/>
        </w:rPr>
        <w:t>260)</w:t>
      </w:r>
      <w:r w:rsidR="008B66C8" w:rsidRPr="005F2A26">
        <w:rPr>
          <w:rFonts w:cs="Times New Roman"/>
          <w:szCs w:val="24"/>
          <w:lang w:val="en-US"/>
        </w:rPr>
        <w:t xml:space="preserve"> </w:t>
      </w:r>
      <w:r w:rsidRPr="005F2A26">
        <w:rPr>
          <w:rFonts w:cs="Times New Roman"/>
          <w:szCs w:val="24"/>
          <w:lang w:val="en-US"/>
        </w:rPr>
        <w:t xml:space="preserve">define customer </w:t>
      </w:r>
      <w:r w:rsidR="00496E91" w:rsidRPr="005F2A26">
        <w:rPr>
          <w:rFonts w:cs="Times New Roman"/>
          <w:szCs w:val="24"/>
          <w:lang w:val="en-US"/>
        </w:rPr>
        <w:t>engagement as “a customer's behavio</w:t>
      </w:r>
      <w:r w:rsidR="00AD6C0E" w:rsidRPr="005F2A26">
        <w:rPr>
          <w:rFonts w:cs="Times New Roman"/>
          <w:szCs w:val="24"/>
          <w:lang w:val="en-US"/>
        </w:rPr>
        <w:t>u</w:t>
      </w:r>
      <w:r w:rsidR="00496E91" w:rsidRPr="005F2A26">
        <w:rPr>
          <w:rFonts w:cs="Times New Roman"/>
          <w:szCs w:val="24"/>
          <w:lang w:val="en-US"/>
        </w:rPr>
        <w:t xml:space="preserve">ral manifestations that have a brand or firm focus, beyond purchase, resulting from motivational drivers.” </w:t>
      </w:r>
      <w:r w:rsidR="00807D5A" w:rsidRPr="005F2A26">
        <w:rPr>
          <w:rFonts w:cs="Times New Roman"/>
          <w:szCs w:val="24"/>
          <w:lang w:val="en-US"/>
        </w:rPr>
        <w:t>O</w:t>
      </w:r>
      <w:r w:rsidR="00496E91" w:rsidRPr="005F2A26">
        <w:rPr>
          <w:rFonts w:cs="Times New Roman"/>
          <w:szCs w:val="24"/>
          <w:lang w:val="en-US"/>
        </w:rPr>
        <w:t>ther</w:t>
      </w:r>
      <w:r w:rsidR="00807D5A" w:rsidRPr="005F2A26">
        <w:rPr>
          <w:rFonts w:cs="Times New Roman"/>
          <w:szCs w:val="24"/>
          <w:lang w:val="en-US"/>
        </w:rPr>
        <w:t xml:space="preserve"> scholars</w:t>
      </w:r>
      <w:r w:rsidR="00496E91" w:rsidRPr="005F2A26">
        <w:rPr>
          <w:rFonts w:cs="Times New Roman"/>
          <w:szCs w:val="24"/>
          <w:lang w:val="en-US"/>
        </w:rPr>
        <w:t xml:space="preserve"> </w:t>
      </w:r>
      <w:r w:rsidR="00AD23F4" w:rsidRPr="005F2A26">
        <w:rPr>
          <w:rFonts w:cs="Times New Roman"/>
          <w:szCs w:val="24"/>
          <w:lang w:val="en-US"/>
        </w:rPr>
        <w:t xml:space="preserve">adopt </w:t>
      </w:r>
      <w:r w:rsidR="008B66C8" w:rsidRPr="005F2A26">
        <w:rPr>
          <w:rFonts w:cs="Times New Roman"/>
          <w:szCs w:val="24"/>
          <w:lang w:val="en-US"/>
        </w:rPr>
        <w:t>a</w:t>
      </w:r>
      <w:r w:rsidR="00AD23F4" w:rsidRPr="005F2A26">
        <w:rPr>
          <w:rFonts w:cs="Times New Roman"/>
          <w:szCs w:val="24"/>
          <w:lang w:val="en-US"/>
        </w:rPr>
        <w:t xml:space="preserve"> broader view</w:t>
      </w:r>
      <w:r w:rsidR="00F268DC" w:rsidRPr="005F2A26">
        <w:rPr>
          <w:rFonts w:cs="Times New Roman"/>
          <w:szCs w:val="24"/>
          <w:lang w:val="en-US"/>
        </w:rPr>
        <w:t xml:space="preserve"> </w:t>
      </w:r>
      <w:r w:rsidR="00161F30" w:rsidRPr="005F2A26">
        <w:rPr>
          <w:rFonts w:cs="Times New Roman"/>
          <w:szCs w:val="24"/>
          <w:lang w:val="en-US"/>
        </w:rPr>
        <w:t>of engagement</w:t>
      </w:r>
      <w:r w:rsidR="008B66C8" w:rsidRPr="005F2A26">
        <w:rPr>
          <w:rFonts w:cs="Times New Roman"/>
          <w:szCs w:val="24"/>
          <w:lang w:val="en-US"/>
        </w:rPr>
        <w:t xml:space="preserve"> as</w:t>
      </w:r>
      <w:r w:rsidR="00161F30" w:rsidRPr="005F2A26">
        <w:rPr>
          <w:rFonts w:cs="Times New Roman"/>
          <w:szCs w:val="24"/>
          <w:lang w:val="en-US"/>
        </w:rPr>
        <w:t xml:space="preserve"> </w:t>
      </w:r>
      <w:r w:rsidR="00F268DC" w:rsidRPr="005F2A26">
        <w:rPr>
          <w:rFonts w:cs="Times New Roman"/>
          <w:szCs w:val="24"/>
          <w:lang w:val="en-US"/>
        </w:rPr>
        <w:t xml:space="preserve">incorporating </w:t>
      </w:r>
      <w:r w:rsidR="008B66C8" w:rsidRPr="005F2A26">
        <w:rPr>
          <w:rFonts w:cs="Times New Roman"/>
          <w:szCs w:val="24"/>
          <w:lang w:val="en-US"/>
        </w:rPr>
        <w:t xml:space="preserve">both </w:t>
      </w:r>
      <w:r w:rsidR="00161F30" w:rsidRPr="005F2A26">
        <w:rPr>
          <w:rFonts w:cs="Times New Roman"/>
          <w:szCs w:val="24"/>
          <w:lang w:val="en-US"/>
        </w:rPr>
        <w:t>behavior</w:t>
      </w:r>
      <w:r w:rsidR="008B66C8" w:rsidRPr="005F2A26">
        <w:rPr>
          <w:rFonts w:cs="Times New Roman"/>
          <w:szCs w:val="24"/>
          <w:lang w:val="en-US"/>
        </w:rPr>
        <w:t>al manifestations</w:t>
      </w:r>
      <w:r w:rsidR="00161F30" w:rsidRPr="005F2A26">
        <w:rPr>
          <w:rFonts w:cs="Times New Roman"/>
          <w:szCs w:val="24"/>
          <w:lang w:val="en-US"/>
        </w:rPr>
        <w:t xml:space="preserve"> and </w:t>
      </w:r>
      <w:r w:rsidR="00F268DC" w:rsidRPr="005F2A26">
        <w:rPr>
          <w:rFonts w:cs="Times New Roman"/>
          <w:szCs w:val="24"/>
          <w:lang w:val="en-US"/>
        </w:rPr>
        <w:t xml:space="preserve">psychological </w:t>
      </w:r>
      <w:r w:rsidR="00A419BB" w:rsidRPr="005F2A26">
        <w:rPr>
          <w:rFonts w:cs="Times New Roman"/>
          <w:szCs w:val="24"/>
          <w:lang w:val="en-US"/>
        </w:rPr>
        <w:t>state</w:t>
      </w:r>
      <w:r w:rsidR="008B66C8" w:rsidRPr="005F2A26">
        <w:rPr>
          <w:rFonts w:cs="Times New Roman"/>
          <w:szCs w:val="24"/>
          <w:lang w:val="en-US"/>
        </w:rPr>
        <w:t>s or dispositions</w:t>
      </w:r>
      <w:r w:rsidR="00A419BB" w:rsidRPr="005F2A26">
        <w:rPr>
          <w:rFonts w:cs="Times New Roman"/>
          <w:szCs w:val="24"/>
          <w:lang w:val="en-US"/>
        </w:rPr>
        <w:t xml:space="preserve"> (Brodie</w:t>
      </w:r>
      <w:r w:rsidR="00A419BB" w:rsidRPr="005F2A26">
        <w:rPr>
          <w:rFonts w:cs="Times New Roman"/>
          <w:i/>
          <w:iCs/>
          <w:szCs w:val="24"/>
          <w:lang w:val="en-US"/>
        </w:rPr>
        <w:t xml:space="preserve"> </w:t>
      </w:r>
      <w:r w:rsidR="00957690" w:rsidRPr="00957690">
        <w:rPr>
          <w:rFonts w:cs="Times New Roman"/>
          <w:i/>
          <w:iCs/>
          <w:szCs w:val="24"/>
          <w:lang w:val="en-US"/>
        </w:rPr>
        <w:t>et al.</w:t>
      </w:r>
      <w:r w:rsidR="00A419BB" w:rsidRPr="005F2A26">
        <w:rPr>
          <w:rFonts w:cs="Times New Roman"/>
          <w:szCs w:val="24"/>
          <w:lang w:val="en-US"/>
        </w:rPr>
        <w:t>, 2011)</w:t>
      </w:r>
      <w:r w:rsidR="008B66C8" w:rsidRPr="005F2A26">
        <w:rPr>
          <w:rFonts w:cs="Times New Roman"/>
          <w:szCs w:val="24"/>
          <w:lang w:val="en-US"/>
        </w:rPr>
        <w:t>. For example,</w:t>
      </w:r>
      <w:r w:rsidRPr="005F2A26">
        <w:rPr>
          <w:rFonts w:cs="Times New Roman"/>
          <w:szCs w:val="24"/>
          <w:lang w:val="en-US"/>
        </w:rPr>
        <w:t xml:space="preserve"> </w:t>
      </w:r>
      <w:proofErr w:type="spellStart"/>
      <w:r w:rsidR="00A33731" w:rsidRPr="005F2A26">
        <w:rPr>
          <w:rFonts w:cs="Times New Roman"/>
          <w:szCs w:val="24"/>
          <w:lang w:val="en-US"/>
        </w:rPr>
        <w:t>Hollebeek</w:t>
      </w:r>
      <w:proofErr w:type="spellEnd"/>
      <w:r w:rsidR="00A33731" w:rsidRPr="005F2A26">
        <w:rPr>
          <w:rFonts w:cs="Times New Roman"/>
          <w:szCs w:val="24"/>
          <w:lang w:val="en-US"/>
        </w:rPr>
        <w:t xml:space="preserve"> </w:t>
      </w:r>
      <w:r w:rsidR="00957690" w:rsidRPr="00957690">
        <w:rPr>
          <w:rFonts w:cs="Times New Roman"/>
          <w:i/>
          <w:iCs/>
          <w:szCs w:val="24"/>
          <w:lang w:val="en-US"/>
        </w:rPr>
        <w:t>et al.</w:t>
      </w:r>
      <w:r w:rsidR="00A33731" w:rsidRPr="005F2A26">
        <w:rPr>
          <w:rFonts w:cs="Times New Roman"/>
          <w:szCs w:val="24"/>
          <w:lang w:val="en-US"/>
        </w:rPr>
        <w:t xml:space="preserve"> (2014, p</w:t>
      </w:r>
      <w:r w:rsidR="00B237F7" w:rsidRPr="005F2A26">
        <w:rPr>
          <w:rFonts w:cs="Times New Roman"/>
          <w:szCs w:val="24"/>
          <w:lang w:val="en-US"/>
        </w:rPr>
        <w:t>.</w:t>
      </w:r>
      <w:r w:rsidR="00A33731" w:rsidRPr="005F2A26">
        <w:rPr>
          <w:rFonts w:cs="Times New Roman"/>
          <w:szCs w:val="24"/>
          <w:lang w:val="en-US"/>
        </w:rPr>
        <w:t xml:space="preserve">151) define engagement as “a consumer's positively </w:t>
      </w:r>
      <w:proofErr w:type="spellStart"/>
      <w:r w:rsidR="00A33731" w:rsidRPr="005F2A26">
        <w:rPr>
          <w:rFonts w:cs="Times New Roman"/>
          <w:szCs w:val="24"/>
          <w:lang w:val="en-US"/>
        </w:rPr>
        <w:t>valenced</w:t>
      </w:r>
      <w:proofErr w:type="spellEnd"/>
      <w:r w:rsidR="00A33731" w:rsidRPr="005F2A26">
        <w:rPr>
          <w:rFonts w:cs="Times New Roman"/>
          <w:szCs w:val="24"/>
          <w:lang w:val="en-US"/>
        </w:rPr>
        <w:t xml:space="preserve"> cognitive, emotional and </w:t>
      </w:r>
      <w:r w:rsidR="008E2B42" w:rsidRPr="005F2A26">
        <w:rPr>
          <w:rFonts w:cs="Times New Roman"/>
          <w:szCs w:val="24"/>
          <w:lang w:val="en-US"/>
        </w:rPr>
        <w:t>behavioural</w:t>
      </w:r>
      <w:r w:rsidR="00A33731" w:rsidRPr="005F2A26">
        <w:rPr>
          <w:rFonts w:cs="Times New Roman"/>
          <w:szCs w:val="24"/>
          <w:lang w:val="en-US"/>
        </w:rPr>
        <w:t xml:space="preserve"> brand-related activity during, or related to, specific consumer/brand interactions.” </w:t>
      </w:r>
      <w:r w:rsidR="008B66C8" w:rsidRPr="005F2A26">
        <w:rPr>
          <w:rFonts w:cs="Times New Roman"/>
          <w:szCs w:val="24"/>
          <w:lang w:val="en-US"/>
        </w:rPr>
        <w:t>W</w:t>
      </w:r>
      <w:r w:rsidR="00934192" w:rsidRPr="005F2A26">
        <w:rPr>
          <w:rFonts w:cs="Times New Roman"/>
          <w:szCs w:val="24"/>
          <w:lang w:val="en-US"/>
        </w:rPr>
        <w:t>e adopt th</w:t>
      </w:r>
      <w:r w:rsidR="008B66C8" w:rsidRPr="005F2A26">
        <w:rPr>
          <w:rFonts w:cs="Times New Roman"/>
          <w:szCs w:val="24"/>
          <w:lang w:val="en-US"/>
        </w:rPr>
        <w:t>is</w:t>
      </w:r>
      <w:r w:rsidR="00934192" w:rsidRPr="005F2A26">
        <w:rPr>
          <w:rFonts w:cs="Times New Roman"/>
          <w:szCs w:val="24"/>
          <w:lang w:val="en-US"/>
        </w:rPr>
        <w:t xml:space="preserve"> </w:t>
      </w:r>
      <w:r w:rsidR="008B66C8" w:rsidRPr="005F2A26">
        <w:rPr>
          <w:rFonts w:cs="Times New Roman"/>
          <w:szCs w:val="24"/>
          <w:lang w:val="en-US"/>
        </w:rPr>
        <w:t xml:space="preserve">broadened </w:t>
      </w:r>
      <w:r w:rsidR="00934192" w:rsidRPr="005F2A26">
        <w:rPr>
          <w:rFonts w:cs="Times New Roman"/>
          <w:szCs w:val="24"/>
          <w:lang w:val="en-US"/>
        </w:rPr>
        <w:t>perspective</w:t>
      </w:r>
      <w:r w:rsidR="00D442A0" w:rsidRPr="005F2A26">
        <w:rPr>
          <w:rFonts w:cs="Times New Roman"/>
          <w:szCs w:val="24"/>
          <w:lang w:val="en-US"/>
        </w:rPr>
        <w:t xml:space="preserve"> of</w:t>
      </w:r>
      <w:r w:rsidR="00883FAC" w:rsidRPr="005F2A26">
        <w:rPr>
          <w:rFonts w:cs="Times New Roman"/>
          <w:szCs w:val="24"/>
          <w:lang w:val="en-US"/>
        </w:rPr>
        <w:t xml:space="preserve"> </w:t>
      </w:r>
      <w:r w:rsidR="00D2584D" w:rsidRPr="005F2A26">
        <w:rPr>
          <w:rFonts w:cs="Times New Roman"/>
          <w:szCs w:val="24"/>
          <w:lang w:val="en-US"/>
        </w:rPr>
        <w:t xml:space="preserve">customer engagement </w:t>
      </w:r>
      <w:r w:rsidR="00883FAC" w:rsidRPr="005F2A26">
        <w:rPr>
          <w:rFonts w:cs="Times New Roman"/>
          <w:szCs w:val="24"/>
          <w:lang w:val="en-US"/>
        </w:rPr>
        <w:t>a</w:t>
      </w:r>
      <w:r w:rsidR="00D2584D" w:rsidRPr="005F2A26">
        <w:rPr>
          <w:rFonts w:cs="Times New Roman"/>
          <w:szCs w:val="24"/>
          <w:lang w:val="en-US"/>
        </w:rPr>
        <w:t xml:space="preserve">s represented by </w:t>
      </w:r>
      <w:r w:rsidR="00D2584D" w:rsidRPr="005F2A26">
        <w:rPr>
          <w:rFonts w:cs="Times New Roman"/>
          <w:lang w:val="en-US"/>
        </w:rPr>
        <w:t xml:space="preserve">a customer’s heightened cognitive, </w:t>
      </w:r>
      <w:r w:rsidR="00F1068C" w:rsidRPr="005F2A26">
        <w:rPr>
          <w:rFonts w:cs="Times New Roman"/>
          <w:lang w:val="en-US"/>
        </w:rPr>
        <w:t xml:space="preserve">affective, and </w:t>
      </w:r>
      <w:r w:rsidR="00D2584D" w:rsidRPr="005F2A26">
        <w:rPr>
          <w:rFonts w:cs="Times New Roman"/>
          <w:lang w:val="en-US"/>
        </w:rPr>
        <w:t>behavioral disposition</w:t>
      </w:r>
      <w:r w:rsidR="00F1068C" w:rsidRPr="005F2A26">
        <w:rPr>
          <w:rFonts w:cs="Times New Roman"/>
          <w:lang w:val="en-US"/>
        </w:rPr>
        <w:t xml:space="preserve"> </w:t>
      </w:r>
      <w:r w:rsidR="00D2584D" w:rsidRPr="005F2A26">
        <w:rPr>
          <w:rFonts w:cs="Times New Roman"/>
          <w:lang w:val="en-US"/>
        </w:rPr>
        <w:t xml:space="preserve">towards a </w:t>
      </w:r>
      <w:r w:rsidR="00D2584D" w:rsidRPr="005F2A26">
        <w:rPr>
          <w:rFonts w:cs="Times New Roman"/>
          <w:szCs w:val="24"/>
          <w:lang w:val="en-US"/>
        </w:rPr>
        <w:t>brand</w:t>
      </w:r>
      <w:r w:rsidR="00D363B9" w:rsidRPr="005F2A26">
        <w:rPr>
          <w:rFonts w:cs="Times New Roman"/>
          <w:szCs w:val="24"/>
          <w:lang w:val="en-US"/>
        </w:rPr>
        <w:t>,</w:t>
      </w:r>
      <w:r w:rsidR="004E0C77" w:rsidRPr="005F2A26">
        <w:rPr>
          <w:rFonts w:cs="Times New Roman"/>
          <w:szCs w:val="24"/>
          <w:lang w:val="en-US"/>
        </w:rPr>
        <w:t xml:space="preserve"> and the activities </w:t>
      </w:r>
      <w:r w:rsidR="004E0C77" w:rsidRPr="005F2A26">
        <w:rPr>
          <w:rFonts w:cs="Times New Roman"/>
          <w:szCs w:val="24"/>
          <w:lang w:val="en-US"/>
        </w:rPr>
        <w:lastRenderedPageBreak/>
        <w:t>they engage in</w:t>
      </w:r>
      <w:r w:rsidR="00D2584D" w:rsidRPr="005F2A26">
        <w:rPr>
          <w:rFonts w:cs="Times New Roman"/>
          <w:szCs w:val="24"/>
          <w:lang w:val="en-US"/>
        </w:rPr>
        <w:t xml:space="preserve"> (Brodie </w:t>
      </w:r>
      <w:r w:rsidR="00957690" w:rsidRPr="00957690">
        <w:rPr>
          <w:rFonts w:cs="Times New Roman"/>
          <w:i/>
          <w:iCs/>
          <w:szCs w:val="24"/>
          <w:lang w:val="en-US"/>
        </w:rPr>
        <w:t>et al.</w:t>
      </w:r>
      <w:r w:rsidR="00D2584D" w:rsidRPr="005F2A26">
        <w:rPr>
          <w:rFonts w:cs="Times New Roman"/>
          <w:szCs w:val="24"/>
          <w:lang w:val="en-US"/>
        </w:rPr>
        <w:t xml:space="preserve">, 2011) that extend beyond just satisfaction (Kumar and </w:t>
      </w:r>
      <w:proofErr w:type="spellStart"/>
      <w:r w:rsidR="00D2584D" w:rsidRPr="005F2A26">
        <w:rPr>
          <w:rFonts w:cs="Times New Roman"/>
          <w:szCs w:val="24"/>
          <w:lang w:val="en-US"/>
        </w:rPr>
        <w:t>Pansari</w:t>
      </w:r>
      <w:proofErr w:type="spellEnd"/>
      <w:r w:rsidR="00D2584D" w:rsidRPr="005F2A26">
        <w:rPr>
          <w:rFonts w:cs="Times New Roman"/>
          <w:szCs w:val="24"/>
          <w:lang w:val="en-US"/>
        </w:rPr>
        <w:t>, 2016)</w:t>
      </w:r>
      <w:r w:rsidR="00D363B9" w:rsidRPr="005F2A26">
        <w:rPr>
          <w:rFonts w:cs="Times New Roman"/>
          <w:szCs w:val="24"/>
          <w:lang w:val="en-US"/>
        </w:rPr>
        <w:t xml:space="preserve"> or</w:t>
      </w:r>
      <w:r w:rsidR="000C5DB7" w:rsidRPr="005F2A26">
        <w:rPr>
          <w:rFonts w:cs="Times New Roman"/>
          <w:szCs w:val="24"/>
          <w:lang w:val="en-US"/>
        </w:rPr>
        <w:t xml:space="preserve"> the</w:t>
      </w:r>
      <w:r w:rsidR="00D363B9" w:rsidRPr="005F2A26">
        <w:rPr>
          <w:rFonts w:cs="Times New Roman"/>
          <w:szCs w:val="24"/>
          <w:lang w:val="en-US"/>
        </w:rPr>
        <w:t xml:space="preserve"> behaviors required to successfully navigate a purchase</w:t>
      </w:r>
      <w:r w:rsidR="00C47736" w:rsidRPr="005F2A26">
        <w:rPr>
          <w:rFonts w:cs="Times New Roman"/>
          <w:szCs w:val="24"/>
          <w:lang w:val="en-US"/>
        </w:rPr>
        <w:t xml:space="preserve"> (Jaakkola and Alexander, 2014)</w:t>
      </w:r>
      <w:r w:rsidR="00D2584D" w:rsidRPr="005F2A26">
        <w:rPr>
          <w:rFonts w:cs="Times New Roman"/>
          <w:szCs w:val="24"/>
          <w:lang w:val="en-US"/>
        </w:rPr>
        <w:t>.</w:t>
      </w:r>
    </w:p>
    <w:p w14:paraId="28C9F05B" w14:textId="6C8EAC33" w:rsidR="001161BD" w:rsidRPr="005F2A26" w:rsidRDefault="00FF6CB9">
      <w:pPr>
        <w:autoSpaceDE w:val="0"/>
        <w:autoSpaceDN w:val="0"/>
        <w:adjustRightInd w:val="0"/>
        <w:spacing w:after="0" w:line="480" w:lineRule="auto"/>
        <w:ind w:firstLine="720"/>
        <w:rPr>
          <w:rFonts w:eastAsia="Times New Roman" w:cs="Times New Roman"/>
          <w:szCs w:val="24"/>
          <w:lang w:val="en-US" w:eastAsia="en-GB"/>
        </w:rPr>
      </w:pPr>
      <w:r w:rsidRPr="005F2A26">
        <w:rPr>
          <w:rFonts w:cs="Times New Roman"/>
          <w:szCs w:val="24"/>
          <w:lang w:val="en-US"/>
        </w:rPr>
        <w:t xml:space="preserve">For the firm, </w:t>
      </w:r>
      <w:r w:rsidR="00742267" w:rsidRPr="005F2A26">
        <w:rPr>
          <w:rFonts w:cs="Times New Roman"/>
          <w:szCs w:val="24"/>
          <w:lang w:val="en-US"/>
        </w:rPr>
        <w:t xml:space="preserve">customer </w:t>
      </w:r>
      <w:r w:rsidRPr="005F2A26">
        <w:rPr>
          <w:rFonts w:cs="Times New Roman"/>
          <w:szCs w:val="24"/>
          <w:lang w:val="en-US"/>
        </w:rPr>
        <w:t xml:space="preserve">engagement delivers increased firm profitability (Brodie </w:t>
      </w:r>
      <w:r w:rsidR="00957690" w:rsidRPr="00957690">
        <w:rPr>
          <w:rFonts w:cs="Times New Roman"/>
          <w:i/>
          <w:iCs/>
          <w:szCs w:val="24"/>
          <w:lang w:val="en-US"/>
        </w:rPr>
        <w:t>et al.</w:t>
      </w:r>
      <w:r w:rsidRPr="005F2A26">
        <w:rPr>
          <w:rFonts w:cs="Times New Roman"/>
          <w:i/>
          <w:iCs/>
          <w:szCs w:val="24"/>
          <w:lang w:val="en-US"/>
        </w:rPr>
        <w:t>,</w:t>
      </w:r>
      <w:r w:rsidRPr="005F2A26">
        <w:rPr>
          <w:rFonts w:cs="Times New Roman"/>
          <w:szCs w:val="24"/>
          <w:lang w:val="en-US"/>
        </w:rPr>
        <w:t xml:space="preserve"> 2011; 2013</w:t>
      </w:r>
      <w:r w:rsidR="00080D2F" w:rsidRPr="005F2A26">
        <w:rPr>
          <w:rFonts w:cs="Times New Roman"/>
          <w:szCs w:val="24"/>
          <w:lang w:val="en-US"/>
        </w:rPr>
        <w:t xml:space="preserve">; Kumar and </w:t>
      </w:r>
      <w:proofErr w:type="spellStart"/>
      <w:r w:rsidR="00080D2F" w:rsidRPr="005F2A26">
        <w:rPr>
          <w:rFonts w:cs="Times New Roman"/>
          <w:szCs w:val="24"/>
          <w:lang w:val="en-US"/>
        </w:rPr>
        <w:t>Pansari</w:t>
      </w:r>
      <w:proofErr w:type="spellEnd"/>
      <w:r w:rsidR="00080D2F" w:rsidRPr="005F2A26">
        <w:rPr>
          <w:rFonts w:cs="Times New Roman"/>
          <w:szCs w:val="24"/>
          <w:lang w:val="en-US"/>
        </w:rPr>
        <w:t>, 2016</w:t>
      </w:r>
      <w:r w:rsidRPr="005F2A26">
        <w:rPr>
          <w:rFonts w:cs="Times New Roman"/>
          <w:szCs w:val="24"/>
          <w:lang w:val="en-US"/>
        </w:rPr>
        <w:t xml:space="preserve">), e.g., through reductions in marketing costs </w:t>
      </w:r>
      <w:r w:rsidR="00D248BE" w:rsidRPr="005F2A26">
        <w:rPr>
          <w:rFonts w:cs="Times New Roman"/>
          <w:szCs w:val="24"/>
          <w:lang w:val="en-US"/>
        </w:rPr>
        <w:t>and</w:t>
      </w:r>
      <w:r w:rsidR="00F03295" w:rsidRPr="005F2A26">
        <w:rPr>
          <w:rFonts w:cs="Times New Roman"/>
          <w:szCs w:val="24"/>
          <w:lang w:val="en-US"/>
        </w:rPr>
        <w:t xml:space="preserve"> increase</w:t>
      </w:r>
      <w:r w:rsidR="00A07EB8" w:rsidRPr="005F2A26">
        <w:rPr>
          <w:rFonts w:cs="Times New Roman"/>
          <w:szCs w:val="24"/>
          <w:lang w:val="en-US"/>
        </w:rPr>
        <w:t>d</w:t>
      </w:r>
      <w:r w:rsidR="00F03295" w:rsidRPr="005F2A26">
        <w:rPr>
          <w:rFonts w:cs="Times New Roman"/>
          <w:szCs w:val="24"/>
          <w:lang w:val="en-US"/>
        </w:rPr>
        <w:t xml:space="preserve"> sales</w:t>
      </w:r>
      <w:r w:rsidRPr="005F2A26">
        <w:rPr>
          <w:rFonts w:cs="Times New Roman"/>
          <w:szCs w:val="24"/>
          <w:lang w:val="en-US"/>
        </w:rPr>
        <w:t>. For the customer, t</w:t>
      </w:r>
      <w:r w:rsidR="0044157C" w:rsidRPr="005F2A26">
        <w:rPr>
          <w:rFonts w:cs="Times New Roman"/>
          <w:szCs w:val="24"/>
          <w:lang w:val="en-US"/>
        </w:rPr>
        <w:t>he cognitive, affective, and behavioral c</w:t>
      </w:r>
      <w:r w:rsidR="001E04A8" w:rsidRPr="005F2A26">
        <w:rPr>
          <w:rFonts w:cs="Times New Roman"/>
          <w:szCs w:val="24"/>
          <w:lang w:val="en-US"/>
        </w:rPr>
        <w:t xml:space="preserve">onsequences of engagement </w:t>
      </w:r>
      <w:r w:rsidR="00B6463E" w:rsidRPr="005F2A26">
        <w:rPr>
          <w:rFonts w:cs="Times New Roman"/>
          <w:szCs w:val="24"/>
          <w:lang w:val="en-US"/>
        </w:rPr>
        <w:t xml:space="preserve">are as diverse as </w:t>
      </w:r>
      <w:r w:rsidR="001E04A8" w:rsidRPr="005F2A26">
        <w:rPr>
          <w:rFonts w:cs="Times New Roman"/>
          <w:szCs w:val="24"/>
          <w:lang w:val="en-US"/>
        </w:rPr>
        <w:t xml:space="preserve">love for </w:t>
      </w:r>
      <w:r w:rsidR="00A27214" w:rsidRPr="005F2A26">
        <w:rPr>
          <w:rFonts w:cs="Times New Roman"/>
          <w:szCs w:val="24"/>
          <w:lang w:val="en-US"/>
        </w:rPr>
        <w:t>the</w:t>
      </w:r>
      <w:r w:rsidR="001E04A8" w:rsidRPr="005F2A26">
        <w:rPr>
          <w:rFonts w:cs="Times New Roman"/>
          <w:szCs w:val="24"/>
          <w:lang w:val="en-US"/>
        </w:rPr>
        <w:t xml:space="preserve"> brand, loyalty, trust, repeat and additional purchasing, </w:t>
      </w:r>
      <w:r w:rsidR="00C074AA" w:rsidRPr="005F2A26">
        <w:rPr>
          <w:rFonts w:cs="Times New Roman"/>
          <w:szCs w:val="24"/>
          <w:lang w:val="en-US"/>
        </w:rPr>
        <w:t xml:space="preserve">contributions to product development, </w:t>
      </w:r>
      <w:r w:rsidR="001E04A8" w:rsidRPr="005F2A26">
        <w:rPr>
          <w:rFonts w:cs="Times New Roman"/>
          <w:szCs w:val="24"/>
          <w:lang w:val="en-US"/>
        </w:rPr>
        <w:t>and generation of WOM (</w:t>
      </w:r>
      <w:r w:rsidR="00C074AA" w:rsidRPr="005F2A26">
        <w:rPr>
          <w:rFonts w:cs="Times New Roman"/>
          <w:szCs w:val="24"/>
          <w:lang w:val="en-US"/>
        </w:rPr>
        <w:t xml:space="preserve">Brodie </w:t>
      </w:r>
      <w:r w:rsidR="00957690" w:rsidRPr="00957690">
        <w:rPr>
          <w:rFonts w:cs="Times New Roman"/>
          <w:i/>
          <w:iCs/>
          <w:szCs w:val="24"/>
          <w:lang w:val="en-US"/>
        </w:rPr>
        <w:t>et al.</w:t>
      </w:r>
      <w:r w:rsidR="00C074AA" w:rsidRPr="005F2A26">
        <w:rPr>
          <w:rFonts w:cs="Times New Roman"/>
          <w:i/>
          <w:iCs/>
          <w:szCs w:val="24"/>
          <w:lang w:val="en-US"/>
        </w:rPr>
        <w:t>,</w:t>
      </w:r>
      <w:r w:rsidR="00C074AA" w:rsidRPr="005F2A26">
        <w:rPr>
          <w:rFonts w:cs="Times New Roman"/>
          <w:szCs w:val="24"/>
          <w:lang w:val="en-US"/>
        </w:rPr>
        <w:t xml:space="preserve"> 2011; </w:t>
      </w:r>
      <w:proofErr w:type="spellStart"/>
      <w:r w:rsidR="001E04A8" w:rsidRPr="005F2A26">
        <w:rPr>
          <w:rFonts w:cs="Times New Roman"/>
          <w:szCs w:val="24"/>
          <w:lang w:val="en-US"/>
        </w:rPr>
        <w:t>Pansari</w:t>
      </w:r>
      <w:proofErr w:type="spellEnd"/>
      <w:r w:rsidR="001E04A8" w:rsidRPr="005F2A26">
        <w:rPr>
          <w:rFonts w:cs="Times New Roman"/>
          <w:szCs w:val="24"/>
          <w:lang w:val="en-US"/>
        </w:rPr>
        <w:t xml:space="preserve"> and Kumar, 2017; Vivek </w:t>
      </w:r>
      <w:r w:rsidR="00957690" w:rsidRPr="00957690">
        <w:rPr>
          <w:rFonts w:cs="Times New Roman"/>
          <w:i/>
          <w:iCs/>
          <w:szCs w:val="24"/>
          <w:lang w:val="en-US"/>
        </w:rPr>
        <w:t>et al.</w:t>
      </w:r>
      <w:r w:rsidR="001E04A8" w:rsidRPr="005F2A26">
        <w:rPr>
          <w:rFonts w:cs="Times New Roman"/>
          <w:szCs w:val="24"/>
          <w:lang w:val="en-US"/>
        </w:rPr>
        <w:t xml:space="preserve">, 2012). </w:t>
      </w:r>
      <w:r w:rsidR="00D248BE" w:rsidRPr="005F2A26">
        <w:rPr>
          <w:rFonts w:cs="Times New Roman"/>
          <w:szCs w:val="24"/>
          <w:lang w:val="en-US"/>
        </w:rPr>
        <w:t>Engaged c</w:t>
      </w:r>
      <w:r w:rsidR="00195382" w:rsidRPr="005F2A26">
        <w:rPr>
          <w:rFonts w:eastAsia="Calibri" w:cs="Times New Roman"/>
          <w:szCs w:val="24"/>
          <w:lang w:val="en-US"/>
        </w:rPr>
        <w:t>ustomer</w:t>
      </w:r>
      <w:r w:rsidR="00D248BE" w:rsidRPr="005F2A26">
        <w:rPr>
          <w:rFonts w:eastAsia="Calibri" w:cs="Times New Roman"/>
          <w:szCs w:val="24"/>
          <w:lang w:val="en-US"/>
        </w:rPr>
        <w:t xml:space="preserve">s invest resources </w:t>
      </w:r>
      <w:r w:rsidR="00195382" w:rsidRPr="005F2A26">
        <w:rPr>
          <w:rFonts w:cs="Times New Roman"/>
          <w:szCs w:val="24"/>
          <w:lang w:val="en-US"/>
        </w:rPr>
        <w:t xml:space="preserve">beyond </w:t>
      </w:r>
      <w:r w:rsidR="001A0551" w:rsidRPr="005F2A26">
        <w:rPr>
          <w:rFonts w:cs="Times New Roman"/>
          <w:szCs w:val="24"/>
          <w:lang w:val="en-US"/>
        </w:rPr>
        <w:t>th</w:t>
      </w:r>
      <w:r w:rsidR="00D248BE" w:rsidRPr="005F2A26">
        <w:rPr>
          <w:rFonts w:cs="Times New Roman"/>
          <w:szCs w:val="24"/>
          <w:lang w:val="en-US"/>
        </w:rPr>
        <w:t>ose</w:t>
      </w:r>
      <w:r w:rsidR="00195382" w:rsidRPr="005F2A26">
        <w:rPr>
          <w:rFonts w:cs="Times New Roman"/>
          <w:szCs w:val="24"/>
          <w:lang w:val="en-US"/>
        </w:rPr>
        <w:t xml:space="preserve"> required for </w:t>
      </w:r>
      <w:r w:rsidR="00D248BE" w:rsidRPr="005F2A26">
        <w:rPr>
          <w:rFonts w:cs="Times New Roman"/>
          <w:szCs w:val="24"/>
          <w:lang w:val="en-US"/>
        </w:rPr>
        <w:t xml:space="preserve">just </w:t>
      </w:r>
      <w:r w:rsidR="00195382" w:rsidRPr="005F2A26">
        <w:rPr>
          <w:rFonts w:cs="Times New Roman"/>
          <w:szCs w:val="24"/>
          <w:lang w:val="en-US"/>
        </w:rPr>
        <w:t>a transaction</w:t>
      </w:r>
      <w:r w:rsidR="007C73B4" w:rsidRPr="005F2A26">
        <w:rPr>
          <w:rFonts w:cs="Times New Roman"/>
          <w:szCs w:val="24"/>
          <w:lang w:val="en-US"/>
        </w:rPr>
        <w:t>,</w:t>
      </w:r>
      <w:r w:rsidR="00195382" w:rsidRPr="005F2A26">
        <w:rPr>
          <w:rFonts w:cs="Times New Roman"/>
          <w:szCs w:val="24"/>
          <w:lang w:val="en-US"/>
        </w:rPr>
        <w:t xml:space="preserve"> </w:t>
      </w:r>
      <w:r w:rsidR="00476576" w:rsidRPr="005F2A26">
        <w:rPr>
          <w:rFonts w:cs="Times New Roman"/>
          <w:szCs w:val="24"/>
          <w:lang w:val="en-US"/>
        </w:rPr>
        <w:t>like</w:t>
      </w:r>
      <w:r w:rsidR="00195382" w:rsidRPr="005F2A26">
        <w:rPr>
          <w:rFonts w:cs="Times New Roman"/>
          <w:szCs w:val="24"/>
          <w:lang w:val="en-US"/>
        </w:rPr>
        <w:t xml:space="preserve"> knowledge, skills, labor, and time (Jaakkola and Alexander, 2014; </w:t>
      </w:r>
      <w:proofErr w:type="spellStart"/>
      <w:r w:rsidR="00195382" w:rsidRPr="005F2A26">
        <w:rPr>
          <w:rFonts w:cs="Times New Roman"/>
          <w:szCs w:val="24"/>
          <w:lang w:val="en-US"/>
        </w:rPr>
        <w:t>Verleye</w:t>
      </w:r>
      <w:proofErr w:type="spellEnd"/>
      <w:r w:rsidR="00195382" w:rsidRPr="005F2A26">
        <w:rPr>
          <w:rFonts w:cs="Times New Roman"/>
          <w:szCs w:val="24"/>
          <w:lang w:val="en-US"/>
        </w:rPr>
        <w:t xml:space="preserve"> </w:t>
      </w:r>
      <w:r w:rsidR="00957690" w:rsidRPr="00957690">
        <w:rPr>
          <w:rFonts w:cs="Times New Roman"/>
          <w:i/>
          <w:iCs/>
          <w:szCs w:val="24"/>
          <w:lang w:val="en-US"/>
        </w:rPr>
        <w:t>et al.</w:t>
      </w:r>
      <w:r w:rsidR="00195382" w:rsidRPr="005F2A26">
        <w:rPr>
          <w:rFonts w:cs="Times New Roman"/>
          <w:szCs w:val="24"/>
          <w:lang w:val="en-US"/>
        </w:rPr>
        <w:t>, 2014)</w:t>
      </w:r>
      <w:r w:rsidR="00C835A1" w:rsidRPr="005F2A26">
        <w:rPr>
          <w:rFonts w:cs="Times New Roman"/>
          <w:szCs w:val="24"/>
          <w:lang w:val="en-US"/>
        </w:rPr>
        <w:t>, and</w:t>
      </w:r>
      <w:r w:rsidR="0073001C" w:rsidRPr="005F2A26">
        <w:rPr>
          <w:rFonts w:cs="Times New Roman"/>
          <w:szCs w:val="24"/>
          <w:lang w:val="en-US"/>
        </w:rPr>
        <w:t xml:space="preserve"> in online environments,</w:t>
      </w:r>
      <w:r w:rsidR="00C835A1" w:rsidRPr="005F2A26">
        <w:rPr>
          <w:rFonts w:cs="Times New Roman"/>
          <w:szCs w:val="24"/>
          <w:lang w:val="en-US"/>
        </w:rPr>
        <w:t xml:space="preserve"> contributions like</w:t>
      </w:r>
      <w:r w:rsidR="00150389" w:rsidRPr="005F2A26">
        <w:rPr>
          <w:rFonts w:cs="Times New Roman"/>
          <w:szCs w:val="24"/>
          <w:lang w:val="en-US"/>
        </w:rPr>
        <w:t xml:space="preserve"> </w:t>
      </w:r>
      <w:r w:rsidR="00150389" w:rsidRPr="005F2A26">
        <w:rPr>
          <w:rFonts w:eastAsia="Calibri" w:cs="Times New Roman"/>
          <w:szCs w:val="24"/>
          <w:lang w:val="en-US"/>
        </w:rPr>
        <w:t>reviews, blogs, and especially, ratings and rank</w:t>
      </w:r>
      <w:r w:rsidR="00F93943" w:rsidRPr="005F2A26">
        <w:rPr>
          <w:rFonts w:eastAsia="Calibri" w:cs="Times New Roman"/>
          <w:szCs w:val="24"/>
          <w:lang w:val="en-US"/>
        </w:rPr>
        <w:t>ing</w:t>
      </w:r>
      <w:r w:rsidR="00150389" w:rsidRPr="005F2A26">
        <w:rPr>
          <w:rFonts w:eastAsia="Calibri" w:cs="Times New Roman"/>
          <w:szCs w:val="24"/>
          <w:lang w:val="en-US"/>
        </w:rPr>
        <w:t>s.</w:t>
      </w:r>
      <w:r w:rsidR="008724A5" w:rsidRPr="005F2A26">
        <w:rPr>
          <w:rFonts w:eastAsia="Calibri" w:cs="Times New Roman"/>
          <w:szCs w:val="24"/>
          <w:lang w:val="en-US"/>
        </w:rPr>
        <w:t xml:space="preserve"> </w:t>
      </w:r>
    </w:p>
    <w:p w14:paraId="7D7E6FF3" w14:textId="60A85924" w:rsidR="00BC2BB7" w:rsidRPr="005F2A26" w:rsidRDefault="00883FAC" w:rsidP="00B6463E">
      <w:pPr>
        <w:autoSpaceDE w:val="0"/>
        <w:autoSpaceDN w:val="0"/>
        <w:adjustRightInd w:val="0"/>
        <w:spacing w:after="0" w:line="480" w:lineRule="auto"/>
        <w:ind w:firstLine="720"/>
        <w:rPr>
          <w:rFonts w:cs="Times New Roman"/>
          <w:szCs w:val="24"/>
          <w:lang w:val="en-US"/>
        </w:rPr>
      </w:pPr>
      <w:r w:rsidRPr="005F2A26">
        <w:rPr>
          <w:rFonts w:eastAsia="Calibri" w:cs="Times New Roman"/>
          <w:szCs w:val="24"/>
          <w:lang w:val="en-US"/>
        </w:rPr>
        <w:t>As reflected in Figure 1, some platforms in the SE</w:t>
      </w:r>
      <w:r w:rsidR="009D63FD" w:rsidRPr="005F2A26">
        <w:rPr>
          <w:rFonts w:eastAsia="Calibri" w:cs="Times New Roman"/>
          <w:szCs w:val="24"/>
          <w:lang w:val="en-US"/>
        </w:rPr>
        <w:t xml:space="preserve"> (e.g., </w:t>
      </w:r>
      <w:r w:rsidR="000153E6" w:rsidRPr="005F2A26">
        <w:rPr>
          <w:rFonts w:eastAsia="Calibri" w:cs="Times New Roman"/>
          <w:szCs w:val="24"/>
          <w:lang w:val="en-US"/>
        </w:rPr>
        <w:t>Uber</w:t>
      </w:r>
      <w:r w:rsidR="009D63FD" w:rsidRPr="005F2A26">
        <w:rPr>
          <w:rFonts w:eastAsia="Calibri" w:cs="Times New Roman"/>
          <w:szCs w:val="24"/>
          <w:lang w:val="en-US"/>
        </w:rPr>
        <w:t>)</w:t>
      </w:r>
      <w:r w:rsidRPr="005F2A26">
        <w:rPr>
          <w:rFonts w:eastAsia="Calibri" w:cs="Times New Roman"/>
          <w:szCs w:val="24"/>
          <w:lang w:val="en-US"/>
        </w:rPr>
        <w:t xml:space="preserve"> </w:t>
      </w:r>
      <w:r w:rsidR="00B6463E" w:rsidRPr="005F2A26">
        <w:rPr>
          <w:rFonts w:eastAsia="Calibri" w:cs="Times New Roman"/>
          <w:szCs w:val="24"/>
          <w:lang w:val="en-US"/>
        </w:rPr>
        <w:t xml:space="preserve">play </w:t>
      </w:r>
      <w:r w:rsidRPr="005F2A26">
        <w:rPr>
          <w:rFonts w:eastAsia="Calibri" w:cs="Times New Roman"/>
          <w:szCs w:val="24"/>
          <w:lang w:val="en-US"/>
        </w:rPr>
        <w:t xml:space="preserve">a </w:t>
      </w:r>
      <w:r w:rsidR="00B6463E" w:rsidRPr="005F2A26">
        <w:rPr>
          <w:rFonts w:eastAsia="Calibri" w:cs="Times New Roman"/>
          <w:szCs w:val="24"/>
          <w:lang w:val="en-US"/>
        </w:rPr>
        <w:t>significant</w:t>
      </w:r>
      <w:r w:rsidRPr="005F2A26">
        <w:rPr>
          <w:rFonts w:eastAsia="Calibri" w:cs="Times New Roman"/>
          <w:szCs w:val="24"/>
          <w:lang w:val="en-US"/>
        </w:rPr>
        <w:t xml:space="preserve"> role in mediating user interactions and </w:t>
      </w:r>
      <w:r w:rsidR="006A55EC" w:rsidRPr="005F2A26">
        <w:rPr>
          <w:rFonts w:eastAsia="Calibri" w:cs="Times New Roman"/>
          <w:szCs w:val="24"/>
          <w:lang w:val="en-US"/>
        </w:rPr>
        <w:t>benefit from</w:t>
      </w:r>
      <w:r w:rsidRPr="005F2A26">
        <w:rPr>
          <w:rFonts w:eastAsia="Calibri" w:cs="Times New Roman"/>
          <w:szCs w:val="24"/>
          <w:lang w:val="en-US"/>
        </w:rPr>
        <w:t xml:space="preserve"> a high degree of engagement between themselves and their individual users</w:t>
      </w:r>
      <w:r w:rsidR="004325E5" w:rsidRPr="005F2A26">
        <w:rPr>
          <w:rFonts w:eastAsia="Calibri" w:cs="Times New Roman"/>
          <w:szCs w:val="24"/>
          <w:lang w:val="en-US"/>
        </w:rPr>
        <w:t xml:space="preserve"> (riders and drivers)</w:t>
      </w:r>
      <w:r w:rsidRPr="005F2A26">
        <w:rPr>
          <w:rFonts w:eastAsia="Calibri" w:cs="Times New Roman"/>
          <w:szCs w:val="24"/>
          <w:lang w:val="en-US"/>
        </w:rPr>
        <w:t xml:space="preserve">. </w:t>
      </w:r>
      <w:r w:rsidR="00A7719E" w:rsidRPr="005F2A26">
        <w:rPr>
          <w:rFonts w:eastAsia="Calibri" w:cs="Times New Roman"/>
          <w:szCs w:val="24"/>
          <w:lang w:val="en-US"/>
        </w:rPr>
        <w:t xml:space="preserve">This dyadic relationship is reflected in the </w:t>
      </w:r>
      <w:r w:rsidRPr="005F2A26">
        <w:rPr>
          <w:rFonts w:eastAsia="Calibri" w:cs="Times New Roman"/>
          <w:szCs w:val="24"/>
          <w:lang w:val="en-US"/>
        </w:rPr>
        <w:t xml:space="preserve">customer engagement concept. </w:t>
      </w:r>
      <w:r w:rsidR="00150389" w:rsidRPr="005F2A26">
        <w:rPr>
          <w:rFonts w:eastAsia="Calibri" w:cs="Times New Roman"/>
          <w:szCs w:val="24"/>
          <w:lang w:val="en-US"/>
        </w:rPr>
        <w:t>However</w:t>
      </w:r>
      <w:r w:rsidR="0017360C" w:rsidRPr="005F2A26">
        <w:rPr>
          <w:rFonts w:eastAsia="Calibri" w:cs="Times New Roman"/>
          <w:szCs w:val="24"/>
          <w:lang w:val="en-US"/>
        </w:rPr>
        <w:t xml:space="preserve">, </w:t>
      </w:r>
      <w:r w:rsidR="00A7719E" w:rsidRPr="005F2A26">
        <w:rPr>
          <w:rFonts w:eastAsia="Calibri" w:cs="Times New Roman"/>
          <w:szCs w:val="24"/>
          <w:lang w:val="en-US"/>
        </w:rPr>
        <w:t xml:space="preserve">the </w:t>
      </w:r>
      <w:r w:rsidR="0017360C" w:rsidRPr="005F2A26">
        <w:rPr>
          <w:rFonts w:eastAsia="Calibri" w:cs="Times New Roman"/>
          <w:szCs w:val="24"/>
          <w:lang w:val="en-US"/>
        </w:rPr>
        <w:t>dyadic focus</w:t>
      </w:r>
      <w:r w:rsidR="00A7719E" w:rsidRPr="005F2A26">
        <w:rPr>
          <w:rFonts w:eastAsia="Calibri" w:cs="Times New Roman"/>
          <w:szCs w:val="24"/>
          <w:lang w:val="en-US"/>
        </w:rPr>
        <w:t xml:space="preserve"> of customer engagement</w:t>
      </w:r>
      <w:r w:rsidR="00974BA5" w:rsidRPr="005F2A26">
        <w:rPr>
          <w:rFonts w:eastAsia="Calibri" w:cs="Times New Roman"/>
          <w:szCs w:val="24"/>
          <w:lang w:val="en-US"/>
        </w:rPr>
        <w:t xml:space="preserve"> </w:t>
      </w:r>
      <w:r w:rsidR="0052223F" w:rsidRPr="005F2A26">
        <w:rPr>
          <w:lang w:val="en-US"/>
        </w:rPr>
        <w:t>(</w:t>
      </w:r>
      <w:proofErr w:type="spellStart"/>
      <w:r w:rsidR="0052223F" w:rsidRPr="005F2A26">
        <w:rPr>
          <w:lang w:val="en-US"/>
        </w:rPr>
        <w:t>Hollebeek</w:t>
      </w:r>
      <w:proofErr w:type="spellEnd"/>
      <w:r w:rsidR="00AC7A88" w:rsidRPr="005F2A26">
        <w:rPr>
          <w:rFonts w:cs="Times New Roman"/>
          <w:i/>
          <w:iCs/>
          <w:szCs w:val="24"/>
          <w:lang w:val="en-US"/>
        </w:rPr>
        <w:t xml:space="preserve"> </w:t>
      </w:r>
      <w:r w:rsidR="00957690" w:rsidRPr="00957690">
        <w:rPr>
          <w:rFonts w:cs="Times New Roman"/>
          <w:i/>
          <w:iCs/>
          <w:szCs w:val="24"/>
          <w:lang w:val="en-US"/>
        </w:rPr>
        <w:t>et al.</w:t>
      </w:r>
      <w:r w:rsidR="00AC7A88" w:rsidRPr="005F2A26">
        <w:rPr>
          <w:rFonts w:cs="Times New Roman"/>
          <w:szCs w:val="24"/>
          <w:lang w:val="en-US"/>
        </w:rPr>
        <w:t xml:space="preserve">, </w:t>
      </w:r>
      <w:r w:rsidR="0052223F" w:rsidRPr="005F2A26">
        <w:rPr>
          <w:lang w:val="en-US"/>
        </w:rPr>
        <w:t>2019)</w:t>
      </w:r>
      <w:r w:rsidR="001161BD" w:rsidRPr="005F2A26">
        <w:rPr>
          <w:rFonts w:eastAsia="Calibri" w:cs="Times New Roman"/>
          <w:szCs w:val="24"/>
          <w:lang w:val="en-US"/>
        </w:rPr>
        <w:t xml:space="preserve"> does not allow</w:t>
      </w:r>
      <w:r w:rsidR="001161BD" w:rsidRPr="005F2A26">
        <w:rPr>
          <w:rFonts w:cs="Times New Roman"/>
          <w:szCs w:val="24"/>
          <w:lang w:val="en-US"/>
        </w:rPr>
        <w:t xml:space="preserve"> </w:t>
      </w:r>
      <w:r w:rsidR="00F268DC" w:rsidRPr="005F2A26">
        <w:rPr>
          <w:rFonts w:cs="Times New Roman"/>
          <w:szCs w:val="24"/>
          <w:lang w:val="en-US"/>
        </w:rPr>
        <w:t>fulsome understanding of</w:t>
      </w:r>
      <w:r w:rsidR="001161BD" w:rsidRPr="005F2A26">
        <w:rPr>
          <w:rFonts w:cs="Times New Roman"/>
          <w:szCs w:val="24"/>
          <w:lang w:val="en-US"/>
        </w:rPr>
        <w:t xml:space="preserve"> engagement</w:t>
      </w:r>
      <w:r w:rsidR="0049587F" w:rsidRPr="005F2A26">
        <w:rPr>
          <w:rFonts w:cs="Times New Roman"/>
          <w:szCs w:val="24"/>
          <w:lang w:val="en-US"/>
        </w:rPr>
        <w:t xml:space="preserve"> between actors beyond the brand, such as</w:t>
      </w:r>
      <w:r w:rsidR="001161BD" w:rsidRPr="005F2A26">
        <w:rPr>
          <w:rFonts w:cs="Times New Roman"/>
          <w:szCs w:val="24"/>
          <w:lang w:val="en-US"/>
        </w:rPr>
        <w:t xml:space="preserve"> in</w:t>
      </w:r>
      <w:r w:rsidR="00F268DC" w:rsidRPr="005F2A26">
        <w:rPr>
          <w:rFonts w:cs="Times New Roman"/>
          <w:szCs w:val="24"/>
          <w:lang w:val="en-US"/>
        </w:rPr>
        <w:t xml:space="preserve"> multi-actor</w:t>
      </w:r>
      <w:r w:rsidR="00CE2C8D" w:rsidRPr="005F2A26">
        <w:rPr>
          <w:rFonts w:cs="Times New Roman"/>
          <w:szCs w:val="24"/>
          <w:lang w:val="en-US"/>
        </w:rPr>
        <w:t xml:space="preserve"> </w:t>
      </w:r>
      <w:r w:rsidR="00D33FA4">
        <w:rPr>
          <w:rFonts w:cs="Times New Roman"/>
          <w:szCs w:val="24"/>
          <w:lang w:val="en-US"/>
        </w:rPr>
        <w:t>networks</w:t>
      </w:r>
      <w:r w:rsidR="007C2D11" w:rsidRPr="005F2A26">
        <w:rPr>
          <w:rFonts w:cs="Times New Roman"/>
          <w:szCs w:val="24"/>
          <w:lang w:val="en-US"/>
        </w:rPr>
        <w:t xml:space="preserve"> (</w:t>
      </w:r>
      <w:r w:rsidR="00464292" w:rsidRPr="005F2A26">
        <w:rPr>
          <w:rFonts w:cs="Times New Roman"/>
          <w:szCs w:val="24"/>
          <w:lang w:val="en-US"/>
        </w:rPr>
        <w:t xml:space="preserve">Brodie </w:t>
      </w:r>
      <w:r w:rsidR="00957690" w:rsidRPr="00957690">
        <w:rPr>
          <w:rFonts w:cs="Times New Roman"/>
          <w:i/>
          <w:iCs/>
          <w:szCs w:val="24"/>
          <w:lang w:val="en-US"/>
        </w:rPr>
        <w:t>et al.</w:t>
      </w:r>
      <w:r w:rsidR="00AC7A88" w:rsidRPr="005F2A26">
        <w:rPr>
          <w:rFonts w:cs="Times New Roman"/>
          <w:szCs w:val="24"/>
          <w:lang w:val="en-US"/>
        </w:rPr>
        <w:t xml:space="preserve">, </w:t>
      </w:r>
      <w:r w:rsidR="00464292" w:rsidRPr="005F2A26">
        <w:rPr>
          <w:rFonts w:cs="Times New Roman"/>
          <w:szCs w:val="24"/>
          <w:lang w:val="en-US"/>
        </w:rPr>
        <w:t>201</w:t>
      </w:r>
      <w:r w:rsidR="00115BD2">
        <w:rPr>
          <w:rFonts w:cs="Times New Roman"/>
          <w:szCs w:val="24"/>
          <w:lang w:val="en-US"/>
        </w:rPr>
        <w:t>9</w:t>
      </w:r>
      <w:r w:rsidR="00464292" w:rsidRPr="005F2A26">
        <w:rPr>
          <w:rFonts w:cs="Times New Roman"/>
          <w:szCs w:val="24"/>
          <w:lang w:val="en-US"/>
        </w:rPr>
        <w:t xml:space="preserve">; </w:t>
      </w:r>
      <w:r w:rsidR="007C2D11" w:rsidRPr="005F2A26">
        <w:rPr>
          <w:rFonts w:cs="Times New Roman"/>
          <w:szCs w:val="24"/>
          <w:lang w:val="en-US"/>
        </w:rPr>
        <w:t xml:space="preserve">Li </w:t>
      </w:r>
      <w:r w:rsidR="00957690" w:rsidRPr="00957690">
        <w:rPr>
          <w:rFonts w:cs="Times New Roman"/>
          <w:i/>
          <w:iCs/>
          <w:szCs w:val="24"/>
          <w:lang w:val="en-US"/>
        </w:rPr>
        <w:t>et al.</w:t>
      </w:r>
      <w:r w:rsidR="00AC7A88" w:rsidRPr="005F2A26">
        <w:rPr>
          <w:rFonts w:cs="Times New Roman"/>
          <w:szCs w:val="24"/>
          <w:lang w:val="en-US"/>
        </w:rPr>
        <w:t xml:space="preserve">, </w:t>
      </w:r>
      <w:r w:rsidR="007C2D11" w:rsidRPr="005F2A26">
        <w:rPr>
          <w:rFonts w:cs="Times New Roman"/>
          <w:szCs w:val="24"/>
          <w:lang w:val="en-US"/>
        </w:rPr>
        <w:t xml:space="preserve">2017; Storbacka </w:t>
      </w:r>
      <w:r w:rsidR="00957690" w:rsidRPr="00957690">
        <w:rPr>
          <w:rFonts w:cs="Times New Roman"/>
          <w:i/>
          <w:iCs/>
          <w:szCs w:val="24"/>
          <w:lang w:val="en-US"/>
        </w:rPr>
        <w:t>et al.</w:t>
      </w:r>
      <w:r w:rsidR="00AC7A88" w:rsidRPr="005F2A26">
        <w:rPr>
          <w:rFonts w:cs="Times New Roman"/>
          <w:szCs w:val="24"/>
          <w:lang w:val="en-US"/>
        </w:rPr>
        <w:t xml:space="preserve">, </w:t>
      </w:r>
      <w:r w:rsidR="007C2D11" w:rsidRPr="005F2A26">
        <w:rPr>
          <w:rFonts w:cs="Times New Roman"/>
          <w:szCs w:val="24"/>
          <w:lang w:val="en-US"/>
        </w:rPr>
        <w:t>2016)</w:t>
      </w:r>
      <w:r w:rsidR="0084425A" w:rsidRPr="005F2A26">
        <w:rPr>
          <w:rFonts w:cs="Times New Roman"/>
          <w:szCs w:val="24"/>
          <w:lang w:val="en-US"/>
        </w:rPr>
        <w:t xml:space="preserve">. This </w:t>
      </w:r>
      <w:r w:rsidR="00B25600" w:rsidRPr="005F2A26">
        <w:rPr>
          <w:rFonts w:cs="Times New Roman"/>
          <w:szCs w:val="24"/>
          <w:lang w:val="en-US"/>
        </w:rPr>
        <w:t xml:space="preserve">shortcoming </w:t>
      </w:r>
      <w:r w:rsidR="00476576" w:rsidRPr="005F2A26">
        <w:rPr>
          <w:rFonts w:cs="Times New Roman"/>
          <w:szCs w:val="24"/>
          <w:lang w:val="en-US"/>
        </w:rPr>
        <w:t xml:space="preserve">is </w:t>
      </w:r>
      <w:r w:rsidR="0084425A" w:rsidRPr="005F2A26">
        <w:rPr>
          <w:rFonts w:cs="Times New Roman"/>
          <w:szCs w:val="24"/>
          <w:lang w:val="en-US"/>
        </w:rPr>
        <w:t xml:space="preserve">especially </w:t>
      </w:r>
      <w:r w:rsidR="00476576" w:rsidRPr="005F2A26">
        <w:rPr>
          <w:rFonts w:cs="Times New Roman"/>
          <w:szCs w:val="24"/>
          <w:lang w:val="en-US"/>
        </w:rPr>
        <w:t>amplified</w:t>
      </w:r>
      <w:r w:rsidR="0084425A" w:rsidRPr="005F2A26">
        <w:rPr>
          <w:rFonts w:cs="Times New Roman"/>
          <w:szCs w:val="24"/>
          <w:lang w:val="en-US"/>
        </w:rPr>
        <w:t xml:space="preserve"> </w:t>
      </w:r>
      <w:r w:rsidR="00F87575" w:rsidRPr="005F2A26">
        <w:rPr>
          <w:rFonts w:cs="Times New Roman"/>
          <w:szCs w:val="24"/>
          <w:lang w:val="en-US"/>
        </w:rPr>
        <w:t xml:space="preserve">when considering those </w:t>
      </w:r>
      <w:r w:rsidR="0084425A" w:rsidRPr="005F2A26">
        <w:rPr>
          <w:rFonts w:cs="Times New Roman"/>
          <w:szCs w:val="24"/>
          <w:lang w:val="en-US"/>
        </w:rPr>
        <w:t>SE platform</w:t>
      </w:r>
      <w:r w:rsidR="00F87575" w:rsidRPr="005F2A26">
        <w:rPr>
          <w:rFonts w:cs="Times New Roman"/>
          <w:szCs w:val="24"/>
          <w:lang w:val="en-US"/>
        </w:rPr>
        <w:t>s where collective or community-oriented P2P interactions are required for platform success</w:t>
      </w:r>
      <w:r w:rsidR="00B6463E" w:rsidRPr="005F2A26">
        <w:rPr>
          <w:rFonts w:cs="Times New Roman"/>
          <w:szCs w:val="24"/>
          <w:lang w:val="en-US"/>
        </w:rPr>
        <w:t xml:space="preserve"> (e.g., </w:t>
      </w:r>
      <w:proofErr w:type="spellStart"/>
      <w:r w:rsidR="00F87575" w:rsidRPr="005F2A26">
        <w:rPr>
          <w:rFonts w:cs="Times New Roman"/>
          <w:szCs w:val="24"/>
          <w:lang w:val="en-US"/>
        </w:rPr>
        <w:t>Stackoverflow</w:t>
      </w:r>
      <w:proofErr w:type="spellEnd"/>
      <w:r w:rsidR="00F27694" w:rsidRPr="005F2A26">
        <w:rPr>
          <w:rFonts w:cs="Times New Roman"/>
          <w:szCs w:val="24"/>
          <w:lang w:val="en-US"/>
        </w:rPr>
        <w:t xml:space="preserve"> and </w:t>
      </w:r>
      <w:proofErr w:type="spellStart"/>
      <w:r w:rsidR="00F27694" w:rsidRPr="005F2A26">
        <w:rPr>
          <w:rFonts w:cs="Times New Roman"/>
          <w:szCs w:val="24"/>
          <w:lang w:val="en-US"/>
        </w:rPr>
        <w:t>Garden</w:t>
      </w:r>
      <w:r w:rsidR="00ED1E42" w:rsidRPr="005F2A26">
        <w:rPr>
          <w:rFonts w:cs="Times New Roman"/>
          <w:szCs w:val="24"/>
          <w:lang w:val="en-US"/>
        </w:rPr>
        <w:t>T</w:t>
      </w:r>
      <w:r w:rsidR="00F27694" w:rsidRPr="005F2A26">
        <w:rPr>
          <w:rFonts w:cs="Times New Roman"/>
          <w:szCs w:val="24"/>
          <w:lang w:val="en-US"/>
        </w:rPr>
        <w:t>ags</w:t>
      </w:r>
      <w:proofErr w:type="spellEnd"/>
      <w:r w:rsidR="00B6463E" w:rsidRPr="005F2A26">
        <w:rPr>
          <w:rFonts w:cs="Times New Roman"/>
          <w:szCs w:val="24"/>
          <w:lang w:val="en-US"/>
        </w:rPr>
        <w:t xml:space="preserve"> in Figure 1)</w:t>
      </w:r>
      <w:r w:rsidR="00F87575" w:rsidRPr="005F2A26">
        <w:rPr>
          <w:rFonts w:cs="Times New Roman"/>
          <w:szCs w:val="24"/>
          <w:lang w:val="en-US"/>
        </w:rPr>
        <w:t xml:space="preserve">. </w:t>
      </w:r>
      <w:r w:rsidR="00A13246" w:rsidRPr="005F2A26">
        <w:rPr>
          <w:rFonts w:cs="Times New Roman"/>
          <w:szCs w:val="24"/>
          <w:lang w:val="en-US"/>
        </w:rPr>
        <w:t>Hence, t</w:t>
      </w:r>
      <w:r w:rsidR="00F242C9" w:rsidRPr="005F2A26">
        <w:rPr>
          <w:rFonts w:cs="Times New Roman"/>
          <w:szCs w:val="24"/>
          <w:lang w:val="en-US"/>
        </w:rPr>
        <w:t xml:space="preserve">o understand </w:t>
      </w:r>
      <w:r w:rsidR="00C05606" w:rsidRPr="005F2A26">
        <w:rPr>
          <w:rFonts w:cs="Times New Roman"/>
          <w:szCs w:val="24"/>
          <w:lang w:val="en-US"/>
        </w:rPr>
        <w:t xml:space="preserve">consequences </w:t>
      </w:r>
      <w:r w:rsidR="00F242C9" w:rsidRPr="005F2A26">
        <w:rPr>
          <w:rFonts w:cs="Times New Roman"/>
          <w:szCs w:val="24"/>
          <w:lang w:val="en-US"/>
        </w:rPr>
        <w:t>of engagement that</w:t>
      </w:r>
      <w:r w:rsidR="00AA1A6E" w:rsidRPr="005F2A26">
        <w:rPr>
          <w:rFonts w:cs="Times New Roman"/>
          <w:szCs w:val="24"/>
          <w:lang w:val="en-US"/>
        </w:rPr>
        <w:t xml:space="preserve"> positively</w:t>
      </w:r>
      <w:r w:rsidR="00F242C9" w:rsidRPr="005F2A26">
        <w:rPr>
          <w:rFonts w:cs="Times New Roman"/>
          <w:szCs w:val="24"/>
          <w:lang w:val="en-US"/>
        </w:rPr>
        <w:t xml:space="preserve"> impact</w:t>
      </w:r>
      <w:r w:rsidR="007D00D5" w:rsidRPr="005F2A26">
        <w:rPr>
          <w:rFonts w:cs="Times New Roman"/>
          <w:szCs w:val="24"/>
          <w:lang w:val="en-US"/>
        </w:rPr>
        <w:t xml:space="preserve"> collective</w:t>
      </w:r>
      <w:r w:rsidR="00850442" w:rsidRPr="005F2A26">
        <w:rPr>
          <w:rFonts w:cs="Times New Roman"/>
          <w:szCs w:val="24"/>
          <w:lang w:val="en-US"/>
        </w:rPr>
        <w:t>s</w:t>
      </w:r>
      <w:r w:rsidR="007D00D5" w:rsidRPr="005F2A26">
        <w:rPr>
          <w:rFonts w:cs="Times New Roman"/>
          <w:szCs w:val="24"/>
          <w:lang w:val="en-US"/>
        </w:rPr>
        <w:t xml:space="preserve"> of</w:t>
      </w:r>
      <w:r w:rsidR="00F242C9" w:rsidRPr="005F2A26">
        <w:rPr>
          <w:rFonts w:cs="Times New Roman"/>
          <w:szCs w:val="24"/>
          <w:lang w:val="en-US"/>
        </w:rPr>
        <w:t xml:space="preserve"> actors</w:t>
      </w:r>
      <w:r w:rsidR="00476576" w:rsidRPr="005F2A26">
        <w:rPr>
          <w:rFonts w:cs="Times New Roman"/>
          <w:szCs w:val="24"/>
          <w:lang w:val="en-US"/>
        </w:rPr>
        <w:t xml:space="preserve"> beyond (but including)</w:t>
      </w:r>
      <w:r w:rsidR="00F242C9" w:rsidRPr="005F2A26">
        <w:rPr>
          <w:rFonts w:cs="Times New Roman"/>
          <w:szCs w:val="24"/>
          <w:lang w:val="en-US"/>
        </w:rPr>
        <w:t xml:space="preserve"> the brand, the concepts of actor engagement and collective engagement are required. </w:t>
      </w:r>
    </w:p>
    <w:p w14:paraId="0968AD05" w14:textId="77777777" w:rsidR="00175B9F" w:rsidRPr="005F2A26" w:rsidRDefault="00175B9F" w:rsidP="00BC2BB7">
      <w:pPr>
        <w:spacing w:after="0" w:line="480" w:lineRule="auto"/>
        <w:ind w:firstLine="720"/>
        <w:rPr>
          <w:rFonts w:cs="Times New Roman"/>
          <w:szCs w:val="24"/>
          <w:lang w:val="en-US"/>
        </w:rPr>
      </w:pPr>
    </w:p>
    <w:p w14:paraId="4251E79D" w14:textId="69D8213C" w:rsidR="00C55AD0" w:rsidRPr="005F2A26" w:rsidRDefault="00932523" w:rsidP="00B6463E">
      <w:pPr>
        <w:keepNext/>
        <w:spacing w:after="0" w:line="480" w:lineRule="auto"/>
        <w:rPr>
          <w:rFonts w:cs="Times New Roman"/>
          <w:i/>
          <w:iCs/>
          <w:szCs w:val="24"/>
          <w:lang w:val="en-US"/>
        </w:rPr>
      </w:pPr>
      <w:r w:rsidRPr="005F2A26">
        <w:rPr>
          <w:rFonts w:cs="Times New Roman"/>
          <w:i/>
          <w:iCs/>
          <w:szCs w:val="24"/>
          <w:lang w:val="en-US"/>
        </w:rPr>
        <w:lastRenderedPageBreak/>
        <w:t>Engagement by collectives</w:t>
      </w:r>
      <w:r w:rsidR="00AA079E" w:rsidRPr="005F2A26">
        <w:rPr>
          <w:rFonts w:cs="Times New Roman"/>
          <w:i/>
          <w:iCs/>
          <w:szCs w:val="24"/>
          <w:lang w:val="en-US"/>
        </w:rPr>
        <w:t xml:space="preserve"> within communities</w:t>
      </w:r>
      <w:r w:rsidRPr="005F2A26">
        <w:rPr>
          <w:rFonts w:cs="Times New Roman"/>
          <w:i/>
          <w:iCs/>
          <w:szCs w:val="24"/>
          <w:lang w:val="en-US"/>
        </w:rPr>
        <w:t xml:space="preserve"> of generic actors</w:t>
      </w:r>
    </w:p>
    <w:p w14:paraId="204C84BB" w14:textId="3B4F51F9" w:rsidR="008F59F6" w:rsidRPr="005F2A26" w:rsidRDefault="00AF484F">
      <w:pPr>
        <w:keepNext/>
        <w:spacing w:after="0" w:line="480" w:lineRule="auto"/>
        <w:rPr>
          <w:rFonts w:cs="Times New Roman"/>
          <w:szCs w:val="24"/>
          <w:lang w:val="en-US"/>
        </w:rPr>
      </w:pPr>
      <w:r w:rsidRPr="005F2A26">
        <w:rPr>
          <w:rFonts w:cs="Times New Roman"/>
          <w:szCs w:val="24"/>
          <w:lang w:val="en-US"/>
        </w:rPr>
        <w:t>The a</w:t>
      </w:r>
      <w:r w:rsidR="00A33731" w:rsidRPr="005F2A26">
        <w:rPr>
          <w:rFonts w:cs="Times New Roman"/>
          <w:szCs w:val="24"/>
          <w:lang w:val="en-US"/>
        </w:rPr>
        <w:t xml:space="preserve">ctor engagement construct was proposed to explain engagement between, within, and amongst </w:t>
      </w:r>
      <w:r w:rsidR="00124C1D" w:rsidRPr="005F2A26">
        <w:rPr>
          <w:rFonts w:cs="Times New Roman"/>
          <w:szCs w:val="24"/>
          <w:lang w:val="en-US"/>
        </w:rPr>
        <w:t xml:space="preserve">numerous </w:t>
      </w:r>
      <w:r w:rsidR="0084425A" w:rsidRPr="005F2A26">
        <w:rPr>
          <w:rFonts w:cs="Times New Roman"/>
          <w:szCs w:val="24"/>
          <w:lang w:val="en-US"/>
        </w:rPr>
        <w:t xml:space="preserve">generic </w:t>
      </w:r>
      <w:r w:rsidR="00A33731" w:rsidRPr="005F2A26">
        <w:rPr>
          <w:rFonts w:cs="Times New Roman"/>
          <w:szCs w:val="24"/>
          <w:lang w:val="en-US"/>
        </w:rPr>
        <w:t>actors</w:t>
      </w:r>
      <w:r w:rsidR="00124C1D" w:rsidRPr="005F2A26">
        <w:rPr>
          <w:rFonts w:cs="Times New Roman"/>
          <w:szCs w:val="24"/>
          <w:lang w:val="en-US"/>
        </w:rPr>
        <w:t xml:space="preserve"> in a network</w:t>
      </w:r>
      <w:r w:rsidR="00A33731" w:rsidRPr="005F2A26">
        <w:rPr>
          <w:rFonts w:cs="Times New Roman"/>
          <w:szCs w:val="24"/>
          <w:lang w:val="en-US"/>
        </w:rPr>
        <w:t xml:space="preserve"> </w:t>
      </w:r>
      <w:r w:rsidR="0084425A" w:rsidRPr="005F2A26">
        <w:rPr>
          <w:rFonts w:cs="Times New Roman"/>
          <w:szCs w:val="24"/>
          <w:lang w:val="en-US"/>
        </w:rPr>
        <w:t>(includ</w:t>
      </w:r>
      <w:r w:rsidR="006D2D84" w:rsidRPr="005F2A26">
        <w:rPr>
          <w:rFonts w:cs="Times New Roman"/>
          <w:szCs w:val="24"/>
          <w:lang w:val="en-US"/>
        </w:rPr>
        <w:t>ing</w:t>
      </w:r>
      <w:r w:rsidR="0084425A" w:rsidRPr="005F2A26">
        <w:rPr>
          <w:rFonts w:cs="Times New Roman"/>
          <w:szCs w:val="24"/>
          <w:lang w:val="en-US"/>
        </w:rPr>
        <w:t xml:space="preserve"> a</w:t>
      </w:r>
      <w:r w:rsidR="00F268DC" w:rsidRPr="005F2A26">
        <w:rPr>
          <w:rFonts w:cs="Times New Roman"/>
          <w:szCs w:val="24"/>
          <w:lang w:val="en-US"/>
        </w:rPr>
        <w:t xml:space="preserve"> </w:t>
      </w:r>
      <w:r w:rsidR="00A33731" w:rsidRPr="005F2A26">
        <w:rPr>
          <w:rFonts w:cs="Times New Roman"/>
          <w:szCs w:val="24"/>
          <w:lang w:val="en-US"/>
        </w:rPr>
        <w:t>firm</w:t>
      </w:r>
      <w:r w:rsidR="00CD188E" w:rsidRPr="005F2A26">
        <w:rPr>
          <w:rFonts w:cs="Times New Roman"/>
          <w:szCs w:val="24"/>
          <w:lang w:val="en-US"/>
        </w:rPr>
        <w:t xml:space="preserve"> and customer</w:t>
      </w:r>
      <w:r w:rsidR="0084425A" w:rsidRPr="005F2A26">
        <w:rPr>
          <w:rFonts w:cs="Times New Roman"/>
          <w:szCs w:val="24"/>
          <w:lang w:val="en-US"/>
        </w:rPr>
        <w:t>)</w:t>
      </w:r>
      <w:r w:rsidR="00D60DD1" w:rsidRPr="005F2A26">
        <w:rPr>
          <w:rFonts w:cs="Times New Roman"/>
          <w:szCs w:val="24"/>
          <w:lang w:val="en-US"/>
        </w:rPr>
        <w:t xml:space="preserve"> (Brodie</w:t>
      </w:r>
      <w:r w:rsidR="00AC7A88" w:rsidRPr="005F2A26">
        <w:rPr>
          <w:rFonts w:cs="Times New Roman"/>
          <w:i/>
          <w:iCs/>
          <w:szCs w:val="24"/>
          <w:lang w:val="en-US"/>
        </w:rPr>
        <w:t xml:space="preserve"> </w:t>
      </w:r>
      <w:r w:rsidR="00957690" w:rsidRPr="00957690">
        <w:rPr>
          <w:rFonts w:cs="Times New Roman"/>
          <w:i/>
          <w:iCs/>
          <w:szCs w:val="24"/>
          <w:lang w:val="en-US"/>
        </w:rPr>
        <w:t>et al.</w:t>
      </w:r>
      <w:r w:rsidR="00AC7A88" w:rsidRPr="005F2A26">
        <w:rPr>
          <w:rFonts w:cs="Times New Roman"/>
          <w:szCs w:val="24"/>
          <w:lang w:val="en-US"/>
        </w:rPr>
        <w:t xml:space="preserve">, </w:t>
      </w:r>
      <w:r w:rsidR="00D60DD1" w:rsidRPr="005F2A26">
        <w:rPr>
          <w:rFonts w:cs="Times New Roman"/>
          <w:szCs w:val="24"/>
          <w:lang w:val="en-US"/>
        </w:rPr>
        <w:t>2019)</w:t>
      </w:r>
      <w:r w:rsidR="00A33731" w:rsidRPr="005F2A26">
        <w:rPr>
          <w:rFonts w:cs="Times New Roman"/>
          <w:szCs w:val="24"/>
          <w:lang w:val="en-US"/>
        </w:rPr>
        <w:t xml:space="preserve">. </w:t>
      </w:r>
      <w:r w:rsidR="004D7AA2" w:rsidRPr="005F2A26">
        <w:rPr>
          <w:rFonts w:cs="Times New Roman"/>
          <w:szCs w:val="24"/>
          <w:lang w:val="en-US"/>
        </w:rPr>
        <w:t xml:space="preserve">For example, in the SE, digital platforms encourage and support exchange and resource integration by </w:t>
      </w:r>
      <w:r w:rsidR="00F268DC" w:rsidRPr="005F2A26">
        <w:rPr>
          <w:rFonts w:cs="Times New Roman"/>
          <w:szCs w:val="24"/>
          <w:lang w:val="en-US"/>
        </w:rPr>
        <w:t xml:space="preserve">and between </w:t>
      </w:r>
      <w:r w:rsidR="004D7AA2" w:rsidRPr="005F2A26">
        <w:rPr>
          <w:rFonts w:cs="Times New Roman"/>
          <w:szCs w:val="24"/>
          <w:lang w:val="en-US"/>
        </w:rPr>
        <w:t>multiple actors</w:t>
      </w:r>
      <w:r w:rsidR="00175B9F" w:rsidRPr="005F2A26">
        <w:rPr>
          <w:rFonts w:cs="Times New Roman"/>
          <w:szCs w:val="24"/>
          <w:lang w:val="en-US"/>
        </w:rPr>
        <w:t xml:space="preserve">, </w:t>
      </w:r>
      <w:r w:rsidR="00627AE8" w:rsidRPr="005F2A26">
        <w:rPr>
          <w:rFonts w:cs="Times New Roman"/>
          <w:szCs w:val="24"/>
          <w:lang w:val="en-US"/>
        </w:rPr>
        <w:t xml:space="preserve">providing interactive spaces (Breidbach </w:t>
      </w:r>
      <w:r w:rsidR="00957690" w:rsidRPr="00957690">
        <w:rPr>
          <w:rFonts w:cs="Times New Roman"/>
          <w:i/>
          <w:iCs/>
          <w:szCs w:val="24"/>
          <w:lang w:val="en-US"/>
        </w:rPr>
        <w:t>et al.</w:t>
      </w:r>
      <w:r w:rsidR="00627AE8" w:rsidRPr="005F2A26">
        <w:rPr>
          <w:rFonts w:cs="Times New Roman"/>
          <w:szCs w:val="24"/>
          <w:lang w:val="en-US"/>
        </w:rPr>
        <w:t xml:space="preserve">, 2014; Storbacka </w:t>
      </w:r>
      <w:r w:rsidR="00957690" w:rsidRPr="00957690">
        <w:rPr>
          <w:rFonts w:cs="Times New Roman"/>
          <w:i/>
          <w:iCs/>
          <w:szCs w:val="24"/>
          <w:lang w:val="en-US"/>
        </w:rPr>
        <w:t>et al.</w:t>
      </w:r>
      <w:r w:rsidR="00627AE8" w:rsidRPr="005F2A26">
        <w:rPr>
          <w:rFonts w:cs="Times New Roman"/>
          <w:szCs w:val="24"/>
          <w:lang w:val="en-US"/>
        </w:rPr>
        <w:t xml:space="preserve">, 2016) and virtual touch points </w:t>
      </w:r>
      <w:r w:rsidR="00B6463E" w:rsidRPr="005F2A26">
        <w:rPr>
          <w:rFonts w:cs="Times New Roman"/>
          <w:szCs w:val="24"/>
          <w:lang w:val="en-US"/>
        </w:rPr>
        <w:t>for</w:t>
      </w:r>
      <w:r w:rsidR="00627AE8" w:rsidRPr="005F2A26">
        <w:rPr>
          <w:rFonts w:cs="Times New Roman"/>
          <w:szCs w:val="24"/>
          <w:lang w:val="en-US"/>
        </w:rPr>
        <w:t xml:space="preserve"> engagement processes</w:t>
      </w:r>
      <w:r w:rsidR="004D7AA2" w:rsidRPr="005F2A26">
        <w:rPr>
          <w:rFonts w:cs="Times New Roman"/>
          <w:szCs w:val="24"/>
          <w:lang w:val="en-US"/>
        </w:rPr>
        <w:t xml:space="preserve"> (</w:t>
      </w:r>
      <w:r w:rsidR="007C2D11" w:rsidRPr="005F2A26">
        <w:rPr>
          <w:lang w:val="en-US"/>
        </w:rPr>
        <w:t>Breidbach and Brodie, 2017;</w:t>
      </w:r>
      <w:r w:rsidR="007C2D11" w:rsidRPr="005F2A26">
        <w:rPr>
          <w:rFonts w:cs="Times New Roman"/>
          <w:szCs w:val="24"/>
          <w:lang w:val="en-US"/>
        </w:rPr>
        <w:t xml:space="preserve"> </w:t>
      </w:r>
      <w:r w:rsidR="004D7AA2" w:rsidRPr="005F2A26">
        <w:rPr>
          <w:rFonts w:cs="Times New Roman"/>
          <w:szCs w:val="24"/>
          <w:lang w:val="en-US"/>
        </w:rPr>
        <w:t xml:space="preserve">Li </w:t>
      </w:r>
      <w:r w:rsidR="00957690" w:rsidRPr="00957690">
        <w:rPr>
          <w:rFonts w:cs="Times New Roman"/>
          <w:i/>
          <w:iCs/>
          <w:szCs w:val="24"/>
          <w:lang w:val="en-US"/>
        </w:rPr>
        <w:t>et al.</w:t>
      </w:r>
      <w:r w:rsidR="00AC7A88" w:rsidRPr="005F2A26">
        <w:rPr>
          <w:rFonts w:cs="Times New Roman"/>
          <w:szCs w:val="24"/>
          <w:lang w:val="en-US"/>
        </w:rPr>
        <w:t xml:space="preserve">, </w:t>
      </w:r>
      <w:r w:rsidR="004D7AA2" w:rsidRPr="005F2A26">
        <w:rPr>
          <w:rFonts w:cs="Times New Roman"/>
          <w:szCs w:val="24"/>
          <w:lang w:val="en-US"/>
        </w:rPr>
        <w:t xml:space="preserve">2017). </w:t>
      </w:r>
      <w:r w:rsidR="004D7AA2" w:rsidRPr="005F2A26">
        <w:rPr>
          <w:rFonts w:eastAsiaTheme="minorEastAsia" w:cs="Times New Roman"/>
          <w:szCs w:val="24"/>
          <w:lang w:val="en-US" w:eastAsia="zh-CN"/>
        </w:rPr>
        <w:t>Hence, a</w:t>
      </w:r>
      <w:r w:rsidR="00A33731" w:rsidRPr="005F2A26">
        <w:rPr>
          <w:rFonts w:eastAsiaTheme="minorEastAsia" w:cs="Times New Roman"/>
          <w:szCs w:val="24"/>
          <w:lang w:val="en-US" w:eastAsia="zh-CN"/>
        </w:rPr>
        <w:t xml:space="preserve">ctor engagement </w:t>
      </w:r>
      <w:r w:rsidR="000069D3" w:rsidRPr="005F2A26">
        <w:rPr>
          <w:rFonts w:eastAsiaTheme="minorEastAsia" w:cs="Times New Roman"/>
          <w:szCs w:val="24"/>
          <w:lang w:val="en-US" w:eastAsia="zh-CN"/>
        </w:rPr>
        <w:t xml:space="preserve">is “both the disposition of actors to engage, and the activity of engaging in an interactive process of resource integration” (Storbacka </w:t>
      </w:r>
      <w:r w:rsidR="00957690" w:rsidRPr="00957690">
        <w:rPr>
          <w:rFonts w:cs="Times New Roman"/>
          <w:i/>
          <w:iCs/>
          <w:szCs w:val="24"/>
          <w:lang w:val="en-US"/>
        </w:rPr>
        <w:t>et al.</w:t>
      </w:r>
      <w:r w:rsidR="00AC7A88" w:rsidRPr="005F2A26">
        <w:rPr>
          <w:rFonts w:cs="Times New Roman"/>
          <w:szCs w:val="24"/>
          <w:lang w:val="en-US"/>
        </w:rPr>
        <w:t xml:space="preserve">, </w:t>
      </w:r>
      <w:r w:rsidR="000069D3" w:rsidRPr="005F2A26">
        <w:rPr>
          <w:rFonts w:eastAsiaTheme="minorEastAsia" w:cs="Times New Roman"/>
          <w:szCs w:val="24"/>
          <w:lang w:val="en-US" w:eastAsia="zh-CN"/>
        </w:rPr>
        <w:t>2016, p.3009)</w:t>
      </w:r>
      <w:r w:rsidR="00CE573A" w:rsidRPr="005F2A26">
        <w:rPr>
          <w:rFonts w:eastAsiaTheme="minorEastAsia" w:cs="Times New Roman"/>
          <w:szCs w:val="24"/>
          <w:lang w:val="en-US" w:eastAsia="zh-CN"/>
        </w:rPr>
        <w:t xml:space="preserve"> </w:t>
      </w:r>
      <w:r w:rsidR="00B6463E" w:rsidRPr="005F2A26">
        <w:rPr>
          <w:rFonts w:eastAsiaTheme="minorEastAsia" w:cs="Times New Roman"/>
          <w:szCs w:val="24"/>
          <w:lang w:val="en-US" w:eastAsia="zh-CN"/>
        </w:rPr>
        <w:t>within</w:t>
      </w:r>
      <w:r w:rsidR="004D7AA2" w:rsidRPr="005F2A26">
        <w:rPr>
          <w:rFonts w:cs="Times New Roman"/>
          <w:szCs w:val="24"/>
          <w:lang w:val="en-US"/>
        </w:rPr>
        <w:t xml:space="preserve"> multi-actor contexts such as the</w:t>
      </w:r>
      <w:r w:rsidR="00C17195" w:rsidRPr="005F2A26">
        <w:rPr>
          <w:rFonts w:cs="Times New Roman"/>
          <w:szCs w:val="24"/>
          <w:lang w:val="en-US"/>
        </w:rPr>
        <w:t xml:space="preserve"> SE</w:t>
      </w:r>
      <w:r w:rsidR="00555882" w:rsidRPr="005F2A26">
        <w:rPr>
          <w:rFonts w:cs="Times New Roman"/>
          <w:szCs w:val="24"/>
          <w:lang w:val="en-US"/>
        </w:rPr>
        <w:t>.</w:t>
      </w:r>
    </w:p>
    <w:p w14:paraId="4091D4E9" w14:textId="38710E73" w:rsidR="009C167F" w:rsidRPr="005F2A26" w:rsidRDefault="005E1EE9" w:rsidP="00B6463E">
      <w:pPr>
        <w:keepNext/>
        <w:spacing w:after="0" w:line="480" w:lineRule="auto"/>
        <w:ind w:firstLine="720"/>
        <w:rPr>
          <w:rFonts w:cs="Times New Roman"/>
          <w:szCs w:val="24"/>
          <w:lang w:val="en-US"/>
        </w:rPr>
      </w:pPr>
      <w:r w:rsidRPr="005F2A26">
        <w:rPr>
          <w:rFonts w:cs="Times New Roman"/>
          <w:szCs w:val="24"/>
          <w:lang w:val="en-US"/>
        </w:rPr>
        <w:t>Further development to actor engagement</w:t>
      </w:r>
      <w:r w:rsidR="00CE2C8D" w:rsidRPr="005F2A26">
        <w:rPr>
          <w:rFonts w:cs="Times New Roman"/>
          <w:szCs w:val="24"/>
          <w:lang w:val="en-US"/>
        </w:rPr>
        <w:t xml:space="preserve"> theory</w:t>
      </w:r>
      <w:r w:rsidRPr="005F2A26">
        <w:rPr>
          <w:rFonts w:cs="Times New Roman"/>
          <w:szCs w:val="24"/>
          <w:lang w:val="en-US"/>
        </w:rPr>
        <w:t xml:space="preserve"> has </w:t>
      </w:r>
      <w:r w:rsidR="00B6463E" w:rsidRPr="005F2A26">
        <w:rPr>
          <w:rFonts w:cs="Times New Roman"/>
          <w:szCs w:val="24"/>
          <w:lang w:val="en-US"/>
        </w:rPr>
        <w:t>come through the collective engagement concept. Collective engagement draws on multi-level and institutional perspectives to</w:t>
      </w:r>
      <w:r w:rsidR="00B20D6F" w:rsidRPr="005F2A26">
        <w:rPr>
          <w:rFonts w:cs="Times New Roman"/>
          <w:szCs w:val="24"/>
          <w:lang w:val="en-US"/>
        </w:rPr>
        <w:t xml:space="preserve"> </w:t>
      </w:r>
      <w:r w:rsidRPr="005F2A26">
        <w:rPr>
          <w:rFonts w:cs="Times New Roman"/>
          <w:szCs w:val="24"/>
          <w:lang w:val="en-US"/>
        </w:rPr>
        <w:t xml:space="preserve">focus </w:t>
      </w:r>
      <w:r w:rsidR="00B6463E" w:rsidRPr="005F2A26">
        <w:rPr>
          <w:rFonts w:cs="Times New Roman"/>
          <w:szCs w:val="24"/>
          <w:lang w:val="en-US"/>
        </w:rPr>
        <w:t xml:space="preserve">beyond just </w:t>
      </w:r>
      <w:r w:rsidR="00F850CF" w:rsidRPr="005F2A26">
        <w:rPr>
          <w:rFonts w:cs="Times New Roman"/>
          <w:szCs w:val="24"/>
          <w:lang w:val="en-US"/>
        </w:rPr>
        <w:t>individual-level phenomen</w:t>
      </w:r>
      <w:r w:rsidRPr="005F2A26">
        <w:rPr>
          <w:rFonts w:cs="Times New Roman"/>
          <w:szCs w:val="24"/>
          <w:lang w:val="en-US"/>
        </w:rPr>
        <w:t>a</w:t>
      </w:r>
      <w:r w:rsidR="00B6463E" w:rsidRPr="005F2A26">
        <w:rPr>
          <w:rFonts w:cs="Times New Roman"/>
          <w:szCs w:val="24"/>
          <w:lang w:val="en-US"/>
        </w:rPr>
        <w:t xml:space="preserve"> to</w:t>
      </w:r>
      <w:r w:rsidR="00F850CF" w:rsidRPr="005F2A26">
        <w:rPr>
          <w:rFonts w:cs="Times New Roman"/>
          <w:szCs w:val="24"/>
          <w:lang w:val="en-US"/>
        </w:rPr>
        <w:t xml:space="preserve"> </w:t>
      </w:r>
      <w:r w:rsidR="00AF484F" w:rsidRPr="005F2A26">
        <w:rPr>
          <w:rFonts w:cs="Times New Roman"/>
          <w:szCs w:val="24"/>
          <w:lang w:val="en-US"/>
        </w:rPr>
        <w:t>recogniz</w:t>
      </w:r>
      <w:r w:rsidRPr="005F2A26">
        <w:rPr>
          <w:rFonts w:cs="Times New Roman"/>
          <w:szCs w:val="24"/>
          <w:lang w:val="en-US"/>
        </w:rPr>
        <w:t xml:space="preserve">e </w:t>
      </w:r>
      <w:r w:rsidR="00AF484F" w:rsidRPr="005F2A26">
        <w:rPr>
          <w:rFonts w:cs="Times New Roman"/>
          <w:szCs w:val="24"/>
          <w:lang w:val="en-US"/>
        </w:rPr>
        <w:t>the social embeddedness of actors</w:t>
      </w:r>
      <w:r w:rsidR="00CE573A" w:rsidRPr="005F2A26">
        <w:rPr>
          <w:rFonts w:cs="Times New Roman"/>
          <w:szCs w:val="24"/>
          <w:lang w:val="en-US"/>
        </w:rPr>
        <w:t xml:space="preserve"> </w:t>
      </w:r>
      <w:r w:rsidR="00B6463E" w:rsidRPr="005F2A26">
        <w:rPr>
          <w:rFonts w:cs="Times New Roman"/>
          <w:szCs w:val="24"/>
          <w:lang w:val="en-US"/>
        </w:rPr>
        <w:t xml:space="preserve">(Kleinaltenkamp </w:t>
      </w:r>
      <w:r w:rsidR="00957690" w:rsidRPr="00957690">
        <w:rPr>
          <w:rFonts w:cs="Times New Roman"/>
          <w:i/>
          <w:iCs/>
          <w:szCs w:val="24"/>
          <w:lang w:val="en-US"/>
        </w:rPr>
        <w:t>et al.</w:t>
      </w:r>
      <w:r w:rsidR="00B6463E" w:rsidRPr="005F2A26">
        <w:rPr>
          <w:rFonts w:cs="Times New Roman"/>
          <w:szCs w:val="24"/>
          <w:lang w:val="en-US"/>
        </w:rPr>
        <w:t>, 2019)</w:t>
      </w:r>
      <w:r w:rsidR="00740705" w:rsidRPr="005F2A26">
        <w:rPr>
          <w:rFonts w:cs="Times New Roman"/>
          <w:szCs w:val="24"/>
          <w:lang w:val="en-US"/>
        </w:rPr>
        <w:t>. Collective engagement</w:t>
      </w:r>
      <w:r w:rsidR="009C167F" w:rsidRPr="005F2A26">
        <w:rPr>
          <w:rFonts w:cs="Times New Roman"/>
          <w:szCs w:val="24"/>
          <w:lang w:val="en-US"/>
        </w:rPr>
        <w:t xml:space="preserve"> involves “multiple actors' shared cognitive, emotional, and behavioral dispositions, as manifested in their interactive efforts devoted to a focal object” (Kleinaltenkamp</w:t>
      </w:r>
      <w:r w:rsidR="00B6463E" w:rsidRPr="005F2A26">
        <w:rPr>
          <w:rFonts w:cs="Times New Roman"/>
          <w:szCs w:val="24"/>
          <w:lang w:val="en-US"/>
        </w:rPr>
        <w:t xml:space="preserve"> </w:t>
      </w:r>
      <w:r w:rsidR="00957690" w:rsidRPr="00957690">
        <w:rPr>
          <w:rFonts w:cs="Times New Roman"/>
          <w:i/>
          <w:iCs/>
          <w:szCs w:val="24"/>
          <w:lang w:val="en-US"/>
        </w:rPr>
        <w:t>et al.</w:t>
      </w:r>
      <w:r w:rsidR="003466E0" w:rsidRPr="005F2A26">
        <w:rPr>
          <w:rFonts w:cs="Times New Roman"/>
          <w:szCs w:val="24"/>
          <w:lang w:val="en-US"/>
        </w:rPr>
        <w:t>,</w:t>
      </w:r>
      <w:r w:rsidR="009C167F" w:rsidRPr="005F2A26">
        <w:rPr>
          <w:rFonts w:cs="Times New Roman"/>
          <w:szCs w:val="24"/>
          <w:lang w:val="en-US"/>
        </w:rPr>
        <w:t xml:space="preserve"> 2019, p.12)</w:t>
      </w:r>
      <w:r w:rsidR="00AF484F" w:rsidRPr="005F2A26">
        <w:rPr>
          <w:rFonts w:cs="Times New Roman"/>
          <w:szCs w:val="24"/>
          <w:lang w:val="en-US"/>
        </w:rPr>
        <w:t>.</w:t>
      </w:r>
      <w:r w:rsidR="009C167F" w:rsidRPr="005F2A26">
        <w:rPr>
          <w:rFonts w:cs="Times New Roman"/>
          <w:szCs w:val="24"/>
          <w:lang w:val="en-US"/>
        </w:rPr>
        <w:t xml:space="preserve"> </w:t>
      </w:r>
      <w:r w:rsidR="00F7147B" w:rsidRPr="005F2A26">
        <w:rPr>
          <w:rFonts w:cs="Times New Roman"/>
          <w:szCs w:val="24"/>
          <w:lang w:val="en-US"/>
        </w:rPr>
        <w:t xml:space="preserve">Hence, collective engagement is related to actor engagement in that it considers generic actors, however, the positively </w:t>
      </w:r>
      <w:proofErr w:type="spellStart"/>
      <w:r w:rsidR="00F7147B" w:rsidRPr="005F2A26">
        <w:rPr>
          <w:rFonts w:cs="Times New Roman"/>
          <w:szCs w:val="24"/>
          <w:lang w:val="en-US"/>
        </w:rPr>
        <w:t>valenced</w:t>
      </w:r>
      <w:proofErr w:type="spellEnd"/>
      <w:r w:rsidR="00F7147B" w:rsidRPr="005F2A26">
        <w:rPr>
          <w:rFonts w:cs="Times New Roman"/>
          <w:szCs w:val="24"/>
          <w:lang w:val="en-US"/>
        </w:rPr>
        <w:t xml:space="preserve"> disposition and activities of the actors are shared. </w:t>
      </w:r>
      <w:r w:rsidR="001300DB" w:rsidRPr="005F2A26">
        <w:rPr>
          <w:rFonts w:cs="Times New Roman"/>
          <w:szCs w:val="24"/>
          <w:lang w:val="en-US"/>
        </w:rPr>
        <w:t>For example, c</w:t>
      </w:r>
      <w:r w:rsidR="00F7147B" w:rsidRPr="005F2A26">
        <w:rPr>
          <w:rFonts w:cs="Times New Roman"/>
          <w:szCs w:val="24"/>
          <w:lang w:val="en-US"/>
        </w:rPr>
        <w:t>ollective</w:t>
      </w:r>
      <w:r w:rsidR="00B6463E" w:rsidRPr="005F2A26">
        <w:rPr>
          <w:rFonts w:cs="Times New Roman"/>
          <w:szCs w:val="24"/>
          <w:lang w:val="en-US"/>
        </w:rPr>
        <w:t xml:space="preserve"> </w:t>
      </w:r>
      <w:r w:rsidR="009C167F" w:rsidRPr="005F2A26">
        <w:rPr>
          <w:rFonts w:cs="Times New Roman"/>
          <w:szCs w:val="24"/>
          <w:lang w:val="en-US"/>
        </w:rPr>
        <w:t xml:space="preserve">engagement can unfold in both </w:t>
      </w:r>
      <w:r w:rsidR="00AF484F" w:rsidRPr="005F2A26">
        <w:rPr>
          <w:rFonts w:cs="Times New Roman"/>
          <w:szCs w:val="24"/>
          <w:lang w:val="en-US"/>
        </w:rPr>
        <w:t>real</w:t>
      </w:r>
      <w:r w:rsidR="009C167F" w:rsidRPr="005F2A26">
        <w:rPr>
          <w:rFonts w:cs="Times New Roman"/>
          <w:szCs w:val="24"/>
          <w:lang w:val="en-US"/>
        </w:rPr>
        <w:t xml:space="preserve"> and virtual environments</w:t>
      </w:r>
      <w:r w:rsidR="001300DB" w:rsidRPr="005F2A26">
        <w:rPr>
          <w:rFonts w:cs="Times New Roman"/>
          <w:szCs w:val="24"/>
          <w:lang w:val="en-US"/>
        </w:rPr>
        <w:t xml:space="preserve"> </w:t>
      </w:r>
      <w:r w:rsidR="00234E39" w:rsidRPr="005F2A26">
        <w:rPr>
          <w:rFonts w:cs="Times New Roman"/>
          <w:szCs w:val="24"/>
          <w:lang w:val="en-US"/>
        </w:rPr>
        <w:t>(</w:t>
      </w:r>
      <w:r w:rsidR="001300DB" w:rsidRPr="005F2A26">
        <w:rPr>
          <w:rFonts w:cs="Times New Roman"/>
          <w:szCs w:val="24"/>
          <w:lang w:val="en-US"/>
        </w:rPr>
        <w:t>such as</w:t>
      </w:r>
      <w:r w:rsidR="00AF484F" w:rsidRPr="005F2A26">
        <w:rPr>
          <w:rFonts w:cs="Times New Roman"/>
          <w:szCs w:val="24"/>
          <w:lang w:val="en-US"/>
        </w:rPr>
        <w:t xml:space="preserve"> i</w:t>
      </w:r>
      <w:r w:rsidR="009C167F" w:rsidRPr="005F2A26">
        <w:rPr>
          <w:rFonts w:cs="Times New Roman"/>
          <w:szCs w:val="24"/>
          <w:lang w:val="en-US"/>
        </w:rPr>
        <w:t>n</w:t>
      </w:r>
      <w:r w:rsidR="00AF484F" w:rsidRPr="005F2A26">
        <w:rPr>
          <w:rFonts w:cs="Times New Roman"/>
          <w:szCs w:val="24"/>
          <w:lang w:val="en-US"/>
        </w:rPr>
        <w:t xml:space="preserve"> </w:t>
      </w:r>
      <w:r w:rsidR="009C167F" w:rsidRPr="005F2A26">
        <w:rPr>
          <w:rFonts w:cs="Times New Roman"/>
          <w:szCs w:val="24"/>
          <w:lang w:val="en-US"/>
        </w:rPr>
        <w:t xml:space="preserve">co-located </w:t>
      </w:r>
      <w:r w:rsidR="00AF484F" w:rsidRPr="005F2A26">
        <w:rPr>
          <w:rFonts w:cs="Times New Roman"/>
          <w:szCs w:val="24"/>
          <w:lang w:val="en-US"/>
        </w:rPr>
        <w:t>and</w:t>
      </w:r>
      <w:r w:rsidR="009C167F" w:rsidRPr="005F2A26">
        <w:rPr>
          <w:rFonts w:cs="Times New Roman"/>
          <w:szCs w:val="24"/>
          <w:lang w:val="en-US"/>
        </w:rPr>
        <w:t xml:space="preserve"> geographically distributed work teams</w:t>
      </w:r>
      <w:r w:rsidR="00234E39" w:rsidRPr="005F2A26">
        <w:rPr>
          <w:rFonts w:cs="Times New Roman"/>
          <w:szCs w:val="24"/>
          <w:lang w:val="en-US"/>
        </w:rPr>
        <w:t>)</w:t>
      </w:r>
      <w:r w:rsidR="00B6463E" w:rsidRPr="005F2A26">
        <w:rPr>
          <w:rFonts w:cs="Times New Roman"/>
          <w:szCs w:val="24"/>
          <w:lang w:val="en-US"/>
        </w:rPr>
        <w:t xml:space="preserve"> and </w:t>
      </w:r>
      <w:r w:rsidR="00CD17FE" w:rsidRPr="005F2A26">
        <w:rPr>
          <w:rFonts w:cs="Times New Roman"/>
          <w:szCs w:val="24"/>
          <w:lang w:val="en-US"/>
        </w:rPr>
        <w:t>can occur between actors where no commercial exchange takes place (Storbacka, 2019)</w:t>
      </w:r>
      <w:r w:rsidR="00251222" w:rsidRPr="005F2A26">
        <w:rPr>
          <w:rFonts w:cs="Times New Roman"/>
          <w:szCs w:val="24"/>
          <w:lang w:val="en-US"/>
        </w:rPr>
        <w:t xml:space="preserve">, </w:t>
      </w:r>
      <w:r w:rsidR="00B6463E" w:rsidRPr="005F2A26">
        <w:rPr>
          <w:rFonts w:cs="Times New Roman"/>
          <w:szCs w:val="24"/>
          <w:lang w:val="en-US"/>
        </w:rPr>
        <w:t xml:space="preserve">e.g., </w:t>
      </w:r>
      <w:r w:rsidR="00EC7B92" w:rsidRPr="005F2A26">
        <w:rPr>
          <w:rFonts w:cs="Times New Roman"/>
          <w:szCs w:val="24"/>
          <w:lang w:val="en-US"/>
        </w:rPr>
        <w:t>through</w:t>
      </w:r>
      <w:r w:rsidR="00175B9F" w:rsidRPr="005F2A26">
        <w:rPr>
          <w:rFonts w:cs="Times New Roman"/>
          <w:szCs w:val="24"/>
          <w:lang w:val="en-US"/>
        </w:rPr>
        <w:t xml:space="preserve"> </w:t>
      </w:r>
      <w:r w:rsidR="00A552E9" w:rsidRPr="005F2A26">
        <w:rPr>
          <w:rFonts w:cs="Times New Roman"/>
          <w:szCs w:val="24"/>
          <w:lang w:val="en-US"/>
        </w:rPr>
        <w:t xml:space="preserve">voluntary </w:t>
      </w:r>
      <w:r w:rsidR="00251222" w:rsidRPr="005F2A26">
        <w:rPr>
          <w:rFonts w:cs="Times New Roman"/>
          <w:szCs w:val="24"/>
          <w:lang w:val="en-US"/>
        </w:rPr>
        <w:t xml:space="preserve">P2P </w:t>
      </w:r>
      <w:r w:rsidR="00A552E9" w:rsidRPr="005F2A26">
        <w:rPr>
          <w:rFonts w:cs="Times New Roman"/>
          <w:szCs w:val="24"/>
          <w:lang w:val="en-US"/>
        </w:rPr>
        <w:t xml:space="preserve">social </w:t>
      </w:r>
      <w:r w:rsidR="00251222" w:rsidRPr="005F2A26">
        <w:rPr>
          <w:rFonts w:cs="Times New Roman"/>
          <w:szCs w:val="24"/>
          <w:lang w:val="en-US"/>
        </w:rPr>
        <w:t>interactions</w:t>
      </w:r>
      <w:r w:rsidR="00A552E9" w:rsidRPr="005F2A26">
        <w:rPr>
          <w:rFonts w:cs="Times New Roman"/>
          <w:szCs w:val="24"/>
          <w:lang w:val="en-US"/>
        </w:rPr>
        <w:t xml:space="preserve"> (</w:t>
      </w:r>
      <w:proofErr w:type="spellStart"/>
      <w:r w:rsidR="00A552E9" w:rsidRPr="005F2A26">
        <w:rPr>
          <w:rFonts w:cs="Times New Roman"/>
          <w:szCs w:val="24"/>
          <w:lang w:val="en-US"/>
        </w:rPr>
        <w:t>Grönroos</w:t>
      </w:r>
      <w:proofErr w:type="spellEnd"/>
      <w:r w:rsidR="00A552E9" w:rsidRPr="005F2A26">
        <w:rPr>
          <w:rFonts w:cs="Times New Roman"/>
          <w:szCs w:val="24"/>
          <w:lang w:val="en-US"/>
        </w:rPr>
        <w:t xml:space="preserve"> and </w:t>
      </w:r>
      <w:proofErr w:type="spellStart"/>
      <w:r w:rsidR="00A552E9" w:rsidRPr="005F2A26">
        <w:rPr>
          <w:rFonts w:cs="Times New Roman"/>
          <w:szCs w:val="24"/>
          <w:lang w:val="en-US"/>
        </w:rPr>
        <w:t>Voima</w:t>
      </w:r>
      <w:proofErr w:type="spellEnd"/>
      <w:r w:rsidR="00262D1A" w:rsidRPr="005F2A26">
        <w:rPr>
          <w:rFonts w:cs="Times New Roman"/>
          <w:szCs w:val="24"/>
          <w:lang w:val="en-US"/>
        </w:rPr>
        <w:t>,</w:t>
      </w:r>
      <w:r w:rsidR="00A552E9" w:rsidRPr="005F2A26">
        <w:rPr>
          <w:rFonts w:cs="Times New Roman"/>
          <w:szCs w:val="24"/>
          <w:lang w:val="en-US"/>
        </w:rPr>
        <w:t xml:space="preserve"> 2013)</w:t>
      </w:r>
      <w:r w:rsidR="00CD17FE" w:rsidRPr="005F2A26">
        <w:rPr>
          <w:rFonts w:cs="Times New Roman"/>
          <w:szCs w:val="24"/>
          <w:lang w:val="en-US"/>
        </w:rPr>
        <w:t>.</w:t>
      </w:r>
      <w:r w:rsidR="00251222" w:rsidRPr="005F2A26">
        <w:rPr>
          <w:rFonts w:cs="Times New Roman"/>
          <w:szCs w:val="24"/>
          <w:lang w:val="en-US"/>
        </w:rPr>
        <w:t xml:space="preserve"> </w:t>
      </w:r>
      <w:r w:rsidR="00AF484F" w:rsidRPr="005F2A26">
        <w:rPr>
          <w:rFonts w:cs="Times New Roman"/>
          <w:szCs w:val="24"/>
          <w:lang w:val="en-US"/>
        </w:rPr>
        <w:t>Collective actor engagement also manifest</w:t>
      </w:r>
      <w:r w:rsidR="00175B9F" w:rsidRPr="005F2A26">
        <w:rPr>
          <w:rFonts w:cs="Times New Roman"/>
          <w:szCs w:val="24"/>
          <w:lang w:val="en-US"/>
        </w:rPr>
        <w:t>s</w:t>
      </w:r>
      <w:r w:rsidR="00AF484F" w:rsidRPr="005F2A26">
        <w:rPr>
          <w:rFonts w:cs="Times New Roman"/>
          <w:szCs w:val="24"/>
          <w:lang w:val="en-US"/>
        </w:rPr>
        <w:t xml:space="preserve"> equally in </w:t>
      </w:r>
      <w:r w:rsidR="009C167F" w:rsidRPr="005F2A26">
        <w:rPr>
          <w:rFonts w:cs="Times New Roman"/>
          <w:szCs w:val="24"/>
          <w:lang w:val="en-US"/>
        </w:rPr>
        <w:t>B2B</w:t>
      </w:r>
      <w:r w:rsidR="00AF484F" w:rsidRPr="005F2A26">
        <w:rPr>
          <w:rFonts w:cs="Times New Roman"/>
          <w:szCs w:val="24"/>
          <w:lang w:val="en-US"/>
        </w:rPr>
        <w:t xml:space="preserve"> (Kleinaltenkamp </w:t>
      </w:r>
      <w:r w:rsidR="00957690" w:rsidRPr="00957690">
        <w:rPr>
          <w:rFonts w:cs="Times New Roman"/>
          <w:i/>
          <w:iCs/>
          <w:szCs w:val="24"/>
          <w:lang w:val="en-US"/>
        </w:rPr>
        <w:t>et al.</w:t>
      </w:r>
      <w:r w:rsidR="00AF484F" w:rsidRPr="005F2A26">
        <w:rPr>
          <w:rFonts w:cs="Times New Roman"/>
          <w:szCs w:val="24"/>
          <w:lang w:val="en-US"/>
        </w:rPr>
        <w:t>, 2019; Storbacka, 2019), B2C</w:t>
      </w:r>
      <w:r w:rsidR="009C167F" w:rsidRPr="005F2A26">
        <w:rPr>
          <w:rFonts w:cs="Times New Roman"/>
          <w:szCs w:val="24"/>
          <w:lang w:val="en-US"/>
        </w:rPr>
        <w:t xml:space="preserve"> </w:t>
      </w:r>
      <w:r w:rsidR="00AF484F" w:rsidRPr="005F2A26">
        <w:rPr>
          <w:rFonts w:cs="Times New Roman"/>
          <w:szCs w:val="24"/>
          <w:lang w:val="en-US"/>
        </w:rPr>
        <w:t xml:space="preserve">(Wilson, 2019), and </w:t>
      </w:r>
      <w:r w:rsidR="009C167F" w:rsidRPr="005F2A26">
        <w:rPr>
          <w:rFonts w:cs="Times New Roman"/>
          <w:szCs w:val="24"/>
          <w:lang w:val="en-US"/>
        </w:rPr>
        <w:t xml:space="preserve">online distributed </w:t>
      </w:r>
      <w:r w:rsidR="00251222" w:rsidRPr="005F2A26">
        <w:rPr>
          <w:rFonts w:cs="Times New Roman"/>
          <w:szCs w:val="24"/>
          <w:lang w:val="en-US"/>
        </w:rPr>
        <w:t xml:space="preserve">P2P </w:t>
      </w:r>
      <w:r w:rsidR="009C167F" w:rsidRPr="005F2A26">
        <w:rPr>
          <w:rFonts w:cs="Times New Roman"/>
          <w:szCs w:val="24"/>
          <w:lang w:val="en-US"/>
        </w:rPr>
        <w:t>situation</w:t>
      </w:r>
      <w:r w:rsidR="00D50665" w:rsidRPr="005F2A26">
        <w:rPr>
          <w:rFonts w:cs="Times New Roman"/>
          <w:szCs w:val="24"/>
          <w:lang w:val="en-US"/>
        </w:rPr>
        <w:t>s</w:t>
      </w:r>
      <w:r w:rsidR="00E05DD3" w:rsidRPr="005F2A26">
        <w:rPr>
          <w:rFonts w:cs="Times New Roman"/>
          <w:szCs w:val="24"/>
          <w:lang w:val="en-US"/>
        </w:rPr>
        <w:t xml:space="preserve"> (Fehrer </w:t>
      </w:r>
      <w:r w:rsidR="00957690" w:rsidRPr="00957690">
        <w:rPr>
          <w:rFonts w:cs="Times New Roman"/>
          <w:i/>
          <w:iCs/>
          <w:szCs w:val="24"/>
          <w:lang w:val="en-US"/>
        </w:rPr>
        <w:t>et al.</w:t>
      </w:r>
      <w:r w:rsidR="003466E0" w:rsidRPr="005F2A26">
        <w:rPr>
          <w:rFonts w:cs="Times New Roman"/>
          <w:szCs w:val="24"/>
          <w:lang w:val="en-US"/>
        </w:rPr>
        <w:t xml:space="preserve">, </w:t>
      </w:r>
      <w:r w:rsidR="00E05DD3" w:rsidRPr="005F2A26">
        <w:rPr>
          <w:rFonts w:cs="Times New Roman"/>
          <w:szCs w:val="24"/>
          <w:lang w:val="en-US"/>
        </w:rPr>
        <w:t>2020)</w:t>
      </w:r>
      <w:r w:rsidR="009C167F" w:rsidRPr="005F2A26">
        <w:rPr>
          <w:rFonts w:cs="Times New Roman"/>
          <w:szCs w:val="24"/>
          <w:lang w:val="en-US"/>
        </w:rPr>
        <w:t>.</w:t>
      </w:r>
    </w:p>
    <w:p w14:paraId="45F2E856" w14:textId="03444119" w:rsidR="00F46BF7" w:rsidRPr="005F2A26" w:rsidRDefault="00D33DBC" w:rsidP="00B6463E">
      <w:pPr>
        <w:autoSpaceDE w:val="0"/>
        <w:autoSpaceDN w:val="0"/>
        <w:adjustRightInd w:val="0"/>
        <w:spacing w:after="0" w:line="480" w:lineRule="auto"/>
        <w:ind w:firstLine="720"/>
        <w:rPr>
          <w:rFonts w:cs="Times New Roman"/>
          <w:szCs w:val="24"/>
          <w:lang w:val="en-US"/>
        </w:rPr>
      </w:pPr>
      <w:r w:rsidRPr="005F2A26">
        <w:rPr>
          <w:rFonts w:cs="Times New Roman"/>
          <w:szCs w:val="24"/>
          <w:lang w:val="en-US"/>
        </w:rPr>
        <w:t xml:space="preserve">In contrast to engagement within a dyad of customer and firm, </w:t>
      </w:r>
      <w:r w:rsidR="009B3678" w:rsidRPr="005F2A26">
        <w:rPr>
          <w:rFonts w:cs="Times New Roman"/>
          <w:szCs w:val="24"/>
          <w:lang w:val="en-US"/>
        </w:rPr>
        <w:t xml:space="preserve">consequences of </w:t>
      </w:r>
      <w:r w:rsidRPr="005F2A26">
        <w:rPr>
          <w:rFonts w:cs="Times New Roman"/>
          <w:szCs w:val="24"/>
          <w:lang w:val="en-US"/>
        </w:rPr>
        <w:t xml:space="preserve">collective engagement </w:t>
      </w:r>
      <w:r w:rsidR="009B3678" w:rsidRPr="005F2A26">
        <w:rPr>
          <w:rFonts w:cs="Times New Roman"/>
          <w:szCs w:val="24"/>
          <w:lang w:val="en-US"/>
        </w:rPr>
        <w:t>include</w:t>
      </w:r>
      <w:r w:rsidRPr="005F2A26">
        <w:rPr>
          <w:rFonts w:cs="Times New Roman"/>
          <w:szCs w:val="24"/>
          <w:lang w:val="en-US"/>
        </w:rPr>
        <w:t xml:space="preserve"> </w:t>
      </w:r>
      <w:r w:rsidR="00150389" w:rsidRPr="005F2A26">
        <w:rPr>
          <w:rFonts w:cs="Times New Roman"/>
          <w:szCs w:val="24"/>
          <w:lang w:val="en-US"/>
        </w:rPr>
        <w:t xml:space="preserve">voluntary P2P interactions </w:t>
      </w:r>
      <w:r w:rsidR="00C75AE1" w:rsidRPr="005F2A26">
        <w:rPr>
          <w:rFonts w:cs="Times New Roman"/>
          <w:szCs w:val="24"/>
          <w:lang w:val="en-US"/>
        </w:rPr>
        <w:t xml:space="preserve">aimed at </w:t>
      </w:r>
      <w:r w:rsidR="00150389" w:rsidRPr="005F2A26">
        <w:rPr>
          <w:rFonts w:cs="Times New Roman"/>
          <w:szCs w:val="24"/>
          <w:lang w:val="en-US"/>
        </w:rPr>
        <w:t>benefit</w:t>
      </w:r>
      <w:r w:rsidR="00C75AE1" w:rsidRPr="005F2A26">
        <w:rPr>
          <w:rFonts w:cs="Times New Roman"/>
          <w:szCs w:val="24"/>
          <w:lang w:val="en-US"/>
        </w:rPr>
        <w:t>ing</w:t>
      </w:r>
      <w:r w:rsidR="00150389" w:rsidRPr="005F2A26">
        <w:rPr>
          <w:rFonts w:cs="Times New Roman"/>
          <w:szCs w:val="24"/>
          <w:lang w:val="en-US"/>
        </w:rPr>
        <w:t xml:space="preserve"> not just the firm </w:t>
      </w:r>
      <w:r w:rsidR="00150389" w:rsidRPr="005F2A26">
        <w:rPr>
          <w:rFonts w:cs="Times New Roman"/>
          <w:szCs w:val="24"/>
          <w:lang w:val="en-US"/>
        </w:rPr>
        <w:lastRenderedPageBreak/>
        <w:t xml:space="preserve">or customer, but also the broader </w:t>
      </w:r>
      <w:r w:rsidR="001C2123" w:rsidRPr="005F2A26">
        <w:rPr>
          <w:rFonts w:cs="Times New Roman"/>
          <w:szCs w:val="24"/>
          <w:lang w:val="en-US"/>
        </w:rPr>
        <w:t xml:space="preserve">online </w:t>
      </w:r>
      <w:r w:rsidR="00150389" w:rsidRPr="005F2A26">
        <w:rPr>
          <w:rFonts w:cs="Times New Roman"/>
          <w:szCs w:val="24"/>
          <w:lang w:val="en-US"/>
        </w:rPr>
        <w:t>community</w:t>
      </w:r>
      <w:r w:rsidR="00E762C0" w:rsidRPr="005F2A26">
        <w:rPr>
          <w:rFonts w:cs="Times New Roman"/>
          <w:szCs w:val="24"/>
          <w:lang w:val="en-US"/>
        </w:rPr>
        <w:t xml:space="preserve">, e.g., by providing </w:t>
      </w:r>
      <w:r w:rsidR="00E762C0" w:rsidRPr="005F2A26">
        <w:rPr>
          <w:rFonts w:eastAsia="Calibri" w:cs="Times New Roman"/>
          <w:szCs w:val="24"/>
          <w:lang w:val="en-US"/>
        </w:rPr>
        <w:t>voluntary assistance</w:t>
      </w:r>
      <w:r w:rsidR="00E762C0" w:rsidRPr="005F2A26">
        <w:rPr>
          <w:rFonts w:cs="Times New Roman"/>
          <w:szCs w:val="24"/>
          <w:lang w:val="en-US"/>
        </w:rPr>
        <w:t xml:space="preserve"> and recommendations to others on alternative ways of using products or brands (Brodie </w:t>
      </w:r>
      <w:r w:rsidR="00957690" w:rsidRPr="00957690">
        <w:rPr>
          <w:rFonts w:cs="Times New Roman"/>
          <w:i/>
          <w:iCs/>
          <w:szCs w:val="24"/>
          <w:lang w:val="en-US"/>
        </w:rPr>
        <w:t>et al.</w:t>
      </w:r>
      <w:r w:rsidR="00E762C0" w:rsidRPr="005F2A26">
        <w:rPr>
          <w:rFonts w:cs="Times New Roman"/>
          <w:szCs w:val="24"/>
          <w:lang w:val="en-US"/>
        </w:rPr>
        <w:t>, 2013)</w:t>
      </w:r>
      <w:r w:rsidR="00150389" w:rsidRPr="005F2A26">
        <w:rPr>
          <w:rFonts w:cs="Times New Roman"/>
          <w:szCs w:val="24"/>
          <w:lang w:val="en-US"/>
        </w:rPr>
        <w:t>.</w:t>
      </w:r>
      <w:r w:rsidR="002E32E4" w:rsidRPr="005F2A26">
        <w:rPr>
          <w:rFonts w:cs="Times New Roman"/>
          <w:szCs w:val="24"/>
          <w:lang w:val="en-US"/>
        </w:rPr>
        <w:t xml:space="preserve"> </w:t>
      </w:r>
      <w:r w:rsidR="00ED161A" w:rsidRPr="005F2A26">
        <w:rPr>
          <w:rFonts w:cs="Times New Roman"/>
          <w:szCs w:val="24"/>
          <w:lang w:val="en-US"/>
        </w:rPr>
        <w:t xml:space="preserve">For example, a </w:t>
      </w:r>
      <w:proofErr w:type="spellStart"/>
      <w:r w:rsidR="00ED161A" w:rsidRPr="005F2A26">
        <w:rPr>
          <w:rFonts w:cs="Times New Roman"/>
          <w:szCs w:val="24"/>
          <w:lang w:val="en-US"/>
        </w:rPr>
        <w:t>Stackoverflow</w:t>
      </w:r>
      <w:proofErr w:type="spellEnd"/>
      <w:r w:rsidR="00ED161A" w:rsidRPr="005F2A26">
        <w:rPr>
          <w:rFonts w:cs="Times New Roman"/>
          <w:szCs w:val="24"/>
          <w:lang w:val="en-US"/>
        </w:rPr>
        <w:t xml:space="preserve"> user who avidly shares code</w:t>
      </w:r>
      <w:r w:rsidR="00575C33" w:rsidRPr="005F2A26">
        <w:rPr>
          <w:rFonts w:cs="Times New Roman"/>
          <w:szCs w:val="24"/>
          <w:lang w:val="en-US"/>
        </w:rPr>
        <w:t xml:space="preserve"> and suggestions to others on how to improve their code,</w:t>
      </w:r>
      <w:r w:rsidR="00ED161A" w:rsidRPr="005F2A26">
        <w:rPr>
          <w:rFonts w:cs="Times New Roman"/>
          <w:szCs w:val="24"/>
          <w:lang w:val="en-US"/>
        </w:rPr>
        <w:t xml:space="preserve"> does so not just for their own benefit </w:t>
      </w:r>
      <w:r w:rsidR="00352D20" w:rsidRPr="005F2A26">
        <w:rPr>
          <w:rFonts w:cs="Times New Roman"/>
          <w:szCs w:val="24"/>
          <w:lang w:val="en-US"/>
        </w:rPr>
        <w:t>and/</w:t>
      </w:r>
      <w:r w:rsidR="00ED161A" w:rsidRPr="005F2A26">
        <w:rPr>
          <w:rFonts w:cs="Times New Roman"/>
          <w:szCs w:val="24"/>
          <w:lang w:val="en-US"/>
        </w:rPr>
        <w:t xml:space="preserve">or the benefit of the platform, but </w:t>
      </w:r>
      <w:r w:rsidR="008E0E2A" w:rsidRPr="005F2A26">
        <w:rPr>
          <w:rFonts w:cs="Times New Roman"/>
          <w:szCs w:val="24"/>
          <w:lang w:val="en-US"/>
        </w:rPr>
        <w:t xml:space="preserve">also </w:t>
      </w:r>
      <w:r w:rsidR="00ED161A" w:rsidRPr="005F2A26">
        <w:rPr>
          <w:rFonts w:cs="Times New Roman"/>
          <w:szCs w:val="24"/>
          <w:lang w:val="en-US"/>
        </w:rPr>
        <w:t xml:space="preserve">for the benefit of others within the broader community. This user is demonstrating collective engagement with their coding community as well as the platform. In contrast, an Uber rider is hoping to get from </w:t>
      </w:r>
      <w:r w:rsidR="00920E5B">
        <w:rPr>
          <w:rFonts w:cs="Times New Roman"/>
          <w:szCs w:val="24"/>
          <w:lang w:val="en-US"/>
        </w:rPr>
        <w:t>point-</w:t>
      </w:r>
      <w:r w:rsidR="00ED161A" w:rsidRPr="005F2A26">
        <w:rPr>
          <w:rFonts w:cs="Times New Roman"/>
          <w:szCs w:val="24"/>
          <w:lang w:val="en-US"/>
        </w:rPr>
        <w:t>to</w:t>
      </w:r>
      <w:r w:rsidR="00920E5B">
        <w:rPr>
          <w:rFonts w:cs="Times New Roman"/>
          <w:szCs w:val="24"/>
          <w:lang w:val="en-US"/>
        </w:rPr>
        <w:t>-poi</w:t>
      </w:r>
      <w:r w:rsidR="00BF6383">
        <w:rPr>
          <w:rFonts w:cs="Times New Roman"/>
          <w:szCs w:val="24"/>
          <w:lang w:val="en-US"/>
        </w:rPr>
        <w:t>nt</w:t>
      </w:r>
      <w:r w:rsidR="00ED161A" w:rsidRPr="005F2A26">
        <w:rPr>
          <w:rFonts w:cs="Times New Roman"/>
          <w:szCs w:val="24"/>
          <w:lang w:val="en-US"/>
        </w:rPr>
        <w:t xml:space="preserve"> in a</w:t>
      </w:r>
      <w:r w:rsidR="008575FE">
        <w:rPr>
          <w:rFonts w:cs="Times New Roman"/>
          <w:szCs w:val="24"/>
          <w:lang w:val="en-US"/>
        </w:rPr>
        <w:t xml:space="preserve"> </w:t>
      </w:r>
      <w:r w:rsidR="00BF6383">
        <w:rPr>
          <w:rFonts w:cs="Times New Roman"/>
          <w:szCs w:val="24"/>
          <w:lang w:val="en-US"/>
        </w:rPr>
        <w:t>more</w:t>
      </w:r>
      <w:r w:rsidR="00ED161A" w:rsidRPr="005F2A26">
        <w:rPr>
          <w:rFonts w:cs="Times New Roman"/>
          <w:szCs w:val="24"/>
          <w:lang w:val="en-US"/>
        </w:rPr>
        <w:t xml:space="preserve"> efficient or cost-effective manner than offered by a traditional taxi.</w:t>
      </w:r>
      <w:r w:rsidR="00606816" w:rsidRPr="005F2A26">
        <w:rPr>
          <w:rFonts w:cs="Times New Roman"/>
          <w:szCs w:val="24"/>
          <w:lang w:val="en-US"/>
        </w:rPr>
        <w:t xml:space="preserve"> Likewise, an Uber driver is </w:t>
      </w:r>
      <w:r w:rsidR="00352D20" w:rsidRPr="005F2A26">
        <w:rPr>
          <w:rFonts w:cs="Times New Roman"/>
          <w:szCs w:val="24"/>
          <w:lang w:val="en-US"/>
        </w:rPr>
        <w:t xml:space="preserve">maybe </w:t>
      </w:r>
      <w:r w:rsidR="00606816" w:rsidRPr="005F2A26">
        <w:rPr>
          <w:rFonts w:cs="Times New Roman"/>
          <w:szCs w:val="24"/>
          <w:lang w:val="en-US"/>
        </w:rPr>
        <w:t>hoping to earn more effectively, with less upfront cost, than if they were to drive a taxi.</w:t>
      </w:r>
      <w:r w:rsidR="00ED161A" w:rsidRPr="005F2A26">
        <w:rPr>
          <w:rFonts w:cs="Times New Roman"/>
          <w:szCs w:val="24"/>
          <w:lang w:val="en-US"/>
        </w:rPr>
        <w:t xml:space="preserve"> The user</w:t>
      </w:r>
      <w:r w:rsidR="00352D20" w:rsidRPr="005F2A26">
        <w:rPr>
          <w:rFonts w:cs="Times New Roman"/>
          <w:szCs w:val="24"/>
          <w:lang w:val="en-US"/>
        </w:rPr>
        <w:t>s</w:t>
      </w:r>
      <w:r w:rsidR="00212ED1" w:rsidRPr="005F2A26">
        <w:rPr>
          <w:rFonts w:cs="Times New Roman"/>
          <w:szCs w:val="24"/>
          <w:lang w:val="en-US"/>
        </w:rPr>
        <w:t xml:space="preserve"> (driver</w:t>
      </w:r>
      <w:r w:rsidR="00352D20" w:rsidRPr="005F2A26">
        <w:rPr>
          <w:rFonts w:cs="Times New Roman"/>
          <w:szCs w:val="24"/>
          <w:lang w:val="en-US"/>
        </w:rPr>
        <w:t>s</w:t>
      </w:r>
      <w:r w:rsidR="00212ED1" w:rsidRPr="005F2A26">
        <w:rPr>
          <w:rFonts w:cs="Times New Roman"/>
          <w:szCs w:val="24"/>
          <w:lang w:val="en-US"/>
        </w:rPr>
        <w:t xml:space="preserve"> or rider</w:t>
      </w:r>
      <w:r w:rsidR="00352D20" w:rsidRPr="005F2A26">
        <w:rPr>
          <w:rFonts w:cs="Times New Roman"/>
          <w:szCs w:val="24"/>
          <w:lang w:val="en-US"/>
        </w:rPr>
        <w:t>s</w:t>
      </w:r>
      <w:r w:rsidR="00212ED1" w:rsidRPr="005F2A26">
        <w:rPr>
          <w:rFonts w:cs="Times New Roman"/>
          <w:szCs w:val="24"/>
          <w:lang w:val="en-US"/>
        </w:rPr>
        <w:t>)</w:t>
      </w:r>
      <w:r w:rsidR="00ED161A" w:rsidRPr="005F2A26">
        <w:rPr>
          <w:rFonts w:cs="Times New Roman"/>
          <w:szCs w:val="24"/>
          <w:lang w:val="en-US"/>
        </w:rPr>
        <w:t xml:space="preserve"> m</w:t>
      </w:r>
      <w:r w:rsidR="00212ED1" w:rsidRPr="005F2A26">
        <w:rPr>
          <w:rFonts w:cs="Times New Roman"/>
          <w:szCs w:val="24"/>
          <w:lang w:val="en-US"/>
        </w:rPr>
        <w:t>ight</w:t>
      </w:r>
      <w:r w:rsidR="00ED161A" w:rsidRPr="005F2A26">
        <w:rPr>
          <w:rFonts w:cs="Times New Roman"/>
          <w:szCs w:val="24"/>
          <w:lang w:val="en-US"/>
        </w:rPr>
        <w:t xml:space="preserve"> demonstrate brand love</w:t>
      </w:r>
      <w:r w:rsidR="00597B35" w:rsidRPr="005F2A26">
        <w:rPr>
          <w:rFonts w:cs="Times New Roman"/>
          <w:szCs w:val="24"/>
          <w:lang w:val="en-US"/>
        </w:rPr>
        <w:t xml:space="preserve"> towards </w:t>
      </w:r>
      <w:r w:rsidR="00A637D5" w:rsidRPr="005F2A26">
        <w:rPr>
          <w:rFonts w:cs="Times New Roman"/>
          <w:szCs w:val="24"/>
          <w:lang w:val="en-US"/>
        </w:rPr>
        <w:t>Uber</w:t>
      </w:r>
      <w:r w:rsidR="00ED161A" w:rsidRPr="005F2A26">
        <w:rPr>
          <w:rFonts w:cs="Times New Roman"/>
          <w:szCs w:val="24"/>
          <w:lang w:val="en-US"/>
        </w:rPr>
        <w:t xml:space="preserve">, moderate their behavior </w:t>
      </w:r>
      <w:r w:rsidR="005E66CF" w:rsidRPr="005F2A26">
        <w:rPr>
          <w:rFonts w:cs="Times New Roman"/>
          <w:szCs w:val="24"/>
          <w:lang w:val="en-US"/>
        </w:rPr>
        <w:t>to protect their own ranking</w:t>
      </w:r>
      <w:r w:rsidR="00ED161A" w:rsidRPr="005F2A26">
        <w:rPr>
          <w:rFonts w:cs="Times New Roman"/>
          <w:szCs w:val="24"/>
          <w:lang w:val="en-US"/>
        </w:rPr>
        <w:t>, rank others, or make suggestions to Uber to improve the service offering. However, these</w:t>
      </w:r>
      <w:r w:rsidR="00800BC1" w:rsidRPr="005F2A26">
        <w:rPr>
          <w:rFonts w:cs="Times New Roman"/>
          <w:szCs w:val="24"/>
          <w:lang w:val="en-US"/>
        </w:rPr>
        <w:t xml:space="preserve"> users have little or no interest in other similar users, hence, they </w:t>
      </w:r>
      <w:r w:rsidR="00ED161A" w:rsidRPr="005F2A26">
        <w:rPr>
          <w:rFonts w:cs="Times New Roman"/>
          <w:szCs w:val="24"/>
          <w:lang w:val="en-US"/>
        </w:rPr>
        <w:t xml:space="preserve">demonstrate engagement </w:t>
      </w:r>
      <w:r w:rsidR="005903E5" w:rsidRPr="005F2A26">
        <w:rPr>
          <w:rFonts w:cs="Times New Roman"/>
          <w:szCs w:val="24"/>
          <w:lang w:val="en-US"/>
        </w:rPr>
        <w:t xml:space="preserve">within </w:t>
      </w:r>
      <w:r w:rsidR="00ED161A" w:rsidRPr="005F2A26">
        <w:rPr>
          <w:rFonts w:cs="Times New Roman"/>
          <w:szCs w:val="24"/>
          <w:lang w:val="en-US"/>
        </w:rPr>
        <w:t xml:space="preserve">the dyad of </w:t>
      </w:r>
      <w:r w:rsidR="003D0390" w:rsidRPr="005F2A26">
        <w:rPr>
          <w:rFonts w:cs="Times New Roman"/>
          <w:szCs w:val="24"/>
          <w:lang w:val="en-US"/>
        </w:rPr>
        <w:t>them</w:t>
      </w:r>
      <w:r w:rsidR="00ED161A" w:rsidRPr="005F2A26">
        <w:rPr>
          <w:rFonts w:cs="Times New Roman"/>
          <w:szCs w:val="24"/>
          <w:lang w:val="en-US"/>
        </w:rPr>
        <w:t xml:space="preserve"> and</w:t>
      </w:r>
      <w:r w:rsidR="005903E5" w:rsidRPr="005F2A26">
        <w:rPr>
          <w:rFonts w:cs="Times New Roman"/>
          <w:szCs w:val="24"/>
          <w:lang w:val="en-US"/>
        </w:rPr>
        <w:t xml:space="preserve"> the</w:t>
      </w:r>
      <w:r w:rsidR="003D0390" w:rsidRPr="005F2A26">
        <w:rPr>
          <w:rFonts w:cs="Times New Roman"/>
          <w:szCs w:val="24"/>
          <w:lang w:val="en-US"/>
        </w:rPr>
        <w:t xml:space="preserve"> Uber</w:t>
      </w:r>
      <w:r w:rsidR="005903E5" w:rsidRPr="005F2A26">
        <w:rPr>
          <w:rFonts w:cs="Times New Roman"/>
          <w:szCs w:val="24"/>
          <w:lang w:val="en-US"/>
        </w:rPr>
        <w:t xml:space="preserve"> platform</w:t>
      </w:r>
      <w:r w:rsidR="00ED161A" w:rsidRPr="005F2A26">
        <w:rPr>
          <w:rFonts w:cs="Times New Roman"/>
          <w:szCs w:val="24"/>
          <w:lang w:val="en-US"/>
        </w:rPr>
        <w:t>.</w:t>
      </w:r>
    </w:p>
    <w:p w14:paraId="0397351F" w14:textId="77777777" w:rsidR="005903E5" w:rsidRPr="005F2A26" w:rsidRDefault="005903E5" w:rsidP="00B6463E">
      <w:pPr>
        <w:autoSpaceDE w:val="0"/>
        <w:autoSpaceDN w:val="0"/>
        <w:adjustRightInd w:val="0"/>
        <w:spacing w:after="0" w:line="480" w:lineRule="auto"/>
        <w:ind w:firstLine="720"/>
        <w:rPr>
          <w:rFonts w:cs="Times New Roman"/>
          <w:szCs w:val="24"/>
          <w:lang w:val="en-US"/>
        </w:rPr>
      </w:pPr>
    </w:p>
    <w:p w14:paraId="290AB72D" w14:textId="2CBC547C" w:rsidR="000D2823" w:rsidRPr="005F2A26" w:rsidRDefault="000D2823" w:rsidP="000026DF">
      <w:pPr>
        <w:autoSpaceDE w:val="0"/>
        <w:autoSpaceDN w:val="0"/>
        <w:adjustRightInd w:val="0"/>
        <w:spacing w:after="0" w:line="480" w:lineRule="auto"/>
        <w:rPr>
          <w:rFonts w:cs="Times New Roman"/>
          <w:i/>
          <w:iCs/>
          <w:szCs w:val="24"/>
          <w:lang w:val="en-US"/>
        </w:rPr>
      </w:pPr>
      <w:r w:rsidRPr="005F2A26">
        <w:rPr>
          <w:rFonts w:cs="Times New Roman"/>
          <w:i/>
          <w:iCs/>
          <w:szCs w:val="24"/>
          <w:lang w:val="en-US"/>
        </w:rPr>
        <w:t>Antecedents to engagement</w:t>
      </w:r>
    </w:p>
    <w:p w14:paraId="08293889" w14:textId="260C0D7C" w:rsidR="00A12E37" w:rsidRPr="005F2A26" w:rsidRDefault="00BB61B6" w:rsidP="000D2823">
      <w:pPr>
        <w:autoSpaceDE w:val="0"/>
        <w:autoSpaceDN w:val="0"/>
        <w:adjustRightInd w:val="0"/>
        <w:spacing w:after="0" w:line="480" w:lineRule="auto"/>
        <w:rPr>
          <w:rFonts w:eastAsia="Calibri" w:cs="Times New Roman"/>
          <w:szCs w:val="24"/>
          <w:lang w:val="en-US"/>
        </w:rPr>
      </w:pPr>
      <w:r w:rsidRPr="005F2A26">
        <w:rPr>
          <w:rFonts w:eastAsia="Calibri" w:cs="Times New Roman"/>
          <w:szCs w:val="24"/>
          <w:lang w:val="en-US"/>
        </w:rPr>
        <w:t>N</w:t>
      </w:r>
      <w:r w:rsidR="00A33731" w:rsidRPr="005F2A26">
        <w:rPr>
          <w:rFonts w:eastAsia="Calibri" w:cs="Times New Roman"/>
          <w:szCs w:val="24"/>
          <w:lang w:val="en-US"/>
        </w:rPr>
        <w:t>umerous assertions have been made about what act as antecedents</w:t>
      </w:r>
      <w:r w:rsidRPr="005F2A26">
        <w:rPr>
          <w:rFonts w:eastAsia="Calibri" w:cs="Times New Roman"/>
          <w:szCs w:val="24"/>
          <w:lang w:val="en-US"/>
        </w:rPr>
        <w:t xml:space="preserve"> to engagement</w:t>
      </w:r>
      <w:r w:rsidR="00A33731" w:rsidRPr="005F2A26">
        <w:rPr>
          <w:rFonts w:eastAsia="Calibri" w:cs="Times New Roman"/>
          <w:szCs w:val="24"/>
          <w:lang w:val="en-US"/>
        </w:rPr>
        <w:t xml:space="preserve">. </w:t>
      </w:r>
      <w:r w:rsidR="00B242EA" w:rsidRPr="005F2A26">
        <w:rPr>
          <w:rFonts w:eastAsia="Calibri" w:cs="Times New Roman"/>
          <w:szCs w:val="24"/>
          <w:lang w:val="en-US"/>
        </w:rPr>
        <w:t>For example, scholars have proposed possible precursors include</w:t>
      </w:r>
      <w:r w:rsidR="00C52B18" w:rsidRPr="005F2A26">
        <w:rPr>
          <w:rFonts w:eastAsia="Calibri" w:cs="Times New Roman"/>
          <w:szCs w:val="24"/>
          <w:lang w:val="en-US"/>
        </w:rPr>
        <w:t xml:space="preserve"> </w:t>
      </w:r>
      <w:r w:rsidR="00B242EA" w:rsidRPr="005F2A26">
        <w:rPr>
          <w:rFonts w:eastAsia="Calibri" w:cs="Times New Roman"/>
          <w:szCs w:val="24"/>
          <w:lang w:val="en-US"/>
        </w:rPr>
        <w:t>customer</w:t>
      </w:r>
      <w:r w:rsidR="00C52B18" w:rsidRPr="005F2A26">
        <w:rPr>
          <w:rFonts w:eastAsia="Calibri" w:cs="Times New Roman"/>
          <w:szCs w:val="24"/>
          <w:lang w:val="en-US"/>
        </w:rPr>
        <w:t xml:space="preserve"> or actor</w:t>
      </w:r>
      <w:r w:rsidR="00B242EA" w:rsidRPr="005F2A26">
        <w:rPr>
          <w:rFonts w:eastAsia="Calibri" w:cs="Times New Roman"/>
          <w:szCs w:val="24"/>
          <w:lang w:val="en-US"/>
        </w:rPr>
        <w:t xml:space="preserve"> behavior, attitude (Kumar </w:t>
      </w:r>
      <w:r w:rsidR="00957690" w:rsidRPr="00957690">
        <w:rPr>
          <w:rFonts w:eastAsia="Calibri" w:cs="Times New Roman"/>
          <w:i/>
          <w:iCs/>
          <w:szCs w:val="24"/>
          <w:lang w:val="en-US"/>
        </w:rPr>
        <w:t>et al.</w:t>
      </w:r>
      <w:r w:rsidR="00B242EA" w:rsidRPr="005F2A26">
        <w:rPr>
          <w:rFonts w:eastAsia="Calibri" w:cs="Times New Roman"/>
          <w:szCs w:val="24"/>
          <w:lang w:val="en-US"/>
        </w:rPr>
        <w:t>, 2010)</w:t>
      </w:r>
      <w:r w:rsidR="00E04E80">
        <w:rPr>
          <w:rFonts w:eastAsia="Calibri" w:cs="Times New Roman"/>
          <w:szCs w:val="24"/>
          <w:lang w:val="en-US"/>
        </w:rPr>
        <w:t>,</w:t>
      </w:r>
      <w:r w:rsidR="00B242EA" w:rsidRPr="005F2A26">
        <w:rPr>
          <w:rFonts w:eastAsia="Calibri" w:cs="Times New Roman"/>
          <w:szCs w:val="24"/>
          <w:lang w:val="en-US"/>
        </w:rPr>
        <w:t xml:space="preserve"> experience (Roberts and Alpert, 2010),</w:t>
      </w:r>
      <w:r w:rsidR="00C52B18" w:rsidRPr="005F2A26">
        <w:rPr>
          <w:rFonts w:eastAsia="Calibri" w:cs="Times New Roman"/>
          <w:szCs w:val="24"/>
          <w:lang w:val="en-US"/>
        </w:rPr>
        <w:t xml:space="preserve"> </w:t>
      </w:r>
      <w:r w:rsidR="00B242EA" w:rsidRPr="005F2A26">
        <w:rPr>
          <w:rFonts w:eastAsia="Calibri" w:cs="Times New Roman"/>
          <w:szCs w:val="24"/>
          <w:lang w:val="en-US"/>
        </w:rPr>
        <w:t xml:space="preserve">involvement, participation (Brodie </w:t>
      </w:r>
      <w:r w:rsidR="00957690" w:rsidRPr="00957690">
        <w:rPr>
          <w:rFonts w:eastAsia="Calibri" w:cs="Times New Roman"/>
          <w:i/>
          <w:iCs/>
          <w:szCs w:val="24"/>
          <w:lang w:val="en-US"/>
        </w:rPr>
        <w:t>et al.</w:t>
      </w:r>
      <w:r w:rsidR="00B242EA" w:rsidRPr="005F2A26">
        <w:rPr>
          <w:rFonts w:eastAsia="Calibri" w:cs="Times New Roman"/>
          <w:szCs w:val="24"/>
          <w:lang w:val="en-US"/>
        </w:rPr>
        <w:t xml:space="preserve">, 2011; Vivek </w:t>
      </w:r>
      <w:r w:rsidR="00957690" w:rsidRPr="00957690">
        <w:rPr>
          <w:rFonts w:eastAsia="Calibri" w:cs="Times New Roman"/>
          <w:i/>
          <w:iCs/>
          <w:szCs w:val="24"/>
          <w:lang w:val="en-US"/>
        </w:rPr>
        <w:t>et al.</w:t>
      </w:r>
      <w:r w:rsidR="00B242EA" w:rsidRPr="005F2A26">
        <w:rPr>
          <w:rFonts w:eastAsia="Calibri" w:cs="Times New Roman"/>
          <w:szCs w:val="24"/>
          <w:lang w:val="en-US"/>
        </w:rPr>
        <w:t xml:space="preserve">, 2012), </w:t>
      </w:r>
      <w:r w:rsidR="003204CC">
        <w:rPr>
          <w:rFonts w:eastAsia="Calibri" w:cs="Times New Roman"/>
          <w:szCs w:val="24"/>
          <w:lang w:val="en-US"/>
        </w:rPr>
        <w:t>and</w:t>
      </w:r>
      <w:r w:rsidR="00B242EA" w:rsidRPr="005F2A26">
        <w:rPr>
          <w:rFonts w:eastAsia="Calibri" w:cs="Times New Roman"/>
          <w:szCs w:val="24"/>
          <w:lang w:val="en-US"/>
        </w:rPr>
        <w:t xml:space="preserve"> satisfaction (</w:t>
      </w:r>
      <w:proofErr w:type="spellStart"/>
      <w:r w:rsidR="00B242EA" w:rsidRPr="005F2A26">
        <w:rPr>
          <w:rFonts w:eastAsia="Calibri" w:cs="Times New Roman"/>
          <w:szCs w:val="24"/>
          <w:lang w:val="en-US"/>
        </w:rPr>
        <w:t>Bergel</w:t>
      </w:r>
      <w:proofErr w:type="spellEnd"/>
      <w:r w:rsidR="00B242EA" w:rsidRPr="005F2A26">
        <w:rPr>
          <w:rFonts w:eastAsia="Calibri" w:cs="Times New Roman"/>
          <w:szCs w:val="24"/>
          <w:lang w:val="en-US"/>
        </w:rPr>
        <w:t xml:space="preserve"> </w:t>
      </w:r>
      <w:r w:rsidR="00957690" w:rsidRPr="00957690">
        <w:rPr>
          <w:rFonts w:eastAsia="Calibri" w:cs="Times New Roman"/>
          <w:i/>
          <w:iCs/>
          <w:szCs w:val="24"/>
          <w:lang w:val="en-US"/>
        </w:rPr>
        <w:t>et al.</w:t>
      </w:r>
      <w:r w:rsidR="00B242EA" w:rsidRPr="005F2A26">
        <w:rPr>
          <w:rFonts w:eastAsia="Calibri" w:cs="Times New Roman"/>
          <w:szCs w:val="24"/>
          <w:lang w:val="en-US"/>
        </w:rPr>
        <w:t>, 2019)</w:t>
      </w:r>
      <w:r w:rsidR="00E04E80">
        <w:rPr>
          <w:rFonts w:eastAsia="Calibri" w:cs="Times New Roman"/>
          <w:szCs w:val="24"/>
          <w:lang w:val="en-US"/>
        </w:rPr>
        <w:t>. Other</w:t>
      </w:r>
      <w:r w:rsidR="003707C5">
        <w:rPr>
          <w:rFonts w:eastAsia="Calibri" w:cs="Times New Roman"/>
          <w:szCs w:val="24"/>
          <w:lang w:val="en-US"/>
        </w:rPr>
        <w:t>s</w:t>
      </w:r>
      <w:r w:rsidR="00395F7A">
        <w:rPr>
          <w:rFonts w:eastAsia="Calibri" w:cs="Times New Roman"/>
          <w:szCs w:val="24"/>
          <w:lang w:val="en-US"/>
        </w:rPr>
        <w:t xml:space="preserve"> include</w:t>
      </w:r>
      <w:r w:rsidR="00B242EA" w:rsidRPr="005F2A26">
        <w:rPr>
          <w:rFonts w:eastAsia="Calibri" w:cs="Times New Roman"/>
          <w:szCs w:val="24"/>
          <w:lang w:val="en-US"/>
        </w:rPr>
        <w:t xml:space="preserve"> the perceived quality of the service offering (Islam </w:t>
      </w:r>
      <w:r w:rsidR="00957690" w:rsidRPr="00957690">
        <w:rPr>
          <w:rFonts w:eastAsia="Calibri" w:cs="Times New Roman"/>
          <w:i/>
          <w:iCs/>
          <w:szCs w:val="24"/>
          <w:lang w:val="en-US"/>
        </w:rPr>
        <w:t>et al.</w:t>
      </w:r>
      <w:r w:rsidR="00B242EA" w:rsidRPr="005F2A26">
        <w:rPr>
          <w:rFonts w:eastAsia="Calibri" w:cs="Times New Roman"/>
          <w:szCs w:val="24"/>
          <w:lang w:val="en-US"/>
        </w:rPr>
        <w:t>, 2019</w:t>
      </w:r>
      <w:r w:rsidR="007B7E5B" w:rsidRPr="005F2A26">
        <w:rPr>
          <w:rFonts w:eastAsia="Calibri" w:cs="Times New Roman"/>
          <w:szCs w:val="24"/>
          <w:lang w:val="en-US"/>
        </w:rPr>
        <w:t>)</w:t>
      </w:r>
      <w:r w:rsidR="004404C7" w:rsidRPr="005F2A26">
        <w:rPr>
          <w:rFonts w:eastAsia="Calibri" w:cs="Times New Roman"/>
          <w:szCs w:val="24"/>
          <w:lang w:val="en-US"/>
        </w:rPr>
        <w:t>,</w:t>
      </w:r>
      <w:r w:rsidR="00221177" w:rsidRPr="005F2A26">
        <w:rPr>
          <w:rFonts w:eastAsia="Calibri" w:cs="Times New Roman"/>
          <w:szCs w:val="24"/>
          <w:lang w:val="en-US"/>
        </w:rPr>
        <w:t xml:space="preserve"> </w:t>
      </w:r>
      <w:r w:rsidR="004404C7" w:rsidRPr="005F2A26">
        <w:rPr>
          <w:rFonts w:eastAsia="Calibri" w:cs="Times New Roman"/>
          <w:szCs w:val="24"/>
          <w:lang w:val="en-US"/>
        </w:rPr>
        <w:t>the</w:t>
      </w:r>
      <w:r w:rsidR="00221177" w:rsidRPr="005F2A26">
        <w:rPr>
          <w:rFonts w:eastAsia="Calibri" w:cs="Times New Roman"/>
          <w:szCs w:val="24"/>
          <w:lang w:val="en-US"/>
        </w:rPr>
        <w:t xml:space="preserve"> brand</w:t>
      </w:r>
      <w:r w:rsidR="00524457" w:rsidRPr="005F2A26">
        <w:rPr>
          <w:rFonts w:eastAsia="Calibri" w:cs="Times New Roman"/>
          <w:szCs w:val="24"/>
          <w:lang w:val="en-US"/>
        </w:rPr>
        <w:t>’s</w:t>
      </w:r>
      <w:r w:rsidR="00221177" w:rsidRPr="005F2A26">
        <w:rPr>
          <w:rFonts w:eastAsia="Calibri" w:cs="Times New Roman"/>
          <w:szCs w:val="24"/>
          <w:lang w:val="en-US"/>
        </w:rPr>
        <w:t xml:space="preserve"> value, innovativeness, and responsiveness (</w:t>
      </w:r>
      <w:r w:rsidR="00AA7068" w:rsidRPr="005F2A26">
        <w:rPr>
          <w:rFonts w:eastAsia="Calibri" w:cs="Times New Roman"/>
          <w:szCs w:val="24"/>
          <w:lang w:val="en-US"/>
        </w:rPr>
        <w:t xml:space="preserve">Leventhal </w:t>
      </w:r>
      <w:r w:rsidR="00957690" w:rsidRPr="00957690">
        <w:rPr>
          <w:rFonts w:eastAsia="Calibri" w:cs="Times New Roman"/>
          <w:i/>
          <w:iCs/>
          <w:szCs w:val="24"/>
          <w:lang w:val="en-US"/>
        </w:rPr>
        <w:t>et al.</w:t>
      </w:r>
      <w:r w:rsidR="00AA7068" w:rsidRPr="005F2A26">
        <w:rPr>
          <w:rFonts w:eastAsia="Calibri" w:cs="Times New Roman"/>
          <w:szCs w:val="24"/>
          <w:lang w:val="en-US"/>
        </w:rPr>
        <w:t xml:space="preserve">, </w:t>
      </w:r>
      <w:r w:rsidR="00221177" w:rsidRPr="005F2A26">
        <w:rPr>
          <w:rFonts w:eastAsia="Calibri" w:cs="Times New Roman"/>
          <w:szCs w:val="24"/>
          <w:lang w:val="en-US"/>
        </w:rPr>
        <w:t>2014)</w:t>
      </w:r>
      <w:r w:rsidR="004404C7" w:rsidRPr="005F2A26">
        <w:rPr>
          <w:rFonts w:eastAsia="Calibri" w:cs="Times New Roman"/>
          <w:szCs w:val="24"/>
          <w:lang w:val="en-US"/>
        </w:rPr>
        <w:t xml:space="preserve">, </w:t>
      </w:r>
      <w:r w:rsidR="00395F7A">
        <w:rPr>
          <w:rFonts w:eastAsia="Calibri" w:cs="Times New Roman"/>
          <w:szCs w:val="24"/>
          <w:lang w:val="en-US"/>
        </w:rPr>
        <w:t xml:space="preserve">and </w:t>
      </w:r>
      <w:r w:rsidR="004404C7" w:rsidRPr="005F2A26">
        <w:rPr>
          <w:rFonts w:eastAsia="Calibri" w:cs="Times New Roman"/>
          <w:szCs w:val="24"/>
          <w:lang w:val="en-US"/>
        </w:rPr>
        <w:t xml:space="preserve">social contagion amongst groups </w:t>
      </w:r>
      <w:r w:rsidR="00E0778B" w:rsidRPr="005F2A26">
        <w:rPr>
          <w:rFonts w:eastAsia="Calibri" w:cs="Times New Roman"/>
          <w:szCs w:val="24"/>
          <w:lang w:val="en-US"/>
        </w:rPr>
        <w:t>(Bowden</w:t>
      </w:r>
      <w:r w:rsidR="00E0778B" w:rsidRPr="005F2A26">
        <w:rPr>
          <w:rFonts w:eastAsia="Calibri" w:cs="Times New Roman"/>
          <w:i/>
          <w:iCs/>
          <w:szCs w:val="24"/>
          <w:lang w:val="en-US"/>
        </w:rPr>
        <w:t xml:space="preserve"> </w:t>
      </w:r>
      <w:r w:rsidR="00957690" w:rsidRPr="00957690">
        <w:rPr>
          <w:rFonts w:eastAsia="Calibri" w:cs="Times New Roman"/>
          <w:i/>
          <w:iCs/>
          <w:szCs w:val="24"/>
          <w:lang w:val="en-US"/>
        </w:rPr>
        <w:t>et al.</w:t>
      </w:r>
      <w:r w:rsidR="00E0778B" w:rsidRPr="005F2A26">
        <w:rPr>
          <w:rFonts w:eastAsia="Calibri" w:cs="Times New Roman"/>
          <w:szCs w:val="24"/>
          <w:lang w:val="en-US"/>
        </w:rPr>
        <w:t xml:space="preserve">, 2017; Kleinaltenkamp </w:t>
      </w:r>
      <w:r w:rsidR="00957690" w:rsidRPr="00957690">
        <w:rPr>
          <w:rFonts w:eastAsia="Calibri" w:cs="Times New Roman"/>
          <w:i/>
          <w:iCs/>
          <w:szCs w:val="24"/>
          <w:lang w:val="en-US"/>
        </w:rPr>
        <w:t>et al.</w:t>
      </w:r>
      <w:r w:rsidR="00E0778B" w:rsidRPr="005F2A26">
        <w:rPr>
          <w:rFonts w:eastAsia="Calibri" w:cs="Times New Roman"/>
          <w:szCs w:val="24"/>
          <w:lang w:val="en-US"/>
        </w:rPr>
        <w:t>, 2019)</w:t>
      </w:r>
      <w:r w:rsidR="00221177" w:rsidRPr="005F2A26">
        <w:rPr>
          <w:rFonts w:eastAsia="Calibri" w:cs="Times New Roman"/>
          <w:szCs w:val="24"/>
          <w:lang w:val="en-US"/>
        </w:rPr>
        <w:t xml:space="preserve">. </w:t>
      </w:r>
      <w:r w:rsidR="0094702A">
        <w:rPr>
          <w:rFonts w:eastAsia="Calibri" w:cs="Times New Roman"/>
          <w:szCs w:val="24"/>
          <w:lang w:val="en-US"/>
        </w:rPr>
        <w:t xml:space="preserve">In online brand communities, antecedents to engagement include </w:t>
      </w:r>
      <w:r w:rsidR="00EE7760">
        <w:rPr>
          <w:rFonts w:eastAsia="Calibri" w:cs="Times New Roman"/>
          <w:szCs w:val="24"/>
          <w:lang w:val="en-US"/>
        </w:rPr>
        <w:t xml:space="preserve">the functioning of the system, </w:t>
      </w:r>
      <w:r w:rsidR="00594B0B">
        <w:rPr>
          <w:rFonts w:eastAsia="Calibri" w:cs="Times New Roman"/>
          <w:szCs w:val="24"/>
          <w:lang w:val="en-US"/>
        </w:rPr>
        <w:t xml:space="preserve">the degree of alignment </w:t>
      </w:r>
      <w:r w:rsidR="00ED5149">
        <w:rPr>
          <w:rFonts w:eastAsia="Calibri" w:cs="Times New Roman"/>
          <w:szCs w:val="24"/>
          <w:lang w:val="en-US"/>
        </w:rPr>
        <w:t>between the values of the community members</w:t>
      </w:r>
      <w:r w:rsidR="00195D4C">
        <w:rPr>
          <w:rFonts w:eastAsia="Calibri" w:cs="Times New Roman"/>
          <w:szCs w:val="24"/>
          <w:lang w:val="en-US"/>
        </w:rPr>
        <w:t>,</w:t>
      </w:r>
      <w:r w:rsidR="00ED5149">
        <w:rPr>
          <w:rFonts w:eastAsia="Calibri" w:cs="Times New Roman"/>
          <w:szCs w:val="24"/>
          <w:lang w:val="en-US"/>
        </w:rPr>
        <w:t xml:space="preserve"> the </w:t>
      </w:r>
      <w:r w:rsidR="00410366">
        <w:rPr>
          <w:rFonts w:eastAsia="Calibri" w:cs="Times New Roman"/>
          <w:szCs w:val="24"/>
          <w:lang w:val="en-US"/>
        </w:rPr>
        <w:t>community</w:t>
      </w:r>
      <w:r w:rsidR="00195D4C">
        <w:rPr>
          <w:rFonts w:eastAsia="Calibri" w:cs="Times New Roman"/>
          <w:szCs w:val="24"/>
          <w:lang w:val="en-US"/>
        </w:rPr>
        <w:t xml:space="preserve"> and the brand</w:t>
      </w:r>
      <w:r w:rsidR="003615CF">
        <w:rPr>
          <w:rFonts w:eastAsia="Calibri" w:cs="Times New Roman"/>
          <w:szCs w:val="24"/>
          <w:lang w:val="en-US"/>
        </w:rPr>
        <w:t>, and</w:t>
      </w:r>
      <w:r w:rsidR="00410366">
        <w:rPr>
          <w:rFonts w:eastAsia="Calibri" w:cs="Times New Roman"/>
          <w:szCs w:val="24"/>
          <w:lang w:val="en-US"/>
        </w:rPr>
        <w:t xml:space="preserve"> </w:t>
      </w:r>
      <w:r w:rsidR="00112874">
        <w:rPr>
          <w:rFonts w:eastAsia="Calibri" w:cs="Times New Roman"/>
          <w:szCs w:val="24"/>
          <w:lang w:val="en-US"/>
        </w:rPr>
        <w:lastRenderedPageBreak/>
        <w:t xml:space="preserve">the </w:t>
      </w:r>
      <w:r w:rsidR="00410366">
        <w:rPr>
          <w:rFonts w:eastAsia="Calibri" w:cs="Times New Roman"/>
          <w:szCs w:val="24"/>
          <w:lang w:val="en-US"/>
        </w:rPr>
        <w:t xml:space="preserve">rewards and </w:t>
      </w:r>
      <w:r w:rsidR="000E1291">
        <w:rPr>
          <w:rFonts w:eastAsia="Calibri" w:cs="Times New Roman"/>
          <w:szCs w:val="24"/>
          <w:lang w:val="en-US"/>
        </w:rPr>
        <w:t>recognition</w:t>
      </w:r>
      <w:r w:rsidR="00410366">
        <w:rPr>
          <w:rFonts w:eastAsia="Calibri" w:cs="Times New Roman"/>
          <w:szCs w:val="24"/>
          <w:lang w:val="en-US"/>
        </w:rPr>
        <w:t xml:space="preserve"> offered by the community</w:t>
      </w:r>
      <w:r w:rsidR="00FF4C82">
        <w:rPr>
          <w:rFonts w:eastAsia="Calibri" w:cs="Times New Roman"/>
          <w:szCs w:val="24"/>
          <w:lang w:val="en-US"/>
        </w:rPr>
        <w:t xml:space="preserve"> (Chan </w:t>
      </w:r>
      <w:r w:rsidR="00957690" w:rsidRPr="00957690">
        <w:rPr>
          <w:rFonts w:eastAsia="Calibri" w:cs="Times New Roman"/>
          <w:i/>
          <w:iCs/>
          <w:szCs w:val="24"/>
          <w:lang w:val="en-US"/>
        </w:rPr>
        <w:t>et al.</w:t>
      </w:r>
      <w:r w:rsidR="00FF4C82" w:rsidRPr="00226C02">
        <w:rPr>
          <w:rFonts w:eastAsia="Calibri" w:cs="Times New Roman"/>
          <w:i/>
          <w:iCs/>
          <w:szCs w:val="24"/>
          <w:lang w:val="en-US"/>
        </w:rPr>
        <w:t xml:space="preserve">, </w:t>
      </w:r>
      <w:r w:rsidR="007F4EDA">
        <w:rPr>
          <w:rFonts w:eastAsia="Calibri" w:cs="Times New Roman"/>
          <w:szCs w:val="24"/>
          <w:lang w:val="en-US"/>
        </w:rPr>
        <w:t>2014</w:t>
      </w:r>
      <w:r w:rsidR="003A0983">
        <w:rPr>
          <w:rFonts w:eastAsia="Calibri" w:cs="Times New Roman"/>
          <w:szCs w:val="24"/>
          <w:lang w:val="en-US"/>
        </w:rPr>
        <w:t xml:space="preserve">; </w:t>
      </w:r>
      <w:proofErr w:type="spellStart"/>
      <w:r w:rsidR="003A0983" w:rsidRPr="00225967">
        <w:rPr>
          <w:szCs w:val="24"/>
          <w:shd w:val="clear" w:color="auto" w:fill="FFFFFF"/>
        </w:rPr>
        <w:t>Dessart</w:t>
      </w:r>
      <w:proofErr w:type="spellEnd"/>
      <w:r w:rsidR="003A0983" w:rsidRPr="00225967">
        <w:rPr>
          <w:szCs w:val="24"/>
          <w:shd w:val="clear" w:color="auto" w:fill="FFFFFF"/>
        </w:rPr>
        <w:t xml:space="preserve">, </w:t>
      </w:r>
      <w:proofErr w:type="spellStart"/>
      <w:r w:rsidR="003A0983" w:rsidRPr="00225967">
        <w:rPr>
          <w:szCs w:val="24"/>
          <w:shd w:val="clear" w:color="auto" w:fill="FFFFFF"/>
        </w:rPr>
        <w:t>Veloutsou</w:t>
      </w:r>
      <w:proofErr w:type="spellEnd"/>
      <w:r w:rsidR="003A0983" w:rsidRPr="00225967">
        <w:rPr>
          <w:szCs w:val="24"/>
          <w:shd w:val="clear" w:color="auto" w:fill="FFFFFF"/>
        </w:rPr>
        <w:t xml:space="preserve"> </w:t>
      </w:r>
      <w:r w:rsidR="003A0983">
        <w:rPr>
          <w:szCs w:val="24"/>
          <w:shd w:val="clear" w:color="auto" w:fill="FFFFFF"/>
        </w:rPr>
        <w:t xml:space="preserve">and </w:t>
      </w:r>
      <w:r w:rsidR="003A0983" w:rsidRPr="00225967">
        <w:rPr>
          <w:szCs w:val="24"/>
          <w:shd w:val="clear" w:color="auto" w:fill="FFFFFF"/>
        </w:rPr>
        <w:t>Morgan-Thomas, 2015</w:t>
      </w:r>
      <w:r w:rsidR="007F4EDA">
        <w:rPr>
          <w:rFonts w:eastAsia="Calibri" w:cs="Times New Roman"/>
          <w:szCs w:val="24"/>
          <w:lang w:val="en-US"/>
        </w:rPr>
        <w:t>).</w:t>
      </w:r>
    </w:p>
    <w:p w14:paraId="334E715C" w14:textId="6304C268" w:rsidR="00AB24AC" w:rsidRPr="00226C02" w:rsidRDefault="00EA2178">
      <w:pPr>
        <w:autoSpaceDE w:val="0"/>
        <w:autoSpaceDN w:val="0"/>
        <w:adjustRightInd w:val="0"/>
        <w:spacing w:after="0" w:line="480" w:lineRule="auto"/>
        <w:ind w:firstLine="720"/>
        <w:rPr>
          <w:color w:val="FF0000"/>
          <w:highlight w:val="yellow"/>
        </w:rPr>
      </w:pPr>
      <w:r w:rsidRPr="00226C02">
        <w:rPr>
          <w:rFonts w:eastAsia="Calibri" w:cs="Times New Roman"/>
          <w:color w:val="FF0000"/>
          <w:szCs w:val="24"/>
          <w:lang w:val="en-US"/>
        </w:rPr>
        <w:t>However, w</w:t>
      </w:r>
      <w:r w:rsidR="0079742F" w:rsidRPr="00226C02">
        <w:rPr>
          <w:rFonts w:eastAsia="Calibri" w:cs="Times New Roman"/>
          <w:color w:val="FF0000"/>
          <w:szCs w:val="24"/>
          <w:lang w:val="en-US"/>
        </w:rPr>
        <w:t xml:space="preserve">e argue </w:t>
      </w:r>
      <w:r w:rsidR="00951240" w:rsidRPr="00226C02">
        <w:rPr>
          <w:rFonts w:eastAsia="Calibri" w:cs="Times New Roman"/>
          <w:color w:val="FF0000"/>
          <w:szCs w:val="24"/>
          <w:lang w:val="en-US"/>
        </w:rPr>
        <w:t xml:space="preserve">why and how </w:t>
      </w:r>
      <w:r w:rsidR="00CF6498" w:rsidRPr="00226C02">
        <w:rPr>
          <w:rFonts w:eastAsia="Calibri" w:cs="Times New Roman"/>
          <w:color w:val="FF0000"/>
          <w:szCs w:val="24"/>
          <w:lang w:val="en-US"/>
        </w:rPr>
        <w:t xml:space="preserve">these </w:t>
      </w:r>
      <w:r w:rsidR="00951240" w:rsidRPr="00226C02">
        <w:rPr>
          <w:rFonts w:eastAsia="Calibri" w:cs="Times New Roman"/>
          <w:color w:val="FF0000"/>
          <w:szCs w:val="24"/>
          <w:lang w:val="en-US"/>
        </w:rPr>
        <w:t xml:space="preserve">factors act as </w:t>
      </w:r>
      <w:r w:rsidR="00CF6498" w:rsidRPr="00226C02">
        <w:rPr>
          <w:rFonts w:eastAsia="Calibri" w:cs="Times New Roman"/>
          <w:color w:val="FF0000"/>
          <w:szCs w:val="24"/>
          <w:lang w:val="en-US"/>
        </w:rPr>
        <w:t xml:space="preserve">antecedents </w:t>
      </w:r>
      <w:r w:rsidR="00951240" w:rsidRPr="00226C02">
        <w:rPr>
          <w:rFonts w:eastAsia="Calibri" w:cs="Times New Roman"/>
          <w:color w:val="FF0000"/>
          <w:szCs w:val="24"/>
          <w:lang w:val="en-US"/>
        </w:rPr>
        <w:t xml:space="preserve">to engagement </w:t>
      </w:r>
      <w:r w:rsidR="00CF6498" w:rsidRPr="00226C02">
        <w:rPr>
          <w:rFonts w:eastAsia="Calibri" w:cs="Times New Roman"/>
          <w:color w:val="FF0000"/>
          <w:szCs w:val="24"/>
          <w:lang w:val="en-US"/>
        </w:rPr>
        <w:t xml:space="preserve">can be explained by </w:t>
      </w:r>
      <w:r w:rsidR="00A12E37" w:rsidRPr="00226C02">
        <w:rPr>
          <w:rFonts w:eastAsia="Calibri" w:cs="Times New Roman"/>
          <w:color w:val="FF0000"/>
          <w:szCs w:val="24"/>
          <w:lang w:val="en-US"/>
        </w:rPr>
        <w:t xml:space="preserve">synthesizing </w:t>
      </w:r>
      <w:r w:rsidR="00CF6498" w:rsidRPr="00226C02">
        <w:rPr>
          <w:rFonts w:eastAsia="Calibri" w:cs="Times New Roman"/>
          <w:color w:val="FF0000"/>
          <w:szCs w:val="24"/>
          <w:lang w:val="en-US"/>
        </w:rPr>
        <w:t xml:space="preserve">the theory of PO </w:t>
      </w:r>
      <w:r w:rsidR="00A12E37" w:rsidRPr="00226C02">
        <w:rPr>
          <w:rFonts w:eastAsia="Calibri" w:cs="Times New Roman"/>
          <w:color w:val="FF0000"/>
          <w:szCs w:val="24"/>
          <w:lang w:val="en-US"/>
        </w:rPr>
        <w:t>with</w:t>
      </w:r>
      <w:r w:rsidR="00CF6498" w:rsidRPr="00226C02">
        <w:rPr>
          <w:rFonts w:eastAsia="Calibri" w:cs="Times New Roman"/>
          <w:color w:val="FF0000"/>
          <w:szCs w:val="24"/>
          <w:lang w:val="en-US"/>
        </w:rPr>
        <w:t xml:space="preserve"> engagement. </w:t>
      </w:r>
      <w:r w:rsidR="008F4449" w:rsidRPr="00226C02">
        <w:rPr>
          <w:rFonts w:eastAsia="Calibri" w:cs="Times New Roman"/>
          <w:color w:val="FF0000"/>
          <w:szCs w:val="24"/>
          <w:lang w:val="en-US"/>
        </w:rPr>
        <w:t xml:space="preserve">We </w:t>
      </w:r>
      <w:r w:rsidR="00B1651E" w:rsidRPr="00226C02">
        <w:rPr>
          <w:rFonts w:eastAsia="Calibri" w:cs="Times New Roman"/>
          <w:color w:val="FF0000"/>
          <w:szCs w:val="24"/>
          <w:lang w:val="en-US"/>
        </w:rPr>
        <w:t>posit</w:t>
      </w:r>
      <w:r w:rsidR="008F4449" w:rsidRPr="00226C02">
        <w:rPr>
          <w:rFonts w:eastAsia="Calibri" w:cs="Times New Roman"/>
          <w:color w:val="FF0000"/>
          <w:szCs w:val="24"/>
          <w:lang w:val="en-US"/>
        </w:rPr>
        <w:t xml:space="preserve"> b</w:t>
      </w:r>
      <w:r w:rsidR="00CF6498" w:rsidRPr="00226C02">
        <w:rPr>
          <w:rFonts w:eastAsia="Calibri" w:cs="Times New Roman"/>
          <w:color w:val="FF0000"/>
          <w:szCs w:val="24"/>
          <w:lang w:val="en-US"/>
        </w:rPr>
        <w:t xml:space="preserve">efore </w:t>
      </w:r>
      <w:r w:rsidR="00FE3336" w:rsidRPr="00226C02">
        <w:rPr>
          <w:rFonts w:eastAsia="Calibri" w:cs="Times New Roman"/>
          <w:color w:val="FF0000"/>
          <w:szCs w:val="24"/>
          <w:lang w:val="en-US"/>
        </w:rPr>
        <w:t xml:space="preserve">a positively </w:t>
      </w:r>
      <w:proofErr w:type="spellStart"/>
      <w:r w:rsidR="00FE3336" w:rsidRPr="00226C02">
        <w:rPr>
          <w:rFonts w:eastAsia="Calibri" w:cs="Times New Roman"/>
          <w:color w:val="FF0000"/>
          <w:szCs w:val="24"/>
          <w:lang w:val="en-US"/>
        </w:rPr>
        <w:t>valenced</w:t>
      </w:r>
      <w:proofErr w:type="spellEnd"/>
      <w:r w:rsidR="00FE3336" w:rsidRPr="00226C02">
        <w:rPr>
          <w:rFonts w:eastAsia="Calibri" w:cs="Times New Roman"/>
          <w:color w:val="FF0000"/>
          <w:szCs w:val="24"/>
          <w:lang w:val="en-US"/>
        </w:rPr>
        <w:t xml:space="preserve"> disposition</w:t>
      </w:r>
      <w:r w:rsidR="003D52F4" w:rsidRPr="00226C02">
        <w:rPr>
          <w:rFonts w:eastAsia="Calibri" w:cs="Times New Roman"/>
          <w:color w:val="FF0000"/>
          <w:szCs w:val="24"/>
          <w:lang w:val="en-US"/>
        </w:rPr>
        <w:t xml:space="preserve"> </w:t>
      </w:r>
      <w:r w:rsidR="00CF6498" w:rsidRPr="00226C02">
        <w:rPr>
          <w:rFonts w:eastAsia="Calibri" w:cs="Times New Roman"/>
          <w:color w:val="FF0000"/>
          <w:szCs w:val="24"/>
          <w:lang w:val="en-US"/>
        </w:rPr>
        <w:t>can</w:t>
      </w:r>
      <w:r w:rsidR="0079742F" w:rsidRPr="00226C02">
        <w:rPr>
          <w:rFonts w:eastAsia="Calibri" w:cs="Times New Roman"/>
          <w:color w:val="FF0000"/>
          <w:szCs w:val="24"/>
          <w:lang w:val="en-US"/>
        </w:rPr>
        <w:t xml:space="preserve"> </w:t>
      </w:r>
      <w:r w:rsidR="007D4505" w:rsidRPr="00226C02">
        <w:rPr>
          <w:rFonts w:eastAsia="Calibri" w:cs="Times New Roman"/>
          <w:color w:val="FF0000"/>
          <w:szCs w:val="24"/>
          <w:lang w:val="en-US"/>
        </w:rPr>
        <w:t>manifest</w:t>
      </w:r>
      <w:r w:rsidR="0079742F" w:rsidRPr="00226C02">
        <w:rPr>
          <w:rFonts w:eastAsia="Calibri" w:cs="Times New Roman"/>
          <w:color w:val="FF0000"/>
          <w:szCs w:val="24"/>
          <w:lang w:val="en-US"/>
        </w:rPr>
        <w:t xml:space="preserve">, an actor must </w:t>
      </w:r>
      <w:r w:rsidR="008C364A" w:rsidRPr="00226C02">
        <w:rPr>
          <w:rFonts w:eastAsia="Calibri" w:cs="Times New Roman"/>
          <w:color w:val="FF0000"/>
          <w:szCs w:val="24"/>
          <w:lang w:val="en-US"/>
        </w:rPr>
        <w:t xml:space="preserve">first </w:t>
      </w:r>
      <w:r w:rsidR="0079742F" w:rsidRPr="00226C02">
        <w:rPr>
          <w:rFonts w:eastAsia="Calibri" w:cs="Times New Roman"/>
          <w:color w:val="FF0000"/>
          <w:szCs w:val="24"/>
          <w:lang w:val="en-US"/>
        </w:rPr>
        <w:t>experience</w:t>
      </w:r>
      <w:r w:rsidRPr="00226C02">
        <w:rPr>
          <w:rFonts w:eastAsia="Calibri" w:cs="Times New Roman"/>
          <w:color w:val="FF0000"/>
          <w:szCs w:val="24"/>
          <w:lang w:val="en-US"/>
        </w:rPr>
        <w:t xml:space="preserve"> a sense of </w:t>
      </w:r>
      <w:r w:rsidR="000A5721">
        <w:rPr>
          <w:rFonts w:eastAsia="Calibri" w:cs="Times New Roman"/>
          <w:color w:val="FF0000"/>
          <w:szCs w:val="24"/>
          <w:lang w:val="en-US"/>
        </w:rPr>
        <w:t>PO</w:t>
      </w:r>
      <w:r w:rsidRPr="00226C02">
        <w:rPr>
          <w:rFonts w:eastAsia="Calibri" w:cs="Times New Roman"/>
          <w:color w:val="FF0000"/>
          <w:szCs w:val="24"/>
          <w:lang w:val="en-US"/>
        </w:rPr>
        <w:t xml:space="preserve"> over </w:t>
      </w:r>
      <w:r w:rsidR="0033490B" w:rsidRPr="00226C02">
        <w:rPr>
          <w:rFonts w:eastAsia="Calibri" w:cs="Times New Roman"/>
          <w:color w:val="FF0000"/>
          <w:szCs w:val="24"/>
          <w:lang w:val="en-US"/>
        </w:rPr>
        <w:t xml:space="preserve">a </w:t>
      </w:r>
      <w:r w:rsidR="0079742F" w:rsidRPr="00226C02">
        <w:rPr>
          <w:rFonts w:eastAsia="Calibri" w:cs="Times New Roman"/>
          <w:color w:val="FF0000"/>
          <w:szCs w:val="24"/>
          <w:lang w:val="en-US"/>
        </w:rPr>
        <w:t>target within the SE context.</w:t>
      </w:r>
      <w:r w:rsidRPr="00226C02">
        <w:rPr>
          <w:rFonts w:eastAsia="Calibri" w:cs="Times New Roman"/>
          <w:color w:val="FF0000"/>
          <w:szCs w:val="24"/>
          <w:lang w:val="en-US"/>
        </w:rPr>
        <w:t xml:space="preserve"> </w:t>
      </w:r>
      <w:r w:rsidR="00ED161A" w:rsidRPr="00226C02">
        <w:rPr>
          <w:rFonts w:eastAsia="Calibri" w:cs="Times New Roman"/>
          <w:color w:val="FF0000"/>
          <w:szCs w:val="24"/>
          <w:lang w:val="en-US"/>
        </w:rPr>
        <w:t>PO can be experienced at an individual level (iPO</w:t>
      </w:r>
      <w:r w:rsidR="00826090" w:rsidRPr="00226C02">
        <w:rPr>
          <w:rFonts w:eastAsia="Calibri" w:cs="Times New Roman"/>
          <w:color w:val="FF0000"/>
          <w:szCs w:val="24"/>
          <w:lang w:val="en-US"/>
        </w:rPr>
        <w:t>;</w:t>
      </w:r>
      <w:r w:rsidR="00ED161A" w:rsidRPr="00226C02">
        <w:rPr>
          <w:rFonts w:eastAsia="Calibri" w:cs="Times New Roman"/>
          <w:color w:val="FF0000"/>
          <w:szCs w:val="24"/>
          <w:lang w:val="en-US"/>
        </w:rPr>
        <w:t xml:space="preserve"> “Here comes MY Uber”) or collective level (</w:t>
      </w:r>
      <w:proofErr w:type="spellStart"/>
      <w:r w:rsidR="00ED161A" w:rsidRPr="00226C02">
        <w:rPr>
          <w:rFonts w:eastAsia="Calibri" w:cs="Times New Roman"/>
          <w:color w:val="FF0000"/>
          <w:szCs w:val="24"/>
          <w:lang w:val="en-US"/>
        </w:rPr>
        <w:t>cPO</w:t>
      </w:r>
      <w:proofErr w:type="spellEnd"/>
      <w:r w:rsidR="00826090" w:rsidRPr="00226C02">
        <w:rPr>
          <w:rFonts w:eastAsia="Calibri" w:cs="Times New Roman"/>
          <w:color w:val="FF0000"/>
          <w:szCs w:val="24"/>
          <w:lang w:val="en-US"/>
        </w:rPr>
        <w:t>;</w:t>
      </w:r>
      <w:r w:rsidR="00ED161A" w:rsidRPr="00226C02">
        <w:rPr>
          <w:rFonts w:eastAsia="Calibri" w:cs="Times New Roman"/>
          <w:color w:val="FF0000"/>
          <w:szCs w:val="24"/>
          <w:lang w:val="en-US"/>
        </w:rPr>
        <w:t xml:space="preserve"> “OUR </w:t>
      </w:r>
      <w:proofErr w:type="spellStart"/>
      <w:r w:rsidR="00ED161A" w:rsidRPr="00226C02">
        <w:rPr>
          <w:rFonts w:eastAsia="Calibri" w:cs="Times New Roman"/>
          <w:color w:val="FF0000"/>
          <w:szCs w:val="24"/>
          <w:lang w:val="en-US"/>
        </w:rPr>
        <w:t>Stackoverflow</w:t>
      </w:r>
      <w:proofErr w:type="spellEnd"/>
      <w:r w:rsidR="00ED161A" w:rsidRPr="00226C02">
        <w:rPr>
          <w:rFonts w:eastAsia="Calibri" w:cs="Times New Roman"/>
          <w:color w:val="FF0000"/>
          <w:szCs w:val="24"/>
          <w:lang w:val="en-US"/>
        </w:rPr>
        <w:t xml:space="preserve"> community help each other </w:t>
      </w:r>
      <w:r w:rsidR="008937A8" w:rsidRPr="00226C02">
        <w:rPr>
          <w:rFonts w:eastAsia="Calibri" w:cs="Times New Roman"/>
          <w:color w:val="FF0000"/>
          <w:szCs w:val="24"/>
          <w:lang w:val="en-US"/>
        </w:rPr>
        <w:t>code</w:t>
      </w:r>
      <w:r w:rsidR="00ED161A" w:rsidRPr="00226C02">
        <w:rPr>
          <w:rFonts w:eastAsia="Calibri" w:cs="Times New Roman"/>
          <w:color w:val="FF0000"/>
          <w:szCs w:val="24"/>
          <w:lang w:val="en-US"/>
        </w:rPr>
        <w:t xml:space="preserve"> better”). iPO</w:t>
      </w:r>
      <w:r w:rsidR="00F86BF7" w:rsidRPr="00226C02">
        <w:rPr>
          <w:rFonts w:eastAsia="Calibri" w:cs="Times New Roman"/>
          <w:color w:val="FF0000"/>
          <w:szCs w:val="24"/>
          <w:lang w:val="en-US"/>
        </w:rPr>
        <w:t xml:space="preserve"> </w:t>
      </w:r>
      <w:r w:rsidR="00895E28" w:rsidRPr="00226C02">
        <w:rPr>
          <w:rFonts w:eastAsia="Calibri" w:cs="Times New Roman"/>
          <w:color w:val="FF0000"/>
          <w:szCs w:val="24"/>
          <w:lang w:val="en-US"/>
        </w:rPr>
        <w:t xml:space="preserve">leads to a user’s positive disposition </w:t>
      </w:r>
      <w:r w:rsidR="009247D6">
        <w:rPr>
          <w:rFonts w:eastAsia="Calibri" w:cs="Times New Roman"/>
          <w:color w:val="FF0000"/>
          <w:szCs w:val="24"/>
          <w:lang w:val="en-US"/>
        </w:rPr>
        <w:t xml:space="preserve">to </w:t>
      </w:r>
      <w:r w:rsidR="00ED161A" w:rsidRPr="00226C02">
        <w:rPr>
          <w:rFonts w:eastAsia="Calibri" w:cs="Times New Roman"/>
          <w:color w:val="FF0000"/>
          <w:szCs w:val="24"/>
          <w:lang w:val="en-US"/>
        </w:rPr>
        <w:t xml:space="preserve">engage within </w:t>
      </w:r>
      <w:r w:rsidR="00524EBA" w:rsidRPr="00226C02">
        <w:rPr>
          <w:rFonts w:eastAsia="Calibri" w:cs="Times New Roman"/>
          <w:color w:val="FF0000"/>
          <w:szCs w:val="24"/>
          <w:lang w:val="en-US"/>
        </w:rPr>
        <w:t xml:space="preserve">a </w:t>
      </w:r>
      <w:r w:rsidR="00ED161A" w:rsidRPr="00226C02">
        <w:rPr>
          <w:rFonts w:eastAsia="Calibri" w:cs="Times New Roman"/>
          <w:color w:val="FF0000"/>
          <w:szCs w:val="24"/>
          <w:lang w:val="en-US"/>
        </w:rPr>
        <w:t>dyad of user and brand</w:t>
      </w:r>
      <w:r w:rsidR="00E30A15" w:rsidRPr="00226C02">
        <w:rPr>
          <w:rFonts w:eastAsia="Calibri" w:cs="Times New Roman"/>
          <w:color w:val="FF0000"/>
          <w:szCs w:val="24"/>
          <w:lang w:val="en-US"/>
        </w:rPr>
        <w:t>. Similarly,</w:t>
      </w:r>
      <w:r w:rsidR="00F86BF7" w:rsidRPr="00226C02">
        <w:rPr>
          <w:rFonts w:eastAsia="Calibri" w:cs="Times New Roman"/>
          <w:color w:val="FF0000"/>
          <w:szCs w:val="24"/>
          <w:lang w:val="en-US"/>
        </w:rPr>
        <w:t xml:space="preserve"> </w:t>
      </w:r>
      <w:r w:rsidR="00ED161A" w:rsidRPr="00226C02">
        <w:rPr>
          <w:rFonts w:eastAsia="Calibri" w:cs="Times New Roman"/>
          <w:color w:val="FF0000"/>
          <w:szCs w:val="24"/>
          <w:lang w:val="en-US"/>
        </w:rPr>
        <w:t>cPO</w:t>
      </w:r>
      <w:r w:rsidR="00F86BF7" w:rsidRPr="00226C02">
        <w:rPr>
          <w:rFonts w:eastAsia="Calibri" w:cs="Times New Roman"/>
          <w:color w:val="FF0000"/>
          <w:szCs w:val="24"/>
          <w:lang w:val="en-US"/>
        </w:rPr>
        <w:t xml:space="preserve"> </w:t>
      </w:r>
      <w:r w:rsidR="00524EBA" w:rsidRPr="00226C02">
        <w:rPr>
          <w:rFonts w:eastAsia="Calibri" w:cs="Times New Roman"/>
          <w:color w:val="FF0000"/>
          <w:szCs w:val="24"/>
          <w:lang w:val="en-US"/>
        </w:rPr>
        <w:t>will manifest as</w:t>
      </w:r>
      <w:r w:rsidR="00ED161A" w:rsidRPr="00226C02">
        <w:rPr>
          <w:rFonts w:eastAsia="Calibri" w:cs="Times New Roman"/>
          <w:color w:val="FF0000"/>
          <w:szCs w:val="24"/>
          <w:lang w:val="en-US"/>
        </w:rPr>
        <w:t xml:space="preserve"> </w:t>
      </w:r>
      <w:r w:rsidR="007D65A0" w:rsidRPr="00226C02">
        <w:rPr>
          <w:rFonts w:eastAsia="Calibri" w:cs="Times New Roman"/>
          <w:color w:val="FF0000"/>
          <w:szCs w:val="24"/>
          <w:lang w:val="en-US"/>
        </w:rPr>
        <w:t xml:space="preserve">collective </w:t>
      </w:r>
      <w:r w:rsidR="00ED161A" w:rsidRPr="00226C02">
        <w:rPr>
          <w:rFonts w:eastAsia="Calibri" w:cs="Times New Roman"/>
          <w:color w:val="FF0000"/>
          <w:szCs w:val="24"/>
          <w:lang w:val="en-US"/>
        </w:rPr>
        <w:t>engagement between, within</w:t>
      </w:r>
      <w:r w:rsidR="00F86BF7" w:rsidRPr="00226C02">
        <w:rPr>
          <w:rFonts w:eastAsia="Calibri" w:cs="Times New Roman"/>
          <w:color w:val="FF0000"/>
          <w:szCs w:val="24"/>
          <w:lang w:val="en-US"/>
        </w:rPr>
        <w:t>,</w:t>
      </w:r>
      <w:r w:rsidR="00ED161A" w:rsidRPr="00226C02">
        <w:rPr>
          <w:rFonts w:eastAsia="Calibri" w:cs="Times New Roman"/>
          <w:color w:val="FF0000"/>
          <w:szCs w:val="24"/>
          <w:lang w:val="en-US"/>
        </w:rPr>
        <w:t xml:space="preserve"> and among</w:t>
      </w:r>
      <w:r w:rsidR="00F86BF7" w:rsidRPr="00226C02">
        <w:rPr>
          <w:rFonts w:eastAsia="Calibri" w:cs="Times New Roman"/>
          <w:color w:val="FF0000"/>
          <w:szCs w:val="24"/>
          <w:lang w:val="en-US"/>
        </w:rPr>
        <w:t>st</w:t>
      </w:r>
      <w:r w:rsidR="00ED161A" w:rsidRPr="00226C02">
        <w:rPr>
          <w:rFonts w:eastAsia="Calibri" w:cs="Times New Roman"/>
          <w:color w:val="FF0000"/>
          <w:szCs w:val="24"/>
          <w:lang w:val="en-US"/>
        </w:rPr>
        <w:t xml:space="preserve"> a community of users</w:t>
      </w:r>
      <w:r w:rsidR="0051567A" w:rsidRPr="00226C02">
        <w:rPr>
          <w:rFonts w:eastAsia="Calibri" w:cs="Times New Roman"/>
          <w:color w:val="FF0000"/>
          <w:szCs w:val="24"/>
          <w:lang w:val="en-US"/>
        </w:rPr>
        <w:t>.</w:t>
      </w:r>
      <w:r w:rsidR="00CD15C0">
        <w:rPr>
          <w:rFonts w:eastAsia="Calibri" w:cs="Times New Roman"/>
          <w:szCs w:val="24"/>
          <w:lang w:val="en-US"/>
        </w:rPr>
        <w:t xml:space="preserve"> </w:t>
      </w:r>
      <w:r w:rsidR="00CD15C0" w:rsidRPr="00226C02">
        <w:rPr>
          <w:rFonts w:eastAsia="Calibri" w:cs="Times New Roman"/>
          <w:color w:val="FF0000"/>
          <w:szCs w:val="24"/>
          <w:lang w:val="en-US"/>
        </w:rPr>
        <w:t>In sum, PO theory explains why</w:t>
      </w:r>
      <w:r w:rsidR="00683478" w:rsidRPr="00226C02">
        <w:rPr>
          <w:rFonts w:eastAsia="Calibri" w:cs="Times New Roman"/>
          <w:color w:val="FF0000"/>
          <w:szCs w:val="24"/>
          <w:lang w:val="en-US"/>
        </w:rPr>
        <w:t xml:space="preserve"> and how</w:t>
      </w:r>
      <w:r w:rsidR="00E259BF" w:rsidRPr="00226C02">
        <w:rPr>
          <w:rFonts w:eastAsia="Calibri" w:cs="Times New Roman"/>
          <w:color w:val="FF0000"/>
          <w:szCs w:val="24"/>
          <w:lang w:val="en-US"/>
        </w:rPr>
        <w:t xml:space="preserve"> </w:t>
      </w:r>
      <w:r w:rsidR="00683478" w:rsidRPr="00226C02">
        <w:rPr>
          <w:rFonts w:eastAsia="Calibri" w:cs="Times New Roman"/>
          <w:color w:val="FF0000"/>
          <w:szCs w:val="24"/>
          <w:lang w:val="en-US"/>
        </w:rPr>
        <w:t>factors</w:t>
      </w:r>
      <w:r w:rsidR="00E259BF" w:rsidRPr="00226C02">
        <w:rPr>
          <w:rFonts w:eastAsia="Calibri" w:cs="Times New Roman"/>
          <w:color w:val="FF0000"/>
          <w:szCs w:val="24"/>
          <w:lang w:val="en-US"/>
        </w:rPr>
        <w:t xml:space="preserve"> such as </w:t>
      </w:r>
      <w:r w:rsidR="00453068" w:rsidRPr="00226C02">
        <w:rPr>
          <w:rFonts w:eastAsia="Calibri" w:cs="Times New Roman"/>
          <w:color w:val="FF0000"/>
          <w:szCs w:val="24"/>
          <w:lang w:val="en-US"/>
        </w:rPr>
        <w:t xml:space="preserve">attitude, satisfaction, </w:t>
      </w:r>
      <w:r w:rsidR="00C578AE" w:rsidRPr="00226C02">
        <w:rPr>
          <w:rFonts w:eastAsia="Calibri" w:cs="Times New Roman"/>
          <w:color w:val="FF0000"/>
          <w:szCs w:val="24"/>
          <w:lang w:val="en-US"/>
        </w:rPr>
        <w:t xml:space="preserve">values, </w:t>
      </w:r>
      <w:r w:rsidR="00683478" w:rsidRPr="00226C02">
        <w:rPr>
          <w:rFonts w:eastAsia="Calibri" w:cs="Times New Roman"/>
          <w:color w:val="FF0000"/>
          <w:szCs w:val="24"/>
          <w:lang w:val="en-US"/>
        </w:rPr>
        <w:t xml:space="preserve">functionality, </w:t>
      </w:r>
      <w:r w:rsidR="00453068" w:rsidRPr="00226C02">
        <w:rPr>
          <w:rFonts w:eastAsia="Calibri" w:cs="Times New Roman"/>
          <w:color w:val="FF0000"/>
          <w:szCs w:val="24"/>
          <w:lang w:val="en-US"/>
        </w:rPr>
        <w:t xml:space="preserve">and social contagion act as antecedents to </w:t>
      </w:r>
      <w:r w:rsidR="00A76789" w:rsidRPr="00226C02">
        <w:rPr>
          <w:rFonts w:eastAsia="Calibri" w:cs="Times New Roman"/>
          <w:color w:val="FF0000"/>
          <w:szCs w:val="24"/>
          <w:lang w:val="en-US"/>
        </w:rPr>
        <w:t>engagement</w:t>
      </w:r>
      <w:r w:rsidR="00EA7D94">
        <w:rPr>
          <w:rFonts w:eastAsia="Calibri" w:cs="Times New Roman"/>
          <w:color w:val="FF0000"/>
          <w:szCs w:val="24"/>
          <w:lang w:val="en-US"/>
        </w:rPr>
        <w:t xml:space="preserve"> by functioning as motivators or causes of PO</w:t>
      </w:r>
      <w:r w:rsidR="00FE4F45">
        <w:rPr>
          <w:rFonts w:eastAsia="Calibri" w:cs="Times New Roman"/>
          <w:color w:val="FF0000"/>
          <w:szCs w:val="24"/>
          <w:lang w:val="en-US"/>
        </w:rPr>
        <w:t>.</w:t>
      </w:r>
    </w:p>
    <w:p w14:paraId="622721D7" w14:textId="77777777" w:rsidR="00540647" w:rsidRPr="005F2A26" w:rsidRDefault="00540647" w:rsidP="00C93EC4">
      <w:pPr>
        <w:spacing w:after="0" w:line="480" w:lineRule="auto"/>
        <w:rPr>
          <w:rFonts w:eastAsiaTheme="minorEastAsia" w:cs="Times New Roman"/>
          <w:szCs w:val="24"/>
          <w:lang w:val="en-US" w:eastAsia="zh-CN"/>
        </w:rPr>
      </w:pPr>
    </w:p>
    <w:p w14:paraId="0F687D9B" w14:textId="2E9CFAE4" w:rsidR="00C44216" w:rsidRPr="005F2A26" w:rsidRDefault="00A64CD2" w:rsidP="00C93EC4">
      <w:pPr>
        <w:keepNext/>
        <w:spacing w:after="0" w:line="480" w:lineRule="auto"/>
        <w:rPr>
          <w:rFonts w:eastAsiaTheme="minorEastAsia" w:cs="Times New Roman"/>
          <w:b/>
          <w:szCs w:val="24"/>
          <w:lang w:val="en-US" w:eastAsia="zh-CN"/>
        </w:rPr>
      </w:pPr>
      <w:r w:rsidRPr="005F2A26">
        <w:rPr>
          <w:rFonts w:eastAsiaTheme="minorEastAsia" w:cs="Times New Roman"/>
          <w:b/>
          <w:szCs w:val="24"/>
          <w:lang w:val="en-US" w:eastAsia="zh-CN"/>
        </w:rPr>
        <w:t>P</w:t>
      </w:r>
      <w:r w:rsidR="00744FAF" w:rsidRPr="005F2A26">
        <w:rPr>
          <w:rFonts w:eastAsiaTheme="minorEastAsia" w:cs="Times New Roman"/>
          <w:b/>
          <w:szCs w:val="24"/>
          <w:lang w:val="en-US" w:eastAsia="zh-CN"/>
        </w:rPr>
        <w:t>sychological ownership</w:t>
      </w:r>
      <w:r w:rsidR="00931855" w:rsidRPr="005F2A26">
        <w:rPr>
          <w:rFonts w:eastAsiaTheme="minorEastAsia" w:cs="Times New Roman"/>
          <w:b/>
          <w:szCs w:val="24"/>
          <w:lang w:val="en-US" w:eastAsia="zh-CN"/>
        </w:rPr>
        <w:t xml:space="preserve"> (PO</w:t>
      </w:r>
      <w:r w:rsidR="00940CEF" w:rsidRPr="005F2A26">
        <w:rPr>
          <w:rFonts w:eastAsiaTheme="minorEastAsia" w:cs="Times New Roman"/>
          <w:b/>
          <w:szCs w:val="24"/>
          <w:lang w:val="en-US" w:eastAsia="zh-CN"/>
        </w:rPr>
        <w:t>)</w:t>
      </w:r>
    </w:p>
    <w:p w14:paraId="10F6C10D" w14:textId="28C9400F" w:rsidR="00A2289D" w:rsidRPr="005F2A26" w:rsidRDefault="00D74CBC" w:rsidP="00C93EC4">
      <w:pPr>
        <w:spacing w:after="0" w:line="480" w:lineRule="auto"/>
        <w:rPr>
          <w:rFonts w:eastAsiaTheme="minorEastAsia" w:cs="Times New Roman"/>
          <w:szCs w:val="24"/>
          <w:lang w:val="en-US" w:eastAsia="zh-CN"/>
        </w:rPr>
      </w:pPr>
      <w:r w:rsidRPr="005F2A26">
        <w:rPr>
          <w:rFonts w:eastAsiaTheme="minorEastAsia" w:cs="Times New Roman"/>
          <w:szCs w:val="24"/>
          <w:lang w:val="en-US" w:eastAsia="zh-CN"/>
        </w:rPr>
        <w:t>i</w:t>
      </w:r>
      <w:r w:rsidR="004F78AF" w:rsidRPr="005F2A26">
        <w:rPr>
          <w:rFonts w:eastAsiaTheme="minorEastAsia" w:cs="Times New Roman"/>
          <w:szCs w:val="24"/>
          <w:lang w:val="en-US" w:eastAsia="zh-CN"/>
        </w:rPr>
        <w:t>P</w:t>
      </w:r>
      <w:r w:rsidR="004B75EB" w:rsidRPr="005F2A26">
        <w:rPr>
          <w:rFonts w:eastAsiaTheme="minorEastAsia" w:cs="Times New Roman"/>
          <w:szCs w:val="24"/>
          <w:lang w:val="en-US" w:eastAsia="zh-CN"/>
        </w:rPr>
        <w:t>O</w:t>
      </w:r>
      <w:r w:rsidR="004F78AF" w:rsidRPr="005F2A26">
        <w:rPr>
          <w:rFonts w:eastAsiaTheme="minorEastAsia" w:cs="Times New Roman"/>
          <w:szCs w:val="24"/>
          <w:lang w:val="en-US" w:eastAsia="zh-CN"/>
        </w:rPr>
        <w:t xml:space="preserve"> is </w:t>
      </w:r>
      <w:r w:rsidR="004B75EB" w:rsidRPr="005F2A26">
        <w:rPr>
          <w:rFonts w:eastAsiaTheme="minorEastAsia" w:cs="Times New Roman"/>
          <w:szCs w:val="24"/>
          <w:lang w:val="en-US" w:eastAsia="zh-CN"/>
        </w:rPr>
        <w:t xml:space="preserve">“the state in which individuals feel as though </w:t>
      </w:r>
      <w:r w:rsidR="00FB2A18" w:rsidRPr="005F2A26">
        <w:rPr>
          <w:rFonts w:eastAsiaTheme="minorEastAsia" w:cs="Times New Roman"/>
          <w:szCs w:val="24"/>
          <w:lang w:val="en-US" w:eastAsia="zh-CN"/>
        </w:rPr>
        <w:t xml:space="preserve">a </w:t>
      </w:r>
      <w:r w:rsidR="004B75EB" w:rsidRPr="005F2A26">
        <w:rPr>
          <w:rFonts w:eastAsiaTheme="minorEastAsia" w:cs="Times New Roman"/>
          <w:szCs w:val="24"/>
          <w:lang w:val="en-US" w:eastAsia="zh-CN"/>
        </w:rPr>
        <w:t>target of ownership or a piece of that target is ‘theirs’ (i.e., ‘</w:t>
      </w:r>
      <w:r w:rsidR="0023029F" w:rsidRPr="005F2A26">
        <w:rPr>
          <w:rFonts w:eastAsiaTheme="minorEastAsia" w:cs="Times New Roman"/>
          <w:szCs w:val="24"/>
          <w:lang w:val="en-US" w:eastAsia="zh-CN"/>
        </w:rPr>
        <w:t>i</w:t>
      </w:r>
      <w:r w:rsidR="004B75EB" w:rsidRPr="005F2A26">
        <w:rPr>
          <w:rFonts w:eastAsiaTheme="minorEastAsia" w:cs="Times New Roman"/>
          <w:szCs w:val="24"/>
          <w:lang w:val="en-US" w:eastAsia="zh-CN"/>
        </w:rPr>
        <w:t>t is mine!’)” (Pierce</w:t>
      </w:r>
      <w:r w:rsidR="00444558"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4B75EB" w:rsidRPr="005F2A26">
        <w:rPr>
          <w:rFonts w:eastAsiaTheme="minorEastAsia" w:cs="Times New Roman"/>
          <w:szCs w:val="24"/>
          <w:lang w:val="en-US" w:eastAsia="zh-CN"/>
        </w:rPr>
        <w:t>,</w:t>
      </w:r>
      <w:r w:rsidR="0063139F" w:rsidRPr="005F2A26">
        <w:rPr>
          <w:rFonts w:eastAsiaTheme="minorEastAsia" w:cs="Times New Roman"/>
          <w:szCs w:val="24"/>
          <w:lang w:val="en-US" w:eastAsia="zh-CN"/>
        </w:rPr>
        <w:t xml:space="preserve"> </w:t>
      </w:r>
      <w:r w:rsidR="004B75EB" w:rsidRPr="005F2A26">
        <w:rPr>
          <w:rFonts w:eastAsiaTheme="minorEastAsia" w:cs="Times New Roman"/>
          <w:szCs w:val="24"/>
          <w:lang w:val="en-US" w:eastAsia="zh-CN"/>
        </w:rPr>
        <w:t xml:space="preserve">2003, p.86). </w:t>
      </w:r>
      <w:r w:rsidR="0023029F" w:rsidRPr="005F2A26">
        <w:rPr>
          <w:rFonts w:eastAsiaTheme="minorEastAsia" w:cs="Times New Roman"/>
          <w:szCs w:val="24"/>
          <w:lang w:val="en-US" w:eastAsia="zh-CN"/>
        </w:rPr>
        <w:t>Foundational to the development of PO theory has been</w:t>
      </w:r>
      <w:r w:rsidR="00A35443" w:rsidRPr="005F2A26">
        <w:rPr>
          <w:rFonts w:eastAsiaTheme="minorEastAsia" w:cs="Times New Roman"/>
          <w:szCs w:val="24"/>
          <w:lang w:val="en-US" w:eastAsia="zh-CN"/>
        </w:rPr>
        <w:t xml:space="preserve"> the</w:t>
      </w:r>
      <w:r w:rsidR="0023029F" w:rsidRPr="005F2A26">
        <w:rPr>
          <w:rFonts w:eastAsiaTheme="minorEastAsia" w:cs="Times New Roman"/>
          <w:szCs w:val="24"/>
          <w:lang w:val="en-US" w:eastAsia="zh-CN"/>
        </w:rPr>
        <w:t xml:space="preserve"> </w:t>
      </w:r>
      <w:r w:rsidR="004B75EB" w:rsidRPr="005F2A26">
        <w:rPr>
          <w:rFonts w:eastAsiaTheme="minorEastAsia" w:cs="Times New Roman"/>
          <w:szCs w:val="24"/>
          <w:lang w:val="en-US" w:eastAsia="zh-CN"/>
        </w:rPr>
        <w:t>‘extended self</w:t>
      </w:r>
      <w:r w:rsidR="00FE4F45">
        <w:rPr>
          <w:rFonts w:eastAsiaTheme="minorEastAsia" w:cs="Times New Roman"/>
          <w:szCs w:val="24"/>
          <w:lang w:val="en-US" w:eastAsia="zh-CN"/>
        </w:rPr>
        <w:t>,</w:t>
      </w:r>
      <w:r w:rsidR="004B75EB" w:rsidRPr="005F2A26">
        <w:rPr>
          <w:rFonts w:eastAsiaTheme="minorEastAsia" w:cs="Times New Roman"/>
          <w:szCs w:val="24"/>
          <w:lang w:val="en-US" w:eastAsia="zh-CN"/>
        </w:rPr>
        <w:t>’</w:t>
      </w:r>
      <w:r w:rsidR="00511704" w:rsidRPr="005F2A26">
        <w:rPr>
          <w:rFonts w:eastAsiaTheme="minorEastAsia" w:cs="Times New Roman"/>
          <w:szCs w:val="24"/>
          <w:lang w:val="en-US" w:eastAsia="zh-CN"/>
        </w:rPr>
        <w:t xml:space="preserve"> </w:t>
      </w:r>
      <w:r w:rsidR="004B75EB" w:rsidRPr="005F2A26">
        <w:rPr>
          <w:rFonts w:eastAsiaTheme="minorEastAsia" w:cs="Times New Roman"/>
          <w:szCs w:val="24"/>
          <w:lang w:val="en-US" w:eastAsia="zh-CN"/>
        </w:rPr>
        <w:t xml:space="preserve">which </w:t>
      </w:r>
      <w:r w:rsidR="000D01EB" w:rsidRPr="005F2A26">
        <w:rPr>
          <w:rFonts w:eastAsiaTheme="minorEastAsia" w:cs="Times New Roman"/>
          <w:szCs w:val="24"/>
          <w:lang w:val="en-US" w:eastAsia="zh-CN"/>
        </w:rPr>
        <w:t xml:space="preserve">asserts people appropriate objects to </w:t>
      </w:r>
      <w:r w:rsidR="00F9433C" w:rsidRPr="005F2A26">
        <w:rPr>
          <w:rFonts w:eastAsiaTheme="minorEastAsia" w:cs="Times New Roman"/>
          <w:szCs w:val="24"/>
          <w:lang w:val="en-US" w:eastAsia="zh-CN"/>
        </w:rPr>
        <w:t>generate</w:t>
      </w:r>
      <w:r w:rsidR="000D01EB" w:rsidRPr="005F2A26">
        <w:rPr>
          <w:rFonts w:eastAsiaTheme="minorEastAsia" w:cs="Times New Roman"/>
          <w:szCs w:val="24"/>
          <w:lang w:val="en-US" w:eastAsia="zh-CN"/>
        </w:rPr>
        <w:t xml:space="preserve"> and </w:t>
      </w:r>
      <w:r w:rsidR="00F9433C" w:rsidRPr="005F2A26">
        <w:rPr>
          <w:rFonts w:eastAsiaTheme="minorEastAsia" w:cs="Times New Roman"/>
          <w:szCs w:val="24"/>
          <w:lang w:val="en-US" w:eastAsia="zh-CN"/>
        </w:rPr>
        <w:t>maintain</w:t>
      </w:r>
      <w:r w:rsidR="000D01EB" w:rsidRPr="005F2A26">
        <w:rPr>
          <w:rFonts w:eastAsiaTheme="minorEastAsia" w:cs="Times New Roman"/>
          <w:szCs w:val="24"/>
          <w:lang w:val="en-US" w:eastAsia="zh-CN"/>
        </w:rPr>
        <w:t xml:space="preserve"> their </w:t>
      </w:r>
      <w:r w:rsidR="00F9433C" w:rsidRPr="005F2A26">
        <w:rPr>
          <w:rFonts w:eastAsiaTheme="minorEastAsia" w:cs="Times New Roman"/>
          <w:szCs w:val="24"/>
          <w:lang w:val="en-US" w:eastAsia="zh-CN"/>
        </w:rPr>
        <w:t xml:space="preserve">sense of </w:t>
      </w:r>
      <w:r w:rsidR="000D01EB" w:rsidRPr="005F2A26">
        <w:rPr>
          <w:rFonts w:eastAsiaTheme="minorEastAsia" w:cs="Times New Roman"/>
          <w:szCs w:val="24"/>
          <w:lang w:val="en-US" w:eastAsia="zh-CN"/>
        </w:rPr>
        <w:t>self-concept</w:t>
      </w:r>
      <w:r w:rsidR="00F9433C" w:rsidRPr="005F2A26">
        <w:rPr>
          <w:rFonts w:eastAsiaTheme="minorEastAsia" w:cs="Times New Roman"/>
          <w:szCs w:val="24"/>
          <w:lang w:val="en-US" w:eastAsia="zh-CN"/>
        </w:rPr>
        <w:t xml:space="preserve"> (Belk, 1988)</w:t>
      </w:r>
      <w:r w:rsidR="000D01EB" w:rsidRPr="005F2A26">
        <w:rPr>
          <w:rFonts w:eastAsiaTheme="minorEastAsia" w:cs="Times New Roman"/>
          <w:szCs w:val="24"/>
          <w:lang w:val="en-US" w:eastAsia="zh-CN"/>
        </w:rPr>
        <w:t>.</w:t>
      </w:r>
      <w:r w:rsidR="00757CB8" w:rsidRPr="005F2A26">
        <w:rPr>
          <w:rFonts w:eastAsiaTheme="minorEastAsia" w:cs="Times New Roman"/>
          <w:szCs w:val="24"/>
          <w:lang w:val="en-US" w:eastAsia="zh-CN"/>
        </w:rPr>
        <w:t xml:space="preserve"> W</w:t>
      </w:r>
      <w:r w:rsidR="00265E19" w:rsidRPr="005F2A26">
        <w:rPr>
          <w:rFonts w:eastAsiaTheme="minorEastAsia" w:cs="Times New Roman"/>
          <w:szCs w:val="24"/>
          <w:lang w:val="en-US" w:eastAsia="zh-CN"/>
        </w:rPr>
        <w:t>hile</w:t>
      </w:r>
      <w:r w:rsidR="000D01EB" w:rsidRPr="005F2A26">
        <w:rPr>
          <w:rFonts w:eastAsiaTheme="minorEastAsia" w:cs="Times New Roman"/>
          <w:szCs w:val="24"/>
          <w:lang w:val="en-US" w:eastAsia="zh-CN"/>
        </w:rPr>
        <w:t xml:space="preserve"> people </w:t>
      </w:r>
      <w:r w:rsidR="00265E19" w:rsidRPr="005F2A26">
        <w:rPr>
          <w:rFonts w:eastAsiaTheme="minorEastAsia" w:cs="Times New Roman"/>
          <w:szCs w:val="24"/>
          <w:lang w:val="en-US" w:eastAsia="zh-CN"/>
        </w:rPr>
        <w:t>often</w:t>
      </w:r>
      <w:r w:rsidR="000D01EB" w:rsidRPr="005F2A26">
        <w:rPr>
          <w:rFonts w:eastAsiaTheme="minorEastAsia" w:cs="Times New Roman"/>
          <w:szCs w:val="24"/>
          <w:lang w:val="en-US" w:eastAsia="zh-CN"/>
        </w:rPr>
        <w:t xml:space="preserve"> generate their extended self through</w:t>
      </w:r>
      <w:r w:rsidR="00F9433C" w:rsidRPr="005F2A26">
        <w:rPr>
          <w:rFonts w:eastAsiaTheme="minorEastAsia" w:cs="Times New Roman"/>
          <w:szCs w:val="24"/>
          <w:lang w:val="en-US" w:eastAsia="zh-CN"/>
        </w:rPr>
        <w:t xml:space="preserve"> tangible objects (</w:t>
      </w:r>
      <w:r w:rsidR="00ED161A" w:rsidRPr="005F2A26">
        <w:rPr>
          <w:rFonts w:eastAsiaTheme="minorEastAsia" w:cs="Times New Roman"/>
          <w:szCs w:val="24"/>
          <w:lang w:val="en-US" w:eastAsia="zh-CN"/>
        </w:rPr>
        <w:t xml:space="preserve">e.g., </w:t>
      </w:r>
      <w:r w:rsidR="00F9433C" w:rsidRPr="005F2A26">
        <w:rPr>
          <w:rFonts w:eastAsiaTheme="minorEastAsia" w:cs="Times New Roman"/>
          <w:szCs w:val="24"/>
          <w:lang w:val="en-US" w:eastAsia="zh-CN"/>
        </w:rPr>
        <w:t>personal belongings)</w:t>
      </w:r>
      <w:r w:rsidR="00265E19" w:rsidRPr="005F2A26">
        <w:rPr>
          <w:rFonts w:eastAsiaTheme="minorEastAsia" w:cs="Times New Roman"/>
          <w:szCs w:val="24"/>
          <w:lang w:val="en-US" w:eastAsia="zh-CN"/>
        </w:rPr>
        <w:t>, they do also through</w:t>
      </w:r>
      <w:r w:rsidR="000D01EB" w:rsidRPr="005F2A26">
        <w:rPr>
          <w:rFonts w:eastAsiaTheme="minorEastAsia" w:cs="Times New Roman"/>
          <w:szCs w:val="24"/>
          <w:lang w:val="en-US" w:eastAsia="zh-CN"/>
        </w:rPr>
        <w:t xml:space="preserve"> intangible objects (</w:t>
      </w:r>
      <w:r w:rsidR="00ED161A" w:rsidRPr="005F2A26">
        <w:rPr>
          <w:rFonts w:eastAsiaTheme="minorEastAsia" w:cs="Times New Roman"/>
          <w:szCs w:val="24"/>
          <w:lang w:val="en-US" w:eastAsia="zh-CN"/>
        </w:rPr>
        <w:t xml:space="preserve">e.g., an organization, skillset, idea, or plan) (Pierce </w:t>
      </w:r>
      <w:r w:rsidR="00957690" w:rsidRPr="00957690">
        <w:rPr>
          <w:rFonts w:eastAsiaTheme="minorEastAsia" w:cs="Times New Roman"/>
          <w:i/>
          <w:iCs/>
          <w:szCs w:val="24"/>
          <w:lang w:val="en-US" w:eastAsia="zh-CN"/>
        </w:rPr>
        <w:t>et al.</w:t>
      </w:r>
      <w:r w:rsidR="00C26113" w:rsidRPr="005F2A26">
        <w:rPr>
          <w:rFonts w:eastAsiaTheme="minorEastAsia" w:cs="Times New Roman"/>
          <w:szCs w:val="24"/>
          <w:lang w:val="en-US" w:eastAsia="zh-CN"/>
        </w:rPr>
        <w:t xml:space="preserve">, </w:t>
      </w:r>
      <w:r w:rsidR="00ED161A" w:rsidRPr="005F2A26">
        <w:rPr>
          <w:rFonts w:eastAsiaTheme="minorEastAsia" w:cs="Times New Roman"/>
          <w:szCs w:val="24"/>
          <w:lang w:val="en-US" w:eastAsia="zh-CN"/>
        </w:rPr>
        <w:t>2003)</w:t>
      </w:r>
      <w:r w:rsidR="000D01EB" w:rsidRPr="005F2A26">
        <w:rPr>
          <w:rFonts w:eastAsiaTheme="minorEastAsia" w:cs="Times New Roman"/>
          <w:szCs w:val="24"/>
          <w:lang w:val="en-US" w:eastAsia="zh-CN"/>
        </w:rPr>
        <w:t xml:space="preserve">. </w:t>
      </w:r>
      <w:r w:rsidR="00366A34" w:rsidRPr="005F2A26">
        <w:rPr>
          <w:rFonts w:cs="Times New Roman"/>
          <w:iCs/>
          <w:szCs w:val="24"/>
          <w:lang w:val="en-US"/>
        </w:rPr>
        <w:t>T</w:t>
      </w:r>
      <w:r w:rsidR="002D224D" w:rsidRPr="005F2A26">
        <w:rPr>
          <w:rFonts w:cs="Times New Roman"/>
          <w:iCs/>
          <w:szCs w:val="24"/>
          <w:lang w:val="en-US"/>
        </w:rPr>
        <w:t xml:space="preserve">hese objects </w:t>
      </w:r>
      <w:r w:rsidR="00931855" w:rsidRPr="005F2A26">
        <w:rPr>
          <w:rFonts w:cs="Times New Roman"/>
          <w:iCs/>
          <w:szCs w:val="24"/>
          <w:lang w:val="en-US"/>
        </w:rPr>
        <w:t>th</w:t>
      </w:r>
      <w:r w:rsidR="00366A34" w:rsidRPr="005F2A26">
        <w:rPr>
          <w:rFonts w:cs="Times New Roman"/>
          <w:iCs/>
          <w:szCs w:val="24"/>
          <w:lang w:val="en-US"/>
        </w:rPr>
        <w:t>en</w:t>
      </w:r>
      <w:r w:rsidR="00931855" w:rsidRPr="005F2A26">
        <w:rPr>
          <w:rFonts w:cs="Times New Roman"/>
          <w:iCs/>
          <w:szCs w:val="24"/>
          <w:lang w:val="en-US"/>
        </w:rPr>
        <w:t xml:space="preserve"> </w:t>
      </w:r>
      <w:r w:rsidR="002D224D" w:rsidRPr="005F2A26">
        <w:rPr>
          <w:rFonts w:cs="Times New Roman"/>
          <w:iCs/>
          <w:szCs w:val="24"/>
          <w:lang w:val="en-US"/>
        </w:rPr>
        <w:t xml:space="preserve">act as </w:t>
      </w:r>
      <w:r w:rsidR="0063378F" w:rsidRPr="005F2A26">
        <w:rPr>
          <w:rFonts w:eastAsiaTheme="minorEastAsia" w:cs="Times New Roman"/>
          <w:szCs w:val="24"/>
          <w:lang w:val="en-US" w:eastAsia="zh-CN"/>
        </w:rPr>
        <w:t>target</w:t>
      </w:r>
      <w:r w:rsidR="002D224D" w:rsidRPr="005F2A26">
        <w:rPr>
          <w:rFonts w:eastAsiaTheme="minorEastAsia" w:cs="Times New Roman"/>
          <w:szCs w:val="24"/>
          <w:lang w:val="en-US" w:eastAsia="zh-CN"/>
        </w:rPr>
        <w:t>s</w:t>
      </w:r>
      <w:r w:rsidR="0063378F" w:rsidRPr="005F2A26">
        <w:rPr>
          <w:rFonts w:eastAsiaTheme="minorEastAsia" w:cs="Times New Roman"/>
          <w:szCs w:val="24"/>
          <w:lang w:val="en-US" w:eastAsia="zh-CN"/>
        </w:rPr>
        <w:t xml:space="preserve"> of </w:t>
      </w:r>
      <w:r w:rsidR="00366A34" w:rsidRPr="005F2A26">
        <w:rPr>
          <w:rFonts w:eastAsiaTheme="minorEastAsia" w:cs="Times New Roman"/>
          <w:szCs w:val="24"/>
          <w:lang w:val="en-US" w:eastAsia="zh-CN"/>
        </w:rPr>
        <w:t>PO and</w:t>
      </w:r>
      <w:r w:rsidR="002D224D" w:rsidRPr="005F2A26">
        <w:rPr>
          <w:rFonts w:eastAsiaTheme="minorEastAsia" w:cs="Times New Roman"/>
          <w:szCs w:val="24"/>
          <w:lang w:val="en-US" w:eastAsia="zh-CN"/>
        </w:rPr>
        <w:t xml:space="preserve"> </w:t>
      </w:r>
      <w:r w:rsidR="00366A34" w:rsidRPr="005F2A26">
        <w:rPr>
          <w:rFonts w:eastAsiaTheme="minorEastAsia" w:cs="Times New Roman"/>
          <w:szCs w:val="24"/>
          <w:lang w:val="en-US" w:eastAsia="zh-CN"/>
        </w:rPr>
        <w:t>“as important anchors for the individual who in turn develops possessive feelings towards the objects” (</w:t>
      </w:r>
      <w:proofErr w:type="spellStart"/>
      <w:r w:rsidR="00366A34" w:rsidRPr="005F2A26">
        <w:rPr>
          <w:rFonts w:eastAsiaTheme="minorEastAsia" w:cs="Times New Roman"/>
          <w:szCs w:val="24"/>
          <w:lang w:val="en-US" w:eastAsia="zh-CN"/>
        </w:rPr>
        <w:t>Fritze</w:t>
      </w:r>
      <w:proofErr w:type="spellEnd"/>
      <w:r w:rsidR="00366A34"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366A34" w:rsidRPr="005F2A26">
        <w:rPr>
          <w:rFonts w:eastAsiaTheme="minorEastAsia" w:cs="Times New Roman"/>
          <w:szCs w:val="24"/>
          <w:lang w:val="en-US" w:eastAsia="zh-CN"/>
        </w:rPr>
        <w:t>, 2020, p.2).</w:t>
      </w:r>
      <w:r w:rsidR="00366A34" w:rsidRPr="005F2A26">
        <w:rPr>
          <w:rFonts w:cs="Times New Roman"/>
          <w:iCs/>
          <w:szCs w:val="24"/>
          <w:lang w:val="en-US"/>
        </w:rPr>
        <w:t xml:space="preserve"> </w:t>
      </w:r>
      <w:r w:rsidR="003B65E9">
        <w:rPr>
          <w:rFonts w:eastAsiaTheme="minorEastAsia" w:cs="Times New Roman"/>
          <w:szCs w:val="24"/>
          <w:lang w:val="en-US" w:eastAsia="zh-CN"/>
        </w:rPr>
        <w:t>A</w:t>
      </w:r>
      <w:r w:rsidR="002A57D0" w:rsidRPr="005F2A26">
        <w:rPr>
          <w:rFonts w:eastAsiaTheme="minorEastAsia" w:cs="Times New Roman"/>
          <w:szCs w:val="24"/>
          <w:lang w:val="en-US" w:eastAsia="zh-CN"/>
        </w:rPr>
        <w:t xml:space="preserve"> person experience</w:t>
      </w:r>
      <w:r w:rsidR="003F0B89" w:rsidRPr="005F2A26">
        <w:rPr>
          <w:rFonts w:eastAsiaTheme="minorEastAsia" w:cs="Times New Roman"/>
          <w:szCs w:val="24"/>
          <w:lang w:val="en-US" w:eastAsia="zh-CN"/>
        </w:rPr>
        <w:t>s</w:t>
      </w:r>
      <w:r w:rsidR="002A57D0" w:rsidRPr="005F2A26">
        <w:rPr>
          <w:rFonts w:eastAsiaTheme="minorEastAsia" w:cs="Times New Roman"/>
          <w:szCs w:val="24"/>
          <w:lang w:val="en-US" w:eastAsia="zh-CN"/>
        </w:rPr>
        <w:t xml:space="preserve"> </w:t>
      </w:r>
      <w:r w:rsidR="003F0B89" w:rsidRPr="005F2A26">
        <w:rPr>
          <w:rFonts w:eastAsiaTheme="minorEastAsia" w:cs="Times New Roman"/>
          <w:szCs w:val="24"/>
          <w:lang w:val="en-US" w:eastAsia="zh-CN"/>
        </w:rPr>
        <w:t xml:space="preserve">both </w:t>
      </w:r>
      <w:r w:rsidR="002A57D0" w:rsidRPr="005F2A26">
        <w:rPr>
          <w:rFonts w:eastAsiaTheme="minorEastAsia" w:cs="Times New Roman"/>
          <w:szCs w:val="24"/>
          <w:lang w:val="en-US" w:eastAsia="zh-CN"/>
        </w:rPr>
        <w:t>a cognitive</w:t>
      </w:r>
      <w:r w:rsidR="003F0B89" w:rsidRPr="005F2A26">
        <w:rPr>
          <w:rFonts w:eastAsiaTheme="minorEastAsia" w:cs="Times New Roman"/>
          <w:szCs w:val="24"/>
          <w:lang w:val="en-US" w:eastAsia="zh-CN"/>
        </w:rPr>
        <w:t xml:space="preserve"> and emotional</w:t>
      </w:r>
      <w:r w:rsidR="002A57D0" w:rsidRPr="005F2A26">
        <w:rPr>
          <w:rFonts w:eastAsiaTheme="minorEastAsia" w:cs="Times New Roman"/>
          <w:szCs w:val="24"/>
          <w:lang w:val="en-US" w:eastAsia="zh-CN"/>
        </w:rPr>
        <w:t xml:space="preserve"> relationship with </w:t>
      </w:r>
      <w:r w:rsidR="003B65E9">
        <w:rPr>
          <w:rFonts w:eastAsiaTheme="minorEastAsia" w:cs="Times New Roman"/>
          <w:szCs w:val="24"/>
          <w:lang w:val="en-US" w:eastAsia="zh-CN"/>
        </w:rPr>
        <w:t>a</w:t>
      </w:r>
      <w:r w:rsidR="00A10CD6">
        <w:rPr>
          <w:rFonts w:eastAsiaTheme="minorEastAsia" w:cs="Times New Roman"/>
          <w:szCs w:val="24"/>
          <w:lang w:val="en-US" w:eastAsia="zh-CN"/>
        </w:rPr>
        <w:t>ny</w:t>
      </w:r>
      <w:r w:rsidR="002A57D0" w:rsidRPr="005F2A26">
        <w:rPr>
          <w:rFonts w:eastAsiaTheme="minorEastAsia" w:cs="Times New Roman"/>
          <w:szCs w:val="24"/>
          <w:lang w:val="en-US" w:eastAsia="zh-CN"/>
        </w:rPr>
        <w:t xml:space="preserve"> target of ownership (Dawkins </w:t>
      </w:r>
      <w:r w:rsidR="00957690" w:rsidRPr="00957690">
        <w:rPr>
          <w:rFonts w:eastAsiaTheme="minorEastAsia" w:cs="Times New Roman"/>
          <w:i/>
          <w:iCs/>
          <w:szCs w:val="24"/>
          <w:lang w:val="en-US" w:eastAsia="zh-CN"/>
        </w:rPr>
        <w:t>et al.</w:t>
      </w:r>
      <w:r w:rsidR="002A57D0" w:rsidRPr="005F2A26">
        <w:rPr>
          <w:rFonts w:eastAsiaTheme="minorEastAsia" w:cs="Times New Roman"/>
          <w:szCs w:val="24"/>
          <w:lang w:val="en-US" w:eastAsia="zh-CN"/>
        </w:rPr>
        <w:t xml:space="preserve">, 2017), e.g., “This is </w:t>
      </w:r>
      <w:r w:rsidR="00C2364E" w:rsidRPr="005F2A26">
        <w:rPr>
          <w:rFonts w:eastAsiaTheme="minorEastAsia" w:cs="Times New Roman"/>
          <w:szCs w:val="24"/>
          <w:lang w:val="en-US" w:eastAsia="zh-CN"/>
        </w:rPr>
        <w:t xml:space="preserve">MY </w:t>
      </w:r>
      <w:r w:rsidR="002A57D0" w:rsidRPr="005F2A26">
        <w:rPr>
          <w:rFonts w:eastAsiaTheme="minorEastAsia" w:cs="Times New Roman"/>
          <w:szCs w:val="24"/>
          <w:lang w:val="en-US" w:eastAsia="zh-CN"/>
        </w:rPr>
        <w:t>home</w:t>
      </w:r>
      <w:r w:rsidR="00E44CBD" w:rsidRPr="005F2A26">
        <w:rPr>
          <w:rFonts w:eastAsiaTheme="minorEastAsia" w:cs="Times New Roman"/>
          <w:szCs w:val="24"/>
          <w:lang w:val="en-US" w:eastAsia="zh-CN"/>
        </w:rPr>
        <w:t>,</w:t>
      </w:r>
      <w:r w:rsidR="002A57D0" w:rsidRPr="005F2A26">
        <w:rPr>
          <w:rFonts w:eastAsiaTheme="minorEastAsia" w:cs="Times New Roman"/>
          <w:szCs w:val="24"/>
          <w:lang w:val="en-US" w:eastAsia="zh-CN"/>
        </w:rPr>
        <w:t>”</w:t>
      </w:r>
      <w:r w:rsidR="00E44CBD" w:rsidRPr="005F2A26">
        <w:rPr>
          <w:rFonts w:eastAsiaTheme="minorEastAsia" w:cs="Times New Roman"/>
          <w:szCs w:val="24"/>
          <w:lang w:val="en-US" w:eastAsia="zh-CN"/>
        </w:rPr>
        <w:t xml:space="preserve"> or, “That’s MY idea.”</w:t>
      </w:r>
    </w:p>
    <w:p w14:paraId="57C35B01" w14:textId="6F77CB03" w:rsidR="00761223" w:rsidRPr="005F2A26" w:rsidRDefault="00761223" w:rsidP="00761223">
      <w:pPr>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lastRenderedPageBreak/>
        <w:t>A ‘target’ of iPO has unique meaning for each individual</w:t>
      </w:r>
      <w:r w:rsidR="009D6642" w:rsidRPr="005F2A26">
        <w:rPr>
          <w:rFonts w:eastAsiaTheme="minorEastAsia" w:cs="Times New Roman"/>
          <w:szCs w:val="24"/>
          <w:lang w:val="en-US" w:eastAsia="zh-CN"/>
        </w:rPr>
        <w:t xml:space="preserve">. This is </w:t>
      </w:r>
      <w:r w:rsidR="007E1E8C" w:rsidRPr="005F2A26">
        <w:rPr>
          <w:rFonts w:eastAsiaTheme="minorEastAsia" w:cs="Times New Roman"/>
          <w:szCs w:val="24"/>
          <w:lang w:val="en-US" w:eastAsia="zh-CN"/>
        </w:rPr>
        <w:t xml:space="preserve">reflected in the service research literature which highlights the phenomenological, uniquely personal interpretations people place on value (Vargo and </w:t>
      </w:r>
      <w:proofErr w:type="spellStart"/>
      <w:r w:rsidR="007E1E8C" w:rsidRPr="005F2A26">
        <w:rPr>
          <w:rFonts w:eastAsiaTheme="minorEastAsia" w:cs="Times New Roman"/>
          <w:szCs w:val="24"/>
          <w:lang w:val="en-US" w:eastAsia="zh-CN"/>
        </w:rPr>
        <w:t>Lusch</w:t>
      </w:r>
      <w:proofErr w:type="spellEnd"/>
      <w:r w:rsidR="007E1E8C" w:rsidRPr="005F2A26">
        <w:rPr>
          <w:rFonts w:eastAsiaTheme="minorEastAsia" w:cs="Times New Roman"/>
          <w:szCs w:val="24"/>
          <w:lang w:val="en-US" w:eastAsia="zh-CN"/>
        </w:rPr>
        <w:t>, 2016).</w:t>
      </w:r>
      <w:r w:rsidRPr="005F2A26">
        <w:rPr>
          <w:rFonts w:eastAsiaTheme="minorEastAsia" w:cs="Times New Roman"/>
          <w:szCs w:val="24"/>
          <w:lang w:val="en-US" w:eastAsia="zh-CN"/>
        </w:rPr>
        <w:t xml:space="preserve"> </w:t>
      </w:r>
      <w:r w:rsidR="007E1E8C" w:rsidRPr="005F2A26">
        <w:rPr>
          <w:rFonts w:eastAsiaTheme="minorEastAsia" w:cs="Times New Roman"/>
          <w:szCs w:val="24"/>
          <w:lang w:val="en-US" w:eastAsia="zh-CN"/>
        </w:rPr>
        <w:t>The</w:t>
      </w:r>
      <w:r w:rsidR="00BA5E7C" w:rsidRPr="005F2A26">
        <w:rPr>
          <w:rFonts w:eastAsiaTheme="minorEastAsia" w:cs="Times New Roman"/>
          <w:szCs w:val="24"/>
          <w:lang w:val="en-US" w:eastAsia="zh-CN"/>
        </w:rPr>
        <w:t xml:space="preserve"> </w:t>
      </w:r>
      <w:r w:rsidRPr="005F2A26">
        <w:rPr>
          <w:rFonts w:eastAsiaTheme="minorEastAsia" w:cs="Times New Roman"/>
          <w:szCs w:val="24"/>
          <w:lang w:val="en-US" w:eastAsia="zh-CN"/>
        </w:rPr>
        <w:t xml:space="preserve">importance </w:t>
      </w:r>
      <w:r w:rsidR="007E1E8C" w:rsidRPr="005F2A26">
        <w:rPr>
          <w:rFonts w:eastAsiaTheme="minorEastAsia" w:cs="Times New Roman"/>
          <w:szCs w:val="24"/>
          <w:lang w:val="en-US" w:eastAsia="zh-CN"/>
        </w:rPr>
        <w:t xml:space="preserve">people place on a target </w:t>
      </w:r>
      <w:r w:rsidRPr="005F2A26">
        <w:rPr>
          <w:rFonts w:eastAsiaTheme="minorEastAsia" w:cs="Times New Roman"/>
          <w:szCs w:val="24"/>
          <w:lang w:val="en-US" w:eastAsia="zh-CN"/>
        </w:rPr>
        <w:t>can fluctuate through time and context,</w:t>
      </w:r>
      <w:r w:rsidR="004C62EE">
        <w:rPr>
          <w:rFonts w:eastAsiaTheme="minorEastAsia" w:cs="Times New Roman"/>
          <w:szCs w:val="24"/>
          <w:lang w:val="en-US" w:eastAsia="zh-CN"/>
        </w:rPr>
        <w:t xml:space="preserve"> </w:t>
      </w:r>
      <w:r w:rsidR="00F006AB">
        <w:rPr>
          <w:rFonts w:eastAsiaTheme="minorEastAsia" w:cs="Times New Roman"/>
          <w:szCs w:val="24"/>
          <w:lang w:val="en-US" w:eastAsia="zh-CN"/>
        </w:rPr>
        <w:t>e.g.,</w:t>
      </w:r>
      <w:r w:rsidR="002D0E05">
        <w:rPr>
          <w:rFonts w:eastAsiaTheme="minorEastAsia" w:cs="Times New Roman"/>
          <w:szCs w:val="24"/>
          <w:lang w:val="en-US" w:eastAsia="zh-CN"/>
        </w:rPr>
        <w:t xml:space="preserve"> as </w:t>
      </w:r>
      <w:r w:rsidR="009D694F">
        <w:rPr>
          <w:rFonts w:eastAsiaTheme="minorEastAsia" w:cs="Times New Roman"/>
          <w:szCs w:val="24"/>
          <w:lang w:val="en-US" w:eastAsia="zh-CN"/>
        </w:rPr>
        <w:t>someone</w:t>
      </w:r>
      <w:r w:rsidR="002D0E05">
        <w:rPr>
          <w:rFonts w:eastAsiaTheme="minorEastAsia" w:cs="Times New Roman"/>
          <w:szCs w:val="24"/>
          <w:lang w:val="en-US" w:eastAsia="zh-CN"/>
        </w:rPr>
        <w:t xml:space="preserve"> own</w:t>
      </w:r>
      <w:r w:rsidR="009D694F">
        <w:rPr>
          <w:rFonts w:eastAsiaTheme="minorEastAsia" w:cs="Times New Roman"/>
          <w:szCs w:val="24"/>
          <w:lang w:val="en-US" w:eastAsia="zh-CN"/>
        </w:rPr>
        <w:t>s</w:t>
      </w:r>
      <w:r w:rsidR="002D0E05">
        <w:rPr>
          <w:rFonts w:eastAsiaTheme="minorEastAsia" w:cs="Times New Roman"/>
          <w:szCs w:val="24"/>
          <w:lang w:val="en-US" w:eastAsia="zh-CN"/>
        </w:rPr>
        <w:t xml:space="preserve"> a good for longer</w:t>
      </w:r>
      <w:r w:rsidR="00A61197">
        <w:rPr>
          <w:rFonts w:eastAsiaTheme="minorEastAsia" w:cs="Times New Roman"/>
          <w:szCs w:val="24"/>
          <w:lang w:val="en-US" w:eastAsia="zh-CN"/>
        </w:rPr>
        <w:t xml:space="preserve"> (</w:t>
      </w:r>
      <w:proofErr w:type="spellStart"/>
      <w:r w:rsidR="00EE54EA" w:rsidRPr="00EE54EA">
        <w:rPr>
          <w:rFonts w:eastAsiaTheme="minorEastAsia" w:cs="Times New Roman"/>
          <w:szCs w:val="24"/>
          <w:lang w:val="en-NZ" w:eastAsia="zh-CN"/>
        </w:rPr>
        <w:t>Strahilevitz</w:t>
      </w:r>
      <w:proofErr w:type="spellEnd"/>
      <w:r w:rsidR="00EE54EA" w:rsidRPr="00EE54EA">
        <w:rPr>
          <w:rFonts w:eastAsiaTheme="minorEastAsia" w:cs="Times New Roman"/>
          <w:szCs w:val="24"/>
          <w:lang w:val="en-NZ" w:eastAsia="zh-CN"/>
        </w:rPr>
        <w:t xml:space="preserve"> and Loewenstein</w:t>
      </w:r>
      <w:r w:rsidR="00EE54EA">
        <w:rPr>
          <w:rFonts w:eastAsiaTheme="minorEastAsia" w:cs="Times New Roman"/>
          <w:szCs w:val="24"/>
          <w:lang w:val="en-NZ" w:eastAsia="zh-CN"/>
        </w:rPr>
        <w:t>,</w:t>
      </w:r>
      <w:r w:rsidR="00EE54EA" w:rsidRPr="00EE54EA">
        <w:rPr>
          <w:rFonts w:eastAsiaTheme="minorEastAsia" w:cs="Times New Roman"/>
          <w:szCs w:val="24"/>
          <w:lang w:val="en-NZ" w:eastAsia="zh-CN"/>
        </w:rPr>
        <w:t xml:space="preserve"> 1998</w:t>
      </w:r>
      <w:r w:rsidR="00A61197">
        <w:rPr>
          <w:rFonts w:eastAsiaTheme="minorEastAsia" w:cs="Times New Roman"/>
          <w:szCs w:val="24"/>
          <w:lang w:val="en-US" w:eastAsia="zh-CN"/>
        </w:rPr>
        <w:t>)</w:t>
      </w:r>
      <w:r w:rsidR="0051533C">
        <w:rPr>
          <w:rFonts w:eastAsiaTheme="minorEastAsia" w:cs="Times New Roman"/>
          <w:szCs w:val="24"/>
          <w:lang w:val="en-US" w:eastAsia="zh-CN"/>
        </w:rPr>
        <w:t>. Also,</w:t>
      </w:r>
      <w:r w:rsidRPr="005F2A26">
        <w:rPr>
          <w:rFonts w:eastAsiaTheme="minorEastAsia" w:cs="Times New Roman"/>
          <w:szCs w:val="24"/>
          <w:lang w:val="en-US" w:eastAsia="zh-CN"/>
        </w:rPr>
        <w:t xml:space="preserve"> iPO </w:t>
      </w:r>
      <w:r w:rsidR="009D694F">
        <w:rPr>
          <w:rFonts w:eastAsiaTheme="minorEastAsia" w:cs="Times New Roman"/>
          <w:szCs w:val="24"/>
          <w:lang w:val="en-US" w:eastAsia="zh-CN"/>
        </w:rPr>
        <w:t xml:space="preserve">can develop </w:t>
      </w:r>
      <w:r w:rsidRPr="005F2A26">
        <w:rPr>
          <w:rFonts w:eastAsiaTheme="minorEastAsia" w:cs="Times New Roman"/>
          <w:szCs w:val="24"/>
          <w:lang w:val="en-US" w:eastAsia="zh-CN"/>
        </w:rPr>
        <w:t xml:space="preserve">whether </w:t>
      </w:r>
      <w:r w:rsidR="009D694F">
        <w:rPr>
          <w:rFonts w:eastAsiaTheme="minorEastAsia" w:cs="Times New Roman"/>
          <w:szCs w:val="24"/>
          <w:lang w:val="en-US" w:eastAsia="zh-CN"/>
        </w:rPr>
        <w:t>someone has</w:t>
      </w:r>
      <w:r w:rsidRPr="005F2A26">
        <w:rPr>
          <w:rFonts w:eastAsiaTheme="minorEastAsia" w:cs="Times New Roman"/>
          <w:szCs w:val="24"/>
          <w:lang w:val="en-US" w:eastAsia="zh-CN"/>
        </w:rPr>
        <w:t xml:space="preserve"> a legal claim to the </w:t>
      </w:r>
      <w:r w:rsidR="00B84703" w:rsidRPr="005F2A26">
        <w:rPr>
          <w:rFonts w:eastAsiaTheme="minorEastAsia" w:cs="Times New Roman"/>
          <w:szCs w:val="24"/>
          <w:lang w:val="en-US" w:eastAsia="zh-CN"/>
        </w:rPr>
        <w:t>target</w:t>
      </w:r>
      <w:r w:rsidRPr="005F2A26">
        <w:rPr>
          <w:rFonts w:eastAsiaTheme="minorEastAsia" w:cs="Times New Roman"/>
          <w:szCs w:val="24"/>
          <w:lang w:val="en-US" w:eastAsia="zh-CN"/>
        </w:rPr>
        <w:t xml:space="preserve"> or not (Asatryan and Oh, 2008; Fuchs </w:t>
      </w:r>
      <w:r w:rsidR="00957690" w:rsidRPr="00957690">
        <w:rPr>
          <w:rFonts w:eastAsiaTheme="minorEastAsia" w:cs="Times New Roman"/>
          <w:i/>
          <w:iCs/>
          <w:szCs w:val="24"/>
          <w:lang w:val="en-US" w:eastAsia="zh-CN"/>
        </w:rPr>
        <w:t>et al.</w:t>
      </w:r>
      <w:r w:rsidRPr="005F2A26">
        <w:rPr>
          <w:rFonts w:eastAsiaTheme="minorEastAsia" w:cs="Times New Roman"/>
          <w:szCs w:val="24"/>
          <w:lang w:val="en-US" w:eastAsia="zh-CN"/>
        </w:rPr>
        <w:t xml:space="preserve">, 2010), </w:t>
      </w:r>
      <w:r w:rsidR="009D694F">
        <w:rPr>
          <w:rFonts w:eastAsiaTheme="minorEastAsia" w:cs="Times New Roman"/>
          <w:szCs w:val="24"/>
          <w:lang w:val="en-US" w:eastAsia="zh-CN"/>
        </w:rPr>
        <w:t xml:space="preserve">e.g., </w:t>
      </w:r>
      <w:r w:rsidR="00B95F14">
        <w:rPr>
          <w:rFonts w:eastAsiaTheme="minorEastAsia" w:cs="Times New Roman"/>
          <w:szCs w:val="24"/>
          <w:lang w:val="en-US" w:eastAsia="zh-CN"/>
        </w:rPr>
        <w:t>a sense of</w:t>
      </w:r>
      <w:r w:rsidRPr="005F2A26">
        <w:rPr>
          <w:rFonts w:eastAsiaTheme="minorEastAsia" w:cs="Times New Roman"/>
          <w:szCs w:val="24"/>
          <w:lang w:val="en-US" w:eastAsia="zh-CN"/>
        </w:rPr>
        <w:t xml:space="preserve"> PO over </w:t>
      </w:r>
      <w:r w:rsidR="00B95F14">
        <w:rPr>
          <w:rFonts w:eastAsiaTheme="minorEastAsia" w:cs="Times New Roman"/>
          <w:szCs w:val="24"/>
          <w:lang w:val="en-US" w:eastAsia="zh-CN"/>
        </w:rPr>
        <w:t>a</w:t>
      </w:r>
      <w:r w:rsidRPr="005F2A26">
        <w:rPr>
          <w:rFonts w:eastAsiaTheme="minorEastAsia" w:cs="Times New Roman"/>
          <w:szCs w:val="24"/>
          <w:lang w:val="en-US" w:eastAsia="zh-CN"/>
        </w:rPr>
        <w:t xml:space="preserve"> neighborhood (</w:t>
      </w:r>
      <w:proofErr w:type="spellStart"/>
      <w:r w:rsidRPr="005F2A26">
        <w:rPr>
          <w:rFonts w:eastAsiaTheme="minorEastAsia" w:cs="Times New Roman"/>
          <w:szCs w:val="24"/>
          <w:lang w:val="en-US" w:eastAsia="zh-CN"/>
        </w:rPr>
        <w:t>Verkuyte</w:t>
      </w:r>
      <w:r w:rsidR="000A0A92" w:rsidRPr="005F2A26">
        <w:rPr>
          <w:rFonts w:eastAsiaTheme="minorEastAsia" w:cs="Times New Roman"/>
          <w:szCs w:val="24"/>
          <w:lang w:val="en-US" w:eastAsia="zh-CN"/>
        </w:rPr>
        <w:t>n</w:t>
      </w:r>
      <w:proofErr w:type="spellEnd"/>
      <w:r w:rsidRPr="005F2A26">
        <w:rPr>
          <w:rFonts w:eastAsiaTheme="minorEastAsia" w:cs="Times New Roman"/>
          <w:szCs w:val="24"/>
          <w:lang w:val="en-US" w:eastAsia="zh-CN"/>
        </w:rPr>
        <w:t xml:space="preserve"> and Martinovic, 2017). </w:t>
      </w:r>
      <w:r w:rsidR="00677F8F">
        <w:rPr>
          <w:rFonts w:eastAsiaTheme="minorEastAsia" w:cs="Times New Roman"/>
          <w:szCs w:val="24"/>
          <w:lang w:val="en-US" w:eastAsia="zh-CN"/>
        </w:rPr>
        <w:t>L</w:t>
      </w:r>
      <w:r w:rsidR="00D94851" w:rsidRPr="005F2A26">
        <w:rPr>
          <w:rFonts w:eastAsiaTheme="minorEastAsia" w:cs="Times New Roman"/>
          <w:szCs w:val="24"/>
          <w:lang w:val="en-US" w:eastAsia="zh-CN"/>
        </w:rPr>
        <w:t>e</w:t>
      </w:r>
      <w:r w:rsidRPr="005F2A26">
        <w:rPr>
          <w:rFonts w:eastAsiaTheme="minorEastAsia" w:cs="Times New Roman"/>
          <w:szCs w:val="24"/>
          <w:lang w:val="en-US" w:eastAsia="zh-CN"/>
        </w:rPr>
        <w:t xml:space="preserve">gal ownership </w:t>
      </w:r>
      <w:r w:rsidR="00F478D8" w:rsidRPr="005F2A26">
        <w:rPr>
          <w:rFonts w:eastAsiaTheme="minorEastAsia" w:cs="Times New Roman"/>
          <w:szCs w:val="24"/>
          <w:lang w:val="en-US" w:eastAsia="zh-CN"/>
        </w:rPr>
        <w:t>may</w:t>
      </w:r>
      <w:r w:rsidR="005E4E49" w:rsidRPr="005F2A26">
        <w:rPr>
          <w:rFonts w:eastAsiaTheme="minorEastAsia" w:cs="Times New Roman"/>
          <w:szCs w:val="24"/>
          <w:lang w:val="en-US" w:eastAsia="zh-CN"/>
        </w:rPr>
        <w:t xml:space="preserve"> precede a sense of </w:t>
      </w:r>
      <w:r w:rsidR="00937145" w:rsidRPr="005F2A26">
        <w:rPr>
          <w:rFonts w:eastAsiaTheme="minorEastAsia" w:cs="Times New Roman"/>
          <w:szCs w:val="24"/>
          <w:lang w:val="en-US" w:eastAsia="zh-CN"/>
        </w:rPr>
        <w:t>i</w:t>
      </w:r>
      <w:r w:rsidR="005E4E49" w:rsidRPr="005F2A26">
        <w:rPr>
          <w:rFonts w:eastAsiaTheme="minorEastAsia" w:cs="Times New Roman"/>
          <w:szCs w:val="24"/>
          <w:lang w:val="en-US" w:eastAsia="zh-CN"/>
        </w:rPr>
        <w:t xml:space="preserve">PO, although </w:t>
      </w:r>
      <w:r w:rsidR="0066328F" w:rsidRPr="005F2A26">
        <w:rPr>
          <w:rFonts w:eastAsiaTheme="minorEastAsia" w:cs="Times New Roman"/>
          <w:szCs w:val="24"/>
          <w:lang w:val="en-US" w:eastAsia="zh-CN"/>
        </w:rPr>
        <w:t>it is not a</w:t>
      </w:r>
      <w:r w:rsidRPr="005F2A26">
        <w:rPr>
          <w:rFonts w:eastAsiaTheme="minorEastAsia" w:cs="Times New Roman"/>
          <w:szCs w:val="24"/>
          <w:lang w:val="en-US" w:eastAsia="zh-CN"/>
        </w:rPr>
        <w:t xml:space="preserve"> guarantee</w:t>
      </w:r>
      <w:r w:rsidR="0066328F" w:rsidRPr="005F2A26">
        <w:rPr>
          <w:rFonts w:eastAsiaTheme="minorEastAsia" w:cs="Times New Roman"/>
          <w:szCs w:val="24"/>
          <w:lang w:val="en-US" w:eastAsia="zh-CN"/>
        </w:rPr>
        <w:t xml:space="preserve"> of</w:t>
      </w:r>
      <w:r w:rsidRPr="005F2A26">
        <w:rPr>
          <w:rFonts w:eastAsiaTheme="minorEastAsia" w:cs="Times New Roman"/>
          <w:szCs w:val="24"/>
          <w:lang w:val="en-US" w:eastAsia="zh-CN"/>
        </w:rPr>
        <w:t xml:space="preserve"> PO</w:t>
      </w:r>
      <w:r w:rsidR="00C22D6F" w:rsidRPr="005F2A26">
        <w:rPr>
          <w:rFonts w:eastAsiaTheme="minorEastAsia" w:cs="Times New Roman"/>
          <w:szCs w:val="24"/>
          <w:lang w:val="en-US" w:eastAsia="zh-CN"/>
        </w:rPr>
        <w:t xml:space="preserve"> </w:t>
      </w:r>
      <w:r w:rsidRPr="005F2A26">
        <w:rPr>
          <w:rFonts w:eastAsiaTheme="minorEastAsia" w:cs="Times New Roman"/>
          <w:szCs w:val="24"/>
          <w:lang w:val="en-US" w:eastAsia="zh-CN"/>
        </w:rPr>
        <w:t>(</w:t>
      </w:r>
      <w:r w:rsidR="00B237F7" w:rsidRPr="005F2A26">
        <w:rPr>
          <w:rFonts w:eastAsiaTheme="minorEastAsia" w:cs="Times New Roman"/>
          <w:szCs w:val="24"/>
          <w:lang w:val="en-US" w:eastAsia="zh-CN"/>
        </w:rPr>
        <w:t>Reb</w:t>
      </w:r>
      <w:r w:rsidRPr="005F2A26">
        <w:rPr>
          <w:rFonts w:eastAsiaTheme="minorEastAsia" w:cs="Times New Roman"/>
          <w:szCs w:val="24"/>
          <w:lang w:val="en-US" w:eastAsia="zh-CN"/>
        </w:rPr>
        <w:t xml:space="preserve"> and Connolly, 2007)</w:t>
      </w:r>
      <w:r w:rsidR="000A0696">
        <w:rPr>
          <w:rFonts w:eastAsiaTheme="minorEastAsia" w:cs="Times New Roman"/>
          <w:szCs w:val="24"/>
          <w:lang w:val="en-US" w:eastAsia="zh-CN"/>
        </w:rPr>
        <w:t xml:space="preserve">, </w:t>
      </w:r>
      <w:r w:rsidR="006B1668">
        <w:rPr>
          <w:rFonts w:eastAsiaTheme="minorEastAsia" w:cs="Times New Roman"/>
          <w:szCs w:val="24"/>
          <w:lang w:val="en-US" w:eastAsia="zh-CN"/>
        </w:rPr>
        <w:t xml:space="preserve">particularly when people have little control </w:t>
      </w:r>
      <w:r w:rsidR="00DC037C">
        <w:rPr>
          <w:rFonts w:eastAsiaTheme="minorEastAsia" w:cs="Times New Roman"/>
          <w:szCs w:val="24"/>
          <w:lang w:val="en-US" w:eastAsia="zh-CN"/>
        </w:rPr>
        <w:t>over the goods that are owned</w:t>
      </w:r>
      <w:r w:rsidR="0027227B">
        <w:rPr>
          <w:rFonts w:eastAsiaTheme="minorEastAsia" w:cs="Times New Roman"/>
          <w:szCs w:val="24"/>
          <w:lang w:val="en-US" w:eastAsia="zh-CN"/>
        </w:rPr>
        <w:t>, e.g., company</w:t>
      </w:r>
      <w:r w:rsidR="000A0696">
        <w:rPr>
          <w:rFonts w:eastAsiaTheme="minorEastAsia" w:cs="Times New Roman"/>
          <w:szCs w:val="24"/>
          <w:lang w:val="en-US" w:eastAsia="zh-CN"/>
        </w:rPr>
        <w:t xml:space="preserve"> shares</w:t>
      </w:r>
      <w:r w:rsidR="0027227B">
        <w:rPr>
          <w:rFonts w:eastAsiaTheme="minorEastAsia" w:cs="Times New Roman"/>
          <w:szCs w:val="24"/>
          <w:lang w:val="en-US" w:eastAsia="zh-CN"/>
        </w:rPr>
        <w:t xml:space="preserve"> or mortgaged </w:t>
      </w:r>
      <w:r w:rsidR="006F32B4">
        <w:rPr>
          <w:rFonts w:eastAsiaTheme="minorEastAsia" w:cs="Times New Roman"/>
          <w:szCs w:val="24"/>
          <w:lang w:val="en-US" w:eastAsia="zh-CN"/>
        </w:rPr>
        <w:t>houses</w:t>
      </w:r>
      <w:r w:rsidR="008501AC">
        <w:rPr>
          <w:rFonts w:eastAsiaTheme="minorEastAsia" w:cs="Times New Roman"/>
          <w:szCs w:val="24"/>
          <w:lang w:val="en-US" w:eastAsia="zh-CN"/>
        </w:rPr>
        <w:t xml:space="preserve"> (</w:t>
      </w:r>
      <w:proofErr w:type="spellStart"/>
      <w:r w:rsidR="008501AC">
        <w:rPr>
          <w:rFonts w:eastAsiaTheme="minorEastAsia" w:cs="Times New Roman"/>
          <w:szCs w:val="24"/>
          <w:lang w:val="en-US" w:eastAsia="zh-CN"/>
        </w:rPr>
        <w:t>Atasoy</w:t>
      </w:r>
      <w:proofErr w:type="spellEnd"/>
      <w:r w:rsidR="008501AC">
        <w:rPr>
          <w:rFonts w:eastAsiaTheme="minorEastAsia" w:cs="Times New Roman"/>
          <w:szCs w:val="24"/>
          <w:lang w:val="en-US" w:eastAsia="zh-CN"/>
        </w:rPr>
        <w:t xml:space="preserve"> and </w:t>
      </w:r>
      <w:proofErr w:type="spellStart"/>
      <w:r w:rsidR="008501AC">
        <w:rPr>
          <w:rFonts w:eastAsiaTheme="minorEastAsia" w:cs="Times New Roman"/>
          <w:szCs w:val="24"/>
          <w:lang w:val="en-US" w:eastAsia="zh-CN"/>
        </w:rPr>
        <w:t>Morewedge</w:t>
      </w:r>
      <w:proofErr w:type="spellEnd"/>
      <w:r w:rsidR="008501AC">
        <w:rPr>
          <w:rFonts w:eastAsiaTheme="minorEastAsia" w:cs="Times New Roman"/>
          <w:szCs w:val="24"/>
          <w:lang w:val="en-US" w:eastAsia="zh-CN"/>
        </w:rPr>
        <w:t>, 2018)</w:t>
      </w:r>
      <w:r w:rsidRPr="005F2A26">
        <w:rPr>
          <w:rFonts w:eastAsiaTheme="minorEastAsia" w:cs="Times New Roman"/>
          <w:szCs w:val="24"/>
          <w:lang w:val="en-US" w:eastAsia="zh-CN"/>
        </w:rPr>
        <w:t>.</w:t>
      </w:r>
    </w:p>
    <w:p w14:paraId="2069B13C" w14:textId="2C7C4389" w:rsidR="00F64776" w:rsidRPr="006A51BD" w:rsidRDefault="00BE6285" w:rsidP="00F64776">
      <w:pPr>
        <w:spacing w:after="0" w:line="480" w:lineRule="auto"/>
        <w:ind w:firstLine="720"/>
        <w:rPr>
          <w:rFonts w:eastAsiaTheme="minorEastAsia" w:cs="Times New Roman"/>
          <w:color w:val="FF0000"/>
          <w:szCs w:val="24"/>
          <w:lang w:val="en-US" w:eastAsia="zh-CN"/>
        </w:rPr>
      </w:pPr>
      <w:r w:rsidRPr="005F2A26">
        <w:rPr>
          <w:rFonts w:eastAsiaTheme="minorEastAsia" w:cs="Times New Roman"/>
          <w:szCs w:val="24"/>
          <w:lang w:val="en-US" w:eastAsia="zh-CN"/>
        </w:rPr>
        <w:t>In digital environments,</w:t>
      </w:r>
      <w:r w:rsidR="00A809B8" w:rsidRPr="005F2A26">
        <w:rPr>
          <w:rFonts w:eastAsiaTheme="minorEastAsia" w:cs="Times New Roman"/>
          <w:szCs w:val="24"/>
          <w:lang w:val="en-US" w:eastAsia="zh-CN"/>
        </w:rPr>
        <w:t xml:space="preserve"> consumers’ sense of possession over intangible objects such as avatars, photos, and online profiles is well established (e.g., Molesworth </w:t>
      </w:r>
      <w:r w:rsidR="00957690" w:rsidRPr="00957690">
        <w:rPr>
          <w:rFonts w:eastAsiaTheme="minorEastAsia" w:cs="Times New Roman"/>
          <w:i/>
          <w:iCs/>
          <w:szCs w:val="24"/>
          <w:lang w:val="en-US" w:eastAsia="zh-CN"/>
        </w:rPr>
        <w:t>et al.</w:t>
      </w:r>
      <w:r w:rsidR="00A809B8" w:rsidRPr="005F2A26">
        <w:rPr>
          <w:rFonts w:eastAsiaTheme="minorEastAsia" w:cs="Times New Roman"/>
          <w:szCs w:val="24"/>
          <w:lang w:val="en-US" w:eastAsia="zh-CN"/>
        </w:rPr>
        <w:t>, 2016).</w:t>
      </w:r>
      <w:r w:rsidRPr="005F2A26">
        <w:rPr>
          <w:rFonts w:eastAsiaTheme="minorEastAsia" w:cs="Times New Roman"/>
          <w:szCs w:val="24"/>
          <w:lang w:val="en-US" w:eastAsia="zh-CN"/>
        </w:rPr>
        <w:t xml:space="preserve"> </w:t>
      </w:r>
      <w:r w:rsidR="00446EC2" w:rsidRPr="005F2A26">
        <w:rPr>
          <w:rFonts w:eastAsiaTheme="minorEastAsia" w:cs="Times New Roman"/>
          <w:szCs w:val="24"/>
          <w:lang w:val="en-US" w:eastAsia="zh-CN"/>
        </w:rPr>
        <w:t xml:space="preserve">PO </w:t>
      </w:r>
      <w:r w:rsidR="00015364" w:rsidRPr="005F2A26">
        <w:rPr>
          <w:rFonts w:eastAsiaTheme="minorEastAsia" w:cs="Times New Roman"/>
          <w:szCs w:val="24"/>
          <w:lang w:val="en-US" w:eastAsia="zh-CN"/>
        </w:rPr>
        <w:t>research</w:t>
      </w:r>
      <w:r w:rsidR="00A809B8" w:rsidRPr="005F2A26">
        <w:rPr>
          <w:rFonts w:eastAsiaTheme="minorEastAsia" w:cs="Times New Roman"/>
          <w:szCs w:val="24"/>
          <w:lang w:val="en-US" w:eastAsia="zh-CN"/>
        </w:rPr>
        <w:t xml:space="preserve"> </w:t>
      </w:r>
      <w:r w:rsidR="006819BB" w:rsidRPr="005F2A26">
        <w:rPr>
          <w:rFonts w:eastAsiaTheme="minorEastAsia" w:cs="Times New Roman"/>
          <w:szCs w:val="24"/>
          <w:lang w:val="en-US" w:eastAsia="zh-CN"/>
        </w:rPr>
        <w:t>into access-based services</w:t>
      </w:r>
      <w:r w:rsidR="00D7725B" w:rsidRPr="005F2A26">
        <w:rPr>
          <w:rFonts w:eastAsiaTheme="minorEastAsia" w:cs="Times New Roman"/>
          <w:szCs w:val="24"/>
          <w:lang w:val="en-US" w:eastAsia="zh-CN"/>
        </w:rPr>
        <w:t xml:space="preserve"> (where the shared resource is </w:t>
      </w:r>
      <w:r w:rsidR="00826090" w:rsidRPr="005F2A26">
        <w:rPr>
          <w:rFonts w:eastAsiaTheme="minorEastAsia" w:cs="Times New Roman"/>
          <w:szCs w:val="24"/>
          <w:lang w:val="en-US" w:eastAsia="zh-CN"/>
        </w:rPr>
        <w:t xml:space="preserve">firm-owned </w:t>
      </w:r>
      <w:r w:rsidR="00D7725B" w:rsidRPr="005F2A26">
        <w:rPr>
          <w:rFonts w:eastAsiaTheme="minorEastAsia" w:cs="Times New Roman"/>
          <w:szCs w:val="24"/>
          <w:lang w:val="en-US" w:eastAsia="zh-CN"/>
        </w:rPr>
        <w:t>not peer</w:t>
      </w:r>
      <w:r w:rsidR="00826090" w:rsidRPr="005F2A26">
        <w:rPr>
          <w:rFonts w:eastAsiaTheme="minorEastAsia" w:cs="Times New Roman"/>
          <w:szCs w:val="24"/>
          <w:lang w:val="en-US" w:eastAsia="zh-CN"/>
        </w:rPr>
        <w:t>-</w:t>
      </w:r>
      <w:r w:rsidR="00D7725B" w:rsidRPr="005F2A26">
        <w:rPr>
          <w:rFonts w:eastAsiaTheme="minorEastAsia" w:cs="Times New Roman"/>
          <w:szCs w:val="24"/>
          <w:lang w:val="en-US" w:eastAsia="zh-CN"/>
        </w:rPr>
        <w:t>owned)</w:t>
      </w:r>
      <w:r w:rsidR="00A809B8" w:rsidRPr="005F2A26">
        <w:rPr>
          <w:rFonts w:eastAsiaTheme="minorEastAsia" w:cs="Times New Roman"/>
          <w:szCs w:val="24"/>
          <w:lang w:val="en-US" w:eastAsia="zh-CN"/>
        </w:rPr>
        <w:t xml:space="preserve"> extends these findings. </w:t>
      </w:r>
      <w:r w:rsidRPr="005F2A26">
        <w:rPr>
          <w:rFonts w:cs="Times New Roman"/>
          <w:bCs/>
          <w:szCs w:val="24"/>
          <w:lang w:val="en-US"/>
        </w:rPr>
        <w:t xml:space="preserve">For example, </w:t>
      </w:r>
      <w:proofErr w:type="spellStart"/>
      <w:r w:rsidRPr="005F2A26">
        <w:rPr>
          <w:rFonts w:cs="Times New Roman"/>
          <w:bCs/>
          <w:szCs w:val="24"/>
          <w:lang w:val="en-US"/>
        </w:rPr>
        <w:t>Fritze</w:t>
      </w:r>
      <w:proofErr w:type="spellEnd"/>
      <w:r w:rsidRPr="005F2A26">
        <w:rPr>
          <w:rFonts w:cs="Times New Roman"/>
          <w:bCs/>
          <w:szCs w:val="24"/>
          <w:lang w:val="en-US"/>
        </w:rPr>
        <w:t xml:space="preserve"> </w:t>
      </w:r>
      <w:r w:rsidR="00957690" w:rsidRPr="00957690">
        <w:rPr>
          <w:rFonts w:cs="Times New Roman"/>
          <w:bCs/>
          <w:i/>
          <w:iCs/>
          <w:szCs w:val="24"/>
          <w:lang w:val="en-US"/>
        </w:rPr>
        <w:t>et al.</w:t>
      </w:r>
      <w:r w:rsidRPr="005F2A26">
        <w:rPr>
          <w:rFonts w:cs="Times New Roman"/>
          <w:bCs/>
          <w:szCs w:val="24"/>
          <w:lang w:val="en-US"/>
        </w:rPr>
        <w:t xml:space="preserve"> (2020) empirically show users of carsharing services may develop a sense of iPO and substitute for car ownership. </w:t>
      </w:r>
      <w:proofErr w:type="spellStart"/>
      <w:r w:rsidR="00D8580E" w:rsidRPr="005F2A26">
        <w:rPr>
          <w:rFonts w:cs="Times New Roman"/>
          <w:bCs/>
          <w:szCs w:val="24"/>
          <w:lang w:val="en-US"/>
        </w:rPr>
        <w:t>Dan</w:t>
      </w:r>
      <w:r w:rsidR="00B237F7" w:rsidRPr="005F2A26">
        <w:rPr>
          <w:rFonts w:cs="Times New Roman"/>
          <w:bCs/>
          <w:szCs w:val="24"/>
          <w:lang w:val="en-US"/>
        </w:rPr>
        <w:t>c</w:t>
      </w:r>
      <w:r w:rsidR="00D8580E" w:rsidRPr="005F2A26">
        <w:rPr>
          <w:rFonts w:cs="Times New Roman"/>
          <w:bCs/>
          <w:szCs w:val="24"/>
          <w:lang w:val="en-US"/>
        </w:rPr>
        <w:t>kwerts</w:t>
      </w:r>
      <w:proofErr w:type="spellEnd"/>
      <w:r w:rsidR="00D8580E" w:rsidRPr="005F2A26">
        <w:rPr>
          <w:rFonts w:cs="Times New Roman"/>
          <w:bCs/>
          <w:szCs w:val="24"/>
          <w:lang w:val="en-US"/>
        </w:rPr>
        <w:t xml:space="preserve"> and Kenning (2019)</w:t>
      </w:r>
      <w:r w:rsidR="00D06D14" w:rsidRPr="005F2A26">
        <w:rPr>
          <w:rFonts w:cs="Times New Roman"/>
          <w:bCs/>
          <w:szCs w:val="24"/>
          <w:lang w:val="en-US"/>
        </w:rPr>
        <w:t xml:space="preserve"> </w:t>
      </w:r>
      <w:r w:rsidR="00D8580E" w:rsidRPr="005F2A26">
        <w:rPr>
          <w:rFonts w:cs="Times New Roman"/>
          <w:bCs/>
          <w:szCs w:val="24"/>
          <w:lang w:val="en-US"/>
        </w:rPr>
        <w:t xml:space="preserve">and </w:t>
      </w:r>
      <w:r w:rsidRPr="005F2A26">
        <w:rPr>
          <w:rFonts w:cs="Times New Roman"/>
          <w:bCs/>
          <w:szCs w:val="24"/>
          <w:lang w:val="en-US"/>
        </w:rPr>
        <w:t xml:space="preserve">Sinclair and </w:t>
      </w:r>
      <w:proofErr w:type="spellStart"/>
      <w:r w:rsidRPr="005F2A26">
        <w:rPr>
          <w:rFonts w:cs="Times New Roman"/>
          <w:bCs/>
          <w:szCs w:val="24"/>
          <w:lang w:val="en-US"/>
        </w:rPr>
        <w:t>Tinson</w:t>
      </w:r>
      <w:proofErr w:type="spellEnd"/>
      <w:r w:rsidRPr="005F2A26">
        <w:rPr>
          <w:rFonts w:cs="Times New Roman"/>
          <w:bCs/>
          <w:szCs w:val="24"/>
          <w:lang w:val="en-US"/>
        </w:rPr>
        <w:t xml:space="preserve"> (2017)</w:t>
      </w:r>
      <w:r w:rsidR="00D8580E" w:rsidRPr="005F2A26">
        <w:rPr>
          <w:rFonts w:cs="Times New Roman"/>
          <w:bCs/>
          <w:szCs w:val="24"/>
          <w:lang w:val="en-US"/>
        </w:rPr>
        <w:t xml:space="preserve"> </w:t>
      </w:r>
      <w:r w:rsidR="0098317D">
        <w:rPr>
          <w:rFonts w:cs="Times New Roman"/>
          <w:bCs/>
          <w:szCs w:val="24"/>
          <w:lang w:val="en-US"/>
        </w:rPr>
        <w:t>show</w:t>
      </w:r>
      <w:r w:rsidRPr="005F2A26">
        <w:rPr>
          <w:rFonts w:cs="Times New Roman"/>
          <w:bCs/>
          <w:szCs w:val="24"/>
          <w:lang w:val="en-US"/>
        </w:rPr>
        <w:t xml:space="preserve"> despite music streaming involving access to immaterial items, users </w:t>
      </w:r>
      <w:r w:rsidR="00826090" w:rsidRPr="005F2A26">
        <w:rPr>
          <w:rFonts w:cs="Times New Roman"/>
          <w:bCs/>
          <w:szCs w:val="24"/>
          <w:lang w:val="en-US"/>
        </w:rPr>
        <w:t xml:space="preserve">can </w:t>
      </w:r>
      <w:r w:rsidRPr="005F2A26">
        <w:rPr>
          <w:rFonts w:cs="Times New Roman"/>
          <w:bCs/>
          <w:szCs w:val="24"/>
          <w:lang w:val="en-US"/>
        </w:rPr>
        <w:t xml:space="preserve">nevertheless develop PO over both the music and the </w:t>
      </w:r>
      <w:r w:rsidR="00D06D14" w:rsidRPr="005F2A26">
        <w:rPr>
          <w:rFonts w:cs="Times New Roman"/>
          <w:bCs/>
          <w:szCs w:val="24"/>
          <w:lang w:val="en-US"/>
        </w:rPr>
        <w:t>brand</w:t>
      </w:r>
      <w:r w:rsidR="004A7635" w:rsidRPr="005F2A26">
        <w:rPr>
          <w:rFonts w:cs="Times New Roman"/>
          <w:bCs/>
          <w:szCs w:val="24"/>
          <w:lang w:val="en-US"/>
        </w:rPr>
        <w:t xml:space="preserve">. This can </w:t>
      </w:r>
      <w:r w:rsidR="001F3997" w:rsidRPr="005F2A26">
        <w:rPr>
          <w:rFonts w:cs="Times New Roman"/>
          <w:bCs/>
          <w:szCs w:val="24"/>
          <w:lang w:val="en-US"/>
        </w:rPr>
        <w:t>lead</w:t>
      </w:r>
      <w:r w:rsidR="004A7635" w:rsidRPr="005F2A26">
        <w:rPr>
          <w:rFonts w:cs="Times New Roman"/>
          <w:bCs/>
          <w:szCs w:val="24"/>
          <w:lang w:val="en-US"/>
        </w:rPr>
        <w:t xml:space="preserve"> </w:t>
      </w:r>
      <w:r w:rsidR="001F3997" w:rsidRPr="005F2A26">
        <w:rPr>
          <w:rFonts w:cs="Times New Roman"/>
          <w:bCs/>
          <w:szCs w:val="24"/>
          <w:lang w:val="en-US"/>
        </w:rPr>
        <w:t>customers</w:t>
      </w:r>
      <w:r w:rsidR="00B72A3C" w:rsidRPr="005F2A26">
        <w:rPr>
          <w:rFonts w:cs="Times New Roman"/>
          <w:bCs/>
          <w:szCs w:val="24"/>
          <w:lang w:val="en-US"/>
        </w:rPr>
        <w:t xml:space="preserve"> </w:t>
      </w:r>
      <w:r w:rsidR="000F2DB0" w:rsidRPr="005F2A26">
        <w:rPr>
          <w:rFonts w:cs="Times New Roman"/>
          <w:bCs/>
          <w:szCs w:val="24"/>
          <w:lang w:val="en-US"/>
        </w:rPr>
        <w:t xml:space="preserve">to </w:t>
      </w:r>
      <w:r w:rsidR="00EC0B43" w:rsidRPr="005F2A26">
        <w:rPr>
          <w:rFonts w:cs="Times New Roman"/>
          <w:bCs/>
          <w:szCs w:val="24"/>
          <w:lang w:val="en-US"/>
        </w:rPr>
        <w:t xml:space="preserve">switch </w:t>
      </w:r>
      <w:r w:rsidR="001F3997" w:rsidRPr="005F2A26">
        <w:rPr>
          <w:rFonts w:cs="Times New Roman"/>
          <w:bCs/>
          <w:szCs w:val="24"/>
          <w:lang w:val="en-US"/>
        </w:rPr>
        <w:t>from free to paid subscriptions</w:t>
      </w:r>
      <w:r w:rsidR="005C6231" w:rsidRPr="005F2A26">
        <w:rPr>
          <w:rFonts w:cs="Times New Roman"/>
          <w:bCs/>
          <w:szCs w:val="24"/>
          <w:lang w:val="en-US"/>
        </w:rPr>
        <w:t xml:space="preserve"> (</w:t>
      </w:r>
      <w:proofErr w:type="spellStart"/>
      <w:r w:rsidR="005C6231" w:rsidRPr="005F2A26">
        <w:rPr>
          <w:rFonts w:cs="Times New Roman"/>
          <w:bCs/>
          <w:szCs w:val="24"/>
          <w:lang w:val="en-US"/>
        </w:rPr>
        <w:t>Dan</w:t>
      </w:r>
      <w:r w:rsidR="00B237F7" w:rsidRPr="005F2A26">
        <w:rPr>
          <w:rFonts w:cs="Times New Roman"/>
          <w:bCs/>
          <w:szCs w:val="24"/>
          <w:lang w:val="en-US"/>
        </w:rPr>
        <w:t>c</w:t>
      </w:r>
      <w:r w:rsidR="005C6231" w:rsidRPr="005F2A26">
        <w:rPr>
          <w:rFonts w:cs="Times New Roman"/>
          <w:bCs/>
          <w:szCs w:val="24"/>
          <w:lang w:val="en-US"/>
        </w:rPr>
        <w:t>kwerts</w:t>
      </w:r>
      <w:proofErr w:type="spellEnd"/>
      <w:r w:rsidR="005C6231" w:rsidRPr="005F2A26">
        <w:rPr>
          <w:rFonts w:cs="Times New Roman"/>
          <w:bCs/>
          <w:szCs w:val="24"/>
          <w:lang w:val="en-US"/>
        </w:rPr>
        <w:t xml:space="preserve"> and Kenning, 2019)</w:t>
      </w:r>
      <w:r w:rsidRPr="005F2A26">
        <w:rPr>
          <w:rFonts w:cs="Times New Roman"/>
          <w:bCs/>
          <w:szCs w:val="24"/>
          <w:lang w:val="en-US"/>
        </w:rPr>
        <w:t xml:space="preserve">. </w:t>
      </w:r>
      <w:r w:rsidR="00846575">
        <w:rPr>
          <w:rFonts w:eastAsiaTheme="minorEastAsia" w:cs="Times New Roman"/>
          <w:szCs w:val="24"/>
          <w:lang w:val="en-US" w:eastAsia="zh-CN"/>
        </w:rPr>
        <w:t>Hence</w:t>
      </w:r>
      <w:r w:rsidR="00A809B8" w:rsidRPr="005F2A26">
        <w:rPr>
          <w:rFonts w:eastAsiaTheme="minorEastAsia" w:cs="Times New Roman"/>
          <w:szCs w:val="24"/>
          <w:lang w:val="en-US" w:eastAsia="zh-CN"/>
        </w:rPr>
        <w:t xml:space="preserve">, a lack of </w:t>
      </w:r>
      <w:r w:rsidR="00A809B8" w:rsidRPr="005F2A26">
        <w:rPr>
          <w:rFonts w:cs="Times New Roman"/>
          <w:bCs/>
          <w:szCs w:val="24"/>
          <w:lang w:val="en-US"/>
        </w:rPr>
        <w:t xml:space="preserve">legal ownership of objects in digital and access-based contexts does not act as a barrier to PO (Weiss and </w:t>
      </w:r>
      <w:proofErr w:type="spellStart"/>
      <w:r w:rsidR="00A809B8" w:rsidRPr="005F2A26">
        <w:rPr>
          <w:rFonts w:cs="Times New Roman"/>
          <w:bCs/>
          <w:szCs w:val="24"/>
          <w:lang w:val="en-US"/>
        </w:rPr>
        <w:t>Johar</w:t>
      </w:r>
      <w:proofErr w:type="spellEnd"/>
      <w:r w:rsidR="00A809B8" w:rsidRPr="005F2A26">
        <w:rPr>
          <w:rFonts w:cs="Times New Roman"/>
          <w:bCs/>
          <w:szCs w:val="24"/>
          <w:lang w:val="en-US"/>
        </w:rPr>
        <w:t>, 2013).</w:t>
      </w:r>
      <w:r w:rsidR="00F6690E">
        <w:rPr>
          <w:rFonts w:cs="Times New Roman"/>
          <w:bCs/>
          <w:szCs w:val="24"/>
          <w:lang w:val="en-US"/>
        </w:rPr>
        <w:t xml:space="preserve"> </w:t>
      </w:r>
      <w:r w:rsidR="001A7371" w:rsidRPr="005F2A26">
        <w:rPr>
          <w:rFonts w:cs="Times New Roman"/>
          <w:bCs/>
          <w:szCs w:val="24"/>
          <w:lang w:val="en-US"/>
        </w:rPr>
        <w:t>However, w</w:t>
      </w:r>
      <w:r w:rsidR="009D367B" w:rsidRPr="005F2A26">
        <w:rPr>
          <w:rFonts w:cs="Times New Roman"/>
          <w:bCs/>
          <w:szCs w:val="24"/>
          <w:lang w:val="en-US"/>
        </w:rPr>
        <w:t>hile valuable contributions,</w:t>
      </w:r>
      <w:r w:rsidR="000B1783" w:rsidRPr="005F2A26">
        <w:rPr>
          <w:rFonts w:cs="Times New Roman"/>
          <w:bCs/>
          <w:szCs w:val="24"/>
          <w:lang w:val="en-US"/>
        </w:rPr>
        <w:t xml:space="preserve"> these studies are based in access-based consumption contexts rather than in the P2P SE.</w:t>
      </w:r>
      <w:r w:rsidR="00F64776" w:rsidRPr="005F2A26">
        <w:rPr>
          <w:rFonts w:eastAsiaTheme="minorEastAsia" w:cs="Times New Roman"/>
          <w:szCs w:val="24"/>
          <w:lang w:val="en-US" w:eastAsia="zh-CN"/>
        </w:rPr>
        <w:t xml:space="preserve"> </w:t>
      </w:r>
      <w:r w:rsidR="00C03E5D" w:rsidRPr="006A51BD">
        <w:rPr>
          <w:rFonts w:eastAsiaTheme="minorEastAsia" w:cs="Times New Roman"/>
          <w:color w:val="FF0000"/>
          <w:szCs w:val="24"/>
          <w:lang w:val="en-US" w:eastAsia="zh-CN"/>
        </w:rPr>
        <w:t xml:space="preserve">Additionally, </w:t>
      </w:r>
      <w:proofErr w:type="spellStart"/>
      <w:r w:rsidR="00C03E5D" w:rsidRPr="006A51BD">
        <w:rPr>
          <w:rFonts w:eastAsiaTheme="minorEastAsia" w:cs="Times New Roman"/>
          <w:color w:val="FF0000"/>
          <w:szCs w:val="24"/>
          <w:lang w:val="en-US" w:eastAsia="zh-CN"/>
        </w:rPr>
        <w:t>Morewedge</w:t>
      </w:r>
      <w:proofErr w:type="spellEnd"/>
      <w:r w:rsidR="00C03E5D" w:rsidRPr="006A51BD">
        <w:rPr>
          <w:rFonts w:eastAsiaTheme="minorEastAsia" w:cs="Times New Roman"/>
          <w:color w:val="FF0000"/>
          <w:szCs w:val="24"/>
          <w:lang w:val="en-US" w:eastAsia="zh-CN"/>
        </w:rPr>
        <w:t xml:space="preserve"> </w:t>
      </w:r>
      <w:r w:rsidR="00957690" w:rsidRPr="00957690">
        <w:rPr>
          <w:rFonts w:eastAsiaTheme="minorEastAsia" w:cs="Times New Roman"/>
          <w:i/>
          <w:iCs/>
          <w:color w:val="FF0000"/>
          <w:szCs w:val="24"/>
          <w:lang w:val="en-US" w:eastAsia="zh-CN"/>
        </w:rPr>
        <w:t>et al.</w:t>
      </w:r>
      <w:r w:rsidR="00C03E5D" w:rsidRPr="006A51BD">
        <w:rPr>
          <w:rFonts w:eastAsiaTheme="minorEastAsia" w:cs="Times New Roman"/>
          <w:color w:val="FF0000"/>
          <w:szCs w:val="24"/>
          <w:lang w:val="en-US" w:eastAsia="zh-CN"/>
        </w:rPr>
        <w:t xml:space="preserve"> (2021) offer an extensive discussion of the </w:t>
      </w:r>
      <w:r w:rsidR="009477F9" w:rsidRPr="006A51BD">
        <w:rPr>
          <w:rFonts w:eastAsiaTheme="minorEastAsia" w:cs="Times New Roman"/>
          <w:color w:val="FF0000"/>
          <w:szCs w:val="24"/>
          <w:lang w:val="en-US" w:eastAsia="zh-CN"/>
        </w:rPr>
        <w:t>impact</w:t>
      </w:r>
      <w:r w:rsidR="00FD7FAE" w:rsidRPr="006A51BD">
        <w:rPr>
          <w:rFonts w:eastAsiaTheme="minorEastAsia" w:cs="Times New Roman"/>
          <w:color w:val="FF0000"/>
          <w:szCs w:val="24"/>
          <w:lang w:val="en-US" w:eastAsia="zh-CN"/>
        </w:rPr>
        <w:t xml:space="preserve"> on </w:t>
      </w:r>
      <w:r w:rsidR="00C37DE3">
        <w:rPr>
          <w:rFonts w:eastAsiaTheme="minorEastAsia" w:cs="Times New Roman"/>
          <w:color w:val="FF0000"/>
          <w:szCs w:val="24"/>
          <w:lang w:val="en-US" w:eastAsia="zh-CN"/>
        </w:rPr>
        <w:t xml:space="preserve">consumer </w:t>
      </w:r>
      <w:r w:rsidR="00FD7FAE" w:rsidRPr="006A51BD">
        <w:rPr>
          <w:rFonts w:eastAsiaTheme="minorEastAsia" w:cs="Times New Roman"/>
          <w:color w:val="FF0000"/>
          <w:szCs w:val="24"/>
          <w:lang w:val="en-US" w:eastAsia="zh-CN"/>
        </w:rPr>
        <w:t>PO</w:t>
      </w:r>
      <w:r w:rsidR="004117AA" w:rsidRPr="006A51BD">
        <w:rPr>
          <w:rFonts w:eastAsiaTheme="minorEastAsia" w:cs="Times New Roman"/>
          <w:color w:val="FF0000"/>
          <w:szCs w:val="24"/>
          <w:lang w:val="en-US" w:eastAsia="zh-CN"/>
        </w:rPr>
        <w:t xml:space="preserve"> </w:t>
      </w:r>
      <w:r w:rsidR="00153982" w:rsidRPr="006A51BD">
        <w:rPr>
          <w:rFonts w:eastAsiaTheme="minorEastAsia" w:cs="Times New Roman"/>
          <w:color w:val="FF0000"/>
          <w:szCs w:val="24"/>
          <w:lang w:val="en-US" w:eastAsia="zh-CN"/>
        </w:rPr>
        <w:t>due to</w:t>
      </w:r>
      <w:r w:rsidR="009477F9" w:rsidRPr="006A51BD">
        <w:rPr>
          <w:rFonts w:eastAsiaTheme="minorEastAsia" w:cs="Times New Roman"/>
          <w:color w:val="FF0000"/>
          <w:szCs w:val="24"/>
          <w:lang w:val="en-US" w:eastAsia="zh-CN"/>
        </w:rPr>
        <w:t xml:space="preserve"> </w:t>
      </w:r>
      <w:r w:rsidR="00874944" w:rsidRPr="006A51BD">
        <w:rPr>
          <w:rFonts w:eastAsiaTheme="minorEastAsia" w:cs="Times New Roman"/>
          <w:color w:val="FF0000"/>
          <w:szCs w:val="24"/>
          <w:lang w:val="en-US" w:eastAsia="zh-CN"/>
        </w:rPr>
        <w:t xml:space="preserve">the </w:t>
      </w:r>
      <w:r w:rsidR="00ED0F50">
        <w:rPr>
          <w:rFonts w:eastAsiaTheme="minorEastAsia" w:cs="Times New Roman"/>
          <w:color w:val="FF0000"/>
          <w:szCs w:val="24"/>
          <w:lang w:val="en-US" w:eastAsia="zh-CN"/>
        </w:rPr>
        <w:t>growing shift</w:t>
      </w:r>
      <w:r w:rsidR="00874944" w:rsidRPr="006A51BD">
        <w:rPr>
          <w:rFonts w:eastAsiaTheme="minorEastAsia" w:cs="Times New Roman"/>
          <w:color w:val="FF0000"/>
          <w:szCs w:val="24"/>
          <w:lang w:val="en-US" w:eastAsia="zh-CN"/>
        </w:rPr>
        <w:t xml:space="preserve"> </w:t>
      </w:r>
      <w:r w:rsidR="00E7118F" w:rsidRPr="006A51BD">
        <w:rPr>
          <w:rFonts w:eastAsiaTheme="minorEastAsia" w:cs="Times New Roman"/>
          <w:color w:val="FF0000"/>
          <w:szCs w:val="24"/>
          <w:lang w:val="en-US" w:eastAsia="zh-CN"/>
        </w:rPr>
        <w:t>from ownership to access</w:t>
      </w:r>
      <w:r w:rsidR="00456E0A">
        <w:rPr>
          <w:rFonts w:eastAsiaTheme="minorEastAsia" w:cs="Times New Roman"/>
          <w:color w:val="FF0000"/>
          <w:szCs w:val="24"/>
          <w:lang w:val="en-US" w:eastAsia="zh-CN"/>
        </w:rPr>
        <w:t>,</w:t>
      </w:r>
      <w:r w:rsidR="00874944" w:rsidRPr="006A51BD">
        <w:rPr>
          <w:rFonts w:eastAsiaTheme="minorEastAsia" w:cs="Times New Roman"/>
          <w:color w:val="FF0000"/>
          <w:szCs w:val="24"/>
          <w:lang w:val="en-US" w:eastAsia="zh-CN"/>
        </w:rPr>
        <w:t xml:space="preserve"> and</w:t>
      </w:r>
      <w:r w:rsidR="00FD7FAE" w:rsidRPr="006A51BD">
        <w:rPr>
          <w:rFonts w:eastAsiaTheme="minorEastAsia" w:cs="Times New Roman"/>
          <w:color w:val="FF0000"/>
          <w:szCs w:val="24"/>
          <w:lang w:val="en-US" w:eastAsia="zh-CN"/>
        </w:rPr>
        <w:t xml:space="preserve"> material </w:t>
      </w:r>
      <w:r w:rsidR="00D32427" w:rsidRPr="006A51BD">
        <w:rPr>
          <w:rFonts w:eastAsiaTheme="minorEastAsia" w:cs="Times New Roman"/>
          <w:color w:val="FF0000"/>
          <w:szCs w:val="24"/>
          <w:lang w:val="en-US" w:eastAsia="zh-CN"/>
        </w:rPr>
        <w:t xml:space="preserve">to experiential </w:t>
      </w:r>
      <w:r w:rsidR="00FD7FAE" w:rsidRPr="006A51BD">
        <w:rPr>
          <w:rFonts w:eastAsiaTheme="minorEastAsia" w:cs="Times New Roman"/>
          <w:color w:val="FF0000"/>
          <w:szCs w:val="24"/>
          <w:lang w:val="en-US" w:eastAsia="zh-CN"/>
        </w:rPr>
        <w:t>goods</w:t>
      </w:r>
      <w:r w:rsidR="004117AA" w:rsidRPr="006A51BD">
        <w:rPr>
          <w:rFonts w:eastAsiaTheme="minorEastAsia" w:cs="Times New Roman"/>
          <w:color w:val="FF0000"/>
          <w:szCs w:val="24"/>
          <w:lang w:val="en-US" w:eastAsia="zh-CN"/>
        </w:rPr>
        <w:t xml:space="preserve">. However, the </w:t>
      </w:r>
      <w:r w:rsidR="00772557" w:rsidRPr="006A51BD">
        <w:rPr>
          <w:rFonts w:eastAsiaTheme="minorEastAsia" w:cs="Times New Roman"/>
          <w:color w:val="FF0000"/>
          <w:szCs w:val="24"/>
          <w:lang w:val="en-US" w:eastAsia="zh-CN"/>
        </w:rPr>
        <w:t xml:space="preserve">relationship </w:t>
      </w:r>
      <w:r w:rsidR="00ED1722" w:rsidRPr="006A51BD">
        <w:rPr>
          <w:rFonts w:eastAsiaTheme="minorEastAsia" w:cs="Times New Roman"/>
          <w:color w:val="FF0000"/>
          <w:szCs w:val="24"/>
          <w:lang w:val="en-US" w:eastAsia="zh-CN"/>
        </w:rPr>
        <w:t>between PO and</w:t>
      </w:r>
      <w:r w:rsidR="00772557" w:rsidRPr="006A51BD">
        <w:rPr>
          <w:rFonts w:eastAsiaTheme="minorEastAsia" w:cs="Times New Roman"/>
          <w:color w:val="FF0000"/>
          <w:szCs w:val="24"/>
          <w:lang w:val="en-US" w:eastAsia="zh-CN"/>
        </w:rPr>
        <w:t xml:space="preserve"> engagement by consumers is not discussed</w:t>
      </w:r>
      <w:r w:rsidR="00B46FD9" w:rsidRPr="006A51BD">
        <w:rPr>
          <w:rFonts w:eastAsiaTheme="minorEastAsia" w:cs="Times New Roman"/>
          <w:color w:val="FF0000"/>
          <w:szCs w:val="24"/>
          <w:lang w:val="en-US" w:eastAsia="zh-CN"/>
        </w:rPr>
        <w:t>.</w:t>
      </w:r>
    </w:p>
    <w:p w14:paraId="3EB52050" w14:textId="54FC0D3A" w:rsidR="00B23F7B" w:rsidRPr="005F2A26" w:rsidRDefault="00B23F7B" w:rsidP="00F64776">
      <w:pPr>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lastRenderedPageBreak/>
        <w:t xml:space="preserve">Further, </w:t>
      </w:r>
      <w:r w:rsidR="009B5C3A" w:rsidRPr="005F2A26">
        <w:rPr>
          <w:rFonts w:eastAsiaTheme="minorEastAsia" w:cs="Times New Roman"/>
          <w:szCs w:val="24"/>
          <w:lang w:val="en-US" w:eastAsia="zh-CN"/>
        </w:rPr>
        <w:t xml:space="preserve">extant literature explains </w:t>
      </w:r>
      <w:r w:rsidR="00BC280D" w:rsidRPr="005F2A26">
        <w:rPr>
          <w:rFonts w:eastAsiaTheme="minorEastAsia" w:cs="Times New Roman"/>
          <w:szCs w:val="24"/>
          <w:lang w:val="en-US" w:eastAsia="zh-CN"/>
        </w:rPr>
        <w:t>i</w:t>
      </w:r>
      <w:r w:rsidRPr="005F2A26">
        <w:rPr>
          <w:rFonts w:eastAsiaTheme="minorEastAsia" w:cs="Times New Roman"/>
          <w:szCs w:val="24"/>
          <w:lang w:val="en-US" w:eastAsia="zh-CN"/>
        </w:rPr>
        <w:t>PO leads to motivational, attitudinal, and behavioral consequences (</w:t>
      </w:r>
      <w:proofErr w:type="spellStart"/>
      <w:r w:rsidRPr="005F2A26">
        <w:rPr>
          <w:rFonts w:eastAsiaTheme="minorEastAsia" w:cs="Times New Roman"/>
          <w:szCs w:val="24"/>
          <w:lang w:val="en-US" w:eastAsia="zh-CN"/>
        </w:rPr>
        <w:t>Jussila</w:t>
      </w:r>
      <w:proofErr w:type="spellEnd"/>
      <w:r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Pr="005F2A26">
        <w:rPr>
          <w:rFonts w:eastAsiaTheme="minorEastAsia" w:cs="Times New Roman"/>
          <w:szCs w:val="24"/>
          <w:lang w:val="en-US" w:eastAsia="zh-CN"/>
        </w:rPr>
        <w:t xml:space="preserve">, 2015), which we argue </w:t>
      </w:r>
      <w:r w:rsidR="00BC280D" w:rsidRPr="005F2A26">
        <w:rPr>
          <w:rFonts w:eastAsiaTheme="minorEastAsia" w:cs="Times New Roman"/>
          <w:szCs w:val="24"/>
          <w:lang w:val="en-US" w:eastAsia="zh-CN"/>
        </w:rPr>
        <w:t>are</w:t>
      </w:r>
      <w:r w:rsidRPr="005F2A26">
        <w:rPr>
          <w:rFonts w:eastAsiaTheme="minorEastAsia" w:cs="Times New Roman"/>
          <w:szCs w:val="24"/>
          <w:lang w:val="en-US" w:eastAsia="zh-CN"/>
        </w:rPr>
        <w:t xml:space="preserve"> akin to </w:t>
      </w:r>
      <w:r w:rsidR="001D1A29">
        <w:rPr>
          <w:rFonts w:eastAsiaTheme="minorEastAsia" w:cs="Times New Roman"/>
          <w:szCs w:val="24"/>
          <w:lang w:val="en-US" w:eastAsia="zh-CN"/>
        </w:rPr>
        <w:t>an engaged actor’s</w:t>
      </w:r>
      <w:r w:rsidRPr="005F2A26">
        <w:rPr>
          <w:rFonts w:eastAsiaTheme="minorEastAsia" w:cs="Times New Roman"/>
          <w:szCs w:val="24"/>
          <w:lang w:val="en-US" w:eastAsia="zh-CN"/>
        </w:rPr>
        <w:t xml:space="preserve"> positive disposition. For example, organization science research</w:t>
      </w:r>
      <w:r w:rsidR="005016EE" w:rsidRPr="005F2A26">
        <w:rPr>
          <w:rFonts w:eastAsiaTheme="minorEastAsia" w:cs="Times New Roman"/>
          <w:szCs w:val="24"/>
          <w:lang w:val="en-US" w:eastAsia="zh-CN"/>
        </w:rPr>
        <w:t xml:space="preserve"> has found</w:t>
      </w:r>
      <w:r w:rsidRPr="005F2A26">
        <w:rPr>
          <w:rFonts w:eastAsiaTheme="minorEastAsia" w:cs="Times New Roman"/>
          <w:szCs w:val="24"/>
          <w:lang w:val="en-US" w:eastAsia="zh-CN"/>
        </w:rPr>
        <w:t xml:space="preserve"> high levels of PO drive positive behaviors in employees such as improved job performance, increased tenure (Pierce and </w:t>
      </w:r>
      <w:proofErr w:type="spellStart"/>
      <w:r w:rsidRPr="005F2A26">
        <w:rPr>
          <w:rFonts w:eastAsiaTheme="minorEastAsia" w:cs="Times New Roman"/>
          <w:szCs w:val="24"/>
          <w:lang w:val="en-US" w:eastAsia="zh-CN"/>
        </w:rPr>
        <w:t>Jussila</w:t>
      </w:r>
      <w:proofErr w:type="spellEnd"/>
      <w:r w:rsidRPr="005F2A26">
        <w:rPr>
          <w:rFonts w:eastAsiaTheme="minorEastAsia" w:cs="Times New Roman"/>
          <w:szCs w:val="24"/>
          <w:lang w:val="en-US" w:eastAsia="zh-CN"/>
        </w:rPr>
        <w:t xml:space="preserve">, 2010), </w:t>
      </w:r>
      <w:r w:rsidR="00532315" w:rsidRPr="005F2A26">
        <w:rPr>
          <w:rFonts w:eastAsiaTheme="minorEastAsia" w:cs="Times New Roman"/>
          <w:szCs w:val="24"/>
          <w:lang w:val="en-US" w:eastAsia="zh-CN"/>
        </w:rPr>
        <w:t xml:space="preserve">and </w:t>
      </w:r>
      <w:r w:rsidRPr="005F2A26">
        <w:rPr>
          <w:rFonts w:eastAsiaTheme="minorEastAsia" w:cs="Times New Roman"/>
          <w:szCs w:val="24"/>
          <w:lang w:val="en-US" w:eastAsia="zh-CN"/>
        </w:rPr>
        <w:t xml:space="preserve">enhanced workplace citizenship (Pierce </w:t>
      </w:r>
      <w:r w:rsidR="00957690" w:rsidRPr="00957690">
        <w:rPr>
          <w:rFonts w:eastAsiaTheme="minorEastAsia" w:cs="Times New Roman"/>
          <w:i/>
          <w:iCs/>
          <w:szCs w:val="24"/>
          <w:lang w:val="en-US" w:eastAsia="zh-CN"/>
        </w:rPr>
        <w:t>et al.</w:t>
      </w:r>
      <w:r w:rsidRPr="005F2A26">
        <w:rPr>
          <w:rFonts w:eastAsiaTheme="minorEastAsia" w:cs="Times New Roman"/>
          <w:szCs w:val="24"/>
          <w:lang w:val="en-US" w:eastAsia="zh-CN"/>
        </w:rPr>
        <w:t xml:space="preserve">, 2009), which we </w:t>
      </w:r>
      <w:r w:rsidR="008A1910" w:rsidRPr="005F2A26">
        <w:rPr>
          <w:rFonts w:eastAsiaTheme="minorEastAsia" w:cs="Times New Roman"/>
          <w:szCs w:val="24"/>
          <w:lang w:val="en-US" w:eastAsia="zh-CN"/>
        </w:rPr>
        <w:t>assert</w:t>
      </w:r>
      <w:r w:rsidRPr="005F2A26">
        <w:rPr>
          <w:rFonts w:eastAsiaTheme="minorEastAsia" w:cs="Times New Roman"/>
          <w:szCs w:val="24"/>
          <w:lang w:val="en-US" w:eastAsia="zh-CN"/>
        </w:rPr>
        <w:t xml:space="preserve"> can be summarized as heightened employee engagement. In marketing, PO contributes to increased customer empowerment and satisfaction (Fuchs </w:t>
      </w:r>
      <w:r w:rsidR="00957690" w:rsidRPr="00957690">
        <w:rPr>
          <w:rFonts w:eastAsiaTheme="minorEastAsia" w:cs="Times New Roman"/>
          <w:i/>
          <w:iCs/>
          <w:szCs w:val="24"/>
          <w:lang w:val="en-US" w:eastAsia="zh-CN"/>
        </w:rPr>
        <w:t>et al.</w:t>
      </w:r>
      <w:r w:rsidRPr="005F2A26">
        <w:rPr>
          <w:rFonts w:eastAsiaTheme="minorEastAsia" w:cs="Times New Roman"/>
          <w:szCs w:val="24"/>
          <w:lang w:val="en-US" w:eastAsia="zh-CN"/>
        </w:rPr>
        <w:t xml:space="preserve">, 2010), generation of WOM, increased willingness to pay, loyalty, and competitive resistance (Asatryan and Oh, 2008; </w:t>
      </w:r>
      <w:proofErr w:type="spellStart"/>
      <w:r w:rsidRPr="005F2A26">
        <w:rPr>
          <w:rFonts w:eastAsiaTheme="minorEastAsia" w:cs="Times New Roman"/>
          <w:szCs w:val="24"/>
          <w:lang w:val="en-US" w:eastAsia="zh-CN"/>
        </w:rPr>
        <w:t>Morewedge</w:t>
      </w:r>
      <w:proofErr w:type="spellEnd"/>
      <w:r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Pr="005F2A26">
        <w:rPr>
          <w:rFonts w:eastAsiaTheme="minorEastAsia" w:cs="Times New Roman"/>
          <w:szCs w:val="24"/>
          <w:lang w:val="en-US" w:eastAsia="zh-CN"/>
        </w:rPr>
        <w:t>, 2021)</w:t>
      </w:r>
      <w:r w:rsidR="0092089F" w:rsidRPr="005F2A26">
        <w:rPr>
          <w:rFonts w:eastAsiaTheme="minorEastAsia" w:cs="Times New Roman"/>
          <w:szCs w:val="24"/>
          <w:lang w:val="en-US" w:eastAsia="zh-CN"/>
        </w:rPr>
        <w:t xml:space="preserve">. In sum, </w:t>
      </w:r>
      <w:r w:rsidRPr="005F2A26">
        <w:rPr>
          <w:rFonts w:eastAsiaTheme="minorEastAsia" w:cs="Times New Roman"/>
          <w:szCs w:val="24"/>
          <w:lang w:val="en-US" w:eastAsia="zh-CN"/>
        </w:rPr>
        <w:t>we argue</w:t>
      </w:r>
      <w:r w:rsidR="0092089F" w:rsidRPr="005F2A26">
        <w:rPr>
          <w:rFonts w:eastAsiaTheme="minorEastAsia" w:cs="Times New Roman"/>
          <w:szCs w:val="24"/>
          <w:lang w:val="en-US" w:eastAsia="zh-CN"/>
        </w:rPr>
        <w:t xml:space="preserve"> these</w:t>
      </w:r>
      <w:r w:rsidR="00927407" w:rsidRPr="005F2A26">
        <w:rPr>
          <w:rFonts w:eastAsiaTheme="minorEastAsia" w:cs="Times New Roman"/>
          <w:szCs w:val="24"/>
          <w:lang w:val="en-US" w:eastAsia="zh-CN"/>
        </w:rPr>
        <w:t xml:space="preserve"> consequences of PO</w:t>
      </w:r>
      <w:r w:rsidR="0092089F" w:rsidRPr="005F2A26">
        <w:rPr>
          <w:rFonts w:eastAsiaTheme="minorEastAsia" w:cs="Times New Roman"/>
          <w:szCs w:val="24"/>
          <w:lang w:val="en-US" w:eastAsia="zh-CN"/>
        </w:rPr>
        <w:t xml:space="preserve"> all re</w:t>
      </w:r>
      <w:r w:rsidR="00C31071" w:rsidRPr="005F2A26">
        <w:rPr>
          <w:rFonts w:eastAsiaTheme="minorEastAsia" w:cs="Times New Roman"/>
          <w:szCs w:val="24"/>
          <w:lang w:val="en-US" w:eastAsia="zh-CN"/>
        </w:rPr>
        <w:t>flect</w:t>
      </w:r>
      <w:r w:rsidR="0092089F" w:rsidRPr="005F2A26">
        <w:rPr>
          <w:rFonts w:eastAsiaTheme="minorEastAsia" w:cs="Times New Roman"/>
          <w:szCs w:val="24"/>
          <w:lang w:val="en-US" w:eastAsia="zh-CN"/>
        </w:rPr>
        <w:t xml:space="preserve"> </w:t>
      </w:r>
      <w:r w:rsidR="005016EE" w:rsidRPr="005F2A26">
        <w:rPr>
          <w:rFonts w:eastAsiaTheme="minorEastAsia" w:cs="Times New Roman"/>
          <w:szCs w:val="24"/>
          <w:lang w:val="en-US" w:eastAsia="zh-CN"/>
        </w:rPr>
        <w:t xml:space="preserve">the positively </w:t>
      </w:r>
      <w:proofErr w:type="spellStart"/>
      <w:r w:rsidR="005016EE" w:rsidRPr="005F2A26">
        <w:rPr>
          <w:rFonts w:eastAsiaTheme="minorEastAsia" w:cs="Times New Roman"/>
          <w:szCs w:val="24"/>
          <w:lang w:val="en-US" w:eastAsia="zh-CN"/>
        </w:rPr>
        <w:t>valenced</w:t>
      </w:r>
      <w:proofErr w:type="spellEnd"/>
      <w:r w:rsidR="005016EE" w:rsidRPr="005F2A26">
        <w:rPr>
          <w:rFonts w:eastAsiaTheme="minorEastAsia" w:cs="Times New Roman"/>
          <w:szCs w:val="24"/>
          <w:lang w:val="en-US" w:eastAsia="zh-CN"/>
        </w:rPr>
        <w:t xml:space="preserve"> activities of an</w:t>
      </w:r>
      <w:r w:rsidRPr="005F2A26">
        <w:rPr>
          <w:rFonts w:eastAsiaTheme="minorEastAsia" w:cs="Times New Roman"/>
          <w:szCs w:val="24"/>
          <w:lang w:val="en-US" w:eastAsia="zh-CN"/>
        </w:rPr>
        <w:t xml:space="preserve"> engage</w:t>
      </w:r>
      <w:r w:rsidR="005016EE" w:rsidRPr="005F2A26">
        <w:rPr>
          <w:rFonts w:eastAsiaTheme="minorEastAsia" w:cs="Times New Roman"/>
          <w:szCs w:val="24"/>
          <w:lang w:val="en-US" w:eastAsia="zh-CN"/>
        </w:rPr>
        <w:t>d actor</w:t>
      </w:r>
      <w:r w:rsidRPr="005F2A26">
        <w:rPr>
          <w:rFonts w:eastAsiaTheme="minorEastAsia" w:cs="Times New Roman"/>
          <w:szCs w:val="24"/>
          <w:lang w:val="en-US" w:eastAsia="zh-CN"/>
        </w:rPr>
        <w:t xml:space="preserve">. </w:t>
      </w:r>
    </w:p>
    <w:p w14:paraId="1BE6E780" w14:textId="77777777" w:rsidR="00D74CBC" w:rsidRPr="005F2A26" w:rsidRDefault="00D74CBC" w:rsidP="00D74CBC">
      <w:pPr>
        <w:spacing w:after="0" w:line="480" w:lineRule="auto"/>
        <w:rPr>
          <w:rFonts w:eastAsiaTheme="minorEastAsia" w:cs="Times New Roman"/>
          <w:szCs w:val="24"/>
          <w:lang w:val="en-US" w:eastAsia="zh-CN"/>
        </w:rPr>
      </w:pPr>
    </w:p>
    <w:p w14:paraId="35460022" w14:textId="45C09CC7" w:rsidR="00D74CBC" w:rsidRPr="005F2A26" w:rsidRDefault="00D74CBC" w:rsidP="00532315">
      <w:pPr>
        <w:keepNext/>
        <w:spacing w:after="0" w:line="480" w:lineRule="auto"/>
        <w:rPr>
          <w:rFonts w:eastAsiaTheme="minorEastAsia" w:cs="Times New Roman"/>
          <w:b/>
          <w:szCs w:val="24"/>
          <w:lang w:val="en-US" w:eastAsia="zh-CN"/>
        </w:rPr>
      </w:pPr>
      <w:r w:rsidRPr="005F2A26">
        <w:rPr>
          <w:rFonts w:eastAsiaTheme="minorEastAsia" w:cs="Times New Roman"/>
          <w:b/>
          <w:szCs w:val="24"/>
          <w:lang w:val="en-US" w:eastAsia="zh-CN"/>
        </w:rPr>
        <w:t xml:space="preserve">Motivations and causes of </w:t>
      </w:r>
      <w:r w:rsidR="00A56341" w:rsidRPr="005F2A26">
        <w:rPr>
          <w:rFonts w:eastAsiaTheme="minorEastAsia" w:cs="Times New Roman"/>
          <w:b/>
          <w:szCs w:val="24"/>
          <w:lang w:val="en-US" w:eastAsia="zh-CN"/>
        </w:rPr>
        <w:t>i</w:t>
      </w:r>
      <w:r w:rsidRPr="005F2A26">
        <w:rPr>
          <w:rFonts w:eastAsiaTheme="minorEastAsia" w:cs="Times New Roman"/>
          <w:b/>
          <w:szCs w:val="24"/>
          <w:lang w:val="en-US" w:eastAsia="zh-CN"/>
        </w:rPr>
        <w:t>PO</w:t>
      </w:r>
    </w:p>
    <w:p w14:paraId="51A171DD" w14:textId="548F0129" w:rsidR="004A7635" w:rsidRPr="005A2C46" w:rsidRDefault="00872DA3" w:rsidP="00532315">
      <w:pPr>
        <w:spacing w:after="0" w:line="480" w:lineRule="auto"/>
        <w:rPr>
          <w:rFonts w:eastAsiaTheme="minorEastAsia" w:cs="Times New Roman"/>
          <w:color w:val="FF0000"/>
          <w:szCs w:val="24"/>
          <w:lang w:val="en-US" w:eastAsia="zh-CN"/>
        </w:rPr>
      </w:pPr>
      <w:r w:rsidRPr="005F2A26">
        <w:rPr>
          <w:rFonts w:eastAsiaTheme="minorEastAsia" w:cs="Times New Roman"/>
          <w:szCs w:val="24"/>
          <w:lang w:val="en-US" w:eastAsia="zh-CN"/>
        </w:rPr>
        <w:t xml:space="preserve">There exist three </w:t>
      </w:r>
      <w:r w:rsidR="00FC6EFC" w:rsidRPr="005F2A26">
        <w:rPr>
          <w:rFonts w:eastAsiaTheme="minorEastAsia" w:cs="Times New Roman"/>
          <w:szCs w:val="24"/>
          <w:lang w:val="en-US" w:eastAsia="zh-CN"/>
        </w:rPr>
        <w:t>motivations</w:t>
      </w:r>
      <w:r w:rsidR="00FC7EDD" w:rsidRPr="005F2A26">
        <w:rPr>
          <w:rFonts w:eastAsiaTheme="minorEastAsia" w:cs="Times New Roman"/>
          <w:szCs w:val="24"/>
          <w:lang w:val="en-US" w:eastAsia="zh-CN"/>
        </w:rPr>
        <w:t>,</w:t>
      </w:r>
      <w:r w:rsidR="00FC6EFC" w:rsidRPr="005F2A26">
        <w:rPr>
          <w:rFonts w:eastAsiaTheme="minorEastAsia" w:cs="Times New Roman"/>
          <w:szCs w:val="24"/>
          <w:lang w:val="en-US" w:eastAsia="zh-CN"/>
        </w:rPr>
        <w:t xml:space="preserve"> or </w:t>
      </w:r>
      <w:r w:rsidR="00F64776" w:rsidRPr="005F2A26">
        <w:rPr>
          <w:rFonts w:eastAsiaTheme="minorEastAsia" w:cs="Times New Roman"/>
          <w:szCs w:val="24"/>
          <w:lang w:val="en-US" w:eastAsia="zh-CN"/>
        </w:rPr>
        <w:t xml:space="preserve">human </w:t>
      </w:r>
      <w:r w:rsidR="00E759DE" w:rsidRPr="005F2A26">
        <w:rPr>
          <w:rFonts w:eastAsiaTheme="minorEastAsia" w:cs="Times New Roman"/>
          <w:szCs w:val="24"/>
          <w:lang w:val="en-US" w:eastAsia="zh-CN"/>
        </w:rPr>
        <w:t>needs</w:t>
      </w:r>
      <w:r w:rsidR="00FC7EDD" w:rsidRPr="005F2A26">
        <w:rPr>
          <w:rFonts w:eastAsiaTheme="minorEastAsia" w:cs="Times New Roman"/>
          <w:szCs w:val="24"/>
          <w:lang w:val="en-US" w:eastAsia="zh-CN"/>
        </w:rPr>
        <w:t>,</w:t>
      </w:r>
      <w:r w:rsidR="00E759DE" w:rsidRPr="005F2A26">
        <w:rPr>
          <w:rFonts w:eastAsiaTheme="minorEastAsia" w:cs="Times New Roman"/>
          <w:szCs w:val="24"/>
          <w:lang w:val="en-US" w:eastAsia="zh-CN"/>
        </w:rPr>
        <w:t xml:space="preserve"> that explain</w:t>
      </w:r>
      <w:r w:rsidR="0031484C" w:rsidRPr="005F2A26">
        <w:rPr>
          <w:rFonts w:eastAsiaTheme="minorEastAsia" w:cs="Times New Roman"/>
          <w:szCs w:val="24"/>
          <w:lang w:val="en-US" w:eastAsia="zh-CN"/>
        </w:rPr>
        <w:t xml:space="preserve"> the emergence of iPO</w:t>
      </w:r>
      <w:r w:rsidR="00EA4BAE" w:rsidRPr="005F2A26">
        <w:rPr>
          <w:rFonts w:eastAsiaTheme="minorEastAsia" w:cs="Times New Roman"/>
          <w:szCs w:val="24"/>
          <w:lang w:val="en-US" w:eastAsia="zh-CN"/>
        </w:rPr>
        <w:t xml:space="preserve"> (</w:t>
      </w:r>
      <w:r w:rsidR="00EA4BAE" w:rsidRPr="005F2A26">
        <w:rPr>
          <w:rFonts w:cs="Times New Roman"/>
          <w:i/>
          <w:szCs w:val="24"/>
          <w:lang w:val="en-US"/>
        </w:rPr>
        <w:t xml:space="preserve">sense of self-identity, </w:t>
      </w:r>
      <w:r w:rsidR="00EA4BAE" w:rsidRPr="005F2A26">
        <w:rPr>
          <w:rFonts w:cs="Times New Roman"/>
          <w:szCs w:val="24"/>
          <w:lang w:val="en-US"/>
        </w:rPr>
        <w:t>s</w:t>
      </w:r>
      <w:r w:rsidR="00EA4BAE" w:rsidRPr="005F2A26">
        <w:rPr>
          <w:rFonts w:cs="Times New Roman"/>
          <w:i/>
          <w:szCs w:val="24"/>
          <w:lang w:val="en-US"/>
        </w:rPr>
        <w:t xml:space="preserve">ense of self-efficacy and </w:t>
      </w:r>
      <w:proofErr w:type="spellStart"/>
      <w:r w:rsidR="00EA4BAE" w:rsidRPr="005F2A26">
        <w:rPr>
          <w:rFonts w:cs="Times New Roman"/>
          <w:i/>
          <w:szCs w:val="24"/>
          <w:lang w:val="en-US"/>
        </w:rPr>
        <w:t>effectance</w:t>
      </w:r>
      <w:proofErr w:type="spellEnd"/>
      <w:r w:rsidR="00EA4BAE" w:rsidRPr="005F2A26">
        <w:rPr>
          <w:rFonts w:cs="Times New Roman"/>
          <w:i/>
          <w:szCs w:val="24"/>
          <w:lang w:val="en-US"/>
        </w:rPr>
        <w:t xml:space="preserve">, </w:t>
      </w:r>
      <w:r w:rsidR="00EA4BAE" w:rsidRPr="005F2A26">
        <w:rPr>
          <w:rFonts w:cs="Times New Roman"/>
          <w:iCs/>
          <w:szCs w:val="24"/>
          <w:lang w:val="en-US"/>
        </w:rPr>
        <w:t>and</w:t>
      </w:r>
      <w:r w:rsidR="00EA4BAE" w:rsidRPr="005F2A26">
        <w:rPr>
          <w:rFonts w:cs="Times New Roman"/>
          <w:i/>
          <w:szCs w:val="24"/>
          <w:lang w:val="en-US"/>
        </w:rPr>
        <w:t xml:space="preserve"> sense of belongingne</w:t>
      </w:r>
      <w:r w:rsidR="00EA4BAE" w:rsidRPr="005F2A26">
        <w:rPr>
          <w:rFonts w:eastAsiaTheme="minorEastAsia" w:cs="Times New Roman"/>
          <w:szCs w:val="24"/>
          <w:lang w:val="en-US" w:eastAsia="zh-CN"/>
        </w:rPr>
        <w:t xml:space="preserve">ss; Dawkins </w:t>
      </w:r>
      <w:r w:rsidR="00957690" w:rsidRPr="00957690">
        <w:rPr>
          <w:rFonts w:eastAsiaTheme="minorEastAsia" w:cs="Times New Roman"/>
          <w:i/>
          <w:iCs/>
          <w:szCs w:val="24"/>
          <w:lang w:val="en-US" w:eastAsia="zh-CN"/>
        </w:rPr>
        <w:t>et al.</w:t>
      </w:r>
      <w:r w:rsidR="00EA4BAE" w:rsidRPr="005F2A26">
        <w:rPr>
          <w:rFonts w:eastAsiaTheme="minorEastAsia" w:cs="Times New Roman"/>
          <w:szCs w:val="24"/>
          <w:lang w:val="en-US" w:eastAsia="zh-CN"/>
        </w:rPr>
        <w:t xml:space="preserve">, 2017), and </w:t>
      </w:r>
      <w:r w:rsidRPr="005F2A26">
        <w:rPr>
          <w:rFonts w:eastAsiaTheme="minorEastAsia" w:cs="Times New Roman"/>
          <w:szCs w:val="24"/>
          <w:lang w:val="en-US" w:eastAsia="zh-CN"/>
        </w:rPr>
        <w:t xml:space="preserve">three </w:t>
      </w:r>
      <w:r w:rsidR="004A7635" w:rsidRPr="005F2A26">
        <w:rPr>
          <w:rFonts w:eastAsiaTheme="minorEastAsia" w:cs="Times New Roman"/>
          <w:szCs w:val="24"/>
          <w:lang w:val="en-US" w:eastAsia="zh-CN"/>
        </w:rPr>
        <w:t xml:space="preserve">interrelated </w:t>
      </w:r>
      <w:r w:rsidRPr="005F2A26">
        <w:rPr>
          <w:rFonts w:eastAsiaTheme="minorEastAsia" w:cs="Times New Roman"/>
          <w:szCs w:val="24"/>
          <w:lang w:val="en-US" w:eastAsia="zh-CN"/>
        </w:rPr>
        <w:t>causes</w:t>
      </w:r>
      <w:r w:rsidR="00EA4BAE" w:rsidRPr="005F2A26">
        <w:rPr>
          <w:rFonts w:eastAsiaTheme="minorEastAsia" w:cs="Times New Roman"/>
          <w:szCs w:val="24"/>
          <w:lang w:val="en-US" w:eastAsia="zh-CN"/>
        </w:rPr>
        <w:t xml:space="preserve"> (</w:t>
      </w:r>
      <w:r w:rsidR="00EA4BAE" w:rsidRPr="005F2A26">
        <w:rPr>
          <w:rFonts w:eastAsiaTheme="minorEastAsia" w:cs="Times New Roman"/>
          <w:i/>
          <w:iCs/>
          <w:szCs w:val="24"/>
          <w:lang w:val="en-US" w:eastAsia="zh-CN"/>
        </w:rPr>
        <w:t>investing the self into the target, intimately knowing the target</w:t>
      </w:r>
      <w:r w:rsidR="00EA4BAE" w:rsidRPr="005F2A26">
        <w:rPr>
          <w:rFonts w:eastAsiaTheme="minorEastAsia" w:cs="Times New Roman"/>
          <w:szCs w:val="24"/>
          <w:lang w:val="en-US" w:eastAsia="zh-CN"/>
        </w:rPr>
        <w:t xml:space="preserve"> and </w:t>
      </w:r>
      <w:r w:rsidR="00EA4BAE" w:rsidRPr="005F2A26">
        <w:rPr>
          <w:rFonts w:eastAsiaTheme="minorEastAsia" w:cs="Times New Roman"/>
          <w:i/>
          <w:iCs/>
          <w:szCs w:val="24"/>
          <w:lang w:val="en-US" w:eastAsia="zh-CN"/>
        </w:rPr>
        <w:t>controlling the target of ownership</w:t>
      </w:r>
      <w:r w:rsidR="00EA4BAE" w:rsidRPr="005F2A26">
        <w:rPr>
          <w:rFonts w:eastAsiaTheme="minorEastAsia" w:cs="Times New Roman"/>
          <w:szCs w:val="24"/>
          <w:lang w:val="en-US" w:eastAsia="zh-CN"/>
        </w:rPr>
        <w:t xml:space="preserve">; </w:t>
      </w:r>
      <w:proofErr w:type="spellStart"/>
      <w:r w:rsidR="00EA4BAE" w:rsidRPr="005F2A26">
        <w:rPr>
          <w:rFonts w:eastAsiaTheme="minorEastAsia" w:cs="Times New Roman"/>
          <w:szCs w:val="24"/>
          <w:lang w:val="en-US" w:eastAsia="zh-CN"/>
        </w:rPr>
        <w:t>Jussila</w:t>
      </w:r>
      <w:proofErr w:type="spellEnd"/>
      <w:r w:rsidR="00EA4BAE"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EA4BAE" w:rsidRPr="005F2A26">
        <w:rPr>
          <w:rFonts w:eastAsiaTheme="minorEastAsia" w:cs="Times New Roman"/>
          <w:szCs w:val="24"/>
          <w:lang w:val="en-US" w:eastAsia="zh-CN"/>
        </w:rPr>
        <w:t>,</w:t>
      </w:r>
      <w:r w:rsidR="00EA4BAE" w:rsidRPr="005F2A26">
        <w:rPr>
          <w:rFonts w:eastAsiaTheme="minorEastAsia" w:cs="Times New Roman"/>
          <w:i/>
          <w:iCs/>
          <w:szCs w:val="24"/>
          <w:lang w:val="en-US" w:eastAsia="zh-CN"/>
        </w:rPr>
        <w:t xml:space="preserve"> </w:t>
      </w:r>
      <w:r w:rsidR="00EA4BAE" w:rsidRPr="005F2A26">
        <w:rPr>
          <w:rFonts w:eastAsiaTheme="minorEastAsia" w:cs="Times New Roman"/>
          <w:szCs w:val="24"/>
          <w:lang w:val="en-US" w:eastAsia="zh-CN"/>
        </w:rPr>
        <w:t>2015)</w:t>
      </w:r>
      <w:r w:rsidRPr="005F2A26">
        <w:rPr>
          <w:rFonts w:eastAsiaTheme="minorEastAsia" w:cs="Times New Roman"/>
          <w:szCs w:val="24"/>
          <w:lang w:val="en-US" w:eastAsia="zh-CN"/>
        </w:rPr>
        <w:t xml:space="preserve">. </w:t>
      </w:r>
      <w:r w:rsidR="00F64776" w:rsidRPr="005F2A26">
        <w:rPr>
          <w:rFonts w:cs="Times New Roman"/>
          <w:szCs w:val="24"/>
          <w:lang w:val="en-US"/>
        </w:rPr>
        <w:t>Each</w:t>
      </w:r>
      <w:r w:rsidR="00F64776" w:rsidRPr="005F2A26">
        <w:rPr>
          <w:rFonts w:cs="Times New Roman"/>
          <w:iCs/>
          <w:szCs w:val="24"/>
          <w:lang w:val="en-US"/>
        </w:rPr>
        <w:t xml:space="preserve"> of the motivators </w:t>
      </w:r>
      <w:r w:rsidR="008270DB" w:rsidRPr="005F2A26">
        <w:rPr>
          <w:rFonts w:cs="Times New Roman"/>
          <w:iCs/>
          <w:szCs w:val="24"/>
          <w:lang w:val="en-US"/>
        </w:rPr>
        <w:t xml:space="preserve">explain </w:t>
      </w:r>
      <w:r w:rsidR="008270DB" w:rsidRPr="005F2A26">
        <w:rPr>
          <w:rFonts w:cs="Times New Roman"/>
          <w:i/>
          <w:szCs w:val="24"/>
          <w:lang w:val="en-US"/>
        </w:rPr>
        <w:t>why</w:t>
      </w:r>
      <w:r w:rsidR="00F64776" w:rsidRPr="005F2A26">
        <w:rPr>
          <w:rFonts w:cs="Times New Roman"/>
          <w:iCs/>
          <w:szCs w:val="24"/>
          <w:lang w:val="en-US"/>
        </w:rPr>
        <w:t xml:space="preserve"> people manifest a state of iPO, while each of the causes</w:t>
      </w:r>
      <w:r w:rsidR="00EA1B0D" w:rsidRPr="005F2A26">
        <w:rPr>
          <w:rFonts w:cs="Times New Roman"/>
          <w:iCs/>
          <w:szCs w:val="24"/>
          <w:lang w:val="en-US"/>
        </w:rPr>
        <w:t xml:space="preserve"> explains</w:t>
      </w:r>
      <w:r w:rsidR="00F64776" w:rsidRPr="005F2A26">
        <w:rPr>
          <w:rFonts w:cs="Times New Roman"/>
          <w:iCs/>
          <w:szCs w:val="24"/>
          <w:lang w:val="en-US"/>
        </w:rPr>
        <w:t xml:space="preserve"> </w:t>
      </w:r>
      <w:r w:rsidR="00F64776" w:rsidRPr="005F2A26">
        <w:rPr>
          <w:rFonts w:cs="Times New Roman"/>
          <w:i/>
          <w:szCs w:val="24"/>
          <w:lang w:val="en-US"/>
        </w:rPr>
        <w:t>how</w:t>
      </w:r>
      <w:r w:rsidR="00F64776" w:rsidRPr="005F2A26">
        <w:rPr>
          <w:rFonts w:cs="Times New Roman"/>
          <w:iCs/>
          <w:szCs w:val="24"/>
          <w:lang w:val="en-US"/>
        </w:rPr>
        <w:t xml:space="preserve"> iPO emerges and grows through interactions with </w:t>
      </w:r>
      <w:r w:rsidR="00EA1B0D" w:rsidRPr="005F2A26">
        <w:rPr>
          <w:rFonts w:cs="Times New Roman"/>
          <w:iCs/>
          <w:szCs w:val="24"/>
          <w:lang w:val="en-US"/>
        </w:rPr>
        <w:t>a</w:t>
      </w:r>
      <w:r w:rsidR="00F64776" w:rsidRPr="005F2A26">
        <w:rPr>
          <w:rFonts w:cs="Times New Roman"/>
          <w:iCs/>
          <w:szCs w:val="24"/>
          <w:lang w:val="en-US"/>
        </w:rPr>
        <w:t xml:space="preserve"> target (Pierce </w:t>
      </w:r>
      <w:r w:rsidR="00957690" w:rsidRPr="00957690">
        <w:rPr>
          <w:rFonts w:cs="Times New Roman"/>
          <w:i/>
          <w:iCs/>
          <w:szCs w:val="24"/>
          <w:lang w:val="en-US"/>
        </w:rPr>
        <w:t>et al.</w:t>
      </w:r>
      <w:r w:rsidR="00F64776" w:rsidRPr="005F2A26">
        <w:rPr>
          <w:rFonts w:cs="Times New Roman"/>
          <w:iCs/>
          <w:szCs w:val="24"/>
          <w:lang w:val="en-US"/>
        </w:rPr>
        <w:t>, 2001, 2003).</w:t>
      </w:r>
      <w:r w:rsidR="00946A7B" w:rsidRPr="005F2A26" w:rsidDel="00946A7B">
        <w:rPr>
          <w:rFonts w:eastAsiaTheme="minorEastAsia" w:cs="Times New Roman"/>
          <w:szCs w:val="24"/>
          <w:lang w:val="en-US" w:eastAsia="zh-CN"/>
        </w:rPr>
        <w:t xml:space="preserve"> </w:t>
      </w:r>
      <w:r w:rsidR="00630BFD" w:rsidRPr="006A51BD">
        <w:rPr>
          <w:rFonts w:eastAsiaTheme="minorEastAsia" w:cs="Times New Roman"/>
          <w:color w:val="FF0000"/>
          <w:szCs w:val="24"/>
          <w:lang w:val="en-US" w:eastAsia="zh-CN"/>
        </w:rPr>
        <w:t xml:space="preserve">Together, these processes act as antecedents to engagement within a dyad of user and </w:t>
      </w:r>
      <w:r w:rsidR="00390B59" w:rsidRPr="006A51BD">
        <w:rPr>
          <w:rFonts w:eastAsiaTheme="minorEastAsia" w:cs="Times New Roman"/>
          <w:color w:val="FF0000"/>
          <w:szCs w:val="24"/>
          <w:lang w:val="en-US" w:eastAsia="zh-CN"/>
        </w:rPr>
        <w:t>brand</w:t>
      </w:r>
      <w:r w:rsidR="00F13E8C" w:rsidRPr="006A51BD">
        <w:rPr>
          <w:rFonts w:eastAsiaTheme="minorEastAsia" w:cs="Times New Roman"/>
          <w:color w:val="FF0000"/>
          <w:szCs w:val="24"/>
          <w:lang w:val="en-US" w:eastAsia="zh-CN"/>
        </w:rPr>
        <w:t xml:space="preserve"> and explain how and why </w:t>
      </w:r>
      <w:r w:rsidR="009557B5" w:rsidRPr="006A51BD">
        <w:rPr>
          <w:rFonts w:eastAsiaTheme="minorEastAsia" w:cs="Times New Roman"/>
          <w:color w:val="FF0000"/>
          <w:szCs w:val="24"/>
          <w:lang w:val="en-US" w:eastAsia="zh-CN"/>
        </w:rPr>
        <w:t xml:space="preserve">factors such as </w:t>
      </w:r>
      <w:r w:rsidR="00D65727" w:rsidRPr="006A51BD">
        <w:rPr>
          <w:rFonts w:eastAsiaTheme="minorEastAsia" w:cs="Times New Roman"/>
          <w:color w:val="FF0000"/>
          <w:szCs w:val="24"/>
          <w:lang w:val="en-US" w:eastAsia="zh-CN"/>
        </w:rPr>
        <w:t xml:space="preserve">customer </w:t>
      </w:r>
      <w:r w:rsidR="00AA5217" w:rsidRPr="006A51BD">
        <w:rPr>
          <w:rFonts w:eastAsiaTheme="minorEastAsia" w:cs="Times New Roman"/>
          <w:color w:val="FF0000"/>
          <w:szCs w:val="24"/>
          <w:lang w:val="en-US" w:eastAsia="zh-CN"/>
        </w:rPr>
        <w:t xml:space="preserve">experience (Kumar </w:t>
      </w:r>
      <w:r w:rsidR="00957690" w:rsidRPr="00957690">
        <w:rPr>
          <w:rFonts w:eastAsiaTheme="minorEastAsia" w:cs="Times New Roman"/>
          <w:i/>
          <w:iCs/>
          <w:color w:val="FF0000"/>
          <w:szCs w:val="24"/>
          <w:lang w:val="en-US" w:eastAsia="zh-CN"/>
        </w:rPr>
        <w:t>et al.</w:t>
      </w:r>
      <w:r w:rsidR="00AA5217" w:rsidRPr="006A51BD">
        <w:rPr>
          <w:rFonts w:eastAsiaTheme="minorEastAsia" w:cs="Times New Roman"/>
          <w:color w:val="FF0000"/>
          <w:szCs w:val="24"/>
          <w:lang w:val="en-US" w:eastAsia="zh-CN"/>
        </w:rPr>
        <w:t>, 2010)</w:t>
      </w:r>
      <w:r w:rsidR="00D65727" w:rsidRPr="006A51BD">
        <w:rPr>
          <w:rFonts w:eastAsiaTheme="minorEastAsia" w:cs="Times New Roman"/>
          <w:color w:val="FF0000"/>
          <w:szCs w:val="24"/>
          <w:lang w:val="en-US" w:eastAsia="zh-CN"/>
        </w:rPr>
        <w:t xml:space="preserve"> and </w:t>
      </w:r>
      <w:r w:rsidR="00AA5217" w:rsidRPr="006A51BD">
        <w:rPr>
          <w:rFonts w:eastAsiaTheme="minorEastAsia" w:cs="Times New Roman"/>
          <w:color w:val="FF0000"/>
          <w:szCs w:val="24"/>
          <w:lang w:val="en-US" w:eastAsia="zh-CN"/>
        </w:rPr>
        <w:t>satisfaction (</w:t>
      </w:r>
      <w:proofErr w:type="spellStart"/>
      <w:r w:rsidR="00AA5217" w:rsidRPr="006A51BD">
        <w:rPr>
          <w:rFonts w:eastAsiaTheme="minorEastAsia" w:cs="Times New Roman"/>
          <w:color w:val="FF0000"/>
          <w:szCs w:val="24"/>
          <w:lang w:val="en-US" w:eastAsia="zh-CN"/>
        </w:rPr>
        <w:t>Bergel</w:t>
      </w:r>
      <w:proofErr w:type="spellEnd"/>
      <w:r w:rsidR="00AA5217" w:rsidRPr="006A51BD">
        <w:rPr>
          <w:rFonts w:eastAsiaTheme="minorEastAsia" w:cs="Times New Roman"/>
          <w:color w:val="FF0000"/>
          <w:szCs w:val="24"/>
          <w:lang w:val="en-US" w:eastAsia="zh-CN"/>
        </w:rPr>
        <w:t xml:space="preserve"> </w:t>
      </w:r>
      <w:r w:rsidR="00957690" w:rsidRPr="00957690">
        <w:rPr>
          <w:rFonts w:eastAsiaTheme="minorEastAsia" w:cs="Times New Roman"/>
          <w:i/>
          <w:iCs/>
          <w:color w:val="FF0000"/>
          <w:szCs w:val="24"/>
          <w:lang w:val="en-US" w:eastAsia="zh-CN"/>
        </w:rPr>
        <w:t>et al.</w:t>
      </w:r>
      <w:r w:rsidR="00AA5217" w:rsidRPr="006A51BD">
        <w:rPr>
          <w:rFonts w:eastAsiaTheme="minorEastAsia" w:cs="Times New Roman"/>
          <w:color w:val="FF0000"/>
          <w:szCs w:val="24"/>
          <w:lang w:val="en-US" w:eastAsia="zh-CN"/>
        </w:rPr>
        <w:t xml:space="preserve">, 2019), service quality (Islam </w:t>
      </w:r>
      <w:r w:rsidR="00957690" w:rsidRPr="00957690">
        <w:rPr>
          <w:rFonts w:eastAsiaTheme="minorEastAsia" w:cs="Times New Roman"/>
          <w:i/>
          <w:iCs/>
          <w:color w:val="FF0000"/>
          <w:szCs w:val="24"/>
          <w:lang w:val="en-US" w:eastAsia="zh-CN"/>
        </w:rPr>
        <w:t>et al.</w:t>
      </w:r>
      <w:r w:rsidR="00AA5217" w:rsidRPr="006A51BD">
        <w:rPr>
          <w:rFonts w:eastAsiaTheme="minorEastAsia" w:cs="Times New Roman"/>
          <w:color w:val="FF0000"/>
          <w:szCs w:val="24"/>
          <w:lang w:val="en-US" w:eastAsia="zh-CN"/>
        </w:rPr>
        <w:t xml:space="preserve">, 2019), </w:t>
      </w:r>
      <w:r w:rsidR="00D65727" w:rsidRPr="006A51BD">
        <w:rPr>
          <w:rFonts w:eastAsiaTheme="minorEastAsia" w:cs="Times New Roman"/>
          <w:color w:val="FF0000"/>
          <w:szCs w:val="24"/>
          <w:lang w:val="en-US" w:eastAsia="zh-CN"/>
        </w:rPr>
        <w:t xml:space="preserve">and </w:t>
      </w:r>
      <w:r w:rsidR="00AA5217" w:rsidRPr="006A51BD">
        <w:rPr>
          <w:rFonts w:eastAsiaTheme="minorEastAsia" w:cs="Times New Roman"/>
          <w:color w:val="FF0000"/>
          <w:szCs w:val="24"/>
          <w:lang w:val="en-US" w:eastAsia="zh-CN"/>
        </w:rPr>
        <w:t xml:space="preserve">platform functionality (Chan </w:t>
      </w:r>
      <w:r w:rsidR="00957690" w:rsidRPr="00957690">
        <w:rPr>
          <w:rFonts w:eastAsiaTheme="minorEastAsia" w:cs="Times New Roman"/>
          <w:i/>
          <w:iCs/>
          <w:color w:val="FF0000"/>
          <w:szCs w:val="24"/>
          <w:lang w:val="en-US" w:eastAsia="zh-CN"/>
        </w:rPr>
        <w:t>et al.</w:t>
      </w:r>
      <w:r w:rsidR="00AA5217" w:rsidRPr="006A51BD">
        <w:rPr>
          <w:rFonts w:eastAsiaTheme="minorEastAsia" w:cs="Times New Roman"/>
          <w:i/>
          <w:iCs/>
          <w:color w:val="FF0000"/>
          <w:szCs w:val="24"/>
          <w:lang w:val="en-US" w:eastAsia="zh-CN"/>
        </w:rPr>
        <w:t xml:space="preserve">, </w:t>
      </w:r>
      <w:r w:rsidR="00AA5217" w:rsidRPr="006A51BD">
        <w:rPr>
          <w:rFonts w:eastAsiaTheme="minorEastAsia" w:cs="Times New Roman"/>
          <w:color w:val="FF0000"/>
          <w:szCs w:val="24"/>
          <w:lang w:val="en-US" w:eastAsia="zh-CN"/>
        </w:rPr>
        <w:t>2014)</w:t>
      </w:r>
      <w:r w:rsidR="00454B6E" w:rsidRPr="006A51BD">
        <w:rPr>
          <w:rFonts w:eastAsiaTheme="minorEastAsia" w:cs="Times New Roman"/>
          <w:color w:val="FF0000"/>
          <w:szCs w:val="24"/>
          <w:lang w:val="en-US" w:eastAsia="zh-CN"/>
        </w:rPr>
        <w:t xml:space="preserve"> </w:t>
      </w:r>
      <w:r w:rsidR="005A2C46" w:rsidRPr="006A51BD">
        <w:rPr>
          <w:rFonts w:eastAsiaTheme="minorEastAsia" w:cs="Times New Roman"/>
          <w:color w:val="FF0000"/>
          <w:szCs w:val="24"/>
          <w:lang w:val="en-US" w:eastAsia="zh-CN"/>
        </w:rPr>
        <w:t>have been asserted</w:t>
      </w:r>
      <w:r w:rsidR="00454B6E" w:rsidRPr="006A51BD">
        <w:rPr>
          <w:rFonts w:eastAsiaTheme="minorEastAsia" w:cs="Times New Roman"/>
          <w:color w:val="FF0000"/>
          <w:szCs w:val="24"/>
          <w:lang w:val="en-US" w:eastAsia="zh-CN"/>
        </w:rPr>
        <w:t xml:space="preserve"> as antecedents to engagement</w:t>
      </w:r>
      <w:r w:rsidR="005A2C46" w:rsidRPr="006A51BD">
        <w:rPr>
          <w:rFonts w:eastAsiaTheme="minorEastAsia" w:cs="Times New Roman"/>
          <w:color w:val="FF0000"/>
          <w:szCs w:val="24"/>
          <w:lang w:val="en-US" w:eastAsia="zh-CN"/>
        </w:rPr>
        <w:t xml:space="preserve"> in the extant literature</w:t>
      </w:r>
      <w:r w:rsidR="00454B6E" w:rsidRPr="006A51BD">
        <w:rPr>
          <w:rFonts w:eastAsiaTheme="minorEastAsia" w:cs="Times New Roman"/>
          <w:color w:val="FF0000"/>
          <w:szCs w:val="24"/>
          <w:lang w:val="en-US" w:eastAsia="zh-CN"/>
        </w:rPr>
        <w:t>.</w:t>
      </w:r>
    </w:p>
    <w:p w14:paraId="2C456E04" w14:textId="425B4027" w:rsidR="00605C48" w:rsidRPr="005F2A26" w:rsidRDefault="009D7849" w:rsidP="00FB0865">
      <w:pPr>
        <w:spacing w:after="0" w:line="480" w:lineRule="auto"/>
        <w:ind w:firstLine="720"/>
        <w:rPr>
          <w:rFonts w:eastAsiaTheme="minorEastAsia" w:cs="Times New Roman"/>
          <w:szCs w:val="24"/>
          <w:lang w:val="en-US" w:eastAsia="zh-CN"/>
        </w:rPr>
        <w:sectPr w:rsidR="00605C48" w:rsidRPr="005F2A26" w:rsidSect="00590E81">
          <w:pgSz w:w="11906" w:h="16838"/>
          <w:pgMar w:top="1440" w:right="1440" w:bottom="1440" w:left="1440" w:header="708" w:footer="708" w:gutter="0"/>
          <w:pgNumType w:start="1"/>
          <w:cols w:space="708"/>
          <w:docGrid w:linePitch="360"/>
        </w:sectPr>
      </w:pPr>
      <w:r w:rsidRPr="005F2A26">
        <w:rPr>
          <w:rFonts w:eastAsiaTheme="minorEastAsia" w:cs="Times New Roman"/>
          <w:szCs w:val="24"/>
          <w:lang w:val="en-US" w:eastAsia="zh-CN"/>
        </w:rPr>
        <w:t>U</w:t>
      </w:r>
      <w:r w:rsidR="00AD0C40" w:rsidRPr="005F2A26">
        <w:rPr>
          <w:rFonts w:eastAsiaTheme="minorEastAsia" w:cs="Times New Roman"/>
          <w:szCs w:val="24"/>
          <w:lang w:val="en-US" w:eastAsia="zh-CN"/>
        </w:rPr>
        <w:t>s</w:t>
      </w:r>
      <w:r w:rsidR="00BC1F65" w:rsidRPr="005F2A26">
        <w:rPr>
          <w:rFonts w:eastAsiaTheme="minorEastAsia" w:cs="Times New Roman"/>
          <w:szCs w:val="24"/>
          <w:lang w:val="en-US" w:eastAsia="zh-CN"/>
        </w:rPr>
        <w:t>ing</w:t>
      </w:r>
      <w:r w:rsidR="00AD0C40" w:rsidRPr="005F2A26">
        <w:rPr>
          <w:rFonts w:eastAsiaTheme="minorEastAsia" w:cs="Times New Roman"/>
          <w:szCs w:val="24"/>
          <w:lang w:val="en-US" w:eastAsia="zh-CN"/>
        </w:rPr>
        <w:t xml:space="preserve"> the PO conceptual framework (</w:t>
      </w:r>
      <w:proofErr w:type="spellStart"/>
      <w:r w:rsidR="0096608E" w:rsidRPr="005F2A26">
        <w:rPr>
          <w:rFonts w:eastAsiaTheme="minorEastAsia" w:cs="Times New Roman"/>
          <w:szCs w:val="24"/>
          <w:lang w:val="en-US" w:eastAsia="zh-CN"/>
        </w:rPr>
        <w:t>Jussila</w:t>
      </w:r>
      <w:proofErr w:type="spellEnd"/>
      <w:r w:rsidR="0096608E"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96608E" w:rsidRPr="005F2A26">
        <w:rPr>
          <w:rFonts w:eastAsiaTheme="minorEastAsia" w:cs="Times New Roman"/>
          <w:szCs w:val="24"/>
          <w:lang w:val="en-US" w:eastAsia="zh-CN"/>
        </w:rPr>
        <w:t xml:space="preserve">, 2015; </w:t>
      </w:r>
      <w:r w:rsidR="00AD0C40" w:rsidRPr="005F2A26">
        <w:rPr>
          <w:rFonts w:eastAsiaTheme="minorEastAsia" w:cs="Times New Roman"/>
          <w:szCs w:val="24"/>
          <w:lang w:val="en-US" w:eastAsia="zh-CN"/>
        </w:rPr>
        <w:t xml:space="preserve">Pierce </w:t>
      </w:r>
      <w:r w:rsidR="00957690" w:rsidRPr="00957690">
        <w:rPr>
          <w:rFonts w:eastAsiaTheme="minorEastAsia" w:cs="Times New Roman"/>
          <w:i/>
          <w:iCs/>
          <w:szCs w:val="24"/>
          <w:lang w:val="en-US" w:eastAsia="zh-CN"/>
        </w:rPr>
        <w:t>et al.</w:t>
      </w:r>
      <w:r w:rsidR="00C26113" w:rsidRPr="005F2A26">
        <w:rPr>
          <w:rFonts w:eastAsiaTheme="minorEastAsia" w:cs="Times New Roman"/>
          <w:szCs w:val="24"/>
          <w:lang w:val="en-US" w:eastAsia="zh-CN"/>
        </w:rPr>
        <w:t xml:space="preserve">, </w:t>
      </w:r>
      <w:r w:rsidR="00AD0C40" w:rsidRPr="005F2A26">
        <w:rPr>
          <w:rFonts w:eastAsiaTheme="minorEastAsia" w:cs="Times New Roman"/>
          <w:szCs w:val="24"/>
          <w:lang w:val="en-US" w:eastAsia="zh-CN"/>
        </w:rPr>
        <w:t xml:space="preserve">2001, 2003; cf. </w:t>
      </w:r>
      <w:proofErr w:type="spellStart"/>
      <w:r w:rsidR="00AD0C40" w:rsidRPr="005F2A26">
        <w:rPr>
          <w:rFonts w:eastAsiaTheme="minorEastAsia" w:cs="Times New Roman"/>
          <w:szCs w:val="24"/>
          <w:lang w:val="en-US" w:eastAsia="zh-CN"/>
        </w:rPr>
        <w:t>Danckwerts</w:t>
      </w:r>
      <w:proofErr w:type="spellEnd"/>
      <w:r w:rsidR="00AD0C40" w:rsidRPr="005F2A26">
        <w:rPr>
          <w:rFonts w:eastAsiaTheme="minorEastAsia" w:cs="Times New Roman"/>
          <w:szCs w:val="24"/>
          <w:lang w:val="en-US" w:eastAsia="zh-CN"/>
        </w:rPr>
        <w:t xml:space="preserve"> and Kenning, 2019; Sinclair and </w:t>
      </w:r>
      <w:proofErr w:type="spellStart"/>
      <w:r w:rsidR="00AD0C40" w:rsidRPr="005F2A26">
        <w:rPr>
          <w:rFonts w:eastAsiaTheme="minorEastAsia" w:cs="Times New Roman"/>
          <w:szCs w:val="24"/>
          <w:lang w:val="en-US" w:eastAsia="zh-CN"/>
        </w:rPr>
        <w:t>Tinson</w:t>
      </w:r>
      <w:proofErr w:type="spellEnd"/>
      <w:r w:rsidR="00AD0C40" w:rsidRPr="005F2A26">
        <w:rPr>
          <w:rFonts w:eastAsiaTheme="minorEastAsia" w:cs="Times New Roman"/>
          <w:szCs w:val="24"/>
          <w:lang w:val="en-US" w:eastAsia="zh-CN"/>
        </w:rPr>
        <w:t>, 2017)</w:t>
      </w:r>
      <w:r w:rsidR="00BC1F65" w:rsidRPr="005F2A26">
        <w:rPr>
          <w:rFonts w:eastAsiaTheme="minorEastAsia" w:cs="Times New Roman"/>
          <w:szCs w:val="24"/>
          <w:lang w:val="en-US" w:eastAsia="zh-CN"/>
        </w:rPr>
        <w:t>,</w:t>
      </w:r>
      <w:r w:rsidR="00AD0C40" w:rsidRPr="005F2A26">
        <w:rPr>
          <w:rFonts w:eastAsiaTheme="minorEastAsia" w:cs="Times New Roman"/>
          <w:szCs w:val="24"/>
          <w:lang w:val="en-US" w:eastAsia="zh-CN"/>
        </w:rPr>
        <w:t xml:space="preserve"> </w:t>
      </w:r>
      <w:r w:rsidR="00BC1F65" w:rsidRPr="005F2A26">
        <w:rPr>
          <w:rFonts w:eastAsiaTheme="minorEastAsia" w:cs="Times New Roman"/>
          <w:szCs w:val="24"/>
          <w:lang w:val="en-US" w:eastAsia="zh-CN"/>
        </w:rPr>
        <w:t>we</w:t>
      </w:r>
      <w:r w:rsidR="00AD0C40" w:rsidRPr="005F2A26">
        <w:rPr>
          <w:rFonts w:eastAsiaTheme="minorEastAsia" w:cs="Times New Roman"/>
          <w:szCs w:val="24"/>
          <w:lang w:val="en-US" w:eastAsia="zh-CN"/>
        </w:rPr>
        <w:t xml:space="preserve"> </w:t>
      </w:r>
      <w:r w:rsidR="0034344F" w:rsidRPr="005F2A26">
        <w:rPr>
          <w:rFonts w:eastAsiaTheme="minorEastAsia" w:cs="Times New Roman"/>
          <w:szCs w:val="24"/>
          <w:lang w:val="en-US" w:eastAsia="zh-CN"/>
        </w:rPr>
        <w:t xml:space="preserve">next </w:t>
      </w:r>
      <w:r w:rsidR="0096608E" w:rsidRPr="005F2A26">
        <w:rPr>
          <w:rFonts w:eastAsiaTheme="minorEastAsia" w:cs="Times New Roman"/>
          <w:szCs w:val="24"/>
          <w:lang w:val="en-US" w:eastAsia="zh-CN"/>
        </w:rPr>
        <w:t xml:space="preserve">draw on </w:t>
      </w:r>
      <w:r w:rsidR="00AD0C40" w:rsidRPr="005F2A26">
        <w:rPr>
          <w:rFonts w:eastAsiaTheme="minorEastAsia" w:cs="Times New Roman"/>
          <w:szCs w:val="24"/>
          <w:lang w:val="en-US" w:eastAsia="zh-CN"/>
        </w:rPr>
        <w:t>the SE literature</w:t>
      </w:r>
      <w:r w:rsidR="0096608E" w:rsidRPr="005F2A26">
        <w:rPr>
          <w:rFonts w:eastAsiaTheme="minorEastAsia" w:cs="Times New Roman"/>
          <w:szCs w:val="24"/>
          <w:lang w:val="en-US" w:eastAsia="zh-CN"/>
        </w:rPr>
        <w:t xml:space="preserve"> to </w:t>
      </w:r>
      <w:r w:rsidR="003E1DDA" w:rsidRPr="005F2A26">
        <w:rPr>
          <w:rFonts w:eastAsiaTheme="minorEastAsia" w:cs="Times New Roman"/>
          <w:szCs w:val="24"/>
          <w:lang w:val="en-US" w:eastAsia="zh-CN"/>
        </w:rPr>
        <w:t>exp</w:t>
      </w:r>
      <w:r w:rsidR="00190E58">
        <w:rPr>
          <w:rFonts w:eastAsiaTheme="minorEastAsia" w:cs="Times New Roman"/>
          <w:szCs w:val="24"/>
          <w:lang w:val="en-US" w:eastAsia="zh-CN"/>
        </w:rPr>
        <w:t>licate</w:t>
      </w:r>
      <w:r w:rsidR="00AD0C40" w:rsidRPr="005F2A26">
        <w:rPr>
          <w:rFonts w:eastAsiaTheme="minorEastAsia" w:cs="Times New Roman"/>
          <w:szCs w:val="24"/>
          <w:lang w:val="en-US" w:eastAsia="zh-CN"/>
        </w:rPr>
        <w:t xml:space="preserve"> </w:t>
      </w:r>
      <w:r w:rsidR="00473BFE" w:rsidRPr="005F2A26">
        <w:rPr>
          <w:rFonts w:eastAsiaTheme="minorEastAsia" w:cs="Times New Roman"/>
          <w:szCs w:val="24"/>
          <w:lang w:val="en-US" w:eastAsia="zh-CN"/>
        </w:rPr>
        <w:t xml:space="preserve">1) </w:t>
      </w:r>
      <w:r w:rsidR="00AD0C40" w:rsidRPr="005F2A26">
        <w:rPr>
          <w:rFonts w:eastAsiaTheme="minorEastAsia" w:cs="Times New Roman"/>
          <w:szCs w:val="24"/>
          <w:lang w:val="en-US" w:eastAsia="zh-CN"/>
        </w:rPr>
        <w:t xml:space="preserve">what </w:t>
      </w:r>
      <w:r w:rsidR="00757111" w:rsidRPr="005F2A26">
        <w:rPr>
          <w:rFonts w:eastAsiaTheme="minorEastAsia" w:cs="Times New Roman"/>
          <w:szCs w:val="24"/>
          <w:lang w:val="en-US" w:eastAsia="zh-CN"/>
        </w:rPr>
        <w:t xml:space="preserve">needs </w:t>
      </w:r>
      <w:r w:rsidR="00AD0C40" w:rsidRPr="005F2A26">
        <w:rPr>
          <w:rFonts w:eastAsiaTheme="minorEastAsia" w:cs="Times New Roman"/>
          <w:szCs w:val="24"/>
          <w:lang w:val="en-US" w:eastAsia="zh-CN"/>
        </w:rPr>
        <w:t xml:space="preserve">drive people to engage with </w:t>
      </w:r>
      <w:r w:rsidR="00473BFE" w:rsidRPr="005F2A26">
        <w:rPr>
          <w:rFonts w:eastAsiaTheme="minorEastAsia" w:cs="Times New Roman"/>
          <w:szCs w:val="24"/>
          <w:lang w:val="en-US" w:eastAsia="zh-CN"/>
        </w:rPr>
        <w:t>targets</w:t>
      </w:r>
      <w:r w:rsidR="00854E0B" w:rsidRPr="005F2A26">
        <w:rPr>
          <w:rFonts w:eastAsiaTheme="minorEastAsia" w:cs="Times New Roman"/>
          <w:szCs w:val="24"/>
          <w:lang w:val="en-US" w:eastAsia="zh-CN"/>
        </w:rPr>
        <w:t xml:space="preserve"> </w:t>
      </w:r>
      <w:r w:rsidR="00AD0C40" w:rsidRPr="005F2A26">
        <w:rPr>
          <w:rFonts w:eastAsiaTheme="minorEastAsia" w:cs="Times New Roman"/>
          <w:szCs w:val="24"/>
          <w:lang w:val="en-US" w:eastAsia="zh-CN"/>
        </w:rPr>
        <w:t>in the SE</w:t>
      </w:r>
      <w:r w:rsidR="00473BFE" w:rsidRPr="005F2A26">
        <w:rPr>
          <w:rFonts w:eastAsiaTheme="minorEastAsia" w:cs="Times New Roman"/>
          <w:szCs w:val="24"/>
          <w:lang w:val="en-US" w:eastAsia="zh-CN"/>
        </w:rPr>
        <w:t>,</w:t>
      </w:r>
      <w:r w:rsidR="0089304B" w:rsidRPr="005F2A26">
        <w:rPr>
          <w:rFonts w:eastAsiaTheme="minorEastAsia" w:cs="Times New Roman"/>
          <w:szCs w:val="24"/>
          <w:lang w:val="en-US" w:eastAsia="zh-CN"/>
        </w:rPr>
        <w:t xml:space="preserve"> </w:t>
      </w:r>
      <w:r w:rsidR="00473BFE" w:rsidRPr="005F2A26">
        <w:rPr>
          <w:rFonts w:eastAsiaTheme="minorEastAsia" w:cs="Times New Roman"/>
          <w:szCs w:val="24"/>
          <w:lang w:val="en-US" w:eastAsia="zh-CN"/>
        </w:rPr>
        <w:t>2)</w:t>
      </w:r>
      <w:r w:rsidR="0034633F" w:rsidRPr="005F2A26">
        <w:rPr>
          <w:rFonts w:eastAsiaTheme="minorEastAsia" w:cs="Times New Roman"/>
          <w:szCs w:val="24"/>
          <w:lang w:val="en-US" w:eastAsia="zh-CN"/>
        </w:rPr>
        <w:t xml:space="preserve"> </w:t>
      </w:r>
      <w:r w:rsidR="00473BFE" w:rsidRPr="005F2A26">
        <w:rPr>
          <w:rFonts w:eastAsiaTheme="minorEastAsia" w:cs="Times New Roman"/>
          <w:szCs w:val="24"/>
          <w:lang w:val="en-US" w:eastAsia="zh-CN"/>
        </w:rPr>
        <w:t xml:space="preserve">the causes of </w:t>
      </w:r>
      <w:r w:rsidR="00657C26" w:rsidRPr="005F2A26">
        <w:rPr>
          <w:rFonts w:eastAsiaTheme="minorEastAsia" w:cs="Times New Roman"/>
          <w:szCs w:val="24"/>
          <w:lang w:val="en-US" w:eastAsia="zh-CN"/>
        </w:rPr>
        <w:t>i</w:t>
      </w:r>
      <w:r w:rsidR="000E4233" w:rsidRPr="005F2A26">
        <w:rPr>
          <w:rFonts w:eastAsiaTheme="minorEastAsia" w:cs="Times New Roman"/>
          <w:szCs w:val="24"/>
          <w:lang w:val="en-US" w:eastAsia="zh-CN"/>
        </w:rPr>
        <w:t>P</w:t>
      </w:r>
      <w:r w:rsidR="00473BFE" w:rsidRPr="005F2A26">
        <w:rPr>
          <w:rFonts w:eastAsiaTheme="minorEastAsia" w:cs="Times New Roman"/>
          <w:szCs w:val="24"/>
          <w:lang w:val="en-US" w:eastAsia="zh-CN"/>
        </w:rPr>
        <w:t>O</w:t>
      </w:r>
      <w:r w:rsidR="00261AD0" w:rsidRPr="005F2A26">
        <w:rPr>
          <w:rFonts w:eastAsiaTheme="minorEastAsia" w:cs="Times New Roman"/>
          <w:szCs w:val="24"/>
          <w:lang w:val="en-US" w:eastAsia="zh-CN"/>
        </w:rPr>
        <w:t xml:space="preserve"> </w:t>
      </w:r>
      <w:r w:rsidR="00261AD0" w:rsidRPr="005F2A26">
        <w:rPr>
          <w:rFonts w:eastAsiaTheme="minorEastAsia" w:cs="Times New Roman"/>
          <w:szCs w:val="24"/>
          <w:lang w:val="en-US" w:eastAsia="zh-CN"/>
        </w:rPr>
        <w:lastRenderedPageBreak/>
        <w:t xml:space="preserve">as users interact with </w:t>
      </w:r>
      <w:r w:rsidR="000E4233" w:rsidRPr="005F2A26">
        <w:rPr>
          <w:rFonts w:eastAsiaTheme="minorEastAsia" w:cs="Times New Roman"/>
          <w:szCs w:val="24"/>
          <w:lang w:val="en-US" w:eastAsia="zh-CN"/>
        </w:rPr>
        <w:t>a</w:t>
      </w:r>
      <w:r w:rsidR="00261AD0" w:rsidRPr="005F2A26">
        <w:rPr>
          <w:rFonts w:eastAsiaTheme="minorEastAsia" w:cs="Times New Roman"/>
          <w:szCs w:val="24"/>
          <w:lang w:val="en-US" w:eastAsia="zh-CN"/>
        </w:rPr>
        <w:t xml:space="preserve"> target</w:t>
      </w:r>
      <w:r w:rsidR="00657C26" w:rsidRPr="005F2A26">
        <w:rPr>
          <w:rFonts w:eastAsiaTheme="minorEastAsia" w:cs="Times New Roman"/>
          <w:szCs w:val="24"/>
          <w:lang w:val="en-US" w:eastAsia="zh-CN"/>
        </w:rPr>
        <w:t xml:space="preserve"> and the causes of cPO as people become aware of others’ shared PO</w:t>
      </w:r>
      <w:r w:rsidR="000E4233" w:rsidRPr="005F2A26">
        <w:rPr>
          <w:rFonts w:eastAsiaTheme="minorEastAsia" w:cs="Times New Roman"/>
          <w:szCs w:val="24"/>
          <w:lang w:val="en-US" w:eastAsia="zh-CN"/>
        </w:rPr>
        <w:t xml:space="preserve">, </w:t>
      </w:r>
      <w:r w:rsidR="003E1DDA" w:rsidRPr="005F2A26">
        <w:rPr>
          <w:rFonts w:eastAsiaTheme="minorEastAsia" w:cs="Times New Roman"/>
          <w:szCs w:val="24"/>
          <w:lang w:val="en-US" w:eastAsia="zh-CN"/>
        </w:rPr>
        <w:t xml:space="preserve">and </w:t>
      </w:r>
      <w:r w:rsidR="000E4233" w:rsidRPr="005F2A26">
        <w:rPr>
          <w:rFonts w:eastAsiaTheme="minorEastAsia" w:cs="Times New Roman"/>
          <w:szCs w:val="24"/>
          <w:lang w:val="en-US" w:eastAsia="zh-CN"/>
        </w:rPr>
        <w:t xml:space="preserve">3) the </w:t>
      </w:r>
      <w:r w:rsidR="00757111" w:rsidRPr="005F2A26">
        <w:rPr>
          <w:rFonts w:eastAsiaTheme="minorEastAsia" w:cs="Times New Roman"/>
          <w:szCs w:val="24"/>
          <w:lang w:val="en-US" w:eastAsia="zh-CN"/>
        </w:rPr>
        <w:t xml:space="preserve">different </w:t>
      </w:r>
      <w:r w:rsidR="000E4233" w:rsidRPr="005F2A26">
        <w:rPr>
          <w:rFonts w:eastAsiaTheme="minorEastAsia" w:cs="Times New Roman"/>
          <w:szCs w:val="24"/>
          <w:lang w:val="en-US" w:eastAsia="zh-CN"/>
        </w:rPr>
        <w:t xml:space="preserve">types of engagement that manifest from </w:t>
      </w:r>
      <w:r w:rsidR="00081978" w:rsidRPr="005F2A26">
        <w:rPr>
          <w:rFonts w:eastAsiaTheme="minorEastAsia" w:cs="Times New Roman"/>
          <w:szCs w:val="24"/>
          <w:lang w:val="en-US" w:eastAsia="zh-CN"/>
        </w:rPr>
        <w:t>iPO and cPO</w:t>
      </w:r>
      <w:r w:rsidR="00AD0C40" w:rsidRPr="005F2A26">
        <w:rPr>
          <w:rFonts w:eastAsiaTheme="minorEastAsia" w:cs="Times New Roman"/>
          <w:szCs w:val="24"/>
          <w:lang w:val="en-US" w:eastAsia="zh-CN"/>
        </w:rPr>
        <w:t>.</w:t>
      </w:r>
      <w:r w:rsidR="00517C85" w:rsidRPr="005F2A26">
        <w:rPr>
          <w:rFonts w:eastAsiaTheme="minorEastAsia" w:cs="Times New Roman"/>
          <w:szCs w:val="24"/>
          <w:lang w:val="en-US" w:eastAsia="zh-CN"/>
        </w:rPr>
        <w:t xml:space="preserve"> </w:t>
      </w:r>
      <w:r w:rsidR="00914807" w:rsidRPr="005F2A26">
        <w:rPr>
          <w:rFonts w:eastAsiaTheme="minorEastAsia" w:cs="Times New Roman"/>
          <w:szCs w:val="24"/>
          <w:lang w:val="en-US" w:eastAsia="zh-CN"/>
        </w:rPr>
        <w:t>This</w:t>
      </w:r>
      <w:r w:rsidR="00780381" w:rsidRPr="005F2A26">
        <w:rPr>
          <w:rFonts w:eastAsiaTheme="minorEastAsia" w:cs="Times New Roman"/>
          <w:szCs w:val="24"/>
          <w:lang w:val="en-US" w:eastAsia="zh-CN"/>
        </w:rPr>
        <w:t xml:space="preserve"> </w:t>
      </w:r>
      <w:r w:rsidR="00757111" w:rsidRPr="005F2A26">
        <w:rPr>
          <w:rFonts w:eastAsiaTheme="minorEastAsia" w:cs="Times New Roman"/>
          <w:szCs w:val="24"/>
          <w:lang w:val="en-US" w:eastAsia="zh-CN"/>
        </w:rPr>
        <w:t>dynamic</w:t>
      </w:r>
      <w:r w:rsidR="00914807" w:rsidRPr="005F2A26">
        <w:rPr>
          <w:rFonts w:eastAsiaTheme="minorEastAsia" w:cs="Times New Roman"/>
          <w:szCs w:val="24"/>
          <w:lang w:val="en-US" w:eastAsia="zh-CN"/>
        </w:rPr>
        <w:t xml:space="preserve"> process is reflected in our</w:t>
      </w:r>
      <w:r w:rsidR="00757111" w:rsidRPr="005F2A26">
        <w:rPr>
          <w:rFonts w:eastAsiaTheme="minorEastAsia" w:cs="Times New Roman"/>
          <w:szCs w:val="24"/>
          <w:lang w:val="en-US" w:eastAsia="zh-CN"/>
        </w:rPr>
        <w:t xml:space="preserve"> </w:t>
      </w:r>
      <w:r w:rsidR="00780381" w:rsidRPr="005F2A26">
        <w:rPr>
          <w:rFonts w:eastAsiaTheme="minorEastAsia" w:cs="Times New Roman"/>
          <w:szCs w:val="24"/>
          <w:lang w:val="en-US" w:eastAsia="zh-CN"/>
        </w:rPr>
        <w:t>PO-Engagement Framework</w:t>
      </w:r>
      <w:r w:rsidR="000E4233" w:rsidRPr="005F2A26">
        <w:rPr>
          <w:rFonts w:eastAsiaTheme="minorEastAsia" w:cs="Times New Roman"/>
          <w:szCs w:val="24"/>
          <w:lang w:val="en-US" w:eastAsia="zh-CN"/>
        </w:rPr>
        <w:t xml:space="preserve"> </w:t>
      </w:r>
      <w:r w:rsidR="00914807" w:rsidRPr="005F2A26">
        <w:rPr>
          <w:rFonts w:eastAsiaTheme="minorEastAsia" w:cs="Times New Roman"/>
          <w:szCs w:val="24"/>
          <w:lang w:val="en-US" w:eastAsia="zh-CN"/>
        </w:rPr>
        <w:t>(</w:t>
      </w:r>
      <w:r w:rsidR="000E4233" w:rsidRPr="005F2A26">
        <w:rPr>
          <w:rFonts w:eastAsiaTheme="minorEastAsia" w:cs="Times New Roman"/>
          <w:szCs w:val="24"/>
          <w:lang w:val="en-US" w:eastAsia="zh-CN"/>
        </w:rPr>
        <w:t>Figure 2</w:t>
      </w:r>
      <w:r w:rsidR="00914807" w:rsidRPr="005F2A26">
        <w:rPr>
          <w:rFonts w:eastAsiaTheme="minorEastAsia" w:cs="Times New Roman"/>
          <w:szCs w:val="24"/>
          <w:lang w:val="en-US" w:eastAsia="zh-CN"/>
        </w:rPr>
        <w:t>)</w:t>
      </w:r>
      <w:r w:rsidR="000E4233" w:rsidRPr="005F2A26">
        <w:rPr>
          <w:rFonts w:eastAsiaTheme="minorEastAsia" w:cs="Times New Roman"/>
          <w:szCs w:val="24"/>
          <w:lang w:val="en-US" w:eastAsia="zh-CN"/>
        </w:rPr>
        <w:t xml:space="preserve">, </w:t>
      </w:r>
      <w:r w:rsidR="00A56341" w:rsidRPr="005F2A26">
        <w:rPr>
          <w:rFonts w:eastAsiaTheme="minorEastAsia" w:cs="Times New Roman"/>
          <w:szCs w:val="24"/>
          <w:lang w:val="en-US" w:eastAsia="zh-CN"/>
        </w:rPr>
        <w:t xml:space="preserve">which </w:t>
      </w:r>
      <w:r w:rsidR="00826090" w:rsidRPr="005F2A26">
        <w:rPr>
          <w:rFonts w:eastAsiaTheme="minorEastAsia" w:cs="Times New Roman"/>
          <w:szCs w:val="24"/>
          <w:lang w:val="en-US" w:eastAsia="zh-CN"/>
        </w:rPr>
        <w:t>depicts</w:t>
      </w:r>
      <w:r w:rsidR="000E4233" w:rsidRPr="005F2A26">
        <w:rPr>
          <w:rFonts w:eastAsiaTheme="minorEastAsia" w:cs="Times New Roman"/>
          <w:szCs w:val="24"/>
          <w:lang w:val="en-US" w:eastAsia="zh-CN"/>
        </w:rPr>
        <w:t xml:space="preserve"> the journey</w:t>
      </w:r>
      <w:r w:rsidR="00C0306C" w:rsidRPr="005F2A26">
        <w:rPr>
          <w:rFonts w:eastAsiaTheme="minorEastAsia" w:cs="Times New Roman"/>
          <w:szCs w:val="24"/>
          <w:lang w:val="en-US" w:eastAsia="zh-CN"/>
        </w:rPr>
        <w:t xml:space="preserve"> taken by</w:t>
      </w:r>
      <w:r w:rsidR="000E4233" w:rsidRPr="005F2A26">
        <w:rPr>
          <w:rFonts w:eastAsiaTheme="minorEastAsia" w:cs="Times New Roman"/>
          <w:szCs w:val="24"/>
          <w:lang w:val="en-US" w:eastAsia="zh-CN"/>
        </w:rPr>
        <w:t xml:space="preserve"> a user within the SE</w:t>
      </w:r>
      <w:r w:rsidR="00403616" w:rsidRPr="005F2A26">
        <w:rPr>
          <w:rFonts w:eastAsiaTheme="minorEastAsia" w:cs="Times New Roman"/>
          <w:szCs w:val="24"/>
          <w:lang w:val="en-US" w:eastAsia="zh-CN"/>
        </w:rPr>
        <w:t>.</w:t>
      </w:r>
      <w:r w:rsidR="000E4233" w:rsidRPr="005F2A26">
        <w:rPr>
          <w:rFonts w:eastAsiaTheme="minorEastAsia" w:cs="Times New Roman"/>
          <w:szCs w:val="24"/>
          <w:lang w:val="en-US" w:eastAsia="zh-CN"/>
        </w:rPr>
        <w:t xml:space="preserve"> </w:t>
      </w:r>
      <w:r w:rsidR="00403616" w:rsidRPr="005F2A26">
        <w:rPr>
          <w:rFonts w:eastAsiaTheme="minorEastAsia" w:cs="Times New Roman"/>
          <w:szCs w:val="24"/>
          <w:lang w:val="en-US" w:eastAsia="zh-CN"/>
        </w:rPr>
        <w:t>D</w:t>
      </w:r>
      <w:r w:rsidR="000E4233" w:rsidRPr="005F2A26">
        <w:rPr>
          <w:rFonts w:eastAsiaTheme="minorEastAsia" w:cs="Times New Roman"/>
          <w:szCs w:val="24"/>
          <w:lang w:val="en-US" w:eastAsia="zh-CN"/>
        </w:rPr>
        <w:t xml:space="preserve">ifferent types of </w:t>
      </w:r>
      <w:r w:rsidR="00826090" w:rsidRPr="005F2A26">
        <w:rPr>
          <w:rFonts w:eastAsiaTheme="minorEastAsia" w:cs="Times New Roman"/>
          <w:szCs w:val="24"/>
          <w:lang w:val="en-US" w:eastAsia="zh-CN"/>
        </w:rPr>
        <w:t>engagement</w:t>
      </w:r>
      <w:r w:rsidR="000E4233" w:rsidRPr="005F2A26">
        <w:rPr>
          <w:rFonts w:eastAsiaTheme="minorEastAsia" w:cs="Times New Roman"/>
          <w:szCs w:val="24"/>
          <w:lang w:val="en-US" w:eastAsia="zh-CN"/>
        </w:rPr>
        <w:t xml:space="preserve"> manifest </w:t>
      </w:r>
      <w:r w:rsidR="00826090" w:rsidRPr="005F2A26">
        <w:rPr>
          <w:rFonts w:eastAsiaTheme="minorEastAsia" w:cs="Times New Roman"/>
          <w:szCs w:val="24"/>
          <w:lang w:val="en-US" w:eastAsia="zh-CN"/>
        </w:rPr>
        <w:t>from</w:t>
      </w:r>
      <w:r w:rsidR="000E4233" w:rsidRPr="005F2A26">
        <w:rPr>
          <w:rFonts w:eastAsiaTheme="minorEastAsia" w:cs="Times New Roman"/>
          <w:szCs w:val="24"/>
          <w:lang w:val="en-US" w:eastAsia="zh-CN"/>
        </w:rPr>
        <w:t xml:space="preserve"> different types of </w:t>
      </w:r>
      <w:r w:rsidR="00826090" w:rsidRPr="005F2A26">
        <w:rPr>
          <w:rFonts w:eastAsiaTheme="minorEastAsia" w:cs="Times New Roman"/>
          <w:szCs w:val="24"/>
          <w:lang w:val="en-US" w:eastAsia="zh-CN"/>
        </w:rPr>
        <w:t>PO</w:t>
      </w:r>
      <w:r w:rsidR="00403616" w:rsidRPr="005F2A26">
        <w:rPr>
          <w:rFonts w:eastAsiaTheme="minorEastAsia" w:cs="Times New Roman"/>
          <w:szCs w:val="24"/>
          <w:lang w:val="en-US" w:eastAsia="zh-CN"/>
        </w:rPr>
        <w:t xml:space="preserve"> – e</w:t>
      </w:r>
      <w:r w:rsidR="00757111" w:rsidRPr="005F2A26">
        <w:rPr>
          <w:rFonts w:eastAsiaTheme="minorEastAsia" w:cs="Times New Roman"/>
          <w:szCs w:val="24"/>
          <w:lang w:val="en-US" w:eastAsia="zh-CN"/>
        </w:rPr>
        <w:t>ngagement within a dyad of user and brand</w:t>
      </w:r>
      <w:r w:rsidR="00757111" w:rsidRPr="005F2A26" w:rsidDel="00757111">
        <w:rPr>
          <w:rFonts w:eastAsiaTheme="minorEastAsia" w:cs="Times New Roman"/>
          <w:szCs w:val="24"/>
          <w:lang w:val="en-US" w:eastAsia="zh-CN"/>
        </w:rPr>
        <w:t xml:space="preserve"> </w:t>
      </w:r>
      <w:r w:rsidR="00757111" w:rsidRPr="005F2A26">
        <w:rPr>
          <w:rFonts w:eastAsiaTheme="minorEastAsia" w:cs="Times New Roman"/>
          <w:szCs w:val="24"/>
          <w:lang w:val="en-US" w:eastAsia="zh-CN"/>
        </w:rPr>
        <w:t xml:space="preserve">manifests from </w:t>
      </w:r>
      <w:r w:rsidR="005B55D1" w:rsidRPr="005F2A26">
        <w:rPr>
          <w:rFonts w:eastAsiaTheme="minorEastAsia" w:cs="Times New Roman"/>
          <w:szCs w:val="24"/>
          <w:lang w:val="en-US" w:eastAsia="zh-CN"/>
        </w:rPr>
        <w:t>iPO</w:t>
      </w:r>
      <w:r w:rsidR="00EA1179" w:rsidRPr="005F2A26">
        <w:rPr>
          <w:rFonts w:eastAsiaTheme="minorEastAsia" w:cs="Times New Roman"/>
          <w:szCs w:val="24"/>
          <w:lang w:val="en-US" w:eastAsia="zh-CN"/>
        </w:rPr>
        <w:t>, and</w:t>
      </w:r>
      <w:r w:rsidR="005B55D1" w:rsidRPr="005F2A26">
        <w:rPr>
          <w:rFonts w:eastAsiaTheme="minorEastAsia" w:cs="Times New Roman"/>
          <w:szCs w:val="24"/>
          <w:lang w:val="en-US" w:eastAsia="zh-CN"/>
        </w:rPr>
        <w:t xml:space="preserve"> </w:t>
      </w:r>
      <w:r w:rsidR="00EA1179" w:rsidRPr="005F2A26">
        <w:rPr>
          <w:rFonts w:eastAsiaTheme="minorEastAsia" w:cs="Times New Roman"/>
          <w:szCs w:val="24"/>
          <w:lang w:val="en-US" w:eastAsia="zh-CN"/>
        </w:rPr>
        <w:t>community-oriented, collective engagement</w:t>
      </w:r>
      <w:r w:rsidR="00757111" w:rsidRPr="005F2A26">
        <w:rPr>
          <w:rFonts w:eastAsiaTheme="minorEastAsia" w:cs="Times New Roman"/>
          <w:szCs w:val="24"/>
          <w:lang w:val="en-US" w:eastAsia="zh-CN"/>
        </w:rPr>
        <w:t xml:space="preserve"> manifest</w:t>
      </w:r>
      <w:r w:rsidR="0094212C" w:rsidRPr="005F2A26">
        <w:rPr>
          <w:rFonts w:eastAsiaTheme="minorEastAsia" w:cs="Times New Roman"/>
          <w:szCs w:val="24"/>
          <w:lang w:val="en-US" w:eastAsia="zh-CN"/>
        </w:rPr>
        <w:t>s</w:t>
      </w:r>
      <w:r w:rsidR="00757111" w:rsidRPr="005F2A26">
        <w:rPr>
          <w:rFonts w:eastAsiaTheme="minorEastAsia" w:cs="Times New Roman"/>
          <w:szCs w:val="24"/>
          <w:lang w:val="en-US" w:eastAsia="zh-CN"/>
        </w:rPr>
        <w:t xml:space="preserve"> from cPO</w:t>
      </w:r>
      <w:r w:rsidR="00A742EE" w:rsidRPr="005F2A26">
        <w:rPr>
          <w:rFonts w:eastAsiaTheme="minorEastAsia" w:cs="Times New Roman"/>
          <w:szCs w:val="24"/>
          <w:lang w:val="en-US" w:eastAsia="zh-CN"/>
        </w:rPr>
        <w:t>.</w:t>
      </w:r>
      <w:r w:rsidR="00BF5AF0">
        <w:rPr>
          <w:rFonts w:eastAsiaTheme="minorEastAsia" w:cs="Times New Roman"/>
          <w:szCs w:val="24"/>
          <w:lang w:val="en-US" w:eastAsia="zh-CN"/>
        </w:rPr>
        <w:t xml:space="preserve"> </w:t>
      </w:r>
      <w:r w:rsidR="00BF5AF0" w:rsidRPr="006A51BD">
        <w:rPr>
          <w:rFonts w:eastAsiaTheme="minorEastAsia" w:cs="Times New Roman"/>
          <w:color w:val="FF0000"/>
          <w:szCs w:val="24"/>
          <w:lang w:val="en-US" w:eastAsia="zh-CN"/>
        </w:rPr>
        <w:t xml:space="preserve">Further, </w:t>
      </w:r>
      <w:r w:rsidR="00AE7BA0" w:rsidRPr="006A51BD">
        <w:rPr>
          <w:rFonts w:eastAsiaTheme="minorEastAsia" w:cs="Times New Roman"/>
          <w:color w:val="FF0000"/>
          <w:szCs w:val="24"/>
          <w:lang w:val="en-US" w:eastAsia="zh-CN"/>
        </w:rPr>
        <w:t xml:space="preserve">as actors experience </w:t>
      </w:r>
      <w:r w:rsidR="006D1D34">
        <w:rPr>
          <w:rFonts w:eastAsiaTheme="minorEastAsia" w:cs="Times New Roman"/>
          <w:color w:val="FF0000"/>
          <w:szCs w:val="24"/>
          <w:lang w:val="en-US" w:eastAsia="zh-CN"/>
        </w:rPr>
        <w:t xml:space="preserve">(dyadic or collective) </w:t>
      </w:r>
      <w:r w:rsidR="00AE7BA0" w:rsidRPr="006A51BD">
        <w:rPr>
          <w:rFonts w:eastAsiaTheme="minorEastAsia" w:cs="Times New Roman"/>
          <w:color w:val="FF0000"/>
          <w:szCs w:val="24"/>
          <w:lang w:val="en-US" w:eastAsia="zh-CN"/>
        </w:rPr>
        <w:t>engagement,</w:t>
      </w:r>
      <w:r w:rsidR="000235C6" w:rsidRPr="006A51BD">
        <w:rPr>
          <w:rFonts w:eastAsiaTheme="minorEastAsia" w:cs="Times New Roman"/>
          <w:color w:val="FF0000"/>
          <w:szCs w:val="24"/>
          <w:lang w:val="en-US" w:eastAsia="zh-CN"/>
        </w:rPr>
        <w:t xml:space="preserve"> the outcomes of their engagement activities (e.g., brand love, </w:t>
      </w:r>
      <w:r w:rsidR="00CD3B25">
        <w:rPr>
          <w:rFonts w:eastAsiaTheme="minorEastAsia" w:cs="Times New Roman"/>
          <w:color w:val="FF0000"/>
          <w:szCs w:val="24"/>
          <w:lang w:val="en-US" w:eastAsia="zh-CN"/>
        </w:rPr>
        <w:t>e-</w:t>
      </w:r>
      <w:r w:rsidR="000235C6" w:rsidRPr="006A51BD">
        <w:rPr>
          <w:rFonts w:eastAsiaTheme="minorEastAsia" w:cs="Times New Roman"/>
          <w:color w:val="FF0000"/>
          <w:szCs w:val="24"/>
          <w:lang w:val="en-US" w:eastAsia="zh-CN"/>
        </w:rPr>
        <w:t xml:space="preserve">WOM, sharing of experiences) </w:t>
      </w:r>
      <w:r w:rsidR="00134FC4" w:rsidRPr="006A51BD">
        <w:rPr>
          <w:rFonts w:eastAsiaTheme="minorEastAsia" w:cs="Times New Roman"/>
          <w:color w:val="FF0000"/>
          <w:szCs w:val="24"/>
          <w:lang w:val="en-US" w:eastAsia="zh-CN"/>
        </w:rPr>
        <w:t xml:space="preserve">can further reinforce their sense of PO. Hence, engagement activities themselves </w:t>
      </w:r>
      <w:r w:rsidR="005B1AD2" w:rsidRPr="006A51BD">
        <w:rPr>
          <w:rFonts w:eastAsiaTheme="minorEastAsia" w:cs="Times New Roman"/>
          <w:color w:val="FF0000"/>
          <w:szCs w:val="24"/>
          <w:lang w:val="en-US" w:eastAsia="zh-CN"/>
        </w:rPr>
        <w:t xml:space="preserve">can act as causes of iPO and cPO, explaining how </w:t>
      </w:r>
      <w:r w:rsidR="00787CA1" w:rsidRPr="006A51BD">
        <w:rPr>
          <w:rFonts w:eastAsiaTheme="minorEastAsia" w:cs="Times New Roman"/>
          <w:color w:val="FF0000"/>
          <w:szCs w:val="24"/>
          <w:lang w:val="en-US" w:eastAsia="zh-CN"/>
        </w:rPr>
        <w:t xml:space="preserve">engagement is an iterative, dynamic process </w:t>
      </w:r>
      <w:r w:rsidR="00982F83" w:rsidRPr="006A51BD">
        <w:rPr>
          <w:rFonts w:eastAsiaTheme="minorEastAsia" w:cs="Times New Roman"/>
          <w:color w:val="FF0000"/>
          <w:szCs w:val="24"/>
          <w:lang w:val="en-US" w:eastAsia="zh-CN"/>
        </w:rPr>
        <w:t>(</w:t>
      </w:r>
      <w:r w:rsidR="0092006A" w:rsidRPr="006A51BD">
        <w:rPr>
          <w:rFonts w:eastAsiaTheme="minorEastAsia" w:cs="Times New Roman"/>
          <w:color w:val="FF0000"/>
          <w:szCs w:val="24"/>
          <w:lang w:val="en-US" w:eastAsia="zh-CN"/>
        </w:rPr>
        <w:t xml:space="preserve">Brodie </w:t>
      </w:r>
      <w:r w:rsidR="00957690" w:rsidRPr="00957690">
        <w:rPr>
          <w:rFonts w:eastAsiaTheme="minorEastAsia" w:cs="Times New Roman"/>
          <w:i/>
          <w:iCs/>
          <w:color w:val="FF0000"/>
          <w:szCs w:val="24"/>
          <w:lang w:val="en-US" w:eastAsia="zh-CN"/>
        </w:rPr>
        <w:t>et al.</w:t>
      </w:r>
      <w:r w:rsidR="0092006A" w:rsidRPr="006A51BD">
        <w:rPr>
          <w:rFonts w:eastAsiaTheme="minorEastAsia" w:cs="Times New Roman"/>
          <w:color w:val="FF0000"/>
          <w:szCs w:val="24"/>
          <w:lang w:val="en-US" w:eastAsia="zh-CN"/>
        </w:rPr>
        <w:t>, 201</w:t>
      </w:r>
      <w:r w:rsidR="00D369F5">
        <w:rPr>
          <w:rFonts w:eastAsiaTheme="minorEastAsia" w:cs="Times New Roman"/>
          <w:color w:val="FF0000"/>
          <w:szCs w:val="24"/>
          <w:lang w:val="en-US" w:eastAsia="zh-CN"/>
        </w:rPr>
        <w:t>9</w:t>
      </w:r>
      <w:r w:rsidR="0092006A" w:rsidRPr="006A51BD">
        <w:rPr>
          <w:rFonts w:eastAsiaTheme="minorEastAsia" w:cs="Times New Roman"/>
          <w:color w:val="FF0000"/>
          <w:szCs w:val="24"/>
          <w:lang w:val="en-US" w:eastAsia="zh-CN"/>
        </w:rPr>
        <w:t xml:space="preserve">; </w:t>
      </w:r>
      <w:r w:rsidR="00982F83" w:rsidRPr="006A51BD">
        <w:rPr>
          <w:rFonts w:eastAsiaTheme="minorEastAsia" w:cs="Times New Roman"/>
          <w:color w:val="FF0000"/>
          <w:szCs w:val="24"/>
          <w:lang w:val="en-US" w:eastAsia="zh-CN"/>
        </w:rPr>
        <w:t xml:space="preserve">Fehrer </w:t>
      </w:r>
      <w:r w:rsidR="00957690" w:rsidRPr="00957690">
        <w:rPr>
          <w:rFonts w:eastAsiaTheme="minorEastAsia" w:cs="Times New Roman"/>
          <w:i/>
          <w:iCs/>
          <w:color w:val="FF0000"/>
          <w:szCs w:val="24"/>
          <w:lang w:val="en-US" w:eastAsia="zh-CN"/>
        </w:rPr>
        <w:t>et al.</w:t>
      </w:r>
      <w:r w:rsidR="00982F83" w:rsidRPr="006A51BD">
        <w:rPr>
          <w:rFonts w:eastAsiaTheme="minorEastAsia" w:cs="Times New Roman"/>
          <w:color w:val="FF0000"/>
          <w:szCs w:val="24"/>
          <w:lang w:val="en-US" w:eastAsia="zh-CN"/>
        </w:rPr>
        <w:t>, 2018b).</w:t>
      </w:r>
    </w:p>
    <w:p w14:paraId="7C0098AD" w14:textId="569B9DCD" w:rsidR="00605C48" w:rsidRPr="005F2A26" w:rsidRDefault="00605C48" w:rsidP="003533B7">
      <w:pPr>
        <w:pStyle w:val="Caption"/>
        <w:keepNext/>
        <w:rPr>
          <w:sz w:val="24"/>
          <w:szCs w:val="24"/>
          <w:lang w:val="en-US"/>
        </w:rPr>
      </w:pPr>
      <w:r w:rsidRPr="005F2A26">
        <w:rPr>
          <w:sz w:val="24"/>
          <w:szCs w:val="24"/>
          <w:lang w:val="en-US"/>
        </w:rPr>
        <w:lastRenderedPageBreak/>
        <w:t xml:space="preserve">Figure </w:t>
      </w:r>
      <w:r w:rsidRPr="005F2A26">
        <w:rPr>
          <w:sz w:val="24"/>
          <w:szCs w:val="24"/>
          <w:lang w:val="en-US"/>
        </w:rPr>
        <w:fldChar w:fldCharType="begin"/>
      </w:r>
      <w:r w:rsidRPr="005F2A26">
        <w:rPr>
          <w:sz w:val="24"/>
          <w:szCs w:val="24"/>
          <w:lang w:val="en-US"/>
        </w:rPr>
        <w:instrText xml:space="preserve"> SEQ Figure \* ARABIC </w:instrText>
      </w:r>
      <w:r w:rsidRPr="005F2A26">
        <w:rPr>
          <w:sz w:val="24"/>
          <w:szCs w:val="24"/>
          <w:lang w:val="en-US"/>
        </w:rPr>
        <w:fldChar w:fldCharType="separate"/>
      </w:r>
      <w:r w:rsidRPr="005F2A26">
        <w:rPr>
          <w:noProof/>
          <w:sz w:val="24"/>
          <w:szCs w:val="24"/>
          <w:lang w:val="en-US"/>
        </w:rPr>
        <w:t>2</w:t>
      </w:r>
      <w:r w:rsidRPr="005F2A26">
        <w:rPr>
          <w:sz w:val="24"/>
          <w:szCs w:val="24"/>
          <w:lang w:val="en-US"/>
        </w:rPr>
        <w:fldChar w:fldCharType="end"/>
      </w:r>
      <w:r w:rsidRPr="005F2A26">
        <w:rPr>
          <w:sz w:val="24"/>
          <w:szCs w:val="24"/>
          <w:lang w:val="en-US"/>
        </w:rPr>
        <w:t xml:space="preserve">: </w:t>
      </w:r>
      <w:r w:rsidR="00624693" w:rsidRPr="005F2A26">
        <w:rPr>
          <w:sz w:val="24"/>
          <w:szCs w:val="24"/>
          <w:lang w:val="en-US"/>
        </w:rPr>
        <w:t xml:space="preserve">PO-Engagement </w:t>
      </w:r>
      <w:r w:rsidR="003F4245" w:rsidRPr="005F2A26">
        <w:rPr>
          <w:sz w:val="24"/>
          <w:szCs w:val="24"/>
          <w:lang w:val="en-US"/>
        </w:rPr>
        <w:t>F</w:t>
      </w:r>
      <w:r w:rsidR="00624693" w:rsidRPr="005F2A26">
        <w:rPr>
          <w:sz w:val="24"/>
          <w:szCs w:val="24"/>
          <w:lang w:val="en-US"/>
        </w:rPr>
        <w:t xml:space="preserve">ramework </w:t>
      </w:r>
      <w:r w:rsidR="003F4245" w:rsidRPr="005F2A26">
        <w:rPr>
          <w:sz w:val="24"/>
          <w:szCs w:val="24"/>
          <w:lang w:val="en-US"/>
        </w:rPr>
        <w:t>depicting</w:t>
      </w:r>
      <w:r w:rsidR="00CB055C" w:rsidRPr="005F2A26">
        <w:rPr>
          <w:sz w:val="24"/>
          <w:szCs w:val="24"/>
          <w:lang w:val="en-US"/>
        </w:rPr>
        <w:t xml:space="preserve"> the journey taken by a </w:t>
      </w:r>
      <w:r w:rsidRPr="005F2A26">
        <w:rPr>
          <w:sz w:val="24"/>
          <w:szCs w:val="24"/>
          <w:lang w:val="en-US"/>
        </w:rPr>
        <w:t>user</w:t>
      </w:r>
      <w:r w:rsidR="00CB055C" w:rsidRPr="005F2A26">
        <w:rPr>
          <w:sz w:val="24"/>
          <w:szCs w:val="24"/>
          <w:lang w:val="en-US"/>
        </w:rPr>
        <w:t xml:space="preserve"> in the SE as they </w:t>
      </w:r>
      <w:r w:rsidRPr="005F2A26">
        <w:rPr>
          <w:sz w:val="24"/>
          <w:szCs w:val="24"/>
          <w:lang w:val="en-US"/>
        </w:rPr>
        <w:t>develop</w:t>
      </w:r>
      <w:r w:rsidR="00CB055C" w:rsidRPr="005F2A26">
        <w:rPr>
          <w:sz w:val="24"/>
          <w:szCs w:val="24"/>
          <w:lang w:val="en-US"/>
        </w:rPr>
        <w:t xml:space="preserve"> </w:t>
      </w:r>
      <w:r w:rsidRPr="005F2A26">
        <w:rPr>
          <w:sz w:val="24"/>
          <w:szCs w:val="24"/>
          <w:lang w:val="en-US"/>
        </w:rPr>
        <w:t xml:space="preserve">iPO and </w:t>
      </w:r>
      <w:r w:rsidR="000F2DB0" w:rsidRPr="005F2A26">
        <w:rPr>
          <w:sz w:val="24"/>
          <w:szCs w:val="24"/>
          <w:lang w:val="en-US"/>
        </w:rPr>
        <w:t xml:space="preserve">dyadic engagement, </w:t>
      </w:r>
      <w:r w:rsidR="007B13D0" w:rsidRPr="005F2A26">
        <w:rPr>
          <w:sz w:val="24"/>
          <w:szCs w:val="24"/>
          <w:lang w:val="en-US"/>
        </w:rPr>
        <w:t xml:space="preserve">then </w:t>
      </w:r>
      <w:r w:rsidRPr="005F2A26">
        <w:rPr>
          <w:sz w:val="24"/>
          <w:szCs w:val="24"/>
          <w:lang w:val="en-US"/>
        </w:rPr>
        <w:t xml:space="preserve">cPO and </w:t>
      </w:r>
      <w:r w:rsidR="000F2DB0" w:rsidRPr="005F2A26">
        <w:rPr>
          <w:sz w:val="24"/>
          <w:szCs w:val="24"/>
          <w:lang w:val="en-US"/>
        </w:rPr>
        <w:t>collective engagement</w:t>
      </w:r>
      <w:r w:rsidR="00C67495" w:rsidRPr="005F2A26">
        <w:rPr>
          <w:sz w:val="24"/>
          <w:szCs w:val="24"/>
          <w:lang w:val="en-US"/>
        </w:rPr>
        <w:t>.</w:t>
      </w:r>
    </w:p>
    <w:p w14:paraId="021FD271" w14:textId="7C424E35" w:rsidR="00605C48" w:rsidRPr="005F2A26" w:rsidRDefault="00345041">
      <w:pPr>
        <w:spacing w:after="0" w:line="480" w:lineRule="auto"/>
        <w:rPr>
          <w:rFonts w:eastAsiaTheme="minorEastAsia" w:cs="Times New Roman"/>
          <w:i/>
          <w:iCs/>
          <w:szCs w:val="24"/>
          <w:lang w:val="en-US" w:eastAsia="zh-CN"/>
        </w:rPr>
        <w:sectPr w:rsidR="00605C48" w:rsidRPr="005F2A26" w:rsidSect="00B6463E">
          <w:pgSz w:w="16838" w:h="11906" w:orient="landscape"/>
          <w:pgMar w:top="1440" w:right="1440" w:bottom="1440" w:left="1440" w:header="708" w:footer="708" w:gutter="0"/>
          <w:cols w:space="708"/>
          <w:docGrid w:linePitch="360"/>
        </w:sectPr>
      </w:pPr>
      <w:r>
        <w:rPr>
          <w:noProof/>
        </w:rPr>
        <w:drawing>
          <wp:inline distT="0" distB="0" distL="0" distR="0" wp14:anchorId="16BF4D61" wp14:editId="368CE4B0">
            <wp:extent cx="8863330" cy="463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4636770"/>
                    </a:xfrm>
                    <a:prstGeom prst="rect">
                      <a:avLst/>
                    </a:prstGeom>
                  </pic:spPr>
                </pic:pic>
              </a:graphicData>
            </a:graphic>
          </wp:inline>
        </w:drawing>
      </w:r>
    </w:p>
    <w:p w14:paraId="066DF237" w14:textId="7E9A579B" w:rsidR="008A3CFD" w:rsidRPr="005F2A26" w:rsidRDefault="008A3CFD">
      <w:pPr>
        <w:spacing w:after="0" w:line="480" w:lineRule="auto"/>
        <w:rPr>
          <w:rFonts w:eastAsiaTheme="minorEastAsia" w:cs="Times New Roman"/>
          <w:i/>
          <w:iCs/>
          <w:szCs w:val="24"/>
          <w:lang w:val="en-US" w:eastAsia="zh-CN"/>
        </w:rPr>
      </w:pPr>
      <w:r w:rsidRPr="005F2A26">
        <w:rPr>
          <w:rFonts w:eastAsiaTheme="minorEastAsia" w:cs="Times New Roman"/>
          <w:i/>
          <w:iCs/>
          <w:szCs w:val="24"/>
          <w:lang w:val="en-US" w:eastAsia="zh-CN"/>
        </w:rPr>
        <w:lastRenderedPageBreak/>
        <w:t>Motivations</w:t>
      </w:r>
      <w:r w:rsidR="000B2444" w:rsidRPr="005F2A26">
        <w:rPr>
          <w:rFonts w:eastAsiaTheme="minorEastAsia" w:cs="Times New Roman"/>
          <w:i/>
          <w:iCs/>
          <w:szCs w:val="24"/>
          <w:lang w:val="en-US" w:eastAsia="zh-CN"/>
        </w:rPr>
        <w:t xml:space="preserve"> for the development</w:t>
      </w:r>
      <w:r w:rsidRPr="005F2A26">
        <w:rPr>
          <w:rFonts w:eastAsiaTheme="minorEastAsia" w:cs="Times New Roman"/>
          <w:i/>
          <w:iCs/>
          <w:szCs w:val="24"/>
          <w:lang w:val="en-US" w:eastAsia="zh-CN"/>
        </w:rPr>
        <w:t xml:space="preserve"> of iPO</w:t>
      </w:r>
      <w:r w:rsidR="00D67EBB" w:rsidRPr="005F2A26">
        <w:rPr>
          <w:rFonts w:eastAsiaTheme="minorEastAsia" w:cs="Times New Roman"/>
          <w:i/>
          <w:iCs/>
          <w:szCs w:val="24"/>
          <w:lang w:val="en-US" w:eastAsia="zh-CN"/>
        </w:rPr>
        <w:t xml:space="preserve"> </w:t>
      </w:r>
    </w:p>
    <w:p w14:paraId="16F195FB" w14:textId="35F20BF5" w:rsidR="006A42E9" w:rsidRPr="005F2A26" w:rsidRDefault="00C5237D" w:rsidP="00B6463E">
      <w:pPr>
        <w:spacing w:after="0" w:line="480" w:lineRule="auto"/>
        <w:rPr>
          <w:iCs/>
          <w:lang w:val="en-US"/>
        </w:rPr>
      </w:pPr>
      <w:r>
        <w:rPr>
          <w:rFonts w:eastAsiaTheme="minorEastAsia" w:cs="Times New Roman"/>
          <w:szCs w:val="24"/>
          <w:lang w:val="en-US" w:eastAsia="zh-CN"/>
        </w:rPr>
        <w:t>A</w:t>
      </w:r>
      <w:r w:rsidR="000B2444" w:rsidRPr="005F2A26">
        <w:rPr>
          <w:rFonts w:eastAsiaTheme="minorEastAsia" w:cs="Times New Roman"/>
          <w:szCs w:val="24"/>
          <w:lang w:val="en-US" w:eastAsia="zh-CN"/>
        </w:rPr>
        <w:t xml:space="preserve"> person’s </w:t>
      </w:r>
      <w:r w:rsidR="00BE6285" w:rsidRPr="005F2A26">
        <w:rPr>
          <w:rFonts w:eastAsiaTheme="minorEastAsia" w:cs="Times New Roman"/>
          <w:szCs w:val="24"/>
          <w:lang w:val="en-US" w:eastAsia="zh-CN"/>
        </w:rPr>
        <w:t xml:space="preserve">individual need for a </w:t>
      </w:r>
      <w:r w:rsidR="00BE6285" w:rsidRPr="005F2A26">
        <w:rPr>
          <w:rFonts w:cs="Times New Roman"/>
          <w:i/>
          <w:szCs w:val="24"/>
          <w:lang w:val="en-US"/>
        </w:rPr>
        <w:t xml:space="preserve">sense of self-identity, </w:t>
      </w:r>
      <w:r w:rsidR="00BE6285" w:rsidRPr="005F2A26">
        <w:rPr>
          <w:rFonts w:cs="Times New Roman"/>
          <w:szCs w:val="24"/>
          <w:lang w:val="en-US"/>
        </w:rPr>
        <w:t>s</w:t>
      </w:r>
      <w:r w:rsidR="00BE6285" w:rsidRPr="005F2A26">
        <w:rPr>
          <w:rFonts w:cs="Times New Roman"/>
          <w:i/>
          <w:szCs w:val="24"/>
          <w:lang w:val="en-US"/>
        </w:rPr>
        <w:t xml:space="preserve">ense of self-efficacy and </w:t>
      </w:r>
      <w:proofErr w:type="spellStart"/>
      <w:r w:rsidR="00BE6285" w:rsidRPr="005F2A26">
        <w:rPr>
          <w:rFonts w:cs="Times New Roman"/>
          <w:i/>
          <w:szCs w:val="24"/>
          <w:lang w:val="en-US"/>
        </w:rPr>
        <w:t>effectance</w:t>
      </w:r>
      <w:proofErr w:type="spellEnd"/>
      <w:r w:rsidR="00BE6285" w:rsidRPr="005F2A26">
        <w:rPr>
          <w:rFonts w:cs="Times New Roman"/>
          <w:i/>
          <w:szCs w:val="24"/>
          <w:lang w:val="en-US"/>
        </w:rPr>
        <w:t xml:space="preserve">, </w:t>
      </w:r>
      <w:r w:rsidR="00BE6285" w:rsidRPr="005F2A26">
        <w:rPr>
          <w:rFonts w:cs="Times New Roman"/>
          <w:iCs/>
          <w:szCs w:val="24"/>
          <w:lang w:val="en-US"/>
        </w:rPr>
        <w:t>and</w:t>
      </w:r>
      <w:r w:rsidR="00BE6285" w:rsidRPr="005F2A26">
        <w:rPr>
          <w:rFonts w:cs="Times New Roman"/>
          <w:i/>
          <w:szCs w:val="24"/>
          <w:lang w:val="en-US"/>
        </w:rPr>
        <w:t xml:space="preserve"> sense of belongingne</w:t>
      </w:r>
      <w:r w:rsidR="00BE6285" w:rsidRPr="005F2A26">
        <w:rPr>
          <w:rFonts w:eastAsiaTheme="minorEastAsia" w:cs="Times New Roman"/>
          <w:szCs w:val="24"/>
          <w:lang w:val="en-US" w:eastAsia="zh-CN"/>
        </w:rPr>
        <w:t xml:space="preserve">ss </w:t>
      </w:r>
      <w:r w:rsidR="0029375D" w:rsidRPr="005F2A26">
        <w:rPr>
          <w:rFonts w:eastAsiaTheme="minorEastAsia" w:cs="Times New Roman"/>
          <w:szCs w:val="24"/>
          <w:lang w:val="en-US" w:eastAsia="zh-CN"/>
        </w:rPr>
        <w:t xml:space="preserve">motivate the development of iPO </w:t>
      </w:r>
      <w:r w:rsidR="00BE6285" w:rsidRPr="005F2A26">
        <w:rPr>
          <w:rFonts w:eastAsiaTheme="minorEastAsia" w:cs="Times New Roman"/>
          <w:szCs w:val="24"/>
          <w:lang w:val="en-US" w:eastAsia="zh-CN"/>
        </w:rPr>
        <w:t xml:space="preserve">(Dawkins </w:t>
      </w:r>
      <w:r w:rsidR="00957690" w:rsidRPr="00957690">
        <w:rPr>
          <w:rFonts w:eastAsiaTheme="minorEastAsia" w:cs="Times New Roman"/>
          <w:i/>
          <w:iCs/>
          <w:szCs w:val="24"/>
          <w:lang w:val="en-US" w:eastAsia="zh-CN"/>
        </w:rPr>
        <w:t>et al.</w:t>
      </w:r>
      <w:r w:rsidR="00BE6285" w:rsidRPr="005F2A26">
        <w:rPr>
          <w:rFonts w:eastAsiaTheme="minorEastAsia" w:cs="Times New Roman"/>
          <w:szCs w:val="24"/>
          <w:lang w:val="en-US" w:eastAsia="zh-CN"/>
        </w:rPr>
        <w:t xml:space="preserve">, 2017). </w:t>
      </w:r>
      <w:r w:rsidR="00A51B94" w:rsidRPr="005F2A26">
        <w:rPr>
          <w:rFonts w:eastAsiaTheme="minorEastAsia" w:cs="Times New Roman"/>
          <w:szCs w:val="24"/>
          <w:lang w:val="en-US" w:eastAsia="zh-CN"/>
        </w:rPr>
        <w:t>‘</w:t>
      </w:r>
      <w:r w:rsidR="00964419" w:rsidRPr="005F2A26">
        <w:rPr>
          <w:rFonts w:eastAsiaTheme="minorEastAsia" w:cs="Times New Roman"/>
          <w:szCs w:val="24"/>
          <w:lang w:val="en-US" w:eastAsia="zh-CN"/>
        </w:rPr>
        <w:t>S</w:t>
      </w:r>
      <w:r w:rsidR="00A51B94" w:rsidRPr="005F2A26">
        <w:rPr>
          <w:rFonts w:eastAsiaTheme="minorEastAsia" w:cs="Times New Roman"/>
          <w:szCs w:val="24"/>
          <w:lang w:val="en-US" w:eastAsia="zh-CN"/>
        </w:rPr>
        <w:t>elf-identity’ refers to people’s need to express a sense of self</w:t>
      </w:r>
      <w:r w:rsidR="00E87A4A" w:rsidRPr="005F2A26">
        <w:rPr>
          <w:rFonts w:eastAsiaTheme="minorEastAsia" w:cs="Times New Roman"/>
          <w:szCs w:val="24"/>
          <w:lang w:val="en-US" w:eastAsia="zh-CN"/>
        </w:rPr>
        <w:t xml:space="preserve"> (</w:t>
      </w:r>
      <w:r w:rsidR="00964419" w:rsidRPr="005F2A26">
        <w:rPr>
          <w:rFonts w:cs="Times New Roman"/>
          <w:iCs/>
          <w:szCs w:val="24"/>
          <w:lang w:val="en-US"/>
        </w:rPr>
        <w:t xml:space="preserve">Belk, 1988; </w:t>
      </w:r>
      <w:r w:rsidR="00E87A4A" w:rsidRPr="005F2A26">
        <w:rPr>
          <w:rFonts w:eastAsiaTheme="minorEastAsia" w:cs="Times New Roman"/>
          <w:szCs w:val="24"/>
          <w:lang w:val="en-US" w:eastAsia="zh-CN"/>
        </w:rPr>
        <w:t xml:space="preserve">Pierce </w:t>
      </w:r>
      <w:r w:rsidR="00957690" w:rsidRPr="00957690">
        <w:rPr>
          <w:rFonts w:eastAsiaTheme="minorEastAsia" w:cs="Times New Roman"/>
          <w:i/>
          <w:iCs/>
          <w:szCs w:val="24"/>
          <w:lang w:val="en-US" w:eastAsia="zh-CN"/>
        </w:rPr>
        <w:t>et al.</w:t>
      </w:r>
      <w:r w:rsidR="00E87A4A" w:rsidRPr="005F2A26">
        <w:rPr>
          <w:rFonts w:eastAsiaTheme="minorEastAsia" w:cs="Times New Roman"/>
          <w:szCs w:val="24"/>
          <w:lang w:val="en-US" w:eastAsia="zh-CN"/>
        </w:rPr>
        <w:t>, 2001)</w:t>
      </w:r>
      <w:r w:rsidR="00A51B94" w:rsidRPr="005F2A26">
        <w:rPr>
          <w:rFonts w:eastAsiaTheme="minorEastAsia" w:cs="Times New Roman"/>
          <w:szCs w:val="24"/>
          <w:lang w:val="en-US" w:eastAsia="zh-CN"/>
        </w:rPr>
        <w:t xml:space="preserve">; ‘efficacy and </w:t>
      </w:r>
      <w:proofErr w:type="spellStart"/>
      <w:r w:rsidR="00A51B94" w:rsidRPr="005F2A26">
        <w:rPr>
          <w:rFonts w:eastAsiaTheme="minorEastAsia" w:cs="Times New Roman"/>
          <w:szCs w:val="24"/>
          <w:lang w:val="en-US" w:eastAsia="zh-CN"/>
        </w:rPr>
        <w:t>effectance</w:t>
      </w:r>
      <w:proofErr w:type="spellEnd"/>
      <w:r w:rsidR="00A51B94" w:rsidRPr="005F2A26">
        <w:rPr>
          <w:rFonts w:eastAsiaTheme="minorEastAsia" w:cs="Times New Roman"/>
          <w:szCs w:val="24"/>
          <w:lang w:val="en-US" w:eastAsia="zh-CN"/>
        </w:rPr>
        <w:t>’ relates to people’s need to feel</w:t>
      </w:r>
      <w:r w:rsidR="00C23CC6" w:rsidRPr="005F2A26">
        <w:rPr>
          <w:rFonts w:eastAsiaTheme="minorEastAsia" w:cs="Times New Roman"/>
          <w:szCs w:val="24"/>
          <w:lang w:val="en-US" w:eastAsia="zh-CN"/>
        </w:rPr>
        <w:t xml:space="preserve"> </w:t>
      </w:r>
      <w:r w:rsidR="00A51B94" w:rsidRPr="005F2A26">
        <w:rPr>
          <w:rFonts w:eastAsiaTheme="minorEastAsia" w:cs="Times New Roman"/>
          <w:szCs w:val="24"/>
          <w:lang w:val="en-US" w:eastAsia="zh-CN"/>
        </w:rPr>
        <w:t xml:space="preserve">competent and </w:t>
      </w:r>
      <w:r w:rsidR="00A8486C" w:rsidRPr="005F2A26">
        <w:rPr>
          <w:rFonts w:eastAsiaTheme="minorEastAsia" w:cs="Times New Roman"/>
          <w:szCs w:val="24"/>
          <w:lang w:val="en-US" w:eastAsia="zh-CN"/>
        </w:rPr>
        <w:t>efficacious</w:t>
      </w:r>
      <w:r w:rsidR="00A51B94" w:rsidRPr="005F2A26">
        <w:rPr>
          <w:rFonts w:eastAsiaTheme="minorEastAsia" w:cs="Times New Roman"/>
          <w:szCs w:val="24"/>
          <w:lang w:val="en-US" w:eastAsia="zh-CN"/>
        </w:rPr>
        <w:t xml:space="preserve"> within their environment</w:t>
      </w:r>
      <w:r w:rsidR="00A8486C" w:rsidRPr="005F2A26">
        <w:rPr>
          <w:rFonts w:eastAsiaTheme="minorEastAsia" w:cs="Times New Roman"/>
          <w:szCs w:val="24"/>
          <w:lang w:val="en-US" w:eastAsia="zh-CN"/>
        </w:rPr>
        <w:t xml:space="preserve"> (</w:t>
      </w:r>
      <w:proofErr w:type="spellStart"/>
      <w:r w:rsidR="00A8486C" w:rsidRPr="005F2A26">
        <w:rPr>
          <w:rFonts w:eastAsiaTheme="minorEastAsia" w:cs="Times New Roman"/>
          <w:szCs w:val="24"/>
          <w:lang w:val="en-US" w:eastAsia="zh-CN"/>
        </w:rPr>
        <w:t>Danckwerts</w:t>
      </w:r>
      <w:proofErr w:type="spellEnd"/>
      <w:r w:rsidR="00A8486C" w:rsidRPr="005F2A26">
        <w:rPr>
          <w:rFonts w:eastAsiaTheme="minorEastAsia" w:cs="Times New Roman"/>
          <w:szCs w:val="24"/>
          <w:lang w:val="en-US" w:eastAsia="zh-CN"/>
        </w:rPr>
        <w:t xml:space="preserve"> and Kenning, 2019)</w:t>
      </w:r>
      <w:r w:rsidR="00A51B94" w:rsidRPr="005F2A26">
        <w:rPr>
          <w:rFonts w:eastAsiaTheme="minorEastAsia" w:cs="Times New Roman"/>
          <w:szCs w:val="24"/>
          <w:lang w:val="en-US" w:eastAsia="zh-CN"/>
        </w:rPr>
        <w:t>; and ‘belongingness’ reflects people’s need to feel they have a home, a familiar place</w:t>
      </w:r>
      <w:r w:rsidR="00E87A4A" w:rsidRPr="005F2A26">
        <w:rPr>
          <w:rFonts w:eastAsiaTheme="minorEastAsia" w:cs="Times New Roman"/>
          <w:szCs w:val="24"/>
          <w:lang w:val="en-US" w:eastAsia="zh-CN"/>
        </w:rPr>
        <w:t xml:space="preserve"> (Pierce </w:t>
      </w:r>
      <w:r w:rsidR="00957690" w:rsidRPr="00957690">
        <w:rPr>
          <w:rFonts w:eastAsiaTheme="minorEastAsia" w:cs="Times New Roman"/>
          <w:i/>
          <w:iCs/>
          <w:szCs w:val="24"/>
          <w:lang w:val="en-US" w:eastAsia="zh-CN"/>
        </w:rPr>
        <w:t>et al.</w:t>
      </w:r>
      <w:r w:rsidR="00E87A4A" w:rsidRPr="005F2A26">
        <w:rPr>
          <w:rFonts w:eastAsiaTheme="minorEastAsia" w:cs="Times New Roman"/>
          <w:szCs w:val="24"/>
          <w:lang w:val="en-US" w:eastAsia="zh-CN"/>
        </w:rPr>
        <w:t>, 2003)</w:t>
      </w:r>
      <w:r w:rsidR="0030761C" w:rsidRPr="005F2A26">
        <w:rPr>
          <w:rFonts w:eastAsiaTheme="minorEastAsia" w:cs="Times New Roman"/>
          <w:szCs w:val="24"/>
          <w:lang w:val="en-US" w:eastAsia="zh-CN"/>
        </w:rPr>
        <w:t xml:space="preserve"> </w:t>
      </w:r>
      <w:r w:rsidR="00C67495" w:rsidRPr="005F2A26">
        <w:rPr>
          <w:rFonts w:eastAsiaTheme="minorEastAsia" w:cs="Times New Roman"/>
          <w:szCs w:val="24"/>
          <w:lang w:val="en-US" w:eastAsia="zh-CN"/>
        </w:rPr>
        <w:t xml:space="preserve">with </w:t>
      </w:r>
      <w:r w:rsidR="0030761C" w:rsidRPr="005F2A26">
        <w:rPr>
          <w:rFonts w:eastAsiaTheme="minorEastAsia" w:cs="Times New Roman"/>
          <w:szCs w:val="24"/>
          <w:lang w:val="en-US" w:eastAsia="zh-CN"/>
        </w:rPr>
        <w:t>psychic security (</w:t>
      </w:r>
      <w:proofErr w:type="spellStart"/>
      <w:r w:rsidR="0030761C" w:rsidRPr="005F2A26">
        <w:rPr>
          <w:rFonts w:eastAsiaTheme="minorEastAsia" w:cs="Times New Roman"/>
          <w:szCs w:val="24"/>
          <w:lang w:val="en-US" w:eastAsia="zh-CN"/>
        </w:rPr>
        <w:t>Porteus</w:t>
      </w:r>
      <w:proofErr w:type="spellEnd"/>
      <w:r w:rsidR="0030761C" w:rsidRPr="005F2A26">
        <w:rPr>
          <w:rFonts w:eastAsiaTheme="minorEastAsia" w:cs="Times New Roman"/>
          <w:szCs w:val="24"/>
          <w:lang w:val="en-US" w:eastAsia="zh-CN"/>
        </w:rPr>
        <w:t>, 1976)</w:t>
      </w:r>
      <w:r w:rsidR="00A51B94" w:rsidRPr="005F2A26">
        <w:rPr>
          <w:rFonts w:eastAsiaTheme="minorEastAsia" w:cs="Times New Roman"/>
          <w:szCs w:val="24"/>
          <w:lang w:val="en-US" w:eastAsia="zh-CN"/>
        </w:rPr>
        <w:t xml:space="preserve">. </w:t>
      </w:r>
      <w:r w:rsidR="004F1849" w:rsidRPr="005F2A26">
        <w:rPr>
          <w:rFonts w:eastAsiaTheme="minorEastAsia" w:cs="Times New Roman"/>
          <w:szCs w:val="24"/>
          <w:lang w:val="en-US" w:eastAsia="zh-CN"/>
        </w:rPr>
        <w:t>E</w:t>
      </w:r>
      <w:r w:rsidR="00D67EBB" w:rsidRPr="005F2A26">
        <w:rPr>
          <w:rFonts w:eastAsiaTheme="minorEastAsia" w:cs="Times New Roman"/>
          <w:szCs w:val="24"/>
          <w:lang w:val="en-US" w:eastAsia="zh-CN"/>
        </w:rPr>
        <w:t xml:space="preserve">xtant </w:t>
      </w:r>
      <w:r w:rsidR="004F1849" w:rsidRPr="005F2A26">
        <w:rPr>
          <w:rFonts w:eastAsiaTheme="minorEastAsia" w:cs="Times New Roman"/>
          <w:szCs w:val="24"/>
          <w:lang w:val="en-US" w:eastAsia="zh-CN"/>
        </w:rPr>
        <w:t xml:space="preserve">research into the SE </w:t>
      </w:r>
      <w:r w:rsidR="00D67EBB" w:rsidRPr="005F2A26">
        <w:rPr>
          <w:rFonts w:eastAsiaTheme="minorEastAsia" w:cs="Times New Roman"/>
          <w:szCs w:val="24"/>
          <w:lang w:val="en-US" w:eastAsia="zh-CN"/>
        </w:rPr>
        <w:t xml:space="preserve">offers clues as to what </w:t>
      </w:r>
      <w:r w:rsidR="00BB18B6" w:rsidRPr="005F2A26">
        <w:rPr>
          <w:rFonts w:eastAsiaTheme="minorEastAsia" w:cs="Times New Roman"/>
          <w:szCs w:val="24"/>
          <w:lang w:val="en-US" w:eastAsia="zh-CN"/>
        </w:rPr>
        <w:t xml:space="preserve">these </w:t>
      </w:r>
      <w:r w:rsidR="00D67EBB" w:rsidRPr="005F2A26">
        <w:rPr>
          <w:rFonts w:eastAsiaTheme="minorEastAsia" w:cs="Times New Roman"/>
          <w:szCs w:val="24"/>
          <w:lang w:val="en-US" w:eastAsia="zh-CN"/>
        </w:rPr>
        <w:t xml:space="preserve">human </w:t>
      </w:r>
      <w:r w:rsidR="001343CE" w:rsidRPr="005F2A26">
        <w:rPr>
          <w:rFonts w:eastAsiaTheme="minorEastAsia" w:cs="Times New Roman"/>
          <w:szCs w:val="24"/>
          <w:lang w:val="en-US" w:eastAsia="zh-CN"/>
        </w:rPr>
        <w:t>needs</w:t>
      </w:r>
      <w:r w:rsidR="00BB18B6" w:rsidRPr="005F2A26">
        <w:rPr>
          <w:rFonts w:eastAsiaTheme="minorEastAsia" w:cs="Times New Roman"/>
          <w:szCs w:val="24"/>
          <w:lang w:val="en-US" w:eastAsia="zh-CN"/>
        </w:rPr>
        <w:t xml:space="preserve"> might be</w:t>
      </w:r>
      <w:r w:rsidR="00A8486C" w:rsidRPr="005F2A26">
        <w:rPr>
          <w:rFonts w:eastAsiaTheme="minorEastAsia" w:cs="Times New Roman"/>
          <w:szCs w:val="24"/>
          <w:lang w:val="en-US" w:eastAsia="zh-CN"/>
        </w:rPr>
        <w:t xml:space="preserve">, and how users </w:t>
      </w:r>
      <w:r w:rsidR="0021184E" w:rsidRPr="005F2A26">
        <w:rPr>
          <w:rFonts w:eastAsiaTheme="minorEastAsia" w:cs="Times New Roman"/>
          <w:szCs w:val="24"/>
          <w:lang w:val="en-US" w:eastAsia="zh-CN"/>
        </w:rPr>
        <w:t>are</w:t>
      </w:r>
      <w:r w:rsidR="00A8486C" w:rsidRPr="005F2A26">
        <w:rPr>
          <w:rFonts w:eastAsiaTheme="minorEastAsia" w:cs="Times New Roman"/>
          <w:szCs w:val="24"/>
          <w:lang w:val="en-US" w:eastAsia="zh-CN"/>
        </w:rPr>
        <w:t xml:space="preserve"> drawn to </w:t>
      </w:r>
      <w:r w:rsidR="0021184E" w:rsidRPr="005F2A26">
        <w:rPr>
          <w:rFonts w:eastAsiaTheme="minorEastAsia" w:cs="Times New Roman"/>
          <w:szCs w:val="24"/>
          <w:lang w:val="en-US" w:eastAsia="zh-CN"/>
        </w:rPr>
        <w:t xml:space="preserve">different </w:t>
      </w:r>
      <w:r w:rsidR="00A8486C" w:rsidRPr="005F2A26">
        <w:rPr>
          <w:rFonts w:eastAsiaTheme="minorEastAsia" w:cs="Times New Roman"/>
          <w:szCs w:val="24"/>
          <w:lang w:val="en-US" w:eastAsia="zh-CN"/>
        </w:rPr>
        <w:t>platforms</w:t>
      </w:r>
      <w:r w:rsidR="006A42E9" w:rsidRPr="005F2A26">
        <w:rPr>
          <w:iCs/>
          <w:lang w:val="en-US"/>
        </w:rPr>
        <w:t xml:space="preserve">. </w:t>
      </w:r>
    </w:p>
    <w:p w14:paraId="22C866D9" w14:textId="22346FAA" w:rsidR="00B94D26" w:rsidRPr="005F2A26" w:rsidRDefault="00A4201C" w:rsidP="00B94D26">
      <w:pPr>
        <w:spacing w:after="0" w:line="480" w:lineRule="auto"/>
        <w:ind w:firstLine="720"/>
        <w:rPr>
          <w:iCs/>
          <w:lang w:val="en-US"/>
        </w:rPr>
      </w:pPr>
      <w:r w:rsidRPr="005F2A26">
        <w:rPr>
          <w:iCs/>
          <w:lang w:val="en-US"/>
        </w:rPr>
        <w:t>M</w:t>
      </w:r>
      <w:r w:rsidR="003B4F6E" w:rsidRPr="005F2A26">
        <w:rPr>
          <w:iCs/>
          <w:lang w:val="en-US"/>
        </w:rPr>
        <w:t xml:space="preserve">otivations for users to engage in the SE </w:t>
      </w:r>
      <w:r w:rsidR="006A42E9" w:rsidRPr="005F2A26">
        <w:rPr>
          <w:iCs/>
          <w:lang w:val="en-US"/>
        </w:rPr>
        <w:t xml:space="preserve">are primarily </w:t>
      </w:r>
      <w:r w:rsidR="003B4F6E" w:rsidRPr="005F2A26">
        <w:rPr>
          <w:iCs/>
          <w:lang w:val="en-US"/>
        </w:rPr>
        <w:t xml:space="preserve">economic, </w:t>
      </w:r>
      <w:r w:rsidR="00A8486C" w:rsidRPr="005F2A26">
        <w:rPr>
          <w:iCs/>
          <w:lang w:val="en-US"/>
        </w:rPr>
        <w:t xml:space="preserve">ideological, </w:t>
      </w:r>
      <w:r w:rsidR="003B4F6E" w:rsidRPr="005F2A26">
        <w:rPr>
          <w:iCs/>
          <w:lang w:val="en-US"/>
        </w:rPr>
        <w:t xml:space="preserve">environmental, </w:t>
      </w:r>
      <w:r w:rsidR="00A8486C" w:rsidRPr="005F2A26">
        <w:rPr>
          <w:iCs/>
          <w:lang w:val="en-US"/>
        </w:rPr>
        <w:t xml:space="preserve">or </w:t>
      </w:r>
      <w:r w:rsidR="003B4F6E" w:rsidRPr="005F2A26">
        <w:rPr>
          <w:iCs/>
          <w:lang w:val="en-US"/>
        </w:rPr>
        <w:t>social (</w:t>
      </w:r>
      <w:proofErr w:type="spellStart"/>
      <w:r w:rsidR="003B4F6E" w:rsidRPr="005F2A26">
        <w:rPr>
          <w:iCs/>
          <w:lang w:val="en-US"/>
        </w:rPr>
        <w:t>Böcker</w:t>
      </w:r>
      <w:proofErr w:type="spellEnd"/>
      <w:r w:rsidR="003B4F6E" w:rsidRPr="005F2A26">
        <w:rPr>
          <w:iCs/>
          <w:lang w:val="en-US"/>
        </w:rPr>
        <w:t xml:space="preserve"> and </w:t>
      </w:r>
      <w:proofErr w:type="spellStart"/>
      <w:r w:rsidR="003B4F6E" w:rsidRPr="005F2A26">
        <w:rPr>
          <w:iCs/>
          <w:lang w:val="en-US"/>
        </w:rPr>
        <w:t>Meelen</w:t>
      </w:r>
      <w:proofErr w:type="spellEnd"/>
      <w:r w:rsidR="003B4F6E" w:rsidRPr="005F2A26">
        <w:rPr>
          <w:iCs/>
          <w:lang w:val="en-US"/>
        </w:rPr>
        <w:t xml:space="preserve">, 2017; </w:t>
      </w:r>
      <w:proofErr w:type="spellStart"/>
      <w:r w:rsidR="003B4F6E" w:rsidRPr="005F2A26">
        <w:rPr>
          <w:iCs/>
          <w:lang w:val="en-US"/>
        </w:rPr>
        <w:t>Tussyadiah</w:t>
      </w:r>
      <w:proofErr w:type="spellEnd"/>
      <w:r w:rsidR="003B4F6E" w:rsidRPr="005F2A26">
        <w:rPr>
          <w:iCs/>
          <w:lang w:val="en-US"/>
        </w:rPr>
        <w:t>, 2015).</w:t>
      </w:r>
      <w:r w:rsidR="006A42E9" w:rsidRPr="005F2A26">
        <w:rPr>
          <w:iCs/>
          <w:lang w:val="en-US"/>
        </w:rPr>
        <w:t xml:space="preserve"> </w:t>
      </w:r>
      <w:r w:rsidR="00E8164C" w:rsidRPr="005F2A26">
        <w:rPr>
          <w:iCs/>
          <w:lang w:val="en-US"/>
        </w:rPr>
        <w:t>L</w:t>
      </w:r>
      <w:r w:rsidR="003B4F6E" w:rsidRPr="005F2A26">
        <w:rPr>
          <w:iCs/>
          <w:lang w:val="en-US"/>
        </w:rPr>
        <w:t xml:space="preserve">ike other areas of the economy, the SE features users who </w:t>
      </w:r>
      <w:r w:rsidR="0069128D" w:rsidRPr="005F2A26">
        <w:rPr>
          <w:iCs/>
          <w:lang w:val="en-US"/>
        </w:rPr>
        <w:t>self-</w:t>
      </w:r>
      <w:r w:rsidR="003B4F6E" w:rsidRPr="005F2A26">
        <w:rPr>
          <w:iCs/>
          <w:lang w:val="en-US"/>
        </w:rPr>
        <w:t>identify as budget-conscious or utility maximizers (Hwang and Griffiths, 2017). Others use the SE to express a certain ideological self-identity (</w:t>
      </w:r>
      <w:proofErr w:type="spellStart"/>
      <w:r w:rsidR="003B4F6E" w:rsidRPr="005F2A26">
        <w:rPr>
          <w:iCs/>
          <w:lang w:val="en-US"/>
        </w:rPr>
        <w:t>Hawlitschek</w:t>
      </w:r>
      <w:proofErr w:type="spellEnd"/>
      <w:r w:rsidR="003B4F6E" w:rsidRPr="005F2A26">
        <w:rPr>
          <w:iCs/>
          <w:lang w:val="en-US"/>
        </w:rPr>
        <w:t xml:space="preserve"> </w:t>
      </w:r>
      <w:r w:rsidR="00957690" w:rsidRPr="00957690">
        <w:rPr>
          <w:i/>
          <w:iCs/>
          <w:lang w:val="en-US"/>
        </w:rPr>
        <w:t>et al.</w:t>
      </w:r>
      <w:r w:rsidR="003B4F6E" w:rsidRPr="005F2A26">
        <w:rPr>
          <w:iCs/>
          <w:lang w:val="en-US"/>
        </w:rPr>
        <w:t xml:space="preserve">, 2018), e.g., anti-capitalism, caring for the collective good (Bucher </w:t>
      </w:r>
      <w:r w:rsidR="00957690" w:rsidRPr="00957690">
        <w:rPr>
          <w:i/>
          <w:iCs/>
          <w:lang w:val="en-US"/>
        </w:rPr>
        <w:t>et al.</w:t>
      </w:r>
      <w:r w:rsidR="003B4F6E" w:rsidRPr="005F2A26">
        <w:rPr>
          <w:iCs/>
          <w:lang w:val="en-US"/>
        </w:rPr>
        <w:t>, 2016), sustainability and environmentalism, living an asset-light lifestyle (</w:t>
      </w:r>
      <w:proofErr w:type="spellStart"/>
      <w:r w:rsidR="003B4F6E" w:rsidRPr="005F2A26">
        <w:rPr>
          <w:lang w:val="en-US"/>
        </w:rPr>
        <w:t>Böcker</w:t>
      </w:r>
      <w:proofErr w:type="spellEnd"/>
      <w:r w:rsidR="003B4F6E" w:rsidRPr="005F2A26">
        <w:rPr>
          <w:lang w:val="en-US"/>
        </w:rPr>
        <w:t xml:space="preserve"> </w:t>
      </w:r>
      <w:r w:rsidR="003B4F6E" w:rsidRPr="005F2A26">
        <w:rPr>
          <w:iCs/>
          <w:lang w:val="en-US"/>
        </w:rPr>
        <w:t xml:space="preserve">and </w:t>
      </w:r>
      <w:proofErr w:type="spellStart"/>
      <w:r w:rsidR="003B4F6E" w:rsidRPr="005F2A26">
        <w:rPr>
          <w:iCs/>
          <w:lang w:val="en-US"/>
        </w:rPr>
        <w:t>Meelen</w:t>
      </w:r>
      <w:proofErr w:type="spellEnd"/>
      <w:r w:rsidR="003B4F6E" w:rsidRPr="005F2A26">
        <w:rPr>
          <w:iCs/>
          <w:lang w:val="en-US"/>
        </w:rPr>
        <w:t xml:space="preserve">, 2017), or ethical and ecological citizenship (Schrader, 2007). </w:t>
      </w:r>
      <w:r w:rsidR="00A12165" w:rsidRPr="005F2A26">
        <w:rPr>
          <w:iCs/>
          <w:lang w:val="en-US"/>
        </w:rPr>
        <w:t xml:space="preserve">These </w:t>
      </w:r>
      <w:r w:rsidR="00A8486C" w:rsidRPr="005F2A26">
        <w:rPr>
          <w:iCs/>
          <w:lang w:val="en-US"/>
        </w:rPr>
        <w:t>motivations</w:t>
      </w:r>
      <w:r w:rsidR="003B4F6E" w:rsidRPr="005F2A26">
        <w:rPr>
          <w:iCs/>
          <w:lang w:val="en-US"/>
        </w:rPr>
        <w:t xml:space="preserve"> </w:t>
      </w:r>
      <w:r w:rsidR="00F00CC0" w:rsidRPr="005F2A26">
        <w:rPr>
          <w:iCs/>
          <w:lang w:val="en-US"/>
        </w:rPr>
        <w:t>reflect</w:t>
      </w:r>
      <w:r w:rsidR="003B4F6E" w:rsidRPr="005F2A26">
        <w:rPr>
          <w:iCs/>
          <w:lang w:val="en-US"/>
        </w:rPr>
        <w:t xml:space="preserve"> critical views of excessive consumption, growing environmental awareness</w:t>
      </w:r>
      <w:r w:rsidR="00A12165" w:rsidRPr="005F2A26">
        <w:rPr>
          <w:iCs/>
          <w:lang w:val="en-US"/>
        </w:rPr>
        <w:t>,</w:t>
      </w:r>
      <w:r w:rsidR="003B4F6E" w:rsidRPr="005F2A26">
        <w:rPr>
          <w:iCs/>
          <w:lang w:val="en-US"/>
        </w:rPr>
        <w:t xml:space="preserve"> and values of universalism</w:t>
      </w:r>
      <w:r w:rsidR="00A12165" w:rsidRPr="005F2A26">
        <w:rPr>
          <w:iCs/>
          <w:lang w:val="en-US"/>
        </w:rPr>
        <w:t xml:space="preserve"> and benevolence</w:t>
      </w:r>
      <w:r w:rsidR="003B4F6E" w:rsidRPr="005F2A26">
        <w:rPr>
          <w:iCs/>
          <w:lang w:val="en-US"/>
        </w:rPr>
        <w:t xml:space="preserve"> (</w:t>
      </w:r>
      <w:proofErr w:type="spellStart"/>
      <w:r w:rsidR="003B4F6E" w:rsidRPr="005F2A26">
        <w:rPr>
          <w:iCs/>
          <w:lang w:val="en-US"/>
        </w:rPr>
        <w:t>Botsman</w:t>
      </w:r>
      <w:proofErr w:type="spellEnd"/>
      <w:r w:rsidR="003B4F6E" w:rsidRPr="005F2A26">
        <w:rPr>
          <w:iCs/>
          <w:lang w:val="en-US"/>
        </w:rPr>
        <w:t xml:space="preserve"> and Rogers, 2010;</w:t>
      </w:r>
      <w:r w:rsidR="003B4F6E" w:rsidRPr="005F2A26">
        <w:rPr>
          <w:lang w:val="en-US"/>
        </w:rPr>
        <w:t xml:space="preserve"> </w:t>
      </w:r>
      <w:proofErr w:type="spellStart"/>
      <w:r w:rsidR="003B4F6E" w:rsidRPr="005F2A26">
        <w:rPr>
          <w:iCs/>
          <w:lang w:val="en-US"/>
        </w:rPr>
        <w:t>Hawlitschek</w:t>
      </w:r>
      <w:proofErr w:type="spellEnd"/>
      <w:r w:rsidR="003B4F6E" w:rsidRPr="005F2A26">
        <w:rPr>
          <w:iCs/>
          <w:lang w:val="en-US"/>
        </w:rPr>
        <w:t xml:space="preserve"> </w:t>
      </w:r>
      <w:r w:rsidR="00957690" w:rsidRPr="00957690">
        <w:rPr>
          <w:i/>
          <w:iCs/>
          <w:lang w:val="en-US"/>
        </w:rPr>
        <w:t>et al.</w:t>
      </w:r>
      <w:r w:rsidR="003B4F6E" w:rsidRPr="005F2A26">
        <w:rPr>
          <w:iCs/>
          <w:lang w:val="en-US"/>
        </w:rPr>
        <w:t xml:space="preserve">, 2018; </w:t>
      </w:r>
      <w:proofErr w:type="spellStart"/>
      <w:r w:rsidR="003B4F6E" w:rsidRPr="005F2A26">
        <w:rPr>
          <w:iCs/>
          <w:lang w:val="en-US"/>
        </w:rPr>
        <w:t>Tussyadiah</w:t>
      </w:r>
      <w:proofErr w:type="spellEnd"/>
      <w:r w:rsidR="003B4F6E" w:rsidRPr="005F2A26">
        <w:rPr>
          <w:iCs/>
          <w:lang w:val="en-US"/>
        </w:rPr>
        <w:t>, 2015).</w:t>
      </w:r>
      <w:r w:rsidR="0069128D" w:rsidRPr="005F2A26">
        <w:rPr>
          <w:iCs/>
          <w:lang w:val="en-US"/>
        </w:rPr>
        <w:t xml:space="preserve"> Additionally,</w:t>
      </w:r>
      <w:r w:rsidR="00643781" w:rsidRPr="005F2A26">
        <w:rPr>
          <w:iCs/>
          <w:lang w:val="en-US"/>
        </w:rPr>
        <w:t xml:space="preserve"> </w:t>
      </w:r>
      <w:r w:rsidR="003B4F6E" w:rsidRPr="005F2A26">
        <w:rPr>
          <w:iCs/>
          <w:lang w:val="en-US"/>
        </w:rPr>
        <w:t>younger consumers who self-identify as technologically</w:t>
      </w:r>
      <w:r w:rsidR="00643781" w:rsidRPr="005F2A26">
        <w:rPr>
          <w:iCs/>
          <w:lang w:val="en-US"/>
        </w:rPr>
        <w:t>-</w:t>
      </w:r>
      <w:r w:rsidR="003B4F6E" w:rsidRPr="005F2A26">
        <w:rPr>
          <w:iCs/>
          <w:lang w:val="en-US"/>
        </w:rPr>
        <w:t xml:space="preserve">savvy are </w:t>
      </w:r>
      <w:r w:rsidR="00C07946" w:rsidRPr="005F2A26">
        <w:rPr>
          <w:iCs/>
          <w:lang w:val="en-US"/>
        </w:rPr>
        <w:t xml:space="preserve">sometimes </w:t>
      </w:r>
      <w:r w:rsidR="003B4F6E" w:rsidRPr="005F2A26">
        <w:rPr>
          <w:iCs/>
          <w:lang w:val="en-US"/>
        </w:rPr>
        <w:t>drawn to modern consumption mechanisms</w:t>
      </w:r>
      <w:r w:rsidR="00643781" w:rsidRPr="005F2A26">
        <w:rPr>
          <w:iCs/>
          <w:lang w:val="en-US"/>
        </w:rPr>
        <w:t xml:space="preserve"> so they can</w:t>
      </w:r>
      <w:r w:rsidR="003B4F6E" w:rsidRPr="005F2A26">
        <w:rPr>
          <w:iCs/>
          <w:lang w:val="en-US"/>
        </w:rPr>
        <w:t xml:space="preserve"> enjoy ‘bragging’ rights among their peers (Chen </w:t>
      </w:r>
      <w:r w:rsidR="00957690" w:rsidRPr="00957690">
        <w:rPr>
          <w:i/>
          <w:iCs/>
          <w:lang w:val="en-US"/>
        </w:rPr>
        <w:t>et al.</w:t>
      </w:r>
      <w:r w:rsidR="003B4F6E" w:rsidRPr="005F2A26">
        <w:rPr>
          <w:iCs/>
          <w:lang w:val="en-US"/>
        </w:rPr>
        <w:t>, 2020).</w:t>
      </w:r>
    </w:p>
    <w:p w14:paraId="2F913FA8" w14:textId="12AEEEE2" w:rsidR="00B94D26" w:rsidRPr="005A2C46" w:rsidRDefault="003B4F6E" w:rsidP="003B4F6E">
      <w:pPr>
        <w:spacing w:after="0" w:line="480" w:lineRule="auto"/>
        <w:ind w:firstLine="720"/>
        <w:rPr>
          <w:iCs/>
          <w:color w:val="FF0000"/>
          <w:lang w:val="en-US"/>
        </w:rPr>
      </w:pPr>
      <w:r w:rsidRPr="005F2A26">
        <w:rPr>
          <w:iCs/>
          <w:lang w:val="en-US"/>
        </w:rPr>
        <w:t xml:space="preserve">In the SE, users driven by cost-savings and increased utilitarian value (Hwang and Griffiths, 2017) will </w:t>
      </w:r>
      <w:r w:rsidR="000F72CD" w:rsidRPr="005F2A26">
        <w:rPr>
          <w:iCs/>
          <w:lang w:val="en-US"/>
        </w:rPr>
        <w:t>sense belongingness</w:t>
      </w:r>
      <w:r w:rsidRPr="005F2A26">
        <w:rPr>
          <w:iCs/>
          <w:lang w:val="en-US"/>
        </w:rPr>
        <w:t xml:space="preserve"> </w:t>
      </w:r>
      <w:r w:rsidR="000F72CD" w:rsidRPr="005F2A26">
        <w:rPr>
          <w:iCs/>
          <w:lang w:val="en-US"/>
        </w:rPr>
        <w:t>with targets</w:t>
      </w:r>
      <w:r w:rsidR="003929D8" w:rsidRPr="005F2A26">
        <w:rPr>
          <w:iCs/>
          <w:lang w:val="en-US"/>
        </w:rPr>
        <w:t xml:space="preserve"> (e.g., brands, platforms, services)</w:t>
      </w:r>
      <w:r w:rsidR="000F72CD" w:rsidRPr="005F2A26">
        <w:rPr>
          <w:iCs/>
          <w:lang w:val="en-US"/>
        </w:rPr>
        <w:t xml:space="preserve"> </w:t>
      </w:r>
      <w:r w:rsidRPr="005F2A26">
        <w:rPr>
          <w:iCs/>
          <w:lang w:val="en-US"/>
        </w:rPr>
        <w:t xml:space="preserve">that enable them </w:t>
      </w:r>
      <w:r w:rsidR="000F72CD" w:rsidRPr="005F2A26">
        <w:rPr>
          <w:iCs/>
          <w:lang w:val="en-US"/>
        </w:rPr>
        <w:t>a</w:t>
      </w:r>
      <w:r w:rsidR="007B6B18" w:rsidRPr="005F2A26">
        <w:rPr>
          <w:iCs/>
          <w:lang w:val="en-US"/>
        </w:rPr>
        <w:t xml:space="preserve"> </w:t>
      </w:r>
      <w:r w:rsidR="00A92E29" w:rsidRPr="005F2A26">
        <w:rPr>
          <w:iCs/>
          <w:lang w:val="en-US"/>
        </w:rPr>
        <w:t xml:space="preserve">sense </w:t>
      </w:r>
      <w:r w:rsidR="000F72CD" w:rsidRPr="005F2A26">
        <w:rPr>
          <w:iCs/>
          <w:lang w:val="en-US"/>
        </w:rPr>
        <w:t xml:space="preserve">of </w:t>
      </w:r>
      <w:proofErr w:type="spellStart"/>
      <w:r w:rsidRPr="005F2A26">
        <w:rPr>
          <w:iCs/>
          <w:lang w:val="en-US"/>
        </w:rPr>
        <w:t>eff</w:t>
      </w:r>
      <w:r w:rsidR="007B6B18" w:rsidRPr="005F2A26">
        <w:rPr>
          <w:iCs/>
          <w:lang w:val="en-US"/>
        </w:rPr>
        <w:t>ectance</w:t>
      </w:r>
      <w:proofErr w:type="spellEnd"/>
      <w:r w:rsidRPr="005F2A26">
        <w:rPr>
          <w:iCs/>
          <w:lang w:val="en-US"/>
        </w:rPr>
        <w:t xml:space="preserve"> over</w:t>
      </w:r>
      <w:r w:rsidR="000F72CD" w:rsidRPr="005F2A26">
        <w:rPr>
          <w:iCs/>
          <w:lang w:val="en-US"/>
        </w:rPr>
        <w:t xml:space="preserve"> the</w:t>
      </w:r>
      <w:r w:rsidRPr="005F2A26">
        <w:rPr>
          <w:iCs/>
          <w:lang w:val="en-US"/>
        </w:rPr>
        <w:t xml:space="preserve"> outlay of </w:t>
      </w:r>
      <w:r w:rsidR="00E17F64" w:rsidRPr="005F2A26">
        <w:rPr>
          <w:iCs/>
          <w:lang w:val="en-US"/>
        </w:rPr>
        <w:t xml:space="preserve">resources like time and </w:t>
      </w:r>
      <w:r w:rsidRPr="005F2A26">
        <w:rPr>
          <w:iCs/>
          <w:lang w:val="en-US"/>
        </w:rPr>
        <w:t>money</w:t>
      </w:r>
      <w:r w:rsidR="00E17F64" w:rsidRPr="005F2A26">
        <w:rPr>
          <w:iCs/>
          <w:lang w:val="en-US"/>
        </w:rPr>
        <w:t>.</w:t>
      </w:r>
      <w:r w:rsidR="00A8486C" w:rsidRPr="005F2A26">
        <w:rPr>
          <w:iCs/>
          <w:lang w:val="en-US"/>
        </w:rPr>
        <w:t xml:space="preserve"> T</w:t>
      </w:r>
      <w:r w:rsidR="00B94D26" w:rsidRPr="005F2A26">
        <w:rPr>
          <w:lang w:val="en-US"/>
        </w:rPr>
        <w:t xml:space="preserve">hose </w:t>
      </w:r>
      <w:r w:rsidR="00F7346A" w:rsidRPr="005F2A26">
        <w:rPr>
          <w:iCs/>
          <w:lang w:val="en-US"/>
        </w:rPr>
        <w:t>users</w:t>
      </w:r>
      <w:r w:rsidR="00C222DE" w:rsidRPr="005F2A26">
        <w:rPr>
          <w:iCs/>
          <w:lang w:val="en-US"/>
        </w:rPr>
        <w:t xml:space="preserve"> </w:t>
      </w:r>
      <w:r w:rsidR="00A8486C" w:rsidRPr="005F2A26">
        <w:rPr>
          <w:iCs/>
          <w:lang w:val="en-US"/>
        </w:rPr>
        <w:t xml:space="preserve">who want to feel like they are ‘green’ or eco-friendly (Schor, 2014) </w:t>
      </w:r>
      <w:r w:rsidR="00C222DE" w:rsidRPr="005F2A26">
        <w:rPr>
          <w:iCs/>
          <w:lang w:val="en-US"/>
        </w:rPr>
        <w:t xml:space="preserve">will be drawn to </w:t>
      </w:r>
      <w:r w:rsidR="00C222DE" w:rsidRPr="005F2A26">
        <w:rPr>
          <w:iCs/>
          <w:lang w:val="en-US"/>
        </w:rPr>
        <w:lastRenderedPageBreak/>
        <w:t>targets that enable them</w:t>
      </w:r>
      <w:r w:rsidR="00B94D26" w:rsidRPr="005F2A26">
        <w:rPr>
          <w:iCs/>
          <w:lang w:val="en-US"/>
        </w:rPr>
        <w:t xml:space="preserve"> to </w:t>
      </w:r>
      <w:r w:rsidR="004B4CF5" w:rsidRPr="005F2A26">
        <w:rPr>
          <w:iCs/>
          <w:lang w:val="en-US"/>
        </w:rPr>
        <w:t xml:space="preserve">sense </w:t>
      </w:r>
      <w:proofErr w:type="spellStart"/>
      <w:r w:rsidR="004B4CF5" w:rsidRPr="005F2A26">
        <w:rPr>
          <w:iCs/>
          <w:lang w:val="en-US"/>
        </w:rPr>
        <w:t>effectance</w:t>
      </w:r>
      <w:proofErr w:type="spellEnd"/>
      <w:r w:rsidR="004B4CF5" w:rsidRPr="005F2A26">
        <w:rPr>
          <w:iCs/>
          <w:lang w:val="en-US"/>
        </w:rPr>
        <w:t xml:space="preserve"> over </w:t>
      </w:r>
      <w:r w:rsidR="00B94D26" w:rsidRPr="005F2A26">
        <w:rPr>
          <w:iCs/>
          <w:lang w:val="en-US"/>
        </w:rPr>
        <w:t>reduc</w:t>
      </w:r>
      <w:r w:rsidR="004B4CF5" w:rsidRPr="005F2A26">
        <w:rPr>
          <w:iCs/>
          <w:lang w:val="en-US"/>
        </w:rPr>
        <w:t>tions in</w:t>
      </w:r>
      <w:r w:rsidR="00B94D26" w:rsidRPr="005F2A26">
        <w:rPr>
          <w:iCs/>
          <w:lang w:val="en-US"/>
        </w:rPr>
        <w:t xml:space="preserve"> demand for new </w:t>
      </w:r>
      <w:r w:rsidR="00F7346A" w:rsidRPr="005F2A26">
        <w:rPr>
          <w:iCs/>
          <w:lang w:val="en-US"/>
        </w:rPr>
        <w:t>products</w:t>
      </w:r>
      <w:r w:rsidR="00B94D26" w:rsidRPr="005F2A26">
        <w:rPr>
          <w:iCs/>
          <w:lang w:val="en-US"/>
        </w:rPr>
        <w:t xml:space="preserve"> (Schor, 2014) or natural resources (</w:t>
      </w:r>
      <w:proofErr w:type="spellStart"/>
      <w:r w:rsidR="00B94D26" w:rsidRPr="005F2A26">
        <w:rPr>
          <w:iCs/>
          <w:lang w:val="en-US"/>
        </w:rPr>
        <w:t>Böcker</w:t>
      </w:r>
      <w:proofErr w:type="spellEnd"/>
      <w:r w:rsidR="00B94D26" w:rsidRPr="005F2A26">
        <w:rPr>
          <w:iCs/>
          <w:lang w:val="en-US"/>
        </w:rPr>
        <w:t xml:space="preserve"> and </w:t>
      </w:r>
      <w:proofErr w:type="spellStart"/>
      <w:r w:rsidR="00B94D26" w:rsidRPr="005F2A26">
        <w:rPr>
          <w:iCs/>
          <w:lang w:val="en-US"/>
        </w:rPr>
        <w:t>Meelen</w:t>
      </w:r>
      <w:proofErr w:type="spellEnd"/>
      <w:r w:rsidR="00B94D26" w:rsidRPr="005F2A26">
        <w:rPr>
          <w:iCs/>
          <w:lang w:val="en-US"/>
        </w:rPr>
        <w:t xml:space="preserve">, 2017; </w:t>
      </w:r>
      <w:proofErr w:type="spellStart"/>
      <w:r w:rsidR="00B94D26" w:rsidRPr="005F2A26">
        <w:rPr>
          <w:iCs/>
          <w:lang w:val="en-US"/>
        </w:rPr>
        <w:t>Hamari</w:t>
      </w:r>
      <w:proofErr w:type="spellEnd"/>
      <w:r w:rsidR="00B94D26" w:rsidRPr="005F2A26">
        <w:rPr>
          <w:iCs/>
          <w:lang w:val="en-US"/>
        </w:rPr>
        <w:t xml:space="preserve"> </w:t>
      </w:r>
      <w:r w:rsidR="00957690" w:rsidRPr="00957690">
        <w:rPr>
          <w:i/>
          <w:iCs/>
          <w:lang w:val="en-US"/>
        </w:rPr>
        <w:t>et al.</w:t>
      </w:r>
      <w:r w:rsidR="00B94D26" w:rsidRPr="005F2A26">
        <w:rPr>
          <w:iCs/>
          <w:lang w:val="en-US"/>
        </w:rPr>
        <w:t>, 2015)</w:t>
      </w:r>
      <w:r w:rsidR="006C7249" w:rsidRPr="005F2A26">
        <w:rPr>
          <w:iCs/>
          <w:lang w:val="en-US"/>
        </w:rPr>
        <w:t>;</w:t>
      </w:r>
      <w:r w:rsidR="00B94D26" w:rsidRPr="005F2A26">
        <w:rPr>
          <w:iCs/>
          <w:lang w:val="en-US"/>
        </w:rPr>
        <w:t xml:space="preserve"> </w:t>
      </w:r>
      <w:r w:rsidR="006C7249" w:rsidRPr="005F2A26">
        <w:rPr>
          <w:iCs/>
          <w:lang w:val="en-US"/>
        </w:rPr>
        <w:t>and</w:t>
      </w:r>
      <w:r w:rsidR="00A8486C" w:rsidRPr="005F2A26">
        <w:rPr>
          <w:iCs/>
          <w:lang w:val="en-US"/>
        </w:rPr>
        <w:t xml:space="preserve"> those who identify as pro-social (</w:t>
      </w:r>
      <w:proofErr w:type="spellStart"/>
      <w:r w:rsidR="00A8486C" w:rsidRPr="005F2A26">
        <w:rPr>
          <w:iCs/>
          <w:lang w:val="en-US"/>
        </w:rPr>
        <w:t>Möhlmann</w:t>
      </w:r>
      <w:proofErr w:type="spellEnd"/>
      <w:r w:rsidR="00A8486C" w:rsidRPr="005F2A26">
        <w:rPr>
          <w:iCs/>
          <w:lang w:val="en-US"/>
        </w:rPr>
        <w:t xml:space="preserve">, 2015) may </w:t>
      </w:r>
      <w:r w:rsidR="00676B5B" w:rsidRPr="005F2A26">
        <w:rPr>
          <w:iCs/>
          <w:lang w:val="en-US"/>
        </w:rPr>
        <w:t>feel belongingness</w:t>
      </w:r>
      <w:r w:rsidR="00503530" w:rsidRPr="005F2A26">
        <w:rPr>
          <w:iCs/>
          <w:lang w:val="en-US"/>
        </w:rPr>
        <w:t xml:space="preserve"> a</w:t>
      </w:r>
      <w:r w:rsidR="005968BF" w:rsidRPr="005F2A26">
        <w:rPr>
          <w:iCs/>
          <w:lang w:val="en-US"/>
        </w:rPr>
        <w:t>n</w:t>
      </w:r>
      <w:r w:rsidR="00503530" w:rsidRPr="005F2A26">
        <w:rPr>
          <w:iCs/>
          <w:lang w:val="en-US"/>
        </w:rPr>
        <w:t xml:space="preserve">d </w:t>
      </w:r>
      <w:proofErr w:type="spellStart"/>
      <w:r w:rsidR="00503530" w:rsidRPr="005F2A26">
        <w:rPr>
          <w:iCs/>
          <w:lang w:val="en-US"/>
        </w:rPr>
        <w:t>effectance</w:t>
      </w:r>
      <w:proofErr w:type="spellEnd"/>
      <w:r w:rsidR="00503530" w:rsidRPr="005F2A26">
        <w:rPr>
          <w:iCs/>
          <w:lang w:val="en-US"/>
        </w:rPr>
        <w:t xml:space="preserve"> </w:t>
      </w:r>
      <w:r w:rsidR="00A37F97" w:rsidRPr="005F2A26">
        <w:rPr>
          <w:iCs/>
          <w:lang w:val="en-US"/>
        </w:rPr>
        <w:t>with</w:t>
      </w:r>
      <w:r w:rsidR="00A8486C" w:rsidRPr="005F2A26">
        <w:rPr>
          <w:iCs/>
          <w:lang w:val="en-US"/>
        </w:rPr>
        <w:t xml:space="preserve"> community platforms (</w:t>
      </w:r>
      <w:proofErr w:type="spellStart"/>
      <w:r w:rsidR="00A8486C" w:rsidRPr="005F2A26">
        <w:rPr>
          <w:iCs/>
          <w:lang w:val="en-US"/>
        </w:rPr>
        <w:t>Hamari</w:t>
      </w:r>
      <w:proofErr w:type="spellEnd"/>
      <w:r w:rsidR="00A8486C" w:rsidRPr="005F2A26">
        <w:rPr>
          <w:iCs/>
          <w:lang w:val="en-US"/>
        </w:rPr>
        <w:t xml:space="preserve"> </w:t>
      </w:r>
      <w:r w:rsidR="00957690" w:rsidRPr="00957690">
        <w:rPr>
          <w:i/>
          <w:iCs/>
          <w:lang w:val="en-US"/>
        </w:rPr>
        <w:t>et al.</w:t>
      </w:r>
      <w:r w:rsidR="00A8486C" w:rsidRPr="005F2A26">
        <w:rPr>
          <w:iCs/>
          <w:lang w:val="en-US"/>
        </w:rPr>
        <w:t>, 2015)</w:t>
      </w:r>
      <w:r w:rsidR="00E45456" w:rsidRPr="005F2A26">
        <w:rPr>
          <w:iCs/>
          <w:lang w:val="en-US"/>
        </w:rPr>
        <w:t xml:space="preserve"> like</w:t>
      </w:r>
      <w:r w:rsidR="00A8486C" w:rsidRPr="005F2A26">
        <w:rPr>
          <w:iCs/>
          <w:lang w:val="en-US"/>
        </w:rPr>
        <w:t xml:space="preserve"> toy libraries (</w:t>
      </w:r>
      <w:proofErr w:type="spellStart"/>
      <w:r w:rsidR="00A8486C" w:rsidRPr="005F2A26">
        <w:rPr>
          <w:iCs/>
          <w:lang w:val="en-US"/>
        </w:rPr>
        <w:t>Ozanne</w:t>
      </w:r>
      <w:proofErr w:type="spellEnd"/>
      <w:r w:rsidR="00A8486C" w:rsidRPr="005F2A26">
        <w:rPr>
          <w:iCs/>
          <w:lang w:val="en-US"/>
        </w:rPr>
        <w:t xml:space="preserve"> and </w:t>
      </w:r>
      <w:proofErr w:type="spellStart"/>
      <w:r w:rsidR="00A8486C" w:rsidRPr="005F2A26">
        <w:rPr>
          <w:iCs/>
          <w:lang w:val="en-US"/>
        </w:rPr>
        <w:t>Ozanne</w:t>
      </w:r>
      <w:proofErr w:type="spellEnd"/>
      <w:r w:rsidR="00A8486C" w:rsidRPr="005F2A26">
        <w:rPr>
          <w:iCs/>
          <w:lang w:val="en-US"/>
        </w:rPr>
        <w:t>, 2011).</w:t>
      </w:r>
      <w:r w:rsidR="00D93A5E" w:rsidRPr="005F2A26">
        <w:rPr>
          <w:iCs/>
          <w:lang w:val="en-US"/>
        </w:rPr>
        <w:t xml:space="preserve"> </w:t>
      </w:r>
      <w:r w:rsidR="00315601" w:rsidRPr="005A2C46">
        <w:rPr>
          <w:iCs/>
          <w:color w:val="FF0000"/>
          <w:lang w:val="en-US"/>
        </w:rPr>
        <w:t>Re</w:t>
      </w:r>
      <w:r w:rsidR="00277019" w:rsidRPr="005A2C46">
        <w:rPr>
          <w:iCs/>
          <w:color w:val="FF0000"/>
          <w:lang w:val="en-US"/>
        </w:rPr>
        <w:t xml:space="preserve">garding </w:t>
      </w:r>
      <w:r w:rsidR="004F69F0" w:rsidRPr="005A2C46">
        <w:rPr>
          <w:iCs/>
          <w:color w:val="FF0000"/>
          <w:lang w:val="en-US"/>
        </w:rPr>
        <w:t>the engagement literature,</w:t>
      </w:r>
      <w:r w:rsidR="007A1387" w:rsidRPr="005A2C46">
        <w:rPr>
          <w:iCs/>
          <w:color w:val="FF0000"/>
          <w:lang w:val="en-US"/>
        </w:rPr>
        <w:t xml:space="preserve"> </w:t>
      </w:r>
      <w:r w:rsidR="00ED7EE6" w:rsidRPr="005A2C46">
        <w:rPr>
          <w:iCs/>
          <w:color w:val="FF0000"/>
          <w:lang w:val="en-US"/>
        </w:rPr>
        <w:t>motivations for the development of iPO</w:t>
      </w:r>
      <w:r w:rsidR="00BC6E34" w:rsidRPr="005A2C46">
        <w:rPr>
          <w:iCs/>
          <w:color w:val="FF0000"/>
          <w:lang w:val="en-US"/>
        </w:rPr>
        <w:t xml:space="preserve"> </w:t>
      </w:r>
      <w:r w:rsidR="00E55F75" w:rsidRPr="005A2C46">
        <w:rPr>
          <w:iCs/>
          <w:color w:val="FF0000"/>
          <w:lang w:val="en-US"/>
        </w:rPr>
        <w:t>are</w:t>
      </w:r>
      <w:r w:rsidR="00E10197" w:rsidRPr="005A2C46">
        <w:rPr>
          <w:iCs/>
          <w:color w:val="FF0000"/>
          <w:lang w:val="en-US"/>
        </w:rPr>
        <w:t xml:space="preserve"> </w:t>
      </w:r>
      <w:r w:rsidR="00BC6E34" w:rsidRPr="005A2C46">
        <w:rPr>
          <w:iCs/>
          <w:color w:val="FF0000"/>
          <w:lang w:val="en-US"/>
        </w:rPr>
        <w:t>satisfied through f</w:t>
      </w:r>
      <w:r w:rsidR="0083123D" w:rsidRPr="005A2C46">
        <w:rPr>
          <w:iCs/>
          <w:color w:val="FF0000"/>
          <w:lang w:val="en-US"/>
        </w:rPr>
        <w:t xml:space="preserve">actors such as </w:t>
      </w:r>
      <w:r w:rsidR="004F69F0" w:rsidRPr="005A2C46">
        <w:rPr>
          <w:iCs/>
          <w:color w:val="FF0000"/>
          <w:lang w:val="en-US"/>
        </w:rPr>
        <w:t>alignment in values</w:t>
      </w:r>
      <w:r w:rsidR="003030E5" w:rsidRPr="005A2C46">
        <w:rPr>
          <w:iCs/>
          <w:color w:val="FF0000"/>
          <w:lang w:val="en-US"/>
        </w:rPr>
        <w:t xml:space="preserve"> (</w:t>
      </w:r>
      <w:r w:rsidR="00C11352" w:rsidRPr="005A2C46">
        <w:rPr>
          <w:iCs/>
          <w:color w:val="FF0000"/>
          <w:lang w:val="en-US"/>
        </w:rPr>
        <w:t xml:space="preserve">Chan </w:t>
      </w:r>
      <w:r w:rsidR="00957690" w:rsidRPr="00957690">
        <w:rPr>
          <w:i/>
          <w:iCs/>
          <w:color w:val="FF0000"/>
          <w:lang w:val="en-US"/>
        </w:rPr>
        <w:t>et al.</w:t>
      </w:r>
      <w:r w:rsidR="00C11352" w:rsidRPr="005A2C46">
        <w:rPr>
          <w:iCs/>
          <w:color w:val="FF0000"/>
          <w:lang w:val="en-US"/>
        </w:rPr>
        <w:t>, 2014)</w:t>
      </w:r>
      <w:r w:rsidR="005912AF" w:rsidRPr="005A2C46">
        <w:rPr>
          <w:iCs/>
          <w:color w:val="FF0000"/>
          <w:lang w:val="en-US"/>
        </w:rPr>
        <w:t xml:space="preserve">, </w:t>
      </w:r>
      <w:r w:rsidR="00E55F75" w:rsidRPr="005A2C46">
        <w:rPr>
          <w:iCs/>
          <w:color w:val="FF0000"/>
          <w:lang w:val="en-US"/>
        </w:rPr>
        <w:t>attitude</w:t>
      </w:r>
      <w:r w:rsidR="00C60C20" w:rsidRPr="005A2C46">
        <w:rPr>
          <w:iCs/>
          <w:color w:val="FF0000"/>
          <w:lang w:val="en-US"/>
        </w:rPr>
        <w:t xml:space="preserve"> (Kumar </w:t>
      </w:r>
      <w:r w:rsidR="00957690" w:rsidRPr="00957690">
        <w:rPr>
          <w:i/>
          <w:iCs/>
          <w:color w:val="FF0000"/>
          <w:lang w:val="en-US"/>
        </w:rPr>
        <w:t>et al.</w:t>
      </w:r>
      <w:r w:rsidR="00C60C20" w:rsidRPr="005A2C46">
        <w:rPr>
          <w:iCs/>
          <w:color w:val="FF0000"/>
          <w:lang w:val="en-US"/>
        </w:rPr>
        <w:t>, 2010)</w:t>
      </w:r>
      <w:r w:rsidR="00F02ADC" w:rsidRPr="005A2C46">
        <w:rPr>
          <w:iCs/>
          <w:color w:val="FF0000"/>
          <w:lang w:val="en-US"/>
        </w:rPr>
        <w:t xml:space="preserve"> </w:t>
      </w:r>
      <w:r w:rsidR="005912AF" w:rsidRPr="005A2C46">
        <w:rPr>
          <w:iCs/>
          <w:color w:val="FF0000"/>
          <w:lang w:val="en-US"/>
        </w:rPr>
        <w:t xml:space="preserve">and </w:t>
      </w:r>
      <w:r w:rsidR="00F02ADC" w:rsidRPr="005A2C46">
        <w:rPr>
          <w:iCs/>
          <w:color w:val="FF0000"/>
          <w:lang w:val="en-US"/>
        </w:rPr>
        <w:t xml:space="preserve">brand value </w:t>
      </w:r>
      <w:r w:rsidR="00924B2B" w:rsidRPr="005A2C46">
        <w:rPr>
          <w:iCs/>
          <w:color w:val="FF0000"/>
          <w:lang w:val="en-US"/>
        </w:rPr>
        <w:t xml:space="preserve">(Leventhal </w:t>
      </w:r>
      <w:r w:rsidR="00957690" w:rsidRPr="00957690">
        <w:rPr>
          <w:i/>
          <w:iCs/>
          <w:color w:val="FF0000"/>
          <w:lang w:val="en-US"/>
        </w:rPr>
        <w:t>et al.</w:t>
      </w:r>
      <w:r w:rsidR="00924B2B" w:rsidRPr="005A2C46">
        <w:rPr>
          <w:iCs/>
          <w:color w:val="FF0000"/>
          <w:lang w:val="en-US"/>
        </w:rPr>
        <w:t>, 2014)</w:t>
      </w:r>
      <w:r w:rsidR="00F02ADC" w:rsidRPr="005A2C46">
        <w:rPr>
          <w:iCs/>
          <w:color w:val="FF0000"/>
          <w:lang w:val="en-US"/>
        </w:rPr>
        <w:t>.</w:t>
      </w:r>
    </w:p>
    <w:p w14:paraId="40C46756" w14:textId="77777777" w:rsidR="00E708DC" w:rsidRPr="005F2A26" w:rsidRDefault="00E708DC" w:rsidP="00C222DE">
      <w:pPr>
        <w:spacing w:after="0" w:line="480" w:lineRule="auto"/>
        <w:ind w:firstLine="720"/>
        <w:rPr>
          <w:iCs/>
          <w:lang w:val="en-US"/>
        </w:rPr>
      </w:pPr>
    </w:p>
    <w:p w14:paraId="6D65E549" w14:textId="1DA43ECA" w:rsidR="00E10DD1" w:rsidRPr="005F2A26" w:rsidRDefault="0004574B" w:rsidP="00C67495">
      <w:pPr>
        <w:keepNext/>
        <w:spacing w:after="0" w:line="480" w:lineRule="auto"/>
        <w:rPr>
          <w:rFonts w:eastAsiaTheme="minorEastAsia" w:cs="Times New Roman"/>
          <w:szCs w:val="24"/>
          <w:lang w:val="en-US" w:eastAsia="zh-CN"/>
        </w:rPr>
      </w:pPr>
      <w:r w:rsidRPr="005F2A26">
        <w:rPr>
          <w:rFonts w:cs="Times New Roman"/>
          <w:bCs/>
          <w:i/>
          <w:iCs/>
          <w:szCs w:val="24"/>
          <w:lang w:val="en-US"/>
        </w:rPr>
        <w:t xml:space="preserve">Causes of </w:t>
      </w:r>
      <w:r w:rsidR="00F37B27" w:rsidRPr="005F2A26">
        <w:rPr>
          <w:rFonts w:cs="Times New Roman"/>
          <w:bCs/>
          <w:i/>
          <w:iCs/>
          <w:szCs w:val="24"/>
          <w:lang w:val="en-US"/>
        </w:rPr>
        <w:t>iPO</w:t>
      </w:r>
      <w:r w:rsidR="00F602F6" w:rsidRPr="005F2A26">
        <w:rPr>
          <w:rFonts w:eastAsiaTheme="minorEastAsia" w:cs="Times New Roman"/>
          <w:szCs w:val="24"/>
          <w:lang w:val="en-US" w:eastAsia="zh-CN"/>
        </w:rPr>
        <w:t xml:space="preserve"> </w:t>
      </w:r>
    </w:p>
    <w:p w14:paraId="3F92BB8C" w14:textId="5BD08AC2" w:rsidR="00C67495" w:rsidRPr="005F2A26" w:rsidRDefault="00C67495" w:rsidP="00C67495">
      <w:pPr>
        <w:keepNext/>
        <w:spacing w:after="0" w:line="480" w:lineRule="auto"/>
        <w:rPr>
          <w:rFonts w:eastAsiaTheme="minorEastAsia" w:cs="Times New Roman"/>
          <w:iCs/>
          <w:szCs w:val="24"/>
          <w:lang w:val="en-US" w:eastAsia="zh-CN"/>
        </w:rPr>
      </w:pPr>
      <w:r w:rsidRPr="005F2A26">
        <w:rPr>
          <w:rFonts w:eastAsiaTheme="minorEastAsia" w:cs="Times New Roman"/>
          <w:iCs/>
          <w:szCs w:val="24"/>
          <w:lang w:val="en-US" w:eastAsia="zh-CN"/>
        </w:rPr>
        <w:t>While the motivators for iPO explain why iPO develops, there are also three interrelated causes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2015) or ‘routes’ (Pierce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2001) that explain how iPO develops – </w:t>
      </w:r>
      <w:r w:rsidRPr="005F2A26">
        <w:rPr>
          <w:rFonts w:eastAsiaTheme="minorEastAsia" w:cs="Times New Roman"/>
          <w:i/>
          <w:szCs w:val="24"/>
          <w:lang w:val="en-US" w:eastAsia="zh-CN"/>
        </w:rPr>
        <w:t>controlling the target, coming to intimately know the target</w:t>
      </w:r>
      <w:r w:rsidRPr="005F2A26">
        <w:rPr>
          <w:rFonts w:eastAsiaTheme="minorEastAsia" w:cs="Times New Roman"/>
          <w:iCs/>
          <w:szCs w:val="24"/>
          <w:lang w:val="en-US" w:eastAsia="zh-CN"/>
        </w:rPr>
        <w:t xml:space="preserve">, and </w:t>
      </w:r>
      <w:r w:rsidRPr="005F2A26">
        <w:rPr>
          <w:rFonts w:eastAsiaTheme="minorEastAsia" w:cs="Times New Roman"/>
          <w:i/>
          <w:szCs w:val="24"/>
          <w:lang w:val="en-US" w:eastAsia="zh-CN"/>
        </w:rPr>
        <w:t>investing the self in the target</w:t>
      </w:r>
      <w:r w:rsidRPr="005F2A26">
        <w:rPr>
          <w:rFonts w:eastAsiaTheme="minorEastAsia" w:cs="Times New Roman"/>
          <w:iCs/>
          <w:szCs w:val="24"/>
          <w:lang w:val="en-US" w:eastAsia="zh-CN"/>
        </w:rPr>
        <w:t xml:space="preserve"> (Pierce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2001, 2003). These causes come about from interactions with, or usage of, the target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2015). ‘Controlling the target’ and having a sense of command and possession reflects a user’s ability to exert control</w:t>
      </w:r>
      <w:r w:rsidR="001A301D" w:rsidRPr="005F2A26">
        <w:rPr>
          <w:rFonts w:eastAsiaTheme="minorEastAsia" w:cs="Times New Roman"/>
          <w:iCs/>
          <w:szCs w:val="24"/>
          <w:lang w:val="en-US" w:eastAsia="zh-CN"/>
        </w:rPr>
        <w:t>,</w:t>
      </w:r>
      <w:r w:rsidR="009825DB" w:rsidRPr="005F2A26">
        <w:rPr>
          <w:rFonts w:eastAsiaTheme="minorEastAsia" w:cs="Times New Roman"/>
          <w:iCs/>
          <w:szCs w:val="24"/>
          <w:lang w:val="en-US" w:eastAsia="zh-CN"/>
        </w:rPr>
        <w:t xml:space="preserve"> enabling </w:t>
      </w:r>
      <w:r w:rsidRPr="005F2A26">
        <w:rPr>
          <w:rFonts w:eastAsiaTheme="minorEastAsia" w:cs="Times New Roman"/>
          <w:iCs/>
          <w:szCs w:val="24"/>
          <w:lang w:val="en-US" w:eastAsia="zh-CN"/>
        </w:rPr>
        <w:t xml:space="preserve">people to experience pleasure through a feeling of “being the cause” for change (Pierce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2003, p.89). ‘Coming to intimately know the target’ derives from an individual’s ongoing association with, and growing knowledge of, the target (Pierce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2001). Finally, because people feel they own what they produce, create, or </w:t>
      </w:r>
      <w:proofErr w:type="spellStart"/>
      <w:r w:rsidR="00AD6C0E" w:rsidRPr="005F2A26">
        <w:rPr>
          <w:rFonts w:eastAsiaTheme="minorEastAsia" w:cs="Times New Roman"/>
          <w:iCs/>
          <w:szCs w:val="24"/>
          <w:lang w:val="en-US" w:eastAsia="zh-CN"/>
        </w:rPr>
        <w:t>labour</w:t>
      </w:r>
      <w:proofErr w:type="spellEnd"/>
      <w:r w:rsidRPr="005F2A26">
        <w:rPr>
          <w:rFonts w:eastAsiaTheme="minorEastAsia" w:cs="Times New Roman"/>
          <w:iCs/>
          <w:szCs w:val="24"/>
          <w:lang w:val="en-US" w:eastAsia="zh-CN"/>
        </w:rPr>
        <w:t xml:space="preserve"> over, ‘investing the self in the target’ involves people investing their attention, time, and effort into their interactions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2015). </w:t>
      </w:r>
    </w:p>
    <w:p w14:paraId="7B31B708" w14:textId="7DB59CE3" w:rsidR="00C67495" w:rsidRPr="005F2A26" w:rsidRDefault="00C67495" w:rsidP="000D5A20">
      <w:pPr>
        <w:keepNext/>
        <w:spacing w:after="0" w:line="480" w:lineRule="auto"/>
        <w:ind w:firstLine="720"/>
        <w:rPr>
          <w:rFonts w:eastAsiaTheme="minorEastAsia" w:cs="Times New Roman"/>
          <w:iCs/>
          <w:szCs w:val="24"/>
          <w:lang w:val="en-US" w:eastAsia="zh-CN"/>
        </w:rPr>
      </w:pPr>
      <w:r w:rsidRPr="005F2A26">
        <w:rPr>
          <w:rFonts w:eastAsiaTheme="minorEastAsia" w:cs="Times New Roman"/>
          <w:iCs/>
          <w:szCs w:val="24"/>
          <w:lang w:val="en-US" w:eastAsia="zh-CN"/>
        </w:rPr>
        <w:t>Boundary conditions for what can become a target of iPO play a part in these interactions. A</w:t>
      </w:r>
      <w:r w:rsidR="006C7249" w:rsidRPr="005F2A26">
        <w:rPr>
          <w:rFonts w:eastAsiaTheme="minorEastAsia" w:cs="Times New Roman"/>
          <w:iCs/>
          <w:szCs w:val="24"/>
          <w:lang w:val="en-US" w:eastAsia="zh-CN"/>
        </w:rPr>
        <w:t>s established earlier,</w:t>
      </w:r>
      <w:r w:rsidRPr="005F2A26">
        <w:rPr>
          <w:rFonts w:eastAsiaTheme="minorEastAsia" w:cs="Times New Roman"/>
          <w:iCs/>
          <w:szCs w:val="24"/>
          <w:lang w:val="en-US" w:eastAsia="zh-CN"/>
        </w:rPr>
        <w:t xml:space="preserve"> target</w:t>
      </w:r>
      <w:r w:rsidR="006C7249" w:rsidRPr="005F2A26">
        <w:rPr>
          <w:rFonts w:eastAsiaTheme="minorEastAsia" w:cs="Times New Roman"/>
          <w:iCs/>
          <w:szCs w:val="24"/>
          <w:lang w:val="en-US" w:eastAsia="zh-CN"/>
        </w:rPr>
        <w:t>s</w:t>
      </w:r>
      <w:r w:rsidRPr="005F2A26">
        <w:rPr>
          <w:rFonts w:eastAsiaTheme="minorEastAsia" w:cs="Times New Roman"/>
          <w:iCs/>
          <w:szCs w:val="24"/>
          <w:lang w:val="en-US" w:eastAsia="zh-CN"/>
        </w:rPr>
        <w:t xml:space="preserve"> may be either tangible or intangible in nature (</w:t>
      </w:r>
      <w:proofErr w:type="spellStart"/>
      <w:r w:rsidRPr="005F2A26">
        <w:rPr>
          <w:rFonts w:eastAsiaTheme="minorEastAsia" w:cs="Times New Roman"/>
          <w:iCs/>
          <w:szCs w:val="24"/>
          <w:lang w:val="en-US" w:eastAsia="zh-CN"/>
        </w:rPr>
        <w:t>Dan</w:t>
      </w:r>
      <w:r w:rsidR="00B237F7" w:rsidRPr="005F2A26">
        <w:rPr>
          <w:rFonts w:eastAsiaTheme="minorEastAsia" w:cs="Times New Roman"/>
          <w:iCs/>
          <w:szCs w:val="24"/>
          <w:lang w:val="en-US" w:eastAsia="zh-CN"/>
        </w:rPr>
        <w:t>c</w:t>
      </w:r>
      <w:r w:rsidRPr="005F2A26">
        <w:rPr>
          <w:rFonts w:eastAsiaTheme="minorEastAsia" w:cs="Times New Roman"/>
          <w:iCs/>
          <w:szCs w:val="24"/>
          <w:lang w:val="en-US" w:eastAsia="zh-CN"/>
        </w:rPr>
        <w:t>kwerts</w:t>
      </w:r>
      <w:proofErr w:type="spellEnd"/>
      <w:r w:rsidRPr="005F2A26">
        <w:rPr>
          <w:rFonts w:eastAsiaTheme="minorEastAsia" w:cs="Times New Roman"/>
          <w:iCs/>
          <w:szCs w:val="24"/>
          <w:lang w:val="en-US" w:eastAsia="zh-CN"/>
        </w:rPr>
        <w:t xml:space="preserve"> and Kenning, 2019; </w:t>
      </w:r>
      <w:proofErr w:type="spellStart"/>
      <w:r w:rsidRPr="005F2A26">
        <w:rPr>
          <w:rFonts w:eastAsiaTheme="minorEastAsia" w:cs="Times New Roman"/>
          <w:iCs/>
          <w:szCs w:val="24"/>
          <w:lang w:val="en-US" w:eastAsia="zh-CN"/>
        </w:rPr>
        <w:t>Fritze</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2020; Pierce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2003). Hence, platforms or brands, services offered, or personal reputations and ratings are all potential targets of iPO (e.g., </w:t>
      </w:r>
      <w:proofErr w:type="spellStart"/>
      <w:r w:rsidRPr="005F2A26">
        <w:rPr>
          <w:rFonts w:eastAsiaTheme="minorEastAsia" w:cs="Times New Roman"/>
          <w:iCs/>
          <w:szCs w:val="24"/>
          <w:lang w:val="en-US" w:eastAsia="zh-CN"/>
        </w:rPr>
        <w:t>Fritze</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2020). A</w:t>
      </w:r>
      <w:r w:rsidR="00062C38" w:rsidRPr="005F2A26">
        <w:rPr>
          <w:rFonts w:eastAsiaTheme="minorEastAsia" w:cs="Times New Roman"/>
          <w:iCs/>
          <w:szCs w:val="24"/>
          <w:lang w:val="en-US" w:eastAsia="zh-CN"/>
        </w:rPr>
        <w:t xml:space="preserve"> </w:t>
      </w:r>
      <w:r w:rsidRPr="005F2A26">
        <w:rPr>
          <w:rFonts w:eastAsiaTheme="minorEastAsia" w:cs="Times New Roman"/>
          <w:iCs/>
          <w:szCs w:val="24"/>
          <w:lang w:val="en-US" w:eastAsia="zh-CN"/>
        </w:rPr>
        <w:t>target</w:t>
      </w:r>
      <w:r w:rsidR="00062C38" w:rsidRPr="005F2A26">
        <w:rPr>
          <w:rFonts w:eastAsiaTheme="minorEastAsia" w:cs="Times New Roman"/>
          <w:iCs/>
          <w:szCs w:val="24"/>
          <w:lang w:val="en-US" w:eastAsia="zh-CN"/>
        </w:rPr>
        <w:t>’s</w:t>
      </w:r>
      <w:r w:rsidRPr="005F2A26">
        <w:rPr>
          <w:rFonts w:eastAsiaTheme="minorEastAsia" w:cs="Times New Roman"/>
          <w:iCs/>
          <w:szCs w:val="24"/>
          <w:lang w:val="en-US" w:eastAsia="zh-CN"/>
        </w:rPr>
        <w:t xml:space="preserve"> attributes like its availability, accessibility, visibility, </w:t>
      </w:r>
      <w:r w:rsidRPr="005F2A26">
        <w:rPr>
          <w:rFonts w:eastAsiaTheme="minorEastAsia" w:cs="Times New Roman"/>
          <w:iCs/>
          <w:szCs w:val="24"/>
          <w:lang w:val="en-US" w:eastAsia="zh-CN"/>
        </w:rPr>
        <w:lastRenderedPageBreak/>
        <w:t>attractiveness, openness</w:t>
      </w:r>
      <w:r w:rsidR="00532315" w:rsidRPr="005F2A26">
        <w:rPr>
          <w:rFonts w:eastAsiaTheme="minorEastAsia" w:cs="Times New Roman"/>
          <w:iCs/>
          <w:szCs w:val="24"/>
          <w:lang w:val="en-US" w:eastAsia="zh-CN"/>
        </w:rPr>
        <w:t>,</w:t>
      </w:r>
      <w:r w:rsidRPr="005F2A26">
        <w:rPr>
          <w:rFonts w:eastAsiaTheme="minorEastAsia" w:cs="Times New Roman"/>
          <w:iCs/>
          <w:szCs w:val="24"/>
          <w:lang w:val="en-US" w:eastAsia="zh-CN"/>
        </w:rPr>
        <w:t xml:space="preserve"> and manipulability are </w:t>
      </w:r>
      <w:r w:rsidR="008E1477" w:rsidRPr="005F2A26">
        <w:rPr>
          <w:rFonts w:eastAsiaTheme="minorEastAsia" w:cs="Times New Roman"/>
          <w:iCs/>
          <w:szCs w:val="24"/>
          <w:lang w:val="en-US" w:eastAsia="zh-CN"/>
        </w:rPr>
        <w:t xml:space="preserve">also </w:t>
      </w:r>
      <w:r w:rsidRPr="005F2A26">
        <w:rPr>
          <w:rFonts w:eastAsiaTheme="minorEastAsia" w:cs="Times New Roman"/>
          <w:iCs/>
          <w:szCs w:val="24"/>
          <w:lang w:val="en-US" w:eastAsia="zh-CN"/>
        </w:rPr>
        <w:t xml:space="preserve">critical for users’ development of </w:t>
      </w:r>
      <w:proofErr w:type="spellStart"/>
      <w:r w:rsidRPr="005F2A26">
        <w:rPr>
          <w:rFonts w:eastAsiaTheme="minorEastAsia" w:cs="Times New Roman"/>
          <w:iCs/>
          <w:szCs w:val="24"/>
          <w:lang w:val="en-US" w:eastAsia="zh-CN"/>
        </w:rPr>
        <w:t>iPO</w:t>
      </w:r>
      <w:proofErr w:type="spellEnd"/>
      <w:r w:rsidRPr="005F2A26">
        <w:rPr>
          <w:rFonts w:eastAsiaTheme="minorEastAsia" w:cs="Times New Roman"/>
          <w:iCs/>
          <w:szCs w:val="24"/>
          <w:lang w:val="en-US" w:eastAsia="zh-CN"/>
        </w:rPr>
        <w:t xml:space="preserve"> (Pierce and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2011, p.68). </w:t>
      </w:r>
    </w:p>
    <w:p w14:paraId="3D47B18E" w14:textId="5643872B" w:rsidR="00C67495" w:rsidRPr="005F2A26" w:rsidRDefault="00C67495" w:rsidP="000D5A20">
      <w:pPr>
        <w:keepNext/>
        <w:spacing w:after="0" w:line="480" w:lineRule="auto"/>
        <w:ind w:firstLine="720"/>
        <w:rPr>
          <w:rFonts w:eastAsiaTheme="minorEastAsia" w:cs="Times New Roman"/>
          <w:iCs/>
          <w:szCs w:val="24"/>
          <w:lang w:val="en-US" w:eastAsia="zh-CN"/>
        </w:rPr>
      </w:pPr>
      <w:r w:rsidRPr="00F81F7A">
        <w:rPr>
          <w:rFonts w:eastAsiaTheme="minorEastAsia" w:cs="Times New Roman"/>
          <w:iCs/>
          <w:color w:val="FF0000"/>
          <w:szCs w:val="24"/>
          <w:lang w:val="en-US" w:eastAsia="zh-CN"/>
        </w:rPr>
        <w:t xml:space="preserve">In the </w:t>
      </w:r>
      <w:r w:rsidR="003E4253" w:rsidRPr="00F81F7A">
        <w:rPr>
          <w:rFonts w:eastAsiaTheme="minorEastAsia" w:cs="Times New Roman"/>
          <w:iCs/>
          <w:color w:val="FF0000"/>
          <w:szCs w:val="24"/>
          <w:lang w:val="en-US" w:eastAsia="zh-CN"/>
        </w:rPr>
        <w:t xml:space="preserve">extant </w:t>
      </w:r>
      <w:r w:rsidRPr="00F81F7A">
        <w:rPr>
          <w:rFonts w:eastAsiaTheme="minorEastAsia" w:cs="Times New Roman"/>
          <w:iCs/>
          <w:color w:val="FF0000"/>
          <w:szCs w:val="24"/>
          <w:lang w:val="en-US" w:eastAsia="zh-CN"/>
        </w:rPr>
        <w:t xml:space="preserve">engagement literature, these </w:t>
      </w:r>
      <w:r w:rsidR="003E4253" w:rsidRPr="00F81F7A">
        <w:rPr>
          <w:rFonts w:eastAsiaTheme="minorEastAsia" w:cs="Times New Roman"/>
          <w:iCs/>
          <w:color w:val="FF0000"/>
          <w:szCs w:val="24"/>
          <w:lang w:val="en-US" w:eastAsia="zh-CN"/>
        </w:rPr>
        <w:t xml:space="preserve">target </w:t>
      </w:r>
      <w:r w:rsidRPr="00F81F7A">
        <w:rPr>
          <w:rFonts w:eastAsiaTheme="minorEastAsia" w:cs="Times New Roman"/>
          <w:iCs/>
          <w:color w:val="FF0000"/>
          <w:szCs w:val="24"/>
          <w:lang w:val="en-US" w:eastAsia="zh-CN"/>
        </w:rPr>
        <w:t>attributes are reflected in</w:t>
      </w:r>
      <w:r w:rsidR="003E4253" w:rsidRPr="00F81F7A">
        <w:rPr>
          <w:rFonts w:eastAsiaTheme="minorEastAsia" w:cs="Times New Roman"/>
          <w:iCs/>
          <w:color w:val="FF0000"/>
          <w:szCs w:val="24"/>
          <w:lang w:val="en-US" w:eastAsia="zh-CN"/>
        </w:rPr>
        <w:t xml:space="preserve"> the various factors that have been asserted as antecedents. By integrating PO theory, </w:t>
      </w:r>
      <w:r w:rsidR="00B03FB8" w:rsidRPr="00F81F7A">
        <w:rPr>
          <w:rFonts w:eastAsiaTheme="minorEastAsia" w:cs="Times New Roman"/>
          <w:iCs/>
          <w:color w:val="FF0000"/>
          <w:szCs w:val="24"/>
          <w:lang w:val="en-US" w:eastAsia="zh-CN"/>
        </w:rPr>
        <w:t xml:space="preserve">we argue </w:t>
      </w:r>
      <w:r w:rsidR="0065411A" w:rsidRPr="00F81F7A">
        <w:rPr>
          <w:rFonts w:eastAsiaTheme="minorEastAsia" w:cs="Times New Roman"/>
          <w:iCs/>
          <w:color w:val="FF0000"/>
          <w:szCs w:val="24"/>
          <w:lang w:val="en-US" w:eastAsia="zh-CN"/>
        </w:rPr>
        <w:t xml:space="preserve">factors like </w:t>
      </w:r>
      <w:r w:rsidRPr="00F81F7A">
        <w:rPr>
          <w:rFonts w:eastAsiaTheme="minorEastAsia" w:cs="Times New Roman"/>
          <w:iCs/>
          <w:color w:val="FF0000"/>
          <w:szCs w:val="24"/>
          <w:lang w:val="en-US" w:eastAsia="zh-CN"/>
        </w:rPr>
        <w:t>customer satisfaction, service quality,</w:t>
      </w:r>
      <w:r w:rsidR="002F5679" w:rsidRPr="00F81F7A">
        <w:rPr>
          <w:rFonts w:eastAsiaTheme="minorEastAsia" w:cs="Times New Roman"/>
          <w:iCs/>
          <w:color w:val="FF0000"/>
          <w:szCs w:val="24"/>
          <w:lang w:val="en-US" w:eastAsia="zh-CN"/>
        </w:rPr>
        <w:t xml:space="preserve"> system functionality</w:t>
      </w:r>
      <w:r w:rsidR="0065411A" w:rsidRPr="00F81F7A">
        <w:rPr>
          <w:rFonts w:eastAsiaTheme="minorEastAsia" w:cs="Times New Roman"/>
          <w:iCs/>
          <w:color w:val="FF0000"/>
          <w:szCs w:val="24"/>
          <w:lang w:val="en-US" w:eastAsia="zh-CN"/>
        </w:rPr>
        <w:t>,</w:t>
      </w:r>
      <w:r w:rsidRPr="00F81F7A">
        <w:rPr>
          <w:rFonts w:eastAsiaTheme="minorEastAsia" w:cs="Times New Roman"/>
          <w:iCs/>
          <w:color w:val="FF0000"/>
          <w:szCs w:val="24"/>
          <w:lang w:val="en-US" w:eastAsia="zh-CN"/>
        </w:rPr>
        <w:t xml:space="preserve"> and brand innovativeness</w:t>
      </w:r>
      <w:r w:rsidR="003E4253" w:rsidRPr="00F81F7A">
        <w:rPr>
          <w:rFonts w:eastAsiaTheme="minorEastAsia" w:cs="Times New Roman"/>
          <w:iCs/>
          <w:color w:val="FF0000"/>
          <w:szCs w:val="24"/>
          <w:lang w:val="en-US" w:eastAsia="zh-CN"/>
        </w:rPr>
        <w:t xml:space="preserve"> </w:t>
      </w:r>
      <w:r w:rsidR="00325269" w:rsidRPr="00F81F7A">
        <w:rPr>
          <w:rFonts w:eastAsiaTheme="minorEastAsia" w:cs="Times New Roman"/>
          <w:iCs/>
          <w:color w:val="FF0000"/>
          <w:szCs w:val="24"/>
          <w:lang w:val="en-US" w:eastAsia="zh-CN"/>
        </w:rPr>
        <w:t>all</w:t>
      </w:r>
      <w:r w:rsidR="003E4253" w:rsidRPr="00F81F7A">
        <w:rPr>
          <w:rFonts w:eastAsiaTheme="minorEastAsia" w:cs="Times New Roman"/>
          <w:iCs/>
          <w:color w:val="FF0000"/>
          <w:szCs w:val="24"/>
          <w:lang w:val="en-US" w:eastAsia="zh-CN"/>
        </w:rPr>
        <w:t xml:space="preserve"> </w:t>
      </w:r>
      <w:r w:rsidRPr="00F81F7A">
        <w:rPr>
          <w:rFonts w:eastAsiaTheme="minorEastAsia" w:cs="Times New Roman"/>
          <w:iCs/>
          <w:color w:val="FF0000"/>
          <w:szCs w:val="24"/>
          <w:lang w:val="en-US" w:eastAsia="zh-CN"/>
        </w:rPr>
        <w:t>provid</w:t>
      </w:r>
      <w:r w:rsidR="0033291F">
        <w:rPr>
          <w:rFonts w:eastAsiaTheme="minorEastAsia" w:cs="Times New Roman"/>
          <w:iCs/>
          <w:color w:val="FF0000"/>
          <w:szCs w:val="24"/>
          <w:lang w:val="en-US" w:eastAsia="zh-CN"/>
        </w:rPr>
        <w:t>e</w:t>
      </w:r>
      <w:r w:rsidR="003E4253" w:rsidRPr="00F81F7A">
        <w:rPr>
          <w:rFonts w:eastAsiaTheme="minorEastAsia" w:cs="Times New Roman"/>
          <w:iCs/>
          <w:color w:val="FF0000"/>
          <w:szCs w:val="24"/>
          <w:lang w:val="en-US" w:eastAsia="zh-CN"/>
        </w:rPr>
        <w:t xml:space="preserve"> </w:t>
      </w:r>
      <w:r w:rsidRPr="00F81F7A">
        <w:rPr>
          <w:rFonts w:eastAsiaTheme="minorEastAsia" w:cs="Times New Roman"/>
          <w:iCs/>
          <w:color w:val="FF0000"/>
          <w:szCs w:val="24"/>
          <w:lang w:val="en-US" w:eastAsia="zh-CN"/>
        </w:rPr>
        <w:t xml:space="preserve">users an opportunity to control the target (e.g., through feedback or rating mechanisms), </w:t>
      </w:r>
      <w:r w:rsidR="00AB1888">
        <w:rPr>
          <w:rFonts w:eastAsiaTheme="minorEastAsia" w:cs="Times New Roman"/>
          <w:iCs/>
          <w:color w:val="FF0000"/>
          <w:szCs w:val="24"/>
          <w:lang w:val="en-US" w:eastAsia="zh-CN"/>
        </w:rPr>
        <w:t xml:space="preserve">invest themselves, </w:t>
      </w:r>
      <w:r w:rsidRPr="00F81F7A">
        <w:rPr>
          <w:rFonts w:eastAsiaTheme="minorEastAsia" w:cs="Times New Roman"/>
          <w:iCs/>
          <w:color w:val="FF0000"/>
          <w:szCs w:val="24"/>
          <w:lang w:val="en-US" w:eastAsia="zh-CN"/>
        </w:rPr>
        <w:t xml:space="preserve">and come to intimately know the target (e.g., through the ability to customize a personal profile). </w:t>
      </w:r>
      <w:r w:rsidRPr="005F2A26">
        <w:rPr>
          <w:rFonts w:eastAsiaTheme="minorEastAsia" w:cs="Times New Roman"/>
          <w:iCs/>
          <w:szCs w:val="24"/>
          <w:lang w:val="en-US" w:eastAsia="zh-CN"/>
        </w:rPr>
        <w:t>For example, trust building mechanisms (e.g., ranking systems</w:t>
      </w:r>
      <w:r w:rsidR="002F75F1">
        <w:rPr>
          <w:rFonts w:eastAsiaTheme="minorEastAsia" w:cs="Times New Roman"/>
          <w:iCs/>
          <w:szCs w:val="24"/>
          <w:lang w:val="en-US" w:eastAsia="zh-CN"/>
        </w:rPr>
        <w:t>;</w:t>
      </w:r>
      <w:r w:rsidRPr="005F2A26">
        <w:rPr>
          <w:rFonts w:eastAsiaTheme="minorEastAsia" w:cs="Times New Roman"/>
          <w:iCs/>
          <w:szCs w:val="24"/>
          <w:lang w:val="en-US" w:eastAsia="zh-CN"/>
        </w:rPr>
        <w:t xml:space="preserve"> Brown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 xml:space="preserve">2014) offer avenues </w:t>
      </w:r>
      <w:r w:rsidR="00A435AF" w:rsidRPr="005F2A26">
        <w:rPr>
          <w:rFonts w:eastAsiaTheme="minorEastAsia" w:cs="Times New Roman"/>
          <w:iCs/>
          <w:szCs w:val="24"/>
          <w:lang w:val="en-US" w:eastAsia="zh-CN"/>
        </w:rPr>
        <w:t>for users to invest themselves and control the target</w:t>
      </w:r>
      <w:r w:rsidRPr="005F2A26">
        <w:rPr>
          <w:rFonts w:eastAsiaTheme="minorEastAsia" w:cs="Times New Roman"/>
          <w:iCs/>
          <w:szCs w:val="24"/>
          <w:lang w:val="en-US" w:eastAsia="zh-CN"/>
        </w:rPr>
        <w:t xml:space="preserve">. </w:t>
      </w:r>
      <w:r w:rsidR="00FB52D0" w:rsidRPr="005F2A26">
        <w:rPr>
          <w:rFonts w:eastAsiaTheme="minorEastAsia" w:cs="Times New Roman"/>
          <w:iCs/>
          <w:szCs w:val="24"/>
          <w:lang w:val="en-US" w:eastAsia="zh-CN"/>
        </w:rPr>
        <w:t>A</w:t>
      </w:r>
      <w:r w:rsidRPr="005F2A26">
        <w:rPr>
          <w:rFonts w:eastAsiaTheme="minorEastAsia" w:cs="Times New Roman"/>
          <w:iCs/>
          <w:szCs w:val="24"/>
          <w:lang w:val="en-US" w:eastAsia="zh-CN"/>
        </w:rPr>
        <w:t xml:space="preserve">ccountability for what happens to </w:t>
      </w:r>
      <w:r w:rsidR="00FB52D0" w:rsidRPr="005F2A26">
        <w:rPr>
          <w:rFonts w:eastAsiaTheme="minorEastAsia" w:cs="Times New Roman"/>
          <w:iCs/>
          <w:szCs w:val="24"/>
          <w:lang w:val="en-US" w:eastAsia="zh-CN"/>
        </w:rPr>
        <w:t>a user’s</w:t>
      </w:r>
      <w:r w:rsidRPr="005F2A26">
        <w:rPr>
          <w:rFonts w:eastAsiaTheme="minorEastAsia" w:cs="Times New Roman"/>
          <w:iCs/>
          <w:szCs w:val="24"/>
          <w:lang w:val="en-US" w:eastAsia="zh-CN"/>
        </w:rPr>
        <w:t xml:space="preserve"> rating has implications for what happens to themselves</w:t>
      </w:r>
      <w:r w:rsidR="00217CF1" w:rsidRPr="005F2A26">
        <w:rPr>
          <w:rFonts w:eastAsiaTheme="minorEastAsia" w:cs="Times New Roman"/>
          <w:iCs/>
          <w:szCs w:val="24"/>
          <w:lang w:val="en-US" w:eastAsia="zh-CN"/>
        </w:rPr>
        <w:t>.</w:t>
      </w:r>
      <w:r w:rsidRPr="005F2A26">
        <w:rPr>
          <w:rFonts w:eastAsiaTheme="minorEastAsia" w:cs="Times New Roman"/>
          <w:iCs/>
          <w:szCs w:val="24"/>
          <w:lang w:val="en-US" w:eastAsia="zh-CN"/>
        </w:rPr>
        <w:t xml:space="preserve"> For example, Uber riders and drivers may moderate their </w:t>
      </w:r>
      <w:r w:rsidR="00F132C2" w:rsidRPr="005F2A26">
        <w:rPr>
          <w:rFonts w:eastAsiaTheme="minorEastAsia" w:cs="Times New Roman"/>
          <w:iCs/>
          <w:szCs w:val="24"/>
          <w:lang w:val="en-US" w:eastAsia="zh-CN"/>
        </w:rPr>
        <w:t>behavior</w:t>
      </w:r>
      <w:r w:rsidRPr="005F2A26">
        <w:rPr>
          <w:rFonts w:eastAsiaTheme="minorEastAsia" w:cs="Times New Roman"/>
          <w:iCs/>
          <w:szCs w:val="24"/>
          <w:lang w:val="en-US" w:eastAsia="zh-CN"/>
        </w:rPr>
        <w:t xml:space="preserve"> to maintain </w:t>
      </w:r>
      <w:r w:rsidR="00B16FD0">
        <w:rPr>
          <w:rFonts w:eastAsiaTheme="minorEastAsia" w:cs="Times New Roman"/>
          <w:iCs/>
          <w:szCs w:val="24"/>
          <w:lang w:val="en-US" w:eastAsia="zh-CN"/>
        </w:rPr>
        <w:t>a</w:t>
      </w:r>
      <w:r w:rsidRPr="005F2A26">
        <w:rPr>
          <w:rFonts w:eastAsiaTheme="minorEastAsia" w:cs="Times New Roman"/>
          <w:iCs/>
          <w:szCs w:val="24"/>
          <w:lang w:val="en-US" w:eastAsia="zh-CN"/>
        </w:rPr>
        <w:t xml:space="preserve"> </w:t>
      </w:r>
      <w:r w:rsidR="00F132C2" w:rsidRPr="005F2A26">
        <w:rPr>
          <w:rFonts w:eastAsiaTheme="minorEastAsia" w:cs="Times New Roman"/>
          <w:iCs/>
          <w:szCs w:val="24"/>
          <w:lang w:val="en-US" w:eastAsia="zh-CN"/>
        </w:rPr>
        <w:t>favorable</w:t>
      </w:r>
      <w:r w:rsidRPr="005F2A26">
        <w:rPr>
          <w:rFonts w:eastAsiaTheme="minorEastAsia" w:cs="Times New Roman"/>
          <w:iCs/>
          <w:szCs w:val="24"/>
          <w:lang w:val="en-US" w:eastAsia="zh-CN"/>
        </w:rPr>
        <w:t xml:space="preserve"> rating (such as drivers who provide free candy). </w:t>
      </w:r>
      <w:r w:rsidR="003E4253" w:rsidRPr="005F2A26">
        <w:rPr>
          <w:rFonts w:eastAsiaTheme="minorEastAsia" w:cs="Times New Roman"/>
          <w:iCs/>
          <w:szCs w:val="24"/>
          <w:lang w:val="en-US" w:eastAsia="zh-CN"/>
        </w:rPr>
        <w:t xml:space="preserve">Hence, </w:t>
      </w:r>
      <w:r w:rsidR="0057682E">
        <w:rPr>
          <w:rFonts w:eastAsiaTheme="minorEastAsia" w:cs="Times New Roman"/>
          <w:iCs/>
          <w:szCs w:val="24"/>
          <w:lang w:val="en-US" w:eastAsia="zh-CN"/>
        </w:rPr>
        <w:t>platform</w:t>
      </w:r>
      <w:r w:rsidR="003E4253" w:rsidRPr="005F2A26">
        <w:rPr>
          <w:rFonts w:eastAsiaTheme="minorEastAsia" w:cs="Times New Roman"/>
          <w:iCs/>
          <w:szCs w:val="24"/>
          <w:lang w:val="en-US" w:eastAsia="zh-CN"/>
        </w:rPr>
        <w:t xml:space="preserve"> functionality and effectiveness (</w:t>
      </w:r>
      <w:r w:rsidR="0057682E">
        <w:rPr>
          <w:rFonts w:eastAsiaTheme="minorEastAsia" w:cs="Times New Roman"/>
          <w:iCs/>
          <w:szCs w:val="24"/>
          <w:lang w:val="en-US" w:eastAsia="zh-CN"/>
        </w:rPr>
        <w:t>both</w:t>
      </w:r>
      <w:r w:rsidR="003E4253" w:rsidRPr="005F2A26">
        <w:rPr>
          <w:rFonts w:eastAsiaTheme="minorEastAsia" w:cs="Times New Roman"/>
          <w:iCs/>
          <w:szCs w:val="24"/>
          <w:lang w:val="en-US" w:eastAsia="zh-CN"/>
        </w:rPr>
        <w:t xml:space="preserve"> browser-based </w:t>
      </w:r>
      <w:r w:rsidR="0057682E">
        <w:rPr>
          <w:rFonts w:eastAsiaTheme="minorEastAsia" w:cs="Times New Roman"/>
          <w:iCs/>
          <w:szCs w:val="24"/>
          <w:lang w:val="en-US" w:eastAsia="zh-CN"/>
        </w:rPr>
        <w:t>and</w:t>
      </w:r>
      <w:r w:rsidR="003E4253" w:rsidRPr="005F2A26">
        <w:rPr>
          <w:rFonts w:eastAsiaTheme="minorEastAsia" w:cs="Times New Roman"/>
          <w:iCs/>
          <w:szCs w:val="24"/>
          <w:lang w:val="en-US" w:eastAsia="zh-CN"/>
        </w:rPr>
        <w:t xml:space="preserve"> app-based), service offering, user interface, </w:t>
      </w:r>
      <w:r w:rsidR="008C6DFD" w:rsidRPr="005F2A26">
        <w:rPr>
          <w:rFonts w:eastAsiaTheme="minorEastAsia" w:cs="Times New Roman"/>
          <w:iCs/>
          <w:szCs w:val="24"/>
          <w:lang w:val="en-US" w:eastAsia="zh-CN"/>
        </w:rPr>
        <w:t>and ranking system</w:t>
      </w:r>
      <w:r w:rsidR="00495880">
        <w:rPr>
          <w:rFonts w:eastAsiaTheme="minorEastAsia" w:cs="Times New Roman"/>
          <w:iCs/>
          <w:szCs w:val="24"/>
          <w:lang w:val="en-US" w:eastAsia="zh-CN"/>
        </w:rPr>
        <w:t>s</w:t>
      </w:r>
      <w:r w:rsidR="008C6DFD" w:rsidRPr="005F2A26">
        <w:rPr>
          <w:rFonts w:eastAsiaTheme="minorEastAsia" w:cs="Times New Roman"/>
          <w:iCs/>
          <w:szCs w:val="24"/>
          <w:lang w:val="en-US" w:eastAsia="zh-CN"/>
        </w:rPr>
        <w:t xml:space="preserve"> </w:t>
      </w:r>
      <w:r w:rsidR="003E4253" w:rsidRPr="005F2A26">
        <w:rPr>
          <w:rFonts w:eastAsiaTheme="minorEastAsia" w:cs="Times New Roman"/>
          <w:iCs/>
          <w:szCs w:val="24"/>
          <w:lang w:val="en-US" w:eastAsia="zh-CN"/>
        </w:rPr>
        <w:t>are all potential targets of iPO.</w:t>
      </w:r>
    </w:p>
    <w:p w14:paraId="027373F9" w14:textId="496FBF7A" w:rsidR="00C67495" w:rsidRPr="005F2A26" w:rsidRDefault="00C67495" w:rsidP="000D5A20">
      <w:pPr>
        <w:keepNext/>
        <w:spacing w:after="0" w:line="480" w:lineRule="auto"/>
        <w:ind w:firstLine="720"/>
        <w:rPr>
          <w:rFonts w:eastAsiaTheme="minorEastAsia" w:cs="Times New Roman"/>
          <w:iCs/>
          <w:szCs w:val="24"/>
          <w:lang w:val="en-US" w:eastAsia="zh-CN"/>
        </w:rPr>
      </w:pPr>
      <w:r w:rsidRPr="005F2A26">
        <w:rPr>
          <w:rFonts w:eastAsiaTheme="minorEastAsia" w:cs="Times New Roman"/>
          <w:iCs/>
          <w:szCs w:val="24"/>
          <w:lang w:val="en-US" w:eastAsia="zh-CN"/>
        </w:rPr>
        <w:t xml:space="preserve">In short, the human needs that </w:t>
      </w:r>
      <w:r w:rsidR="00C6178F">
        <w:rPr>
          <w:rFonts w:eastAsiaTheme="minorEastAsia" w:cs="Times New Roman"/>
          <w:iCs/>
          <w:szCs w:val="24"/>
          <w:lang w:val="en-US" w:eastAsia="zh-CN"/>
        </w:rPr>
        <w:t>drive</w:t>
      </w:r>
      <w:r w:rsidRPr="005F2A26">
        <w:rPr>
          <w:rFonts w:eastAsiaTheme="minorEastAsia" w:cs="Times New Roman"/>
          <w:iCs/>
          <w:szCs w:val="24"/>
          <w:lang w:val="en-US" w:eastAsia="zh-CN"/>
        </w:rPr>
        <w:t xml:space="preserve"> iPO</w:t>
      </w:r>
      <w:r w:rsidR="00C6178F">
        <w:rPr>
          <w:rFonts w:eastAsiaTheme="minorEastAsia" w:cs="Times New Roman"/>
          <w:iCs/>
          <w:szCs w:val="24"/>
          <w:lang w:val="en-US" w:eastAsia="zh-CN"/>
        </w:rPr>
        <w:t xml:space="preserve"> in the SE</w:t>
      </w:r>
      <w:r w:rsidRPr="005F2A26">
        <w:rPr>
          <w:rFonts w:eastAsiaTheme="minorEastAsia" w:cs="Times New Roman"/>
          <w:iCs/>
          <w:szCs w:val="24"/>
          <w:lang w:val="en-US" w:eastAsia="zh-CN"/>
        </w:rPr>
        <w:t xml:space="preserve"> include economic, environmental, social, and ideological motivations (</w:t>
      </w:r>
      <w:proofErr w:type="spellStart"/>
      <w:r w:rsidRPr="005F2A26">
        <w:rPr>
          <w:rFonts w:eastAsiaTheme="minorEastAsia" w:cs="Times New Roman"/>
          <w:iCs/>
          <w:szCs w:val="24"/>
          <w:lang w:val="en-US" w:eastAsia="zh-CN"/>
        </w:rPr>
        <w:t>Böcker</w:t>
      </w:r>
      <w:proofErr w:type="spellEnd"/>
      <w:r w:rsidRPr="005F2A26">
        <w:rPr>
          <w:rFonts w:eastAsiaTheme="minorEastAsia" w:cs="Times New Roman"/>
          <w:iCs/>
          <w:szCs w:val="24"/>
          <w:lang w:val="en-US" w:eastAsia="zh-CN"/>
        </w:rPr>
        <w:t xml:space="preserve"> and </w:t>
      </w:r>
      <w:proofErr w:type="spellStart"/>
      <w:r w:rsidRPr="005F2A26">
        <w:rPr>
          <w:rFonts w:eastAsiaTheme="minorEastAsia" w:cs="Times New Roman"/>
          <w:iCs/>
          <w:szCs w:val="24"/>
          <w:lang w:val="en-US" w:eastAsia="zh-CN"/>
        </w:rPr>
        <w:t>Meelen</w:t>
      </w:r>
      <w:proofErr w:type="spellEnd"/>
      <w:r w:rsidRPr="005F2A26">
        <w:rPr>
          <w:rFonts w:eastAsiaTheme="minorEastAsia" w:cs="Times New Roman"/>
          <w:iCs/>
          <w:szCs w:val="24"/>
          <w:lang w:val="en-US" w:eastAsia="zh-CN"/>
        </w:rPr>
        <w:t xml:space="preserve">, 2017; Schor, 2014; </w:t>
      </w:r>
      <w:proofErr w:type="spellStart"/>
      <w:r w:rsidRPr="005F2A26">
        <w:rPr>
          <w:rFonts w:eastAsiaTheme="minorEastAsia" w:cs="Times New Roman"/>
          <w:iCs/>
          <w:szCs w:val="24"/>
          <w:lang w:val="en-US" w:eastAsia="zh-CN"/>
        </w:rPr>
        <w:t>Tussyadiah</w:t>
      </w:r>
      <w:proofErr w:type="spellEnd"/>
      <w:r w:rsidRPr="005F2A26">
        <w:rPr>
          <w:rFonts w:eastAsiaTheme="minorEastAsia" w:cs="Times New Roman"/>
          <w:iCs/>
          <w:szCs w:val="24"/>
          <w:lang w:val="en-US" w:eastAsia="zh-CN"/>
        </w:rPr>
        <w:t xml:space="preserve">, 2015). </w:t>
      </w:r>
      <w:r w:rsidR="00170CB6">
        <w:rPr>
          <w:rFonts w:eastAsiaTheme="minorEastAsia" w:cs="Times New Roman"/>
          <w:iCs/>
          <w:szCs w:val="24"/>
          <w:lang w:val="en-US" w:eastAsia="zh-CN"/>
        </w:rPr>
        <w:t>The need for s</w:t>
      </w:r>
      <w:r w:rsidRPr="005F2A26">
        <w:rPr>
          <w:rFonts w:eastAsiaTheme="minorEastAsia" w:cs="Times New Roman"/>
          <w:iCs/>
          <w:szCs w:val="24"/>
          <w:lang w:val="en-US" w:eastAsia="zh-CN"/>
        </w:rPr>
        <w:t>elf-identit</w:t>
      </w:r>
      <w:r w:rsidR="00351F05">
        <w:rPr>
          <w:rFonts w:eastAsiaTheme="minorEastAsia" w:cs="Times New Roman"/>
          <w:iCs/>
          <w:szCs w:val="24"/>
          <w:lang w:val="en-US" w:eastAsia="zh-CN"/>
        </w:rPr>
        <w:t>y</w:t>
      </w:r>
      <w:r w:rsidRPr="005F2A26">
        <w:rPr>
          <w:rFonts w:eastAsiaTheme="minorEastAsia" w:cs="Times New Roman"/>
          <w:iCs/>
          <w:szCs w:val="24"/>
          <w:lang w:val="en-US" w:eastAsia="zh-CN"/>
        </w:rPr>
        <w:t xml:space="preserve"> (e.g., pro-social, environmentalist)</w:t>
      </w:r>
      <w:r w:rsidR="00170CB6">
        <w:rPr>
          <w:rFonts w:eastAsiaTheme="minorEastAsia" w:cs="Times New Roman"/>
          <w:iCs/>
          <w:szCs w:val="24"/>
          <w:lang w:val="en-US" w:eastAsia="zh-CN"/>
        </w:rPr>
        <w:t>,</w:t>
      </w:r>
      <w:r w:rsidRPr="005F2A26">
        <w:rPr>
          <w:rFonts w:eastAsiaTheme="minorEastAsia" w:cs="Times New Roman"/>
          <w:iCs/>
          <w:szCs w:val="24"/>
          <w:lang w:val="en-US" w:eastAsia="zh-CN"/>
        </w:rPr>
        <w:t xml:space="preserve"> self-efficacy (e.g., access to otherwise inaccessible experiences), and belongingness (e.g., sites for the eco-friendly) drive iPO to emerge over a myriad of targets including brands</w:t>
      </w:r>
      <w:r w:rsidR="00FA501B">
        <w:rPr>
          <w:rFonts w:eastAsiaTheme="minorEastAsia" w:cs="Times New Roman"/>
          <w:iCs/>
          <w:szCs w:val="24"/>
          <w:lang w:val="en-US" w:eastAsia="zh-CN"/>
        </w:rPr>
        <w:t>,</w:t>
      </w:r>
      <w:r w:rsidRPr="005F2A26">
        <w:rPr>
          <w:rFonts w:eastAsiaTheme="minorEastAsia" w:cs="Times New Roman"/>
          <w:iCs/>
          <w:szCs w:val="24"/>
          <w:lang w:val="en-US" w:eastAsia="zh-CN"/>
        </w:rPr>
        <w:t xml:space="preserve"> service offerings (</w:t>
      </w:r>
      <w:proofErr w:type="spellStart"/>
      <w:r w:rsidRPr="005F2A26">
        <w:rPr>
          <w:rFonts w:eastAsiaTheme="minorEastAsia" w:cs="Times New Roman"/>
          <w:iCs/>
          <w:szCs w:val="24"/>
          <w:lang w:val="en-US" w:eastAsia="zh-CN"/>
        </w:rPr>
        <w:t>Fritze</w:t>
      </w:r>
      <w:proofErr w:type="spellEnd"/>
      <w:r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 xml:space="preserve">, </w:t>
      </w:r>
      <w:r w:rsidRPr="005F2A26">
        <w:rPr>
          <w:rFonts w:eastAsiaTheme="minorEastAsia" w:cs="Times New Roman"/>
          <w:iCs/>
          <w:szCs w:val="24"/>
          <w:lang w:val="en-US" w:eastAsia="zh-CN"/>
        </w:rPr>
        <w:t>2020), ranking</w:t>
      </w:r>
      <w:r w:rsidR="00351F05">
        <w:rPr>
          <w:rFonts w:eastAsiaTheme="minorEastAsia" w:cs="Times New Roman"/>
          <w:iCs/>
          <w:szCs w:val="24"/>
          <w:lang w:val="en-US" w:eastAsia="zh-CN"/>
        </w:rPr>
        <w:t>s</w:t>
      </w:r>
      <w:r w:rsidRPr="005F2A26">
        <w:rPr>
          <w:rFonts w:eastAsiaTheme="minorEastAsia" w:cs="Times New Roman"/>
          <w:iCs/>
          <w:szCs w:val="24"/>
          <w:lang w:val="en-US" w:eastAsia="zh-CN"/>
        </w:rPr>
        <w:t xml:space="preserve">, and </w:t>
      </w:r>
      <w:r w:rsidR="00D30ECD">
        <w:rPr>
          <w:rFonts w:eastAsiaTheme="minorEastAsia" w:cs="Times New Roman"/>
          <w:iCs/>
          <w:szCs w:val="24"/>
          <w:lang w:val="en-US" w:eastAsia="zh-CN"/>
        </w:rPr>
        <w:t xml:space="preserve">service </w:t>
      </w:r>
      <w:r w:rsidRPr="005F2A26">
        <w:rPr>
          <w:rFonts w:eastAsiaTheme="minorEastAsia" w:cs="Times New Roman"/>
          <w:iCs/>
          <w:szCs w:val="24"/>
          <w:lang w:val="en-US" w:eastAsia="zh-CN"/>
        </w:rPr>
        <w:t>outcome</w:t>
      </w:r>
      <w:r w:rsidR="00D30ECD">
        <w:rPr>
          <w:rFonts w:eastAsiaTheme="minorEastAsia" w:cs="Times New Roman"/>
          <w:iCs/>
          <w:szCs w:val="24"/>
          <w:lang w:val="en-US" w:eastAsia="zh-CN"/>
        </w:rPr>
        <w:t>s</w:t>
      </w:r>
      <w:r w:rsidRPr="005F2A26">
        <w:rPr>
          <w:rFonts w:eastAsiaTheme="minorEastAsia" w:cs="Times New Roman"/>
          <w:iCs/>
          <w:szCs w:val="24"/>
          <w:lang w:val="en-US" w:eastAsia="zh-CN"/>
        </w:rPr>
        <w:t xml:space="preserve"> (Pierce and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2010). iPO </w:t>
      </w:r>
      <w:r w:rsidR="001F68C6" w:rsidRPr="005F2A26">
        <w:rPr>
          <w:rFonts w:eastAsiaTheme="minorEastAsia" w:cs="Times New Roman"/>
          <w:iCs/>
          <w:szCs w:val="24"/>
          <w:lang w:val="en-US" w:eastAsia="zh-CN"/>
        </w:rPr>
        <w:t>surface</w:t>
      </w:r>
      <w:r w:rsidR="00D30ECD">
        <w:rPr>
          <w:rFonts w:eastAsiaTheme="minorEastAsia" w:cs="Times New Roman"/>
          <w:iCs/>
          <w:szCs w:val="24"/>
          <w:lang w:val="en-US" w:eastAsia="zh-CN"/>
        </w:rPr>
        <w:t>s</w:t>
      </w:r>
      <w:r w:rsidRPr="005F2A26">
        <w:rPr>
          <w:rFonts w:eastAsiaTheme="minorEastAsia" w:cs="Times New Roman"/>
          <w:iCs/>
          <w:szCs w:val="24"/>
          <w:lang w:val="en-US" w:eastAsia="zh-CN"/>
        </w:rPr>
        <w:t xml:space="preserve"> during interactions with the target and reflect a user’s ability to control</w:t>
      </w:r>
      <w:r w:rsidR="00936178">
        <w:rPr>
          <w:rFonts w:eastAsiaTheme="minorEastAsia" w:cs="Times New Roman"/>
          <w:iCs/>
          <w:szCs w:val="24"/>
          <w:lang w:val="en-US" w:eastAsia="zh-CN"/>
        </w:rPr>
        <w:t xml:space="preserve">, </w:t>
      </w:r>
      <w:r w:rsidRPr="005F2A26">
        <w:rPr>
          <w:rFonts w:eastAsiaTheme="minorEastAsia" w:cs="Times New Roman"/>
          <w:iCs/>
          <w:szCs w:val="24"/>
          <w:lang w:val="en-US" w:eastAsia="zh-CN"/>
        </w:rPr>
        <w:t>intimately know</w:t>
      </w:r>
      <w:r w:rsidR="001935F9">
        <w:rPr>
          <w:rFonts w:eastAsiaTheme="minorEastAsia" w:cs="Times New Roman"/>
          <w:iCs/>
          <w:szCs w:val="24"/>
          <w:lang w:val="en-US" w:eastAsia="zh-CN"/>
        </w:rPr>
        <w:t>,</w:t>
      </w:r>
      <w:r w:rsidRPr="005F2A26">
        <w:rPr>
          <w:rFonts w:eastAsiaTheme="minorEastAsia" w:cs="Times New Roman"/>
          <w:iCs/>
          <w:szCs w:val="24"/>
          <w:lang w:val="en-US" w:eastAsia="zh-CN"/>
        </w:rPr>
        <w:t xml:space="preserve"> and invest themselves into the target.  </w:t>
      </w:r>
    </w:p>
    <w:p w14:paraId="37CCE36D" w14:textId="4B34EBDC" w:rsidR="00A32581" w:rsidRPr="005F2A26" w:rsidRDefault="001B6BFC" w:rsidP="00DE4D32">
      <w:pPr>
        <w:keepNext/>
        <w:spacing w:after="0" w:line="480" w:lineRule="auto"/>
        <w:ind w:firstLine="720"/>
        <w:rPr>
          <w:rFonts w:eastAsiaTheme="minorEastAsia" w:cs="Times New Roman"/>
          <w:iCs/>
          <w:szCs w:val="24"/>
          <w:lang w:val="en-US" w:eastAsia="zh-CN"/>
        </w:rPr>
      </w:pPr>
      <w:r w:rsidRPr="005F2A26">
        <w:rPr>
          <w:rFonts w:eastAsiaTheme="minorEastAsia" w:cs="Times New Roman"/>
          <w:iCs/>
          <w:szCs w:val="24"/>
          <w:lang w:val="en-US" w:eastAsia="zh-CN"/>
        </w:rPr>
        <w:t>Extant literature tells us the consequences of iPO are motivational, attitudinal and behavioral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xml:space="preserve"> </w:t>
      </w:r>
      <w:r w:rsidR="00957690" w:rsidRPr="00957690">
        <w:rPr>
          <w:rFonts w:eastAsiaTheme="minorEastAsia" w:cs="Times New Roman"/>
          <w:i/>
          <w:iCs/>
          <w:szCs w:val="24"/>
          <w:lang w:val="en-US" w:eastAsia="zh-CN"/>
        </w:rPr>
        <w:t>et al.</w:t>
      </w:r>
      <w:r w:rsidRPr="005F2A26">
        <w:rPr>
          <w:rFonts w:eastAsiaTheme="minorEastAsia" w:cs="Times New Roman"/>
          <w:iCs/>
          <w:szCs w:val="24"/>
          <w:lang w:val="en-US" w:eastAsia="zh-CN"/>
        </w:rPr>
        <w:t xml:space="preserve">, 2015; Pierce and </w:t>
      </w:r>
      <w:proofErr w:type="spellStart"/>
      <w:r w:rsidRPr="005F2A26">
        <w:rPr>
          <w:rFonts w:eastAsiaTheme="minorEastAsia" w:cs="Times New Roman"/>
          <w:iCs/>
          <w:szCs w:val="24"/>
          <w:lang w:val="en-US" w:eastAsia="zh-CN"/>
        </w:rPr>
        <w:t>Jussila</w:t>
      </w:r>
      <w:proofErr w:type="spellEnd"/>
      <w:r w:rsidRPr="005F2A26">
        <w:rPr>
          <w:rFonts w:eastAsiaTheme="minorEastAsia" w:cs="Times New Roman"/>
          <w:iCs/>
          <w:szCs w:val="24"/>
          <w:lang w:val="en-US" w:eastAsia="zh-CN"/>
        </w:rPr>
        <w:t>, 2011</w:t>
      </w:r>
      <w:r w:rsidR="00E963FD" w:rsidRPr="005F2A26">
        <w:rPr>
          <w:rFonts w:eastAsiaTheme="minorEastAsia" w:cs="Times New Roman"/>
          <w:iCs/>
          <w:szCs w:val="24"/>
          <w:lang w:val="en-US" w:eastAsia="zh-CN"/>
        </w:rPr>
        <w:t>)</w:t>
      </w:r>
      <w:r w:rsidRPr="005F2A26">
        <w:rPr>
          <w:rFonts w:eastAsiaTheme="minorEastAsia" w:cs="Times New Roman"/>
          <w:iCs/>
          <w:szCs w:val="24"/>
          <w:lang w:val="en-US" w:eastAsia="zh-CN"/>
        </w:rPr>
        <w:t>.</w:t>
      </w:r>
      <w:r w:rsidR="00AF4E61" w:rsidRPr="005F2A26">
        <w:rPr>
          <w:rFonts w:eastAsiaTheme="minorEastAsia" w:cs="Times New Roman"/>
          <w:iCs/>
          <w:szCs w:val="24"/>
          <w:lang w:val="en-US" w:eastAsia="zh-CN"/>
        </w:rPr>
        <w:t xml:space="preserve"> Motivational consequences include an intrinsic desire to nurture and protect the target. Attitudinal consequences include </w:t>
      </w:r>
      <w:r w:rsidR="00AF4E61" w:rsidRPr="005F2A26">
        <w:rPr>
          <w:rFonts w:eastAsiaTheme="minorEastAsia" w:cs="Times New Roman"/>
          <w:iCs/>
          <w:szCs w:val="24"/>
          <w:lang w:val="en-US" w:eastAsia="zh-CN"/>
        </w:rPr>
        <w:lastRenderedPageBreak/>
        <w:t>satisfaction (</w:t>
      </w:r>
      <w:proofErr w:type="spellStart"/>
      <w:r w:rsidR="00AF4E61" w:rsidRPr="005F2A26">
        <w:rPr>
          <w:rFonts w:eastAsiaTheme="minorEastAsia" w:cs="Times New Roman"/>
          <w:iCs/>
          <w:szCs w:val="24"/>
          <w:lang w:val="en-US" w:eastAsia="zh-CN"/>
        </w:rPr>
        <w:t>Jussila</w:t>
      </w:r>
      <w:proofErr w:type="spellEnd"/>
      <w:r w:rsidR="00AF4E61" w:rsidRPr="005F2A26">
        <w:rPr>
          <w:rFonts w:eastAsiaTheme="minorEastAsia" w:cs="Times New Roman"/>
          <w:iCs/>
          <w:szCs w:val="24"/>
          <w:lang w:val="en-US" w:eastAsia="zh-CN"/>
        </w:rPr>
        <w:t xml:space="preserve"> and Tuominen, 2010) and commitment (Pierce</w:t>
      </w:r>
      <w:r w:rsidR="009F508D" w:rsidRPr="005F2A26">
        <w:rPr>
          <w:rFonts w:eastAsiaTheme="minorEastAsia" w:cs="Times New Roman"/>
          <w:iCs/>
          <w:szCs w:val="24"/>
          <w:lang w:val="en-US" w:eastAsia="zh-CN"/>
        </w:rPr>
        <w:t xml:space="preserve"> </w:t>
      </w:r>
      <w:r w:rsidR="00957690" w:rsidRPr="00957690">
        <w:rPr>
          <w:i/>
          <w:iCs/>
          <w:lang w:val="en-US"/>
        </w:rPr>
        <w:t>et al.</w:t>
      </w:r>
      <w:r w:rsidR="009F508D" w:rsidRPr="005F2A26">
        <w:rPr>
          <w:iCs/>
          <w:lang w:val="en-US"/>
        </w:rPr>
        <w:t>,</w:t>
      </w:r>
      <w:r w:rsidR="00AF4E61" w:rsidRPr="005F2A26">
        <w:rPr>
          <w:rFonts w:eastAsiaTheme="minorEastAsia" w:cs="Times New Roman"/>
          <w:iCs/>
          <w:szCs w:val="24"/>
          <w:lang w:val="en-US" w:eastAsia="zh-CN"/>
        </w:rPr>
        <w:t xml:space="preserve"> 2009), and </w:t>
      </w:r>
      <w:r w:rsidR="00273171" w:rsidRPr="005F2A26">
        <w:rPr>
          <w:rFonts w:eastAsiaTheme="minorEastAsia" w:cs="Times New Roman"/>
          <w:iCs/>
          <w:szCs w:val="24"/>
          <w:lang w:val="en-US" w:eastAsia="zh-CN"/>
        </w:rPr>
        <w:t>behavioral</w:t>
      </w:r>
      <w:r w:rsidR="00AF4E61" w:rsidRPr="005F2A26">
        <w:rPr>
          <w:rFonts w:eastAsiaTheme="minorEastAsia" w:cs="Times New Roman"/>
          <w:iCs/>
          <w:szCs w:val="24"/>
          <w:lang w:val="en-US" w:eastAsia="zh-CN"/>
        </w:rPr>
        <w:t xml:space="preserve"> consequences include competitive resistance and </w:t>
      </w:r>
      <w:r w:rsidR="00AF4E61" w:rsidRPr="005F2A26">
        <w:rPr>
          <w:rFonts w:eastAsiaTheme="minorEastAsia" w:cs="Times New Roman"/>
          <w:szCs w:val="24"/>
          <w:lang w:val="en-US" w:eastAsia="zh-CN"/>
        </w:rPr>
        <w:t xml:space="preserve">increased willingness to pay (Fuchs </w:t>
      </w:r>
      <w:r w:rsidR="00957690" w:rsidRPr="00957690">
        <w:rPr>
          <w:rFonts w:eastAsiaTheme="minorEastAsia" w:cs="Times New Roman"/>
          <w:i/>
          <w:iCs/>
          <w:szCs w:val="24"/>
          <w:lang w:val="en-US" w:eastAsia="zh-CN"/>
        </w:rPr>
        <w:t>et al.</w:t>
      </w:r>
      <w:r w:rsidR="00AF4E61" w:rsidRPr="005F2A26">
        <w:rPr>
          <w:rFonts w:eastAsiaTheme="minorEastAsia" w:cs="Times New Roman"/>
          <w:szCs w:val="24"/>
          <w:lang w:val="en-US" w:eastAsia="zh-CN"/>
        </w:rPr>
        <w:t>, 2010).</w:t>
      </w:r>
      <w:r w:rsidR="00AF4E61" w:rsidRPr="005F2A26">
        <w:rPr>
          <w:rFonts w:eastAsiaTheme="minorEastAsia" w:cs="Times New Roman"/>
          <w:iCs/>
          <w:szCs w:val="24"/>
          <w:lang w:val="en-US" w:eastAsia="zh-CN"/>
        </w:rPr>
        <w:t xml:space="preserve"> </w:t>
      </w:r>
      <w:r w:rsidR="00C67495" w:rsidRPr="005F2A26">
        <w:rPr>
          <w:rFonts w:eastAsiaTheme="minorEastAsia" w:cs="Times New Roman"/>
          <w:iCs/>
          <w:szCs w:val="24"/>
          <w:lang w:val="en-US" w:eastAsia="zh-CN"/>
        </w:rPr>
        <w:t xml:space="preserve">However, </w:t>
      </w:r>
      <w:r w:rsidR="00A32581" w:rsidRPr="005F2A26">
        <w:rPr>
          <w:rFonts w:eastAsiaTheme="minorEastAsia" w:cs="Times New Roman"/>
          <w:iCs/>
          <w:szCs w:val="24"/>
          <w:lang w:val="en-US" w:eastAsia="zh-CN"/>
        </w:rPr>
        <w:t xml:space="preserve">in the same way the antecedents to engagement are better explained with the lens of PO, </w:t>
      </w:r>
      <w:r w:rsidR="00C67495" w:rsidRPr="005F2A26">
        <w:rPr>
          <w:rFonts w:eastAsiaTheme="minorEastAsia" w:cs="Times New Roman"/>
          <w:iCs/>
          <w:szCs w:val="24"/>
          <w:lang w:val="en-US" w:eastAsia="zh-CN"/>
        </w:rPr>
        <w:t>we argue</w:t>
      </w:r>
      <w:r w:rsidR="00E963FD" w:rsidRPr="005F2A26">
        <w:rPr>
          <w:rFonts w:eastAsiaTheme="minorEastAsia" w:cs="Times New Roman"/>
          <w:iCs/>
          <w:szCs w:val="24"/>
          <w:lang w:val="en-US" w:eastAsia="zh-CN"/>
        </w:rPr>
        <w:t xml:space="preserve"> the</w:t>
      </w:r>
      <w:r w:rsidR="00A32581" w:rsidRPr="005F2A26">
        <w:rPr>
          <w:rFonts w:eastAsiaTheme="minorEastAsia" w:cs="Times New Roman"/>
          <w:iCs/>
          <w:szCs w:val="24"/>
          <w:lang w:val="en-US" w:eastAsia="zh-CN"/>
        </w:rPr>
        <w:t>se</w:t>
      </w:r>
      <w:r w:rsidR="00E963FD" w:rsidRPr="005F2A26">
        <w:rPr>
          <w:rFonts w:eastAsiaTheme="minorEastAsia" w:cs="Times New Roman"/>
          <w:iCs/>
          <w:szCs w:val="24"/>
          <w:lang w:val="en-US" w:eastAsia="zh-CN"/>
        </w:rPr>
        <w:t xml:space="preserve"> </w:t>
      </w:r>
      <w:r w:rsidR="006455F5" w:rsidRPr="005F2A26">
        <w:rPr>
          <w:rFonts w:eastAsiaTheme="minorEastAsia" w:cs="Times New Roman"/>
          <w:iCs/>
          <w:szCs w:val="24"/>
          <w:lang w:val="en-US" w:eastAsia="zh-CN"/>
        </w:rPr>
        <w:t xml:space="preserve">PO </w:t>
      </w:r>
      <w:r w:rsidR="00E963FD" w:rsidRPr="005F2A26">
        <w:rPr>
          <w:rFonts w:eastAsiaTheme="minorEastAsia" w:cs="Times New Roman"/>
          <w:iCs/>
          <w:szCs w:val="24"/>
          <w:lang w:val="en-US" w:eastAsia="zh-CN"/>
        </w:rPr>
        <w:t xml:space="preserve">consequences </w:t>
      </w:r>
      <w:r w:rsidR="00E7165C">
        <w:rPr>
          <w:rFonts w:eastAsiaTheme="minorEastAsia" w:cs="Times New Roman"/>
          <w:iCs/>
          <w:szCs w:val="24"/>
          <w:lang w:val="en-US" w:eastAsia="zh-CN"/>
        </w:rPr>
        <w:t xml:space="preserve">reflect </w:t>
      </w:r>
      <w:r w:rsidR="00E963FD" w:rsidRPr="005F2A26">
        <w:rPr>
          <w:rFonts w:eastAsiaTheme="minorEastAsia" w:cs="Times New Roman"/>
          <w:iCs/>
          <w:szCs w:val="24"/>
          <w:lang w:val="en-US" w:eastAsia="zh-CN"/>
        </w:rPr>
        <w:t xml:space="preserve">an actor’s </w:t>
      </w:r>
      <w:r w:rsidR="00683A8A" w:rsidRPr="005F2A26">
        <w:rPr>
          <w:rFonts w:eastAsiaTheme="minorEastAsia" w:cs="Times New Roman"/>
          <w:iCs/>
          <w:szCs w:val="24"/>
          <w:lang w:val="en-US" w:eastAsia="zh-CN"/>
        </w:rPr>
        <w:t>positive</w:t>
      </w:r>
      <w:r w:rsidR="00273171">
        <w:rPr>
          <w:rFonts w:eastAsiaTheme="minorEastAsia" w:cs="Times New Roman"/>
          <w:iCs/>
          <w:szCs w:val="24"/>
          <w:lang w:val="en-US" w:eastAsia="zh-CN"/>
        </w:rPr>
        <w:t xml:space="preserve"> engagement</w:t>
      </w:r>
      <w:r w:rsidR="00683A8A" w:rsidRPr="005F2A26">
        <w:rPr>
          <w:rFonts w:eastAsiaTheme="minorEastAsia" w:cs="Times New Roman"/>
          <w:iCs/>
          <w:szCs w:val="24"/>
          <w:lang w:val="en-US" w:eastAsia="zh-CN"/>
        </w:rPr>
        <w:t xml:space="preserve"> </w:t>
      </w:r>
      <w:r w:rsidR="00E963FD" w:rsidRPr="005F2A26">
        <w:rPr>
          <w:rFonts w:eastAsiaTheme="minorEastAsia" w:cs="Times New Roman"/>
          <w:iCs/>
          <w:szCs w:val="24"/>
          <w:lang w:val="en-US" w:eastAsia="zh-CN"/>
        </w:rPr>
        <w:t>disposition</w:t>
      </w:r>
      <w:r w:rsidR="00683A8A" w:rsidRPr="005F2A26">
        <w:rPr>
          <w:rFonts w:eastAsiaTheme="minorEastAsia" w:cs="Times New Roman"/>
          <w:iCs/>
          <w:szCs w:val="24"/>
          <w:lang w:val="en-US" w:eastAsia="zh-CN"/>
        </w:rPr>
        <w:t xml:space="preserve"> and activities</w:t>
      </w:r>
      <w:r w:rsidR="00E963FD" w:rsidRPr="005F2A26">
        <w:rPr>
          <w:rFonts w:eastAsiaTheme="minorEastAsia" w:cs="Times New Roman"/>
          <w:iCs/>
          <w:szCs w:val="24"/>
          <w:lang w:val="en-US" w:eastAsia="zh-CN"/>
        </w:rPr>
        <w:t xml:space="preserve">. </w:t>
      </w:r>
    </w:p>
    <w:p w14:paraId="562E9E05" w14:textId="37BDEA2D" w:rsidR="00C67495" w:rsidRPr="005F2A26" w:rsidRDefault="00E963FD" w:rsidP="00DE4D32">
      <w:pPr>
        <w:keepNext/>
        <w:spacing w:after="0" w:line="480" w:lineRule="auto"/>
        <w:ind w:firstLine="720"/>
        <w:rPr>
          <w:rFonts w:eastAsiaTheme="minorEastAsia" w:cs="Times New Roman"/>
          <w:iCs/>
          <w:szCs w:val="24"/>
          <w:lang w:val="en-US" w:eastAsia="zh-CN"/>
        </w:rPr>
      </w:pPr>
      <w:r w:rsidRPr="005F2A26">
        <w:rPr>
          <w:rFonts w:eastAsiaTheme="minorEastAsia" w:cs="Times New Roman"/>
          <w:iCs/>
          <w:szCs w:val="24"/>
          <w:lang w:val="en-US" w:eastAsia="zh-CN"/>
        </w:rPr>
        <w:t>Further,</w:t>
      </w:r>
      <w:r w:rsidR="00C67495" w:rsidRPr="005F2A26">
        <w:rPr>
          <w:rFonts w:eastAsiaTheme="minorEastAsia" w:cs="Times New Roman"/>
          <w:iCs/>
          <w:szCs w:val="24"/>
          <w:lang w:val="en-US" w:eastAsia="zh-CN"/>
        </w:rPr>
        <w:t xml:space="preserve"> as iPO </w:t>
      </w:r>
      <w:r w:rsidR="00E47FF8" w:rsidRPr="005F2A26">
        <w:rPr>
          <w:rFonts w:eastAsiaTheme="minorEastAsia" w:cs="Times New Roman"/>
          <w:iCs/>
          <w:szCs w:val="24"/>
          <w:lang w:val="en-US" w:eastAsia="zh-CN"/>
        </w:rPr>
        <w:t>reflects</w:t>
      </w:r>
      <w:r w:rsidR="00C67495" w:rsidRPr="005F2A26">
        <w:rPr>
          <w:rFonts w:eastAsiaTheme="minorEastAsia" w:cs="Times New Roman"/>
          <w:iCs/>
          <w:szCs w:val="24"/>
          <w:lang w:val="en-US" w:eastAsia="zh-CN"/>
        </w:rPr>
        <w:t xml:space="preserve"> an individual</w:t>
      </w:r>
      <w:r w:rsidR="00985369">
        <w:rPr>
          <w:rFonts w:eastAsiaTheme="minorEastAsia" w:cs="Times New Roman"/>
          <w:iCs/>
          <w:szCs w:val="24"/>
          <w:lang w:val="en-US" w:eastAsia="zh-CN"/>
        </w:rPr>
        <w:t>’s</w:t>
      </w:r>
      <w:r w:rsidR="00C67495" w:rsidRPr="005F2A26">
        <w:rPr>
          <w:rFonts w:eastAsiaTheme="minorEastAsia" w:cs="Times New Roman"/>
          <w:iCs/>
          <w:szCs w:val="24"/>
          <w:lang w:val="en-US" w:eastAsia="zh-CN"/>
        </w:rPr>
        <w:t xml:space="preserve"> sense of ownership, engagement </w:t>
      </w:r>
      <w:r w:rsidR="001F60ED">
        <w:rPr>
          <w:rFonts w:eastAsiaTheme="minorEastAsia" w:cs="Times New Roman"/>
          <w:iCs/>
          <w:szCs w:val="24"/>
          <w:lang w:val="en-US" w:eastAsia="zh-CN"/>
        </w:rPr>
        <w:t>within</w:t>
      </w:r>
      <w:r w:rsidR="001F60ED" w:rsidRPr="005F2A26">
        <w:rPr>
          <w:rFonts w:eastAsiaTheme="minorEastAsia" w:cs="Times New Roman"/>
          <w:iCs/>
          <w:szCs w:val="24"/>
          <w:lang w:val="en-US" w:eastAsia="zh-CN"/>
        </w:rPr>
        <w:t xml:space="preserve"> </w:t>
      </w:r>
      <w:r w:rsidR="00C67495" w:rsidRPr="005F2A26">
        <w:rPr>
          <w:rFonts w:eastAsiaTheme="minorEastAsia" w:cs="Times New Roman"/>
          <w:iCs/>
          <w:szCs w:val="24"/>
          <w:lang w:val="en-US" w:eastAsia="zh-CN"/>
        </w:rPr>
        <w:t>a dyad of brand and user</w:t>
      </w:r>
      <w:r w:rsidR="00080026" w:rsidRPr="005F2A26">
        <w:rPr>
          <w:rFonts w:eastAsiaTheme="minorEastAsia" w:cs="Times New Roman"/>
          <w:iCs/>
          <w:szCs w:val="24"/>
          <w:lang w:val="en-US" w:eastAsia="zh-CN"/>
        </w:rPr>
        <w:t xml:space="preserve"> manifest</w:t>
      </w:r>
      <w:r w:rsidR="00985369">
        <w:rPr>
          <w:rFonts w:eastAsiaTheme="minorEastAsia" w:cs="Times New Roman"/>
          <w:iCs/>
          <w:szCs w:val="24"/>
          <w:lang w:val="en-US" w:eastAsia="zh-CN"/>
        </w:rPr>
        <w:t>s</w:t>
      </w:r>
      <w:r w:rsidR="00C67495" w:rsidRPr="005F2A26">
        <w:rPr>
          <w:rFonts w:eastAsiaTheme="minorEastAsia" w:cs="Times New Roman"/>
          <w:iCs/>
          <w:szCs w:val="24"/>
          <w:lang w:val="en-US" w:eastAsia="zh-CN"/>
        </w:rPr>
        <w:t xml:space="preserve">. </w:t>
      </w:r>
      <w:r w:rsidR="00E63978" w:rsidRPr="005F2A26">
        <w:rPr>
          <w:rFonts w:eastAsiaTheme="minorEastAsia" w:cs="Times New Roman"/>
          <w:iCs/>
          <w:szCs w:val="24"/>
          <w:lang w:val="en-US" w:eastAsia="zh-CN"/>
        </w:rPr>
        <w:t>Consequences</w:t>
      </w:r>
      <w:r w:rsidR="00C67495" w:rsidRPr="005F2A26">
        <w:rPr>
          <w:rFonts w:eastAsiaTheme="minorEastAsia" w:cs="Times New Roman"/>
          <w:iCs/>
          <w:szCs w:val="24"/>
          <w:lang w:val="en-US" w:eastAsia="zh-CN"/>
        </w:rPr>
        <w:t xml:space="preserve"> might</w:t>
      </w:r>
      <w:r w:rsidR="00E63978" w:rsidRPr="005F2A26">
        <w:rPr>
          <w:rFonts w:eastAsiaTheme="minorEastAsia" w:cs="Times New Roman"/>
          <w:iCs/>
          <w:szCs w:val="24"/>
          <w:lang w:val="en-US" w:eastAsia="zh-CN"/>
        </w:rPr>
        <w:t xml:space="preserve"> include</w:t>
      </w:r>
      <w:r w:rsidR="00C67495" w:rsidRPr="005F2A26">
        <w:rPr>
          <w:rFonts w:eastAsiaTheme="minorEastAsia" w:cs="Times New Roman"/>
          <w:iCs/>
          <w:szCs w:val="24"/>
          <w:lang w:val="en-US" w:eastAsia="zh-CN"/>
        </w:rPr>
        <w:t xml:space="preserve"> brand love,</w:t>
      </w:r>
      <w:r w:rsidR="000456AB" w:rsidRPr="005F2A26">
        <w:rPr>
          <w:rFonts w:eastAsiaTheme="minorEastAsia" w:cs="Times New Roman"/>
          <w:iCs/>
          <w:szCs w:val="24"/>
          <w:lang w:val="en-US" w:eastAsia="zh-CN"/>
        </w:rPr>
        <w:t xml:space="preserve"> loyalty,</w:t>
      </w:r>
      <w:r w:rsidR="00C67495" w:rsidRPr="005F2A26">
        <w:rPr>
          <w:rFonts w:eastAsiaTheme="minorEastAsia" w:cs="Times New Roman"/>
          <w:iCs/>
          <w:szCs w:val="24"/>
          <w:lang w:val="en-US" w:eastAsia="zh-CN"/>
        </w:rPr>
        <w:t xml:space="preserve"> protect</w:t>
      </w:r>
      <w:r w:rsidR="00A831A3" w:rsidRPr="005F2A26">
        <w:rPr>
          <w:rFonts w:eastAsiaTheme="minorEastAsia" w:cs="Times New Roman"/>
          <w:iCs/>
          <w:szCs w:val="24"/>
          <w:lang w:val="en-US" w:eastAsia="zh-CN"/>
        </w:rPr>
        <w:t xml:space="preserve">ing </w:t>
      </w:r>
      <w:r w:rsidR="00C67495" w:rsidRPr="005F2A26">
        <w:rPr>
          <w:rFonts w:eastAsiaTheme="minorEastAsia" w:cs="Times New Roman"/>
          <w:iCs/>
          <w:szCs w:val="24"/>
          <w:lang w:val="en-US" w:eastAsia="zh-CN"/>
        </w:rPr>
        <w:t xml:space="preserve">one’s personal ranking, contributing to improving a service offering, or demonstrating </w:t>
      </w:r>
      <w:r w:rsidR="008E1477" w:rsidRPr="005F2A26">
        <w:rPr>
          <w:rFonts w:eastAsiaTheme="minorEastAsia" w:cs="Times New Roman"/>
          <w:iCs/>
          <w:szCs w:val="24"/>
          <w:lang w:val="en-US" w:eastAsia="zh-CN"/>
        </w:rPr>
        <w:t xml:space="preserve">personal </w:t>
      </w:r>
      <w:r w:rsidR="00C67495" w:rsidRPr="005F2A26">
        <w:rPr>
          <w:rFonts w:eastAsiaTheme="minorEastAsia" w:cs="Times New Roman"/>
          <w:iCs/>
          <w:szCs w:val="24"/>
          <w:lang w:val="en-US" w:eastAsia="zh-CN"/>
        </w:rPr>
        <w:t xml:space="preserve">knowledge or expertise through posts. This type of engagement is desirable for those platforms that control user interactions closely and rely on </w:t>
      </w:r>
      <w:r w:rsidR="00CE6492">
        <w:rPr>
          <w:rFonts w:eastAsiaTheme="minorEastAsia" w:cs="Times New Roman"/>
          <w:iCs/>
          <w:szCs w:val="24"/>
          <w:lang w:val="en-US" w:eastAsia="zh-CN"/>
        </w:rPr>
        <w:t xml:space="preserve">high </w:t>
      </w:r>
      <w:r w:rsidR="00C67495" w:rsidRPr="005F2A26">
        <w:rPr>
          <w:rFonts w:eastAsiaTheme="minorEastAsia" w:cs="Times New Roman"/>
          <w:iCs/>
          <w:szCs w:val="24"/>
          <w:lang w:val="en-US" w:eastAsia="zh-CN"/>
        </w:rPr>
        <w:t xml:space="preserve">engagement from individuals </w:t>
      </w:r>
      <w:r w:rsidR="000C5A28" w:rsidRPr="005F2A26">
        <w:rPr>
          <w:rFonts w:eastAsiaTheme="minorEastAsia" w:cs="Times New Roman"/>
          <w:iCs/>
          <w:szCs w:val="24"/>
          <w:lang w:val="en-US" w:eastAsia="zh-CN"/>
        </w:rPr>
        <w:t>(</w:t>
      </w:r>
      <w:r w:rsidR="00C67495" w:rsidRPr="005F2A26">
        <w:rPr>
          <w:rFonts w:eastAsiaTheme="minorEastAsia" w:cs="Times New Roman"/>
          <w:iCs/>
          <w:szCs w:val="24"/>
          <w:lang w:val="en-US" w:eastAsia="zh-CN"/>
        </w:rPr>
        <w:t>e.g., Uber or Prosper</w:t>
      </w:r>
      <w:r w:rsidR="000C5A28" w:rsidRPr="005F2A26">
        <w:rPr>
          <w:rFonts w:eastAsiaTheme="minorEastAsia" w:cs="Times New Roman"/>
          <w:iCs/>
          <w:szCs w:val="24"/>
          <w:lang w:val="en-US" w:eastAsia="zh-CN"/>
        </w:rPr>
        <w:t xml:space="preserve"> in Figure 1)</w:t>
      </w:r>
      <w:r w:rsidR="00C67495" w:rsidRPr="005F2A26">
        <w:rPr>
          <w:rFonts w:eastAsiaTheme="minorEastAsia" w:cs="Times New Roman"/>
          <w:iCs/>
          <w:szCs w:val="24"/>
          <w:lang w:val="en-US" w:eastAsia="zh-CN"/>
        </w:rPr>
        <w:t xml:space="preserve">. However, if a platform relies </w:t>
      </w:r>
      <w:r w:rsidR="006C7485">
        <w:rPr>
          <w:rFonts w:eastAsiaTheme="minorEastAsia" w:cs="Times New Roman"/>
          <w:iCs/>
          <w:szCs w:val="24"/>
          <w:lang w:val="en-US" w:eastAsia="zh-CN"/>
        </w:rPr>
        <w:t xml:space="preserve">(solely or additionally) </w:t>
      </w:r>
      <w:r w:rsidR="00C67495" w:rsidRPr="005F2A26">
        <w:rPr>
          <w:rFonts w:eastAsiaTheme="minorEastAsia" w:cs="Times New Roman"/>
          <w:iCs/>
          <w:szCs w:val="24"/>
          <w:lang w:val="en-US" w:eastAsia="zh-CN"/>
        </w:rPr>
        <w:t>on collective engagement by a community of users, cPO must first emerge</w:t>
      </w:r>
      <w:r w:rsidR="006550E3">
        <w:rPr>
          <w:rFonts w:eastAsiaTheme="minorEastAsia" w:cs="Times New Roman"/>
          <w:iCs/>
          <w:szCs w:val="24"/>
          <w:lang w:val="en-US" w:eastAsia="zh-CN"/>
        </w:rPr>
        <w:t>, explained next</w:t>
      </w:r>
      <w:r w:rsidR="00C67495" w:rsidRPr="005F2A26">
        <w:rPr>
          <w:rFonts w:eastAsiaTheme="minorEastAsia" w:cs="Times New Roman"/>
          <w:iCs/>
          <w:szCs w:val="24"/>
          <w:lang w:val="en-US" w:eastAsia="zh-CN"/>
        </w:rPr>
        <w:t>.</w:t>
      </w:r>
    </w:p>
    <w:p w14:paraId="60D47645" w14:textId="77777777" w:rsidR="00F602F6" w:rsidRPr="005F2A26" w:rsidRDefault="00F602F6" w:rsidP="00C93EC4">
      <w:pPr>
        <w:keepNext/>
        <w:spacing w:after="0" w:line="480" w:lineRule="auto"/>
        <w:rPr>
          <w:rFonts w:eastAsiaTheme="minorEastAsia" w:cs="Times New Roman"/>
          <w:b/>
          <w:bCs/>
          <w:iCs/>
          <w:szCs w:val="24"/>
          <w:lang w:val="en-US" w:eastAsia="zh-CN"/>
        </w:rPr>
      </w:pPr>
    </w:p>
    <w:p w14:paraId="3320747C" w14:textId="40AD1615" w:rsidR="00C44216" w:rsidRPr="005F2A26" w:rsidRDefault="00C44216" w:rsidP="00C93EC4">
      <w:pPr>
        <w:keepNext/>
        <w:spacing w:after="0" w:line="480" w:lineRule="auto"/>
        <w:rPr>
          <w:rFonts w:eastAsiaTheme="minorEastAsia" w:cs="Times New Roman"/>
          <w:b/>
          <w:bCs/>
          <w:iCs/>
          <w:szCs w:val="24"/>
          <w:lang w:val="en-US" w:eastAsia="zh-CN"/>
        </w:rPr>
      </w:pPr>
      <w:r w:rsidRPr="005F2A26">
        <w:rPr>
          <w:rFonts w:eastAsiaTheme="minorEastAsia" w:cs="Times New Roman"/>
          <w:b/>
          <w:bCs/>
          <w:iCs/>
          <w:szCs w:val="24"/>
          <w:lang w:val="en-US" w:eastAsia="zh-CN"/>
        </w:rPr>
        <w:t>Collective Psychological Ownership (</w:t>
      </w:r>
      <w:r w:rsidR="008E14F9" w:rsidRPr="005F2A26">
        <w:rPr>
          <w:rFonts w:eastAsiaTheme="minorEastAsia" w:cs="Times New Roman"/>
          <w:b/>
          <w:bCs/>
          <w:iCs/>
          <w:szCs w:val="24"/>
          <w:lang w:val="en-US" w:eastAsia="zh-CN"/>
        </w:rPr>
        <w:t>c</w:t>
      </w:r>
      <w:r w:rsidRPr="005F2A26">
        <w:rPr>
          <w:rFonts w:eastAsiaTheme="minorEastAsia" w:cs="Times New Roman"/>
          <w:b/>
          <w:bCs/>
          <w:iCs/>
          <w:szCs w:val="24"/>
          <w:lang w:val="en-US" w:eastAsia="zh-CN"/>
        </w:rPr>
        <w:t>PO)</w:t>
      </w:r>
      <w:r w:rsidR="003C649A" w:rsidRPr="005F2A26">
        <w:rPr>
          <w:rFonts w:eastAsiaTheme="minorEastAsia" w:cs="Times New Roman"/>
          <w:b/>
          <w:bCs/>
          <w:iCs/>
          <w:szCs w:val="24"/>
          <w:lang w:val="en-US" w:eastAsia="zh-CN"/>
        </w:rPr>
        <w:t xml:space="preserve"> and actor engagement behaviors</w:t>
      </w:r>
    </w:p>
    <w:p w14:paraId="7F218745" w14:textId="47040E29" w:rsidR="00C44216" w:rsidRPr="005F2A26" w:rsidRDefault="008E14F9" w:rsidP="00C93EC4">
      <w:pPr>
        <w:spacing w:after="0" w:line="480" w:lineRule="auto"/>
        <w:rPr>
          <w:rFonts w:eastAsiaTheme="minorEastAsia" w:cs="Times New Roman"/>
          <w:szCs w:val="24"/>
          <w:lang w:val="en-US" w:eastAsia="zh-CN"/>
        </w:rPr>
      </w:pPr>
      <w:r w:rsidRPr="005F2A26">
        <w:rPr>
          <w:rFonts w:eastAsiaTheme="minorEastAsia" w:cs="Times New Roman"/>
          <w:szCs w:val="24"/>
          <w:lang w:val="en-US" w:eastAsia="zh-CN"/>
        </w:rPr>
        <w:t>c</w:t>
      </w:r>
      <w:r w:rsidR="00C44216" w:rsidRPr="005F2A26">
        <w:rPr>
          <w:rFonts w:eastAsiaTheme="minorEastAsia" w:cs="Times New Roman"/>
          <w:szCs w:val="24"/>
          <w:lang w:val="en-US" w:eastAsia="zh-CN"/>
        </w:rPr>
        <w:t>PO</w:t>
      </w:r>
      <w:r w:rsidR="00E20F0A" w:rsidRPr="005F2A26">
        <w:rPr>
          <w:rFonts w:eastAsiaTheme="minorEastAsia" w:cs="Times New Roman"/>
          <w:szCs w:val="24"/>
          <w:lang w:val="en-US" w:eastAsia="zh-CN"/>
        </w:rPr>
        <w:t xml:space="preserve"> is</w:t>
      </w:r>
      <w:r w:rsidR="00CB0805" w:rsidRPr="005F2A26">
        <w:rPr>
          <w:rFonts w:eastAsiaTheme="minorEastAsia" w:cs="Times New Roman"/>
          <w:szCs w:val="24"/>
          <w:lang w:val="en-US" w:eastAsia="zh-CN"/>
        </w:rPr>
        <w:t xml:space="preserve"> defined as</w:t>
      </w:r>
      <w:r w:rsidR="00C44216" w:rsidRPr="005F2A26">
        <w:rPr>
          <w:rFonts w:eastAsiaTheme="minorEastAsia" w:cs="Times New Roman"/>
          <w:szCs w:val="24"/>
          <w:lang w:val="en-US" w:eastAsia="zh-CN"/>
        </w:rPr>
        <w:t xml:space="preserve"> </w:t>
      </w:r>
      <w:r w:rsidR="00E8446F" w:rsidRPr="005F2A26">
        <w:rPr>
          <w:rFonts w:eastAsiaTheme="minorEastAsia" w:cs="Times New Roman"/>
          <w:szCs w:val="24"/>
          <w:lang w:val="en-US" w:eastAsia="zh-CN"/>
        </w:rPr>
        <w:t>“the</w:t>
      </w:r>
      <w:r w:rsidRPr="005F2A26">
        <w:rPr>
          <w:rFonts w:eastAsiaTheme="minorEastAsia" w:cs="Times New Roman"/>
          <w:szCs w:val="24"/>
          <w:lang w:val="en-US" w:eastAsia="zh-CN"/>
        </w:rPr>
        <w:t xml:space="preserve"> </w:t>
      </w:r>
      <w:r w:rsidR="00C44216" w:rsidRPr="005F2A26">
        <w:rPr>
          <w:rFonts w:eastAsiaTheme="minorEastAsia" w:cs="Times New Roman"/>
          <w:szCs w:val="24"/>
          <w:lang w:val="en-US" w:eastAsia="zh-CN"/>
        </w:rPr>
        <w:t>collectively held sense (feeling) that this target of ownership (or a piece of that target) is collectively ‘ours’</w:t>
      </w:r>
      <w:r w:rsidR="00E8446F" w:rsidRPr="005F2A26">
        <w:rPr>
          <w:rFonts w:eastAsiaTheme="minorEastAsia" w:cs="Times New Roman"/>
          <w:szCs w:val="24"/>
          <w:lang w:val="en-US" w:eastAsia="zh-CN"/>
        </w:rPr>
        <w:t>”</w:t>
      </w:r>
      <w:r w:rsidR="00C44216" w:rsidRPr="005F2A26">
        <w:rPr>
          <w:rFonts w:eastAsiaTheme="minorEastAsia" w:cs="Times New Roman"/>
          <w:szCs w:val="24"/>
          <w:lang w:val="en-US" w:eastAsia="zh-CN"/>
        </w:rPr>
        <w:t xml:space="preserve"> (Pierce and </w:t>
      </w:r>
      <w:proofErr w:type="spellStart"/>
      <w:r w:rsidR="00C44216" w:rsidRPr="005F2A26">
        <w:rPr>
          <w:rFonts w:eastAsiaTheme="minorEastAsia" w:cs="Times New Roman"/>
          <w:szCs w:val="24"/>
          <w:lang w:val="en-US" w:eastAsia="zh-CN"/>
        </w:rPr>
        <w:t>Jussila</w:t>
      </w:r>
      <w:proofErr w:type="spellEnd"/>
      <w:r w:rsidR="006A2B03" w:rsidRPr="005F2A26">
        <w:rPr>
          <w:rFonts w:eastAsiaTheme="minorEastAsia" w:cs="Times New Roman"/>
          <w:szCs w:val="24"/>
          <w:lang w:val="en-US" w:eastAsia="zh-CN"/>
        </w:rPr>
        <w:t>,</w:t>
      </w:r>
      <w:r w:rsidR="00C44216" w:rsidRPr="005F2A26">
        <w:rPr>
          <w:rFonts w:eastAsiaTheme="minorEastAsia" w:cs="Times New Roman"/>
          <w:szCs w:val="24"/>
          <w:lang w:val="en-US" w:eastAsia="zh-CN"/>
        </w:rPr>
        <w:t xml:space="preserve"> 2010</w:t>
      </w:r>
      <w:r w:rsidR="00E8446F" w:rsidRPr="005F2A26">
        <w:rPr>
          <w:rFonts w:eastAsiaTheme="minorEastAsia" w:cs="Times New Roman"/>
          <w:szCs w:val="24"/>
          <w:lang w:val="en-US" w:eastAsia="zh-CN"/>
        </w:rPr>
        <w:t xml:space="preserve">, </w:t>
      </w:r>
      <w:r w:rsidR="006A2B03" w:rsidRPr="005F2A26">
        <w:rPr>
          <w:rFonts w:eastAsiaTheme="minorEastAsia" w:cs="Times New Roman"/>
          <w:szCs w:val="24"/>
          <w:lang w:val="en-US" w:eastAsia="zh-CN"/>
        </w:rPr>
        <w:t>p.</w:t>
      </w:r>
      <w:r w:rsidR="00E8446F" w:rsidRPr="005F2A26">
        <w:rPr>
          <w:rFonts w:eastAsiaTheme="minorEastAsia" w:cs="Times New Roman"/>
          <w:szCs w:val="24"/>
          <w:lang w:val="en-US" w:eastAsia="zh-CN"/>
        </w:rPr>
        <w:t>812</w:t>
      </w:r>
      <w:r w:rsidR="00C44216" w:rsidRPr="005F2A26">
        <w:rPr>
          <w:rFonts w:eastAsiaTheme="minorEastAsia" w:cs="Times New Roman"/>
          <w:szCs w:val="24"/>
          <w:lang w:val="en-US" w:eastAsia="zh-CN"/>
        </w:rPr>
        <w:t xml:space="preserve">). </w:t>
      </w:r>
      <w:r w:rsidR="005253E4" w:rsidRPr="005F2A26">
        <w:rPr>
          <w:rFonts w:eastAsiaTheme="minorEastAsia" w:cs="Times New Roman"/>
          <w:szCs w:val="24"/>
          <w:lang w:val="en-US" w:eastAsia="zh-CN"/>
        </w:rPr>
        <w:t>cPO</w:t>
      </w:r>
      <w:r w:rsidR="00C44216" w:rsidRPr="005F2A26">
        <w:rPr>
          <w:rFonts w:eastAsiaTheme="minorEastAsia" w:cs="Times New Roman"/>
          <w:szCs w:val="24"/>
          <w:lang w:val="en-US" w:eastAsia="zh-CN"/>
        </w:rPr>
        <w:t xml:space="preserve"> is socially constructed</w:t>
      </w:r>
      <w:r w:rsidR="005253E4" w:rsidRPr="005F2A26">
        <w:rPr>
          <w:rFonts w:eastAsiaTheme="minorEastAsia" w:cs="Times New Roman"/>
          <w:szCs w:val="24"/>
          <w:lang w:val="en-US" w:eastAsia="zh-CN"/>
        </w:rPr>
        <w:t xml:space="preserve"> through group processes</w:t>
      </w:r>
      <w:r w:rsidR="00781E07" w:rsidRPr="005F2A26">
        <w:rPr>
          <w:rFonts w:eastAsiaTheme="minorEastAsia" w:cs="Times New Roman"/>
          <w:szCs w:val="24"/>
          <w:lang w:val="en-US" w:eastAsia="zh-CN"/>
        </w:rPr>
        <w:t xml:space="preserve"> and</w:t>
      </w:r>
      <w:r w:rsidRPr="005F2A26">
        <w:rPr>
          <w:rFonts w:eastAsiaTheme="minorEastAsia" w:cs="Times New Roman"/>
          <w:szCs w:val="24"/>
          <w:lang w:val="en-US" w:eastAsia="zh-CN"/>
        </w:rPr>
        <w:t xml:space="preserve"> </w:t>
      </w:r>
      <w:r w:rsidR="00C44216" w:rsidRPr="005F2A26">
        <w:rPr>
          <w:rFonts w:eastAsiaTheme="minorEastAsia" w:cs="Times New Roman"/>
          <w:szCs w:val="24"/>
          <w:lang w:val="en-US" w:eastAsia="zh-CN"/>
        </w:rPr>
        <w:t>transcend</w:t>
      </w:r>
      <w:r w:rsidR="00781E07" w:rsidRPr="005F2A26">
        <w:rPr>
          <w:rFonts w:eastAsiaTheme="minorEastAsia" w:cs="Times New Roman"/>
          <w:szCs w:val="24"/>
          <w:lang w:val="en-US" w:eastAsia="zh-CN"/>
        </w:rPr>
        <w:t>s</w:t>
      </w:r>
      <w:r w:rsidR="00C44216" w:rsidRPr="005F2A26">
        <w:rPr>
          <w:rFonts w:eastAsiaTheme="minorEastAsia" w:cs="Times New Roman"/>
          <w:szCs w:val="24"/>
          <w:lang w:val="en-US" w:eastAsia="zh-CN"/>
        </w:rPr>
        <w:t xml:space="preserve"> individual cognition</w:t>
      </w:r>
      <w:r w:rsidR="001051D0" w:rsidRPr="005F2A26">
        <w:rPr>
          <w:rFonts w:eastAsiaTheme="minorEastAsia" w:cs="Times New Roman"/>
          <w:szCs w:val="24"/>
          <w:lang w:val="en-US" w:eastAsia="zh-CN"/>
        </w:rPr>
        <w:t xml:space="preserve"> and </w:t>
      </w:r>
      <w:r w:rsidR="00C44216" w:rsidRPr="005F2A26">
        <w:rPr>
          <w:rFonts w:eastAsiaTheme="minorEastAsia" w:cs="Times New Roman"/>
          <w:szCs w:val="24"/>
          <w:lang w:val="en-US" w:eastAsia="zh-CN"/>
        </w:rPr>
        <w:t xml:space="preserve">affect through </w:t>
      </w:r>
      <w:r w:rsidR="005253E4" w:rsidRPr="005F2A26">
        <w:rPr>
          <w:rFonts w:eastAsiaTheme="minorEastAsia" w:cs="Times New Roman"/>
          <w:szCs w:val="24"/>
          <w:lang w:val="en-US" w:eastAsia="zh-CN"/>
        </w:rPr>
        <w:t>collective</w:t>
      </w:r>
      <w:r w:rsidR="00C44216" w:rsidRPr="005F2A26">
        <w:rPr>
          <w:rFonts w:eastAsiaTheme="minorEastAsia" w:cs="Times New Roman"/>
          <w:szCs w:val="24"/>
          <w:lang w:val="en-US" w:eastAsia="zh-CN"/>
        </w:rPr>
        <w:t xml:space="preserve"> </w:t>
      </w:r>
      <w:r w:rsidR="0065729D" w:rsidRPr="005F2A26">
        <w:rPr>
          <w:rFonts w:eastAsiaTheme="minorEastAsia" w:cs="Times New Roman"/>
          <w:szCs w:val="24"/>
          <w:lang w:val="en-US" w:eastAsia="zh-CN"/>
        </w:rPr>
        <w:t>“</w:t>
      </w:r>
      <w:r w:rsidR="00C44216" w:rsidRPr="005F2A26">
        <w:rPr>
          <w:rFonts w:eastAsiaTheme="minorEastAsia" w:cs="Times New Roman"/>
          <w:szCs w:val="24"/>
          <w:lang w:val="en-US" w:eastAsia="zh-CN"/>
        </w:rPr>
        <w:t>acquisition, storage, transmission, manipulation, and use of information</w:t>
      </w:r>
      <w:r w:rsidR="0065729D" w:rsidRPr="005F2A26">
        <w:rPr>
          <w:rFonts w:eastAsiaTheme="minorEastAsia" w:cs="Times New Roman"/>
          <w:szCs w:val="24"/>
          <w:lang w:val="en-US" w:eastAsia="zh-CN"/>
        </w:rPr>
        <w:t>”</w:t>
      </w:r>
      <w:r w:rsidR="00C44216" w:rsidRPr="005F2A26">
        <w:rPr>
          <w:rFonts w:eastAsiaTheme="minorEastAsia" w:cs="Times New Roman"/>
          <w:szCs w:val="24"/>
          <w:lang w:val="en-US" w:eastAsia="zh-CN"/>
        </w:rPr>
        <w:t xml:space="preserve"> (Gibson</w:t>
      </w:r>
      <w:r w:rsidR="009F508D" w:rsidRPr="005F2A26">
        <w:rPr>
          <w:rFonts w:eastAsiaTheme="minorEastAsia" w:cs="Times New Roman"/>
          <w:szCs w:val="24"/>
          <w:lang w:val="en-US" w:eastAsia="zh-CN"/>
        </w:rPr>
        <w:t>,</w:t>
      </w:r>
      <w:r w:rsidR="00C44216" w:rsidRPr="005F2A26">
        <w:rPr>
          <w:rFonts w:eastAsiaTheme="minorEastAsia" w:cs="Times New Roman"/>
          <w:szCs w:val="24"/>
          <w:lang w:val="en-US" w:eastAsia="zh-CN"/>
        </w:rPr>
        <w:t xml:space="preserve"> 2001</w:t>
      </w:r>
      <w:r w:rsidR="0065729D" w:rsidRPr="005F2A26">
        <w:rPr>
          <w:rFonts w:eastAsiaTheme="minorEastAsia" w:cs="Times New Roman"/>
          <w:szCs w:val="24"/>
          <w:lang w:val="en-US" w:eastAsia="zh-CN"/>
        </w:rPr>
        <w:t>, p.122</w:t>
      </w:r>
      <w:r w:rsidR="00C44216" w:rsidRPr="005F2A26">
        <w:rPr>
          <w:rFonts w:eastAsiaTheme="minorEastAsia" w:cs="Times New Roman"/>
          <w:szCs w:val="24"/>
          <w:lang w:val="en-US" w:eastAsia="zh-CN"/>
        </w:rPr>
        <w:t xml:space="preserve">). </w:t>
      </w:r>
      <w:r w:rsidR="00C66667" w:rsidRPr="005F2A26">
        <w:rPr>
          <w:rFonts w:eastAsiaTheme="minorEastAsia" w:cs="Times New Roman"/>
          <w:szCs w:val="24"/>
          <w:lang w:val="en-US" w:eastAsia="zh-CN"/>
        </w:rPr>
        <w:t>c</w:t>
      </w:r>
      <w:r w:rsidR="00C44216" w:rsidRPr="005F2A26">
        <w:rPr>
          <w:rFonts w:eastAsiaTheme="minorEastAsia" w:cs="Times New Roman"/>
          <w:szCs w:val="24"/>
          <w:lang w:val="en-US" w:eastAsia="zh-CN"/>
        </w:rPr>
        <w:t xml:space="preserve">PO is particularly important </w:t>
      </w:r>
      <w:r w:rsidR="009D26F1" w:rsidRPr="005F2A26">
        <w:rPr>
          <w:rFonts w:eastAsiaTheme="minorEastAsia" w:cs="Times New Roman"/>
          <w:szCs w:val="24"/>
          <w:lang w:val="en-US" w:eastAsia="zh-CN"/>
        </w:rPr>
        <w:t xml:space="preserve">in </w:t>
      </w:r>
      <w:r w:rsidR="00271ACF" w:rsidRPr="005F2A26">
        <w:rPr>
          <w:rFonts w:eastAsiaTheme="minorEastAsia" w:cs="Times New Roman"/>
          <w:szCs w:val="24"/>
          <w:lang w:val="en-US" w:eastAsia="zh-CN"/>
        </w:rPr>
        <w:t xml:space="preserve">those </w:t>
      </w:r>
      <w:r w:rsidR="008D440F">
        <w:rPr>
          <w:rFonts w:eastAsiaTheme="minorEastAsia" w:cs="Times New Roman"/>
          <w:szCs w:val="24"/>
          <w:lang w:val="en-US" w:eastAsia="zh-CN"/>
        </w:rPr>
        <w:t xml:space="preserve">SE </w:t>
      </w:r>
      <w:r w:rsidR="00271ACF" w:rsidRPr="005F2A26">
        <w:rPr>
          <w:rFonts w:eastAsiaTheme="minorEastAsia" w:cs="Times New Roman"/>
          <w:szCs w:val="24"/>
          <w:lang w:val="en-US" w:eastAsia="zh-CN"/>
        </w:rPr>
        <w:t xml:space="preserve">platforms that do not closely control interactions </w:t>
      </w:r>
      <w:r w:rsidR="008854A0" w:rsidRPr="005F2A26">
        <w:rPr>
          <w:rFonts w:eastAsiaTheme="minorEastAsia" w:cs="Times New Roman"/>
          <w:szCs w:val="24"/>
          <w:lang w:val="en-US" w:eastAsia="zh-CN"/>
        </w:rPr>
        <w:t xml:space="preserve">and </w:t>
      </w:r>
      <w:r w:rsidR="00271ACF" w:rsidRPr="005F2A26">
        <w:rPr>
          <w:rFonts w:eastAsiaTheme="minorEastAsia" w:cs="Times New Roman"/>
          <w:szCs w:val="24"/>
          <w:lang w:val="en-US" w:eastAsia="zh-CN"/>
        </w:rPr>
        <w:t>rely on user generated content</w:t>
      </w:r>
      <w:r w:rsidR="00BF50ED" w:rsidRPr="005F2A26">
        <w:rPr>
          <w:rFonts w:eastAsiaTheme="minorEastAsia" w:cs="Times New Roman"/>
          <w:szCs w:val="24"/>
          <w:lang w:val="en-US" w:eastAsia="zh-CN"/>
        </w:rPr>
        <w:t xml:space="preserve"> and</w:t>
      </w:r>
      <w:r w:rsidR="00271ACF" w:rsidRPr="005F2A26">
        <w:rPr>
          <w:rFonts w:eastAsiaTheme="minorEastAsia" w:cs="Times New Roman"/>
          <w:szCs w:val="24"/>
          <w:lang w:val="en-US" w:eastAsia="zh-CN"/>
        </w:rPr>
        <w:t xml:space="preserve"> </w:t>
      </w:r>
      <w:r w:rsidR="00C44216" w:rsidRPr="005F2A26">
        <w:rPr>
          <w:rFonts w:eastAsiaTheme="minorEastAsia" w:cs="Times New Roman"/>
          <w:szCs w:val="24"/>
          <w:lang w:val="en-US" w:eastAsia="zh-CN"/>
        </w:rPr>
        <w:t>group</w:t>
      </w:r>
      <w:r w:rsidR="00BF50ED" w:rsidRPr="005F2A26">
        <w:rPr>
          <w:rFonts w:eastAsiaTheme="minorEastAsia" w:cs="Times New Roman"/>
          <w:szCs w:val="24"/>
          <w:lang w:val="en-US" w:eastAsia="zh-CN"/>
        </w:rPr>
        <w:t>-</w:t>
      </w:r>
      <w:r w:rsidR="00C44216" w:rsidRPr="005F2A26">
        <w:rPr>
          <w:rFonts w:eastAsiaTheme="minorEastAsia" w:cs="Times New Roman"/>
          <w:szCs w:val="24"/>
          <w:lang w:val="en-US" w:eastAsia="zh-CN"/>
        </w:rPr>
        <w:t>level</w:t>
      </w:r>
      <w:r w:rsidR="00BF50ED" w:rsidRPr="005F2A26">
        <w:rPr>
          <w:rFonts w:eastAsiaTheme="minorEastAsia" w:cs="Times New Roman"/>
          <w:szCs w:val="24"/>
          <w:lang w:val="en-US" w:eastAsia="zh-CN"/>
        </w:rPr>
        <w:t xml:space="preserve"> phenomena</w:t>
      </w:r>
      <w:r w:rsidR="00C44216" w:rsidRPr="005F2A26">
        <w:rPr>
          <w:rFonts w:eastAsiaTheme="minorEastAsia" w:cs="Times New Roman"/>
          <w:szCs w:val="24"/>
          <w:lang w:val="en-US" w:eastAsia="zh-CN"/>
        </w:rPr>
        <w:t xml:space="preserve"> </w:t>
      </w:r>
      <w:r w:rsidR="00C44216" w:rsidRPr="005F2A26">
        <w:rPr>
          <w:rFonts w:cs="Times New Roman"/>
          <w:szCs w:val="24"/>
          <w:lang w:val="en-US"/>
        </w:rPr>
        <w:t>(</w:t>
      </w:r>
      <w:proofErr w:type="spellStart"/>
      <w:r w:rsidR="00C44216" w:rsidRPr="005F2A26">
        <w:rPr>
          <w:rFonts w:cs="Times New Roman"/>
          <w:szCs w:val="24"/>
          <w:lang w:val="en-US"/>
        </w:rPr>
        <w:t>Arnould</w:t>
      </w:r>
      <w:proofErr w:type="spellEnd"/>
      <w:r w:rsidR="00A94894" w:rsidRPr="005F2A26">
        <w:rPr>
          <w:rFonts w:cs="Times New Roman"/>
          <w:szCs w:val="24"/>
          <w:lang w:val="en-US"/>
        </w:rPr>
        <w:t xml:space="preserve"> </w:t>
      </w:r>
      <w:r w:rsidR="00957690" w:rsidRPr="00957690">
        <w:rPr>
          <w:rFonts w:cs="Times New Roman"/>
          <w:i/>
          <w:iCs/>
          <w:szCs w:val="24"/>
          <w:lang w:val="en-US"/>
        </w:rPr>
        <w:t>et al.</w:t>
      </w:r>
      <w:r w:rsidR="00A94894" w:rsidRPr="005F2A26">
        <w:rPr>
          <w:rFonts w:cs="Times New Roman"/>
          <w:szCs w:val="24"/>
          <w:lang w:val="en-US"/>
        </w:rPr>
        <w:t>,</w:t>
      </w:r>
      <w:r w:rsidR="00C44216" w:rsidRPr="005F2A26">
        <w:rPr>
          <w:rFonts w:cs="Times New Roman"/>
          <w:szCs w:val="24"/>
          <w:lang w:val="en-US"/>
        </w:rPr>
        <w:t xml:space="preserve"> 2006)</w:t>
      </w:r>
      <w:r w:rsidR="006550E3">
        <w:rPr>
          <w:rFonts w:cs="Times New Roman"/>
          <w:szCs w:val="24"/>
          <w:lang w:val="en-US"/>
        </w:rPr>
        <w:t xml:space="preserve">, e.g., </w:t>
      </w:r>
      <w:proofErr w:type="spellStart"/>
      <w:r w:rsidR="006550E3" w:rsidRPr="005F2A26">
        <w:rPr>
          <w:rFonts w:eastAsiaTheme="minorEastAsia" w:cs="Times New Roman"/>
          <w:iCs/>
          <w:szCs w:val="24"/>
          <w:lang w:val="en-US" w:eastAsia="zh-CN"/>
        </w:rPr>
        <w:t>Stackoverflow</w:t>
      </w:r>
      <w:proofErr w:type="spellEnd"/>
      <w:r w:rsidR="006550E3" w:rsidRPr="005F2A26">
        <w:rPr>
          <w:rFonts w:eastAsiaTheme="minorEastAsia" w:cs="Times New Roman"/>
          <w:iCs/>
          <w:szCs w:val="24"/>
          <w:lang w:val="en-US" w:eastAsia="zh-CN"/>
        </w:rPr>
        <w:t xml:space="preserve"> and </w:t>
      </w:r>
      <w:proofErr w:type="spellStart"/>
      <w:r w:rsidR="006550E3" w:rsidRPr="005F2A26">
        <w:rPr>
          <w:rFonts w:eastAsiaTheme="minorEastAsia" w:cs="Times New Roman"/>
          <w:iCs/>
          <w:szCs w:val="24"/>
          <w:lang w:val="en-US" w:eastAsia="zh-CN"/>
        </w:rPr>
        <w:t>GardenTags</w:t>
      </w:r>
      <w:proofErr w:type="spellEnd"/>
      <w:r w:rsidR="006550E3" w:rsidRPr="005F2A26">
        <w:rPr>
          <w:rFonts w:eastAsiaTheme="minorEastAsia" w:cs="Times New Roman"/>
          <w:iCs/>
          <w:szCs w:val="24"/>
          <w:lang w:val="en-US" w:eastAsia="zh-CN"/>
        </w:rPr>
        <w:t xml:space="preserve"> (Figure 1)</w:t>
      </w:r>
      <w:r w:rsidR="00C44216" w:rsidRPr="005F2A26">
        <w:rPr>
          <w:rFonts w:cs="Times New Roman"/>
          <w:szCs w:val="24"/>
          <w:lang w:val="en-US"/>
        </w:rPr>
        <w:t>.</w:t>
      </w:r>
      <w:r w:rsidR="00C44216" w:rsidRPr="005F2A26">
        <w:rPr>
          <w:rFonts w:eastAsiaTheme="minorEastAsia" w:cs="Times New Roman"/>
          <w:szCs w:val="24"/>
          <w:lang w:val="en-US" w:eastAsia="zh-CN"/>
        </w:rPr>
        <w:t xml:space="preserve"> </w:t>
      </w:r>
      <w:r w:rsidRPr="005F2A26">
        <w:rPr>
          <w:rFonts w:eastAsiaTheme="minorEastAsia" w:cs="Times New Roman"/>
          <w:szCs w:val="24"/>
          <w:lang w:val="en-US" w:eastAsia="zh-CN"/>
        </w:rPr>
        <w:t>cPO</w:t>
      </w:r>
      <w:r w:rsidR="00C44216" w:rsidRPr="005F2A26">
        <w:rPr>
          <w:rFonts w:eastAsiaTheme="minorEastAsia" w:cs="Times New Roman"/>
          <w:szCs w:val="24"/>
          <w:lang w:val="en-US" w:eastAsia="zh-CN"/>
        </w:rPr>
        <w:t xml:space="preserve"> result</w:t>
      </w:r>
      <w:r w:rsidR="007827A8" w:rsidRPr="005F2A26">
        <w:rPr>
          <w:rFonts w:eastAsiaTheme="minorEastAsia" w:cs="Times New Roman"/>
          <w:szCs w:val="24"/>
          <w:lang w:val="en-US" w:eastAsia="zh-CN"/>
        </w:rPr>
        <w:t>s</w:t>
      </w:r>
      <w:r w:rsidR="00C44216" w:rsidRPr="005F2A26">
        <w:rPr>
          <w:rFonts w:eastAsiaTheme="minorEastAsia" w:cs="Times New Roman"/>
          <w:szCs w:val="24"/>
          <w:lang w:val="en-US" w:eastAsia="zh-CN"/>
        </w:rPr>
        <w:t xml:space="preserve"> in shared (i.e., common) feelings, knowledge, and beliefs about the target of ownership</w:t>
      </w:r>
      <w:r w:rsidRPr="005F2A26">
        <w:rPr>
          <w:rFonts w:eastAsiaTheme="minorEastAsia" w:cs="Times New Roman"/>
          <w:szCs w:val="24"/>
          <w:lang w:val="en-US" w:eastAsia="zh-CN"/>
        </w:rPr>
        <w:t>,</w:t>
      </w:r>
      <w:r w:rsidR="00C44216" w:rsidRPr="005F2A26">
        <w:rPr>
          <w:rFonts w:eastAsiaTheme="minorEastAsia" w:cs="Times New Roman"/>
          <w:szCs w:val="24"/>
          <w:lang w:val="en-US" w:eastAsia="zh-CN"/>
        </w:rPr>
        <w:t xml:space="preserve"> and </w:t>
      </w:r>
      <w:r w:rsidR="00DD72B6" w:rsidRPr="005F2A26">
        <w:rPr>
          <w:rFonts w:eastAsiaTheme="minorEastAsia" w:cs="Times New Roman"/>
          <w:szCs w:val="24"/>
          <w:lang w:val="en-US" w:eastAsia="zh-CN"/>
        </w:rPr>
        <w:t xml:space="preserve">both </w:t>
      </w:r>
      <w:r w:rsidR="00C44216" w:rsidRPr="005F2A26">
        <w:rPr>
          <w:rFonts w:eastAsiaTheme="minorEastAsia" w:cs="Times New Roman"/>
          <w:szCs w:val="24"/>
          <w:lang w:val="en-US" w:eastAsia="zh-CN"/>
        </w:rPr>
        <w:t>individual and collective rights (e.g., use</w:t>
      </w:r>
      <w:r w:rsidR="002A29A3" w:rsidRPr="005F2A26">
        <w:rPr>
          <w:rFonts w:eastAsiaTheme="minorEastAsia" w:cs="Times New Roman"/>
          <w:szCs w:val="24"/>
          <w:lang w:val="en-US" w:eastAsia="zh-CN"/>
        </w:rPr>
        <w:t xml:space="preserve"> and</w:t>
      </w:r>
      <w:r w:rsidR="00C44216" w:rsidRPr="005F2A26">
        <w:rPr>
          <w:rFonts w:eastAsiaTheme="minorEastAsia" w:cs="Times New Roman"/>
          <w:szCs w:val="24"/>
          <w:lang w:val="en-US" w:eastAsia="zh-CN"/>
        </w:rPr>
        <w:t xml:space="preserve"> control) and responsibilities (e.g., protection) </w:t>
      </w:r>
      <w:r w:rsidR="00AB42DD" w:rsidRPr="005F2A26">
        <w:rPr>
          <w:rFonts w:eastAsiaTheme="minorEastAsia" w:cs="Times New Roman"/>
          <w:szCs w:val="24"/>
          <w:lang w:val="en-US" w:eastAsia="zh-CN"/>
        </w:rPr>
        <w:t>towards</w:t>
      </w:r>
      <w:r w:rsidR="00C44216" w:rsidRPr="005F2A26">
        <w:rPr>
          <w:rFonts w:eastAsiaTheme="minorEastAsia" w:cs="Times New Roman"/>
          <w:szCs w:val="24"/>
          <w:lang w:val="en-US" w:eastAsia="zh-CN"/>
        </w:rPr>
        <w:t xml:space="preserve"> th</w:t>
      </w:r>
      <w:r w:rsidR="00AB42DD" w:rsidRPr="005F2A26">
        <w:rPr>
          <w:rFonts w:eastAsiaTheme="minorEastAsia" w:cs="Times New Roman"/>
          <w:szCs w:val="24"/>
          <w:lang w:val="en-US" w:eastAsia="zh-CN"/>
        </w:rPr>
        <w:t>e</w:t>
      </w:r>
      <w:r w:rsidR="00C44216" w:rsidRPr="005F2A26">
        <w:rPr>
          <w:rFonts w:eastAsiaTheme="minorEastAsia" w:cs="Times New Roman"/>
          <w:szCs w:val="24"/>
          <w:lang w:val="en-US" w:eastAsia="zh-CN"/>
        </w:rPr>
        <w:t xml:space="preserve"> target.</w:t>
      </w:r>
    </w:p>
    <w:p w14:paraId="2855106B" w14:textId="686CAA07" w:rsidR="000C145A" w:rsidRPr="005F2A26" w:rsidRDefault="00A1154C" w:rsidP="00C93EC4">
      <w:pPr>
        <w:widowControl w:val="0"/>
        <w:spacing w:after="0" w:line="480" w:lineRule="auto"/>
        <w:ind w:firstLine="720"/>
        <w:rPr>
          <w:rFonts w:eastAsiaTheme="minorEastAsia" w:cs="Times New Roman"/>
          <w:noProof/>
          <w:szCs w:val="24"/>
          <w:lang w:val="en-US" w:eastAsia="zh-CN"/>
        </w:rPr>
      </w:pPr>
      <w:bookmarkStart w:id="6" w:name="_Hlk37247300"/>
      <w:r w:rsidRPr="005F2A26">
        <w:rPr>
          <w:rFonts w:eastAsiaTheme="minorEastAsia" w:cs="Times New Roman"/>
          <w:szCs w:val="24"/>
          <w:lang w:val="en-US" w:eastAsia="zh-CN"/>
        </w:rPr>
        <w:t>cPO emerges through three stages</w:t>
      </w:r>
      <w:r w:rsidR="00CB2A3E" w:rsidRPr="005F2A26">
        <w:rPr>
          <w:rFonts w:eastAsiaTheme="minorEastAsia" w:cs="Times New Roman"/>
          <w:szCs w:val="24"/>
          <w:lang w:val="en-US" w:eastAsia="zh-CN"/>
        </w:rPr>
        <w:t xml:space="preserve"> (Pierce and </w:t>
      </w:r>
      <w:proofErr w:type="spellStart"/>
      <w:r w:rsidR="00CB2A3E" w:rsidRPr="005F2A26">
        <w:rPr>
          <w:rFonts w:eastAsiaTheme="minorEastAsia" w:cs="Times New Roman"/>
          <w:szCs w:val="24"/>
          <w:lang w:val="en-US" w:eastAsia="zh-CN"/>
        </w:rPr>
        <w:t>Jussila</w:t>
      </w:r>
      <w:proofErr w:type="spellEnd"/>
      <w:r w:rsidR="006A2B03" w:rsidRPr="005F2A26">
        <w:rPr>
          <w:rFonts w:eastAsiaTheme="minorEastAsia" w:cs="Times New Roman"/>
          <w:szCs w:val="24"/>
          <w:lang w:val="en-US" w:eastAsia="zh-CN"/>
        </w:rPr>
        <w:t>,</w:t>
      </w:r>
      <w:r w:rsidR="00CB2A3E" w:rsidRPr="005F2A26">
        <w:rPr>
          <w:rFonts w:eastAsiaTheme="minorEastAsia" w:cs="Times New Roman"/>
          <w:szCs w:val="24"/>
          <w:lang w:val="en-US" w:eastAsia="zh-CN"/>
        </w:rPr>
        <w:t xml:space="preserve"> 2010)</w:t>
      </w:r>
      <w:r w:rsidRPr="005F2A26">
        <w:rPr>
          <w:rFonts w:eastAsiaTheme="minorEastAsia" w:cs="Times New Roman"/>
          <w:szCs w:val="24"/>
          <w:lang w:val="en-US" w:eastAsia="zh-CN"/>
        </w:rPr>
        <w:t xml:space="preserve">. </w:t>
      </w:r>
      <w:r w:rsidR="00426263" w:rsidRPr="005F2A26">
        <w:rPr>
          <w:rFonts w:eastAsiaTheme="minorEastAsia" w:cs="Times New Roman"/>
          <w:szCs w:val="24"/>
          <w:lang w:val="en-US" w:eastAsia="zh-CN"/>
        </w:rPr>
        <w:t xml:space="preserve">First, iPO must first </w:t>
      </w:r>
      <w:r w:rsidRPr="005F2A26">
        <w:rPr>
          <w:rFonts w:eastAsiaTheme="minorEastAsia" w:cs="Times New Roman"/>
          <w:szCs w:val="24"/>
          <w:lang w:val="en-US" w:eastAsia="zh-CN"/>
        </w:rPr>
        <w:t>manifest over the target</w:t>
      </w:r>
      <w:r w:rsidR="00E20F0A" w:rsidRPr="005F2A26">
        <w:rPr>
          <w:rFonts w:eastAsiaTheme="minorEastAsia" w:cs="Times New Roman"/>
          <w:szCs w:val="24"/>
          <w:lang w:val="en-US" w:eastAsia="zh-CN"/>
        </w:rPr>
        <w:t xml:space="preserve"> as</w:t>
      </w:r>
      <w:r w:rsidRPr="005F2A26">
        <w:rPr>
          <w:rFonts w:eastAsiaTheme="minorEastAsia" w:cs="Times New Roman"/>
          <w:szCs w:val="24"/>
          <w:lang w:val="en-US" w:eastAsia="zh-CN"/>
        </w:rPr>
        <w:t xml:space="preserve"> </w:t>
      </w:r>
      <w:r w:rsidR="00426263" w:rsidRPr="005F2A26">
        <w:rPr>
          <w:rFonts w:eastAsiaTheme="minorEastAsia" w:cs="Times New Roman"/>
          <w:szCs w:val="24"/>
          <w:lang w:val="en-US" w:eastAsia="zh-CN"/>
        </w:rPr>
        <w:t xml:space="preserve">individuals gain a sense that </w:t>
      </w:r>
      <w:r w:rsidRPr="005F2A26">
        <w:rPr>
          <w:rFonts w:eastAsiaTheme="minorEastAsia" w:cs="Times New Roman"/>
          <w:szCs w:val="24"/>
          <w:lang w:val="en-US" w:eastAsia="zh-CN"/>
        </w:rPr>
        <w:t>‘</w:t>
      </w:r>
      <w:r w:rsidR="00426263" w:rsidRPr="005F2A26">
        <w:rPr>
          <w:rFonts w:eastAsiaTheme="minorEastAsia" w:cs="Times New Roman"/>
          <w:szCs w:val="24"/>
          <w:lang w:val="en-US" w:eastAsia="zh-CN"/>
        </w:rPr>
        <w:t xml:space="preserve">this is mine’ </w:t>
      </w:r>
      <w:r w:rsidR="00E20F0A" w:rsidRPr="005F2A26">
        <w:rPr>
          <w:rFonts w:eastAsiaTheme="minorEastAsia" w:cs="Times New Roman"/>
          <w:szCs w:val="24"/>
          <w:lang w:val="en-US" w:eastAsia="zh-CN"/>
        </w:rPr>
        <w:t>and</w:t>
      </w:r>
      <w:r w:rsidR="00426263" w:rsidRPr="005F2A26">
        <w:rPr>
          <w:rFonts w:eastAsiaTheme="minorEastAsia" w:cs="Times New Roman"/>
          <w:szCs w:val="24"/>
          <w:lang w:val="en-US" w:eastAsia="zh-CN"/>
        </w:rPr>
        <w:t xml:space="preserve"> the target becomes </w:t>
      </w:r>
      <w:r w:rsidR="00426263" w:rsidRPr="005F2A26">
        <w:rPr>
          <w:rFonts w:eastAsiaTheme="minorEastAsia" w:cs="Times New Roman"/>
          <w:szCs w:val="24"/>
          <w:lang w:val="en-US" w:eastAsia="zh-CN"/>
        </w:rPr>
        <w:lastRenderedPageBreak/>
        <w:t xml:space="preserve">part of their extended self </w:t>
      </w:r>
      <w:r w:rsidR="00490DD6" w:rsidRPr="005F2A26">
        <w:rPr>
          <w:rFonts w:eastAsiaTheme="minorEastAsia" w:cs="Times New Roman"/>
          <w:szCs w:val="24"/>
          <w:lang w:val="en-US" w:eastAsia="zh-CN"/>
        </w:rPr>
        <w:t>(</w:t>
      </w:r>
      <w:r w:rsidR="00490DD6" w:rsidRPr="005F2A26">
        <w:rPr>
          <w:rFonts w:eastAsiaTheme="minorEastAsia" w:cs="Times New Roman"/>
          <w:noProof/>
          <w:szCs w:val="24"/>
          <w:lang w:val="en-US" w:eastAsia="zh-CN"/>
        </w:rPr>
        <w:t xml:space="preserve">Pierce </w:t>
      </w:r>
      <w:r w:rsidR="00957690" w:rsidRPr="00957690">
        <w:rPr>
          <w:rFonts w:eastAsiaTheme="minorEastAsia" w:cs="Times New Roman"/>
          <w:i/>
          <w:iCs/>
          <w:noProof/>
          <w:szCs w:val="24"/>
          <w:lang w:val="en-US" w:eastAsia="zh-CN"/>
        </w:rPr>
        <w:t>et al.</w:t>
      </w:r>
      <w:r w:rsidR="006A2B03" w:rsidRPr="005F2A26">
        <w:rPr>
          <w:rFonts w:eastAsiaTheme="minorEastAsia" w:cs="Times New Roman"/>
          <w:noProof/>
          <w:szCs w:val="24"/>
          <w:lang w:val="en-US" w:eastAsia="zh-CN"/>
        </w:rPr>
        <w:t>,</w:t>
      </w:r>
      <w:r w:rsidR="00490DD6" w:rsidRPr="005F2A26">
        <w:rPr>
          <w:rFonts w:eastAsiaTheme="minorEastAsia" w:cs="Times New Roman"/>
          <w:noProof/>
          <w:szCs w:val="24"/>
          <w:lang w:val="en-US" w:eastAsia="zh-CN"/>
        </w:rPr>
        <w:t xml:space="preserve"> 2018).</w:t>
      </w:r>
      <w:r w:rsidR="00E20F0A" w:rsidRPr="005F2A26">
        <w:rPr>
          <w:rFonts w:eastAsiaTheme="minorEastAsia" w:cs="Times New Roman"/>
          <w:noProof/>
          <w:szCs w:val="24"/>
          <w:lang w:val="en-US" w:eastAsia="zh-CN"/>
        </w:rPr>
        <w:t xml:space="preserve"> </w:t>
      </w:r>
      <w:r w:rsidR="00B46050" w:rsidRPr="005F2A26">
        <w:rPr>
          <w:rFonts w:eastAsiaTheme="minorEastAsia" w:cs="Times New Roman"/>
          <w:noProof/>
          <w:szCs w:val="24"/>
          <w:lang w:val="en-US" w:eastAsia="zh-CN"/>
        </w:rPr>
        <w:t>T</w:t>
      </w:r>
      <w:r w:rsidR="00E20F0A" w:rsidRPr="005F2A26">
        <w:rPr>
          <w:rFonts w:eastAsiaTheme="minorEastAsia" w:cs="Times New Roman"/>
          <w:noProof/>
          <w:szCs w:val="24"/>
          <w:lang w:val="en-US" w:eastAsia="zh-CN"/>
        </w:rPr>
        <w:t>wo important variables influence this stage.</w:t>
      </w:r>
      <w:r w:rsidR="00490DD6" w:rsidRPr="005F2A26">
        <w:rPr>
          <w:rFonts w:eastAsiaTheme="minorEastAsia" w:cs="Times New Roman"/>
          <w:noProof/>
          <w:szCs w:val="24"/>
          <w:lang w:val="en-US" w:eastAsia="zh-CN"/>
        </w:rPr>
        <w:t xml:space="preserve"> </w:t>
      </w:r>
      <w:r w:rsidR="009D26F1" w:rsidRPr="005F2A26">
        <w:rPr>
          <w:rFonts w:eastAsiaTheme="minorEastAsia" w:cs="Times New Roman"/>
          <w:noProof/>
          <w:szCs w:val="24"/>
          <w:lang w:val="en-US" w:eastAsia="zh-CN"/>
        </w:rPr>
        <w:t>If an individual actor tends to value collectivism over individualism, they tend toward a</w:t>
      </w:r>
      <w:r w:rsidR="00490DD6" w:rsidRPr="005F2A26">
        <w:rPr>
          <w:rFonts w:eastAsiaTheme="minorEastAsia" w:cs="Times New Roman"/>
          <w:noProof/>
          <w:szCs w:val="24"/>
          <w:lang w:val="en-US" w:eastAsia="zh-CN"/>
        </w:rPr>
        <w:t xml:space="preserve"> sense of belongingness</w:t>
      </w:r>
      <w:r w:rsidR="009D26F1" w:rsidRPr="005F2A26">
        <w:rPr>
          <w:rFonts w:eastAsiaTheme="minorEastAsia" w:cs="Times New Roman"/>
          <w:noProof/>
          <w:szCs w:val="24"/>
          <w:lang w:val="en-US" w:eastAsia="zh-CN"/>
        </w:rPr>
        <w:t xml:space="preserve"> </w:t>
      </w:r>
      <w:r w:rsidR="009979B1">
        <w:rPr>
          <w:rFonts w:eastAsiaTheme="minorEastAsia" w:cs="Times New Roman"/>
          <w:noProof/>
          <w:szCs w:val="24"/>
          <w:lang w:val="en-US" w:eastAsia="zh-CN"/>
        </w:rPr>
        <w:t xml:space="preserve">so </w:t>
      </w:r>
      <w:r w:rsidR="009D26F1" w:rsidRPr="005F2A26">
        <w:rPr>
          <w:rFonts w:eastAsiaTheme="minorEastAsia" w:cs="Times New Roman"/>
          <w:noProof/>
          <w:szCs w:val="24"/>
          <w:lang w:val="en-US" w:eastAsia="zh-CN"/>
        </w:rPr>
        <w:t>are more likely to develop cPO</w:t>
      </w:r>
      <w:r w:rsidR="00E20F0A" w:rsidRPr="005F2A26">
        <w:rPr>
          <w:rFonts w:eastAsiaTheme="minorEastAsia" w:cs="Times New Roman"/>
          <w:noProof/>
          <w:szCs w:val="24"/>
          <w:lang w:val="en-US" w:eastAsia="zh-CN"/>
        </w:rPr>
        <w:t xml:space="preserve"> </w:t>
      </w:r>
      <w:r w:rsidR="00490DD6" w:rsidRPr="005F2A26">
        <w:rPr>
          <w:rFonts w:eastAsiaTheme="minorEastAsia" w:cs="Times New Roman"/>
          <w:noProof/>
          <w:szCs w:val="24"/>
          <w:lang w:val="en-US" w:eastAsia="zh-CN"/>
        </w:rPr>
        <w:t>(Pierce and Jussila</w:t>
      </w:r>
      <w:r w:rsidR="006A2B03" w:rsidRPr="005F2A26">
        <w:rPr>
          <w:rFonts w:eastAsiaTheme="minorEastAsia" w:cs="Times New Roman"/>
          <w:noProof/>
          <w:szCs w:val="24"/>
          <w:lang w:val="en-US" w:eastAsia="zh-CN"/>
        </w:rPr>
        <w:t>,</w:t>
      </w:r>
      <w:r w:rsidR="00490DD6" w:rsidRPr="005F2A26">
        <w:rPr>
          <w:rFonts w:eastAsiaTheme="minorEastAsia" w:cs="Times New Roman"/>
          <w:noProof/>
          <w:szCs w:val="24"/>
          <w:lang w:val="en-US" w:eastAsia="zh-CN"/>
        </w:rPr>
        <w:t xml:space="preserve"> 2010). </w:t>
      </w:r>
      <w:r w:rsidR="00F11752">
        <w:rPr>
          <w:rFonts w:eastAsiaTheme="minorEastAsia" w:cs="Times New Roman"/>
          <w:noProof/>
          <w:szCs w:val="24"/>
          <w:lang w:val="en-US" w:eastAsia="zh-CN"/>
        </w:rPr>
        <w:t>S</w:t>
      </w:r>
      <w:r w:rsidR="006C205E" w:rsidRPr="005F2A26">
        <w:rPr>
          <w:rFonts w:eastAsiaTheme="minorEastAsia" w:cs="Times New Roman"/>
          <w:noProof/>
          <w:szCs w:val="24"/>
          <w:lang w:val="en-US" w:eastAsia="zh-CN"/>
        </w:rPr>
        <w:t xml:space="preserve">ocial identity motives play a part in an individual’s </w:t>
      </w:r>
      <w:r w:rsidR="008D1D7B" w:rsidRPr="005F2A26">
        <w:rPr>
          <w:rFonts w:eastAsiaTheme="minorEastAsia" w:cs="Times New Roman"/>
          <w:noProof/>
          <w:szCs w:val="24"/>
          <w:lang w:val="en-US" w:eastAsia="zh-CN"/>
        </w:rPr>
        <w:t>need</w:t>
      </w:r>
      <w:r w:rsidR="006C205E" w:rsidRPr="005F2A26">
        <w:rPr>
          <w:rFonts w:eastAsiaTheme="minorEastAsia" w:cs="Times New Roman"/>
          <w:noProof/>
          <w:szCs w:val="24"/>
          <w:lang w:val="en-US" w:eastAsia="zh-CN"/>
        </w:rPr>
        <w:t xml:space="preserve"> to identify with a particular </w:t>
      </w:r>
      <w:r w:rsidR="00A509A4" w:rsidRPr="005F2A26">
        <w:rPr>
          <w:rFonts w:eastAsiaTheme="minorEastAsia" w:cs="Times New Roman"/>
          <w:noProof/>
          <w:szCs w:val="24"/>
          <w:lang w:val="en-US" w:eastAsia="zh-CN"/>
        </w:rPr>
        <w:t>community</w:t>
      </w:r>
      <w:r w:rsidR="006262F9" w:rsidRPr="005F2A26">
        <w:rPr>
          <w:rFonts w:eastAsiaTheme="minorEastAsia" w:cs="Times New Roman"/>
          <w:noProof/>
          <w:szCs w:val="24"/>
          <w:lang w:val="en-US" w:eastAsia="zh-CN"/>
        </w:rPr>
        <w:t>;</w:t>
      </w:r>
      <w:r w:rsidR="009D26F1" w:rsidRPr="005F2A26">
        <w:rPr>
          <w:rFonts w:eastAsiaTheme="minorEastAsia" w:cs="Times New Roman"/>
          <w:noProof/>
          <w:szCs w:val="24"/>
          <w:lang w:val="en-US" w:eastAsia="zh-CN"/>
        </w:rPr>
        <w:t xml:space="preserve"> if </w:t>
      </w:r>
      <w:r w:rsidR="00A509A4" w:rsidRPr="005F2A26">
        <w:rPr>
          <w:rFonts w:eastAsiaTheme="minorEastAsia" w:cs="Times New Roman"/>
          <w:noProof/>
          <w:szCs w:val="24"/>
          <w:lang w:val="en-US" w:eastAsia="zh-CN"/>
        </w:rPr>
        <w:t>the</w:t>
      </w:r>
      <w:r w:rsidR="00E20F0A" w:rsidRPr="005F2A26">
        <w:rPr>
          <w:rFonts w:eastAsiaTheme="minorEastAsia" w:cs="Times New Roman"/>
          <w:noProof/>
          <w:szCs w:val="24"/>
          <w:lang w:val="en-US" w:eastAsia="zh-CN"/>
        </w:rPr>
        <w:t xml:space="preserve"> </w:t>
      </w:r>
      <w:r w:rsidR="00A509A4" w:rsidRPr="005F2A26">
        <w:rPr>
          <w:rFonts w:eastAsiaTheme="minorEastAsia" w:cs="Times New Roman"/>
          <w:noProof/>
          <w:szCs w:val="24"/>
          <w:lang w:val="en-US" w:eastAsia="zh-CN"/>
        </w:rPr>
        <w:t>collective</w:t>
      </w:r>
      <w:r w:rsidR="00E20F0A" w:rsidRPr="005F2A26">
        <w:rPr>
          <w:rFonts w:eastAsiaTheme="minorEastAsia" w:cs="Times New Roman"/>
          <w:noProof/>
          <w:szCs w:val="24"/>
          <w:lang w:val="en-US" w:eastAsia="zh-CN"/>
        </w:rPr>
        <w:t xml:space="preserve"> identity is appealing to them, cPO will be more likely to emerge.</w:t>
      </w:r>
      <w:r w:rsidR="00AD6808" w:rsidRPr="005F2A26">
        <w:rPr>
          <w:rFonts w:eastAsiaTheme="minorEastAsia" w:cs="Times New Roman"/>
          <w:szCs w:val="24"/>
          <w:lang w:val="en-US" w:eastAsia="zh-CN"/>
        </w:rPr>
        <w:t xml:space="preserve"> </w:t>
      </w:r>
      <w:r w:rsidR="00D9398D">
        <w:rPr>
          <w:rFonts w:eastAsiaTheme="minorEastAsia" w:cs="Times New Roman"/>
          <w:szCs w:val="24"/>
          <w:lang w:val="en-US" w:eastAsia="zh-CN"/>
        </w:rPr>
        <w:t>However, n</w:t>
      </w:r>
      <w:r w:rsidR="00AD6808" w:rsidRPr="005F2A26">
        <w:rPr>
          <w:rFonts w:eastAsiaTheme="minorEastAsia" w:cs="Times New Roman"/>
          <w:szCs w:val="24"/>
          <w:lang w:val="en-US" w:eastAsia="zh-CN"/>
        </w:rPr>
        <w:t>ot all actors who experience iPO will necessarily also experience cPO</w:t>
      </w:r>
      <w:r w:rsidR="00991CCA">
        <w:rPr>
          <w:rFonts w:eastAsiaTheme="minorEastAsia" w:cs="Times New Roman"/>
          <w:szCs w:val="24"/>
          <w:lang w:val="en-US" w:eastAsia="zh-CN"/>
        </w:rPr>
        <w:t xml:space="preserve"> (as reflected in the dotted arrow in Figure 2)</w:t>
      </w:r>
      <w:r w:rsidR="00AD6808" w:rsidRPr="005F2A26">
        <w:rPr>
          <w:rFonts w:eastAsiaTheme="minorEastAsia" w:cs="Times New Roman"/>
          <w:szCs w:val="24"/>
          <w:lang w:val="en-US" w:eastAsia="zh-CN"/>
        </w:rPr>
        <w:t xml:space="preserve">. </w:t>
      </w:r>
    </w:p>
    <w:p w14:paraId="167AFC64" w14:textId="1B65FA0E" w:rsidR="003D1790" w:rsidRPr="005F2A26" w:rsidRDefault="00426263" w:rsidP="00C93EC4">
      <w:pPr>
        <w:widowControl w:val="0"/>
        <w:spacing w:after="0" w:line="480" w:lineRule="auto"/>
        <w:ind w:firstLine="720"/>
        <w:rPr>
          <w:rFonts w:cs="Times New Roman"/>
          <w:szCs w:val="24"/>
          <w:lang w:val="en-US"/>
        </w:rPr>
      </w:pPr>
      <w:r w:rsidRPr="005F2A26">
        <w:rPr>
          <w:rFonts w:eastAsiaTheme="minorEastAsia" w:cs="Times New Roman"/>
          <w:szCs w:val="24"/>
          <w:lang w:val="en-US" w:eastAsia="zh-CN"/>
        </w:rPr>
        <w:t xml:space="preserve">Second, the individual recognizes others also have iPO over the target, thereby generating a sense that </w:t>
      </w:r>
      <w:r w:rsidR="008854A0" w:rsidRPr="005F2A26">
        <w:rPr>
          <w:rFonts w:eastAsiaTheme="minorEastAsia" w:cs="Times New Roman"/>
          <w:szCs w:val="24"/>
          <w:lang w:val="en-US" w:eastAsia="zh-CN"/>
        </w:rPr>
        <w:t>the</w:t>
      </w:r>
      <w:r w:rsidR="00F6277B" w:rsidRPr="005F2A26">
        <w:rPr>
          <w:rFonts w:eastAsiaTheme="minorEastAsia" w:cs="Times New Roman"/>
          <w:szCs w:val="24"/>
          <w:lang w:val="en-US" w:eastAsia="zh-CN"/>
        </w:rPr>
        <w:t xml:space="preserve"> target </w:t>
      </w:r>
      <w:r w:rsidRPr="005F2A26">
        <w:rPr>
          <w:rFonts w:eastAsiaTheme="minorEastAsia" w:cs="Times New Roman"/>
          <w:szCs w:val="24"/>
          <w:lang w:val="en-US" w:eastAsia="zh-CN"/>
        </w:rPr>
        <w:t xml:space="preserve">‘is ours.’ </w:t>
      </w:r>
      <w:r w:rsidR="004718C1">
        <w:rPr>
          <w:rFonts w:eastAsiaTheme="minorEastAsia" w:cs="Times New Roman"/>
          <w:szCs w:val="24"/>
          <w:lang w:val="en-US" w:eastAsia="zh-CN"/>
        </w:rPr>
        <w:t>T</w:t>
      </w:r>
      <w:r w:rsidR="00EF264C" w:rsidRPr="005F2A26">
        <w:rPr>
          <w:rFonts w:eastAsiaTheme="minorEastAsia" w:cs="Times New Roman"/>
          <w:szCs w:val="24"/>
          <w:lang w:val="en-US" w:eastAsia="zh-CN"/>
        </w:rPr>
        <w:t xml:space="preserve">wo or more individuals </w:t>
      </w:r>
      <w:r w:rsidR="00E20F0A" w:rsidRPr="005F2A26">
        <w:rPr>
          <w:rFonts w:eastAsiaTheme="minorEastAsia" w:cs="Times New Roman"/>
          <w:szCs w:val="24"/>
          <w:lang w:val="en-US" w:eastAsia="zh-CN"/>
        </w:rPr>
        <w:t xml:space="preserve">need </w:t>
      </w:r>
      <w:r w:rsidR="00EF264C" w:rsidRPr="005F2A26">
        <w:rPr>
          <w:rFonts w:eastAsiaTheme="minorEastAsia" w:cs="Times New Roman"/>
          <w:szCs w:val="24"/>
          <w:lang w:val="en-US" w:eastAsia="zh-CN"/>
        </w:rPr>
        <w:t xml:space="preserve">to shift their reference from the self to the collective for cPO </w:t>
      </w:r>
      <w:r w:rsidR="009030DD" w:rsidRPr="005F2A26">
        <w:rPr>
          <w:rFonts w:eastAsiaTheme="minorEastAsia" w:cs="Times New Roman"/>
          <w:szCs w:val="24"/>
          <w:lang w:val="en-US" w:eastAsia="zh-CN"/>
        </w:rPr>
        <w:t>to emerge</w:t>
      </w:r>
      <w:r w:rsidR="00EF264C" w:rsidRPr="005F2A26">
        <w:rPr>
          <w:rFonts w:eastAsiaTheme="minorEastAsia" w:cs="Times New Roman"/>
          <w:iCs/>
          <w:szCs w:val="24"/>
          <w:lang w:val="en-US" w:eastAsia="zh-CN"/>
        </w:rPr>
        <w:t xml:space="preserve"> (Pierce and </w:t>
      </w:r>
      <w:proofErr w:type="spellStart"/>
      <w:r w:rsidR="00EF264C" w:rsidRPr="005F2A26">
        <w:rPr>
          <w:rFonts w:eastAsiaTheme="minorEastAsia" w:cs="Times New Roman"/>
          <w:iCs/>
          <w:szCs w:val="24"/>
          <w:lang w:val="en-US" w:eastAsia="zh-CN"/>
        </w:rPr>
        <w:t>Jussila</w:t>
      </w:r>
      <w:proofErr w:type="spellEnd"/>
      <w:r w:rsidR="00EF264C" w:rsidRPr="005F2A26">
        <w:rPr>
          <w:rFonts w:eastAsiaTheme="minorEastAsia" w:cs="Times New Roman"/>
          <w:iCs/>
          <w:szCs w:val="24"/>
          <w:lang w:val="en-US" w:eastAsia="zh-CN"/>
        </w:rPr>
        <w:t>, 2010</w:t>
      </w:r>
      <w:r w:rsidR="00B7705D" w:rsidRPr="005F2A26">
        <w:rPr>
          <w:rFonts w:eastAsiaTheme="minorEastAsia" w:cs="Times New Roman"/>
          <w:iCs/>
          <w:szCs w:val="24"/>
          <w:lang w:val="en-US" w:eastAsia="zh-CN"/>
        </w:rPr>
        <w:t>;</w:t>
      </w:r>
      <w:r w:rsidR="00B7705D" w:rsidRPr="005F2A26">
        <w:rPr>
          <w:rFonts w:eastAsiaTheme="minorEastAsia" w:cs="Times New Roman"/>
          <w:noProof/>
          <w:szCs w:val="24"/>
          <w:lang w:val="en-US" w:eastAsia="zh-CN"/>
        </w:rPr>
        <w:t xml:space="preserve"> Pierce </w:t>
      </w:r>
      <w:r w:rsidR="00957690" w:rsidRPr="00957690">
        <w:rPr>
          <w:rFonts w:eastAsiaTheme="minorEastAsia" w:cs="Times New Roman"/>
          <w:i/>
          <w:iCs/>
          <w:noProof/>
          <w:szCs w:val="24"/>
          <w:lang w:val="en-US" w:eastAsia="zh-CN"/>
        </w:rPr>
        <w:t>et al.</w:t>
      </w:r>
      <w:r w:rsidR="00B7705D" w:rsidRPr="005F2A26">
        <w:rPr>
          <w:rFonts w:eastAsiaTheme="minorEastAsia" w:cs="Times New Roman"/>
          <w:noProof/>
          <w:szCs w:val="24"/>
          <w:lang w:val="en-US" w:eastAsia="zh-CN"/>
        </w:rPr>
        <w:t>, 2018</w:t>
      </w:r>
      <w:r w:rsidR="00EF264C" w:rsidRPr="005F2A26">
        <w:rPr>
          <w:rFonts w:eastAsiaTheme="minorEastAsia" w:cs="Times New Roman"/>
          <w:iCs/>
          <w:szCs w:val="24"/>
          <w:lang w:val="en-US" w:eastAsia="zh-CN"/>
        </w:rPr>
        <w:t xml:space="preserve">). </w:t>
      </w:r>
      <w:r w:rsidR="006755F2" w:rsidRPr="005F2A26">
        <w:rPr>
          <w:rFonts w:eastAsiaTheme="minorEastAsia" w:cs="Times New Roman"/>
          <w:szCs w:val="24"/>
          <w:lang w:val="en-US" w:eastAsia="zh-CN"/>
        </w:rPr>
        <w:t xml:space="preserve">Collective realization of ‘our-ness’ is the key difference between iPO and cPO </w:t>
      </w:r>
      <w:r w:rsidR="006755F2" w:rsidRPr="005F2A26">
        <w:rPr>
          <w:rFonts w:eastAsiaTheme="minorEastAsia" w:cs="Times New Roman"/>
          <w:noProof/>
          <w:szCs w:val="24"/>
          <w:lang w:val="en-US" w:eastAsia="zh-CN"/>
        </w:rPr>
        <w:t xml:space="preserve">(Kumar, 2019; Pierce and Jussila, 2010), and generates the sense </w:t>
      </w:r>
      <w:r w:rsidR="006755F2" w:rsidRPr="005F2A26">
        <w:rPr>
          <w:rFonts w:eastAsiaTheme="minorEastAsia" w:cs="Times New Roman"/>
          <w:szCs w:val="24"/>
          <w:lang w:val="en-US" w:eastAsia="zh-CN"/>
        </w:rPr>
        <w:t xml:space="preserve">that a group of individuals is bounded, interdependent, and has some purpose larger than the individual </w:t>
      </w:r>
      <w:r w:rsidR="006755F2" w:rsidRPr="005F2A26">
        <w:rPr>
          <w:rFonts w:eastAsiaTheme="minorEastAsia" w:cs="Times New Roman"/>
          <w:noProof/>
          <w:szCs w:val="24"/>
          <w:lang w:val="en-US" w:eastAsia="zh-CN"/>
        </w:rPr>
        <w:t xml:space="preserve">(Pierce </w:t>
      </w:r>
      <w:r w:rsidR="006755F2" w:rsidRPr="00957690">
        <w:rPr>
          <w:rFonts w:eastAsiaTheme="minorEastAsia" w:cs="Times New Roman"/>
          <w:i/>
          <w:iCs/>
          <w:noProof/>
          <w:szCs w:val="24"/>
          <w:lang w:val="en-US" w:eastAsia="zh-CN"/>
        </w:rPr>
        <w:t>et al.</w:t>
      </w:r>
      <w:r w:rsidR="006755F2" w:rsidRPr="005F2A26">
        <w:rPr>
          <w:rFonts w:eastAsiaTheme="minorEastAsia" w:cs="Times New Roman"/>
          <w:noProof/>
          <w:szCs w:val="24"/>
          <w:lang w:val="en-US" w:eastAsia="zh-CN"/>
        </w:rPr>
        <w:t>, 2018)</w:t>
      </w:r>
      <w:r w:rsidR="006755F2" w:rsidRPr="005F2A26">
        <w:rPr>
          <w:rFonts w:eastAsiaTheme="minorEastAsia" w:cs="Times New Roman"/>
          <w:szCs w:val="24"/>
          <w:lang w:val="en-US" w:eastAsia="zh-CN"/>
        </w:rPr>
        <w:t xml:space="preserve">. </w:t>
      </w:r>
      <w:r w:rsidR="00A1154C" w:rsidRPr="005F2A26">
        <w:rPr>
          <w:rFonts w:eastAsiaTheme="minorEastAsia" w:cs="Times New Roman"/>
          <w:szCs w:val="24"/>
          <w:lang w:val="en-US" w:eastAsia="zh-CN"/>
        </w:rPr>
        <w:t>Third,</w:t>
      </w:r>
      <w:r w:rsidR="003D1790" w:rsidRPr="005F2A26">
        <w:rPr>
          <w:rFonts w:eastAsiaTheme="minorEastAsia" w:cs="Times New Roman"/>
          <w:szCs w:val="24"/>
          <w:lang w:val="en-US" w:eastAsia="zh-CN"/>
        </w:rPr>
        <w:t xml:space="preserve"> agreement emerges amongst collective members</w:t>
      </w:r>
      <w:r w:rsidR="00FB46DF" w:rsidRPr="005F2A26">
        <w:rPr>
          <w:rFonts w:eastAsiaTheme="minorEastAsia" w:cs="Times New Roman"/>
          <w:szCs w:val="24"/>
          <w:lang w:val="en-US" w:eastAsia="zh-CN"/>
        </w:rPr>
        <w:t xml:space="preserve"> of </w:t>
      </w:r>
      <w:r w:rsidR="007F448F" w:rsidRPr="005F2A26">
        <w:rPr>
          <w:rFonts w:eastAsiaTheme="minorEastAsia" w:cs="Times New Roman"/>
          <w:szCs w:val="24"/>
          <w:lang w:val="en-US" w:eastAsia="zh-CN"/>
        </w:rPr>
        <w:t xml:space="preserve">a </w:t>
      </w:r>
      <w:r w:rsidR="00FB46DF" w:rsidRPr="005F2A26">
        <w:rPr>
          <w:rFonts w:eastAsiaTheme="minorEastAsia" w:cs="Times New Roman"/>
          <w:szCs w:val="24"/>
          <w:lang w:val="en-US" w:eastAsia="zh-CN"/>
        </w:rPr>
        <w:t xml:space="preserve">shared cognitive and affective state over the target of cPO, hence the target becomes “part of the group’s ‘extended sense of ‘us’” (Pierce and </w:t>
      </w:r>
      <w:proofErr w:type="spellStart"/>
      <w:r w:rsidR="00FB46DF" w:rsidRPr="005F2A26">
        <w:rPr>
          <w:rFonts w:eastAsiaTheme="minorEastAsia" w:cs="Times New Roman"/>
          <w:szCs w:val="24"/>
          <w:lang w:val="en-US" w:eastAsia="zh-CN"/>
        </w:rPr>
        <w:t>Jussila</w:t>
      </w:r>
      <w:proofErr w:type="spellEnd"/>
      <w:r w:rsidR="006A2B03" w:rsidRPr="005F2A26">
        <w:rPr>
          <w:rFonts w:eastAsiaTheme="minorEastAsia" w:cs="Times New Roman"/>
          <w:szCs w:val="24"/>
          <w:lang w:val="en-US" w:eastAsia="zh-CN"/>
        </w:rPr>
        <w:t>,</w:t>
      </w:r>
      <w:r w:rsidR="00FB46DF" w:rsidRPr="005F2A26">
        <w:rPr>
          <w:rFonts w:eastAsiaTheme="minorEastAsia" w:cs="Times New Roman"/>
          <w:szCs w:val="24"/>
          <w:lang w:val="en-US" w:eastAsia="zh-CN"/>
        </w:rPr>
        <w:t xml:space="preserve"> 2010, p.813).</w:t>
      </w:r>
      <w:r w:rsidR="00A51828" w:rsidRPr="005F2A26">
        <w:rPr>
          <w:rFonts w:eastAsiaTheme="minorEastAsia" w:cs="Times New Roman"/>
          <w:szCs w:val="24"/>
          <w:lang w:val="en-US" w:eastAsia="zh-CN"/>
        </w:rPr>
        <w:t xml:space="preserve"> </w:t>
      </w:r>
      <w:r w:rsidR="00EF264C" w:rsidRPr="005F2A26">
        <w:rPr>
          <w:rFonts w:eastAsiaTheme="minorEastAsia" w:cs="Times New Roman"/>
          <w:iCs/>
          <w:szCs w:val="24"/>
          <w:lang w:val="en-US" w:eastAsia="zh-CN"/>
        </w:rPr>
        <w:t xml:space="preserve">Through this </w:t>
      </w:r>
      <w:r w:rsidR="00357DB5">
        <w:rPr>
          <w:rFonts w:eastAsiaTheme="minorEastAsia" w:cs="Times New Roman"/>
          <w:iCs/>
          <w:szCs w:val="24"/>
          <w:lang w:val="en-US" w:eastAsia="zh-CN"/>
        </w:rPr>
        <w:t>transition</w:t>
      </w:r>
      <w:r w:rsidR="00EF264C" w:rsidRPr="005F2A26">
        <w:rPr>
          <w:rFonts w:eastAsiaTheme="minorEastAsia" w:cs="Times New Roman"/>
          <w:iCs/>
          <w:szCs w:val="24"/>
          <w:lang w:val="en-US" w:eastAsia="zh-CN"/>
        </w:rPr>
        <w:t xml:space="preserve">, a </w:t>
      </w:r>
      <w:r w:rsidR="00EF264C" w:rsidRPr="005F2A26">
        <w:rPr>
          <w:rFonts w:cs="Times New Roman"/>
          <w:iCs/>
          <w:szCs w:val="24"/>
          <w:lang w:val="en-US"/>
        </w:rPr>
        <w:t>sense of group-level phenomenon</w:t>
      </w:r>
      <w:r w:rsidR="00EF264C" w:rsidRPr="005F2A26">
        <w:rPr>
          <w:rFonts w:cs="Times New Roman"/>
          <w:i/>
          <w:szCs w:val="24"/>
          <w:lang w:val="en-US"/>
        </w:rPr>
        <w:t xml:space="preserve"> </w:t>
      </w:r>
      <w:r w:rsidR="00EF264C" w:rsidRPr="005F2A26">
        <w:rPr>
          <w:rFonts w:cs="Times New Roman"/>
          <w:szCs w:val="24"/>
          <w:lang w:val="en-US"/>
        </w:rPr>
        <w:t>emerges as individuals acquire, store, transmit, manipulate</w:t>
      </w:r>
      <w:r w:rsidR="009F508D" w:rsidRPr="005F2A26">
        <w:rPr>
          <w:rFonts w:cs="Times New Roman"/>
          <w:szCs w:val="24"/>
          <w:lang w:val="en-US"/>
        </w:rPr>
        <w:t>,</w:t>
      </w:r>
      <w:r w:rsidR="00EF264C" w:rsidRPr="005F2A26">
        <w:rPr>
          <w:rFonts w:cs="Times New Roman"/>
          <w:szCs w:val="24"/>
          <w:lang w:val="en-US"/>
        </w:rPr>
        <w:t xml:space="preserve"> and use information. </w:t>
      </w:r>
      <w:r w:rsidR="001D1465" w:rsidRPr="005F2A26">
        <w:rPr>
          <w:rFonts w:eastAsiaTheme="minorEastAsia" w:cs="Times New Roman"/>
          <w:szCs w:val="24"/>
          <w:lang w:val="en-US" w:eastAsia="zh-CN"/>
        </w:rPr>
        <w:t xml:space="preserve">The ‘ours’ helps in exercising control over the target of ownership, resulting in part from the group portraying its social identity as a collective to others </w:t>
      </w:r>
      <w:r w:rsidR="001D1465" w:rsidRPr="005F2A26">
        <w:rPr>
          <w:rFonts w:eastAsiaTheme="minorEastAsia" w:cs="Times New Roman"/>
          <w:noProof/>
          <w:szCs w:val="24"/>
          <w:lang w:val="en-US" w:eastAsia="zh-CN"/>
        </w:rPr>
        <w:t>(Kumar, 2019)</w:t>
      </w:r>
      <w:r w:rsidR="001D1465" w:rsidRPr="005F2A26">
        <w:rPr>
          <w:rFonts w:eastAsiaTheme="minorEastAsia" w:cs="Times New Roman"/>
          <w:szCs w:val="24"/>
          <w:lang w:val="en-US" w:eastAsia="zh-CN"/>
        </w:rPr>
        <w:t>.</w:t>
      </w:r>
    </w:p>
    <w:p w14:paraId="5A4DBB08" w14:textId="77777777" w:rsidR="00C93EC4" w:rsidRPr="005F2A26" w:rsidRDefault="00C93EC4" w:rsidP="00C93EC4">
      <w:pPr>
        <w:spacing w:after="0" w:line="480" w:lineRule="auto"/>
        <w:ind w:firstLine="720"/>
        <w:rPr>
          <w:rFonts w:eastAsiaTheme="minorEastAsia" w:cs="Times New Roman"/>
          <w:szCs w:val="24"/>
          <w:lang w:val="en-US" w:eastAsia="zh-CN"/>
        </w:rPr>
      </w:pPr>
    </w:p>
    <w:p w14:paraId="6A66BFBA" w14:textId="1ED4CC31" w:rsidR="00DC18E8" w:rsidRPr="005F2A26" w:rsidRDefault="008C4B45" w:rsidP="00C93EC4">
      <w:pPr>
        <w:widowControl w:val="0"/>
        <w:spacing w:after="0" w:line="480" w:lineRule="auto"/>
        <w:rPr>
          <w:rFonts w:eastAsiaTheme="minorEastAsia" w:cs="Times New Roman"/>
          <w:i/>
          <w:iCs/>
          <w:szCs w:val="24"/>
          <w:lang w:val="en-US" w:eastAsia="zh-CN"/>
        </w:rPr>
      </w:pPr>
      <w:r w:rsidRPr="005F2A26">
        <w:rPr>
          <w:rFonts w:eastAsiaTheme="minorEastAsia" w:cs="Times New Roman"/>
          <w:i/>
          <w:iCs/>
          <w:szCs w:val="24"/>
          <w:lang w:val="en-US" w:eastAsia="zh-CN"/>
        </w:rPr>
        <w:t>C</w:t>
      </w:r>
      <w:r w:rsidR="009075FD" w:rsidRPr="005F2A26">
        <w:rPr>
          <w:rFonts w:eastAsiaTheme="minorEastAsia" w:cs="Times New Roman"/>
          <w:i/>
          <w:iCs/>
          <w:szCs w:val="24"/>
          <w:lang w:val="en-US" w:eastAsia="zh-CN"/>
        </w:rPr>
        <w:t>auses of</w:t>
      </w:r>
      <w:r w:rsidR="006A7F6A" w:rsidRPr="005F2A26">
        <w:rPr>
          <w:rFonts w:eastAsiaTheme="minorEastAsia" w:cs="Times New Roman"/>
          <w:i/>
          <w:iCs/>
          <w:szCs w:val="24"/>
          <w:lang w:val="en-US" w:eastAsia="zh-CN"/>
        </w:rPr>
        <w:t xml:space="preserve"> </w:t>
      </w:r>
      <w:r w:rsidR="00DC18E8" w:rsidRPr="005F2A26">
        <w:rPr>
          <w:rFonts w:eastAsiaTheme="minorEastAsia" w:cs="Times New Roman"/>
          <w:i/>
          <w:iCs/>
          <w:szCs w:val="24"/>
          <w:lang w:val="en-US" w:eastAsia="zh-CN"/>
        </w:rPr>
        <w:t>cPO</w:t>
      </w:r>
    </w:p>
    <w:p w14:paraId="45FC4526" w14:textId="52F214A2" w:rsidR="004D6D4A" w:rsidRPr="005F2A26" w:rsidRDefault="00454B2F" w:rsidP="009F508D">
      <w:pPr>
        <w:widowControl w:val="0"/>
        <w:spacing w:after="0" w:line="480" w:lineRule="auto"/>
        <w:rPr>
          <w:rFonts w:eastAsiaTheme="minorEastAsia" w:cs="Times New Roman"/>
          <w:szCs w:val="24"/>
          <w:lang w:val="en-US" w:eastAsia="zh-CN"/>
        </w:rPr>
      </w:pPr>
      <w:bookmarkStart w:id="7" w:name="_Hlk37247323"/>
      <w:bookmarkEnd w:id="6"/>
      <w:r w:rsidRPr="005F2A26">
        <w:rPr>
          <w:rFonts w:eastAsiaTheme="minorEastAsia" w:cs="Times New Roman"/>
          <w:szCs w:val="24"/>
          <w:lang w:val="en-US" w:eastAsia="zh-CN"/>
        </w:rPr>
        <w:t>Beside the stages of emergence of cPO</w:t>
      </w:r>
      <w:r w:rsidR="0022758E" w:rsidRPr="005F2A26">
        <w:rPr>
          <w:rFonts w:eastAsiaTheme="minorEastAsia" w:cs="Times New Roman"/>
          <w:szCs w:val="24"/>
          <w:lang w:val="en-US" w:eastAsia="zh-CN"/>
        </w:rPr>
        <w:t xml:space="preserve"> described above</w:t>
      </w:r>
      <w:r w:rsidRPr="005F2A26">
        <w:rPr>
          <w:rFonts w:eastAsiaTheme="minorEastAsia" w:cs="Times New Roman"/>
          <w:szCs w:val="24"/>
          <w:lang w:val="en-US" w:eastAsia="zh-CN"/>
        </w:rPr>
        <w:t>, like</w:t>
      </w:r>
      <w:r w:rsidR="00EF264C" w:rsidRPr="005F2A26">
        <w:rPr>
          <w:rFonts w:eastAsiaTheme="minorEastAsia" w:cs="Times New Roman"/>
          <w:szCs w:val="24"/>
          <w:lang w:val="en-US" w:eastAsia="zh-CN"/>
        </w:rPr>
        <w:t xml:space="preserve"> iPO</w:t>
      </w:r>
      <w:r w:rsidRPr="005F2A26">
        <w:rPr>
          <w:rFonts w:eastAsiaTheme="minorEastAsia" w:cs="Times New Roman"/>
          <w:szCs w:val="24"/>
          <w:lang w:val="en-US" w:eastAsia="zh-CN"/>
        </w:rPr>
        <w:t>,</w:t>
      </w:r>
      <w:r w:rsidR="00EF264C" w:rsidRPr="005F2A26">
        <w:rPr>
          <w:rFonts w:eastAsiaTheme="minorEastAsia" w:cs="Times New Roman"/>
          <w:szCs w:val="24"/>
          <w:lang w:val="en-US" w:eastAsia="zh-CN"/>
        </w:rPr>
        <w:t xml:space="preserve"> </w:t>
      </w:r>
      <w:r w:rsidR="00F95B4A">
        <w:rPr>
          <w:rFonts w:cs="Times New Roman"/>
          <w:szCs w:val="24"/>
          <w:lang w:val="en-US"/>
        </w:rPr>
        <w:t xml:space="preserve">a combination of </w:t>
      </w:r>
      <w:r w:rsidR="009075FD" w:rsidRPr="005F2A26">
        <w:rPr>
          <w:rFonts w:cs="Times New Roman"/>
          <w:szCs w:val="24"/>
          <w:lang w:val="en-US"/>
        </w:rPr>
        <w:t>causes</w:t>
      </w:r>
      <w:r w:rsidR="00FB46DF" w:rsidRPr="005F2A26">
        <w:rPr>
          <w:rFonts w:cs="Times New Roman"/>
          <w:szCs w:val="24"/>
          <w:lang w:val="en-US"/>
        </w:rPr>
        <w:t xml:space="preserve"> </w:t>
      </w:r>
      <w:r w:rsidR="00F95B4A" w:rsidRPr="005F2A26">
        <w:rPr>
          <w:rFonts w:cs="Times New Roman"/>
          <w:szCs w:val="24"/>
          <w:lang w:val="en-US"/>
        </w:rPr>
        <w:t>enables</w:t>
      </w:r>
      <w:r w:rsidR="00FB46DF" w:rsidRPr="005F2A26">
        <w:rPr>
          <w:rFonts w:cs="Times New Roman"/>
          <w:szCs w:val="24"/>
          <w:lang w:val="en-US"/>
        </w:rPr>
        <w:t xml:space="preserve"> </w:t>
      </w:r>
      <w:r w:rsidR="00FB46DF" w:rsidRPr="005F2A26">
        <w:rPr>
          <w:rFonts w:eastAsiaTheme="minorEastAsia" w:cs="Times New Roman"/>
          <w:szCs w:val="24"/>
          <w:lang w:val="en-US" w:eastAsia="zh-CN"/>
        </w:rPr>
        <w:t xml:space="preserve">the emergence of </w:t>
      </w:r>
      <w:r w:rsidRPr="005F2A26">
        <w:rPr>
          <w:rFonts w:eastAsiaTheme="minorEastAsia" w:cs="Times New Roman"/>
          <w:szCs w:val="24"/>
          <w:lang w:val="en-US" w:eastAsia="zh-CN"/>
        </w:rPr>
        <w:t>c</w:t>
      </w:r>
      <w:r w:rsidR="00FB46DF" w:rsidRPr="005F2A26">
        <w:rPr>
          <w:rFonts w:eastAsiaTheme="minorEastAsia" w:cs="Times New Roman"/>
          <w:szCs w:val="24"/>
          <w:lang w:val="en-US" w:eastAsia="zh-CN"/>
        </w:rPr>
        <w:t xml:space="preserve">PO. These </w:t>
      </w:r>
      <w:r w:rsidR="009075FD" w:rsidRPr="005F2A26">
        <w:rPr>
          <w:rFonts w:eastAsiaTheme="minorEastAsia" w:cs="Times New Roman"/>
          <w:szCs w:val="24"/>
          <w:lang w:val="en-US" w:eastAsia="zh-CN"/>
        </w:rPr>
        <w:t xml:space="preserve">causes </w:t>
      </w:r>
      <w:r w:rsidR="00FB46DF" w:rsidRPr="005F2A26">
        <w:rPr>
          <w:rFonts w:eastAsiaTheme="minorEastAsia" w:cs="Times New Roman"/>
          <w:szCs w:val="24"/>
          <w:lang w:val="en-US" w:eastAsia="zh-CN"/>
        </w:rPr>
        <w:t>are</w:t>
      </w:r>
      <w:r w:rsidRPr="005F2A26">
        <w:rPr>
          <w:rFonts w:eastAsiaTheme="minorEastAsia" w:cs="Times New Roman"/>
          <w:szCs w:val="24"/>
          <w:lang w:val="en-US" w:eastAsia="zh-CN"/>
        </w:rPr>
        <w:t xml:space="preserve"> collective</w:t>
      </w:r>
      <w:r w:rsidR="00827695" w:rsidRPr="005F2A26">
        <w:rPr>
          <w:rFonts w:eastAsiaTheme="minorEastAsia" w:cs="Times New Roman"/>
          <w:szCs w:val="24"/>
          <w:lang w:val="en-US" w:eastAsia="zh-CN"/>
        </w:rPr>
        <w:t xml:space="preserve"> or shared</w:t>
      </w:r>
      <w:r w:rsidRPr="005F2A26">
        <w:rPr>
          <w:rFonts w:eastAsiaTheme="minorEastAsia" w:cs="Times New Roman"/>
          <w:szCs w:val="24"/>
          <w:lang w:val="en-US" w:eastAsia="zh-CN"/>
        </w:rPr>
        <w:t xml:space="preserve"> versions of the </w:t>
      </w:r>
      <w:r w:rsidR="009075FD" w:rsidRPr="005F2A26">
        <w:rPr>
          <w:rFonts w:eastAsiaTheme="minorEastAsia" w:cs="Times New Roman"/>
          <w:szCs w:val="24"/>
          <w:lang w:val="en-US" w:eastAsia="zh-CN"/>
        </w:rPr>
        <w:t>causes of</w:t>
      </w:r>
      <w:r w:rsidRPr="005F2A26">
        <w:rPr>
          <w:rFonts w:eastAsiaTheme="minorEastAsia" w:cs="Times New Roman"/>
          <w:szCs w:val="24"/>
          <w:lang w:val="en-US" w:eastAsia="zh-CN"/>
        </w:rPr>
        <w:t xml:space="preserve"> iPO, namely: </w:t>
      </w:r>
      <w:r w:rsidR="00FB46DF" w:rsidRPr="005F2A26">
        <w:rPr>
          <w:rFonts w:eastAsiaTheme="minorEastAsia" w:cs="Times New Roman"/>
          <w:i/>
          <w:iCs/>
          <w:szCs w:val="24"/>
          <w:lang w:val="en-US" w:eastAsia="zh-CN"/>
        </w:rPr>
        <w:t>collective recognition of shared control over the target</w:t>
      </w:r>
      <w:r w:rsidRPr="005F2A26">
        <w:rPr>
          <w:rFonts w:eastAsiaTheme="minorEastAsia" w:cs="Times New Roman"/>
          <w:i/>
          <w:iCs/>
          <w:szCs w:val="24"/>
          <w:lang w:val="en-US" w:eastAsia="zh-CN"/>
        </w:rPr>
        <w:t>;</w:t>
      </w:r>
      <w:r w:rsidR="00FB46DF" w:rsidRPr="005F2A26">
        <w:rPr>
          <w:rFonts w:eastAsiaTheme="minorEastAsia" w:cs="Times New Roman"/>
          <w:iCs/>
          <w:szCs w:val="24"/>
          <w:lang w:val="en-US" w:eastAsia="zh-CN"/>
        </w:rPr>
        <w:t xml:space="preserve"> </w:t>
      </w:r>
      <w:r w:rsidR="00FB46DF" w:rsidRPr="005F2A26">
        <w:rPr>
          <w:rFonts w:eastAsiaTheme="minorEastAsia" w:cs="Times New Roman"/>
          <w:i/>
          <w:szCs w:val="24"/>
          <w:lang w:val="en-US" w:eastAsia="zh-CN"/>
        </w:rPr>
        <w:t>collective recognition of shared intimate knowing of the target</w:t>
      </w:r>
      <w:r w:rsidRPr="005F2A26">
        <w:rPr>
          <w:rFonts w:eastAsiaTheme="minorEastAsia" w:cs="Times New Roman"/>
          <w:i/>
          <w:szCs w:val="24"/>
          <w:lang w:val="en-US" w:eastAsia="zh-CN"/>
        </w:rPr>
        <w:t>;</w:t>
      </w:r>
      <w:r w:rsidR="00FB46DF" w:rsidRPr="005F2A26">
        <w:rPr>
          <w:rFonts w:eastAsiaTheme="minorEastAsia" w:cs="Times New Roman"/>
          <w:iCs/>
          <w:szCs w:val="24"/>
          <w:lang w:val="en-US" w:eastAsia="zh-CN"/>
        </w:rPr>
        <w:t xml:space="preserve"> and/or </w:t>
      </w:r>
      <w:r w:rsidR="00FB46DF" w:rsidRPr="005F2A26">
        <w:rPr>
          <w:rFonts w:eastAsiaTheme="minorEastAsia" w:cs="Times New Roman"/>
          <w:i/>
          <w:szCs w:val="24"/>
          <w:lang w:val="en-US" w:eastAsia="zh-CN"/>
        </w:rPr>
        <w:t xml:space="preserve">collective recognition of the shared investment </w:t>
      </w:r>
      <w:r w:rsidR="00FB46DF" w:rsidRPr="005F2A26">
        <w:rPr>
          <w:rFonts w:eastAsiaTheme="minorEastAsia" w:cs="Times New Roman"/>
          <w:i/>
          <w:szCs w:val="24"/>
          <w:lang w:val="en-US" w:eastAsia="zh-CN"/>
        </w:rPr>
        <w:lastRenderedPageBreak/>
        <w:t>of different group members’ selves into the target of ownership</w:t>
      </w:r>
      <w:r w:rsidR="00FB46DF" w:rsidRPr="005F2A26">
        <w:rPr>
          <w:rFonts w:eastAsiaTheme="minorEastAsia" w:cs="Times New Roman"/>
          <w:iCs/>
          <w:szCs w:val="24"/>
          <w:lang w:val="en-US" w:eastAsia="zh-CN"/>
        </w:rPr>
        <w:t xml:space="preserve"> </w:t>
      </w:r>
      <w:r w:rsidR="00FB46DF" w:rsidRPr="005F2A26">
        <w:rPr>
          <w:rFonts w:eastAsiaTheme="minorEastAsia" w:cs="Times New Roman"/>
          <w:iCs/>
          <w:noProof/>
          <w:szCs w:val="24"/>
          <w:lang w:val="en-US" w:eastAsia="zh-CN"/>
        </w:rPr>
        <w:t xml:space="preserve">(Dawkins </w:t>
      </w:r>
      <w:r w:rsidR="00957690" w:rsidRPr="00957690">
        <w:rPr>
          <w:rFonts w:eastAsiaTheme="minorEastAsia" w:cs="Times New Roman"/>
          <w:i/>
          <w:iCs/>
          <w:noProof/>
          <w:szCs w:val="24"/>
          <w:lang w:val="en-US" w:eastAsia="zh-CN"/>
        </w:rPr>
        <w:t>et al.</w:t>
      </w:r>
      <w:r w:rsidR="006A2B03" w:rsidRPr="005F2A26">
        <w:rPr>
          <w:rFonts w:eastAsiaTheme="minorEastAsia" w:cs="Times New Roman"/>
          <w:iCs/>
          <w:noProof/>
          <w:szCs w:val="24"/>
          <w:lang w:val="en-US" w:eastAsia="zh-CN"/>
        </w:rPr>
        <w:t>,</w:t>
      </w:r>
      <w:r w:rsidR="00FB46DF" w:rsidRPr="005F2A26">
        <w:rPr>
          <w:rFonts w:eastAsiaTheme="minorEastAsia" w:cs="Times New Roman"/>
          <w:iCs/>
          <w:noProof/>
          <w:szCs w:val="24"/>
          <w:lang w:val="en-US" w:eastAsia="zh-CN"/>
        </w:rPr>
        <w:t xml:space="preserve"> 2017; Pierce and Jussila</w:t>
      </w:r>
      <w:r w:rsidR="006A2B03" w:rsidRPr="005F2A26">
        <w:rPr>
          <w:rFonts w:eastAsiaTheme="minorEastAsia" w:cs="Times New Roman"/>
          <w:iCs/>
          <w:noProof/>
          <w:szCs w:val="24"/>
          <w:lang w:val="en-US" w:eastAsia="zh-CN"/>
        </w:rPr>
        <w:t>,</w:t>
      </w:r>
      <w:r w:rsidR="00FB46DF" w:rsidRPr="005F2A26">
        <w:rPr>
          <w:rFonts w:eastAsiaTheme="minorEastAsia" w:cs="Times New Roman"/>
          <w:iCs/>
          <w:noProof/>
          <w:szCs w:val="24"/>
          <w:lang w:val="en-US" w:eastAsia="zh-CN"/>
        </w:rPr>
        <w:t xml:space="preserve"> 2010, Pierce </w:t>
      </w:r>
      <w:r w:rsidR="00957690" w:rsidRPr="00957690">
        <w:rPr>
          <w:rFonts w:eastAsiaTheme="minorEastAsia" w:cs="Times New Roman"/>
          <w:i/>
          <w:iCs/>
          <w:noProof/>
          <w:szCs w:val="24"/>
          <w:lang w:val="en-US" w:eastAsia="zh-CN"/>
        </w:rPr>
        <w:t>et al.</w:t>
      </w:r>
      <w:r w:rsidR="006A2B03" w:rsidRPr="005F2A26">
        <w:rPr>
          <w:rFonts w:eastAsiaTheme="minorEastAsia" w:cs="Times New Roman"/>
          <w:iCs/>
          <w:noProof/>
          <w:szCs w:val="24"/>
          <w:lang w:val="en-US" w:eastAsia="zh-CN"/>
        </w:rPr>
        <w:t>,</w:t>
      </w:r>
      <w:r w:rsidR="00FB46DF" w:rsidRPr="005F2A26">
        <w:rPr>
          <w:rFonts w:eastAsiaTheme="minorEastAsia" w:cs="Times New Roman"/>
          <w:iCs/>
          <w:noProof/>
          <w:szCs w:val="24"/>
          <w:lang w:val="en-US" w:eastAsia="zh-CN"/>
        </w:rPr>
        <w:t xml:space="preserve"> 2019)</w:t>
      </w:r>
      <w:r w:rsidR="00FB46DF" w:rsidRPr="005F2A26">
        <w:rPr>
          <w:rFonts w:eastAsiaTheme="minorEastAsia" w:cs="Times New Roman"/>
          <w:iCs/>
          <w:szCs w:val="24"/>
          <w:lang w:val="en-US" w:eastAsia="zh-CN"/>
        </w:rPr>
        <w:t xml:space="preserve">. </w:t>
      </w:r>
      <w:bookmarkEnd w:id="7"/>
      <w:r w:rsidR="00FB46DF" w:rsidRPr="005F2A26">
        <w:rPr>
          <w:rFonts w:eastAsiaTheme="minorEastAsia" w:cs="Times New Roman"/>
          <w:szCs w:val="24"/>
          <w:lang w:val="en-US" w:eastAsia="zh-CN"/>
        </w:rPr>
        <w:t xml:space="preserve">The comparative strength of the collective state of </w:t>
      </w:r>
      <w:r w:rsidR="00C520FE" w:rsidRPr="005F2A26">
        <w:rPr>
          <w:rFonts w:eastAsiaTheme="minorEastAsia" w:cs="Times New Roman"/>
          <w:szCs w:val="24"/>
          <w:lang w:val="en-US" w:eastAsia="zh-CN"/>
        </w:rPr>
        <w:t>cPO</w:t>
      </w:r>
      <w:r w:rsidR="00FB46DF" w:rsidRPr="005F2A26">
        <w:rPr>
          <w:rFonts w:eastAsiaTheme="minorEastAsia" w:cs="Times New Roman"/>
          <w:szCs w:val="24"/>
          <w:lang w:val="en-US" w:eastAsia="zh-CN"/>
        </w:rPr>
        <w:t xml:space="preserve"> is influenced by the degree to which each member of the group has travelled down one or more </w:t>
      </w:r>
      <w:r w:rsidR="009075FD" w:rsidRPr="005F2A26">
        <w:rPr>
          <w:rFonts w:eastAsiaTheme="minorEastAsia" w:cs="Times New Roman"/>
          <w:szCs w:val="24"/>
          <w:lang w:val="en-US" w:eastAsia="zh-CN"/>
        </w:rPr>
        <w:t>causes of</w:t>
      </w:r>
      <w:r w:rsidR="00FB46DF" w:rsidRPr="005F2A26">
        <w:rPr>
          <w:rFonts w:eastAsiaTheme="minorEastAsia" w:cs="Times New Roman"/>
          <w:szCs w:val="24"/>
          <w:lang w:val="en-US" w:eastAsia="zh-CN"/>
        </w:rPr>
        <w:t xml:space="preserve"> ownership</w:t>
      </w:r>
      <w:r w:rsidR="007F4488">
        <w:rPr>
          <w:rFonts w:eastAsiaTheme="minorEastAsia" w:cs="Times New Roman"/>
          <w:szCs w:val="24"/>
          <w:lang w:val="en-US" w:eastAsia="zh-CN"/>
        </w:rPr>
        <w:t xml:space="preserve"> and</w:t>
      </w:r>
      <w:r w:rsidR="00FB46DF" w:rsidRPr="005F2A26">
        <w:rPr>
          <w:rFonts w:eastAsiaTheme="minorEastAsia" w:cs="Times New Roman"/>
          <w:szCs w:val="24"/>
          <w:lang w:val="en-US" w:eastAsia="zh-CN"/>
        </w:rPr>
        <w:t xml:space="preserve"> the degree to which there is a collective understanding that ‘we’ have travelled down th</w:t>
      </w:r>
      <w:r w:rsidR="009075FD" w:rsidRPr="005F2A26">
        <w:rPr>
          <w:rFonts w:eastAsiaTheme="minorEastAsia" w:cs="Times New Roman"/>
          <w:szCs w:val="24"/>
          <w:lang w:val="en-US" w:eastAsia="zh-CN"/>
        </w:rPr>
        <w:t>e</w:t>
      </w:r>
      <w:r w:rsidR="00FB46DF" w:rsidRPr="005F2A26">
        <w:rPr>
          <w:rFonts w:eastAsiaTheme="minorEastAsia" w:cs="Times New Roman"/>
          <w:szCs w:val="24"/>
          <w:lang w:val="en-US" w:eastAsia="zh-CN"/>
        </w:rPr>
        <w:t xml:space="preserve">se </w:t>
      </w:r>
      <w:r w:rsidR="009075FD" w:rsidRPr="005F2A26">
        <w:rPr>
          <w:rFonts w:eastAsiaTheme="minorEastAsia" w:cs="Times New Roman"/>
          <w:szCs w:val="24"/>
          <w:lang w:val="en-US" w:eastAsia="zh-CN"/>
        </w:rPr>
        <w:t xml:space="preserve">causes </w:t>
      </w:r>
      <w:r w:rsidR="00FB46DF" w:rsidRPr="005F2A26">
        <w:rPr>
          <w:rFonts w:eastAsiaTheme="minorEastAsia" w:cs="Times New Roman"/>
          <w:szCs w:val="24"/>
          <w:lang w:val="en-US" w:eastAsia="zh-CN"/>
        </w:rPr>
        <w:t>together.</w:t>
      </w:r>
    </w:p>
    <w:p w14:paraId="69E7FD4A" w14:textId="7208EA1B" w:rsidR="00E44825" w:rsidRPr="005F2A26" w:rsidRDefault="004D4272" w:rsidP="00E44825">
      <w:pPr>
        <w:widowControl w:val="0"/>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t xml:space="preserve">Collective recognition of shared investment is possible through </w:t>
      </w:r>
      <w:r w:rsidR="007F4488">
        <w:rPr>
          <w:rFonts w:eastAsiaTheme="minorEastAsia" w:cs="Times New Roman"/>
          <w:szCs w:val="24"/>
          <w:lang w:val="en-US" w:eastAsia="zh-CN"/>
        </w:rPr>
        <w:t xml:space="preserve">platform </w:t>
      </w:r>
      <w:r w:rsidRPr="005F2A26">
        <w:rPr>
          <w:rFonts w:eastAsiaTheme="minorEastAsia" w:cs="Times New Roman"/>
          <w:szCs w:val="24"/>
          <w:lang w:val="en-US" w:eastAsia="zh-CN"/>
        </w:rPr>
        <w:t xml:space="preserve">functions that </w:t>
      </w:r>
      <w:r w:rsidR="00B24462" w:rsidRPr="005F2A26">
        <w:rPr>
          <w:rFonts w:eastAsiaTheme="minorEastAsia" w:cs="Times New Roman"/>
          <w:szCs w:val="24"/>
          <w:lang w:val="en-US" w:eastAsia="zh-CN"/>
        </w:rPr>
        <w:t>enable direct interactions between peers</w:t>
      </w:r>
      <w:r w:rsidR="00676F7C" w:rsidRPr="005F2A26">
        <w:rPr>
          <w:rFonts w:eastAsiaTheme="minorEastAsia" w:cs="Times New Roman"/>
          <w:szCs w:val="24"/>
          <w:lang w:val="en-US" w:eastAsia="zh-CN"/>
        </w:rPr>
        <w:t xml:space="preserve">, and </w:t>
      </w:r>
      <w:r w:rsidR="008E447D" w:rsidRPr="005F2A26">
        <w:rPr>
          <w:rFonts w:eastAsiaTheme="minorEastAsia" w:cs="Times New Roman"/>
          <w:szCs w:val="24"/>
          <w:lang w:val="en-US" w:eastAsia="zh-CN"/>
        </w:rPr>
        <w:t>a</w:t>
      </w:r>
      <w:r w:rsidR="00B24462" w:rsidRPr="005F2A26">
        <w:rPr>
          <w:rFonts w:eastAsiaTheme="minorEastAsia" w:cs="Times New Roman"/>
          <w:szCs w:val="24"/>
          <w:lang w:val="en-US" w:eastAsia="zh-CN"/>
        </w:rPr>
        <w:t xml:space="preserve"> </w:t>
      </w:r>
      <w:r w:rsidR="007342A3" w:rsidRPr="005F2A26">
        <w:rPr>
          <w:rFonts w:eastAsiaTheme="minorEastAsia" w:cs="Times New Roman"/>
          <w:szCs w:val="24"/>
          <w:lang w:val="en-US" w:eastAsia="zh-CN"/>
        </w:rPr>
        <w:t>sense</w:t>
      </w:r>
      <w:r w:rsidR="00B24462" w:rsidRPr="005F2A26">
        <w:rPr>
          <w:rFonts w:eastAsiaTheme="minorEastAsia" w:cs="Times New Roman"/>
          <w:szCs w:val="24"/>
          <w:lang w:val="en-US" w:eastAsia="zh-CN"/>
        </w:rPr>
        <w:t xml:space="preserve"> of </w:t>
      </w:r>
      <w:r w:rsidR="008E447D" w:rsidRPr="005F2A26">
        <w:rPr>
          <w:rFonts w:eastAsiaTheme="minorEastAsia" w:cs="Times New Roman"/>
          <w:szCs w:val="24"/>
          <w:lang w:val="en-US" w:eastAsia="zh-CN"/>
        </w:rPr>
        <w:t xml:space="preserve">shared collective control and </w:t>
      </w:r>
      <w:r w:rsidR="00B24462" w:rsidRPr="005F2A26">
        <w:rPr>
          <w:rFonts w:eastAsiaTheme="minorEastAsia" w:cs="Times New Roman"/>
          <w:szCs w:val="24"/>
          <w:lang w:val="en-US" w:eastAsia="zh-CN"/>
        </w:rPr>
        <w:t>agency</w:t>
      </w:r>
      <w:r w:rsidR="005D5963" w:rsidRPr="005F2A26">
        <w:rPr>
          <w:rFonts w:eastAsiaTheme="minorEastAsia" w:cs="Times New Roman"/>
          <w:szCs w:val="24"/>
          <w:lang w:val="en-US" w:eastAsia="zh-CN"/>
        </w:rPr>
        <w:t xml:space="preserve">. </w:t>
      </w:r>
      <w:r w:rsidR="008854A0" w:rsidRPr="005F2A26">
        <w:rPr>
          <w:rFonts w:eastAsiaTheme="minorEastAsia" w:cs="Times New Roman"/>
          <w:szCs w:val="24"/>
          <w:lang w:val="en-US" w:eastAsia="zh-CN"/>
        </w:rPr>
        <w:t xml:space="preserve">For example, </w:t>
      </w:r>
      <w:r w:rsidR="00E44825" w:rsidRPr="005F2A26">
        <w:rPr>
          <w:rFonts w:eastAsiaTheme="minorEastAsia" w:cs="Times New Roman"/>
          <w:szCs w:val="24"/>
          <w:lang w:val="en-US" w:eastAsia="zh-CN"/>
        </w:rPr>
        <w:t xml:space="preserve">Fitzmaurice </w:t>
      </w:r>
      <w:r w:rsidR="00957690" w:rsidRPr="00957690">
        <w:rPr>
          <w:rFonts w:eastAsiaTheme="minorEastAsia" w:cs="Times New Roman"/>
          <w:i/>
          <w:iCs/>
          <w:szCs w:val="24"/>
          <w:lang w:val="en-US" w:eastAsia="zh-CN"/>
        </w:rPr>
        <w:t>et al.</w:t>
      </w:r>
      <w:r w:rsidR="00E44825" w:rsidRPr="005F2A26">
        <w:rPr>
          <w:rFonts w:eastAsiaTheme="minorEastAsia" w:cs="Times New Roman"/>
          <w:szCs w:val="24"/>
          <w:lang w:val="en-US" w:eastAsia="zh-CN"/>
        </w:rPr>
        <w:t xml:space="preserve"> (2020) found </w:t>
      </w:r>
      <w:r w:rsidR="00E44825" w:rsidRPr="005F2A26">
        <w:rPr>
          <w:szCs w:val="24"/>
          <w:lang w:val="en-US"/>
        </w:rPr>
        <w:t xml:space="preserve">the TaskRabbit platform helps users build </w:t>
      </w:r>
      <w:r w:rsidR="00EA5B24">
        <w:rPr>
          <w:szCs w:val="24"/>
          <w:lang w:val="en-US"/>
        </w:rPr>
        <w:t>reliable</w:t>
      </w:r>
      <w:r w:rsidR="00E44825" w:rsidRPr="005F2A26">
        <w:rPr>
          <w:szCs w:val="24"/>
          <w:lang w:val="en-US"/>
        </w:rPr>
        <w:t xml:space="preserve"> social networks </w:t>
      </w:r>
      <w:r w:rsidR="00EA5B24">
        <w:rPr>
          <w:szCs w:val="24"/>
          <w:lang w:val="en-US"/>
        </w:rPr>
        <w:t xml:space="preserve">comprising </w:t>
      </w:r>
      <w:r w:rsidR="00E44825" w:rsidRPr="005F2A26">
        <w:rPr>
          <w:szCs w:val="24"/>
          <w:lang w:val="en-US"/>
        </w:rPr>
        <w:t xml:space="preserve">people </w:t>
      </w:r>
      <w:r w:rsidR="00092BA4">
        <w:rPr>
          <w:szCs w:val="24"/>
          <w:lang w:val="en-US"/>
        </w:rPr>
        <w:t>they</w:t>
      </w:r>
      <w:r w:rsidR="00E44825" w:rsidRPr="005F2A26">
        <w:rPr>
          <w:szCs w:val="24"/>
          <w:lang w:val="en-US"/>
        </w:rPr>
        <w:t xml:space="preserve"> would otherwise have never met. </w:t>
      </w:r>
      <w:r w:rsidR="00E44825" w:rsidRPr="005F2A26">
        <w:rPr>
          <w:rFonts w:eastAsiaTheme="minorEastAsia" w:cs="Times New Roman"/>
          <w:szCs w:val="24"/>
          <w:lang w:val="en-US" w:eastAsia="zh-CN"/>
        </w:rPr>
        <w:t xml:space="preserve">In the ‘talking together time bank’ (a knowledge-based time bank where SE users share their knowledge of the English language), </w:t>
      </w:r>
      <w:r w:rsidR="008854A0" w:rsidRPr="005F2A26">
        <w:rPr>
          <w:rFonts w:eastAsiaTheme="minorEastAsia" w:cs="Times New Roman"/>
          <w:szCs w:val="24"/>
          <w:lang w:val="en-US" w:eastAsia="zh-CN"/>
        </w:rPr>
        <w:t>the</w:t>
      </w:r>
      <w:r w:rsidR="00E44825" w:rsidRPr="005F2A26">
        <w:rPr>
          <w:rFonts w:eastAsiaTheme="minorEastAsia" w:cs="Times New Roman"/>
          <w:szCs w:val="24"/>
          <w:lang w:val="en-US" w:eastAsia="zh-CN"/>
        </w:rPr>
        <w:t xml:space="preserve"> shared sense of belonging to th</w:t>
      </w:r>
      <w:r w:rsidR="008854A0" w:rsidRPr="005F2A26">
        <w:rPr>
          <w:rFonts w:eastAsiaTheme="minorEastAsia" w:cs="Times New Roman"/>
          <w:szCs w:val="24"/>
          <w:lang w:val="en-US" w:eastAsia="zh-CN"/>
        </w:rPr>
        <w:t>e</w:t>
      </w:r>
      <w:r w:rsidR="00E44825" w:rsidRPr="005F2A26">
        <w:rPr>
          <w:rFonts w:eastAsiaTheme="minorEastAsia" w:cs="Times New Roman"/>
          <w:szCs w:val="24"/>
          <w:lang w:val="en-US" w:eastAsia="zh-CN"/>
        </w:rPr>
        <w:t xml:space="preserve"> community, the critical mass of social influence, and the</w:t>
      </w:r>
      <w:r w:rsidR="008854A0" w:rsidRPr="005F2A26">
        <w:rPr>
          <w:rFonts w:eastAsiaTheme="minorEastAsia" w:cs="Times New Roman"/>
          <w:szCs w:val="24"/>
          <w:lang w:val="en-US" w:eastAsia="zh-CN"/>
        </w:rPr>
        <w:t xml:space="preserve"> functionality of the</w:t>
      </w:r>
      <w:r w:rsidR="00E44825" w:rsidRPr="005F2A26">
        <w:rPr>
          <w:rFonts w:eastAsiaTheme="minorEastAsia" w:cs="Times New Roman"/>
          <w:szCs w:val="24"/>
          <w:lang w:val="en-US" w:eastAsia="zh-CN"/>
        </w:rPr>
        <w:t xml:space="preserve"> </w:t>
      </w:r>
      <w:r w:rsidR="008854A0" w:rsidRPr="005F2A26">
        <w:rPr>
          <w:rFonts w:eastAsiaTheme="minorEastAsia" w:cs="Times New Roman"/>
          <w:szCs w:val="24"/>
          <w:lang w:val="en-US" w:eastAsia="zh-CN"/>
        </w:rPr>
        <w:t>platform</w:t>
      </w:r>
      <w:r w:rsidR="00CB6532">
        <w:rPr>
          <w:rFonts w:eastAsiaTheme="minorEastAsia" w:cs="Times New Roman"/>
          <w:szCs w:val="24"/>
          <w:lang w:val="en-US" w:eastAsia="zh-CN"/>
        </w:rPr>
        <w:t xml:space="preserve"> empowers</w:t>
      </w:r>
      <w:r w:rsidR="00E44825" w:rsidRPr="005F2A26">
        <w:rPr>
          <w:rFonts w:eastAsiaTheme="minorEastAsia" w:cs="Times New Roman"/>
          <w:szCs w:val="24"/>
          <w:lang w:val="en-US" w:eastAsia="zh-CN"/>
        </w:rPr>
        <w:t xml:space="preserve"> the group. </w:t>
      </w:r>
      <w:r w:rsidR="00EC4FFF" w:rsidRPr="007C131E">
        <w:rPr>
          <w:rFonts w:eastAsiaTheme="minorEastAsia" w:cs="Times New Roman"/>
          <w:color w:val="FF0000"/>
          <w:szCs w:val="24"/>
          <w:lang w:val="en-US" w:eastAsia="zh-CN"/>
        </w:rPr>
        <w:t xml:space="preserve">In the engagement literature, causes of cPO </w:t>
      </w:r>
      <w:r w:rsidR="008F1ABC">
        <w:rPr>
          <w:rFonts w:eastAsiaTheme="minorEastAsia" w:cs="Times New Roman"/>
          <w:color w:val="FF0000"/>
          <w:szCs w:val="24"/>
          <w:lang w:val="en-US" w:eastAsia="zh-CN"/>
        </w:rPr>
        <w:t>would include</w:t>
      </w:r>
      <w:r w:rsidR="00EC4FFF" w:rsidRPr="007C131E">
        <w:rPr>
          <w:rFonts w:eastAsiaTheme="minorEastAsia" w:cs="Times New Roman"/>
          <w:color w:val="FF0000"/>
          <w:szCs w:val="24"/>
          <w:lang w:val="en-US" w:eastAsia="zh-CN"/>
        </w:rPr>
        <w:t xml:space="preserve"> factors </w:t>
      </w:r>
      <w:r w:rsidR="008F1ABC">
        <w:rPr>
          <w:rFonts w:eastAsiaTheme="minorEastAsia" w:cs="Times New Roman"/>
          <w:color w:val="FF0000"/>
          <w:szCs w:val="24"/>
          <w:lang w:val="en-US" w:eastAsia="zh-CN"/>
        </w:rPr>
        <w:t>like</w:t>
      </w:r>
      <w:r w:rsidR="00C57695" w:rsidRPr="007C131E">
        <w:rPr>
          <w:rFonts w:eastAsiaTheme="minorEastAsia" w:cs="Times New Roman"/>
          <w:color w:val="FF0000"/>
          <w:szCs w:val="24"/>
          <w:lang w:val="en-US" w:eastAsia="zh-CN"/>
        </w:rPr>
        <w:t xml:space="preserve"> rewards and recognition offered </w:t>
      </w:r>
      <w:r w:rsidR="00C32849" w:rsidRPr="007C131E">
        <w:rPr>
          <w:rFonts w:eastAsiaTheme="minorEastAsia" w:cs="Times New Roman"/>
          <w:color w:val="FF0000"/>
          <w:szCs w:val="24"/>
          <w:lang w:val="en-US" w:eastAsia="zh-CN"/>
        </w:rPr>
        <w:t>to community members</w:t>
      </w:r>
      <w:r w:rsidR="00C57695" w:rsidRPr="007C131E">
        <w:rPr>
          <w:rFonts w:eastAsiaTheme="minorEastAsia" w:cs="Times New Roman"/>
          <w:color w:val="FF0000"/>
          <w:szCs w:val="24"/>
          <w:lang w:val="en-US" w:eastAsia="zh-CN"/>
        </w:rPr>
        <w:t xml:space="preserve"> </w:t>
      </w:r>
      <w:r w:rsidR="00C57695" w:rsidRPr="007C131E">
        <w:rPr>
          <w:rFonts w:eastAsia="Calibri" w:cs="Times New Roman"/>
          <w:color w:val="FF0000"/>
          <w:szCs w:val="24"/>
        </w:rPr>
        <w:t xml:space="preserve">(Chan </w:t>
      </w:r>
      <w:r w:rsidR="00957690" w:rsidRPr="00957690">
        <w:rPr>
          <w:rFonts w:eastAsia="Calibri" w:cs="Times New Roman"/>
          <w:i/>
          <w:iCs/>
          <w:color w:val="FF0000"/>
          <w:szCs w:val="24"/>
        </w:rPr>
        <w:t>et al.</w:t>
      </w:r>
      <w:r w:rsidR="00C57695" w:rsidRPr="007C131E">
        <w:rPr>
          <w:rFonts w:eastAsia="Calibri" w:cs="Times New Roman"/>
          <w:i/>
          <w:iCs/>
          <w:color w:val="FF0000"/>
          <w:szCs w:val="24"/>
        </w:rPr>
        <w:t xml:space="preserve">, </w:t>
      </w:r>
      <w:r w:rsidR="00C57695" w:rsidRPr="007C131E">
        <w:rPr>
          <w:rFonts w:eastAsia="Calibri" w:cs="Times New Roman"/>
          <w:color w:val="FF0000"/>
          <w:szCs w:val="24"/>
        </w:rPr>
        <w:t>2014)</w:t>
      </w:r>
      <w:r w:rsidR="00C32849" w:rsidRPr="007C131E">
        <w:rPr>
          <w:rFonts w:eastAsia="Calibri" w:cs="Times New Roman"/>
          <w:color w:val="FF0000"/>
          <w:szCs w:val="24"/>
        </w:rPr>
        <w:t xml:space="preserve"> and </w:t>
      </w:r>
      <w:r w:rsidR="00535676">
        <w:rPr>
          <w:rFonts w:eastAsia="Calibri" w:cs="Times New Roman"/>
          <w:color w:val="FF0000"/>
          <w:szCs w:val="24"/>
        </w:rPr>
        <w:t>platform</w:t>
      </w:r>
      <w:r w:rsidR="00C32849" w:rsidRPr="007C131E">
        <w:rPr>
          <w:rFonts w:eastAsia="Calibri" w:cs="Times New Roman"/>
          <w:color w:val="FF0000"/>
          <w:szCs w:val="24"/>
        </w:rPr>
        <w:t xml:space="preserve"> </w:t>
      </w:r>
      <w:r w:rsidR="002E5963" w:rsidRPr="007C131E">
        <w:rPr>
          <w:rFonts w:eastAsia="Calibri" w:cs="Times New Roman"/>
          <w:color w:val="FF0000"/>
          <w:szCs w:val="24"/>
        </w:rPr>
        <w:t>functionality that allows interaction</w:t>
      </w:r>
      <w:r w:rsidR="00621E9A" w:rsidRPr="007C131E">
        <w:rPr>
          <w:rFonts w:eastAsia="Calibri" w:cs="Times New Roman"/>
          <w:color w:val="FF0000"/>
          <w:szCs w:val="24"/>
        </w:rPr>
        <w:t>,</w:t>
      </w:r>
      <w:r w:rsidR="002E5963" w:rsidRPr="007C131E">
        <w:rPr>
          <w:rFonts w:eastAsia="Calibri" w:cs="Times New Roman"/>
          <w:color w:val="FF0000"/>
          <w:szCs w:val="24"/>
        </w:rPr>
        <w:t xml:space="preserve"> sharing</w:t>
      </w:r>
      <w:r w:rsidR="00621E9A" w:rsidRPr="007C131E">
        <w:rPr>
          <w:rFonts w:eastAsia="Calibri" w:cs="Times New Roman"/>
          <w:color w:val="FF0000"/>
          <w:szCs w:val="24"/>
        </w:rPr>
        <w:t xml:space="preserve">, and social contagion </w:t>
      </w:r>
      <w:r w:rsidR="00F452AC" w:rsidRPr="007C131E">
        <w:rPr>
          <w:rFonts w:eastAsia="Calibri" w:cs="Times New Roman"/>
          <w:color w:val="FF0000"/>
          <w:szCs w:val="24"/>
        </w:rPr>
        <w:t xml:space="preserve">(Bowden </w:t>
      </w:r>
      <w:r w:rsidR="00957690" w:rsidRPr="00957690">
        <w:rPr>
          <w:rFonts w:eastAsia="Calibri" w:cs="Times New Roman"/>
          <w:i/>
          <w:iCs/>
          <w:color w:val="FF0000"/>
          <w:szCs w:val="24"/>
        </w:rPr>
        <w:t>et al.</w:t>
      </w:r>
      <w:r w:rsidR="00F452AC" w:rsidRPr="007C131E">
        <w:rPr>
          <w:rFonts w:eastAsia="Calibri" w:cs="Times New Roman"/>
          <w:color w:val="FF0000"/>
          <w:szCs w:val="24"/>
        </w:rPr>
        <w:t xml:space="preserve">, 2017; Kleinaltenkamp </w:t>
      </w:r>
      <w:r w:rsidR="00957690" w:rsidRPr="00957690">
        <w:rPr>
          <w:rFonts w:eastAsia="Calibri" w:cs="Times New Roman"/>
          <w:i/>
          <w:iCs/>
          <w:color w:val="FF0000"/>
          <w:szCs w:val="24"/>
        </w:rPr>
        <w:t>et al.</w:t>
      </w:r>
      <w:r w:rsidR="00F452AC" w:rsidRPr="007C131E">
        <w:rPr>
          <w:rFonts w:eastAsia="Calibri" w:cs="Times New Roman"/>
          <w:color w:val="FF0000"/>
          <w:szCs w:val="24"/>
        </w:rPr>
        <w:t>, 2019)</w:t>
      </w:r>
      <w:r w:rsidR="00C57695" w:rsidRPr="007C131E">
        <w:rPr>
          <w:rFonts w:eastAsia="Calibri" w:cs="Times New Roman"/>
          <w:color w:val="FF0000"/>
          <w:szCs w:val="24"/>
        </w:rPr>
        <w:t>.</w:t>
      </w:r>
      <w:r w:rsidR="002838F5">
        <w:rPr>
          <w:rFonts w:eastAsia="Calibri" w:cs="Times New Roman"/>
          <w:color w:val="FF0000"/>
          <w:szCs w:val="24"/>
        </w:rPr>
        <w:t xml:space="preserve"> </w:t>
      </w:r>
      <w:r w:rsidR="008D0408" w:rsidRPr="005F2A26">
        <w:rPr>
          <w:rFonts w:eastAsiaTheme="minorEastAsia" w:cs="Times New Roman"/>
          <w:szCs w:val="24"/>
          <w:lang w:val="en-US" w:eastAsia="zh-CN"/>
        </w:rPr>
        <w:t xml:space="preserve">SE </w:t>
      </w:r>
      <w:r w:rsidR="00540CC1">
        <w:rPr>
          <w:rFonts w:eastAsiaTheme="minorEastAsia" w:cs="Times New Roman"/>
          <w:szCs w:val="24"/>
          <w:lang w:val="en-US" w:eastAsia="zh-CN"/>
        </w:rPr>
        <w:t>litera</w:t>
      </w:r>
      <w:r w:rsidR="00FC6BDE">
        <w:rPr>
          <w:rFonts w:eastAsiaTheme="minorEastAsia" w:cs="Times New Roman"/>
          <w:szCs w:val="24"/>
          <w:lang w:val="en-US" w:eastAsia="zh-CN"/>
        </w:rPr>
        <w:t>t</w:t>
      </w:r>
      <w:r w:rsidR="00F453D3">
        <w:rPr>
          <w:rFonts w:eastAsiaTheme="minorEastAsia" w:cs="Times New Roman"/>
          <w:szCs w:val="24"/>
          <w:lang w:val="en-US" w:eastAsia="zh-CN"/>
        </w:rPr>
        <w:t>ure</w:t>
      </w:r>
      <w:r w:rsidR="00E44825" w:rsidRPr="005F2A26">
        <w:rPr>
          <w:rFonts w:eastAsiaTheme="minorEastAsia" w:cs="Times New Roman"/>
          <w:szCs w:val="24"/>
          <w:lang w:val="en-US" w:eastAsia="zh-CN"/>
        </w:rPr>
        <w:t xml:space="preserve"> </w:t>
      </w:r>
      <w:r w:rsidR="008D0408" w:rsidRPr="005F2A26">
        <w:rPr>
          <w:rFonts w:eastAsiaTheme="minorEastAsia" w:cs="Times New Roman"/>
          <w:szCs w:val="24"/>
          <w:lang w:val="en-US" w:eastAsia="zh-CN"/>
        </w:rPr>
        <w:t>demonstrates r</w:t>
      </w:r>
      <w:r w:rsidR="00B24462" w:rsidRPr="005F2A26">
        <w:rPr>
          <w:rFonts w:eastAsiaTheme="minorEastAsia" w:cs="Times New Roman"/>
          <w:szCs w:val="24"/>
          <w:lang w:val="en-US" w:eastAsia="zh-CN"/>
        </w:rPr>
        <w:t>ole fluidity in P2P networks also increases the propensity for positive peer engagement behavio</w:t>
      </w:r>
      <w:r w:rsidR="00AD6C0E" w:rsidRPr="005F2A26">
        <w:rPr>
          <w:rFonts w:eastAsiaTheme="minorEastAsia" w:cs="Times New Roman"/>
          <w:szCs w:val="24"/>
          <w:lang w:val="en-US" w:eastAsia="zh-CN"/>
        </w:rPr>
        <w:t>u</w:t>
      </w:r>
      <w:r w:rsidR="00B24462" w:rsidRPr="005F2A26">
        <w:rPr>
          <w:rFonts w:eastAsiaTheme="minorEastAsia" w:cs="Times New Roman"/>
          <w:szCs w:val="24"/>
          <w:lang w:val="en-US" w:eastAsia="zh-CN"/>
        </w:rPr>
        <w:t xml:space="preserve">rs (Lin </w:t>
      </w:r>
      <w:r w:rsidR="00957690" w:rsidRPr="00957690">
        <w:rPr>
          <w:rFonts w:cs="Times New Roman"/>
          <w:i/>
          <w:iCs/>
          <w:szCs w:val="24"/>
          <w:lang w:val="en-US"/>
        </w:rPr>
        <w:t>et al.</w:t>
      </w:r>
      <w:r w:rsidR="009A0432" w:rsidRPr="005F2A26">
        <w:rPr>
          <w:rFonts w:cs="Times New Roman"/>
          <w:szCs w:val="24"/>
          <w:lang w:val="en-US"/>
        </w:rPr>
        <w:t xml:space="preserve">, </w:t>
      </w:r>
      <w:r w:rsidR="00B24462" w:rsidRPr="005F2A26">
        <w:rPr>
          <w:rFonts w:eastAsiaTheme="minorEastAsia" w:cs="Times New Roman"/>
          <w:szCs w:val="24"/>
          <w:lang w:val="en-US" w:eastAsia="zh-CN"/>
        </w:rPr>
        <w:t xml:space="preserve">2019), e.g., someone who rents out their spare room through Airbnb who also sometimes rents someone else’s spare room through Airbnb. </w:t>
      </w:r>
      <w:r w:rsidR="00823E16" w:rsidRPr="005F2A26">
        <w:rPr>
          <w:rFonts w:eastAsiaTheme="minorEastAsia" w:cs="Times New Roman"/>
          <w:szCs w:val="24"/>
          <w:lang w:val="en-US" w:eastAsia="zh-CN"/>
        </w:rPr>
        <w:t>Through role fluidity, actors</w:t>
      </w:r>
      <w:r w:rsidR="005D531E" w:rsidRPr="005F2A26">
        <w:rPr>
          <w:rFonts w:eastAsiaTheme="minorEastAsia" w:cs="Times New Roman"/>
          <w:szCs w:val="24"/>
          <w:lang w:val="en-US" w:eastAsia="zh-CN"/>
        </w:rPr>
        <w:t xml:space="preserve"> experience a sense of </w:t>
      </w:r>
      <w:r w:rsidR="00823E16" w:rsidRPr="005F2A26">
        <w:rPr>
          <w:rFonts w:eastAsiaTheme="minorEastAsia" w:cs="Times New Roman"/>
          <w:szCs w:val="24"/>
          <w:lang w:val="en-US" w:eastAsia="zh-CN"/>
        </w:rPr>
        <w:t xml:space="preserve">shared </w:t>
      </w:r>
      <w:r w:rsidR="005D531E" w:rsidRPr="005F2A26">
        <w:rPr>
          <w:rFonts w:eastAsiaTheme="minorEastAsia" w:cs="Times New Roman"/>
          <w:szCs w:val="24"/>
          <w:lang w:val="en-US" w:eastAsia="zh-CN"/>
        </w:rPr>
        <w:t>intimate knowing and investment</w:t>
      </w:r>
      <w:r w:rsidR="009D7541" w:rsidRPr="005F2A26">
        <w:rPr>
          <w:rFonts w:eastAsiaTheme="minorEastAsia" w:cs="Times New Roman"/>
          <w:szCs w:val="24"/>
          <w:lang w:val="en-US" w:eastAsia="zh-CN"/>
        </w:rPr>
        <w:t>, by ‘walking in the others’ shoes</w:t>
      </w:r>
      <w:r w:rsidR="005D531E" w:rsidRPr="005F2A26">
        <w:rPr>
          <w:rFonts w:eastAsiaTheme="minorEastAsia" w:cs="Times New Roman"/>
          <w:szCs w:val="24"/>
          <w:lang w:val="en-US" w:eastAsia="zh-CN"/>
        </w:rPr>
        <w:t>.</w:t>
      </w:r>
      <w:r w:rsidR="009D7541" w:rsidRPr="005F2A26">
        <w:rPr>
          <w:rFonts w:eastAsiaTheme="minorEastAsia" w:cs="Times New Roman"/>
          <w:szCs w:val="24"/>
          <w:lang w:val="en-US" w:eastAsia="zh-CN"/>
        </w:rPr>
        <w:t>’</w:t>
      </w:r>
      <w:r w:rsidR="005D531E" w:rsidRPr="005F2A26">
        <w:rPr>
          <w:rFonts w:eastAsiaTheme="minorEastAsia" w:cs="Times New Roman"/>
          <w:szCs w:val="24"/>
          <w:lang w:val="en-US" w:eastAsia="zh-CN"/>
        </w:rPr>
        <w:t xml:space="preserve"> </w:t>
      </w:r>
      <w:r w:rsidR="00B24462" w:rsidRPr="005F2A26">
        <w:rPr>
          <w:rFonts w:eastAsiaTheme="minorEastAsia" w:cs="Times New Roman"/>
          <w:szCs w:val="24"/>
          <w:lang w:val="en-US" w:eastAsia="zh-CN"/>
        </w:rPr>
        <w:t xml:space="preserve">Additionally, peers who </w:t>
      </w:r>
      <w:r w:rsidR="007634D6">
        <w:rPr>
          <w:rFonts w:eastAsiaTheme="minorEastAsia" w:cs="Times New Roman"/>
          <w:szCs w:val="24"/>
          <w:lang w:val="en-US" w:eastAsia="zh-CN"/>
        </w:rPr>
        <w:t xml:space="preserve">proactively and </w:t>
      </w:r>
      <w:r w:rsidR="00B24462" w:rsidRPr="005F2A26">
        <w:rPr>
          <w:rFonts w:eastAsiaTheme="minorEastAsia" w:cs="Times New Roman"/>
          <w:szCs w:val="24"/>
          <w:lang w:val="en-US" w:eastAsia="zh-CN"/>
        </w:rPr>
        <w:t xml:space="preserve">creatively engage with </w:t>
      </w:r>
      <w:r w:rsidR="007D2E2A">
        <w:rPr>
          <w:rFonts w:eastAsiaTheme="minorEastAsia" w:cs="Times New Roman"/>
          <w:szCs w:val="24"/>
          <w:lang w:val="en-US" w:eastAsia="zh-CN"/>
        </w:rPr>
        <w:t>one</w:t>
      </w:r>
      <w:r w:rsidR="00B24462" w:rsidRPr="005F2A26">
        <w:rPr>
          <w:rFonts w:eastAsiaTheme="minorEastAsia" w:cs="Times New Roman"/>
          <w:szCs w:val="24"/>
          <w:lang w:val="en-US" w:eastAsia="zh-CN"/>
        </w:rPr>
        <w:t xml:space="preserve"> </w:t>
      </w:r>
      <w:r w:rsidR="007D2E2A">
        <w:rPr>
          <w:rFonts w:eastAsiaTheme="minorEastAsia" w:cs="Times New Roman"/>
          <w:szCs w:val="24"/>
          <w:lang w:val="en-US" w:eastAsia="zh-CN"/>
        </w:rPr>
        <w:t>an</w:t>
      </w:r>
      <w:r w:rsidR="00B24462" w:rsidRPr="005F2A26">
        <w:rPr>
          <w:rFonts w:eastAsiaTheme="minorEastAsia" w:cs="Times New Roman"/>
          <w:szCs w:val="24"/>
          <w:lang w:val="en-US" w:eastAsia="zh-CN"/>
        </w:rPr>
        <w:t xml:space="preserve">other go beyond what is expected or required, e.g., the </w:t>
      </w:r>
      <w:r w:rsidR="008902DB" w:rsidRPr="005F2A26">
        <w:rPr>
          <w:rFonts w:eastAsiaTheme="minorEastAsia" w:cs="Times New Roman"/>
          <w:szCs w:val="24"/>
          <w:lang w:val="en-US" w:eastAsia="zh-CN"/>
        </w:rPr>
        <w:t xml:space="preserve">Airbnb host who provides complimentary wine and tourist advice. </w:t>
      </w:r>
    </w:p>
    <w:p w14:paraId="6C803B65" w14:textId="417F98A5" w:rsidR="002658EB" w:rsidRDefault="00DF74B8" w:rsidP="00136844">
      <w:pPr>
        <w:widowControl w:val="0"/>
        <w:spacing w:after="0" w:line="480" w:lineRule="auto"/>
        <w:ind w:firstLine="720"/>
        <w:rPr>
          <w:rFonts w:eastAsiaTheme="minorEastAsia" w:cs="Times New Roman"/>
          <w:szCs w:val="24"/>
          <w:lang w:val="en-US" w:eastAsia="zh-CN"/>
        </w:rPr>
      </w:pPr>
      <w:r>
        <w:rPr>
          <w:rFonts w:eastAsiaTheme="minorEastAsia" w:cs="Times New Roman"/>
          <w:szCs w:val="24"/>
          <w:lang w:val="en-US" w:eastAsia="zh-CN"/>
        </w:rPr>
        <w:t>T</w:t>
      </w:r>
      <w:r w:rsidR="00136844" w:rsidRPr="005F2A26">
        <w:rPr>
          <w:rFonts w:eastAsiaTheme="minorEastAsia" w:cs="Times New Roman"/>
          <w:szCs w:val="24"/>
          <w:lang w:val="en-US" w:eastAsia="zh-CN"/>
        </w:rPr>
        <w:t>argets of cPO have unique attributes</w:t>
      </w:r>
      <w:r>
        <w:rPr>
          <w:rFonts w:eastAsiaTheme="minorEastAsia" w:cs="Times New Roman"/>
          <w:szCs w:val="24"/>
          <w:lang w:val="en-US" w:eastAsia="zh-CN"/>
        </w:rPr>
        <w:t xml:space="preserve"> (</w:t>
      </w:r>
      <w:r w:rsidRPr="005F2A26">
        <w:rPr>
          <w:rFonts w:eastAsiaTheme="minorEastAsia" w:cs="Times New Roman"/>
          <w:szCs w:val="24"/>
          <w:lang w:val="en-US" w:eastAsia="zh-CN"/>
        </w:rPr>
        <w:t xml:space="preserve">Pierce and </w:t>
      </w:r>
      <w:proofErr w:type="spellStart"/>
      <w:r w:rsidRPr="005F2A26">
        <w:rPr>
          <w:rFonts w:eastAsiaTheme="minorEastAsia" w:cs="Times New Roman"/>
          <w:szCs w:val="24"/>
          <w:lang w:val="en-US" w:eastAsia="zh-CN"/>
        </w:rPr>
        <w:t>Jussila</w:t>
      </w:r>
      <w:proofErr w:type="spellEnd"/>
      <w:r>
        <w:rPr>
          <w:rFonts w:eastAsiaTheme="minorEastAsia" w:cs="Times New Roman"/>
          <w:szCs w:val="24"/>
          <w:lang w:val="en-US" w:eastAsia="zh-CN"/>
        </w:rPr>
        <w:t>,</w:t>
      </w:r>
      <w:r w:rsidRPr="005F2A26">
        <w:rPr>
          <w:rFonts w:eastAsiaTheme="minorEastAsia" w:cs="Times New Roman"/>
          <w:szCs w:val="24"/>
          <w:lang w:val="en-US" w:eastAsia="zh-CN"/>
        </w:rPr>
        <w:t xml:space="preserve"> 2010)</w:t>
      </w:r>
      <w:r w:rsidR="00136844" w:rsidRPr="005F2A26">
        <w:rPr>
          <w:rFonts w:eastAsiaTheme="minorEastAsia" w:cs="Times New Roman"/>
          <w:szCs w:val="24"/>
          <w:lang w:val="en-US" w:eastAsia="zh-CN"/>
        </w:rPr>
        <w:t xml:space="preserve">. Where targets of iPO reflect a person-object relationship, targets of cPO </w:t>
      </w:r>
      <w:r w:rsidR="00AE2DD1">
        <w:rPr>
          <w:rFonts w:eastAsiaTheme="minorEastAsia" w:cs="Times New Roman"/>
          <w:szCs w:val="24"/>
          <w:lang w:val="en-US" w:eastAsia="zh-CN"/>
        </w:rPr>
        <w:t xml:space="preserve">additionally enable </w:t>
      </w:r>
      <w:r w:rsidR="00136844" w:rsidRPr="005F2A26">
        <w:rPr>
          <w:rFonts w:eastAsiaTheme="minorEastAsia" w:cs="Times New Roman"/>
          <w:szCs w:val="24"/>
          <w:lang w:val="en-US" w:eastAsia="zh-CN"/>
        </w:rPr>
        <w:t xml:space="preserve">person-to-person interactions (Pierce and </w:t>
      </w:r>
      <w:proofErr w:type="spellStart"/>
      <w:r w:rsidR="00136844" w:rsidRPr="005F2A26">
        <w:rPr>
          <w:rFonts w:eastAsiaTheme="minorEastAsia" w:cs="Times New Roman"/>
          <w:szCs w:val="24"/>
          <w:lang w:val="en-US" w:eastAsia="zh-CN"/>
        </w:rPr>
        <w:t>Jussila</w:t>
      </w:r>
      <w:proofErr w:type="spellEnd"/>
      <w:r w:rsidR="00136844" w:rsidRPr="005F2A26">
        <w:rPr>
          <w:rFonts w:eastAsiaTheme="minorEastAsia" w:cs="Times New Roman"/>
          <w:szCs w:val="24"/>
          <w:lang w:val="en-US" w:eastAsia="zh-CN"/>
        </w:rPr>
        <w:t xml:space="preserve">, 2010). </w:t>
      </w:r>
      <w:r w:rsidR="00AA2AD9">
        <w:rPr>
          <w:rFonts w:eastAsiaTheme="minorEastAsia" w:cs="Times New Roman"/>
          <w:szCs w:val="24"/>
          <w:lang w:val="en-US" w:eastAsia="zh-CN"/>
        </w:rPr>
        <w:t>I</w:t>
      </w:r>
      <w:r w:rsidR="006A523B" w:rsidRPr="005F2A26">
        <w:rPr>
          <w:rFonts w:eastAsiaTheme="minorEastAsia" w:cs="Times New Roman"/>
          <w:szCs w:val="24"/>
          <w:lang w:val="en-US" w:eastAsia="zh-CN"/>
        </w:rPr>
        <w:t xml:space="preserve">n the </w:t>
      </w:r>
      <w:r w:rsidR="00FA381A">
        <w:rPr>
          <w:rFonts w:eastAsiaTheme="minorEastAsia" w:cs="Times New Roman"/>
          <w:szCs w:val="24"/>
          <w:lang w:val="en-US" w:eastAsia="zh-CN"/>
        </w:rPr>
        <w:t>engagement literature</w:t>
      </w:r>
      <w:r w:rsidR="006A523B" w:rsidRPr="005F2A26">
        <w:rPr>
          <w:rFonts w:eastAsiaTheme="minorEastAsia" w:cs="Times New Roman"/>
          <w:szCs w:val="24"/>
          <w:lang w:val="en-US" w:eastAsia="zh-CN"/>
        </w:rPr>
        <w:t xml:space="preserve">, </w:t>
      </w:r>
      <w:r w:rsidR="007B0EF6" w:rsidRPr="005F2A26">
        <w:rPr>
          <w:rFonts w:eastAsiaTheme="minorEastAsia" w:cs="Times New Roman"/>
          <w:szCs w:val="24"/>
          <w:lang w:val="en-US" w:eastAsia="zh-CN"/>
        </w:rPr>
        <w:t>platforms that enable</w:t>
      </w:r>
      <w:r w:rsidR="006A523B" w:rsidRPr="005F2A26">
        <w:rPr>
          <w:rFonts w:eastAsiaTheme="minorEastAsia" w:cs="Times New Roman"/>
          <w:szCs w:val="24"/>
          <w:lang w:val="en-US" w:eastAsia="zh-CN"/>
        </w:rPr>
        <w:t xml:space="preserve"> P2P </w:t>
      </w:r>
      <w:r w:rsidR="006A523B" w:rsidRPr="005F2A26">
        <w:rPr>
          <w:rFonts w:eastAsiaTheme="minorEastAsia" w:cs="Times New Roman"/>
          <w:szCs w:val="24"/>
          <w:lang w:val="en-US" w:eastAsia="zh-CN"/>
        </w:rPr>
        <w:lastRenderedPageBreak/>
        <w:t>socializing (</w:t>
      </w:r>
      <w:proofErr w:type="spellStart"/>
      <w:r w:rsidR="006A523B" w:rsidRPr="005F2A26">
        <w:rPr>
          <w:rFonts w:eastAsiaTheme="minorEastAsia" w:cs="Times New Roman"/>
          <w:szCs w:val="24"/>
          <w:lang w:val="en-US" w:eastAsia="zh-CN"/>
        </w:rPr>
        <w:t>Grönroos</w:t>
      </w:r>
      <w:proofErr w:type="spellEnd"/>
      <w:r w:rsidR="006A523B" w:rsidRPr="005F2A26">
        <w:rPr>
          <w:rFonts w:eastAsiaTheme="minorEastAsia" w:cs="Times New Roman"/>
          <w:szCs w:val="24"/>
          <w:lang w:val="en-US" w:eastAsia="zh-CN"/>
        </w:rPr>
        <w:t xml:space="preserve"> and </w:t>
      </w:r>
      <w:proofErr w:type="spellStart"/>
      <w:r w:rsidR="006A523B" w:rsidRPr="005F2A26">
        <w:rPr>
          <w:rFonts w:eastAsiaTheme="minorEastAsia" w:cs="Times New Roman"/>
          <w:szCs w:val="24"/>
          <w:lang w:val="en-US" w:eastAsia="zh-CN"/>
        </w:rPr>
        <w:t>Voima</w:t>
      </w:r>
      <w:proofErr w:type="spellEnd"/>
      <w:r w:rsidR="006A523B" w:rsidRPr="005F2A26">
        <w:rPr>
          <w:rFonts w:eastAsiaTheme="minorEastAsia" w:cs="Times New Roman"/>
          <w:szCs w:val="24"/>
          <w:lang w:val="en-US" w:eastAsia="zh-CN"/>
        </w:rPr>
        <w:t xml:space="preserve">, 2013) </w:t>
      </w:r>
      <w:r w:rsidR="007B0EF6" w:rsidRPr="005F2A26">
        <w:rPr>
          <w:rFonts w:eastAsiaTheme="minorEastAsia" w:cs="Times New Roman"/>
          <w:szCs w:val="24"/>
          <w:lang w:val="en-US" w:eastAsia="zh-CN"/>
        </w:rPr>
        <w:t xml:space="preserve">enable </w:t>
      </w:r>
      <w:r w:rsidR="006A523B" w:rsidRPr="005F2A26">
        <w:rPr>
          <w:rFonts w:eastAsiaTheme="minorEastAsia" w:cs="Times New Roman"/>
          <w:szCs w:val="24"/>
          <w:lang w:val="en-US" w:eastAsia="zh-CN"/>
        </w:rPr>
        <w:t xml:space="preserve">the development of community norms, attitudes, a shared lexicon (Longmore, 1998) and voluntary assistance of others (Breidbach </w:t>
      </w:r>
      <w:r w:rsidR="00957690" w:rsidRPr="00957690">
        <w:rPr>
          <w:rFonts w:eastAsiaTheme="minorEastAsia" w:cs="Times New Roman"/>
          <w:i/>
          <w:iCs/>
          <w:szCs w:val="24"/>
          <w:lang w:val="en-US" w:eastAsia="zh-CN"/>
        </w:rPr>
        <w:t>et al.</w:t>
      </w:r>
      <w:r w:rsidR="0011742F" w:rsidRPr="005F2A26">
        <w:rPr>
          <w:rFonts w:eastAsiaTheme="minorEastAsia" w:cs="Times New Roman"/>
          <w:szCs w:val="24"/>
          <w:lang w:val="en-US" w:eastAsia="zh-CN"/>
        </w:rPr>
        <w:t xml:space="preserve">, </w:t>
      </w:r>
      <w:r w:rsidR="006A523B" w:rsidRPr="005F2A26">
        <w:rPr>
          <w:rFonts w:eastAsiaTheme="minorEastAsia" w:cs="Times New Roman"/>
          <w:szCs w:val="24"/>
          <w:lang w:val="en-US" w:eastAsia="zh-CN"/>
        </w:rPr>
        <w:t xml:space="preserve">2014; Brodie </w:t>
      </w:r>
      <w:r w:rsidR="00957690" w:rsidRPr="00957690">
        <w:rPr>
          <w:rFonts w:eastAsiaTheme="minorEastAsia" w:cs="Times New Roman"/>
          <w:i/>
          <w:iCs/>
          <w:szCs w:val="24"/>
          <w:lang w:val="en-US" w:eastAsia="zh-CN"/>
        </w:rPr>
        <w:t>et al.</w:t>
      </w:r>
      <w:r w:rsidR="0011742F" w:rsidRPr="005F2A26">
        <w:rPr>
          <w:rFonts w:eastAsiaTheme="minorEastAsia" w:cs="Times New Roman"/>
          <w:szCs w:val="24"/>
          <w:lang w:val="en-US" w:eastAsia="zh-CN"/>
        </w:rPr>
        <w:t xml:space="preserve">, </w:t>
      </w:r>
      <w:r w:rsidR="006A523B" w:rsidRPr="005F2A26">
        <w:rPr>
          <w:rFonts w:eastAsiaTheme="minorEastAsia" w:cs="Times New Roman"/>
          <w:szCs w:val="24"/>
          <w:lang w:val="en-US" w:eastAsia="zh-CN"/>
        </w:rPr>
        <w:t xml:space="preserve">2011). </w:t>
      </w:r>
      <w:r w:rsidR="0072694C">
        <w:rPr>
          <w:rFonts w:eastAsiaTheme="minorEastAsia" w:cs="Times New Roman"/>
          <w:szCs w:val="24"/>
          <w:lang w:val="en-US" w:eastAsia="zh-CN"/>
        </w:rPr>
        <w:t>Drawing on cPO theory,</w:t>
      </w:r>
      <w:r w:rsidR="008774A7" w:rsidRPr="005F2A26">
        <w:rPr>
          <w:rFonts w:eastAsiaTheme="minorEastAsia" w:cs="Times New Roman"/>
          <w:szCs w:val="24"/>
          <w:lang w:val="en-US" w:eastAsia="zh-CN"/>
        </w:rPr>
        <w:t xml:space="preserve"> these platforms</w:t>
      </w:r>
      <w:r w:rsidR="00136844" w:rsidRPr="005F2A26">
        <w:rPr>
          <w:rFonts w:eastAsiaTheme="minorEastAsia" w:cs="Times New Roman"/>
          <w:szCs w:val="24"/>
          <w:lang w:val="en-US" w:eastAsia="zh-CN"/>
        </w:rPr>
        <w:t xml:space="preserve"> arouse and satisfy </w:t>
      </w:r>
      <w:r w:rsidR="00353918">
        <w:rPr>
          <w:rFonts w:eastAsiaTheme="minorEastAsia" w:cs="Times New Roman"/>
          <w:szCs w:val="24"/>
          <w:lang w:val="en-US" w:eastAsia="zh-CN"/>
        </w:rPr>
        <w:t>(</w:t>
      </w:r>
      <w:r w:rsidR="00353918" w:rsidRPr="005F2A26">
        <w:rPr>
          <w:rFonts w:eastAsiaTheme="minorEastAsia" w:cs="Times New Roman"/>
          <w:szCs w:val="24"/>
          <w:lang w:val="en-US" w:eastAsia="zh-CN"/>
        </w:rPr>
        <w:t>both individual and collective</w:t>
      </w:r>
      <w:r w:rsidR="00353918">
        <w:rPr>
          <w:rFonts w:eastAsiaTheme="minorEastAsia" w:cs="Times New Roman"/>
          <w:szCs w:val="24"/>
          <w:lang w:val="en-US" w:eastAsia="zh-CN"/>
        </w:rPr>
        <w:t xml:space="preserve">) </w:t>
      </w:r>
      <w:r w:rsidR="005426E4">
        <w:rPr>
          <w:rFonts w:eastAsiaTheme="minorEastAsia" w:cs="Times New Roman"/>
          <w:szCs w:val="24"/>
          <w:lang w:val="en-US" w:eastAsia="zh-CN"/>
        </w:rPr>
        <w:t>needs for</w:t>
      </w:r>
      <w:r w:rsidR="00136844" w:rsidRPr="005F2A26">
        <w:rPr>
          <w:rFonts w:eastAsiaTheme="minorEastAsia" w:cs="Times New Roman"/>
          <w:szCs w:val="24"/>
          <w:lang w:val="en-US" w:eastAsia="zh-CN"/>
        </w:rPr>
        <w:t xml:space="preserve"> social identity, </w:t>
      </w:r>
      <w:r w:rsidR="002C4788">
        <w:rPr>
          <w:rFonts w:eastAsiaTheme="minorEastAsia" w:cs="Times New Roman"/>
          <w:szCs w:val="24"/>
          <w:lang w:val="en-US" w:eastAsia="zh-CN"/>
        </w:rPr>
        <w:t xml:space="preserve">and </w:t>
      </w:r>
      <w:r w:rsidR="00136844" w:rsidRPr="005F2A26">
        <w:rPr>
          <w:rFonts w:eastAsiaTheme="minorEastAsia" w:cs="Times New Roman"/>
          <w:szCs w:val="24"/>
          <w:lang w:val="en-US" w:eastAsia="zh-CN"/>
        </w:rPr>
        <w:t xml:space="preserve">permit </w:t>
      </w:r>
      <w:r w:rsidR="00E8684F" w:rsidRPr="005F2A26">
        <w:rPr>
          <w:rFonts w:eastAsiaTheme="minorEastAsia" w:cs="Times New Roman"/>
          <w:szCs w:val="24"/>
          <w:lang w:val="en-US" w:eastAsia="zh-CN"/>
        </w:rPr>
        <w:t>collective</w:t>
      </w:r>
      <w:r w:rsidR="00136844" w:rsidRPr="005F2A26">
        <w:rPr>
          <w:rFonts w:eastAsiaTheme="minorEastAsia" w:cs="Times New Roman"/>
          <w:szCs w:val="24"/>
          <w:lang w:val="en-US" w:eastAsia="zh-CN"/>
        </w:rPr>
        <w:t xml:space="preserve"> controlling</w:t>
      </w:r>
      <w:r w:rsidR="00DA0F79" w:rsidRPr="005F2A26">
        <w:rPr>
          <w:rFonts w:eastAsiaTheme="minorEastAsia" w:cs="Times New Roman"/>
          <w:szCs w:val="24"/>
          <w:lang w:val="en-US" w:eastAsia="zh-CN"/>
        </w:rPr>
        <w:t xml:space="preserve"> and empowerment (</w:t>
      </w:r>
      <w:proofErr w:type="spellStart"/>
      <w:r w:rsidR="00DA0F79" w:rsidRPr="005F2A26">
        <w:rPr>
          <w:rFonts w:eastAsiaTheme="minorEastAsia" w:cs="Times New Roman"/>
          <w:szCs w:val="24"/>
          <w:lang w:val="en-US" w:eastAsia="zh-CN"/>
        </w:rPr>
        <w:t>Jussila</w:t>
      </w:r>
      <w:proofErr w:type="spellEnd"/>
      <w:r w:rsidR="00DA0F79" w:rsidRPr="005F2A26">
        <w:rPr>
          <w:rFonts w:eastAsiaTheme="minorEastAsia" w:cs="Times New Roman"/>
          <w:szCs w:val="24"/>
          <w:lang w:val="en-US" w:eastAsia="zh-CN"/>
        </w:rPr>
        <w:t xml:space="preserve"> </w:t>
      </w:r>
      <w:r w:rsidR="00957690" w:rsidRPr="00957690">
        <w:rPr>
          <w:rFonts w:eastAsiaTheme="minorEastAsia" w:cs="Times New Roman"/>
          <w:i/>
          <w:iCs/>
          <w:szCs w:val="24"/>
          <w:lang w:val="en-US" w:eastAsia="zh-CN"/>
        </w:rPr>
        <w:t>et al.</w:t>
      </w:r>
      <w:r w:rsidR="00DA0F79" w:rsidRPr="005F2A26">
        <w:rPr>
          <w:rFonts w:eastAsiaTheme="minorEastAsia" w:cs="Times New Roman"/>
          <w:szCs w:val="24"/>
          <w:lang w:val="en-US" w:eastAsia="zh-CN"/>
        </w:rPr>
        <w:t>, 2015)</w:t>
      </w:r>
      <w:r w:rsidR="005426E4">
        <w:rPr>
          <w:rFonts w:eastAsiaTheme="minorEastAsia" w:cs="Times New Roman"/>
          <w:szCs w:val="24"/>
          <w:lang w:val="en-US" w:eastAsia="zh-CN"/>
        </w:rPr>
        <w:t xml:space="preserve"> through </w:t>
      </w:r>
      <w:r w:rsidR="002C4788">
        <w:rPr>
          <w:rFonts w:eastAsiaTheme="minorEastAsia" w:cs="Times New Roman"/>
          <w:szCs w:val="24"/>
          <w:lang w:val="en-US" w:eastAsia="zh-CN"/>
        </w:rPr>
        <w:t xml:space="preserve">the </w:t>
      </w:r>
      <w:r w:rsidR="003E71EE" w:rsidRPr="005F2A26">
        <w:rPr>
          <w:rFonts w:eastAsiaTheme="minorEastAsia" w:cs="Times New Roman"/>
          <w:szCs w:val="24"/>
          <w:lang w:val="en-US" w:eastAsia="zh-CN"/>
        </w:rPr>
        <w:t>integration</w:t>
      </w:r>
      <w:r w:rsidR="00136844" w:rsidRPr="005F2A26">
        <w:rPr>
          <w:rFonts w:eastAsiaTheme="minorEastAsia" w:cs="Times New Roman"/>
          <w:szCs w:val="24"/>
          <w:lang w:val="en-US" w:eastAsia="zh-CN"/>
        </w:rPr>
        <w:t xml:space="preserve"> of combined resources</w:t>
      </w:r>
      <w:r w:rsidR="00553803" w:rsidRPr="005F2A26">
        <w:rPr>
          <w:rFonts w:eastAsiaTheme="minorEastAsia" w:cs="Times New Roman"/>
          <w:szCs w:val="24"/>
          <w:lang w:val="en-US" w:eastAsia="zh-CN"/>
        </w:rPr>
        <w:t xml:space="preserve"> (Brodie </w:t>
      </w:r>
      <w:r w:rsidR="00957690" w:rsidRPr="00957690">
        <w:rPr>
          <w:rFonts w:eastAsiaTheme="minorEastAsia" w:cs="Times New Roman"/>
          <w:i/>
          <w:iCs/>
          <w:szCs w:val="24"/>
          <w:lang w:val="en-US" w:eastAsia="zh-CN"/>
        </w:rPr>
        <w:t>et al.</w:t>
      </w:r>
      <w:r w:rsidR="00553803" w:rsidRPr="005F2A26">
        <w:rPr>
          <w:rFonts w:eastAsiaTheme="minorEastAsia" w:cs="Times New Roman"/>
          <w:szCs w:val="24"/>
          <w:lang w:val="en-US" w:eastAsia="zh-CN"/>
        </w:rPr>
        <w:t>, 2019)</w:t>
      </w:r>
      <w:r w:rsidR="00136844" w:rsidRPr="005F2A26">
        <w:rPr>
          <w:rFonts w:eastAsiaTheme="minorEastAsia" w:cs="Times New Roman"/>
          <w:szCs w:val="24"/>
          <w:lang w:val="en-US" w:eastAsia="zh-CN"/>
        </w:rPr>
        <w:t xml:space="preserve">. </w:t>
      </w:r>
    </w:p>
    <w:p w14:paraId="64BADB51" w14:textId="33695FE2" w:rsidR="00136844" w:rsidRPr="005F2A26" w:rsidRDefault="002C4788" w:rsidP="00136844">
      <w:pPr>
        <w:widowControl w:val="0"/>
        <w:spacing w:after="0" w:line="480" w:lineRule="auto"/>
        <w:ind w:firstLine="720"/>
        <w:rPr>
          <w:rFonts w:eastAsiaTheme="minorEastAsia" w:cs="Times New Roman"/>
          <w:szCs w:val="24"/>
          <w:lang w:val="en-US" w:eastAsia="zh-CN"/>
        </w:rPr>
      </w:pPr>
      <w:r>
        <w:rPr>
          <w:rFonts w:eastAsiaTheme="minorEastAsia" w:cs="Times New Roman"/>
          <w:szCs w:val="24"/>
          <w:lang w:val="en-US" w:eastAsia="zh-CN"/>
        </w:rPr>
        <w:t>Hence</w:t>
      </w:r>
      <w:r w:rsidR="00136844" w:rsidRPr="005F2A26">
        <w:rPr>
          <w:rFonts w:eastAsiaTheme="minorEastAsia" w:cs="Times New Roman"/>
          <w:szCs w:val="24"/>
          <w:lang w:val="en-US" w:eastAsia="zh-CN"/>
        </w:rPr>
        <w:t>, targets</w:t>
      </w:r>
      <w:r w:rsidR="00823E16" w:rsidRPr="005F2A26">
        <w:rPr>
          <w:rFonts w:eastAsiaTheme="minorEastAsia" w:cs="Times New Roman"/>
          <w:szCs w:val="24"/>
          <w:lang w:val="en-US" w:eastAsia="zh-CN"/>
        </w:rPr>
        <w:t xml:space="preserve"> of cPO</w:t>
      </w:r>
      <w:r w:rsidR="00136844" w:rsidRPr="005F2A26">
        <w:rPr>
          <w:rFonts w:eastAsiaTheme="minorEastAsia" w:cs="Times New Roman"/>
          <w:szCs w:val="24"/>
          <w:lang w:val="en-US" w:eastAsia="zh-CN"/>
        </w:rPr>
        <w:t xml:space="preserve"> </w:t>
      </w:r>
      <w:r w:rsidR="00C16067" w:rsidRPr="005F2A26">
        <w:rPr>
          <w:rFonts w:eastAsiaTheme="minorEastAsia" w:cs="Times New Roman"/>
          <w:szCs w:val="24"/>
          <w:lang w:val="en-US" w:eastAsia="zh-CN"/>
        </w:rPr>
        <w:t xml:space="preserve">in the SE </w:t>
      </w:r>
      <w:r w:rsidR="00136844" w:rsidRPr="005F2A26">
        <w:rPr>
          <w:rFonts w:eastAsiaTheme="minorEastAsia" w:cs="Times New Roman"/>
          <w:szCs w:val="24"/>
          <w:lang w:val="en-US" w:eastAsia="zh-CN"/>
        </w:rPr>
        <w:t xml:space="preserve">must </w:t>
      </w:r>
      <w:r w:rsidR="00823E16" w:rsidRPr="005F2A26">
        <w:rPr>
          <w:rFonts w:eastAsiaTheme="minorEastAsia" w:cs="Times New Roman"/>
          <w:szCs w:val="24"/>
          <w:lang w:val="en-US" w:eastAsia="zh-CN"/>
        </w:rPr>
        <w:t xml:space="preserve">1) </w:t>
      </w:r>
      <w:r w:rsidR="00136844" w:rsidRPr="005F2A26">
        <w:rPr>
          <w:rFonts w:eastAsiaTheme="minorEastAsia" w:cs="Times New Roman"/>
          <w:szCs w:val="24"/>
          <w:lang w:val="en-US" w:eastAsia="zh-CN"/>
        </w:rPr>
        <w:t>be accessible and capable of being influenced by all peers,</w:t>
      </w:r>
      <w:r w:rsidR="00823E16" w:rsidRPr="005F2A26">
        <w:rPr>
          <w:rFonts w:eastAsiaTheme="minorEastAsia" w:cs="Times New Roman"/>
          <w:szCs w:val="24"/>
          <w:lang w:val="en-US" w:eastAsia="zh-CN"/>
        </w:rPr>
        <w:t xml:space="preserve"> 2)</w:t>
      </w:r>
      <w:r w:rsidR="00136844" w:rsidRPr="005F2A26">
        <w:rPr>
          <w:rFonts w:eastAsiaTheme="minorEastAsia" w:cs="Times New Roman"/>
          <w:szCs w:val="24"/>
          <w:lang w:val="en-US" w:eastAsia="zh-CN"/>
        </w:rPr>
        <w:t xml:space="preserve"> offer some sort of social esteem to satisfy people’s need to express their self-identity</w:t>
      </w:r>
      <w:r w:rsidR="00823E16" w:rsidRPr="005F2A26">
        <w:rPr>
          <w:rFonts w:eastAsiaTheme="minorEastAsia" w:cs="Times New Roman"/>
          <w:szCs w:val="24"/>
          <w:lang w:val="en-US" w:eastAsia="zh-CN"/>
        </w:rPr>
        <w:t>,</w:t>
      </w:r>
      <w:r w:rsidR="00FC4124" w:rsidRPr="005F2A26">
        <w:rPr>
          <w:rFonts w:eastAsiaTheme="minorEastAsia" w:cs="Times New Roman"/>
          <w:szCs w:val="24"/>
          <w:lang w:val="en-US" w:eastAsia="zh-CN"/>
        </w:rPr>
        <w:t xml:space="preserve"> 3) be manipulable to enable direct P2P interactions</w:t>
      </w:r>
      <w:r w:rsidR="00DB0F4F" w:rsidRPr="005F2A26">
        <w:rPr>
          <w:rFonts w:eastAsiaTheme="minorEastAsia" w:cs="Times New Roman"/>
          <w:szCs w:val="24"/>
          <w:lang w:val="en-US" w:eastAsia="zh-CN"/>
        </w:rPr>
        <w:t xml:space="preserve"> and socializing</w:t>
      </w:r>
      <w:r w:rsidR="00FC4124" w:rsidRPr="005F2A26">
        <w:rPr>
          <w:rFonts w:eastAsiaTheme="minorEastAsia" w:cs="Times New Roman"/>
          <w:szCs w:val="24"/>
          <w:lang w:val="en-US" w:eastAsia="zh-CN"/>
        </w:rPr>
        <w:t xml:space="preserve">, and 4) </w:t>
      </w:r>
      <w:r w:rsidR="00D70816">
        <w:rPr>
          <w:rFonts w:eastAsiaTheme="minorEastAsia" w:cs="Times New Roman"/>
          <w:szCs w:val="24"/>
          <w:lang w:val="en-US" w:eastAsia="zh-CN"/>
        </w:rPr>
        <w:t xml:space="preserve">be </w:t>
      </w:r>
      <w:r w:rsidR="00136844" w:rsidRPr="005F2A26">
        <w:rPr>
          <w:rFonts w:eastAsiaTheme="minorEastAsia" w:cs="Times New Roman"/>
          <w:szCs w:val="24"/>
          <w:lang w:val="en-US" w:eastAsia="zh-CN"/>
        </w:rPr>
        <w:t xml:space="preserve">hospitable and open enough to enable a sense of </w:t>
      </w:r>
      <w:r w:rsidR="00FC4124" w:rsidRPr="005F2A26">
        <w:rPr>
          <w:rFonts w:eastAsiaTheme="minorEastAsia" w:cs="Times New Roman"/>
          <w:szCs w:val="24"/>
          <w:lang w:val="en-US" w:eastAsia="zh-CN"/>
        </w:rPr>
        <w:t xml:space="preserve">shared </w:t>
      </w:r>
      <w:r w:rsidR="00136844" w:rsidRPr="005F2A26">
        <w:rPr>
          <w:rFonts w:eastAsiaTheme="minorEastAsia" w:cs="Times New Roman"/>
          <w:szCs w:val="24"/>
          <w:lang w:val="en-US" w:eastAsia="zh-CN"/>
        </w:rPr>
        <w:t xml:space="preserve">belongingness.  </w:t>
      </w:r>
    </w:p>
    <w:p w14:paraId="64AD5D7A" w14:textId="77777777" w:rsidR="00E44825" w:rsidRPr="005F2A26" w:rsidRDefault="00E44825" w:rsidP="00E21E0F">
      <w:pPr>
        <w:spacing w:after="0" w:line="480" w:lineRule="auto"/>
        <w:rPr>
          <w:rFonts w:eastAsiaTheme="minorEastAsia" w:cs="Times New Roman"/>
          <w:i/>
          <w:iCs/>
          <w:szCs w:val="24"/>
          <w:lang w:val="en-US" w:eastAsia="zh-CN"/>
        </w:rPr>
      </w:pPr>
    </w:p>
    <w:p w14:paraId="3FBB646F" w14:textId="19CA9C3A" w:rsidR="00202A93" w:rsidRPr="007C131E" w:rsidRDefault="00E21E0F" w:rsidP="00CB3138">
      <w:pPr>
        <w:keepNext/>
        <w:spacing w:after="0" w:line="480" w:lineRule="auto"/>
        <w:rPr>
          <w:rFonts w:eastAsiaTheme="minorEastAsia" w:cs="Times New Roman"/>
          <w:b/>
          <w:bCs/>
          <w:iCs/>
          <w:szCs w:val="24"/>
          <w:lang w:val="en-US" w:eastAsia="zh-CN"/>
        </w:rPr>
      </w:pPr>
      <w:r w:rsidRPr="007C131E">
        <w:rPr>
          <w:rFonts w:eastAsiaTheme="minorEastAsia" w:cs="Times New Roman"/>
          <w:b/>
          <w:bCs/>
          <w:iCs/>
          <w:szCs w:val="24"/>
          <w:lang w:val="en-US" w:eastAsia="zh-CN"/>
        </w:rPr>
        <w:t>Example</w:t>
      </w:r>
      <w:r w:rsidR="003F1770" w:rsidRPr="007C131E">
        <w:rPr>
          <w:rFonts w:eastAsiaTheme="minorEastAsia" w:cs="Times New Roman"/>
          <w:b/>
          <w:bCs/>
          <w:iCs/>
          <w:szCs w:val="24"/>
          <w:lang w:val="en-US" w:eastAsia="zh-CN"/>
        </w:rPr>
        <w:t>s</w:t>
      </w:r>
      <w:r w:rsidRPr="007C131E">
        <w:rPr>
          <w:rFonts w:eastAsiaTheme="minorEastAsia" w:cs="Times New Roman"/>
          <w:b/>
          <w:bCs/>
          <w:iCs/>
          <w:szCs w:val="24"/>
          <w:lang w:val="en-US" w:eastAsia="zh-CN"/>
        </w:rPr>
        <w:t xml:space="preserve"> of iPO and cPO as antecedents to engagement</w:t>
      </w:r>
      <w:r w:rsidR="00F0169D" w:rsidRPr="007C131E">
        <w:rPr>
          <w:rFonts w:eastAsiaTheme="minorEastAsia" w:cs="Times New Roman"/>
          <w:b/>
          <w:bCs/>
          <w:iCs/>
          <w:szCs w:val="24"/>
          <w:lang w:val="en-US" w:eastAsia="zh-CN"/>
        </w:rPr>
        <w:t xml:space="preserve"> in the SE</w:t>
      </w:r>
    </w:p>
    <w:p w14:paraId="5C8409F2" w14:textId="1B1DBA69" w:rsidR="00367D57" w:rsidRPr="00CB3138" w:rsidRDefault="00BD4751" w:rsidP="0011742F">
      <w:pPr>
        <w:widowControl w:val="0"/>
        <w:spacing w:after="0" w:line="480" w:lineRule="auto"/>
        <w:rPr>
          <w:rFonts w:eastAsiaTheme="minorEastAsia" w:cs="Times New Roman"/>
          <w:color w:val="FF0000"/>
          <w:szCs w:val="24"/>
          <w:lang w:val="en-US" w:eastAsia="zh-CN"/>
        </w:rPr>
      </w:pPr>
      <w:r>
        <w:rPr>
          <w:rFonts w:eastAsiaTheme="minorEastAsia" w:cs="Times New Roman"/>
          <w:szCs w:val="24"/>
          <w:lang w:val="en-US" w:eastAsia="zh-CN"/>
        </w:rPr>
        <w:t>W</w:t>
      </w:r>
      <w:r w:rsidRPr="00987432">
        <w:rPr>
          <w:rFonts w:eastAsiaTheme="minorEastAsia" w:cs="Times New Roman"/>
          <w:szCs w:val="24"/>
          <w:lang w:val="en-US" w:eastAsia="zh-CN"/>
        </w:rPr>
        <w:t>e</w:t>
      </w:r>
      <w:r>
        <w:rPr>
          <w:rFonts w:eastAsiaTheme="minorEastAsia" w:cs="Times New Roman"/>
          <w:szCs w:val="24"/>
          <w:lang w:val="en-US" w:eastAsia="zh-CN"/>
        </w:rPr>
        <w:t xml:space="preserve"> now</w:t>
      </w:r>
      <w:r w:rsidRPr="00987432">
        <w:rPr>
          <w:rFonts w:eastAsiaTheme="minorEastAsia" w:cs="Times New Roman"/>
          <w:szCs w:val="24"/>
          <w:lang w:val="en-US" w:eastAsia="zh-CN"/>
        </w:rPr>
        <w:t xml:space="preserve"> provide </w:t>
      </w:r>
      <w:r>
        <w:rPr>
          <w:rFonts w:eastAsiaTheme="minorEastAsia" w:cs="Times New Roman"/>
          <w:szCs w:val="24"/>
          <w:lang w:val="en-US" w:eastAsia="zh-CN"/>
        </w:rPr>
        <w:t>three</w:t>
      </w:r>
      <w:r w:rsidRPr="005F2A26">
        <w:rPr>
          <w:rFonts w:eastAsiaTheme="minorEastAsia" w:cs="Times New Roman"/>
          <w:szCs w:val="24"/>
          <w:lang w:val="en-US" w:eastAsia="zh-CN"/>
        </w:rPr>
        <w:t xml:space="preserve"> brief examples </w:t>
      </w:r>
      <w:r>
        <w:rPr>
          <w:rFonts w:eastAsiaTheme="minorEastAsia" w:cs="Times New Roman"/>
          <w:szCs w:val="24"/>
          <w:lang w:val="en-US" w:eastAsia="zh-CN"/>
        </w:rPr>
        <w:t>t</w:t>
      </w:r>
      <w:r w:rsidR="00BD7AD7" w:rsidRPr="005F2A26">
        <w:rPr>
          <w:rFonts w:eastAsiaTheme="minorEastAsia" w:cs="Times New Roman"/>
          <w:szCs w:val="24"/>
          <w:lang w:val="en-US" w:eastAsia="zh-CN"/>
        </w:rPr>
        <w:t xml:space="preserve">o illustrate our dynamic </w:t>
      </w:r>
      <w:r w:rsidR="007D4E6D" w:rsidRPr="005F2A26">
        <w:rPr>
          <w:rFonts w:eastAsiaTheme="minorEastAsia" w:cs="Times New Roman"/>
          <w:szCs w:val="24"/>
          <w:lang w:val="en-US" w:eastAsia="zh-CN"/>
        </w:rPr>
        <w:t>PO-Engagement F</w:t>
      </w:r>
      <w:r w:rsidR="00BD7AD7" w:rsidRPr="005F2A26">
        <w:rPr>
          <w:rFonts w:eastAsiaTheme="minorEastAsia" w:cs="Times New Roman"/>
          <w:szCs w:val="24"/>
          <w:lang w:val="en-US" w:eastAsia="zh-CN"/>
        </w:rPr>
        <w:t>ramework (Figure 2).</w:t>
      </w:r>
      <w:r w:rsidR="00A84ADA" w:rsidRPr="005F2A26">
        <w:rPr>
          <w:rFonts w:eastAsiaTheme="minorEastAsia" w:cs="Times New Roman"/>
          <w:szCs w:val="24"/>
          <w:lang w:val="en-US" w:eastAsia="zh-CN"/>
        </w:rPr>
        <w:t xml:space="preserve"> </w:t>
      </w:r>
      <w:r w:rsidR="00176467">
        <w:rPr>
          <w:rFonts w:eastAsiaTheme="minorEastAsia" w:cs="Times New Roman"/>
          <w:color w:val="FF0000"/>
          <w:szCs w:val="24"/>
          <w:lang w:val="en-US" w:eastAsia="zh-CN"/>
        </w:rPr>
        <w:t>These</w:t>
      </w:r>
      <w:r w:rsidR="00A84ADA" w:rsidRPr="00CB3138">
        <w:rPr>
          <w:rFonts w:eastAsiaTheme="minorEastAsia" w:cs="Times New Roman"/>
          <w:color w:val="FF0000"/>
          <w:szCs w:val="24"/>
          <w:lang w:val="en-US" w:eastAsia="zh-CN"/>
        </w:rPr>
        <w:t xml:space="preserve"> examples </w:t>
      </w:r>
      <w:r w:rsidR="00CA5C6D" w:rsidRPr="00CB3138">
        <w:rPr>
          <w:rFonts w:eastAsiaTheme="minorEastAsia" w:cs="Times New Roman"/>
          <w:color w:val="FF0000"/>
          <w:szCs w:val="24"/>
          <w:lang w:val="en-US" w:eastAsia="zh-CN"/>
        </w:rPr>
        <w:t xml:space="preserve">reflect the three major types of platforms </w:t>
      </w:r>
      <w:r w:rsidR="00A84ADA" w:rsidRPr="00CB3138">
        <w:rPr>
          <w:rFonts w:eastAsiaTheme="minorEastAsia" w:cs="Times New Roman"/>
          <w:color w:val="FF0000"/>
          <w:szCs w:val="24"/>
          <w:lang w:val="en-US" w:eastAsia="zh-CN"/>
        </w:rPr>
        <w:t>depicted in Figure 1</w:t>
      </w:r>
      <w:r w:rsidR="00700E2D" w:rsidRPr="00CB3138">
        <w:rPr>
          <w:rFonts w:eastAsiaTheme="minorEastAsia" w:cs="Times New Roman"/>
          <w:color w:val="FF0000"/>
          <w:szCs w:val="24"/>
          <w:lang w:val="en-US" w:eastAsia="zh-CN"/>
        </w:rPr>
        <w:t>:</w:t>
      </w:r>
      <w:r w:rsidR="00F20BF0" w:rsidRPr="00CB3138">
        <w:rPr>
          <w:rFonts w:eastAsiaTheme="minorEastAsia" w:cs="Times New Roman"/>
          <w:color w:val="FF0000"/>
          <w:szCs w:val="24"/>
          <w:lang w:val="en-US" w:eastAsia="zh-CN"/>
        </w:rPr>
        <w:t xml:space="preserve"> </w:t>
      </w:r>
      <w:r w:rsidR="00C133C9" w:rsidRPr="00CB3138">
        <w:rPr>
          <w:rFonts w:eastAsiaTheme="minorEastAsia" w:cs="Times New Roman"/>
          <w:color w:val="FF0000"/>
          <w:szCs w:val="24"/>
          <w:lang w:val="en-US" w:eastAsia="zh-CN"/>
        </w:rPr>
        <w:t>those that rely on dyadic engagement for optimal success</w:t>
      </w:r>
      <w:r w:rsidR="00F20BF0" w:rsidRPr="00CB3138">
        <w:rPr>
          <w:rFonts w:eastAsiaTheme="minorEastAsia" w:cs="Times New Roman"/>
          <w:color w:val="FF0000"/>
          <w:szCs w:val="24"/>
          <w:lang w:val="en-US" w:eastAsia="zh-CN"/>
        </w:rPr>
        <w:t xml:space="preserve">; </w:t>
      </w:r>
      <w:r w:rsidR="00C133C9" w:rsidRPr="00CB3138">
        <w:rPr>
          <w:rFonts w:eastAsiaTheme="minorEastAsia" w:cs="Times New Roman"/>
          <w:color w:val="FF0000"/>
          <w:szCs w:val="24"/>
          <w:lang w:val="en-US" w:eastAsia="zh-CN"/>
        </w:rPr>
        <w:t>those</w:t>
      </w:r>
      <w:r w:rsidR="00ED71A9" w:rsidRPr="00CB3138">
        <w:rPr>
          <w:rFonts w:eastAsiaTheme="minorEastAsia" w:cs="Times New Roman"/>
          <w:color w:val="FF0000"/>
          <w:szCs w:val="24"/>
          <w:lang w:val="en-US" w:eastAsia="zh-CN"/>
        </w:rPr>
        <w:t xml:space="preserve"> that</w:t>
      </w:r>
      <w:r w:rsidR="00C133C9" w:rsidRPr="00CB3138">
        <w:rPr>
          <w:rFonts w:eastAsiaTheme="minorEastAsia" w:cs="Times New Roman"/>
          <w:color w:val="FF0000"/>
          <w:szCs w:val="24"/>
          <w:lang w:val="en-US" w:eastAsia="zh-CN"/>
        </w:rPr>
        <w:t xml:space="preserve"> rely </w:t>
      </w:r>
      <w:r w:rsidR="003A2386">
        <w:rPr>
          <w:rFonts w:eastAsiaTheme="minorEastAsia" w:cs="Times New Roman"/>
          <w:color w:val="FF0000"/>
          <w:szCs w:val="24"/>
          <w:lang w:val="en-US" w:eastAsia="zh-CN"/>
        </w:rPr>
        <w:t>heavily</w:t>
      </w:r>
      <w:r w:rsidR="00C919C4" w:rsidRPr="00CB3138">
        <w:rPr>
          <w:rFonts w:eastAsiaTheme="minorEastAsia" w:cs="Times New Roman"/>
          <w:color w:val="FF0000"/>
          <w:szCs w:val="24"/>
          <w:lang w:val="en-US" w:eastAsia="zh-CN"/>
        </w:rPr>
        <w:t xml:space="preserve"> </w:t>
      </w:r>
      <w:r w:rsidR="00C133C9" w:rsidRPr="00CB3138">
        <w:rPr>
          <w:rFonts w:eastAsiaTheme="minorEastAsia" w:cs="Times New Roman"/>
          <w:color w:val="FF0000"/>
          <w:szCs w:val="24"/>
          <w:lang w:val="en-US" w:eastAsia="zh-CN"/>
        </w:rPr>
        <w:t>on collective engagement</w:t>
      </w:r>
      <w:r w:rsidR="00F20BF0" w:rsidRPr="00CB3138">
        <w:rPr>
          <w:rFonts w:eastAsiaTheme="minorEastAsia" w:cs="Times New Roman"/>
          <w:color w:val="FF0000"/>
          <w:szCs w:val="24"/>
          <w:lang w:val="en-US" w:eastAsia="zh-CN"/>
        </w:rPr>
        <w:t>;</w:t>
      </w:r>
      <w:r w:rsidR="00C133C9" w:rsidRPr="00CB3138">
        <w:rPr>
          <w:rFonts w:eastAsiaTheme="minorEastAsia" w:cs="Times New Roman"/>
          <w:color w:val="FF0000"/>
          <w:szCs w:val="24"/>
          <w:lang w:val="en-US" w:eastAsia="zh-CN"/>
        </w:rPr>
        <w:t xml:space="preserve"> and</w:t>
      </w:r>
      <w:r w:rsidR="00F20BF0" w:rsidRPr="00CB3138">
        <w:rPr>
          <w:rFonts w:eastAsiaTheme="minorEastAsia" w:cs="Times New Roman"/>
          <w:color w:val="FF0000"/>
          <w:szCs w:val="24"/>
          <w:lang w:val="en-US" w:eastAsia="zh-CN"/>
        </w:rPr>
        <w:t xml:space="preserve"> </w:t>
      </w:r>
      <w:r w:rsidR="00C133C9" w:rsidRPr="00CB3138">
        <w:rPr>
          <w:rFonts w:eastAsiaTheme="minorEastAsia" w:cs="Times New Roman"/>
          <w:color w:val="FF0000"/>
          <w:szCs w:val="24"/>
          <w:lang w:val="en-US" w:eastAsia="zh-CN"/>
        </w:rPr>
        <w:t xml:space="preserve">those that </w:t>
      </w:r>
      <w:r w:rsidR="00F36CF0">
        <w:rPr>
          <w:rFonts w:eastAsiaTheme="minorEastAsia" w:cs="Times New Roman"/>
          <w:color w:val="FF0000"/>
          <w:szCs w:val="24"/>
          <w:lang w:val="en-US" w:eastAsia="zh-CN"/>
        </w:rPr>
        <w:t>require</w:t>
      </w:r>
      <w:r w:rsidR="00C133C9" w:rsidRPr="00CB3138">
        <w:rPr>
          <w:rFonts w:eastAsiaTheme="minorEastAsia" w:cs="Times New Roman"/>
          <w:color w:val="FF0000"/>
          <w:szCs w:val="24"/>
          <w:lang w:val="en-US" w:eastAsia="zh-CN"/>
        </w:rPr>
        <w:t xml:space="preserve"> both dyadic and collective engagement</w:t>
      </w:r>
      <w:r w:rsidR="00A84ADA" w:rsidRPr="00CB3138">
        <w:rPr>
          <w:rFonts w:eastAsiaTheme="minorEastAsia" w:cs="Times New Roman"/>
          <w:color w:val="FF0000"/>
          <w:szCs w:val="24"/>
          <w:lang w:val="en-US" w:eastAsia="zh-CN"/>
        </w:rPr>
        <w:t>.</w:t>
      </w:r>
    </w:p>
    <w:p w14:paraId="628F3784" w14:textId="2AA7104F" w:rsidR="006A56B2" w:rsidRPr="005F2A26" w:rsidRDefault="006A56B2" w:rsidP="00367D57">
      <w:pPr>
        <w:widowControl w:val="0"/>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t>First, imagine</w:t>
      </w:r>
      <w:r w:rsidR="003C2FAD">
        <w:rPr>
          <w:rFonts w:eastAsiaTheme="minorEastAsia" w:cs="Times New Roman"/>
          <w:szCs w:val="24"/>
          <w:lang w:val="en-US" w:eastAsia="zh-CN"/>
        </w:rPr>
        <w:t xml:space="preserve"> someone who </w:t>
      </w:r>
      <w:r w:rsidR="007972B9">
        <w:rPr>
          <w:rFonts w:eastAsiaTheme="minorEastAsia" w:cs="Times New Roman"/>
          <w:szCs w:val="24"/>
          <w:lang w:val="en-US" w:eastAsia="zh-CN"/>
        </w:rPr>
        <w:t>does</w:t>
      </w:r>
      <w:r w:rsidR="005E3CF5">
        <w:rPr>
          <w:rFonts w:eastAsiaTheme="minorEastAsia" w:cs="Times New Roman"/>
          <w:szCs w:val="24"/>
          <w:lang w:val="en-US" w:eastAsia="zh-CN"/>
        </w:rPr>
        <w:t xml:space="preserve"> not</w:t>
      </w:r>
      <w:r w:rsidR="007972B9">
        <w:rPr>
          <w:rFonts w:eastAsiaTheme="minorEastAsia" w:cs="Times New Roman"/>
          <w:szCs w:val="24"/>
          <w:lang w:val="en-US" w:eastAsia="zh-CN"/>
        </w:rPr>
        <w:t xml:space="preserve"> own a car</w:t>
      </w:r>
      <w:r w:rsidR="000F70C9">
        <w:rPr>
          <w:rFonts w:eastAsiaTheme="minorEastAsia" w:cs="Times New Roman"/>
          <w:szCs w:val="24"/>
          <w:lang w:val="en-US" w:eastAsia="zh-CN"/>
        </w:rPr>
        <w:t>,</w:t>
      </w:r>
      <w:r w:rsidR="007972B9">
        <w:rPr>
          <w:rFonts w:eastAsiaTheme="minorEastAsia" w:cs="Times New Roman"/>
          <w:szCs w:val="24"/>
          <w:lang w:val="en-US" w:eastAsia="zh-CN"/>
        </w:rPr>
        <w:t xml:space="preserve"> prefers not to rely solely on public transport</w:t>
      </w:r>
      <w:r w:rsidR="000F70C9">
        <w:rPr>
          <w:rFonts w:eastAsiaTheme="minorEastAsia" w:cs="Times New Roman"/>
          <w:szCs w:val="24"/>
          <w:lang w:val="en-US" w:eastAsia="zh-CN"/>
        </w:rPr>
        <w:t>, and</w:t>
      </w:r>
      <w:r w:rsidR="007972B9" w:rsidRPr="005F2A26">
        <w:rPr>
          <w:rFonts w:eastAsiaTheme="minorEastAsia" w:cs="Times New Roman"/>
          <w:szCs w:val="24"/>
          <w:lang w:val="en-US" w:eastAsia="zh-CN"/>
        </w:rPr>
        <w:t xml:space="preserve"> </w:t>
      </w:r>
      <w:r w:rsidR="005A3AFD">
        <w:rPr>
          <w:rFonts w:eastAsiaTheme="minorEastAsia" w:cs="Times New Roman"/>
          <w:szCs w:val="24"/>
          <w:lang w:val="en-US" w:eastAsia="zh-CN"/>
        </w:rPr>
        <w:t>likes to self-identify as</w:t>
      </w:r>
      <w:r w:rsidR="00314C94">
        <w:rPr>
          <w:rFonts w:eastAsiaTheme="minorEastAsia" w:cs="Times New Roman"/>
          <w:szCs w:val="24"/>
          <w:lang w:val="en-US" w:eastAsia="zh-CN"/>
        </w:rPr>
        <w:t xml:space="preserve"> </w:t>
      </w:r>
      <w:r w:rsidR="00D97456">
        <w:rPr>
          <w:rFonts w:eastAsiaTheme="minorEastAsia" w:cs="Times New Roman"/>
          <w:szCs w:val="24"/>
          <w:lang w:val="en-US" w:eastAsia="zh-CN"/>
        </w:rPr>
        <w:t>an efficiency-seeking,</w:t>
      </w:r>
      <w:r w:rsidR="005A3AFD">
        <w:rPr>
          <w:rFonts w:eastAsiaTheme="minorEastAsia" w:cs="Times New Roman"/>
          <w:szCs w:val="24"/>
          <w:lang w:val="en-US" w:eastAsia="zh-CN"/>
        </w:rPr>
        <w:t xml:space="preserve"> technologically savvy</w:t>
      </w:r>
      <w:r w:rsidR="00D97456">
        <w:rPr>
          <w:rFonts w:eastAsiaTheme="minorEastAsia" w:cs="Times New Roman"/>
          <w:szCs w:val="24"/>
          <w:lang w:val="en-US" w:eastAsia="zh-CN"/>
        </w:rPr>
        <w:t xml:space="preserve"> individual</w:t>
      </w:r>
      <w:r w:rsidR="005E3CF5">
        <w:rPr>
          <w:rFonts w:eastAsiaTheme="minorEastAsia" w:cs="Times New Roman"/>
          <w:szCs w:val="24"/>
          <w:lang w:val="en-US" w:eastAsia="zh-CN"/>
        </w:rPr>
        <w:t>.</w:t>
      </w:r>
      <w:r w:rsidR="000F70C9">
        <w:rPr>
          <w:rFonts w:eastAsiaTheme="minorEastAsia" w:cs="Times New Roman"/>
          <w:szCs w:val="24"/>
          <w:lang w:val="en-US" w:eastAsia="zh-CN"/>
        </w:rPr>
        <w:t xml:space="preserve"> In response, she installs </w:t>
      </w:r>
      <w:r w:rsidRPr="005F2A26">
        <w:rPr>
          <w:rFonts w:eastAsiaTheme="minorEastAsia" w:cs="Times New Roman"/>
          <w:szCs w:val="24"/>
          <w:lang w:val="en-US" w:eastAsia="zh-CN"/>
        </w:rPr>
        <w:t xml:space="preserve">the Uber app on </w:t>
      </w:r>
      <w:r w:rsidR="00AF7EF3" w:rsidRPr="005F2A26">
        <w:rPr>
          <w:rFonts w:eastAsiaTheme="minorEastAsia" w:cs="Times New Roman"/>
          <w:szCs w:val="24"/>
          <w:lang w:val="en-US" w:eastAsia="zh-CN"/>
        </w:rPr>
        <w:t>h</w:t>
      </w:r>
      <w:r w:rsidR="002629E2" w:rsidRPr="005F2A26">
        <w:rPr>
          <w:rFonts w:eastAsiaTheme="minorEastAsia" w:cs="Times New Roman"/>
          <w:szCs w:val="24"/>
          <w:lang w:val="en-US" w:eastAsia="zh-CN"/>
        </w:rPr>
        <w:t>er</w:t>
      </w:r>
      <w:r w:rsidRPr="005F2A26">
        <w:rPr>
          <w:rFonts w:eastAsiaTheme="minorEastAsia" w:cs="Times New Roman"/>
          <w:szCs w:val="24"/>
          <w:lang w:val="en-US" w:eastAsia="zh-CN"/>
        </w:rPr>
        <w:t xml:space="preserve"> smartphone </w:t>
      </w:r>
      <w:r w:rsidR="009A3757">
        <w:rPr>
          <w:rFonts w:eastAsiaTheme="minorEastAsia" w:cs="Times New Roman"/>
          <w:szCs w:val="24"/>
          <w:lang w:val="en-US" w:eastAsia="zh-CN"/>
        </w:rPr>
        <w:t xml:space="preserve">due to </w:t>
      </w:r>
      <w:r w:rsidRPr="005F2A26">
        <w:rPr>
          <w:rFonts w:eastAsiaTheme="minorEastAsia" w:cs="Times New Roman"/>
          <w:szCs w:val="24"/>
          <w:lang w:val="en-US" w:eastAsia="zh-CN"/>
        </w:rPr>
        <w:t xml:space="preserve">the platform’s value proposition of </w:t>
      </w:r>
      <w:r w:rsidR="003259D7">
        <w:rPr>
          <w:rFonts w:eastAsiaTheme="minorEastAsia" w:cs="Times New Roman"/>
          <w:szCs w:val="24"/>
          <w:lang w:val="en-US" w:eastAsia="zh-CN"/>
        </w:rPr>
        <w:t xml:space="preserve">affordable, </w:t>
      </w:r>
      <w:r w:rsidRPr="005F2A26">
        <w:rPr>
          <w:rFonts w:eastAsiaTheme="minorEastAsia" w:cs="Times New Roman"/>
          <w:szCs w:val="24"/>
          <w:lang w:val="en-US" w:eastAsia="zh-CN"/>
        </w:rPr>
        <w:t>efficient micro-transport solutions</w:t>
      </w:r>
      <w:r w:rsidR="00AF7EF3" w:rsidRPr="005F2A26">
        <w:rPr>
          <w:rFonts w:eastAsiaTheme="minorEastAsia" w:cs="Times New Roman"/>
          <w:szCs w:val="24"/>
          <w:lang w:val="en-US" w:eastAsia="zh-CN"/>
        </w:rPr>
        <w:t xml:space="preserve">. </w:t>
      </w:r>
      <w:r w:rsidR="00454C37" w:rsidRPr="005F2A26">
        <w:rPr>
          <w:rFonts w:eastAsiaTheme="minorEastAsia" w:cs="Times New Roman"/>
          <w:szCs w:val="24"/>
          <w:lang w:val="en-US" w:eastAsia="zh-CN"/>
        </w:rPr>
        <w:t xml:space="preserve">In </w:t>
      </w:r>
      <w:r w:rsidR="00C26488">
        <w:rPr>
          <w:rFonts w:eastAsiaTheme="minorEastAsia" w:cs="Times New Roman"/>
          <w:szCs w:val="24"/>
          <w:lang w:val="en-US" w:eastAsia="zh-CN"/>
        </w:rPr>
        <w:t xml:space="preserve">her </w:t>
      </w:r>
      <w:r w:rsidR="00B11DD4" w:rsidRPr="005F2A26">
        <w:rPr>
          <w:rFonts w:eastAsiaTheme="minorEastAsia" w:cs="Times New Roman"/>
          <w:szCs w:val="24"/>
          <w:lang w:val="en-US" w:eastAsia="zh-CN"/>
        </w:rPr>
        <w:t>interacti</w:t>
      </w:r>
      <w:r w:rsidR="00C26488">
        <w:rPr>
          <w:rFonts w:eastAsiaTheme="minorEastAsia" w:cs="Times New Roman"/>
          <w:szCs w:val="24"/>
          <w:lang w:val="en-US" w:eastAsia="zh-CN"/>
        </w:rPr>
        <w:t xml:space="preserve">ons with Uber, </w:t>
      </w:r>
      <w:r w:rsidR="002629E2" w:rsidRPr="005F2A26">
        <w:rPr>
          <w:rFonts w:eastAsiaTheme="minorEastAsia" w:cs="Times New Roman"/>
          <w:szCs w:val="24"/>
          <w:lang w:val="en-US" w:eastAsia="zh-CN"/>
        </w:rPr>
        <w:t>s</w:t>
      </w:r>
      <w:r w:rsidR="001270DA" w:rsidRPr="005F2A26">
        <w:rPr>
          <w:rFonts w:eastAsiaTheme="minorEastAsia" w:cs="Times New Roman"/>
          <w:szCs w:val="24"/>
          <w:lang w:val="en-US" w:eastAsia="zh-CN"/>
        </w:rPr>
        <w:t xml:space="preserve">he </w:t>
      </w:r>
      <w:r w:rsidR="00607360" w:rsidRPr="005F2A26">
        <w:rPr>
          <w:rFonts w:eastAsiaTheme="minorEastAsia" w:cs="Times New Roman"/>
          <w:szCs w:val="24"/>
          <w:lang w:val="en-US" w:eastAsia="zh-CN"/>
        </w:rPr>
        <w:t>invests h</w:t>
      </w:r>
      <w:r w:rsidR="002629E2" w:rsidRPr="005F2A26">
        <w:rPr>
          <w:rFonts w:eastAsiaTheme="minorEastAsia" w:cs="Times New Roman"/>
          <w:szCs w:val="24"/>
          <w:lang w:val="en-US" w:eastAsia="zh-CN"/>
        </w:rPr>
        <w:t>er</w:t>
      </w:r>
      <w:r w:rsidR="00607360" w:rsidRPr="005F2A26">
        <w:rPr>
          <w:rFonts w:eastAsiaTheme="minorEastAsia" w:cs="Times New Roman"/>
          <w:szCs w:val="24"/>
          <w:lang w:val="en-US" w:eastAsia="zh-CN"/>
        </w:rPr>
        <w:t>self and comes to intimately know the app</w:t>
      </w:r>
      <w:r w:rsidR="00C26488">
        <w:rPr>
          <w:rFonts w:eastAsiaTheme="minorEastAsia" w:cs="Times New Roman"/>
          <w:szCs w:val="24"/>
          <w:lang w:val="en-US" w:eastAsia="zh-CN"/>
        </w:rPr>
        <w:t xml:space="preserve"> and service</w:t>
      </w:r>
      <w:r w:rsidR="00607360" w:rsidRPr="005F2A26">
        <w:rPr>
          <w:rFonts w:eastAsiaTheme="minorEastAsia" w:cs="Times New Roman"/>
          <w:szCs w:val="24"/>
          <w:lang w:val="en-US" w:eastAsia="zh-CN"/>
        </w:rPr>
        <w:t xml:space="preserve"> – its map functions, payment options, ra</w:t>
      </w:r>
      <w:r w:rsidR="00C26488">
        <w:rPr>
          <w:rFonts w:eastAsiaTheme="minorEastAsia" w:cs="Times New Roman"/>
          <w:szCs w:val="24"/>
          <w:lang w:val="en-US" w:eastAsia="zh-CN"/>
        </w:rPr>
        <w:t>ting</w:t>
      </w:r>
      <w:r w:rsidR="00607360" w:rsidRPr="005F2A26">
        <w:rPr>
          <w:rFonts w:eastAsiaTheme="minorEastAsia" w:cs="Times New Roman"/>
          <w:szCs w:val="24"/>
          <w:lang w:val="en-US" w:eastAsia="zh-CN"/>
        </w:rPr>
        <w:t xml:space="preserve"> system</w:t>
      </w:r>
      <w:r w:rsidR="00C26488">
        <w:rPr>
          <w:rFonts w:eastAsiaTheme="minorEastAsia" w:cs="Times New Roman"/>
          <w:szCs w:val="24"/>
          <w:lang w:val="en-US" w:eastAsia="zh-CN"/>
        </w:rPr>
        <w:t xml:space="preserve">, </w:t>
      </w:r>
      <w:r w:rsidR="00996295">
        <w:rPr>
          <w:rFonts w:eastAsiaTheme="minorEastAsia" w:cs="Times New Roman"/>
          <w:szCs w:val="24"/>
          <w:lang w:val="en-US" w:eastAsia="zh-CN"/>
        </w:rPr>
        <w:t>etc</w:t>
      </w:r>
      <w:r w:rsidR="00607360" w:rsidRPr="005F2A26">
        <w:rPr>
          <w:rFonts w:eastAsiaTheme="minorEastAsia" w:cs="Times New Roman"/>
          <w:szCs w:val="24"/>
          <w:lang w:val="en-US" w:eastAsia="zh-CN"/>
        </w:rPr>
        <w:t xml:space="preserve">. </w:t>
      </w:r>
      <w:r w:rsidR="002629E2" w:rsidRPr="005F2A26">
        <w:rPr>
          <w:rFonts w:eastAsiaTheme="minorEastAsia" w:cs="Times New Roman"/>
          <w:szCs w:val="24"/>
          <w:lang w:val="en-US" w:eastAsia="zh-CN"/>
        </w:rPr>
        <w:t>Sh</w:t>
      </w:r>
      <w:r w:rsidR="00607360" w:rsidRPr="005F2A26">
        <w:rPr>
          <w:rFonts w:eastAsiaTheme="minorEastAsia" w:cs="Times New Roman"/>
          <w:szCs w:val="24"/>
          <w:lang w:val="en-US" w:eastAsia="zh-CN"/>
        </w:rPr>
        <w:t>e gains a sense of iPO over</w:t>
      </w:r>
      <w:r w:rsidR="00EA4C5B">
        <w:rPr>
          <w:rFonts w:eastAsiaTheme="minorEastAsia" w:cs="Times New Roman"/>
          <w:szCs w:val="24"/>
          <w:lang w:val="en-US" w:eastAsia="zh-CN"/>
        </w:rPr>
        <w:t xml:space="preserve"> her reputation, </w:t>
      </w:r>
      <w:r w:rsidR="00607360" w:rsidRPr="005F2A26">
        <w:rPr>
          <w:rFonts w:eastAsiaTheme="minorEastAsia" w:cs="Times New Roman"/>
          <w:szCs w:val="24"/>
          <w:lang w:val="en-US" w:eastAsia="zh-CN"/>
        </w:rPr>
        <w:t>the app and the platform</w:t>
      </w:r>
      <w:r w:rsidR="00C55562">
        <w:rPr>
          <w:rFonts w:eastAsiaTheme="minorEastAsia" w:cs="Times New Roman"/>
          <w:szCs w:val="24"/>
          <w:lang w:val="en-US" w:eastAsia="zh-CN"/>
        </w:rPr>
        <w:t xml:space="preserve">, and </w:t>
      </w:r>
      <w:r w:rsidR="00543FD2">
        <w:rPr>
          <w:rFonts w:eastAsiaTheme="minorEastAsia" w:cs="Times New Roman"/>
          <w:szCs w:val="24"/>
          <w:lang w:val="en-US" w:eastAsia="zh-CN"/>
        </w:rPr>
        <w:t xml:space="preserve">engagement </w:t>
      </w:r>
      <w:r w:rsidR="00544262">
        <w:rPr>
          <w:rFonts w:eastAsiaTheme="minorEastAsia" w:cs="Times New Roman"/>
          <w:szCs w:val="24"/>
          <w:lang w:val="en-US" w:eastAsia="zh-CN"/>
        </w:rPr>
        <w:t xml:space="preserve">behaviors </w:t>
      </w:r>
      <w:r w:rsidR="00543FD2">
        <w:rPr>
          <w:rFonts w:eastAsiaTheme="minorEastAsia" w:cs="Times New Roman"/>
          <w:szCs w:val="24"/>
          <w:lang w:val="en-US" w:eastAsia="zh-CN"/>
        </w:rPr>
        <w:t>begin to manifest</w:t>
      </w:r>
      <w:r w:rsidR="00544262">
        <w:rPr>
          <w:rFonts w:eastAsiaTheme="minorEastAsia" w:cs="Times New Roman"/>
          <w:szCs w:val="24"/>
          <w:lang w:val="en-US" w:eastAsia="zh-CN"/>
        </w:rPr>
        <w:t xml:space="preserve"> </w:t>
      </w:r>
      <w:r w:rsidR="00607360" w:rsidRPr="005F2A26">
        <w:rPr>
          <w:rFonts w:eastAsiaTheme="minorEastAsia" w:cs="Times New Roman"/>
          <w:szCs w:val="24"/>
          <w:lang w:val="en-US" w:eastAsia="zh-CN"/>
        </w:rPr>
        <w:t>(</w:t>
      </w:r>
      <w:r w:rsidR="006E4FC3">
        <w:rPr>
          <w:rFonts w:eastAsiaTheme="minorEastAsia" w:cs="Times New Roman"/>
          <w:szCs w:val="24"/>
          <w:lang w:val="en-US" w:eastAsia="zh-CN"/>
        </w:rPr>
        <w:t xml:space="preserve">e.g., </w:t>
      </w:r>
      <w:r w:rsidR="00544262">
        <w:rPr>
          <w:rFonts w:eastAsiaTheme="minorEastAsia" w:cs="Times New Roman"/>
          <w:szCs w:val="24"/>
          <w:lang w:val="en-US" w:eastAsia="zh-CN"/>
        </w:rPr>
        <w:t>brand love – “</w:t>
      </w:r>
      <w:r w:rsidR="00607360" w:rsidRPr="005F2A26">
        <w:rPr>
          <w:rFonts w:eastAsiaTheme="minorEastAsia" w:cs="Times New Roman"/>
          <w:szCs w:val="24"/>
          <w:lang w:val="en-US" w:eastAsia="zh-CN"/>
        </w:rPr>
        <w:t>I love Uber</w:t>
      </w:r>
      <w:r w:rsidR="00543FD2">
        <w:rPr>
          <w:rFonts w:eastAsiaTheme="minorEastAsia" w:cs="Times New Roman"/>
          <w:szCs w:val="24"/>
          <w:lang w:val="en-US" w:eastAsia="zh-CN"/>
        </w:rPr>
        <w:t>”</w:t>
      </w:r>
      <w:r w:rsidR="00607360" w:rsidRPr="005F2A26">
        <w:rPr>
          <w:rFonts w:eastAsiaTheme="minorEastAsia" w:cs="Times New Roman"/>
          <w:szCs w:val="24"/>
          <w:lang w:val="en-US" w:eastAsia="zh-CN"/>
        </w:rPr>
        <w:t>)</w:t>
      </w:r>
      <w:r w:rsidR="00EF4F77">
        <w:rPr>
          <w:rFonts w:eastAsiaTheme="minorEastAsia" w:cs="Times New Roman"/>
          <w:szCs w:val="24"/>
          <w:lang w:val="en-US" w:eastAsia="zh-CN"/>
        </w:rPr>
        <w:t>.</w:t>
      </w:r>
      <w:r w:rsidR="00607360" w:rsidRPr="005F2A26">
        <w:rPr>
          <w:rFonts w:eastAsiaTheme="minorEastAsia" w:cs="Times New Roman"/>
          <w:szCs w:val="24"/>
          <w:lang w:val="en-US" w:eastAsia="zh-CN"/>
        </w:rPr>
        <w:t xml:space="preserve"> </w:t>
      </w:r>
      <w:r w:rsidR="00EF4F77">
        <w:rPr>
          <w:rFonts w:eastAsiaTheme="minorEastAsia" w:cs="Times New Roman"/>
          <w:szCs w:val="24"/>
          <w:lang w:val="en-US" w:eastAsia="zh-CN"/>
        </w:rPr>
        <w:t>H</w:t>
      </w:r>
      <w:r w:rsidR="00607360" w:rsidRPr="005F2A26">
        <w:rPr>
          <w:rFonts w:eastAsiaTheme="minorEastAsia" w:cs="Times New Roman"/>
          <w:szCs w:val="24"/>
          <w:lang w:val="en-US" w:eastAsia="zh-CN"/>
        </w:rPr>
        <w:t xml:space="preserve">owever, </w:t>
      </w:r>
      <w:r w:rsidR="00EF4F77">
        <w:rPr>
          <w:rFonts w:eastAsiaTheme="minorEastAsia" w:cs="Times New Roman"/>
          <w:szCs w:val="24"/>
          <w:lang w:val="en-US" w:eastAsia="zh-CN"/>
        </w:rPr>
        <w:t xml:space="preserve">she </w:t>
      </w:r>
      <w:r w:rsidR="00607360" w:rsidRPr="005F2A26">
        <w:rPr>
          <w:rFonts w:eastAsiaTheme="minorEastAsia" w:cs="Times New Roman"/>
          <w:szCs w:val="24"/>
          <w:lang w:val="en-US" w:eastAsia="zh-CN"/>
        </w:rPr>
        <w:t>does</w:t>
      </w:r>
      <w:r w:rsidR="00EF4F77">
        <w:rPr>
          <w:rFonts w:eastAsiaTheme="minorEastAsia" w:cs="Times New Roman"/>
          <w:szCs w:val="24"/>
          <w:lang w:val="en-US" w:eastAsia="zh-CN"/>
        </w:rPr>
        <w:t xml:space="preserve"> not</w:t>
      </w:r>
      <w:r w:rsidR="00607360" w:rsidRPr="005F2A26">
        <w:rPr>
          <w:rFonts w:eastAsiaTheme="minorEastAsia" w:cs="Times New Roman"/>
          <w:szCs w:val="24"/>
          <w:lang w:val="en-US" w:eastAsia="zh-CN"/>
        </w:rPr>
        <w:t xml:space="preserve"> desire, nor gain, a sense of community </w:t>
      </w:r>
      <w:r w:rsidR="00062869" w:rsidRPr="005F2A26">
        <w:rPr>
          <w:rFonts w:eastAsiaTheme="minorEastAsia" w:cs="Times New Roman"/>
          <w:szCs w:val="24"/>
          <w:lang w:val="en-US" w:eastAsia="zh-CN"/>
        </w:rPr>
        <w:t>with</w:t>
      </w:r>
      <w:r w:rsidR="00607360" w:rsidRPr="005F2A26">
        <w:rPr>
          <w:rFonts w:eastAsiaTheme="minorEastAsia" w:cs="Times New Roman"/>
          <w:szCs w:val="24"/>
          <w:lang w:val="en-US" w:eastAsia="zh-CN"/>
        </w:rPr>
        <w:t xml:space="preserve"> </w:t>
      </w:r>
      <w:r w:rsidR="0051034B">
        <w:rPr>
          <w:rFonts w:eastAsiaTheme="minorEastAsia" w:cs="Times New Roman"/>
          <w:szCs w:val="24"/>
          <w:lang w:val="en-US" w:eastAsia="zh-CN"/>
        </w:rPr>
        <w:t xml:space="preserve">other users – either </w:t>
      </w:r>
      <w:r w:rsidR="00062869" w:rsidRPr="005F2A26">
        <w:rPr>
          <w:rFonts w:eastAsiaTheme="minorEastAsia" w:cs="Times New Roman"/>
          <w:szCs w:val="24"/>
          <w:lang w:val="en-US" w:eastAsia="zh-CN"/>
        </w:rPr>
        <w:t xml:space="preserve">drivers or </w:t>
      </w:r>
      <w:r w:rsidR="00607360" w:rsidRPr="005F2A26">
        <w:rPr>
          <w:rFonts w:eastAsiaTheme="minorEastAsia" w:cs="Times New Roman"/>
          <w:szCs w:val="24"/>
          <w:lang w:val="en-US" w:eastAsia="zh-CN"/>
        </w:rPr>
        <w:t>fellow riders.</w:t>
      </w:r>
      <w:r w:rsidR="00EF4F77">
        <w:rPr>
          <w:rFonts w:eastAsiaTheme="minorEastAsia" w:cs="Times New Roman"/>
          <w:szCs w:val="24"/>
          <w:lang w:val="en-US" w:eastAsia="zh-CN"/>
        </w:rPr>
        <w:t xml:space="preserve"> </w:t>
      </w:r>
      <w:r w:rsidR="00EF4F77" w:rsidRPr="00FA7AD2">
        <w:rPr>
          <w:rFonts w:eastAsiaTheme="minorEastAsia" w:cs="Times New Roman"/>
          <w:color w:val="FF0000"/>
          <w:szCs w:val="24"/>
          <w:lang w:val="en-US" w:eastAsia="zh-CN"/>
        </w:rPr>
        <w:t xml:space="preserve">The app prevents sharing of reviews or experiences beyond a simple rating </w:t>
      </w:r>
      <w:r w:rsidR="00F41E64">
        <w:rPr>
          <w:rFonts w:eastAsiaTheme="minorEastAsia" w:cs="Times New Roman"/>
          <w:color w:val="FF0000"/>
          <w:szCs w:val="24"/>
          <w:lang w:val="en-US" w:eastAsia="zh-CN"/>
        </w:rPr>
        <w:t>of</w:t>
      </w:r>
      <w:r w:rsidR="00EF4F77" w:rsidRPr="00FA7AD2">
        <w:rPr>
          <w:rFonts w:eastAsiaTheme="minorEastAsia" w:cs="Times New Roman"/>
          <w:color w:val="FF0000"/>
          <w:szCs w:val="24"/>
          <w:lang w:val="en-US" w:eastAsia="zh-CN"/>
        </w:rPr>
        <w:t xml:space="preserve"> </w:t>
      </w:r>
      <w:r w:rsidR="00C55562" w:rsidRPr="00FA7AD2">
        <w:rPr>
          <w:rFonts w:eastAsiaTheme="minorEastAsia" w:cs="Times New Roman"/>
          <w:color w:val="FF0000"/>
          <w:szCs w:val="24"/>
          <w:lang w:val="en-US" w:eastAsia="zh-CN"/>
        </w:rPr>
        <w:t>each ride.</w:t>
      </w:r>
      <w:r w:rsidR="002350DC" w:rsidRPr="00FA7AD2">
        <w:rPr>
          <w:rFonts w:eastAsiaTheme="minorEastAsia" w:cs="Times New Roman"/>
          <w:color w:val="FF0000"/>
          <w:szCs w:val="24"/>
          <w:lang w:val="en-US" w:eastAsia="zh-CN"/>
        </w:rPr>
        <w:t xml:space="preserve"> </w:t>
      </w:r>
      <w:r w:rsidR="006E4FC3" w:rsidRPr="00FA7AD2">
        <w:rPr>
          <w:rFonts w:eastAsiaTheme="minorEastAsia" w:cs="Times New Roman"/>
          <w:color w:val="FF0000"/>
          <w:szCs w:val="24"/>
          <w:lang w:val="en-US" w:eastAsia="zh-CN"/>
        </w:rPr>
        <w:lastRenderedPageBreak/>
        <w:t>T</w:t>
      </w:r>
      <w:r w:rsidR="002350DC" w:rsidRPr="00FA7AD2">
        <w:rPr>
          <w:rFonts w:eastAsiaTheme="minorEastAsia" w:cs="Times New Roman"/>
          <w:color w:val="FF0000"/>
          <w:szCs w:val="24"/>
          <w:lang w:val="en-US" w:eastAsia="zh-CN"/>
        </w:rPr>
        <w:t>hrough time</w:t>
      </w:r>
      <w:r w:rsidR="00F94CEA">
        <w:rPr>
          <w:rFonts w:eastAsiaTheme="minorEastAsia" w:cs="Times New Roman"/>
          <w:color w:val="FF0000"/>
          <w:szCs w:val="24"/>
          <w:lang w:val="en-US" w:eastAsia="zh-CN"/>
        </w:rPr>
        <w:t>,</w:t>
      </w:r>
      <w:r w:rsidR="002350DC" w:rsidRPr="00FA7AD2">
        <w:rPr>
          <w:rFonts w:eastAsiaTheme="minorEastAsia" w:cs="Times New Roman"/>
          <w:color w:val="FF0000"/>
          <w:szCs w:val="24"/>
          <w:lang w:val="en-US" w:eastAsia="zh-CN"/>
        </w:rPr>
        <w:t xml:space="preserve"> she </w:t>
      </w:r>
      <w:r w:rsidR="00905F24" w:rsidRPr="00FA7AD2">
        <w:rPr>
          <w:rFonts w:eastAsiaTheme="minorEastAsia" w:cs="Times New Roman"/>
          <w:color w:val="FF0000"/>
          <w:szCs w:val="24"/>
          <w:lang w:val="en-US" w:eastAsia="zh-CN"/>
        </w:rPr>
        <w:t>becomes proud of her high rating</w:t>
      </w:r>
      <w:r w:rsidR="002350DC" w:rsidRPr="00FA7AD2">
        <w:rPr>
          <w:rFonts w:eastAsiaTheme="minorEastAsia" w:cs="Times New Roman"/>
          <w:color w:val="FF0000"/>
          <w:szCs w:val="24"/>
          <w:lang w:val="en-US" w:eastAsia="zh-CN"/>
        </w:rPr>
        <w:t xml:space="preserve"> and her engagement</w:t>
      </w:r>
      <w:r w:rsidR="00886A58">
        <w:rPr>
          <w:rFonts w:eastAsiaTheme="minorEastAsia" w:cs="Times New Roman"/>
          <w:color w:val="FF0000"/>
          <w:szCs w:val="24"/>
          <w:lang w:val="en-US" w:eastAsia="zh-CN"/>
        </w:rPr>
        <w:t xml:space="preserve"> </w:t>
      </w:r>
      <w:r w:rsidR="006F5E67" w:rsidRPr="00FA7AD2">
        <w:rPr>
          <w:rFonts w:eastAsiaTheme="minorEastAsia" w:cs="Times New Roman"/>
          <w:color w:val="FF0000"/>
          <w:szCs w:val="24"/>
          <w:lang w:val="en-US" w:eastAsia="zh-CN"/>
        </w:rPr>
        <w:t>iteratively</w:t>
      </w:r>
      <w:r w:rsidR="002350DC" w:rsidRPr="00FA7AD2">
        <w:rPr>
          <w:rFonts w:eastAsiaTheme="minorEastAsia" w:cs="Times New Roman"/>
          <w:color w:val="FF0000"/>
          <w:szCs w:val="24"/>
          <w:lang w:val="en-US" w:eastAsia="zh-CN"/>
        </w:rPr>
        <w:t xml:space="preserve"> grows </w:t>
      </w:r>
      <w:r w:rsidR="006F5E67" w:rsidRPr="00FA7AD2">
        <w:rPr>
          <w:rFonts w:eastAsiaTheme="minorEastAsia" w:cs="Times New Roman"/>
          <w:color w:val="FF0000"/>
          <w:szCs w:val="24"/>
          <w:lang w:val="en-US" w:eastAsia="zh-CN"/>
        </w:rPr>
        <w:t>further</w:t>
      </w:r>
      <w:r w:rsidR="00534A6A" w:rsidRPr="00FA7AD2">
        <w:rPr>
          <w:rFonts w:eastAsiaTheme="minorEastAsia" w:cs="Times New Roman"/>
          <w:color w:val="FF0000"/>
          <w:szCs w:val="24"/>
          <w:lang w:val="en-US" w:eastAsia="zh-CN"/>
        </w:rPr>
        <w:t xml:space="preserve">. </w:t>
      </w:r>
      <w:r w:rsidR="005C737C">
        <w:rPr>
          <w:rFonts w:eastAsiaTheme="minorEastAsia" w:cs="Times New Roman"/>
          <w:color w:val="FF0000"/>
          <w:szCs w:val="24"/>
          <w:lang w:val="en-US" w:eastAsia="zh-CN"/>
        </w:rPr>
        <w:t>S</w:t>
      </w:r>
      <w:r w:rsidR="0072496F" w:rsidRPr="00FA7AD2">
        <w:rPr>
          <w:rFonts w:eastAsiaTheme="minorEastAsia" w:cs="Times New Roman"/>
          <w:color w:val="FF0000"/>
          <w:szCs w:val="24"/>
          <w:lang w:val="en-US" w:eastAsia="zh-CN"/>
        </w:rPr>
        <w:t xml:space="preserve">he </w:t>
      </w:r>
      <w:r w:rsidR="005C737C">
        <w:rPr>
          <w:rFonts w:eastAsiaTheme="minorEastAsia" w:cs="Times New Roman"/>
          <w:color w:val="FF0000"/>
          <w:szCs w:val="24"/>
          <w:lang w:val="en-US" w:eastAsia="zh-CN"/>
        </w:rPr>
        <w:t xml:space="preserve">loyally </w:t>
      </w:r>
      <w:r w:rsidR="0072496F" w:rsidRPr="00FA7AD2">
        <w:rPr>
          <w:rFonts w:eastAsiaTheme="minorEastAsia" w:cs="Times New Roman"/>
          <w:color w:val="FF0000"/>
          <w:szCs w:val="24"/>
          <w:lang w:val="en-US" w:eastAsia="zh-CN"/>
        </w:rPr>
        <w:t xml:space="preserve">only </w:t>
      </w:r>
      <w:r w:rsidR="00534A6A" w:rsidRPr="00FA7AD2">
        <w:rPr>
          <w:rFonts w:eastAsiaTheme="minorEastAsia" w:cs="Times New Roman"/>
          <w:color w:val="FF0000"/>
          <w:szCs w:val="24"/>
          <w:lang w:val="en-US" w:eastAsia="zh-CN"/>
        </w:rPr>
        <w:t xml:space="preserve">chooses </w:t>
      </w:r>
      <w:r w:rsidR="0072496F" w:rsidRPr="00FA7AD2">
        <w:rPr>
          <w:rFonts w:eastAsiaTheme="minorEastAsia" w:cs="Times New Roman"/>
          <w:color w:val="FF0000"/>
          <w:szCs w:val="24"/>
          <w:lang w:val="en-US" w:eastAsia="zh-CN"/>
        </w:rPr>
        <w:t xml:space="preserve">Uber and </w:t>
      </w:r>
      <w:r w:rsidR="00767B4B" w:rsidRPr="00FA7AD2">
        <w:rPr>
          <w:rFonts w:eastAsiaTheme="minorEastAsia" w:cs="Times New Roman"/>
          <w:color w:val="FF0000"/>
          <w:szCs w:val="24"/>
          <w:lang w:val="en-US" w:eastAsia="zh-CN"/>
        </w:rPr>
        <w:t>shares positive</w:t>
      </w:r>
      <w:r w:rsidR="0072496F" w:rsidRPr="00FA7AD2">
        <w:rPr>
          <w:rFonts w:eastAsiaTheme="minorEastAsia" w:cs="Times New Roman"/>
          <w:color w:val="FF0000"/>
          <w:szCs w:val="24"/>
          <w:lang w:val="en-US" w:eastAsia="zh-CN"/>
        </w:rPr>
        <w:t xml:space="preserve"> WOM </w:t>
      </w:r>
      <w:r w:rsidR="00767B4B" w:rsidRPr="00FA7AD2">
        <w:rPr>
          <w:rFonts w:eastAsiaTheme="minorEastAsia" w:cs="Times New Roman"/>
          <w:color w:val="FF0000"/>
          <w:szCs w:val="24"/>
          <w:lang w:val="en-US" w:eastAsia="zh-CN"/>
        </w:rPr>
        <w:t>with</w:t>
      </w:r>
      <w:r w:rsidR="00534A6A" w:rsidRPr="00FA7AD2">
        <w:rPr>
          <w:rFonts w:eastAsiaTheme="minorEastAsia" w:cs="Times New Roman"/>
          <w:color w:val="FF0000"/>
          <w:szCs w:val="24"/>
          <w:lang w:val="en-US" w:eastAsia="zh-CN"/>
        </w:rPr>
        <w:t xml:space="preserve"> her friends</w:t>
      </w:r>
      <w:r w:rsidR="0072496F" w:rsidRPr="00FA7AD2">
        <w:rPr>
          <w:rFonts w:eastAsiaTheme="minorEastAsia" w:cs="Times New Roman"/>
          <w:color w:val="FF0000"/>
          <w:szCs w:val="24"/>
          <w:lang w:val="en-US" w:eastAsia="zh-CN"/>
        </w:rPr>
        <w:t>.</w:t>
      </w:r>
      <w:r w:rsidR="00607360" w:rsidRPr="00FA7AD2">
        <w:rPr>
          <w:rFonts w:eastAsiaTheme="minorEastAsia" w:cs="Times New Roman"/>
          <w:color w:val="FF0000"/>
          <w:szCs w:val="24"/>
          <w:lang w:val="en-US" w:eastAsia="zh-CN"/>
        </w:rPr>
        <w:t xml:space="preserve"> </w:t>
      </w:r>
      <w:r w:rsidR="00767B4B" w:rsidRPr="009D34E9">
        <w:rPr>
          <w:rFonts w:eastAsiaTheme="minorEastAsia" w:cs="Times New Roman"/>
          <w:color w:val="FF0000"/>
          <w:szCs w:val="24"/>
          <w:lang w:val="en-US" w:eastAsia="zh-CN"/>
        </w:rPr>
        <w:t>Nevertheless</w:t>
      </w:r>
      <w:r w:rsidR="00607360" w:rsidRPr="009D34E9">
        <w:rPr>
          <w:rFonts w:eastAsiaTheme="minorEastAsia" w:cs="Times New Roman"/>
          <w:color w:val="FF0000"/>
          <w:szCs w:val="24"/>
          <w:lang w:val="en-US" w:eastAsia="zh-CN"/>
        </w:rPr>
        <w:t>,</w:t>
      </w:r>
      <w:r w:rsidR="0051034B" w:rsidRPr="009D34E9">
        <w:rPr>
          <w:rFonts w:eastAsiaTheme="minorEastAsia" w:cs="Times New Roman"/>
          <w:color w:val="FF0000"/>
          <w:szCs w:val="24"/>
          <w:lang w:val="en-US" w:eastAsia="zh-CN"/>
        </w:rPr>
        <w:t xml:space="preserve"> </w:t>
      </w:r>
      <w:r w:rsidR="002629E2" w:rsidRPr="009D34E9">
        <w:rPr>
          <w:rFonts w:eastAsiaTheme="minorEastAsia" w:cs="Times New Roman"/>
          <w:color w:val="FF0000"/>
          <w:szCs w:val="24"/>
          <w:lang w:val="en-US" w:eastAsia="zh-CN"/>
        </w:rPr>
        <w:t>s</w:t>
      </w:r>
      <w:r w:rsidR="00607360" w:rsidRPr="009D34E9">
        <w:rPr>
          <w:rFonts w:eastAsiaTheme="minorEastAsia" w:cs="Times New Roman"/>
          <w:color w:val="FF0000"/>
          <w:szCs w:val="24"/>
          <w:lang w:val="en-US" w:eastAsia="zh-CN"/>
        </w:rPr>
        <w:t xml:space="preserve">he remains focused on </w:t>
      </w:r>
      <w:r w:rsidR="002629E2" w:rsidRPr="009D34E9">
        <w:rPr>
          <w:rFonts w:eastAsiaTheme="minorEastAsia" w:cs="Times New Roman"/>
          <w:color w:val="FF0000"/>
          <w:szCs w:val="24"/>
          <w:lang w:val="en-US" w:eastAsia="zh-CN"/>
        </w:rPr>
        <w:t>her</w:t>
      </w:r>
      <w:r w:rsidR="00607360" w:rsidRPr="009D34E9">
        <w:rPr>
          <w:rFonts w:eastAsiaTheme="minorEastAsia" w:cs="Times New Roman"/>
          <w:color w:val="FF0000"/>
          <w:szCs w:val="24"/>
          <w:lang w:val="en-US" w:eastAsia="zh-CN"/>
        </w:rPr>
        <w:t xml:space="preserve"> own individual outcomes of using Uber and what it does for h</w:t>
      </w:r>
      <w:r w:rsidR="002629E2" w:rsidRPr="009D34E9">
        <w:rPr>
          <w:rFonts w:eastAsiaTheme="minorEastAsia" w:cs="Times New Roman"/>
          <w:color w:val="FF0000"/>
          <w:szCs w:val="24"/>
          <w:lang w:val="en-US" w:eastAsia="zh-CN"/>
        </w:rPr>
        <w:t>er</w:t>
      </w:r>
      <w:r w:rsidR="00607360" w:rsidRPr="009D34E9">
        <w:rPr>
          <w:rFonts w:eastAsiaTheme="minorEastAsia" w:cs="Times New Roman"/>
          <w:color w:val="FF0000"/>
          <w:szCs w:val="24"/>
          <w:lang w:val="en-US" w:eastAsia="zh-CN"/>
        </w:rPr>
        <w:t xml:space="preserve"> (</w:t>
      </w:r>
      <w:r w:rsidR="00767B4B" w:rsidRPr="009D34E9">
        <w:rPr>
          <w:rFonts w:eastAsiaTheme="minorEastAsia" w:cs="Times New Roman"/>
          <w:color w:val="FF0000"/>
          <w:szCs w:val="24"/>
          <w:lang w:val="en-US" w:eastAsia="zh-CN"/>
        </w:rPr>
        <w:t xml:space="preserve">e.g., </w:t>
      </w:r>
      <w:r w:rsidR="00607360" w:rsidRPr="009D34E9">
        <w:rPr>
          <w:rFonts w:eastAsiaTheme="minorEastAsia" w:cs="Times New Roman"/>
          <w:color w:val="FF0000"/>
          <w:szCs w:val="24"/>
          <w:lang w:val="en-US" w:eastAsia="zh-CN"/>
        </w:rPr>
        <w:t xml:space="preserve">“I am always polite to </w:t>
      </w:r>
      <w:r w:rsidR="007A2643" w:rsidRPr="009D34E9">
        <w:rPr>
          <w:rFonts w:eastAsiaTheme="minorEastAsia" w:cs="Times New Roman"/>
          <w:color w:val="FF0000"/>
          <w:szCs w:val="24"/>
          <w:lang w:val="en-US" w:eastAsia="zh-CN"/>
        </w:rPr>
        <w:t>the</w:t>
      </w:r>
      <w:r w:rsidR="00607360" w:rsidRPr="009D34E9">
        <w:rPr>
          <w:rFonts w:eastAsiaTheme="minorEastAsia" w:cs="Times New Roman"/>
          <w:color w:val="FF0000"/>
          <w:szCs w:val="24"/>
          <w:lang w:val="en-US" w:eastAsia="zh-CN"/>
        </w:rPr>
        <w:t xml:space="preserve"> driver because I want to protect MY ranking”).</w:t>
      </w:r>
      <w:r w:rsidR="002817BA">
        <w:rPr>
          <w:rFonts w:eastAsiaTheme="minorEastAsia" w:cs="Times New Roman"/>
          <w:color w:val="FF0000"/>
          <w:szCs w:val="24"/>
          <w:lang w:val="en-US" w:eastAsia="zh-CN"/>
        </w:rPr>
        <w:t xml:space="preserve"> Hence, no sense of cPO emerges.</w:t>
      </w:r>
    </w:p>
    <w:p w14:paraId="2C084BFB" w14:textId="2FF1E4DC" w:rsidR="00E01546" w:rsidRPr="005F2A26" w:rsidRDefault="00442E1F" w:rsidP="0011742F">
      <w:pPr>
        <w:widowControl w:val="0"/>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t xml:space="preserve">In contrast, </w:t>
      </w:r>
      <w:r w:rsidR="007149CB">
        <w:rPr>
          <w:rFonts w:eastAsiaTheme="minorEastAsia" w:cs="Times New Roman"/>
          <w:szCs w:val="24"/>
          <w:lang w:val="en-US" w:eastAsia="zh-CN"/>
        </w:rPr>
        <w:t xml:space="preserve">second, </w:t>
      </w:r>
      <w:r w:rsidRPr="005F2A26">
        <w:rPr>
          <w:rFonts w:eastAsiaTheme="minorEastAsia" w:cs="Times New Roman"/>
          <w:szCs w:val="24"/>
          <w:lang w:val="en-US" w:eastAsia="zh-CN"/>
        </w:rPr>
        <w:t>i</w:t>
      </w:r>
      <w:r w:rsidR="004664FE" w:rsidRPr="005F2A26">
        <w:rPr>
          <w:rFonts w:eastAsiaTheme="minorEastAsia" w:cs="Times New Roman"/>
          <w:szCs w:val="24"/>
          <w:lang w:val="en-US" w:eastAsia="zh-CN"/>
        </w:rPr>
        <w:t xml:space="preserve">magine a person who starts to surf the </w:t>
      </w:r>
      <w:proofErr w:type="spellStart"/>
      <w:r w:rsidR="004664FE" w:rsidRPr="005F2A26">
        <w:rPr>
          <w:rFonts w:eastAsiaTheme="minorEastAsia" w:cs="Times New Roman"/>
          <w:szCs w:val="24"/>
          <w:lang w:val="en-US" w:eastAsia="zh-CN"/>
        </w:rPr>
        <w:t>GardenTags</w:t>
      </w:r>
      <w:proofErr w:type="spellEnd"/>
      <w:r w:rsidR="004664FE" w:rsidRPr="005F2A26">
        <w:rPr>
          <w:rFonts w:eastAsiaTheme="minorEastAsia" w:cs="Times New Roman"/>
          <w:szCs w:val="24"/>
          <w:lang w:val="en-US" w:eastAsia="zh-CN"/>
        </w:rPr>
        <w:t xml:space="preserve"> platform (gardentags.com). </w:t>
      </w:r>
      <w:r w:rsidR="009A08E3">
        <w:rPr>
          <w:rFonts w:eastAsiaTheme="minorEastAsia" w:cs="Times New Roman"/>
          <w:szCs w:val="24"/>
          <w:lang w:val="en-US" w:eastAsia="zh-CN"/>
        </w:rPr>
        <w:t>T</w:t>
      </w:r>
      <w:r w:rsidR="00570B2B" w:rsidRPr="005F2A26">
        <w:rPr>
          <w:rFonts w:eastAsiaTheme="minorEastAsia" w:cs="Times New Roman"/>
          <w:szCs w:val="24"/>
          <w:lang w:val="en-US" w:eastAsia="zh-CN"/>
        </w:rPr>
        <w:t>he platform</w:t>
      </w:r>
      <w:r w:rsidR="009A08E3">
        <w:rPr>
          <w:rFonts w:eastAsiaTheme="minorEastAsia" w:cs="Times New Roman"/>
          <w:szCs w:val="24"/>
          <w:lang w:val="en-US" w:eastAsia="zh-CN"/>
        </w:rPr>
        <w:t xml:space="preserve"> </w:t>
      </w:r>
      <w:r w:rsidR="005E7457">
        <w:rPr>
          <w:rFonts w:eastAsiaTheme="minorEastAsia" w:cs="Times New Roman"/>
          <w:szCs w:val="24"/>
          <w:lang w:val="en-US" w:eastAsia="zh-CN"/>
        </w:rPr>
        <w:t>offers</w:t>
      </w:r>
      <w:r w:rsidR="004664FE" w:rsidRPr="005F2A26">
        <w:rPr>
          <w:rFonts w:eastAsiaTheme="minorEastAsia" w:cs="Times New Roman"/>
          <w:szCs w:val="24"/>
          <w:lang w:val="en-US" w:eastAsia="zh-CN"/>
        </w:rPr>
        <w:t xml:space="preserve"> “free plant advice, inspiration and tasks”</w:t>
      </w:r>
      <w:r w:rsidR="00827695" w:rsidRPr="005F2A26">
        <w:rPr>
          <w:rFonts w:eastAsiaTheme="minorEastAsia" w:cs="Times New Roman"/>
          <w:szCs w:val="24"/>
          <w:lang w:val="en-US" w:eastAsia="zh-CN"/>
        </w:rPr>
        <w:t xml:space="preserve"> from experienced gardener</w:t>
      </w:r>
      <w:r w:rsidR="00D81F9D" w:rsidRPr="005F2A26">
        <w:rPr>
          <w:rFonts w:eastAsiaTheme="minorEastAsia" w:cs="Times New Roman"/>
          <w:szCs w:val="24"/>
          <w:lang w:val="en-US" w:eastAsia="zh-CN"/>
        </w:rPr>
        <w:t>s</w:t>
      </w:r>
      <w:r w:rsidR="000372B0" w:rsidRPr="005F2A26">
        <w:rPr>
          <w:rFonts w:eastAsiaTheme="minorEastAsia" w:cs="Times New Roman"/>
          <w:szCs w:val="24"/>
          <w:lang w:val="en-US" w:eastAsia="zh-CN"/>
        </w:rPr>
        <w:t>.</w:t>
      </w:r>
      <w:r w:rsidR="004664FE" w:rsidRPr="005F2A26">
        <w:rPr>
          <w:rFonts w:eastAsiaTheme="minorEastAsia" w:cs="Times New Roman"/>
          <w:szCs w:val="24"/>
          <w:lang w:val="en-US" w:eastAsia="zh-CN"/>
        </w:rPr>
        <w:t xml:space="preserve"> </w:t>
      </w:r>
      <w:r w:rsidR="00E01546" w:rsidRPr="005F2A26">
        <w:rPr>
          <w:rFonts w:eastAsiaTheme="minorEastAsia" w:cs="Times New Roman"/>
          <w:szCs w:val="24"/>
          <w:lang w:val="en-US" w:eastAsia="zh-CN"/>
        </w:rPr>
        <w:t xml:space="preserve">The needs that </w:t>
      </w:r>
      <w:r w:rsidR="00570B2B" w:rsidRPr="005F2A26">
        <w:rPr>
          <w:rFonts w:eastAsiaTheme="minorEastAsia" w:cs="Times New Roman"/>
          <w:szCs w:val="24"/>
          <w:lang w:val="en-US" w:eastAsia="zh-CN"/>
        </w:rPr>
        <w:t>initially dr</w:t>
      </w:r>
      <w:r w:rsidR="007143DB">
        <w:rPr>
          <w:rFonts w:eastAsiaTheme="minorEastAsia" w:cs="Times New Roman"/>
          <w:szCs w:val="24"/>
          <w:lang w:val="en-US" w:eastAsia="zh-CN"/>
        </w:rPr>
        <w:t>a</w:t>
      </w:r>
      <w:r w:rsidR="00570B2B" w:rsidRPr="005F2A26">
        <w:rPr>
          <w:rFonts w:eastAsiaTheme="minorEastAsia" w:cs="Times New Roman"/>
          <w:szCs w:val="24"/>
          <w:lang w:val="en-US" w:eastAsia="zh-CN"/>
        </w:rPr>
        <w:t xml:space="preserve">w her to the platform </w:t>
      </w:r>
      <w:r w:rsidR="00A60BC8">
        <w:rPr>
          <w:rFonts w:eastAsiaTheme="minorEastAsia" w:cs="Times New Roman"/>
          <w:szCs w:val="24"/>
          <w:lang w:val="en-US" w:eastAsia="zh-CN"/>
        </w:rPr>
        <w:t>are</w:t>
      </w:r>
      <w:r w:rsidR="00484D72" w:rsidRPr="005F2A26">
        <w:rPr>
          <w:rFonts w:eastAsiaTheme="minorEastAsia" w:cs="Times New Roman"/>
          <w:szCs w:val="24"/>
          <w:lang w:val="en-US" w:eastAsia="zh-CN"/>
        </w:rPr>
        <w:t xml:space="preserve"> </w:t>
      </w:r>
      <w:r w:rsidR="00E01546" w:rsidRPr="005F2A26">
        <w:rPr>
          <w:rFonts w:eastAsiaTheme="minorEastAsia" w:cs="Times New Roman"/>
          <w:szCs w:val="24"/>
          <w:lang w:val="en-US" w:eastAsia="zh-CN"/>
        </w:rPr>
        <w:t>her self-identity as a keen but novice gardener</w:t>
      </w:r>
      <w:r w:rsidR="00A60BC8">
        <w:rPr>
          <w:rFonts w:eastAsiaTheme="minorEastAsia" w:cs="Times New Roman"/>
          <w:szCs w:val="24"/>
          <w:lang w:val="en-US" w:eastAsia="zh-CN"/>
        </w:rPr>
        <w:t>,</w:t>
      </w:r>
      <w:r w:rsidR="00EB463E">
        <w:rPr>
          <w:rFonts w:eastAsiaTheme="minorEastAsia" w:cs="Times New Roman"/>
          <w:szCs w:val="24"/>
          <w:lang w:val="en-US" w:eastAsia="zh-CN"/>
        </w:rPr>
        <w:t xml:space="preserve"> </w:t>
      </w:r>
      <w:r w:rsidR="00E01546" w:rsidRPr="005F2A26">
        <w:rPr>
          <w:rFonts w:eastAsiaTheme="minorEastAsia" w:cs="Times New Roman"/>
          <w:szCs w:val="24"/>
          <w:lang w:val="en-US" w:eastAsia="zh-CN"/>
        </w:rPr>
        <w:t>wish to take control over learning about gardening</w:t>
      </w:r>
      <w:r w:rsidR="00A60BC8">
        <w:rPr>
          <w:rFonts w:eastAsiaTheme="minorEastAsia" w:cs="Times New Roman"/>
          <w:szCs w:val="24"/>
          <w:lang w:val="en-US" w:eastAsia="zh-CN"/>
        </w:rPr>
        <w:t xml:space="preserve">, </w:t>
      </w:r>
      <w:r w:rsidR="00E01546" w:rsidRPr="005F2A26">
        <w:rPr>
          <w:rFonts w:eastAsiaTheme="minorEastAsia" w:cs="Times New Roman"/>
          <w:szCs w:val="24"/>
          <w:lang w:val="en-US" w:eastAsia="zh-CN"/>
        </w:rPr>
        <w:t xml:space="preserve">and </w:t>
      </w:r>
      <w:r w:rsidR="00A60BC8">
        <w:rPr>
          <w:rFonts w:eastAsiaTheme="minorEastAsia" w:cs="Times New Roman"/>
          <w:szCs w:val="24"/>
          <w:lang w:val="en-US" w:eastAsia="zh-CN"/>
        </w:rPr>
        <w:t>need for</w:t>
      </w:r>
      <w:r w:rsidR="00E01546" w:rsidRPr="005F2A26">
        <w:rPr>
          <w:rFonts w:eastAsiaTheme="minorEastAsia" w:cs="Times New Roman"/>
          <w:szCs w:val="24"/>
          <w:lang w:val="en-US" w:eastAsia="zh-CN"/>
        </w:rPr>
        <w:t xml:space="preserve"> a home for this </w:t>
      </w:r>
      <w:r w:rsidR="00A60BC8">
        <w:rPr>
          <w:rFonts w:eastAsiaTheme="minorEastAsia" w:cs="Times New Roman"/>
          <w:szCs w:val="24"/>
          <w:lang w:val="en-US" w:eastAsia="zh-CN"/>
        </w:rPr>
        <w:t>learning</w:t>
      </w:r>
      <w:r w:rsidR="00612536" w:rsidRPr="005F2A26">
        <w:rPr>
          <w:rFonts w:eastAsiaTheme="minorEastAsia" w:cs="Times New Roman"/>
          <w:szCs w:val="24"/>
          <w:lang w:val="en-US" w:eastAsia="zh-CN"/>
        </w:rPr>
        <w:t>.</w:t>
      </w:r>
      <w:r w:rsidR="00E01546" w:rsidRPr="005F2A26">
        <w:rPr>
          <w:rFonts w:eastAsiaTheme="minorEastAsia" w:cs="Times New Roman"/>
          <w:szCs w:val="24"/>
          <w:lang w:val="en-US" w:eastAsia="zh-CN"/>
        </w:rPr>
        <w:t xml:space="preserve"> In short, she signs up for the site </w:t>
      </w:r>
      <w:r w:rsidR="003A691B">
        <w:rPr>
          <w:rFonts w:eastAsiaTheme="minorEastAsia" w:cs="Times New Roman"/>
          <w:szCs w:val="24"/>
          <w:lang w:val="en-US" w:eastAsia="zh-CN"/>
        </w:rPr>
        <w:t>due to the strong</w:t>
      </w:r>
      <w:r w:rsidR="00612536" w:rsidRPr="005F2A26">
        <w:rPr>
          <w:rFonts w:eastAsiaTheme="minorEastAsia" w:cs="Times New Roman"/>
          <w:szCs w:val="24"/>
          <w:lang w:val="en-US" w:eastAsia="zh-CN"/>
        </w:rPr>
        <w:t xml:space="preserve"> correlation between her</w:t>
      </w:r>
      <w:r w:rsidR="00D1350E" w:rsidRPr="005F2A26">
        <w:rPr>
          <w:rFonts w:eastAsiaTheme="minorEastAsia" w:cs="Times New Roman"/>
          <w:szCs w:val="24"/>
          <w:lang w:val="en-US" w:eastAsia="zh-CN"/>
        </w:rPr>
        <w:t xml:space="preserve"> needs</w:t>
      </w:r>
      <w:r w:rsidR="00612536" w:rsidRPr="005F2A26">
        <w:rPr>
          <w:rFonts w:eastAsiaTheme="minorEastAsia" w:cs="Times New Roman"/>
          <w:szCs w:val="24"/>
          <w:lang w:val="en-US" w:eastAsia="zh-CN"/>
        </w:rPr>
        <w:t xml:space="preserve"> and</w:t>
      </w:r>
      <w:r w:rsidR="00E01546" w:rsidRPr="005F2A26">
        <w:rPr>
          <w:rFonts w:eastAsiaTheme="minorEastAsia" w:cs="Times New Roman"/>
          <w:szCs w:val="24"/>
          <w:lang w:val="en-US" w:eastAsia="zh-CN"/>
        </w:rPr>
        <w:t xml:space="preserve"> the site</w:t>
      </w:r>
      <w:r w:rsidR="003A691B">
        <w:rPr>
          <w:rFonts w:eastAsiaTheme="minorEastAsia" w:cs="Times New Roman"/>
          <w:szCs w:val="24"/>
          <w:lang w:val="en-US" w:eastAsia="zh-CN"/>
        </w:rPr>
        <w:t>’s</w:t>
      </w:r>
      <w:r w:rsidR="00E01546" w:rsidRPr="005F2A26">
        <w:rPr>
          <w:rFonts w:eastAsiaTheme="minorEastAsia" w:cs="Times New Roman"/>
          <w:szCs w:val="24"/>
          <w:lang w:val="en-US" w:eastAsia="zh-CN"/>
        </w:rPr>
        <w:t xml:space="preserve"> </w:t>
      </w:r>
      <w:r w:rsidR="00612536" w:rsidRPr="005F2A26">
        <w:rPr>
          <w:rFonts w:eastAsiaTheme="minorEastAsia" w:cs="Times New Roman"/>
          <w:szCs w:val="24"/>
          <w:lang w:val="en-US" w:eastAsia="zh-CN"/>
        </w:rPr>
        <w:t>promise.</w:t>
      </w:r>
      <w:r w:rsidR="00E01546" w:rsidRPr="005F2A26">
        <w:rPr>
          <w:rFonts w:eastAsiaTheme="minorEastAsia" w:cs="Times New Roman"/>
          <w:szCs w:val="24"/>
          <w:lang w:val="en-US" w:eastAsia="zh-CN"/>
        </w:rPr>
        <w:t xml:space="preserve"> Through her early interactions with the platform, she grows to appreciate its functionalit</w:t>
      </w:r>
      <w:r w:rsidR="00C50E1D" w:rsidRPr="005F2A26">
        <w:rPr>
          <w:rFonts w:eastAsiaTheme="minorEastAsia" w:cs="Times New Roman"/>
          <w:szCs w:val="24"/>
          <w:lang w:val="en-US" w:eastAsia="zh-CN"/>
        </w:rPr>
        <w:t>y</w:t>
      </w:r>
      <w:r w:rsidR="00C71224" w:rsidRPr="005F2A26">
        <w:rPr>
          <w:rFonts w:eastAsiaTheme="minorEastAsia" w:cs="Times New Roman"/>
          <w:szCs w:val="24"/>
          <w:lang w:val="en-US" w:eastAsia="zh-CN"/>
        </w:rPr>
        <w:t xml:space="preserve"> an</w:t>
      </w:r>
      <w:r w:rsidR="002B7844" w:rsidRPr="005F2A26">
        <w:rPr>
          <w:rFonts w:eastAsiaTheme="minorEastAsia" w:cs="Times New Roman"/>
          <w:szCs w:val="24"/>
          <w:lang w:val="en-US" w:eastAsia="zh-CN"/>
        </w:rPr>
        <w:t>d develops</w:t>
      </w:r>
      <w:r w:rsidR="00C71224" w:rsidRPr="005F2A26">
        <w:rPr>
          <w:rFonts w:eastAsiaTheme="minorEastAsia" w:cs="Times New Roman"/>
          <w:szCs w:val="24"/>
          <w:lang w:val="en-US" w:eastAsia="zh-CN"/>
        </w:rPr>
        <w:t xml:space="preserve"> iPO</w:t>
      </w:r>
      <w:r w:rsidR="002B7844" w:rsidRPr="005F2A26">
        <w:rPr>
          <w:rFonts w:eastAsiaTheme="minorEastAsia" w:cs="Times New Roman"/>
          <w:szCs w:val="24"/>
          <w:lang w:val="en-US" w:eastAsia="zh-CN"/>
        </w:rPr>
        <w:t xml:space="preserve"> over some targets</w:t>
      </w:r>
      <w:r w:rsidR="00E01546" w:rsidRPr="005F2A26">
        <w:rPr>
          <w:rFonts w:eastAsiaTheme="minorEastAsia" w:cs="Times New Roman"/>
          <w:szCs w:val="24"/>
          <w:lang w:val="en-US" w:eastAsia="zh-CN"/>
        </w:rPr>
        <w:t xml:space="preserve"> </w:t>
      </w:r>
      <w:r w:rsidR="001B6D54">
        <w:rPr>
          <w:rFonts w:eastAsiaTheme="minorEastAsia" w:cs="Times New Roman"/>
          <w:szCs w:val="24"/>
          <w:lang w:val="en-US" w:eastAsia="zh-CN"/>
        </w:rPr>
        <w:t xml:space="preserve">(e.g., </w:t>
      </w:r>
      <w:r w:rsidR="00E01546" w:rsidRPr="005F2A26">
        <w:rPr>
          <w:rFonts w:eastAsiaTheme="minorEastAsia" w:cs="Times New Roman"/>
          <w:szCs w:val="24"/>
          <w:lang w:val="en-US" w:eastAsia="zh-CN"/>
        </w:rPr>
        <w:t xml:space="preserve">“I can personalize MY profile,” “This site </w:t>
      </w:r>
      <w:r w:rsidR="00641D3D">
        <w:rPr>
          <w:rFonts w:eastAsiaTheme="minorEastAsia" w:cs="Times New Roman"/>
          <w:szCs w:val="24"/>
          <w:lang w:val="en-US" w:eastAsia="zh-CN"/>
        </w:rPr>
        <w:t>feeds</w:t>
      </w:r>
      <w:r w:rsidR="00E01546" w:rsidRPr="005F2A26">
        <w:rPr>
          <w:rFonts w:eastAsiaTheme="minorEastAsia" w:cs="Times New Roman"/>
          <w:szCs w:val="24"/>
          <w:lang w:val="en-US" w:eastAsia="zh-CN"/>
        </w:rPr>
        <w:t xml:space="preserve"> MY passion </w:t>
      </w:r>
      <w:r w:rsidR="00641D3D">
        <w:rPr>
          <w:rFonts w:eastAsiaTheme="minorEastAsia" w:cs="Times New Roman"/>
          <w:szCs w:val="24"/>
          <w:lang w:val="en-US" w:eastAsia="zh-CN"/>
        </w:rPr>
        <w:t>for</w:t>
      </w:r>
      <w:r w:rsidR="00E01546" w:rsidRPr="005F2A26">
        <w:rPr>
          <w:rFonts w:eastAsiaTheme="minorEastAsia" w:cs="Times New Roman"/>
          <w:szCs w:val="24"/>
          <w:lang w:val="en-US" w:eastAsia="zh-CN"/>
        </w:rPr>
        <w:t xml:space="preserve"> gardening,” “</w:t>
      </w:r>
      <w:proofErr w:type="spellStart"/>
      <w:r w:rsidR="00696577" w:rsidRPr="005F2A26">
        <w:rPr>
          <w:rFonts w:eastAsiaTheme="minorEastAsia" w:cs="Times New Roman"/>
          <w:szCs w:val="24"/>
          <w:lang w:val="en-US" w:eastAsia="zh-CN"/>
        </w:rPr>
        <w:t>Garden</w:t>
      </w:r>
      <w:r w:rsidR="00ED1E42" w:rsidRPr="005F2A26">
        <w:rPr>
          <w:rFonts w:eastAsiaTheme="minorEastAsia" w:cs="Times New Roman"/>
          <w:szCs w:val="24"/>
          <w:lang w:val="en-US" w:eastAsia="zh-CN"/>
        </w:rPr>
        <w:t>T</w:t>
      </w:r>
      <w:r w:rsidR="00696577" w:rsidRPr="005F2A26">
        <w:rPr>
          <w:rFonts w:eastAsiaTheme="minorEastAsia" w:cs="Times New Roman"/>
          <w:szCs w:val="24"/>
          <w:lang w:val="en-US" w:eastAsia="zh-CN"/>
        </w:rPr>
        <w:t>ags</w:t>
      </w:r>
      <w:proofErr w:type="spellEnd"/>
      <w:r w:rsidR="00696577" w:rsidRPr="005F2A26">
        <w:rPr>
          <w:rFonts w:eastAsiaTheme="minorEastAsia" w:cs="Times New Roman"/>
          <w:szCs w:val="24"/>
          <w:lang w:val="en-US" w:eastAsia="zh-CN"/>
        </w:rPr>
        <w:t xml:space="preserve"> is really helping ME </w:t>
      </w:r>
      <w:r w:rsidR="00E01546" w:rsidRPr="005F2A26">
        <w:rPr>
          <w:rFonts w:eastAsiaTheme="minorEastAsia" w:cs="Times New Roman"/>
          <w:szCs w:val="24"/>
          <w:lang w:val="en-US" w:eastAsia="zh-CN"/>
        </w:rPr>
        <w:t>develop MY gardening skills”</w:t>
      </w:r>
      <w:r w:rsidR="001B6D54">
        <w:rPr>
          <w:rFonts w:eastAsiaTheme="minorEastAsia" w:cs="Times New Roman"/>
          <w:szCs w:val="24"/>
          <w:lang w:val="en-US" w:eastAsia="zh-CN"/>
        </w:rPr>
        <w:t>).</w:t>
      </w:r>
      <w:r w:rsidR="00E01546" w:rsidRPr="005F2A26">
        <w:rPr>
          <w:rFonts w:eastAsiaTheme="minorEastAsia" w:cs="Times New Roman"/>
          <w:szCs w:val="24"/>
          <w:lang w:val="en-US" w:eastAsia="zh-CN"/>
        </w:rPr>
        <w:t xml:space="preserve"> </w:t>
      </w:r>
      <w:r w:rsidR="00C36C72">
        <w:rPr>
          <w:rFonts w:eastAsiaTheme="minorEastAsia" w:cs="Times New Roman"/>
          <w:color w:val="FF0000"/>
          <w:szCs w:val="24"/>
          <w:lang w:val="en-US" w:eastAsia="zh-CN"/>
        </w:rPr>
        <w:t>Her po</w:t>
      </w:r>
      <w:r w:rsidR="00C71224" w:rsidRPr="00FA7AD2">
        <w:rPr>
          <w:rFonts w:eastAsiaTheme="minorEastAsia" w:cs="Times New Roman"/>
          <w:color w:val="FF0000"/>
          <w:szCs w:val="24"/>
          <w:lang w:val="en-US" w:eastAsia="zh-CN"/>
        </w:rPr>
        <w:t xml:space="preserve">sitive </w:t>
      </w:r>
      <w:r w:rsidR="004A7F45" w:rsidRPr="00FA7AD2">
        <w:rPr>
          <w:rFonts w:eastAsiaTheme="minorEastAsia" w:cs="Times New Roman"/>
          <w:color w:val="FF0000"/>
          <w:szCs w:val="24"/>
          <w:lang w:val="en-US" w:eastAsia="zh-CN"/>
        </w:rPr>
        <w:t>engagement</w:t>
      </w:r>
      <w:r w:rsidR="00C71224" w:rsidRPr="00FA7AD2">
        <w:rPr>
          <w:rFonts w:eastAsiaTheme="minorEastAsia" w:cs="Times New Roman"/>
          <w:color w:val="FF0000"/>
          <w:szCs w:val="24"/>
          <w:lang w:val="en-US" w:eastAsia="zh-CN"/>
        </w:rPr>
        <w:t xml:space="preserve"> disposition and activities</w:t>
      </w:r>
      <w:r w:rsidR="004A7F45" w:rsidRPr="00FA7AD2">
        <w:rPr>
          <w:rFonts w:eastAsiaTheme="minorEastAsia" w:cs="Times New Roman"/>
          <w:color w:val="FF0000"/>
          <w:szCs w:val="24"/>
          <w:lang w:val="en-US" w:eastAsia="zh-CN"/>
        </w:rPr>
        <w:t xml:space="preserve"> within the dyad of her and the platform</w:t>
      </w:r>
      <w:r w:rsidR="005D6B64" w:rsidRPr="00FA7AD2">
        <w:rPr>
          <w:rFonts w:eastAsiaTheme="minorEastAsia" w:cs="Times New Roman"/>
          <w:color w:val="FF0000"/>
          <w:szCs w:val="24"/>
          <w:lang w:val="en-US" w:eastAsia="zh-CN"/>
        </w:rPr>
        <w:t xml:space="preserve"> manifest</w:t>
      </w:r>
      <w:r w:rsidR="009C5A0B" w:rsidRPr="00FA7AD2">
        <w:rPr>
          <w:rFonts w:eastAsiaTheme="minorEastAsia" w:cs="Times New Roman"/>
          <w:color w:val="FF0000"/>
          <w:szCs w:val="24"/>
          <w:lang w:val="en-US" w:eastAsia="zh-CN"/>
        </w:rPr>
        <w:t xml:space="preserve">. </w:t>
      </w:r>
      <w:r w:rsidR="00AD3FDF">
        <w:rPr>
          <w:rFonts w:eastAsiaTheme="minorEastAsia" w:cs="Times New Roman"/>
          <w:color w:val="FF0000"/>
          <w:szCs w:val="24"/>
          <w:lang w:val="en-US" w:eastAsia="zh-CN"/>
        </w:rPr>
        <w:t>He</w:t>
      </w:r>
      <w:r w:rsidR="008026D8" w:rsidRPr="00FA7AD2">
        <w:rPr>
          <w:rFonts w:eastAsiaTheme="minorEastAsia" w:cs="Times New Roman"/>
          <w:color w:val="FF0000"/>
          <w:szCs w:val="24"/>
          <w:lang w:val="en-US" w:eastAsia="zh-CN"/>
        </w:rPr>
        <w:t xml:space="preserve">r engagement </w:t>
      </w:r>
      <w:r w:rsidR="00AD3FDF">
        <w:rPr>
          <w:rFonts w:eastAsiaTheme="minorEastAsia" w:cs="Times New Roman"/>
          <w:color w:val="FF0000"/>
          <w:szCs w:val="24"/>
          <w:lang w:val="en-US" w:eastAsia="zh-CN"/>
        </w:rPr>
        <w:t xml:space="preserve">continues to </w:t>
      </w:r>
      <w:r w:rsidR="008026D8" w:rsidRPr="00FA7AD2">
        <w:rPr>
          <w:rFonts w:eastAsiaTheme="minorEastAsia" w:cs="Times New Roman"/>
          <w:color w:val="FF0000"/>
          <w:szCs w:val="24"/>
          <w:lang w:val="en-US" w:eastAsia="zh-CN"/>
        </w:rPr>
        <w:t xml:space="preserve">grow from </w:t>
      </w:r>
      <w:r w:rsidR="00EB2FF3">
        <w:rPr>
          <w:rFonts w:eastAsiaTheme="minorEastAsia" w:cs="Times New Roman"/>
          <w:color w:val="FF0000"/>
          <w:szCs w:val="24"/>
          <w:lang w:val="en-US" w:eastAsia="zh-CN"/>
        </w:rPr>
        <w:t xml:space="preserve">just </w:t>
      </w:r>
      <w:r w:rsidR="00E01546" w:rsidRPr="00FA7AD2">
        <w:rPr>
          <w:rFonts w:eastAsiaTheme="minorEastAsia" w:cs="Times New Roman"/>
          <w:color w:val="FF0000"/>
          <w:szCs w:val="24"/>
          <w:lang w:val="en-US" w:eastAsia="zh-CN"/>
        </w:rPr>
        <w:t>read</w:t>
      </w:r>
      <w:r w:rsidR="008026D8" w:rsidRPr="00FA7AD2">
        <w:rPr>
          <w:rFonts w:eastAsiaTheme="minorEastAsia" w:cs="Times New Roman"/>
          <w:color w:val="FF0000"/>
          <w:szCs w:val="24"/>
          <w:lang w:val="en-US" w:eastAsia="zh-CN"/>
        </w:rPr>
        <w:t>ing</w:t>
      </w:r>
      <w:r w:rsidR="00E01546" w:rsidRPr="00FA7AD2">
        <w:rPr>
          <w:rFonts w:eastAsiaTheme="minorEastAsia" w:cs="Times New Roman"/>
          <w:color w:val="FF0000"/>
          <w:szCs w:val="24"/>
          <w:lang w:val="en-US" w:eastAsia="zh-CN"/>
        </w:rPr>
        <w:t xml:space="preserve"> </w:t>
      </w:r>
      <w:r w:rsidR="00AD3FDF">
        <w:rPr>
          <w:rFonts w:eastAsiaTheme="minorEastAsia" w:cs="Times New Roman"/>
          <w:color w:val="FF0000"/>
          <w:szCs w:val="24"/>
          <w:lang w:val="en-US" w:eastAsia="zh-CN"/>
        </w:rPr>
        <w:t xml:space="preserve">and ‘liking’ </w:t>
      </w:r>
      <w:r w:rsidR="00E01546" w:rsidRPr="00FA7AD2">
        <w:rPr>
          <w:rFonts w:eastAsiaTheme="minorEastAsia" w:cs="Times New Roman"/>
          <w:color w:val="FF0000"/>
          <w:szCs w:val="24"/>
          <w:lang w:val="en-US" w:eastAsia="zh-CN"/>
        </w:rPr>
        <w:t>others’ posts</w:t>
      </w:r>
      <w:r w:rsidR="00AD3FDF">
        <w:rPr>
          <w:rFonts w:eastAsiaTheme="minorEastAsia" w:cs="Times New Roman"/>
          <w:color w:val="FF0000"/>
          <w:szCs w:val="24"/>
          <w:lang w:val="en-US" w:eastAsia="zh-CN"/>
        </w:rPr>
        <w:t>,</w:t>
      </w:r>
      <w:r w:rsidR="00E01546" w:rsidRPr="00FA7AD2">
        <w:rPr>
          <w:rFonts w:eastAsiaTheme="minorEastAsia" w:cs="Times New Roman"/>
          <w:color w:val="FF0000"/>
          <w:szCs w:val="24"/>
          <w:lang w:val="en-US" w:eastAsia="zh-CN"/>
        </w:rPr>
        <w:t xml:space="preserve"> </w:t>
      </w:r>
      <w:r w:rsidR="00A653F0" w:rsidRPr="00FA7AD2">
        <w:rPr>
          <w:rFonts w:eastAsiaTheme="minorEastAsia" w:cs="Times New Roman"/>
          <w:color w:val="FF0000"/>
          <w:szCs w:val="24"/>
          <w:lang w:val="en-US" w:eastAsia="zh-CN"/>
        </w:rPr>
        <w:t xml:space="preserve">to </w:t>
      </w:r>
      <w:r w:rsidR="00AE550C" w:rsidRPr="00FA7AD2">
        <w:rPr>
          <w:rFonts w:eastAsiaTheme="minorEastAsia" w:cs="Times New Roman"/>
          <w:color w:val="FF0000"/>
          <w:szCs w:val="24"/>
          <w:lang w:val="en-US" w:eastAsia="zh-CN"/>
        </w:rPr>
        <w:t>starting</w:t>
      </w:r>
      <w:r w:rsidR="00AD3FDF">
        <w:rPr>
          <w:rFonts w:eastAsiaTheme="minorEastAsia" w:cs="Times New Roman"/>
          <w:color w:val="FF0000"/>
          <w:szCs w:val="24"/>
          <w:lang w:val="en-US" w:eastAsia="zh-CN"/>
        </w:rPr>
        <w:t xml:space="preserve"> </w:t>
      </w:r>
      <w:r w:rsidR="00AE550C" w:rsidRPr="00FA7AD2">
        <w:rPr>
          <w:rFonts w:eastAsiaTheme="minorEastAsia" w:cs="Times New Roman"/>
          <w:color w:val="FF0000"/>
          <w:szCs w:val="24"/>
          <w:lang w:val="en-US" w:eastAsia="zh-CN"/>
        </w:rPr>
        <w:t>threads</w:t>
      </w:r>
      <w:r w:rsidR="001446E2" w:rsidRPr="00FA7AD2">
        <w:rPr>
          <w:rFonts w:eastAsiaTheme="minorEastAsia" w:cs="Times New Roman"/>
          <w:color w:val="FF0000"/>
          <w:szCs w:val="24"/>
          <w:lang w:val="en-US" w:eastAsia="zh-CN"/>
        </w:rPr>
        <w:t xml:space="preserve"> and </w:t>
      </w:r>
      <w:r w:rsidR="001C3AE6">
        <w:rPr>
          <w:rFonts w:eastAsiaTheme="minorEastAsia" w:cs="Times New Roman"/>
          <w:color w:val="FF0000"/>
          <w:szCs w:val="24"/>
          <w:lang w:val="en-US" w:eastAsia="zh-CN"/>
        </w:rPr>
        <w:t xml:space="preserve">actively </w:t>
      </w:r>
      <w:r w:rsidR="00E01546" w:rsidRPr="00FA7AD2">
        <w:rPr>
          <w:rFonts w:eastAsiaTheme="minorEastAsia" w:cs="Times New Roman"/>
          <w:color w:val="FF0000"/>
          <w:szCs w:val="24"/>
          <w:lang w:val="en-US" w:eastAsia="zh-CN"/>
        </w:rPr>
        <w:t>post</w:t>
      </w:r>
      <w:r w:rsidR="00A653F0" w:rsidRPr="00FA7AD2">
        <w:rPr>
          <w:rFonts w:eastAsiaTheme="minorEastAsia" w:cs="Times New Roman"/>
          <w:color w:val="FF0000"/>
          <w:szCs w:val="24"/>
          <w:lang w:val="en-US" w:eastAsia="zh-CN"/>
        </w:rPr>
        <w:t>ing</w:t>
      </w:r>
      <w:r w:rsidR="00E01546" w:rsidRPr="00FA7AD2">
        <w:rPr>
          <w:rFonts w:eastAsiaTheme="minorEastAsia" w:cs="Times New Roman"/>
          <w:color w:val="FF0000"/>
          <w:szCs w:val="24"/>
          <w:lang w:val="en-US" w:eastAsia="zh-CN"/>
        </w:rPr>
        <w:t xml:space="preserve"> photos and questions</w:t>
      </w:r>
      <w:r w:rsidR="001446E2" w:rsidRPr="00FA7AD2">
        <w:rPr>
          <w:rFonts w:eastAsiaTheme="minorEastAsia" w:cs="Times New Roman"/>
          <w:color w:val="FF0000"/>
          <w:szCs w:val="24"/>
          <w:lang w:val="en-US" w:eastAsia="zh-CN"/>
        </w:rPr>
        <w:t xml:space="preserve">. </w:t>
      </w:r>
      <w:r w:rsidR="00DF795C">
        <w:rPr>
          <w:rFonts w:eastAsiaTheme="minorEastAsia" w:cs="Times New Roman"/>
          <w:color w:val="FF0000"/>
          <w:szCs w:val="24"/>
          <w:lang w:val="en-US" w:eastAsia="zh-CN"/>
        </w:rPr>
        <w:t>As her level of engagement grows</w:t>
      </w:r>
      <w:r w:rsidR="0060138C" w:rsidRPr="00FA7AD2">
        <w:rPr>
          <w:rFonts w:eastAsiaTheme="minorEastAsia" w:cs="Times New Roman"/>
          <w:color w:val="FF0000"/>
          <w:szCs w:val="24"/>
          <w:lang w:val="en-US" w:eastAsia="zh-CN"/>
        </w:rPr>
        <w:t>, she</w:t>
      </w:r>
      <w:r w:rsidR="00DF795C">
        <w:rPr>
          <w:rFonts w:eastAsiaTheme="minorEastAsia" w:cs="Times New Roman"/>
          <w:color w:val="FF0000"/>
          <w:szCs w:val="24"/>
          <w:lang w:val="en-US" w:eastAsia="zh-CN"/>
        </w:rPr>
        <w:t xml:space="preserve"> </w:t>
      </w:r>
      <w:r w:rsidR="00E01546" w:rsidRPr="00FA7AD2">
        <w:rPr>
          <w:rFonts w:eastAsiaTheme="minorEastAsia" w:cs="Times New Roman"/>
          <w:color w:val="FF0000"/>
          <w:szCs w:val="24"/>
          <w:lang w:val="en-US" w:eastAsia="zh-CN"/>
        </w:rPr>
        <w:t>experienc</w:t>
      </w:r>
      <w:r w:rsidR="0060138C" w:rsidRPr="00FA7AD2">
        <w:rPr>
          <w:rFonts w:eastAsiaTheme="minorEastAsia" w:cs="Times New Roman"/>
          <w:color w:val="FF0000"/>
          <w:szCs w:val="24"/>
          <w:lang w:val="en-US" w:eastAsia="zh-CN"/>
        </w:rPr>
        <w:t>es</w:t>
      </w:r>
      <w:r w:rsidR="00E01546" w:rsidRPr="00FA7AD2">
        <w:rPr>
          <w:rFonts w:eastAsiaTheme="minorEastAsia" w:cs="Times New Roman"/>
          <w:color w:val="FF0000"/>
          <w:szCs w:val="24"/>
          <w:lang w:val="en-US" w:eastAsia="zh-CN"/>
        </w:rPr>
        <w:t xml:space="preserve"> brand love </w:t>
      </w:r>
      <w:r w:rsidR="00CC5D87" w:rsidRPr="00FA7AD2">
        <w:rPr>
          <w:rFonts w:eastAsiaTheme="minorEastAsia" w:cs="Times New Roman"/>
          <w:color w:val="FF0000"/>
          <w:szCs w:val="24"/>
          <w:lang w:val="en-US" w:eastAsia="zh-CN"/>
        </w:rPr>
        <w:t>(</w:t>
      </w:r>
      <w:r w:rsidR="00E01546" w:rsidRPr="00FA7AD2">
        <w:rPr>
          <w:rFonts w:eastAsiaTheme="minorEastAsia" w:cs="Times New Roman"/>
          <w:color w:val="FF0000"/>
          <w:szCs w:val="24"/>
          <w:lang w:val="en-US" w:eastAsia="zh-CN"/>
        </w:rPr>
        <w:t xml:space="preserve">“I love </w:t>
      </w:r>
      <w:proofErr w:type="spellStart"/>
      <w:r w:rsidR="00E01546" w:rsidRPr="00FA7AD2">
        <w:rPr>
          <w:rFonts w:eastAsiaTheme="minorEastAsia" w:cs="Times New Roman"/>
          <w:color w:val="FF0000"/>
          <w:szCs w:val="24"/>
          <w:lang w:val="en-US" w:eastAsia="zh-CN"/>
        </w:rPr>
        <w:t>Garden</w:t>
      </w:r>
      <w:r w:rsidR="00ED1E42" w:rsidRPr="00FA7AD2">
        <w:rPr>
          <w:rFonts w:eastAsiaTheme="minorEastAsia" w:cs="Times New Roman"/>
          <w:color w:val="FF0000"/>
          <w:szCs w:val="24"/>
          <w:lang w:val="en-US" w:eastAsia="zh-CN"/>
        </w:rPr>
        <w:t>T</w:t>
      </w:r>
      <w:r w:rsidR="00E01546" w:rsidRPr="00FA7AD2">
        <w:rPr>
          <w:rFonts w:eastAsiaTheme="minorEastAsia" w:cs="Times New Roman"/>
          <w:color w:val="FF0000"/>
          <w:szCs w:val="24"/>
          <w:lang w:val="en-US" w:eastAsia="zh-CN"/>
        </w:rPr>
        <w:t>ags</w:t>
      </w:r>
      <w:proofErr w:type="spellEnd"/>
      <w:r w:rsidR="00E01546" w:rsidRPr="00FA7AD2">
        <w:rPr>
          <w:rFonts w:eastAsiaTheme="minorEastAsia" w:cs="Times New Roman"/>
          <w:color w:val="FF0000"/>
          <w:szCs w:val="24"/>
          <w:lang w:val="en-US" w:eastAsia="zh-CN"/>
        </w:rPr>
        <w:t>”</w:t>
      </w:r>
      <w:r w:rsidR="00CC5D87" w:rsidRPr="00FA7AD2">
        <w:rPr>
          <w:rFonts w:eastAsiaTheme="minorEastAsia" w:cs="Times New Roman"/>
          <w:color w:val="FF0000"/>
          <w:szCs w:val="24"/>
          <w:lang w:val="en-US" w:eastAsia="zh-CN"/>
        </w:rPr>
        <w:t>)</w:t>
      </w:r>
      <w:r w:rsidR="0037190A" w:rsidRPr="00FA7AD2">
        <w:rPr>
          <w:rFonts w:eastAsiaTheme="minorEastAsia" w:cs="Times New Roman"/>
          <w:color w:val="FF0000"/>
          <w:szCs w:val="24"/>
          <w:lang w:val="en-US" w:eastAsia="zh-CN"/>
        </w:rPr>
        <w:t xml:space="preserve"> </w:t>
      </w:r>
      <w:r w:rsidR="00F77886" w:rsidRPr="00FA7AD2">
        <w:rPr>
          <w:rFonts w:eastAsiaTheme="minorEastAsia" w:cs="Times New Roman"/>
          <w:color w:val="FF0000"/>
          <w:szCs w:val="24"/>
          <w:lang w:val="en-US" w:eastAsia="zh-CN"/>
        </w:rPr>
        <w:t xml:space="preserve">and </w:t>
      </w:r>
      <w:r w:rsidR="0037190A" w:rsidRPr="00FA7AD2">
        <w:rPr>
          <w:rFonts w:eastAsiaTheme="minorEastAsia" w:cs="Times New Roman"/>
          <w:color w:val="FF0000"/>
          <w:szCs w:val="24"/>
          <w:lang w:val="en-US" w:eastAsia="zh-CN"/>
        </w:rPr>
        <w:t>a high degree of</w:t>
      </w:r>
      <w:r w:rsidR="006E63F8" w:rsidRPr="00FA7AD2">
        <w:rPr>
          <w:rFonts w:cs="Times New Roman"/>
          <w:color w:val="FF0000"/>
          <w:szCs w:val="24"/>
          <w:lang w:val="en-US"/>
        </w:rPr>
        <w:t xml:space="preserve"> trust</w:t>
      </w:r>
      <w:r w:rsidR="0037190A" w:rsidRPr="00FA7AD2">
        <w:rPr>
          <w:rFonts w:cs="Times New Roman"/>
          <w:color w:val="FF0000"/>
          <w:szCs w:val="24"/>
          <w:lang w:val="en-US"/>
        </w:rPr>
        <w:t xml:space="preserve"> (“I </w:t>
      </w:r>
      <w:r w:rsidR="00F77886" w:rsidRPr="00FA7AD2">
        <w:rPr>
          <w:rFonts w:cs="Times New Roman"/>
          <w:color w:val="FF0000"/>
          <w:szCs w:val="24"/>
          <w:lang w:val="en-US"/>
        </w:rPr>
        <w:t xml:space="preserve">always </w:t>
      </w:r>
      <w:r w:rsidR="0037190A" w:rsidRPr="00FA7AD2">
        <w:rPr>
          <w:rFonts w:cs="Times New Roman"/>
          <w:color w:val="FF0000"/>
          <w:szCs w:val="24"/>
          <w:lang w:val="en-US"/>
        </w:rPr>
        <w:t>get</w:t>
      </w:r>
      <w:r w:rsidR="00F77886" w:rsidRPr="00FA7AD2">
        <w:rPr>
          <w:rFonts w:cs="Times New Roman"/>
          <w:color w:val="FF0000"/>
          <w:szCs w:val="24"/>
          <w:lang w:val="en-US"/>
        </w:rPr>
        <w:t xml:space="preserve"> a reliable answer to my problems </w:t>
      </w:r>
      <w:r w:rsidR="0037190A" w:rsidRPr="00FA7AD2">
        <w:rPr>
          <w:rFonts w:cs="Times New Roman"/>
          <w:color w:val="FF0000"/>
          <w:szCs w:val="24"/>
          <w:lang w:val="en-US"/>
        </w:rPr>
        <w:t xml:space="preserve">from </w:t>
      </w:r>
      <w:proofErr w:type="spellStart"/>
      <w:r w:rsidR="0037190A" w:rsidRPr="00FA7AD2">
        <w:rPr>
          <w:rFonts w:cs="Times New Roman"/>
          <w:color w:val="FF0000"/>
          <w:szCs w:val="24"/>
          <w:lang w:val="en-US"/>
        </w:rPr>
        <w:t>Garden</w:t>
      </w:r>
      <w:r w:rsidR="00F77886" w:rsidRPr="00FA7AD2">
        <w:rPr>
          <w:rFonts w:cs="Times New Roman"/>
          <w:color w:val="FF0000"/>
          <w:szCs w:val="24"/>
          <w:lang w:val="en-US"/>
        </w:rPr>
        <w:t>T</w:t>
      </w:r>
      <w:r w:rsidR="0037190A" w:rsidRPr="00FA7AD2">
        <w:rPr>
          <w:rFonts w:cs="Times New Roman"/>
          <w:color w:val="FF0000"/>
          <w:szCs w:val="24"/>
          <w:lang w:val="en-US"/>
        </w:rPr>
        <w:t>ags</w:t>
      </w:r>
      <w:proofErr w:type="spellEnd"/>
      <w:r w:rsidR="00F77886" w:rsidRPr="00FA7AD2">
        <w:rPr>
          <w:rFonts w:cs="Times New Roman"/>
          <w:color w:val="FF0000"/>
          <w:szCs w:val="24"/>
          <w:lang w:val="en-US"/>
        </w:rPr>
        <w:t>”</w:t>
      </w:r>
      <w:r w:rsidR="0037190A" w:rsidRPr="00FA7AD2">
        <w:rPr>
          <w:rFonts w:cs="Times New Roman"/>
          <w:color w:val="FF0000"/>
          <w:szCs w:val="24"/>
          <w:lang w:val="en-US"/>
        </w:rPr>
        <w:t>)</w:t>
      </w:r>
      <w:r w:rsidR="004E0DEC">
        <w:rPr>
          <w:rFonts w:cs="Times New Roman"/>
          <w:color w:val="FF0000"/>
          <w:szCs w:val="24"/>
          <w:lang w:val="en-US"/>
        </w:rPr>
        <w:t xml:space="preserve"> towards the brand</w:t>
      </w:r>
      <w:r w:rsidR="006724A2" w:rsidRPr="00FA7AD2">
        <w:rPr>
          <w:rFonts w:eastAsiaTheme="minorEastAsia" w:cs="Times New Roman"/>
          <w:color w:val="FF0000"/>
          <w:szCs w:val="24"/>
          <w:lang w:val="en-US" w:eastAsia="zh-CN"/>
        </w:rPr>
        <w:t>.</w:t>
      </w:r>
      <w:r w:rsidR="00E01546" w:rsidRPr="00FA7AD2">
        <w:rPr>
          <w:rFonts w:eastAsiaTheme="minorEastAsia" w:cs="Times New Roman"/>
          <w:color w:val="FF0000"/>
          <w:szCs w:val="24"/>
          <w:lang w:val="en-US" w:eastAsia="zh-CN"/>
        </w:rPr>
        <w:t xml:space="preserve"> </w:t>
      </w:r>
    </w:p>
    <w:p w14:paraId="77A46EED" w14:textId="22EAEFBB" w:rsidR="0046195E" w:rsidRDefault="00E01546" w:rsidP="0046195E">
      <w:pPr>
        <w:widowControl w:val="0"/>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t xml:space="preserve">As other </w:t>
      </w:r>
      <w:r w:rsidR="00911F48" w:rsidRPr="005F2A26">
        <w:rPr>
          <w:rFonts w:eastAsiaTheme="minorEastAsia" w:cs="Times New Roman"/>
          <w:szCs w:val="24"/>
          <w:lang w:val="en-US" w:eastAsia="zh-CN"/>
        </w:rPr>
        <w:t>users (</w:t>
      </w:r>
      <w:r w:rsidRPr="005F2A26">
        <w:rPr>
          <w:rFonts w:eastAsiaTheme="minorEastAsia" w:cs="Times New Roman"/>
          <w:szCs w:val="24"/>
          <w:lang w:val="en-US" w:eastAsia="zh-CN"/>
        </w:rPr>
        <w:t>gardeners</w:t>
      </w:r>
      <w:r w:rsidR="00911F48" w:rsidRPr="005F2A26">
        <w:rPr>
          <w:rFonts w:eastAsiaTheme="minorEastAsia" w:cs="Times New Roman"/>
          <w:szCs w:val="24"/>
          <w:lang w:val="en-US" w:eastAsia="zh-CN"/>
        </w:rPr>
        <w:t>)</w:t>
      </w:r>
      <w:r w:rsidRPr="005F2A26">
        <w:rPr>
          <w:rFonts w:eastAsiaTheme="minorEastAsia" w:cs="Times New Roman"/>
          <w:szCs w:val="24"/>
          <w:lang w:val="en-US" w:eastAsia="zh-CN"/>
        </w:rPr>
        <w:t xml:space="preserve"> more actively interact with our novice gardener, she </w:t>
      </w:r>
      <w:r w:rsidR="00911F48" w:rsidRPr="005F2A26">
        <w:rPr>
          <w:rFonts w:eastAsiaTheme="minorEastAsia" w:cs="Times New Roman"/>
          <w:szCs w:val="24"/>
          <w:lang w:val="en-US" w:eastAsia="zh-CN"/>
        </w:rPr>
        <w:t xml:space="preserve">becomes aware </w:t>
      </w:r>
      <w:r w:rsidR="004E0DEC">
        <w:rPr>
          <w:rFonts w:eastAsiaTheme="minorEastAsia" w:cs="Times New Roman"/>
          <w:szCs w:val="24"/>
          <w:lang w:val="en-US" w:eastAsia="zh-CN"/>
        </w:rPr>
        <w:t xml:space="preserve">these </w:t>
      </w:r>
      <w:r w:rsidR="009E55DC">
        <w:rPr>
          <w:rFonts w:eastAsiaTheme="minorEastAsia" w:cs="Times New Roman"/>
          <w:szCs w:val="24"/>
          <w:lang w:val="en-US" w:eastAsia="zh-CN"/>
        </w:rPr>
        <w:t>others</w:t>
      </w:r>
      <w:r w:rsidRPr="005F2A26">
        <w:rPr>
          <w:rFonts w:eastAsiaTheme="minorEastAsia" w:cs="Times New Roman"/>
          <w:szCs w:val="24"/>
          <w:lang w:val="en-US" w:eastAsia="zh-CN"/>
        </w:rPr>
        <w:t xml:space="preserve"> share</w:t>
      </w:r>
      <w:r w:rsidR="00911F48" w:rsidRPr="005F2A26">
        <w:rPr>
          <w:rFonts w:eastAsiaTheme="minorEastAsia" w:cs="Times New Roman"/>
          <w:szCs w:val="24"/>
          <w:lang w:val="en-US" w:eastAsia="zh-CN"/>
        </w:rPr>
        <w:t xml:space="preserve"> her self-</w:t>
      </w:r>
      <w:r w:rsidRPr="005F2A26">
        <w:rPr>
          <w:rFonts w:eastAsiaTheme="minorEastAsia" w:cs="Times New Roman"/>
          <w:szCs w:val="24"/>
          <w:lang w:val="en-US" w:eastAsia="zh-CN"/>
        </w:rPr>
        <w:t>identity</w:t>
      </w:r>
      <w:r w:rsidR="00BB12AF">
        <w:rPr>
          <w:rFonts w:eastAsiaTheme="minorEastAsia" w:cs="Times New Roman"/>
          <w:szCs w:val="24"/>
          <w:lang w:val="en-US" w:eastAsia="zh-CN"/>
        </w:rPr>
        <w:t xml:space="preserve"> (“WE are </w:t>
      </w:r>
      <w:r w:rsidR="009E55DC">
        <w:rPr>
          <w:rFonts w:eastAsiaTheme="minorEastAsia" w:cs="Times New Roman"/>
          <w:szCs w:val="24"/>
          <w:lang w:val="en-US" w:eastAsia="zh-CN"/>
        </w:rPr>
        <w:t xml:space="preserve">all </w:t>
      </w:r>
      <w:r w:rsidR="00BB12AF">
        <w:rPr>
          <w:rFonts w:eastAsiaTheme="minorEastAsia" w:cs="Times New Roman"/>
          <w:szCs w:val="24"/>
          <w:lang w:val="en-US" w:eastAsia="zh-CN"/>
        </w:rPr>
        <w:t>gardeners”)</w:t>
      </w:r>
      <w:r w:rsidRPr="005F2A26">
        <w:rPr>
          <w:rFonts w:eastAsiaTheme="minorEastAsia" w:cs="Times New Roman"/>
          <w:szCs w:val="24"/>
          <w:lang w:val="en-US" w:eastAsia="zh-CN"/>
        </w:rPr>
        <w:t>, shar</w:t>
      </w:r>
      <w:r w:rsidR="00911F48" w:rsidRPr="005F2A26">
        <w:rPr>
          <w:rFonts w:eastAsiaTheme="minorEastAsia" w:cs="Times New Roman"/>
          <w:szCs w:val="24"/>
          <w:lang w:val="en-US" w:eastAsia="zh-CN"/>
        </w:rPr>
        <w:t>e</w:t>
      </w:r>
      <w:r w:rsidRPr="005F2A26">
        <w:rPr>
          <w:rFonts w:eastAsiaTheme="minorEastAsia" w:cs="Times New Roman"/>
          <w:szCs w:val="24"/>
          <w:lang w:val="en-US" w:eastAsia="zh-CN"/>
        </w:rPr>
        <w:t xml:space="preserve"> control over</w:t>
      </w:r>
      <w:r w:rsidR="00880CC7">
        <w:rPr>
          <w:rFonts w:eastAsiaTheme="minorEastAsia" w:cs="Times New Roman"/>
          <w:szCs w:val="24"/>
          <w:lang w:val="en-US" w:eastAsia="zh-CN"/>
        </w:rPr>
        <w:t xml:space="preserve"> </w:t>
      </w:r>
      <w:r w:rsidRPr="005F2A26">
        <w:rPr>
          <w:rFonts w:eastAsiaTheme="minorEastAsia" w:cs="Times New Roman"/>
          <w:szCs w:val="24"/>
          <w:lang w:val="en-US" w:eastAsia="zh-CN"/>
        </w:rPr>
        <w:t xml:space="preserve">interactions </w:t>
      </w:r>
      <w:r w:rsidR="00BB12AF">
        <w:rPr>
          <w:rFonts w:eastAsiaTheme="minorEastAsia" w:cs="Times New Roman"/>
          <w:szCs w:val="24"/>
          <w:lang w:val="en-US" w:eastAsia="zh-CN"/>
        </w:rPr>
        <w:t>(“WE start new</w:t>
      </w:r>
      <w:r w:rsidR="00C51E33">
        <w:rPr>
          <w:rFonts w:eastAsiaTheme="minorEastAsia" w:cs="Times New Roman"/>
          <w:szCs w:val="24"/>
          <w:lang w:val="en-US" w:eastAsia="zh-CN"/>
        </w:rPr>
        <w:t>, interesting</w:t>
      </w:r>
      <w:r w:rsidR="00BB12AF">
        <w:rPr>
          <w:rFonts w:eastAsiaTheme="minorEastAsia" w:cs="Times New Roman"/>
          <w:szCs w:val="24"/>
          <w:lang w:val="en-US" w:eastAsia="zh-CN"/>
        </w:rPr>
        <w:t xml:space="preserve"> threads”)</w:t>
      </w:r>
      <w:r w:rsidRPr="005F2A26">
        <w:rPr>
          <w:rFonts w:eastAsiaTheme="minorEastAsia" w:cs="Times New Roman"/>
          <w:szCs w:val="24"/>
          <w:lang w:val="en-US" w:eastAsia="zh-CN"/>
        </w:rPr>
        <w:t>, and joint</w:t>
      </w:r>
      <w:r w:rsidR="00911F48" w:rsidRPr="005F2A26">
        <w:rPr>
          <w:rFonts w:eastAsiaTheme="minorEastAsia" w:cs="Times New Roman"/>
          <w:szCs w:val="24"/>
          <w:lang w:val="en-US" w:eastAsia="zh-CN"/>
        </w:rPr>
        <w:t>ly</w:t>
      </w:r>
      <w:r w:rsidRPr="005F2A26">
        <w:rPr>
          <w:rFonts w:eastAsiaTheme="minorEastAsia" w:cs="Times New Roman"/>
          <w:szCs w:val="24"/>
          <w:lang w:val="en-US" w:eastAsia="zh-CN"/>
        </w:rPr>
        <w:t xml:space="preserve"> </w:t>
      </w:r>
      <w:r w:rsidR="008D2019" w:rsidRPr="005F2A26">
        <w:rPr>
          <w:rFonts w:eastAsiaTheme="minorEastAsia" w:cs="Times New Roman"/>
          <w:szCs w:val="24"/>
          <w:lang w:val="en-US" w:eastAsia="zh-CN"/>
        </w:rPr>
        <w:t xml:space="preserve">intimately </w:t>
      </w:r>
      <w:r w:rsidRPr="005F2A26">
        <w:rPr>
          <w:rFonts w:eastAsiaTheme="minorEastAsia" w:cs="Times New Roman"/>
          <w:szCs w:val="24"/>
          <w:lang w:val="en-US" w:eastAsia="zh-CN"/>
        </w:rPr>
        <w:t>know the platform</w:t>
      </w:r>
      <w:r w:rsidR="000D47C2">
        <w:rPr>
          <w:rFonts w:eastAsiaTheme="minorEastAsia" w:cs="Times New Roman"/>
          <w:szCs w:val="24"/>
          <w:lang w:val="en-US" w:eastAsia="zh-CN"/>
        </w:rPr>
        <w:t xml:space="preserve"> (“This is where WE go to find answers for questions”)</w:t>
      </w:r>
      <w:r w:rsidR="00911F48" w:rsidRPr="005F2A26">
        <w:rPr>
          <w:rFonts w:eastAsiaTheme="minorEastAsia" w:cs="Times New Roman"/>
          <w:szCs w:val="24"/>
          <w:lang w:val="en-US" w:eastAsia="zh-CN"/>
        </w:rPr>
        <w:t xml:space="preserve">. </w:t>
      </w:r>
      <w:r w:rsidR="008D2019" w:rsidRPr="005F2A26">
        <w:rPr>
          <w:rFonts w:eastAsiaTheme="minorEastAsia" w:cs="Times New Roman"/>
          <w:szCs w:val="24"/>
          <w:lang w:val="en-US" w:eastAsia="zh-CN"/>
        </w:rPr>
        <w:t>P2P socializing is enabled through</w:t>
      </w:r>
      <w:r w:rsidRPr="005F2A26">
        <w:rPr>
          <w:rFonts w:eastAsiaTheme="minorEastAsia" w:cs="Times New Roman"/>
          <w:szCs w:val="24"/>
          <w:lang w:val="en-US" w:eastAsia="zh-CN"/>
        </w:rPr>
        <w:t xml:space="preserve"> the site</w:t>
      </w:r>
      <w:r w:rsidR="007F1173">
        <w:rPr>
          <w:rFonts w:eastAsiaTheme="minorEastAsia" w:cs="Times New Roman"/>
          <w:szCs w:val="24"/>
          <w:lang w:val="en-US" w:eastAsia="zh-CN"/>
        </w:rPr>
        <w:t>’s functionality</w:t>
      </w:r>
      <w:r w:rsidR="00A13BBB">
        <w:rPr>
          <w:rFonts w:eastAsiaTheme="minorEastAsia" w:cs="Times New Roman"/>
          <w:szCs w:val="24"/>
          <w:lang w:val="en-US" w:eastAsia="zh-CN"/>
        </w:rPr>
        <w:t xml:space="preserve"> and u</w:t>
      </w:r>
      <w:r w:rsidR="008D2019" w:rsidRPr="005F2A26">
        <w:rPr>
          <w:rFonts w:eastAsiaTheme="minorEastAsia" w:cs="Times New Roman"/>
          <w:szCs w:val="24"/>
          <w:lang w:val="en-US" w:eastAsia="zh-CN"/>
        </w:rPr>
        <w:t xml:space="preserve">sers </w:t>
      </w:r>
      <w:r w:rsidRPr="005F2A26">
        <w:rPr>
          <w:rFonts w:eastAsiaTheme="minorEastAsia" w:cs="Times New Roman"/>
          <w:szCs w:val="24"/>
          <w:lang w:val="en-US" w:eastAsia="zh-CN"/>
        </w:rPr>
        <w:t>experience cPO over the collective ‘target’ (i.e., “</w:t>
      </w:r>
      <w:r w:rsidR="00BD07C5" w:rsidRPr="005F2A26">
        <w:rPr>
          <w:rFonts w:eastAsiaTheme="minorEastAsia" w:cs="Times New Roman"/>
          <w:szCs w:val="24"/>
          <w:lang w:val="en-US" w:eastAsia="zh-CN"/>
        </w:rPr>
        <w:t>OUR</w:t>
      </w:r>
      <w:r w:rsidRPr="005F2A26">
        <w:rPr>
          <w:rFonts w:eastAsiaTheme="minorEastAsia" w:cs="Times New Roman"/>
          <w:szCs w:val="24"/>
          <w:lang w:val="en-US" w:eastAsia="zh-CN"/>
        </w:rPr>
        <w:t xml:space="preserve"> </w:t>
      </w:r>
      <w:proofErr w:type="spellStart"/>
      <w:r w:rsidRPr="005F2A26">
        <w:rPr>
          <w:rFonts w:eastAsiaTheme="minorEastAsia" w:cs="Times New Roman"/>
          <w:szCs w:val="24"/>
          <w:lang w:val="en-US" w:eastAsia="zh-CN"/>
        </w:rPr>
        <w:t>Garden</w:t>
      </w:r>
      <w:r w:rsidR="00C125BE">
        <w:rPr>
          <w:rFonts w:eastAsiaTheme="minorEastAsia" w:cs="Times New Roman"/>
          <w:szCs w:val="24"/>
          <w:lang w:val="en-US" w:eastAsia="zh-CN"/>
        </w:rPr>
        <w:t>T</w:t>
      </w:r>
      <w:r w:rsidRPr="005F2A26">
        <w:rPr>
          <w:rFonts w:eastAsiaTheme="minorEastAsia" w:cs="Times New Roman"/>
          <w:szCs w:val="24"/>
          <w:lang w:val="en-US" w:eastAsia="zh-CN"/>
        </w:rPr>
        <w:t>ags</w:t>
      </w:r>
      <w:proofErr w:type="spellEnd"/>
      <w:r w:rsidRPr="005F2A26">
        <w:rPr>
          <w:rFonts w:eastAsiaTheme="minorEastAsia" w:cs="Times New Roman"/>
          <w:szCs w:val="24"/>
          <w:lang w:val="en-US" w:eastAsia="zh-CN"/>
        </w:rPr>
        <w:t xml:space="preserve"> community”)</w:t>
      </w:r>
      <w:r w:rsidR="008E5020" w:rsidRPr="005F2A26">
        <w:rPr>
          <w:rFonts w:eastAsiaTheme="minorEastAsia" w:cs="Times New Roman"/>
          <w:szCs w:val="24"/>
          <w:lang w:val="en-US" w:eastAsia="zh-CN"/>
        </w:rPr>
        <w:t xml:space="preserve">. </w:t>
      </w:r>
      <w:r w:rsidR="00A13BBB">
        <w:rPr>
          <w:rFonts w:eastAsiaTheme="minorEastAsia" w:cs="Times New Roman"/>
          <w:szCs w:val="24"/>
          <w:lang w:val="en-US" w:eastAsia="zh-CN"/>
        </w:rPr>
        <w:t>B</w:t>
      </w:r>
      <w:r w:rsidR="008E5020" w:rsidRPr="005F2A26">
        <w:rPr>
          <w:rFonts w:eastAsiaTheme="minorEastAsia" w:cs="Times New Roman"/>
          <w:szCs w:val="24"/>
          <w:lang w:val="en-US" w:eastAsia="zh-CN"/>
        </w:rPr>
        <w:t xml:space="preserve">oth individual and </w:t>
      </w:r>
      <w:r w:rsidR="006F5499">
        <w:rPr>
          <w:rFonts w:eastAsiaTheme="minorEastAsia" w:cs="Times New Roman"/>
          <w:szCs w:val="24"/>
          <w:lang w:val="en-US" w:eastAsia="zh-CN"/>
        </w:rPr>
        <w:t>shared</w:t>
      </w:r>
      <w:r w:rsidR="008E5020" w:rsidRPr="005F2A26">
        <w:rPr>
          <w:rFonts w:eastAsiaTheme="minorEastAsia" w:cs="Times New Roman"/>
          <w:szCs w:val="24"/>
          <w:lang w:val="en-US" w:eastAsia="zh-CN"/>
        </w:rPr>
        <w:t xml:space="preserve"> values are satisfied, and the</w:t>
      </w:r>
      <w:r w:rsidR="00C125BE">
        <w:rPr>
          <w:rFonts w:eastAsiaTheme="minorEastAsia" w:cs="Times New Roman"/>
          <w:szCs w:val="24"/>
          <w:lang w:val="en-US" w:eastAsia="zh-CN"/>
        </w:rPr>
        <w:t xml:space="preserve"> </w:t>
      </w:r>
      <w:r w:rsidR="00F25E22">
        <w:rPr>
          <w:rFonts w:eastAsiaTheme="minorEastAsia" w:cs="Times New Roman"/>
          <w:szCs w:val="24"/>
          <w:lang w:val="en-US" w:eastAsia="zh-CN"/>
        </w:rPr>
        <w:t>community</w:t>
      </w:r>
      <w:r w:rsidR="006F5499">
        <w:rPr>
          <w:rFonts w:eastAsiaTheme="minorEastAsia" w:cs="Times New Roman"/>
          <w:szCs w:val="24"/>
          <w:lang w:val="en-US" w:eastAsia="zh-CN"/>
        </w:rPr>
        <w:t xml:space="preserve"> </w:t>
      </w:r>
      <w:r w:rsidR="006F5499">
        <w:rPr>
          <w:rFonts w:eastAsiaTheme="minorEastAsia" w:cs="Times New Roman"/>
          <w:szCs w:val="24"/>
          <w:lang w:val="en-US" w:eastAsia="zh-CN"/>
        </w:rPr>
        <w:lastRenderedPageBreak/>
        <w:t>collectively</w:t>
      </w:r>
      <w:r w:rsidR="008E5020" w:rsidRPr="005F2A26">
        <w:rPr>
          <w:rFonts w:eastAsiaTheme="minorEastAsia" w:cs="Times New Roman"/>
          <w:szCs w:val="24"/>
          <w:lang w:val="en-US" w:eastAsia="zh-CN"/>
        </w:rPr>
        <w:t xml:space="preserve"> </w:t>
      </w:r>
      <w:r w:rsidR="006462CB" w:rsidRPr="005F2A26">
        <w:rPr>
          <w:rFonts w:eastAsiaTheme="minorEastAsia" w:cs="Times New Roman"/>
          <w:szCs w:val="24"/>
          <w:lang w:val="en-US" w:eastAsia="zh-CN"/>
        </w:rPr>
        <w:t>gain</w:t>
      </w:r>
      <w:r w:rsidR="00F25E22">
        <w:rPr>
          <w:rFonts w:eastAsiaTheme="minorEastAsia" w:cs="Times New Roman"/>
          <w:szCs w:val="24"/>
          <w:lang w:val="en-US" w:eastAsia="zh-CN"/>
        </w:rPr>
        <w:t>s</w:t>
      </w:r>
      <w:r w:rsidR="006F5499">
        <w:rPr>
          <w:rFonts w:eastAsiaTheme="minorEastAsia" w:cs="Times New Roman"/>
          <w:szCs w:val="24"/>
          <w:lang w:val="en-US" w:eastAsia="zh-CN"/>
        </w:rPr>
        <w:t xml:space="preserve"> </w:t>
      </w:r>
      <w:r w:rsidR="006462CB" w:rsidRPr="005F2A26">
        <w:rPr>
          <w:rFonts w:eastAsiaTheme="minorEastAsia" w:cs="Times New Roman"/>
          <w:szCs w:val="24"/>
          <w:lang w:val="en-US" w:eastAsia="zh-CN"/>
        </w:rPr>
        <w:t>access to a mass of shared resources.</w:t>
      </w:r>
      <w:r w:rsidR="00C50E1D" w:rsidRPr="005F2A26">
        <w:rPr>
          <w:rFonts w:eastAsiaTheme="minorEastAsia" w:cs="Times New Roman"/>
          <w:szCs w:val="24"/>
          <w:lang w:val="en-US" w:eastAsia="zh-CN"/>
        </w:rPr>
        <w:t xml:space="preserve"> C</w:t>
      </w:r>
      <w:r w:rsidR="006462CB" w:rsidRPr="005F2A26">
        <w:rPr>
          <w:rFonts w:eastAsiaTheme="minorEastAsia" w:cs="Times New Roman"/>
          <w:szCs w:val="24"/>
          <w:lang w:val="en-US" w:eastAsia="zh-CN"/>
        </w:rPr>
        <w:t>ollective engagement</w:t>
      </w:r>
      <w:r w:rsidRPr="005F2A26">
        <w:rPr>
          <w:rFonts w:eastAsiaTheme="minorEastAsia" w:cs="Times New Roman"/>
          <w:szCs w:val="24"/>
          <w:lang w:val="en-US" w:eastAsia="zh-CN"/>
        </w:rPr>
        <w:t xml:space="preserve"> </w:t>
      </w:r>
      <w:r w:rsidR="00373FA5">
        <w:rPr>
          <w:rFonts w:eastAsiaTheme="minorEastAsia" w:cs="Times New Roman"/>
          <w:szCs w:val="24"/>
          <w:lang w:val="en-US" w:eastAsia="zh-CN"/>
        </w:rPr>
        <w:t xml:space="preserve">activities </w:t>
      </w:r>
      <w:r w:rsidRPr="005F2A26">
        <w:rPr>
          <w:rFonts w:eastAsiaTheme="minorEastAsia" w:cs="Times New Roman"/>
          <w:szCs w:val="24"/>
          <w:lang w:val="en-US" w:eastAsia="zh-CN"/>
        </w:rPr>
        <w:t>manifest as group-level processes</w:t>
      </w:r>
      <w:r w:rsidR="006462CB" w:rsidRPr="005F2A26">
        <w:rPr>
          <w:rFonts w:eastAsiaTheme="minorEastAsia" w:cs="Times New Roman"/>
          <w:szCs w:val="24"/>
          <w:lang w:val="en-US" w:eastAsia="zh-CN"/>
        </w:rPr>
        <w:t xml:space="preserve"> </w:t>
      </w:r>
      <w:r w:rsidR="00373FA5">
        <w:rPr>
          <w:rFonts w:eastAsiaTheme="minorEastAsia" w:cs="Times New Roman"/>
          <w:szCs w:val="24"/>
          <w:lang w:val="en-US" w:eastAsia="zh-CN"/>
        </w:rPr>
        <w:t>that</w:t>
      </w:r>
      <w:r w:rsidRPr="005F2A26">
        <w:rPr>
          <w:rFonts w:eastAsiaTheme="minorEastAsia" w:cs="Times New Roman"/>
          <w:szCs w:val="24"/>
          <w:lang w:val="en-US" w:eastAsia="zh-CN"/>
        </w:rPr>
        <w:t xml:space="preserve"> benefit </w:t>
      </w:r>
      <w:r w:rsidR="006462CB" w:rsidRPr="005F2A26">
        <w:rPr>
          <w:rFonts w:eastAsiaTheme="minorEastAsia" w:cs="Times New Roman"/>
          <w:szCs w:val="24"/>
          <w:lang w:val="en-US" w:eastAsia="zh-CN"/>
        </w:rPr>
        <w:t>individuals</w:t>
      </w:r>
      <w:r w:rsidR="005A0B61" w:rsidRPr="005F2A26">
        <w:rPr>
          <w:rFonts w:eastAsiaTheme="minorEastAsia" w:cs="Times New Roman"/>
          <w:szCs w:val="24"/>
          <w:lang w:val="en-US" w:eastAsia="zh-CN"/>
        </w:rPr>
        <w:t>, the community,</w:t>
      </w:r>
      <w:r w:rsidR="006462CB" w:rsidRPr="005F2A26">
        <w:rPr>
          <w:rFonts w:eastAsiaTheme="minorEastAsia" w:cs="Times New Roman"/>
          <w:szCs w:val="24"/>
          <w:lang w:val="en-US" w:eastAsia="zh-CN"/>
        </w:rPr>
        <w:t xml:space="preserve"> and</w:t>
      </w:r>
      <w:r w:rsidRPr="005F2A26">
        <w:rPr>
          <w:rFonts w:eastAsiaTheme="minorEastAsia" w:cs="Times New Roman"/>
          <w:szCs w:val="24"/>
          <w:lang w:val="en-US" w:eastAsia="zh-CN"/>
        </w:rPr>
        <w:t xml:space="preserve"> the platform</w:t>
      </w:r>
      <w:r w:rsidR="004B5974">
        <w:rPr>
          <w:rFonts w:eastAsiaTheme="minorEastAsia" w:cs="Times New Roman"/>
          <w:szCs w:val="24"/>
          <w:lang w:val="en-US" w:eastAsia="zh-CN"/>
        </w:rPr>
        <w:t>.</w:t>
      </w:r>
      <w:r w:rsidR="00BF55D6" w:rsidRPr="005F2A26">
        <w:rPr>
          <w:rFonts w:eastAsiaTheme="minorEastAsia" w:cs="Times New Roman"/>
          <w:szCs w:val="24"/>
          <w:lang w:val="en-US" w:eastAsia="zh-CN"/>
        </w:rPr>
        <w:t xml:space="preserve"> </w:t>
      </w:r>
    </w:p>
    <w:p w14:paraId="6B2B1AD8" w14:textId="77777777" w:rsidR="00FD2E5C" w:rsidRDefault="00F25E22" w:rsidP="001356C5">
      <w:pPr>
        <w:widowControl w:val="0"/>
        <w:spacing w:after="0" w:line="480" w:lineRule="auto"/>
        <w:ind w:firstLine="720"/>
        <w:rPr>
          <w:rFonts w:eastAsiaTheme="minorEastAsia" w:cs="Times New Roman"/>
          <w:color w:val="FF0000"/>
          <w:szCs w:val="24"/>
          <w:lang w:val="en-NZ" w:eastAsia="zh-CN"/>
        </w:rPr>
      </w:pPr>
      <w:r w:rsidRPr="00CA029D">
        <w:rPr>
          <w:rFonts w:eastAsiaTheme="minorEastAsia" w:cs="Times New Roman"/>
          <w:color w:val="FF0000"/>
          <w:szCs w:val="24"/>
          <w:lang w:val="en-US" w:eastAsia="zh-CN"/>
        </w:rPr>
        <w:t xml:space="preserve">Third and finally, </w:t>
      </w:r>
      <w:r w:rsidR="00340197">
        <w:rPr>
          <w:rFonts w:eastAsiaTheme="minorEastAsia" w:cs="Times New Roman"/>
          <w:color w:val="FF0000"/>
          <w:szCs w:val="24"/>
          <w:lang w:val="en-US" w:eastAsia="zh-CN"/>
        </w:rPr>
        <w:t xml:space="preserve">someone wants to make some extra money and has a spare bedroom they would like to let short-term. </w:t>
      </w:r>
      <w:r w:rsidR="004B5974">
        <w:rPr>
          <w:rFonts w:eastAsiaTheme="minorEastAsia" w:cs="Times New Roman"/>
          <w:color w:val="FF0000"/>
          <w:szCs w:val="24"/>
          <w:lang w:val="en-US" w:eastAsia="zh-CN"/>
        </w:rPr>
        <w:t>She has a</w:t>
      </w:r>
      <w:r w:rsidR="003826AA">
        <w:rPr>
          <w:rFonts w:eastAsiaTheme="minorEastAsia" w:cs="Times New Roman"/>
          <w:color w:val="FF0000"/>
          <w:szCs w:val="24"/>
          <w:lang w:val="en-US" w:eastAsia="zh-CN"/>
        </w:rPr>
        <w:t xml:space="preserve"> need for self-efficacy and belongingness</w:t>
      </w:r>
      <w:r w:rsidR="00A42975">
        <w:rPr>
          <w:rFonts w:eastAsiaTheme="minorEastAsia" w:cs="Times New Roman"/>
          <w:color w:val="FF0000"/>
          <w:szCs w:val="24"/>
          <w:lang w:val="en-US" w:eastAsia="zh-CN"/>
        </w:rPr>
        <w:t xml:space="preserve">, </w:t>
      </w:r>
      <w:r w:rsidR="002D79AD">
        <w:rPr>
          <w:rFonts w:eastAsiaTheme="minorEastAsia" w:cs="Times New Roman"/>
          <w:color w:val="FF0000"/>
          <w:szCs w:val="24"/>
          <w:lang w:val="en-US" w:eastAsia="zh-CN"/>
        </w:rPr>
        <w:t>so</w:t>
      </w:r>
      <w:r w:rsidR="003826AA">
        <w:rPr>
          <w:rFonts w:eastAsiaTheme="minorEastAsia" w:cs="Times New Roman"/>
          <w:color w:val="FF0000"/>
          <w:szCs w:val="24"/>
          <w:lang w:val="en-US" w:eastAsia="zh-CN"/>
        </w:rPr>
        <w:t xml:space="preserve"> want</w:t>
      </w:r>
      <w:r w:rsidR="00666A4A">
        <w:rPr>
          <w:rFonts w:eastAsiaTheme="minorEastAsia" w:cs="Times New Roman"/>
          <w:color w:val="FF0000"/>
          <w:szCs w:val="24"/>
          <w:lang w:val="en-US" w:eastAsia="zh-CN"/>
        </w:rPr>
        <w:t>s</w:t>
      </w:r>
      <w:r w:rsidR="003826AA">
        <w:rPr>
          <w:rFonts w:eastAsiaTheme="minorEastAsia" w:cs="Times New Roman"/>
          <w:color w:val="FF0000"/>
          <w:szCs w:val="24"/>
          <w:lang w:val="en-US" w:eastAsia="zh-CN"/>
        </w:rPr>
        <w:t xml:space="preserve"> to </w:t>
      </w:r>
      <w:r w:rsidR="001F1C1E">
        <w:rPr>
          <w:rFonts w:eastAsiaTheme="minorEastAsia" w:cs="Times New Roman"/>
          <w:color w:val="FF0000"/>
          <w:szCs w:val="24"/>
          <w:lang w:val="en-US" w:eastAsia="zh-CN"/>
        </w:rPr>
        <w:t xml:space="preserve">carefully control who </w:t>
      </w:r>
      <w:r w:rsidR="00A42975">
        <w:rPr>
          <w:rFonts w:eastAsiaTheme="minorEastAsia" w:cs="Times New Roman"/>
          <w:color w:val="FF0000"/>
          <w:szCs w:val="24"/>
          <w:lang w:val="en-US" w:eastAsia="zh-CN"/>
        </w:rPr>
        <w:t>might</w:t>
      </w:r>
      <w:r w:rsidR="001F1C1E">
        <w:rPr>
          <w:rFonts w:eastAsiaTheme="minorEastAsia" w:cs="Times New Roman"/>
          <w:color w:val="FF0000"/>
          <w:szCs w:val="24"/>
          <w:lang w:val="en-US" w:eastAsia="zh-CN"/>
        </w:rPr>
        <w:t xml:space="preserve"> stay. </w:t>
      </w:r>
      <w:r w:rsidR="00D2591F">
        <w:rPr>
          <w:rFonts w:eastAsiaTheme="minorEastAsia" w:cs="Times New Roman"/>
          <w:color w:val="FF0000"/>
          <w:szCs w:val="24"/>
          <w:lang w:val="en-US" w:eastAsia="zh-CN"/>
        </w:rPr>
        <w:t>S</w:t>
      </w:r>
      <w:r w:rsidR="00666A4A">
        <w:rPr>
          <w:rFonts w:eastAsiaTheme="minorEastAsia" w:cs="Times New Roman"/>
          <w:color w:val="FF0000"/>
          <w:szCs w:val="24"/>
          <w:lang w:val="en-US" w:eastAsia="zh-CN"/>
        </w:rPr>
        <w:t>he is</w:t>
      </w:r>
      <w:r w:rsidR="001F1C1E">
        <w:rPr>
          <w:rFonts w:eastAsiaTheme="minorEastAsia" w:cs="Times New Roman"/>
          <w:color w:val="FF0000"/>
          <w:szCs w:val="24"/>
          <w:lang w:val="en-US" w:eastAsia="zh-CN"/>
        </w:rPr>
        <w:t xml:space="preserve"> drawn to Airbnb</w:t>
      </w:r>
      <w:r w:rsidR="00A42975">
        <w:rPr>
          <w:rFonts w:eastAsiaTheme="minorEastAsia" w:cs="Times New Roman"/>
          <w:color w:val="FF0000"/>
          <w:szCs w:val="24"/>
          <w:lang w:val="en-US" w:eastAsia="zh-CN"/>
        </w:rPr>
        <w:t xml:space="preserve"> due to its</w:t>
      </w:r>
      <w:r w:rsidR="002D79AD">
        <w:rPr>
          <w:rFonts w:eastAsiaTheme="minorEastAsia" w:cs="Times New Roman"/>
          <w:color w:val="FF0000"/>
          <w:szCs w:val="24"/>
          <w:lang w:val="en-US" w:eastAsia="zh-CN"/>
        </w:rPr>
        <w:t xml:space="preserve"> </w:t>
      </w:r>
      <w:r w:rsidR="00A42975">
        <w:rPr>
          <w:rFonts w:eastAsiaTheme="minorEastAsia" w:cs="Times New Roman"/>
          <w:color w:val="FF0000"/>
          <w:szCs w:val="24"/>
          <w:lang w:val="en-US" w:eastAsia="zh-CN"/>
        </w:rPr>
        <w:t>goals of</w:t>
      </w:r>
      <w:r w:rsidR="004479CE" w:rsidRPr="004479CE">
        <w:rPr>
          <w:rFonts w:eastAsiaTheme="minorEastAsia" w:cs="Times New Roman"/>
          <w:color w:val="FF0000"/>
          <w:szCs w:val="24"/>
          <w:lang w:val="en-NZ" w:eastAsia="zh-CN"/>
        </w:rPr>
        <w:t xml:space="preserve"> connection and belonging</w:t>
      </w:r>
      <w:r w:rsidR="001925C7">
        <w:rPr>
          <w:rFonts w:eastAsiaTheme="minorEastAsia" w:cs="Times New Roman"/>
          <w:color w:val="FF0000"/>
          <w:szCs w:val="24"/>
          <w:lang w:val="en-NZ" w:eastAsia="zh-CN"/>
        </w:rPr>
        <w:t xml:space="preserve">, </w:t>
      </w:r>
      <w:r w:rsidR="004479CE" w:rsidRPr="004479CE">
        <w:rPr>
          <w:rFonts w:eastAsiaTheme="minorEastAsia" w:cs="Times New Roman"/>
          <w:color w:val="FF0000"/>
          <w:szCs w:val="24"/>
          <w:lang w:val="en-NZ" w:eastAsia="zh-CN"/>
        </w:rPr>
        <w:t>prioritiz</w:t>
      </w:r>
      <w:r w:rsidR="001925C7">
        <w:rPr>
          <w:rFonts w:eastAsiaTheme="minorEastAsia" w:cs="Times New Roman"/>
          <w:color w:val="FF0000"/>
          <w:szCs w:val="24"/>
          <w:lang w:val="en-NZ" w:eastAsia="zh-CN"/>
        </w:rPr>
        <w:t>ing</w:t>
      </w:r>
      <w:r w:rsidR="004479CE" w:rsidRPr="004479CE">
        <w:rPr>
          <w:rFonts w:eastAsiaTheme="minorEastAsia" w:cs="Times New Roman"/>
          <w:color w:val="FF0000"/>
          <w:szCs w:val="24"/>
          <w:lang w:val="en-NZ" w:eastAsia="zh-CN"/>
        </w:rPr>
        <w:t xml:space="preserve"> hos</w:t>
      </w:r>
      <w:r w:rsidR="001925C7">
        <w:rPr>
          <w:rFonts w:eastAsiaTheme="minorEastAsia" w:cs="Times New Roman"/>
          <w:color w:val="FF0000"/>
          <w:szCs w:val="24"/>
          <w:lang w:val="en-NZ" w:eastAsia="zh-CN"/>
        </w:rPr>
        <w:t>ts, and</w:t>
      </w:r>
      <w:r w:rsidR="004479CE" w:rsidRPr="004479CE">
        <w:rPr>
          <w:rFonts w:eastAsiaTheme="minorEastAsia" w:cs="Times New Roman"/>
          <w:color w:val="FF0000"/>
          <w:szCs w:val="24"/>
          <w:lang w:val="en-NZ" w:eastAsia="zh-CN"/>
        </w:rPr>
        <w:t xml:space="preserve"> building</w:t>
      </w:r>
      <w:r w:rsidR="00E05153">
        <w:rPr>
          <w:rFonts w:eastAsiaTheme="minorEastAsia" w:cs="Times New Roman"/>
          <w:color w:val="FF0000"/>
          <w:szCs w:val="24"/>
          <w:lang w:val="en-NZ" w:eastAsia="zh-CN"/>
        </w:rPr>
        <w:t xml:space="preserve"> a</w:t>
      </w:r>
      <w:r w:rsidR="004479CE" w:rsidRPr="004479CE">
        <w:rPr>
          <w:rFonts w:eastAsiaTheme="minorEastAsia" w:cs="Times New Roman"/>
          <w:color w:val="FF0000"/>
          <w:szCs w:val="24"/>
          <w:lang w:val="en-NZ" w:eastAsia="zh-CN"/>
        </w:rPr>
        <w:t xml:space="preserve"> community</w:t>
      </w:r>
      <w:r w:rsidR="00E05153">
        <w:rPr>
          <w:rFonts w:eastAsiaTheme="minorEastAsia" w:cs="Times New Roman"/>
          <w:color w:val="FF0000"/>
          <w:szCs w:val="24"/>
          <w:lang w:val="en-NZ" w:eastAsia="zh-CN"/>
        </w:rPr>
        <w:t xml:space="preserve">. </w:t>
      </w:r>
      <w:r w:rsidR="00666A4A">
        <w:rPr>
          <w:rFonts w:eastAsiaTheme="minorEastAsia" w:cs="Times New Roman"/>
          <w:color w:val="FF0000"/>
          <w:szCs w:val="24"/>
          <w:lang w:val="en-NZ" w:eastAsia="zh-CN"/>
        </w:rPr>
        <w:t>She</w:t>
      </w:r>
      <w:r w:rsidR="00E05153">
        <w:rPr>
          <w:rFonts w:eastAsiaTheme="minorEastAsia" w:cs="Times New Roman"/>
          <w:color w:val="FF0000"/>
          <w:szCs w:val="24"/>
          <w:lang w:val="en-NZ" w:eastAsia="zh-CN"/>
        </w:rPr>
        <w:t xml:space="preserve"> registers with the site</w:t>
      </w:r>
      <w:r w:rsidR="00F7575D">
        <w:rPr>
          <w:rFonts w:eastAsiaTheme="minorEastAsia" w:cs="Times New Roman"/>
          <w:color w:val="FF0000"/>
          <w:szCs w:val="24"/>
          <w:lang w:val="en-NZ" w:eastAsia="zh-CN"/>
        </w:rPr>
        <w:t>,</w:t>
      </w:r>
      <w:r w:rsidR="00630B7E">
        <w:rPr>
          <w:rFonts w:eastAsiaTheme="minorEastAsia" w:cs="Times New Roman"/>
          <w:color w:val="FF0000"/>
          <w:szCs w:val="24"/>
          <w:lang w:val="en-NZ" w:eastAsia="zh-CN"/>
        </w:rPr>
        <w:t xml:space="preserve"> creates</w:t>
      </w:r>
      <w:r w:rsidR="00E05153">
        <w:rPr>
          <w:rFonts w:eastAsiaTheme="minorEastAsia" w:cs="Times New Roman"/>
          <w:color w:val="FF0000"/>
          <w:szCs w:val="24"/>
          <w:lang w:val="en-NZ" w:eastAsia="zh-CN"/>
        </w:rPr>
        <w:t xml:space="preserve"> an authenticated </w:t>
      </w:r>
      <w:r w:rsidR="00666A4A">
        <w:rPr>
          <w:rFonts w:eastAsiaTheme="minorEastAsia" w:cs="Times New Roman"/>
          <w:color w:val="FF0000"/>
          <w:szCs w:val="24"/>
          <w:lang w:val="en-NZ" w:eastAsia="zh-CN"/>
        </w:rPr>
        <w:t>profile, and</w:t>
      </w:r>
      <w:r w:rsidR="00B66371">
        <w:rPr>
          <w:rFonts w:eastAsiaTheme="minorEastAsia" w:cs="Times New Roman"/>
          <w:color w:val="FF0000"/>
          <w:szCs w:val="24"/>
          <w:lang w:val="en-NZ" w:eastAsia="zh-CN"/>
        </w:rPr>
        <w:t xml:space="preserve"> within the confines of her listing, </w:t>
      </w:r>
      <w:r w:rsidR="00186146">
        <w:rPr>
          <w:rFonts w:eastAsiaTheme="minorEastAsia" w:cs="Times New Roman"/>
          <w:color w:val="FF0000"/>
          <w:szCs w:val="24"/>
          <w:lang w:val="en-NZ" w:eastAsia="zh-CN"/>
        </w:rPr>
        <w:t>uploads</w:t>
      </w:r>
      <w:r w:rsidR="00666A4A">
        <w:rPr>
          <w:rFonts w:eastAsiaTheme="minorEastAsia" w:cs="Times New Roman"/>
          <w:color w:val="FF0000"/>
          <w:szCs w:val="24"/>
          <w:lang w:val="en-NZ" w:eastAsia="zh-CN"/>
        </w:rPr>
        <w:t xml:space="preserve"> attractive image</w:t>
      </w:r>
      <w:r w:rsidR="00DD3131">
        <w:rPr>
          <w:rFonts w:eastAsiaTheme="minorEastAsia" w:cs="Times New Roman"/>
          <w:color w:val="FF0000"/>
          <w:szCs w:val="24"/>
          <w:lang w:val="en-NZ" w:eastAsia="zh-CN"/>
        </w:rPr>
        <w:t>s</w:t>
      </w:r>
      <w:r w:rsidR="00666A4A">
        <w:rPr>
          <w:rFonts w:eastAsiaTheme="minorEastAsia" w:cs="Times New Roman"/>
          <w:color w:val="FF0000"/>
          <w:szCs w:val="24"/>
          <w:lang w:val="en-NZ" w:eastAsia="zh-CN"/>
        </w:rPr>
        <w:t xml:space="preserve"> and </w:t>
      </w:r>
      <w:r w:rsidR="00DD3131">
        <w:rPr>
          <w:rFonts w:eastAsiaTheme="minorEastAsia" w:cs="Times New Roman"/>
          <w:color w:val="FF0000"/>
          <w:szCs w:val="24"/>
          <w:lang w:val="en-NZ" w:eastAsia="zh-CN"/>
        </w:rPr>
        <w:t xml:space="preserve">a compelling </w:t>
      </w:r>
      <w:r w:rsidR="00666A4A">
        <w:rPr>
          <w:rFonts w:eastAsiaTheme="minorEastAsia" w:cs="Times New Roman"/>
          <w:color w:val="FF0000"/>
          <w:szCs w:val="24"/>
          <w:lang w:val="en-NZ" w:eastAsia="zh-CN"/>
        </w:rPr>
        <w:t xml:space="preserve">description of her spare bedroom and neighbourhood. </w:t>
      </w:r>
      <w:r w:rsidR="00423310">
        <w:rPr>
          <w:rFonts w:eastAsiaTheme="minorEastAsia" w:cs="Times New Roman"/>
          <w:color w:val="FF0000"/>
          <w:szCs w:val="24"/>
          <w:lang w:val="en-NZ" w:eastAsia="zh-CN"/>
        </w:rPr>
        <w:t>Through her interactions with the platform, s</w:t>
      </w:r>
      <w:r w:rsidR="00DD3131">
        <w:rPr>
          <w:rFonts w:eastAsiaTheme="minorEastAsia" w:cs="Times New Roman"/>
          <w:color w:val="FF0000"/>
          <w:szCs w:val="24"/>
          <w:lang w:val="en-NZ" w:eastAsia="zh-CN"/>
        </w:rPr>
        <w:t xml:space="preserve">he is impressed with </w:t>
      </w:r>
      <w:r w:rsidR="00423310">
        <w:rPr>
          <w:rFonts w:eastAsiaTheme="minorEastAsia" w:cs="Times New Roman"/>
          <w:color w:val="FF0000"/>
          <w:szCs w:val="24"/>
          <w:lang w:val="en-NZ" w:eastAsia="zh-CN"/>
        </w:rPr>
        <w:t>its</w:t>
      </w:r>
      <w:r w:rsidR="00D43890">
        <w:rPr>
          <w:rFonts w:eastAsiaTheme="minorEastAsia" w:cs="Times New Roman"/>
          <w:color w:val="FF0000"/>
          <w:szCs w:val="24"/>
          <w:lang w:val="en-NZ" w:eastAsia="zh-CN"/>
        </w:rPr>
        <w:t xml:space="preserve"> functionality</w:t>
      </w:r>
      <w:r w:rsidR="00F74738">
        <w:rPr>
          <w:rFonts w:eastAsiaTheme="minorEastAsia" w:cs="Times New Roman"/>
          <w:color w:val="FF0000"/>
          <w:szCs w:val="24"/>
          <w:lang w:val="en-NZ" w:eastAsia="zh-CN"/>
        </w:rPr>
        <w:t>, service quality,</w:t>
      </w:r>
      <w:r w:rsidR="00D43890">
        <w:rPr>
          <w:rFonts w:eastAsiaTheme="minorEastAsia" w:cs="Times New Roman"/>
          <w:color w:val="FF0000"/>
          <w:szCs w:val="24"/>
          <w:lang w:val="en-NZ" w:eastAsia="zh-CN"/>
        </w:rPr>
        <w:t xml:space="preserve"> and trust-building </w:t>
      </w:r>
      <w:r w:rsidR="00CC59C6">
        <w:rPr>
          <w:rFonts w:eastAsiaTheme="minorEastAsia" w:cs="Times New Roman"/>
          <w:color w:val="FF0000"/>
          <w:szCs w:val="24"/>
          <w:lang w:val="en-NZ" w:eastAsia="zh-CN"/>
        </w:rPr>
        <w:t>measures</w:t>
      </w:r>
      <w:r w:rsidR="00477B7E">
        <w:rPr>
          <w:rFonts w:eastAsiaTheme="minorEastAsia" w:cs="Times New Roman"/>
          <w:color w:val="FF0000"/>
          <w:szCs w:val="24"/>
          <w:lang w:val="en-NZ" w:eastAsia="zh-CN"/>
        </w:rPr>
        <w:t xml:space="preserve">. </w:t>
      </w:r>
      <w:r w:rsidR="00A142FE">
        <w:rPr>
          <w:rFonts w:eastAsiaTheme="minorEastAsia" w:cs="Times New Roman"/>
          <w:color w:val="FF0000"/>
          <w:szCs w:val="24"/>
          <w:lang w:val="en-NZ" w:eastAsia="zh-CN"/>
        </w:rPr>
        <w:t xml:space="preserve">Causes of iPO include </w:t>
      </w:r>
      <w:r w:rsidR="00625C7A">
        <w:rPr>
          <w:rFonts w:eastAsiaTheme="minorEastAsia" w:cs="Times New Roman"/>
          <w:color w:val="FF0000"/>
          <w:szCs w:val="24"/>
          <w:lang w:val="en-NZ" w:eastAsia="zh-CN"/>
        </w:rPr>
        <w:t xml:space="preserve">her ability to </w:t>
      </w:r>
      <w:r w:rsidR="00CC59C6">
        <w:rPr>
          <w:rFonts w:eastAsiaTheme="minorEastAsia" w:cs="Times New Roman"/>
          <w:color w:val="FF0000"/>
          <w:szCs w:val="24"/>
          <w:lang w:val="en-NZ" w:eastAsia="zh-CN"/>
        </w:rPr>
        <w:t>control the target</w:t>
      </w:r>
      <w:r w:rsidR="00477B7E">
        <w:rPr>
          <w:rFonts w:eastAsiaTheme="minorEastAsia" w:cs="Times New Roman"/>
          <w:color w:val="FF0000"/>
          <w:szCs w:val="24"/>
          <w:lang w:val="en-NZ" w:eastAsia="zh-CN"/>
        </w:rPr>
        <w:t xml:space="preserve"> through closely monitoring and investigating prospective guests</w:t>
      </w:r>
      <w:r w:rsidR="00F80D78">
        <w:rPr>
          <w:rFonts w:eastAsiaTheme="minorEastAsia" w:cs="Times New Roman"/>
          <w:color w:val="FF0000"/>
          <w:szCs w:val="24"/>
          <w:lang w:val="en-NZ" w:eastAsia="zh-CN"/>
        </w:rPr>
        <w:t xml:space="preserve">, and creating the image she wants of herself and her </w:t>
      </w:r>
      <w:r w:rsidR="002F29FC">
        <w:rPr>
          <w:rFonts w:eastAsiaTheme="minorEastAsia" w:cs="Times New Roman"/>
          <w:color w:val="FF0000"/>
          <w:szCs w:val="24"/>
          <w:lang w:val="en-NZ" w:eastAsia="zh-CN"/>
        </w:rPr>
        <w:t>accommodatio</w:t>
      </w:r>
      <w:r w:rsidR="00982D44">
        <w:rPr>
          <w:rFonts w:eastAsiaTheme="minorEastAsia" w:cs="Times New Roman"/>
          <w:color w:val="FF0000"/>
          <w:szCs w:val="24"/>
          <w:lang w:val="en-NZ" w:eastAsia="zh-CN"/>
        </w:rPr>
        <w:t>n</w:t>
      </w:r>
      <w:r w:rsidR="002F29FC">
        <w:rPr>
          <w:rFonts w:eastAsiaTheme="minorEastAsia" w:cs="Times New Roman"/>
          <w:color w:val="FF0000"/>
          <w:szCs w:val="24"/>
          <w:lang w:val="en-NZ" w:eastAsia="zh-CN"/>
        </w:rPr>
        <w:t>.</w:t>
      </w:r>
      <w:r w:rsidR="00AA4D26">
        <w:rPr>
          <w:rFonts w:eastAsiaTheme="minorEastAsia" w:cs="Times New Roman"/>
          <w:color w:val="FF0000"/>
          <w:szCs w:val="24"/>
          <w:lang w:val="en-NZ" w:eastAsia="zh-CN"/>
        </w:rPr>
        <w:t xml:space="preserve"> </w:t>
      </w:r>
    </w:p>
    <w:p w14:paraId="757822E6" w14:textId="7FCC8F67" w:rsidR="00FF7E5C" w:rsidRDefault="005152AF" w:rsidP="001356C5">
      <w:pPr>
        <w:widowControl w:val="0"/>
        <w:spacing w:after="0" w:line="480" w:lineRule="auto"/>
        <w:ind w:firstLine="720"/>
        <w:rPr>
          <w:rFonts w:eastAsiaTheme="minorEastAsia" w:cs="Times New Roman"/>
          <w:color w:val="FF0000"/>
          <w:szCs w:val="24"/>
          <w:lang w:val="en-NZ" w:eastAsia="zh-CN"/>
        </w:rPr>
      </w:pPr>
      <w:r>
        <w:rPr>
          <w:rFonts w:eastAsiaTheme="minorEastAsia" w:cs="Times New Roman"/>
          <w:color w:val="FF0000"/>
          <w:szCs w:val="24"/>
          <w:lang w:val="en-NZ" w:eastAsia="zh-CN"/>
        </w:rPr>
        <w:t xml:space="preserve">In response, her </w:t>
      </w:r>
      <w:r w:rsidR="00625C7A">
        <w:rPr>
          <w:rFonts w:eastAsiaTheme="minorEastAsia" w:cs="Times New Roman"/>
          <w:color w:val="FF0000"/>
          <w:szCs w:val="24"/>
          <w:lang w:val="en-NZ" w:eastAsia="zh-CN"/>
        </w:rPr>
        <w:t>positive</w:t>
      </w:r>
      <w:r w:rsidR="00E35C3C">
        <w:rPr>
          <w:rFonts w:eastAsiaTheme="minorEastAsia" w:cs="Times New Roman"/>
          <w:color w:val="FF0000"/>
          <w:szCs w:val="24"/>
          <w:lang w:val="en-NZ" w:eastAsia="zh-CN"/>
        </w:rPr>
        <w:t xml:space="preserve"> </w:t>
      </w:r>
      <w:r>
        <w:rPr>
          <w:rFonts w:eastAsiaTheme="minorEastAsia" w:cs="Times New Roman"/>
          <w:color w:val="FF0000"/>
          <w:szCs w:val="24"/>
          <w:lang w:val="en-NZ" w:eastAsia="zh-CN"/>
        </w:rPr>
        <w:t xml:space="preserve">engagement </w:t>
      </w:r>
      <w:r w:rsidR="00E35C3C">
        <w:rPr>
          <w:rFonts w:eastAsiaTheme="minorEastAsia" w:cs="Times New Roman"/>
          <w:color w:val="FF0000"/>
          <w:szCs w:val="24"/>
          <w:lang w:val="en-NZ" w:eastAsia="zh-CN"/>
        </w:rPr>
        <w:t>disposition and activities targeted towards Airbnb</w:t>
      </w:r>
      <w:r>
        <w:rPr>
          <w:rFonts w:eastAsiaTheme="minorEastAsia" w:cs="Times New Roman"/>
          <w:color w:val="FF0000"/>
          <w:szCs w:val="24"/>
          <w:lang w:val="en-NZ" w:eastAsia="zh-CN"/>
        </w:rPr>
        <w:t xml:space="preserve"> emerge</w:t>
      </w:r>
      <w:r w:rsidR="00162588">
        <w:rPr>
          <w:rFonts w:eastAsiaTheme="minorEastAsia" w:cs="Times New Roman"/>
          <w:color w:val="FF0000"/>
          <w:szCs w:val="24"/>
          <w:lang w:val="en-NZ" w:eastAsia="zh-CN"/>
        </w:rPr>
        <w:t xml:space="preserve"> including</w:t>
      </w:r>
      <w:r w:rsidR="002D7952">
        <w:rPr>
          <w:rFonts w:eastAsiaTheme="minorEastAsia" w:cs="Times New Roman"/>
          <w:color w:val="FF0000"/>
          <w:szCs w:val="24"/>
          <w:lang w:val="en-NZ" w:eastAsia="zh-CN"/>
        </w:rPr>
        <w:t xml:space="preserve"> trust and </w:t>
      </w:r>
      <w:r w:rsidR="002B38AA">
        <w:rPr>
          <w:rFonts w:eastAsiaTheme="minorEastAsia" w:cs="Times New Roman"/>
          <w:color w:val="FF0000"/>
          <w:szCs w:val="24"/>
          <w:lang w:val="en-NZ" w:eastAsia="zh-CN"/>
        </w:rPr>
        <w:t xml:space="preserve">loyalty towards Airbnb, to the degree that she also </w:t>
      </w:r>
      <w:r w:rsidR="002F29FC">
        <w:rPr>
          <w:rFonts w:eastAsiaTheme="minorEastAsia" w:cs="Times New Roman"/>
          <w:color w:val="FF0000"/>
          <w:szCs w:val="24"/>
          <w:lang w:val="en-NZ" w:eastAsia="zh-CN"/>
        </w:rPr>
        <w:t xml:space="preserve">chooses to </w:t>
      </w:r>
      <w:r w:rsidR="002B38AA">
        <w:rPr>
          <w:rFonts w:eastAsiaTheme="minorEastAsia" w:cs="Times New Roman"/>
          <w:color w:val="FF0000"/>
          <w:szCs w:val="24"/>
          <w:lang w:val="en-NZ" w:eastAsia="zh-CN"/>
        </w:rPr>
        <w:t xml:space="preserve">stay in Airbnb accommodation when she travels. </w:t>
      </w:r>
      <w:r w:rsidR="00162588">
        <w:rPr>
          <w:rFonts w:eastAsiaTheme="minorEastAsia" w:cs="Times New Roman"/>
          <w:color w:val="FF0000"/>
          <w:szCs w:val="24"/>
          <w:lang w:val="en-NZ" w:eastAsia="zh-CN"/>
        </w:rPr>
        <w:t xml:space="preserve">Her </w:t>
      </w:r>
      <w:r w:rsidR="006A68F6">
        <w:rPr>
          <w:rFonts w:eastAsiaTheme="minorEastAsia" w:cs="Times New Roman"/>
          <w:color w:val="FF0000"/>
          <w:szCs w:val="24"/>
          <w:lang w:val="en-NZ" w:eastAsia="zh-CN"/>
        </w:rPr>
        <w:t xml:space="preserve">online and offline </w:t>
      </w:r>
      <w:r w:rsidR="00162588">
        <w:rPr>
          <w:rFonts w:eastAsiaTheme="minorEastAsia" w:cs="Times New Roman"/>
          <w:color w:val="FF0000"/>
          <w:szCs w:val="24"/>
          <w:lang w:val="en-NZ" w:eastAsia="zh-CN"/>
        </w:rPr>
        <w:t xml:space="preserve">interactions </w:t>
      </w:r>
      <w:r w:rsidR="002D7952">
        <w:rPr>
          <w:rFonts w:eastAsiaTheme="minorEastAsia" w:cs="Times New Roman"/>
          <w:color w:val="FF0000"/>
          <w:szCs w:val="24"/>
          <w:lang w:val="en-NZ" w:eastAsia="zh-CN"/>
        </w:rPr>
        <w:t>with</w:t>
      </w:r>
      <w:r w:rsidR="00374493">
        <w:rPr>
          <w:rFonts w:eastAsiaTheme="minorEastAsia" w:cs="Times New Roman"/>
          <w:color w:val="FF0000"/>
          <w:szCs w:val="24"/>
          <w:lang w:val="en-NZ" w:eastAsia="zh-CN"/>
        </w:rPr>
        <w:t xml:space="preserve"> others </w:t>
      </w:r>
      <w:r w:rsidR="006A68F6">
        <w:rPr>
          <w:rFonts w:eastAsiaTheme="minorEastAsia" w:cs="Times New Roman"/>
          <w:color w:val="FF0000"/>
          <w:szCs w:val="24"/>
          <w:lang w:val="en-NZ" w:eastAsia="zh-CN"/>
        </w:rPr>
        <w:t>(</w:t>
      </w:r>
      <w:r w:rsidR="00374493">
        <w:rPr>
          <w:rFonts w:eastAsiaTheme="minorEastAsia" w:cs="Times New Roman"/>
          <w:color w:val="FF0000"/>
          <w:szCs w:val="24"/>
          <w:lang w:val="en-NZ" w:eastAsia="zh-CN"/>
        </w:rPr>
        <w:t xml:space="preserve">both guests and </w:t>
      </w:r>
      <w:r w:rsidR="002F29FC">
        <w:rPr>
          <w:rFonts w:eastAsiaTheme="minorEastAsia" w:cs="Times New Roman"/>
          <w:color w:val="FF0000"/>
          <w:szCs w:val="24"/>
          <w:lang w:val="en-NZ" w:eastAsia="zh-CN"/>
        </w:rPr>
        <w:t xml:space="preserve">other </w:t>
      </w:r>
      <w:r w:rsidR="00374493">
        <w:rPr>
          <w:rFonts w:eastAsiaTheme="minorEastAsia" w:cs="Times New Roman"/>
          <w:color w:val="FF0000"/>
          <w:szCs w:val="24"/>
          <w:lang w:val="en-NZ" w:eastAsia="zh-CN"/>
        </w:rPr>
        <w:t>hosts</w:t>
      </w:r>
      <w:r w:rsidR="006A68F6">
        <w:rPr>
          <w:rFonts w:eastAsiaTheme="minorEastAsia" w:cs="Times New Roman"/>
          <w:color w:val="FF0000"/>
          <w:szCs w:val="24"/>
          <w:lang w:val="en-NZ" w:eastAsia="zh-CN"/>
        </w:rPr>
        <w:t>)</w:t>
      </w:r>
      <w:r w:rsidR="00374493">
        <w:rPr>
          <w:rFonts w:eastAsiaTheme="minorEastAsia" w:cs="Times New Roman"/>
          <w:color w:val="FF0000"/>
          <w:szCs w:val="24"/>
          <w:lang w:val="en-NZ" w:eastAsia="zh-CN"/>
        </w:rPr>
        <w:t xml:space="preserve"> </w:t>
      </w:r>
      <w:r w:rsidR="002262F1">
        <w:rPr>
          <w:rFonts w:eastAsiaTheme="minorEastAsia" w:cs="Times New Roman"/>
          <w:color w:val="FF0000"/>
          <w:szCs w:val="24"/>
          <w:lang w:val="en-NZ" w:eastAsia="zh-CN"/>
        </w:rPr>
        <w:t xml:space="preserve">make her </w:t>
      </w:r>
      <w:r w:rsidR="00374493">
        <w:rPr>
          <w:rFonts w:eastAsiaTheme="minorEastAsia" w:cs="Times New Roman"/>
          <w:color w:val="FF0000"/>
          <w:szCs w:val="24"/>
          <w:lang w:val="en-NZ" w:eastAsia="zh-CN"/>
        </w:rPr>
        <w:t xml:space="preserve">aware of </w:t>
      </w:r>
      <w:r w:rsidR="00F70249">
        <w:rPr>
          <w:rFonts w:eastAsiaTheme="minorEastAsia" w:cs="Times New Roman"/>
          <w:color w:val="FF0000"/>
          <w:szCs w:val="24"/>
          <w:lang w:val="en-NZ" w:eastAsia="zh-CN"/>
        </w:rPr>
        <w:t>the community of travellers, their shared identity</w:t>
      </w:r>
      <w:r w:rsidR="00F74E91">
        <w:rPr>
          <w:rFonts w:eastAsiaTheme="minorEastAsia" w:cs="Times New Roman"/>
          <w:color w:val="FF0000"/>
          <w:szCs w:val="24"/>
          <w:lang w:val="en-NZ" w:eastAsia="zh-CN"/>
        </w:rPr>
        <w:t>,</w:t>
      </w:r>
      <w:r w:rsidR="00F70249">
        <w:rPr>
          <w:rFonts w:eastAsiaTheme="minorEastAsia" w:cs="Times New Roman"/>
          <w:color w:val="FF0000"/>
          <w:szCs w:val="24"/>
          <w:lang w:val="en-NZ" w:eastAsia="zh-CN"/>
        </w:rPr>
        <w:t xml:space="preserve"> and investment </w:t>
      </w:r>
      <w:r w:rsidR="00C43D2B">
        <w:rPr>
          <w:rFonts w:eastAsiaTheme="minorEastAsia" w:cs="Times New Roman"/>
          <w:color w:val="FF0000"/>
          <w:szCs w:val="24"/>
          <w:lang w:val="en-NZ" w:eastAsia="zh-CN"/>
        </w:rPr>
        <w:t>in</w:t>
      </w:r>
      <w:r w:rsidR="00F70249">
        <w:rPr>
          <w:rFonts w:eastAsiaTheme="minorEastAsia" w:cs="Times New Roman"/>
          <w:color w:val="FF0000"/>
          <w:szCs w:val="24"/>
          <w:lang w:val="en-NZ" w:eastAsia="zh-CN"/>
        </w:rPr>
        <w:t xml:space="preserve"> one another</w:t>
      </w:r>
      <w:r w:rsidR="006A68F6">
        <w:rPr>
          <w:rFonts w:eastAsiaTheme="minorEastAsia" w:cs="Times New Roman"/>
          <w:color w:val="FF0000"/>
          <w:szCs w:val="24"/>
          <w:lang w:val="en-NZ" w:eastAsia="zh-CN"/>
        </w:rPr>
        <w:t xml:space="preserve">’s </w:t>
      </w:r>
      <w:r w:rsidR="00F74E91">
        <w:rPr>
          <w:rFonts w:eastAsiaTheme="minorEastAsia" w:cs="Times New Roman"/>
          <w:color w:val="FF0000"/>
          <w:szCs w:val="24"/>
          <w:lang w:val="en-NZ" w:eastAsia="zh-CN"/>
        </w:rPr>
        <w:t>experiences</w:t>
      </w:r>
      <w:r w:rsidR="00F70249">
        <w:rPr>
          <w:rFonts w:eastAsiaTheme="minorEastAsia" w:cs="Times New Roman"/>
          <w:color w:val="FF0000"/>
          <w:szCs w:val="24"/>
          <w:lang w:val="en-NZ" w:eastAsia="zh-CN"/>
        </w:rPr>
        <w:t xml:space="preserve">. </w:t>
      </w:r>
      <w:r w:rsidR="00F36CF0">
        <w:rPr>
          <w:rFonts w:eastAsiaTheme="minorEastAsia" w:cs="Times New Roman"/>
          <w:color w:val="FF0000"/>
          <w:szCs w:val="24"/>
          <w:lang w:val="en-NZ" w:eastAsia="zh-CN"/>
        </w:rPr>
        <w:t>The functionality of the site enables more than simple ranking</w:t>
      </w:r>
      <w:r w:rsidR="00B508D7">
        <w:rPr>
          <w:rFonts w:eastAsiaTheme="minorEastAsia" w:cs="Times New Roman"/>
          <w:color w:val="FF0000"/>
          <w:szCs w:val="24"/>
          <w:lang w:val="en-NZ" w:eastAsia="zh-CN"/>
        </w:rPr>
        <w:t>, and h</w:t>
      </w:r>
      <w:r w:rsidR="00F70249">
        <w:rPr>
          <w:rFonts w:eastAsiaTheme="minorEastAsia" w:cs="Times New Roman"/>
          <w:color w:val="FF0000"/>
          <w:szCs w:val="24"/>
          <w:lang w:val="en-NZ" w:eastAsia="zh-CN"/>
        </w:rPr>
        <w:t>er</w:t>
      </w:r>
      <w:r w:rsidR="00B508D7">
        <w:rPr>
          <w:rFonts w:eastAsiaTheme="minorEastAsia" w:cs="Times New Roman"/>
          <w:color w:val="FF0000"/>
          <w:szCs w:val="24"/>
          <w:lang w:val="en-NZ" w:eastAsia="zh-CN"/>
        </w:rPr>
        <w:t xml:space="preserve"> </w:t>
      </w:r>
      <w:r w:rsidR="00F70249">
        <w:rPr>
          <w:rFonts w:eastAsiaTheme="minorEastAsia" w:cs="Times New Roman"/>
          <w:color w:val="FF0000"/>
          <w:szCs w:val="24"/>
          <w:lang w:val="en-NZ" w:eastAsia="zh-CN"/>
        </w:rPr>
        <w:t xml:space="preserve">reviews </w:t>
      </w:r>
      <w:r w:rsidR="00AC53FA">
        <w:rPr>
          <w:rFonts w:eastAsiaTheme="minorEastAsia" w:cs="Times New Roman"/>
          <w:color w:val="FF0000"/>
          <w:szCs w:val="24"/>
          <w:lang w:val="en-NZ" w:eastAsia="zh-CN"/>
        </w:rPr>
        <w:t xml:space="preserve">of places she stays </w:t>
      </w:r>
      <w:r w:rsidR="00F70249">
        <w:rPr>
          <w:rFonts w:eastAsiaTheme="minorEastAsia" w:cs="Times New Roman"/>
          <w:color w:val="FF0000"/>
          <w:szCs w:val="24"/>
          <w:lang w:val="en-NZ" w:eastAsia="zh-CN"/>
        </w:rPr>
        <w:t>move beyond</w:t>
      </w:r>
      <w:r w:rsidR="00235470">
        <w:rPr>
          <w:rFonts w:eastAsiaTheme="minorEastAsia" w:cs="Times New Roman"/>
          <w:color w:val="FF0000"/>
          <w:szCs w:val="24"/>
          <w:lang w:val="en-NZ" w:eastAsia="zh-CN"/>
        </w:rPr>
        <w:t xml:space="preserve"> short descriptions</w:t>
      </w:r>
      <w:r w:rsidR="00AC53FA">
        <w:rPr>
          <w:rFonts w:eastAsiaTheme="minorEastAsia" w:cs="Times New Roman"/>
          <w:color w:val="FF0000"/>
          <w:szCs w:val="24"/>
          <w:lang w:val="en-NZ" w:eastAsia="zh-CN"/>
        </w:rPr>
        <w:t xml:space="preserve"> </w:t>
      </w:r>
      <w:r w:rsidR="00071E6B">
        <w:rPr>
          <w:rFonts w:eastAsiaTheme="minorEastAsia" w:cs="Times New Roman"/>
          <w:color w:val="FF0000"/>
          <w:szCs w:val="24"/>
          <w:lang w:val="en-NZ" w:eastAsia="zh-CN"/>
        </w:rPr>
        <w:t>to</w:t>
      </w:r>
      <w:r w:rsidR="00427278">
        <w:rPr>
          <w:rFonts w:eastAsiaTheme="minorEastAsia" w:cs="Times New Roman"/>
          <w:color w:val="FF0000"/>
          <w:szCs w:val="24"/>
          <w:lang w:val="en-NZ" w:eastAsia="zh-CN"/>
        </w:rPr>
        <w:t xml:space="preserve"> </w:t>
      </w:r>
      <w:r w:rsidR="004C31A7">
        <w:rPr>
          <w:rFonts w:eastAsiaTheme="minorEastAsia" w:cs="Times New Roman"/>
          <w:color w:val="FF0000"/>
          <w:szCs w:val="24"/>
          <w:lang w:val="en-NZ" w:eastAsia="zh-CN"/>
        </w:rPr>
        <w:t>fulsome recommendations of</w:t>
      </w:r>
      <w:r w:rsidR="009C1038">
        <w:rPr>
          <w:rFonts w:eastAsiaTheme="minorEastAsia" w:cs="Times New Roman"/>
          <w:color w:val="FF0000"/>
          <w:szCs w:val="24"/>
          <w:lang w:val="en-NZ" w:eastAsia="zh-CN"/>
        </w:rPr>
        <w:t xml:space="preserve"> </w:t>
      </w:r>
      <w:r w:rsidR="00BE1913">
        <w:rPr>
          <w:rFonts w:eastAsiaTheme="minorEastAsia" w:cs="Times New Roman"/>
          <w:color w:val="FF0000"/>
          <w:szCs w:val="24"/>
          <w:lang w:val="en-NZ" w:eastAsia="zh-CN"/>
        </w:rPr>
        <w:t>what she thinks</w:t>
      </w:r>
      <w:r w:rsidR="009C1038">
        <w:rPr>
          <w:rFonts w:eastAsiaTheme="minorEastAsia" w:cs="Times New Roman"/>
          <w:color w:val="FF0000"/>
          <w:szCs w:val="24"/>
          <w:lang w:val="en-NZ" w:eastAsia="zh-CN"/>
        </w:rPr>
        <w:t xml:space="preserve"> others </w:t>
      </w:r>
      <w:r w:rsidR="00BE1913">
        <w:rPr>
          <w:rFonts w:eastAsiaTheme="minorEastAsia" w:cs="Times New Roman"/>
          <w:color w:val="FF0000"/>
          <w:szCs w:val="24"/>
          <w:lang w:val="en-NZ" w:eastAsia="zh-CN"/>
        </w:rPr>
        <w:t>would</w:t>
      </w:r>
      <w:r w:rsidR="009C1038">
        <w:rPr>
          <w:rFonts w:eastAsiaTheme="minorEastAsia" w:cs="Times New Roman"/>
          <w:color w:val="FF0000"/>
          <w:szCs w:val="24"/>
          <w:lang w:val="en-NZ" w:eastAsia="zh-CN"/>
        </w:rPr>
        <w:t xml:space="preserve"> enjoy</w:t>
      </w:r>
      <w:r w:rsidR="003720C3">
        <w:rPr>
          <w:rFonts w:eastAsiaTheme="minorEastAsia" w:cs="Times New Roman"/>
          <w:color w:val="FF0000"/>
          <w:szCs w:val="24"/>
          <w:lang w:val="en-NZ" w:eastAsia="zh-CN"/>
        </w:rPr>
        <w:t xml:space="preserve">, </w:t>
      </w:r>
      <w:r w:rsidR="00E130BE">
        <w:rPr>
          <w:rFonts w:eastAsiaTheme="minorEastAsia" w:cs="Times New Roman"/>
          <w:color w:val="FF0000"/>
          <w:szCs w:val="24"/>
          <w:lang w:val="en-NZ" w:eastAsia="zh-CN"/>
        </w:rPr>
        <w:t>including</w:t>
      </w:r>
      <w:r w:rsidR="003720C3">
        <w:rPr>
          <w:rFonts w:eastAsiaTheme="minorEastAsia" w:cs="Times New Roman"/>
          <w:color w:val="FF0000"/>
          <w:szCs w:val="24"/>
          <w:lang w:val="en-NZ" w:eastAsia="zh-CN"/>
        </w:rPr>
        <w:t xml:space="preserve"> local restauran</w:t>
      </w:r>
      <w:r w:rsidR="001356C5">
        <w:rPr>
          <w:rFonts w:eastAsiaTheme="minorEastAsia" w:cs="Times New Roman"/>
          <w:color w:val="FF0000"/>
          <w:szCs w:val="24"/>
          <w:lang w:val="en-NZ" w:eastAsia="zh-CN"/>
        </w:rPr>
        <w:t>t</w:t>
      </w:r>
      <w:r w:rsidR="003720C3">
        <w:rPr>
          <w:rFonts w:eastAsiaTheme="minorEastAsia" w:cs="Times New Roman"/>
          <w:color w:val="FF0000"/>
          <w:szCs w:val="24"/>
          <w:lang w:val="en-NZ" w:eastAsia="zh-CN"/>
        </w:rPr>
        <w:t>s</w:t>
      </w:r>
      <w:r w:rsidR="001356C5">
        <w:rPr>
          <w:rFonts w:eastAsiaTheme="minorEastAsia" w:cs="Times New Roman"/>
          <w:color w:val="FF0000"/>
          <w:szCs w:val="24"/>
          <w:lang w:val="en-NZ" w:eastAsia="zh-CN"/>
        </w:rPr>
        <w:t xml:space="preserve"> and attractions</w:t>
      </w:r>
      <w:r w:rsidR="009C1038">
        <w:rPr>
          <w:rFonts w:eastAsiaTheme="minorEastAsia" w:cs="Times New Roman"/>
          <w:color w:val="FF0000"/>
          <w:szCs w:val="24"/>
          <w:lang w:val="en-NZ" w:eastAsia="zh-CN"/>
        </w:rPr>
        <w:t>.</w:t>
      </w:r>
      <w:r w:rsidR="00BE1913">
        <w:rPr>
          <w:rFonts w:eastAsiaTheme="minorEastAsia" w:cs="Times New Roman"/>
          <w:color w:val="FF0000"/>
          <w:szCs w:val="24"/>
          <w:lang w:val="en-NZ" w:eastAsia="zh-CN"/>
        </w:rPr>
        <w:t xml:space="preserve"> As a host, she </w:t>
      </w:r>
      <w:r w:rsidR="00066D36">
        <w:rPr>
          <w:rFonts w:eastAsiaTheme="minorEastAsia" w:cs="Times New Roman"/>
          <w:color w:val="FF0000"/>
          <w:szCs w:val="24"/>
          <w:lang w:val="en-NZ" w:eastAsia="zh-CN"/>
        </w:rPr>
        <w:t>voluntarily messages her previous guests to wish them well</w:t>
      </w:r>
      <w:r w:rsidR="00951994">
        <w:rPr>
          <w:rFonts w:eastAsiaTheme="minorEastAsia" w:cs="Times New Roman"/>
          <w:color w:val="FF0000"/>
          <w:szCs w:val="24"/>
          <w:lang w:val="en-NZ" w:eastAsia="zh-CN"/>
        </w:rPr>
        <w:t xml:space="preserve"> and update them on goings on in the neighbourhood</w:t>
      </w:r>
      <w:r w:rsidR="00066D36">
        <w:rPr>
          <w:rFonts w:eastAsiaTheme="minorEastAsia" w:cs="Times New Roman"/>
          <w:color w:val="FF0000"/>
          <w:szCs w:val="24"/>
          <w:lang w:val="en-NZ" w:eastAsia="zh-CN"/>
        </w:rPr>
        <w:t>.</w:t>
      </w:r>
      <w:r w:rsidR="00CA3396">
        <w:rPr>
          <w:rFonts w:eastAsiaTheme="minorEastAsia" w:cs="Times New Roman"/>
          <w:color w:val="FF0000"/>
          <w:szCs w:val="24"/>
          <w:lang w:val="en-NZ" w:eastAsia="zh-CN"/>
        </w:rPr>
        <w:t xml:space="preserve"> </w:t>
      </w:r>
    </w:p>
    <w:p w14:paraId="2A14ED7F" w14:textId="01B8EBC9" w:rsidR="001356C5" w:rsidRDefault="00000AC7" w:rsidP="001356C5">
      <w:pPr>
        <w:widowControl w:val="0"/>
        <w:spacing w:after="0" w:line="480" w:lineRule="auto"/>
        <w:ind w:firstLine="720"/>
        <w:rPr>
          <w:rFonts w:eastAsiaTheme="minorEastAsia" w:cs="Times New Roman"/>
          <w:color w:val="FF0000"/>
          <w:szCs w:val="24"/>
          <w:lang w:val="en-NZ" w:eastAsia="zh-CN"/>
        </w:rPr>
      </w:pPr>
      <w:r>
        <w:rPr>
          <w:rFonts w:eastAsiaTheme="minorEastAsia" w:cs="Times New Roman"/>
          <w:color w:val="FF0000"/>
          <w:szCs w:val="24"/>
          <w:lang w:val="en-NZ" w:eastAsia="zh-CN"/>
        </w:rPr>
        <w:t>These</w:t>
      </w:r>
      <w:r w:rsidR="00FF7E5C">
        <w:rPr>
          <w:rFonts w:eastAsiaTheme="minorEastAsia" w:cs="Times New Roman"/>
          <w:color w:val="FF0000"/>
          <w:szCs w:val="24"/>
          <w:lang w:val="en-NZ" w:eastAsia="zh-CN"/>
        </w:rPr>
        <w:t xml:space="preserve"> three examples </w:t>
      </w:r>
      <w:r w:rsidR="003324E2">
        <w:rPr>
          <w:rFonts w:eastAsiaTheme="minorEastAsia" w:cs="Times New Roman"/>
          <w:color w:val="FF0000"/>
          <w:szCs w:val="24"/>
          <w:lang w:val="en-NZ" w:eastAsia="zh-CN"/>
        </w:rPr>
        <w:t xml:space="preserve">illustrate </w:t>
      </w:r>
      <w:r w:rsidR="00FF7E5C">
        <w:rPr>
          <w:rFonts w:eastAsiaTheme="minorEastAsia" w:cs="Times New Roman"/>
          <w:color w:val="FF0000"/>
          <w:szCs w:val="24"/>
          <w:lang w:val="en-NZ" w:eastAsia="zh-CN"/>
        </w:rPr>
        <w:t xml:space="preserve">how platform users </w:t>
      </w:r>
      <w:r w:rsidR="00DD7691">
        <w:rPr>
          <w:rFonts w:eastAsiaTheme="minorEastAsia" w:cs="Times New Roman"/>
          <w:color w:val="FF0000"/>
          <w:szCs w:val="24"/>
          <w:lang w:val="en-NZ" w:eastAsia="zh-CN"/>
        </w:rPr>
        <w:t xml:space="preserve">are </w:t>
      </w:r>
      <w:r w:rsidR="00FF7E5C">
        <w:rPr>
          <w:rFonts w:eastAsiaTheme="minorEastAsia" w:cs="Times New Roman"/>
          <w:color w:val="FF0000"/>
          <w:szCs w:val="24"/>
          <w:lang w:val="en-NZ" w:eastAsia="zh-CN"/>
        </w:rPr>
        <w:t xml:space="preserve">initially </w:t>
      </w:r>
      <w:r w:rsidR="00DD7691">
        <w:rPr>
          <w:rFonts w:eastAsiaTheme="minorEastAsia" w:cs="Times New Roman"/>
          <w:color w:val="FF0000"/>
          <w:szCs w:val="24"/>
          <w:lang w:val="en-NZ" w:eastAsia="zh-CN"/>
        </w:rPr>
        <w:t>drawn to</w:t>
      </w:r>
      <w:r w:rsidR="00FF7E5C">
        <w:rPr>
          <w:rFonts w:eastAsiaTheme="minorEastAsia" w:cs="Times New Roman"/>
          <w:color w:val="FF0000"/>
          <w:szCs w:val="24"/>
          <w:lang w:val="en-NZ" w:eastAsia="zh-CN"/>
        </w:rPr>
        <w:t xml:space="preserve"> a platform that satisfies their needs. Through their interactions the</w:t>
      </w:r>
      <w:r w:rsidR="003B08F6">
        <w:rPr>
          <w:rFonts w:eastAsiaTheme="minorEastAsia" w:cs="Times New Roman"/>
          <w:color w:val="FF0000"/>
          <w:szCs w:val="24"/>
          <w:lang w:val="en-NZ" w:eastAsia="zh-CN"/>
        </w:rPr>
        <w:t xml:space="preserve">y become aware of investing themselves, controlling, and coming to know </w:t>
      </w:r>
      <w:r w:rsidR="005B3646">
        <w:rPr>
          <w:rFonts w:eastAsiaTheme="minorEastAsia" w:cs="Times New Roman"/>
          <w:color w:val="FF0000"/>
          <w:szCs w:val="24"/>
          <w:lang w:val="en-NZ" w:eastAsia="zh-CN"/>
        </w:rPr>
        <w:t>the</w:t>
      </w:r>
      <w:r w:rsidR="003B08F6">
        <w:rPr>
          <w:rFonts w:eastAsiaTheme="minorEastAsia" w:cs="Times New Roman"/>
          <w:color w:val="FF0000"/>
          <w:szCs w:val="24"/>
          <w:lang w:val="en-NZ" w:eastAsia="zh-CN"/>
        </w:rPr>
        <w:t xml:space="preserve"> target of their iPO, </w:t>
      </w:r>
      <w:r w:rsidR="006762D8">
        <w:rPr>
          <w:rFonts w:eastAsiaTheme="minorEastAsia" w:cs="Times New Roman"/>
          <w:color w:val="FF0000"/>
          <w:szCs w:val="24"/>
          <w:lang w:val="en-NZ" w:eastAsia="zh-CN"/>
        </w:rPr>
        <w:t>reflected in</w:t>
      </w:r>
      <w:r w:rsidR="00243FED">
        <w:rPr>
          <w:rFonts w:eastAsiaTheme="minorEastAsia" w:cs="Times New Roman"/>
          <w:color w:val="FF0000"/>
          <w:szCs w:val="24"/>
          <w:lang w:val="en-NZ" w:eastAsia="zh-CN"/>
        </w:rPr>
        <w:t xml:space="preserve"> factors </w:t>
      </w:r>
      <w:r w:rsidR="006762D8">
        <w:rPr>
          <w:rFonts w:eastAsiaTheme="minorEastAsia" w:cs="Times New Roman"/>
          <w:color w:val="FF0000"/>
          <w:szCs w:val="24"/>
          <w:lang w:val="en-NZ" w:eastAsia="zh-CN"/>
        </w:rPr>
        <w:t xml:space="preserve">like </w:t>
      </w:r>
      <w:r w:rsidR="003B08F6">
        <w:rPr>
          <w:rFonts w:eastAsiaTheme="minorEastAsia" w:cs="Times New Roman"/>
          <w:color w:val="FF0000"/>
          <w:szCs w:val="24"/>
          <w:lang w:val="en-NZ" w:eastAsia="zh-CN"/>
        </w:rPr>
        <w:t>the</w:t>
      </w:r>
      <w:r w:rsidR="006762D8">
        <w:rPr>
          <w:rFonts w:eastAsiaTheme="minorEastAsia" w:cs="Times New Roman"/>
          <w:color w:val="FF0000"/>
          <w:szCs w:val="24"/>
          <w:lang w:val="en-NZ" w:eastAsia="zh-CN"/>
        </w:rPr>
        <w:t xml:space="preserve"> quality or outcome of the </w:t>
      </w:r>
      <w:r w:rsidR="003B08F6">
        <w:rPr>
          <w:rFonts w:eastAsiaTheme="minorEastAsia" w:cs="Times New Roman"/>
          <w:color w:val="FF0000"/>
          <w:szCs w:val="24"/>
          <w:lang w:val="en-NZ" w:eastAsia="zh-CN"/>
        </w:rPr>
        <w:t>service offering, the brand</w:t>
      </w:r>
      <w:r w:rsidR="006762D8">
        <w:rPr>
          <w:rFonts w:eastAsiaTheme="minorEastAsia" w:cs="Times New Roman"/>
          <w:color w:val="FF0000"/>
          <w:szCs w:val="24"/>
          <w:lang w:val="en-NZ" w:eastAsia="zh-CN"/>
        </w:rPr>
        <w:t xml:space="preserve"> meaning</w:t>
      </w:r>
      <w:r w:rsidR="003B08F6">
        <w:rPr>
          <w:rFonts w:eastAsiaTheme="minorEastAsia" w:cs="Times New Roman"/>
          <w:color w:val="FF0000"/>
          <w:szCs w:val="24"/>
          <w:lang w:val="en-NZ" w:eastAsia="zh-CN"/>
        </w:rPr>
        <w:t xml:space="preserve">, </w:t>
      </w:r>
      <w:r w:rsidR="00DD7691">
        <w:rPr>
          <w:rFonts w:eastAsiaTheme="minorEastAsia" w:cs="Times New Roman"/>
          <w:color w:val="FF0000"/>
          <w:szCs w:val="24"/>
          <w:lang w:val="en-NZ" w:eastAsia="zh-CN"/>
        </w:rPr>
        <w:t xml:space="preserve">or </w:t>
      </w:r>
      <w:r w:rsidR="003B08F6">
        <w:rPr>
          <w:rFonts w:eastAsiaTheme="minorEastAsia" w:cs="Times New Roman"/>
          <w:color w:val="FF0000"/>
          <w:szCs w:val="24"/>
          <w:lang w:val="en-NZ" w:eastAsia="zh-CN"/>
        </w:rPr>
        <w:t>the platform’s functionality.</w:t>
      </w:r>
      <w:r w:rsidR="00243FED">
        <w:rPr>
          <w:rFonts w:eastAsiaTheme="minorEastAsia" w:cs="Times New Roman"/>
          <w:color w:val="FF0000"/>
          <w:szCs w:val="24"/>
          <w:lang w:val="en-NZ" w:eastAsia="zh-CN"/>
        </w:rPr>
        <w:t xml:space="preserve"> A user </w:t>
      </w:r>
      <w:r w:rsidR="00E22E8E">
        <w:rPr>
          <w:rFonts w:eastAsiaTheme="minorEastAsia" w:cs="Times New Roman"/>
          <w:color w:val="FF0000"/>
          <w:szCs w:val="24"/>
          <w:lang w:val="en-NZ" w:eastAsia="zh-CN"/>
        </w:rPr>
        <w:t xml:space="preserve">then </w:t>
      </w:r>
      <w:r w:rsidR="00E22E8E">
        <w:rPr>
          <w:rFonts w:eastAsiaTheme="minorEastAsia" w:cs="Times New Roman"/>
          <w:color w:val="FF0000"/>
          <w:szCs w:val="24"/>
          <w:lang w:val="en-NZ" w:eastAsia="zh-CN"/>
        </w:rPr>
        <w:lastRenderedPageBreak/>
        <w:t>manifests pos</w:t>
      </w:r>
      <w:r w:rsidR="00EE7CC2">
        <w:rPr>
          <w:rFonts w:eastAsiaTheme="minorEastAsia" w:cs="Times New Roman"/>
          <w:color w:val="FF0000"/>
          <w:szCs w:val="24"/>
          <w:lang w:val="en-NZ" w:eastAsia="zh-CN"/>
        </w:rPr>
        <w:t>i</w:t>
      </w:r>
      <w:r w:rsidR="00E22E8E">
        <w:rPr>
          <w:rFonts w:eastAsiaTheme="minorEastAsia" w:cs="Times New Roman"/>
          <w:color w:val="FF0000"/>
          <w:szCs w:val="24"/>
          <w:lang w:val="en-NZ" w:eastAsia="zh-CN"/>
        </w:rPr>
        <w:t>tive</w:t>
      </w:r>
      <w:r w:rsidR="00243FED">
        <w:rPr>
          <w:rFonts w:eastAsiaTheme="minorEastAsia" w:cs="Times New Roman"/>
          <w:color w:val="FF0000"/>
          <w:szCs w:val="24"/>
          <w:lang w:val="en-NZ" w:eastAsia="zh-CN"/>
        </w:rPr>
        <w:t xml:space="preserve"> engagement towards the brand</w:t>
      </w:r>
      <w:r w:rsidR="0010570C">
        <w:rPr>
          <w:rFonts w:eastAsiaTheme="minorEastAsia" w:cs="Times New Roman"/>
          <w:color w:val="FF0000"/>
          <w:szCs w:val="24"/>
          <w:lang w:val="en-NZ" w:eastAsia="zh-CN"/>
        </w:rPr>
        <w:t>. I</w:t>
      </w:r>
      <w:r w:rsidR="00015B97">
        <w:rPr>
          <w:rFonts w:eastAsiaTheme="minorEastAsia" w:cs="Times New Roman"/>
          <w:color w:val="FF0000"/>
          <w:szCs w:val="24"/>
          <w:lang w:val="en-NZ" w:eastAsia="zh-CN"/>
        </w:rPr>
        <w:t>f that engagement reinforces iPO causes further,</w:t>
      </w:r>
      <w:r w:rsidR="00243FED">
        <w:rPr>
          <w:rFonts w:eastAsiaTheme="minorEastAsia" w:cs="Times New Roman"/>
          <w:color w:val="FF0000"/>
          <w:szCs w:val="24"/>
          <w:lang w:val="en-NZ" w:eastAsia="zh-CN"/>
        </w:rPr>
        <w:t xml:space="preserve"> their </w:t>
      </w:r>
      <w:r w:rsidR="00577B83">
        <w:rPr>
          <w:rFonts w:eastAsiaTheme="minorEastAsia" w:cs="Times New Roman"/>
          <w:color w:val="FF0000"/>
          <w:szCs w:val="24"/>
          <w:lang w:val="en-NZ" w:eastAsia="zh-CN"/>
        </w:rPr>
        <w:t>engagement disposition and activities</w:t>
      </w:r>
      <w:r w:rsidR="00243FED">
        <w:rPr>
          <w:rFonts w:eastAsiaTheme="minorEastAsia" w:cs="Times New Roman"/>
          <w:color w:val="FF0000"/>
          <w:szCs w:val="24"/>
          <w:lang w:val="en-NZ" w:eastAsia="zh-CN"/>
        </w:rPr>
        <w:t xml:space="preserve"> increase</w:t>
      </w:r>
      <w:r w:rsidR="00577B83">
        <w:rPr>
          <w:rFonts w:eastAsiaTheme="minorEastAsia" w:cs="Times New Roman"/>
          <w:color w:val="FF0000"/>
          <w:szCs w:val="24"/>
          <w:lang w:val="en-NZ" w:eastAsia="zh-CN"/>
        </w:rPr>
        <w:t xml:space="preserve"> further again</w:t>
      </w:r>
      <w:r w:rsidR="00243FED">
        <w:rPr>
          <w:rFonts w:eastAsiaTheme="minorEastAsia" w:cs="Times New Roman"/>
          <w:color w:val="FF0000"/>
          <w:szCs w:val="24"/>
          <w:lang w:val="en-NZ" w:eastAsia="zh-CN"/>
        </w:rPr>
        <w:t xml:space="preserve">. </w:t>
      </w:r>
      <w:r w:rsidR="00577B83">
        <w:rPr>
          <w:rFonts w:eastAsiaTheme="minorEastAsia" w:cs="Times New Roman"/>
          <w:color w:val="FF0000"/>
          <w:szCs w:val="24"/>
          <w:lang w:val="en-NZ" w:eastAsia="zh-CN"/>
        </w:rPr>
        <w:t>I</w:t>
      </w:r>
      <w:r w:rsidR="005718E7">
        <w:rPr>
          <w:rFonts w:eastAsiaTheme="minorEastAsia" w:cs="Times New Roman"/>
          <w:color w:val="FF0000"/>
          <w:szCs w:val="24"/>
          <w:lang w:val="en-NZ" w:eastAsia="zh-CN"/>
        </w:rPr>
        <w:t xml:space="preserve">f the platform </w:t>
      </w:r>
      <w:r w:rsidR="00577B83">
        <w:rPr>
          <w:rFonts w:eastAsiaTheme="minorEastAsia" w:cs="Times New Roman"/>
          <w:color w:val="FF0000"/>
          <w:szCs w:val="24"/>
          <w:lang w:val="en-NZ" w:eastAsia="zh-CN"/>
        </w:rPr>
        <w:t xml:space="preserve">functionality </w:t>
      </w:r>
      <w:r w:rsidR="005718E7">
        <w:rPr>
          <w:rFonts w:eastAsiaTheme="minorEastAsia" w:cs="Times New Roman"/>
          <w:color w:val="FF0000"/>
          <w:szCs w:val="24"/>
          <w:lang w:val="en-NZ" w:eastAsia="zh-CN"/>
        </w:rPr>
        <w:t>enables it, the user may become aware of the community of users on the platform</w:t>
      </w:r>
      <w:r w:rsidR="00744996">
        <w:rPr>
          <w:rFonts w:eastAsiaTheme="minorEastAsia" w:cs="Times New Roman"/>
          <w:color w:val="FF0000"/>
          <w:szCs w:val="24"/>
          <w:lang w:val="en-NZ" w:eastAsia="zh-CN"/>
        </w:rPr>
        <w:t xml:space="preserve"> with shared identity, knowing, and self-investment</w:t>
      </w:r>
      <w:r w:rsidR="004C1AF4">
        <w:rPr>
          <w:rFonts w:eastAsiaTheme="minorEastAsia" w:cs="Times New Roman"/>
          <w:color w:val="FF0000"/>
          <w:szCs w:val="24"/>
          <w:lang w:val="en-NZ" w:eastAsia="zh-CN"/>
        </w:rPr>
        <w:t xml:space="preserve">. cPO emerges and with it, collective engagement. </w:t>
      </w:r>
      <w:r w:rsidR="008D4A90">
        <w:rPr>
          <w:rFonts w:eastAsiaTheme="minorEastAsia" w:cs="Times New Roman"/>
          <w:color w:val="FF0000"/>
          <w:szCs w:val="24"/>
          <w:lang w:val="en-NZ" w:eastAsia="zh-CN"/>
        </w:rPr>
        <w:t xml:space="preserve">As a result, the user engages in activities intended to benefit the collective as well </w:t>
      </w:r>
      <w:r w:rsidR="00721693">
        <w:rPr>
          <w:rFonts w:eastAsiaTheme="minorEastAsia" w:cs="Times New Roman"/>
          <w:color w:val="FF0000"/>
          <w:szCs w:val="24"/>
          <w:lang w:val="en-NZ" w:eastAsia="zh-CN"/>
        </w:rPr>
        <w:t>a</w:t>
      </w:r>
      <w:r w:rsidR="008D4A90">
        <w:rPr>
          <w:rFonts w:eastAsiaTheme="minorEastAsia" w:cs="Times New Roman"/>
          <w:color w:val="FF0000"/>
          <w:szCs w:val="24"/>
          <w:lang w:val="en-NZ" w:eastAsia="zh-CN"/>
        </w:rPr>
        <w:t>s the platform and themselves.</w:t>
      </w:r>
      <w:r w:rsidR="008A3133">
        <w:rPr>
          <w:rFonts w:eastAsiaTheme="minorEastAsia" w:cs="Times New Roman"/>
          <w:color w:val="FF0000"/>
          <w:szCs w:val="24"/>
          <w:lang w:val="en-NZ" w:eastAsia="zh-CN"/>
        </w:rPr>
        <w:t xml:space="preserve"> </w:t>
      </w:r>
      <w:r w:rsidR="0070527F">
        <w:rPr>
          <w:rFonts w:eastAsiaTheme="minorEastAsia" w:cs="Times New Roman"/>
          <w:color w:val="FF0000"/>
          <w:szCs w:val="24"/>
          <w:lang w:val="en-NZ" w:eastAsia="zh-CN"/>
        </w:rPr>
        <w:t xml:space="preserve">We now conclude with </w:t>
      </w:r>
      <w:r w:rsidR="004251EA">
        <w:rPr>
          <w:rFonts w:eastAsiaTheme="minorEastAsia" w:cs="Times New Roman"/>
          <w:color w:val="FF0000"/>
          <w:szCs w:val="24"/>
          <w:lang w:val="en-NZ" w:eastAsia="zh-CN"/>
        </w:rPr>
        <w:t>our</w:t>
      </w:r>
      <w:r w:rsidR="0070527F">
        <w:rPr>
          <w:rFonts w:eastAsiaTheme="minorEastAsia" w:cs="Times New Roman"/>
          <w:color w:val="FF0000"/>
          <w:szCs w:val="24"/>
          <w:lang w:val="en-NZ" w:eastAsia="zh-CN"/>
        </w:rPr>
        <w:t xml:space="preserve"> contribution</w:t>
      </w:r>
      <w:r w:rsidR="004251EA">
        <w:rPr>
          <w:rFonts w:eastAsiaTheme="minorEastAsia" w:cs="Times New Roman"/>
          <w:color w:val="FF0000"/>
          <w:szCs w:val="24"/>
          <w:lang w:val="en-NZ" w:eastAsia="zh-CN"/>
        </w:rPr>
        <w:t xml:space="preserve"> and </w:t>
      </w:r>
      <w:r w:rsidR="0070527F">
        <w:rPr>
          <w:rFonts w:eastAsiaTheme="minorEastAsia" w:cs="Times New Roman"/>
          <w:color w:val="FF0000"/>
          <w:szCs w:val="24"/>
          <w:lang w:val="en-NZ" w:eastAsia="zh-CN"/>
        </w:rPr>
        <w:t>implications</w:t>
      </w:r>
      <w:r w:rsidR="00D2050E">
        <w:rPr>
          <w:rFonts w:eastAsiaTheme="minorEastAsia" w:cs="Times New Roman"/>
          <w:color w:val="FF0000"/>
          <w:szCs w:val="24"/>
          <w:lang w:val="en-NZ" w:eastAsia="zh-CN"/>
        </w:rPr>
        <w:t xml:space="preserve">, </w:t>
      </w:r>
      <w:r w:rsidR="0070527F">
        <w:rPr>
          <w:rFonts w:eastAsiaTheme="minorEastAsia" w:cs="Times New Roman"/>
          <w:color w:val="FF0000"/>
          <w:szCs w:val="24"/>
          <w:lang w:val="en-NZ" w:eastAsia="zh-CN"/>
        </w:rPr>
        <w:t xml:space="preserve">and </w:t>
      </w:r>
      <w:r w:rsidR="00721693">
        <w:rPr>
          <w:rFonts w:eastAsiaTheme="minorEastAsia" w:cs="Times New Roman"/>
          <w:color w:val="FF0000"/>
          <w:szCs w:val="24"/>
          <w:lang w:val="en-NZ" w:eastAsia="zh-CN"/>
        </w:rPr>
        <w:t xml:space="preserve">suggestions for </w:t>
      </w:r>
      <w:r w:rsidR="0070527F">
        <w:rPr>
          <w:rFonts w:eastAsiaTheme="minorEastAsia" w:cs="Times New Roman"/>
          <w:color w:val="FF0000"/>
          <w:szCs w:val="24"/>
          <w:lang w:val="en-NZ" w:eastAsia="zh-CN"/>
        </w:rPr>
        <w:t>future research.</w:t>
      </w:r>
    </w:p>
    <w:p w14:paraId="082F6375" w14:textId="77777777" w:rsidR="008D4A90" w:rsidRPr="005F2A26" w:rsidRDefault="008D4A90" w:rsidP="001356C5">
      <w:pPr>
        <w:widowControl w:val="0"/>
        <w:spacing w:after="0" w:line="480" w:lineRule="auto"/>
        <w:ind w:firstLine="720"/>
        <w:rPr>
          <w:rFonts w:cs="Times New Roman"/>
          <w:b/>
          <w:szCs w:val="24"/>
          <w:lang w:val="en-US"/>
        </w:rPr>
      </w:pPr>
    </w:p>
    <w:p w14:paraId="5BABBCBC" w14:textId="0B31C5B2" w:rsidR="002D6868" w:rsidRPr="005F2A26" w:rsidRDefault="00356D1E" w:rsidP="0011742F">
      <w:pPr>
        <w:keepNext/>
        <w:spacing w:after="0" w:line="480" w:lineRule="auto"/>
        <w:rPr>
          <w:rFonts w:cs="Times New Roman"/>
          <w:b/>
          <w:szCs w:val="24"/>
          <w:lang w:val="en-US"/>
        </w:rPr>
      </w:pPr>
      <w:r w:rsidRPr="005F2A26">
        <w:rPr>
          <w:rFonts w:cs="Times New Roman"/>
          <w:b/>
          <w:szCs w:val="24"/>
          <w:lang w:val="en-US"/>
        </w:rPr>
        <w:t>Conclusion</w:t>
      </w:r>
    </w:p>
    <w:p w14:paraId="0047C88F" w14:textId="7722A34A" w:rsidR="00830252" w:rsidRPr="005F2A26" w:rsidRDefault="00830252">
      <w:pPr>
        <w:keepNext/>
        <w:spacing w:after="0" w:line="480" w:lineRule="auto"/>
        <w:rPr>
          <w:bCs/>
          <w:i/>
          <w:iCs/>
          <w:lang w:val="en-US"/>
        </w:rPr>
      </w:pPr>
      <w:r w:rsidRPr="005F2A26">
        <w:rPr>
          <w:bCs/>
          <w:i/>
          <w:iCs/>
          <w:lang w:val="en-US"/>
        </w:rPr>
        <w:t xml:space="preserve">Theoretical Contribution </w:t>
      </w:r>
    </w:p>
    <w:p w14:paraId="119946B6" w14:textId="425D220C" w:rsidR="002C0E6D" w:rsidRDefault="00420931" w:rsidP="00EF1E17">
      <w:pPr>
        <w:keepNext/>
        <w:autoSpaceDE w:val="0"/>
        <w:autoSpaceDN w:val="0"/>
        <w:adjustRightInd w:val="0"/>
        <w:spacing w:after="0" w:line="480" w:lineRule="auto"/>
        <w:rPr>
          <w:rFonts w:eastAsiaTheme="minorEastAsia" w:cs="Times New Roman"/>
          <w:szCs w:val="24"/>
          <w:lang w:val="en-US" w:eastAsia="zh-CN"/>
        </w:rPr>
      </w:pPr>
      <w:r w:rsidRPr="005F2A26">
        <w:rPr>
          <w:rFonts w:cs="Times New Roman"/>
          <w:szCs w:val="24"/>
          <w:lang w:val="en-US"/>
        </w:rPr>
        <w:t>This study</w:t>
      </w:r>
      <w:r w:rsidR="00830252" w:rsidRPr="005F2A26">
        <w:rPr>
          <w:rFonts w:cs="Times New Roman"/>
          <w:szCs w:val="24"/>
          <w:lang w:val="en-US"/>
        </w:rPr>
        <w:t xml:space="preserve"> make</w:t>
      </w:r>
      <w:r w:rsidRPr="005F2A26">
        <w:rPr>
          <w:rFonts w:cs="Times New Roman"/>
          <w:szCs w:val="24"/>
          <w:lang w:val="en-US"/>
        </w:rPr>
        <w:t>s</w:t>
      </w:r>
      <w:r w:rsidR="00830252" w:rsidRPr="005F2A26">
        <w:rPr>
          <w:rFonts w:cs="Times New Roman"/>
          <w:szCs w:val="24"/>
          <w:lang w:val="en-US"/>
        </w:rPr>
        <w:t xml:space="preserve"> </w:t>
      </w:r>
      <w:r w:rsidR="00F22D4E" w:rsidRPr="005F2A26">
        <w:rPr>
          <w:rFonts w:cs="Times New Roman"/>
          <w:szCs w:val="24"/>
          <w:lang w:val="en-US"/>
        </w:rPr>
        <w:t xml:space="preserve">four </w:t>
      </w:r>
      <w:r w:rsidR="001A4CDB" w:rsidRPr="005F2A26">
        <w:rPr>
          <w:rFonts w:cs="Times New Roman"/>
          <w:szCs w:val="24"/>
          <w:lang w:val="en-US"/>
        </w:rPr>
        <w:t xml:space="preserve">main </w:t>
      </w:r>
      <w:r w:rsidR="00830252" w:rsidRPr="005F2A26">
        <w:rPr>
          <w:rFonts w:cs="Times New Roman"/>
          <w:szCs w:val="24"/>
          <w:lang w:val="en-US"/>
        </w:rPr>
        <w:t>contributions</w:t>
      </w:r>
      <w:r w:rsidR="006925DA" w:rsidRPr="005F2A26">
        <w:rPr>
          <w:rFonts w:cs="Times New Roman"/>
          <w:szCs w:val="24"/>
          <w:lang w:val="en-US"/>
        </w:rPr>
        <w:t xml:space="preserve">. </w:t>
      </w:r>
      <w:r w:rsidR="00DC31DF" w:rsidRPr="005F2A26">
        <w:rPr>
          <w:rFonts w:cs="Times New Roman"/>
          <w:szCs w:val="24"/>
          <w:lang w:val="en-US"/>
        </w:rPr>
        <w:t>First,</w:t>
      </w:r>
      <w:r w:rsidRPr="005F2A26">
        <w:rPr>
          <w:rFonts w:cs="Times New Roman"/>
          <w:szCs w:val="24"/>
          <w:lang w:val="en-US"/>
        </w:rPr>
        <w:t xml:space="preserve"> we</w:t>
      </w:r>
      <w:r w:rsidR="008F0B5D" w:rsidRPr="005F2A26">
        <w:rPr>
          <w:rFonts w:cs="Times New Roman"/>
          <w:szCs w:val="24"/>
          <w:lang w:val="en-US"/>
        </w:rPr>
        <w:t xml:space="preserve"> offer a dynamic </w:t>
      </w:r>
      <w:r w:rsidR="001F4BD0" w:rsidRPr="005F2A26">
        <w:rPr>
          <w:rFonts w:cs="Times New Roman"/>
          <w:szCs w:val="24"/>
          <w:lang w:val="en-US"/>
        </w:rPr>
        <w:t xml:space="preserve">PO-Engagement Framework </w:t>
      </w:r>
      <w:r w:rsidR="00CB5CF7" w:rsidRPr="005F2A26">
        <w:rPr>
          <w:rFonts w:cs="Times New Roman"/>
          <w:szCs w:val="24"/>
          <w:lang w:val="en-US"/>
        </w:rPr>
        <w:t>(Figure 2)</w:t>
      </w:r>
      <w:r w:rsidR="008F0B5D" w:rsidRPr="005F2A26">
        <w:rPr>
          <w:rFonts w:cs="Times New Roman"/>
          <w:szCs w:val="24"/>
          <w:lang w:val="en-US"/>
        </w:rPr>
        <w:t xml:space="preserve"> that reflects </w:t>
      </w:r>
      <w:r w:rsidRPr="005F2A26">
        <w:rPr>
          <w:rFonts w:cs="Times New Roman"/>
          <w:szCs w:val="24"/>
          <w:lang w:val="en-US"/>
        </w:rPr>
        <w:t xml:space="preserve">the interlinked relationship between </w:t>
      </w:r>
      <w:r w:rsidR="00B314FC" w:rsidRPr="005F2A26">
        <w:rPr>
          <w:rFonts w:cs="Times New Roman"/>
          <w:szCs w:val="24"/>
          <w:lang w:val="en-US"/>
        </w:rPr>
        <w:t>iPO and cPO</w:t>
      </w:r>
      <w:r w:rsidRPr="005F2A26">
        <w:rPr>
          <w:rFonts w:cs="Times New Roman"/>
          <w:szCs w:val="24"/>
          <w:lang w:val="en-US"/>
        </w:rPr>
        <w:t xml:space="preserve"> as antecedents to dyadic </w:t>
      </w:r>
      <w:r w:rsidR="00F235A0" w:rsidRPr="005F2A26">
        <w:rPr>
          <w:rFonts w:cs="Times New Roman"/>
          <w:szCs w:val="24"/>
          <w:lang w:val="en-US"/>
        </w:rPr>
        <w:t xml:space="preserve">and </w:t>
      </w:r>
      <w:r w:rsidRPr="005F2A26">
        <w:rPr>
          <w:rFonts w:cs="Times New Roman"/>
          <w:szCs w:val="24"/>
          <w:lang w:val="en-US"/>
        </w:rPr>
        <w:t>collective engagement</w:t>
      </w:r>
      <w:r w:rsidR="003E4C69" w:rsidRPr="005F2A26">
        <w:rPr>
          <w:rFonts w:cs="Times New Roman"/>
          <w:szCs w:val="24"/>
          <w:lang w:val="en-US"/>
        </w:rPr>
        <w:t xml:space="preserve"> in the SE</w:t>
      </w:r>
      <w:r w:rsidRPr="005F2A26">
        <w:rPr>
          <w:rFonts w:cs="Times New Roman"/>
          <w:szCs w:val="24"/>
          <w:lang w:val="en-US"/>
        </w:rPr>
        <w:t>.</w:t>
      </w:r>
      <w:r w:rsidR="00CB3F03" w:rsidRPr="005F2A26">
        <w:rPr>
          <w:rFonts w:cs="Times New Roman"/>
          <w:szCs w:val="24"/>
          <w:lang w:val="en-US"/>
        </w:rPr>
        <w:t xml:space="preserve"> </w:t>
      </w:r>
      <w:r w:rsidR="00B903C8" w:rsidRPr="005F2A26">
        <w:rPr>
          <w:rFonts w:cs="Times New Roman"/>
          <w:szCs w:val="24"/>
          <w:lang w:val="en-US"/>
        </w:rPr>
        <w:t xml:space="preserve">Despite the popularity of </w:t>
      </w:r>
      <w:r w:rsidR="00F235A0" w:rsidRPr="005F2A26">
        <w:rPr>
          <w:rFonts w:cs="Times New Roman"/>
          <w:szCs w:val="24"/>
          <w:lang w:val="en-US"/>
        </w:rPr>
        <w:t xml:space="preserve">the </w:t>
      </w:r>
      <w:r w:rsidR="00B903C8" w:rsidRPr="005F2A26">
        <w:rPr>
          <w:rFonts w:cs="Times New Roman"/>
          <w:szCs w:val="24"/>
          <w:lang w:val="en-US"/>
        </w:rPr>
        <w:t xml:space="preserve">PO and engagement </w:t>
      </w:r>
      <w:r w:rsidR="00F235A0" w:rsidRPr="005F2A26">
        <w:rPr>
          <w:rFonts w:cs="Times New Roman"/>
          <w:szCs w:val="24"/>
          <w:lang w:val="en-US"/>
        </w:rPr>
        <w:t xml:space="preserve">theories </w:t>
      </w:r>
      <w:r w:rsidR="00B903C8" w:rsidRPr="005F2A26">
        <w:rPr>
          <w:rFonts w:cs="Times New Roman"/>
          <w:szCs w:val="24"/>
          <w:lang w:val="en-US"/>
        </w:rPr>
        <w:t>amongst marketing scholars, little attention has been given to understanding the</w:t>
      </w:r>
      <w:r w:rsidR="006E3C31" w:rsidRPr="005F2A26">
        <w:rPr>
          <w:rFonts w:cs="Times New Roman"/>
          <w:szCs w:val="24"/>
          <w:lang w:val="en-US"/>
        </w:rPr>
        <w:t>ir</w:t>
      </w:r>
      <w:r w:rsidR="00B903C8" w:rsidRPr="005F2A26">
        <w:rPr>
          <w:rFonts w:cs="Times New Roman"/>
          <w:szCs w:val="24"/>
          <w:lang w:val="en-US"/>
        </w:rPr>
        <w:t xml:space="preserve"> relationship. </w:t>
      </w:r>
      <w:r w:rsidR="00834ECA" w:rsidRPr="00E631E8">
        <w:rPr>
          <w:rFonts w:cs="Times New Roman"/>
          <w:color w:val="FF0000"/>
          <w:szCs w:val="24"/>
          <w:lang w:val="en-US"/>
        </w:rPr>
        <w:t>Through</w:t>
      </w:r>
      <w:r w:rsidR="00A5367C" w:rsidRPr="00E631E8">
        <w:rPr>
          <w:rFonts w:cs="Times New Roman"/>
          <w:color w:val="FF0000"/>
          <w:szCs w:val="24"/>
          <w:lang w:val="en-US"/>
        </w:rPr>
        <w:t xml:space="preserve"> </w:t>
      </w:r>
      <w:r w:rsidR="00834ECA" w:rsidRPr="00E631E8">
        <w:rPr>
          <w:rFonts w:cs="Times New Roman"/>
          <w:color w:val="FF0000"/>
          <w:szCs w:val="24"/>
          <w:lang w:val="en-US"/>
        </w:rPr>
        <w:t>theory synthesis</w:t>
      </w:r>
      <w:r w:rsidR="00C6504A" w:rsidRPr="00E631E8">
        <w:rPr>
          <w:rFonts w:cs="Times New Roman"/>
          <w:color w:val="FF0000"/>
          <w:szCs w:val="24"/>
          <w:lang w:val="en-US"/>
        </w:rPr>
        <w:t xml:space="preserve"> (Jaakkola, 20</w:t>
      </w:r>
      <w:r w:rsidR="00C119C9" w:rsidRPr="00E631E8">
        <w:rPr>
          <w:rFonts w:cs="Times New Roman"/>
          <w:color w:val="FF0000"/>
          <w:szCs w:val="24"/>
          <w:lang w:val="en-US"/>
        </w:rPr>
        <w:t>20</w:t>
      </w:r>
      <w:r w:rsidR="00C6504A" w:rsidRPr="00E631E8">
        <w:rPr>
          <w:rFonts w:cs="Times New Roman"/>
          <w:color w:val="FF0000"/>
          <w:szCs w:val="24"/>
          <w:lang w:val="en-US"/>
        </w:rPr>
        <w:t>)</w:t>
      </w:r>
      <w:r w:rsidR="00834ECA" w:rsidRPr="00E631E8">
        <w:rPr>
          <w:rFonts w:cs="Times New Roman"/>
          <w:color w:val="FF0000"/>
          <w:szCs w:val="24"/>
          <w:lang w:val="en-US"/>
        </w:rPr>
        <w:t>, t</w:t>
      </w:r>
      <w:r w:rsidR="00CB3F03" w:rsidRPr="00E631E8">
        <w:rPr>
          <w:rFonts w:cs="Times New Roman"/>
          <w:color w:val="FF0000"/>
          <w:szCs w:val="24"/>
          <w:lang w:val="en-US"/>
        </w:rPr>
        <w:t>his study brings clarity to</w:t>
      </w:r>
      <w:r w:rsidR="00085BA3" w:rsidRPr="00E631E8">
        <w:rPr>
          <w:rFonts w:cs="Times New Roman"/>
          <w:color w:val="FF0000"/>
          <w:szCs w:val="24"/>
          <w:lang w:val="en-US"/>
        </w:rPr>
        <w:t xml:space="preserve"> </w:t>
      </w:r>
      <w:r w:rsidR="00FB2AED" w:rsidRPr="00E631E8">
        <w:rPr>
          <w:rFonts w:cs="Times New Roman"/>
          <w:color w:val="FF0000"/>
          <w:szCs w:val="24"/>
          <w:lang w:val="en-US"/>
        </w:rPr>
        <w:t xml:space="preserve">how and why </w:t>
      </w:r>
      <w:r w:rsidR="00CA527F" w:rsidRPr="00E631E8">
        <w:rPr>
          <w:rFonts w:cs="Times New Roman"/>
          <w:color w:val="FF0000"/>
          <w:szCs w:val="24"/>
          <w:lang w:val="en-US"/>
        </w:rPr>
        <w:t xml:space="preserve">factors such as </w:t>
      </w:r>
      <w:r w:rsidR="00D0054E" w:rsidRPr="00E631E8">
        <w:rPr>
          <w:rFonts w:cs="Times New Roman"/>
          <w:color w:val="FF0000"/>
          <w:szCs w:val="24"/>
          <w:lang w:val="en-US"/>
        </w:rPr>
        <w:t>attitude, experience</w:t>
      </w:r>
      <w:r w:rsidR="005C70BF" w:rsidRPr="00E631E8">
        <w:rPr>
          <w:rFonts w:cs="Times New Roman"/>
          <w:color w:val="FF0000"/>
          <w:szCs w:val="24"/>
          <w:lang w:val="en-US"/>
        </w:rPr>
        <w:t xml:space="preserve"> (Kumar </w:t>
      </w:r>
      <w:r w:rsidR="00957690" w:rsidRPr="00957690">
        <w:rPr>
          <w:rFonts w:cs="Times New Roman"/>
          <w:i/>
          <w:iCs/>
          <w:color w:val="FF0000"/>
          <w:szCs w:val="24"/>
          <w:lang w:val="en-US"/>
        </w:rPr>
        <w:t>et al.</w:t>
      </w:r>
      <w:r w:rsidR="005C70BF" w:rsidRPr="00E631E8">
        <w:rPr>
          <w:rFonts w:cs="Times New Roman"/>
          <w:color w:val="FF0000"/>
          <w:szCs w:val="24"/>
          <w:lang w:val="en-US"/>
        </w:rPr>
        <w:t>, 2010; Roberts and Alpert, 2010</w:t>
      </w:r>
      <w:r w:rsidR="00EE6863" w:rsidRPr="00E631E8">
        <w:rPr>
          <w:rFonts w:cs="Times New Roman"/>
          <w:color w:val="FF0000"/>
          <w:szCs w:val="24"/>
          <w:lang w:val="en-US"/>
        </w:rPr>
        <w:t>)</w:t>
      </w:r>
      <w:r w:rsidR="00D0054E" w:rsidRPr="00E631E8">
        <w:rPr>
          <w:rFonts w:cs="Times New Roman"/>
          <w:color w:val="FF0000"/>
          <w:szCs w:val="24"/>
          <w:lang w:val="en-US"/>
        </w:rPr>
        <w:t>, satisfaction</w:t>
      </w:r>
      <w:r w:rsidR="001B159B" w:rsidRPr="00E631E8">
        <w:rPr>
          <w:rFonts w:cs="Times New Roman"/>
          <w:color w:val="FF0000"/>
          <w:szCs w:val="24"/>
          <w:lang w:val="en-US"/>
        </w:rPr>
        <w:t xml:space="preserve"> (</w:t>
      </w:r>
      <w:proofErr w:type="spellStart"/>
      <w:r w:rsidR="001B159B" w:rsidRPr="00E631E8">
        <w:rPr>
          <w:rFonts w:cs="Times New Roman"/>
          <w:color w:val="FF0000"/>
          <w:szCs w:val="24"/>
          <w:lang w:val="en-US"/>
        </w:rPr>
        <w:t>Bergel</w:t>
      </w:r>
      <w:proofErr w:type="spellEnd"/>
      <w:r w:rsidR="001B159B" w:rsidRPr="00E631E8">
        <w:rPr>
          <w:rFonts w:cs="Times New Roman"/>
          <w:color w:val="FF0000"/>
          <w:szCs w:val="24"/>
          <w:lang w:val="en-US"/>
        </w:rPr>
        <w:t xml:space="preserve"> </w:t>
      </w:r>
      <w:r w:rsidR="00957690" w:rsidRPr="00957690">
        <w:rPr>
          <w:rFonts w:cs="Times New Roman"/>
          <w:i/>
          <w:iCs/>
          <w:color w:val="FF0000"/>
          <w:szCs w:val="24"/>
          <w:lang w:val="en-US"/>
        </w:rPr>
        <w:t>et al.</w:t>
      </w:r>
      <w:r w:rsidR="001B159B" w:rsidRPr="00E631E8">
        <w:rPr>
          <w:rFonts w:cs="Times New Roman"/>
          <w:color w:val="FF0000"/>
          <w:szCs w:val="24"/>
          <w:lang w:val="en-US"/>
        </w:rPr>
        <w:t>, 2019)</w:t>
      </w:r>
      <w:r w:rsidR="00D0054E" w:rsidRPr="00E631E8">
        <w:rPr>
          <w:rFonts w:cs="Times New Roman"/>
          <w:color w:val="FF0000"/>
          <w:szCs w:val="24"/>
          <w:lang w:val="en-US"/>
        </w:rPr>
        <w:t xml:space="preserve">, </w:t>
      </w:r>
      <w:r w:rsidR="00515C7C" w:rsidRPr="00E631E8">
        <w:rPr>
          <w:rFonts w:cs="Times New Roman"/>
          <w:color w:val="FF0000"/>
          <w:szCs w:val="24"/>
          <w:lang w:val="en-US"/>
        </w:rPr>
        <w:t>service quality</w:t>
      </w:r>
      <w:r w:rsidR="00881A1B" w:rsidRPr="00E631E8">
        <w:rPr>
          <w:rFonts w:cs="Times New Roman"/>
          <w:color w:val="FF0000"/>
          <w:szCs w:val="24"/>
          <w:lang w:val="en-US"/>
        </w:rPr>
        <w:t xml:space="preserve"> </w:t>
      </w:r>
      <w:r w:rsidR="007E0D01" w:rsidRPr="00E631E8">
        <w:rPr>
          <w:rFonts w:cs="Times New Roman"/>
          <w:color w:val="FF0000"/>
          <w:szCs w:val="24"/>
          <w:lang w:val="en-US"/>
        </w:rPr>
        <w:t xml:space="preserve">(Islam </w:t>
      </w:r>
      <w:r w:rsidR="00957690" w:rsidRPr="00957690">
        <w:rPr>
          <w:rFonts w:cs="Times New Roman"/>
          <w:i/>
          <w:iCs/>
          <w:color w:val="FF0000"/>
          <w:szCs w:val="24"/>
          <w:lang w:val="en-US"/>
        </w:rPr>
        <w:t>et al.</w:t>
      </w:r>
      <w:r w:rsidR="007E0D01" w:rsidRPr="00E631E8">
        <w:rPr>
          <w:rFonts w:cs="Times New Roman"/>
          <w:color w:val="FF0000"/>
          <w:szCs w:val="24"/>
          <w:lang w:val="en-US"/>
        </w:rPr>
        <w:t>, 2019)</w:t>
      </w:r>
      <w:r w:rsidR="00515C7C" w:rsidRPr="00E631E8">
        <w:rPr>
          <w:rFonts w:cs="Times New Roman"/>
          <w:color w:val="FF0000"/>
          <w:szCs w:val="24"/>
          <w:lang w:val="en-US"/>
        </w:rPr>
        <w:t>,</w:t>
      </w:r>
      <w:r w:rsidR="00881A1B" w:rsidRPr="00E631E8">
        <w:rPr>
          <w:rFonts w:cs="Times New Roman"/>
          <w:color w:val="FF0000"/>
          <w:szCs w:val="24"/>
          <w:lang w:val="en-US"/>
        </w:rPr>
        <w:t xml:space="preserve"> </w:t>
      </w:r>
      <w:r w:rsidR="00515C7C" w:rsidRPr="00E631E8">
        <w:rPr>
          <w:rFonts w:cs="Times New Roman"/>
          <w:color w:val="FF0000"/>
          <w:szCs w:val="24"/>
          <w:lang w:val="en-US"/>
        </w:rPr>
        <w:t>brand innovativeness</w:t>
      </w:r>
      <w:r w:rsidR="009F38B8" w:rsidRPr="00E631E8">
        <w:rPr>
          <w:rFonts w:cs="Times New Roman"/>
          <w:color w:val="FF0000"/>
          <w:szCs w:val="24"/>
          <w:lang w:val="en-US"/>
        </w:rPr>
        <w:t xml:space="preserve"> (Leventhal </w:t>
      </w:r>
      <w:r w:rsidR="00957690" w:rsidRPr="00957690">
        <w:rPr>
          <w:rFonts w:cs="Times New Roman"/>
          <w:i/>
          <w:iCs/>
          <w:color w:val="FF0000"/>
          <w:szCs w:val="24"/>
          <w:lang w:val="en-US"/>
        </w:rPr>
        <w:t>et al.</w:t>
      </w:r>
      <w:r w:rsidR="009F38B8" w:rsidRPr="00E631E8">
        <w:rPr>
          <w:rFonts w:cs="Times New Roman"/>
          <w:color w:val="FF0000"/>
          <w:szCs w:val="24"/>
          <w:lang w:val="en-US"/>
        </w:rPr>
        <w:t>, 2014)</w:t>
      </w:r>
      <w:r w:rsidR="00881A1B" w:rsidRPr="00E631E8">
        <w:rPr>
          <w:rFonts w:cs="Times New Roman"/>
          <w:color w:val="FF0000"/>
          <w:szCs w:val="24"/>
          <w:lang w:val="en-US"/>
        </w:rPr>
        <w:t xml:space="preserve">, and alignment </w:t>
      </w:r>
      <w:r w:rsidR="00797217">
        <w:rPr>
          <w:rFonts w:cs="Times New Roman"/>
          <w:color w:val="FF0000"/>
          <w:szCs w:val="24"/>
          <w:lang w:val="en-US"/>
        </w:rPr>
        <w:t>in</w:t>
      </w:r>
      <w:r w:rsidR="00881A1B" w:rsidRPr="00E631E8">
        <w:rPr>
          <w:rFonts w:cs="Times New Roman"/>
          <w:color w:val="FF0000"/>
          <w:szCs w:val="24"/>
          <w:lang w:val="en-US"/>
        </w:rPr>
        <w:t xml:space="preserve"> platform and personal values</w:t>
      </w:r>
      <w:r w:rsidR="00561C37" w:rsidRPr="00E631E8">
        <w:rPr>
          <w:rFonts w:cs="Times New Roman"/>
          <w:color w:val="FF0000"/>
          <w:szCs w:val="24"/>
          <w:lang w:val="en-US"/>
        </w:rPr>
        <w:t xml:space="preserve"> (Chan </w:t>
      </w:r>
      <w:r w:rsidR="00957690" w:rsidRPr="00957690">
        <w:rPr>
          <w:rFonts w:cs="Times New Roman"/>
          <w:i/>
          <w:iCs/>
          <w:color w:val="FF0000"/>
          <w:szCs w:val="24"/>
          <w:lang w:val="en-US"/>
        </w:rPr>
        <w:t>et al.</w:t>
      </w:r>
      <w:r w:rsidR="00561C37" w:rsidRPr="00E631E8">
        <w:rPr>
          <w:rFonts w:cs="Times New Roman"/>
          <w:i/>
          <w:iCs/>
          <w:color w:val="FF0000"/>
          <w:szCs w:val="24"/>
          <w:lang w:val="en-US"/>
        </w:rPr>
        <w:t xml:space="preserve">, </w:t>
      </w:r>
      <w:r w:rsidR="00561C37" w:rsidRPr="00E631E8">
        <w:rPr>
          <w:rFonts w:cs="Times New Roman"/>
          <w:color w:val="FF0000"/>
          <w:szCs w:val="24"/>
          <w:lang w:val="en-US"/>
        </w:rPr>
        <w:t>2014)</w:t>
      </w:r>
      <w:r w:rsidR="00515C7C" w:rsidRPr="00E631E8">
        <w:rPr>
          <w:rFonts w:cs="Times New Roman"/>
          <w:color w:val="FF0000"/>
          <w:szCs w:val="24"/>
          <w:lang w:val="en-US"/>
        </w:rPr>
        <w:t xml:space="preserve"> </w:t>
      </w:r>
      <w:r w:rsidR="00881A1B" w:rsidRPr="00E631E8">
        <w:rPr>
          <w:rFonts w:cs="Times New Roman"/>
          <w:color w:val="FF0000"/>
          <w:szCs w:val="24"/>
          <w:lang w:val="en-US"/>
        </w:rPr>
        <w:t>act as</w:t>
      </w:r>
      <w:r w:rsidR="00085BA3" w:rsidRPr="00E631E8">
        <w:rPr>
          <w:rFonts w:cs="Times New Roman"/>
          <w:color w:val="FF0000"/>
          <w:szCs w:val="24"/>
          <w:lang w:val="en-US"/>
        </w:rPr>
        <w:t xml:space="preserve"> antecedents </w:t>
      </w:r>
      <w:r w:rsidR="00881A1B" w:rsidRPr="00E631E8">
        <w:rPr>
          <w:rFonts w:cs="Times New Roman"/>
          <w:color w:val="FF0000"/>
          <w:szCs w:val="24"/>
          <w:lang w:val="en-US"/>
        </w:rPr>
        <w:t>to</w:t>
      </w:r>
      <w:r w:rsidR="00085BA3" w:rsidRPr="00E631E8">
        <w:rPr>
          <w:rFonts w:cs="Times New Roman"/>
          <w:color w:val="FF0000"/>
          <w:szCs w:val="24"/>
          <w:lang w:val="en-US"/>
        </w:rPr>
        <w:t xml:space="preserve"> engagement</w:t>
      </w:r>
      <w:r w:rsidR="00085BA3" w:rsidRPr="008446F6">
        <w:rPr>
          <w:rFonts w:cs="Times New Roman"/>
          <w:color w:val="FF0000"/>
          <w:szCs w:val="24"/>
          <w:lang w:val="en-US"/>
        </w:rPr>
        <w:t xml:space="preserve">. </w:t>
      </w:r>
      <w:r w:rsidR="00A97C11" w:rsidRPr="008446F6">
        <w:rPr>
          <w:rFonts w:cs="Times New Roman"/>
          <w:color w:val="FF0000"/>
          <w:szCs w:val="24"/>
          <w:lang w:val="en-US"/>
        </w:rPr>
        <w:t xml:space="preserve">Using </w:t>
      </w:r>
      <w:r w:rsidR="008446F6" w:rsidRPr="008446F6">
        <w:rPr>
          <w:rFonts w:cs="Times New Roman"/>
          <w:color w:val="FF0000"/>
          <w:szCs w:val="24"/>
          <w:lang w:val="en-US"/>
        </w:rPr>
        <w:t>PO theory as a lens, w</w:t>
      </w:r>
      <w:r w:rsidR="00DC31DF" w:rsidRPr="00E631E8">
        <w:rPr>
          <w:rFonts w:cs="Times New Roman"/>
          <w:color w:val="FF0000"/>
          <w:szCs w:val="24"/>
          <w:lang w:val="en-US"/>
        </w:rPr>
        <w:t xml:space="preserve">e </w:t>
      </w:r>
      <w:r w:rsidR="00FE7654" w:rsidRPr="00E631E8">
        <w:rPr>
          <w:rFonts w:cs="Times New Roman"/>
          <w:color w:val="FF0000"/>
          <w:szCs w:val="24"/>
          <w:lang w:val="en-US"/>
        </w:rPr>
        <w:t>assert</w:t>
      </w:r>
      <w:r w:rsidR="00DC31DF" w:rsidRPr="00E631E8">
        <w:rPr>
          <w:rFonts w:cs="Times New Roman"/>
          <w:color w:val="FF0000"/>
          <w:szCs w:val="24"/>
          <w:lang w:val="en-US"/>
        </w:rPr>
        <w:t xml:space="preserve"> </w:t>
      </w:r>
      <w:r w:rsidR="00676B6F" w:rsidRPr="00E631E8">
        <w:rPr>
          <w:rFonts w:cs="Times New Roman"/>
          <w:color w:val="FF0000"/>
          <w:szCs w:val="24"/>
          <w:lang w:val="en-US"/>
        </w:rPr>
        <w:t xml:space="preserve">these factors </w:t>
      </w:r>
      <w:r w:rsidR="00234BD3" w:rsidRPr="00E631E8">
        <w:rPr>
          <w:rFonts w:cs="Times New Roman"/>
          <w:color w:val="FF0000"/>
          <w:szCs w:val="24"/>
          <w:lang w:val="en-US"/>
        </w:rPr>
        <w:t xml:space="preserve">either </w:t>
      </w:r>
      <w:r w:rsidR="00676B6F" w:rsidRPr="00E631E8">
        <w:rPr>
          <w:rFonts w:cs="Times New Roman"/>
          <w:color w:val="FF0000"/>
          <w:szCs w:val="24"/>
          <w:lang w:val="en-US"/>
        </w:rPr>
        <w:t xml:space="preserve">satisfy </w:t>
      </w:r>
      <w:r w:rsidR="00341818" w:rsidRPr="00E631E8">
        <w:rPr>
          <w:rFonts w:cs="Times New Roman"/>
          <w:color w:val="FF0000"/>
          <w:szCs w:val="24"/>
          <w:lang w:val="en-US"/>
        </w:rPr>
        <w:t xml:space="preserve">human needs for self-identity, </w:t>
      </w:r>
      <w:r w:rsidR="00BD7E39" w:rsidRPr="00E631E8">
        <w:rPr>
          <w:rFonts w:cs="Times New Roman"/>
          <w:color w:val="FF0000"/>
          <w:szCs w:val="24"/>
          <w:lang w:val="en-US"/>
        </w:rPr>
        <w:t>self-</w:t>
      </w:r>
      <w:r w:rsidR="00341818" w:rsidRPr="00E631E8">
        <w:rPr>
          <w:rFonts w:cs="Times New Roman"/>
          <w:color w:val="FF0000"/>
          <w:szCs w:val="24"/>
          <w:lang w:val="en-US"/>
        </w:rPr>
        <w:t xml:space="preserve">efficacy and belongingness, </w:t>
      </w:r>
      <w:r w:rsidR="00234BD3" w:rsidRPr="00E631E8">
        <w:rPr>
          <w:rFonts w:cs="Times New Roman"/>
          <w:color w:val="FF0000"/>
          <w:szCs w:val="24"/>
          <w:lang w:val="en-US"/>
        </w:rPr>
        <w:t>or</w:t>
      </w:r>
      <w:r w:rsidR="00341818" w:rsidRPr="00E631E8">
        <w:rPr>
          <w:rFonts w:cs="Times New Roman"/>
          <w:color w:val="FF0000"/>
          <w:szCs w:val="24"/>
          <w:lang w:val="en-US"/>
        </w:rPr>
        <w:t xml:space="preserve"> act as causes </w:t>
      </w:r>
      <w:r w:rsidR="00D62DFC" w:rsidRPr="00E631E8">
        <w:rPr>
          <w:rFonts w:cs="Times New Roman"/>
          <w:color w:val="FF0000"/>
          <w:szCs w:val="24"/>
          <w:lang w:val="en-US"/>
        </w:rPr>
        <w:t xml:space="preserve">for </w:t>
      </w:r>
      <w:r w:rsidR="00234BD3" w:rsidRPr="00E631E8">
        <w:rPr>
          <w:rFonts w:cs="Times New Roman"/>
          <w:color w:val="FF0000"/>
          <w:szCs w:val="24"/>
          <w:lang w:val="en-US"/>
        </w:rPr>
        <w:t>the</w:t>
      </w:r>
      <w:r w:rsidR="00D62DFC" w:rsidRPr="00E631E8">
        <w:rPr>
          <w:rFonts w:cs="Times New Roman"/>
          <w:color w:val="FF0000"/>
          <w:szCs w:val="24"/>
          <w:lang w:val="en-US"/>
        </w:rPr>
        <w:t xml:space="preserve"> develop</w:t>
      </w:r>
      <w:r w:rsidR="00234BD3" w:rsidRPr="00E631E8">
        <w:rPr>
          <w:rFonts w:cs="Times New Roman"/>
          <w:color w:val="FF0000"/>
          <w:szCs w:val="24"/>
          <w:lang w:val="en-US"/>
        </w:rPr>
        <w:t>ment of a user’s</w:t>
      </w:r>
      <w:r w:rsidR="00D62DFC" w:rsidRPr="00E631E8">
        <w:rPr>
          <w:rFonts w:cs="Times New Roman"/>
          <w:color w:val="FF0000"/>
          <w:szCs w:val="24"/>
          <w:lang w:val="en-US"/>
        </w:rPr>
        <w:t xml:space="preserve"> </w:t>
      </w:r>
      <w:r w:rsidR="005214DC" w:rsidRPr="00E631E8">
        <w:rPr>
          <w:rFonts w:eastAsiaTheme="minorEastAsia" w:cs="Times New Roman"/>
          <w:color w:val="FF0000"/>
          <w:szCs w:val="24"/>
          <w:lang w:val="en-US" w:eastAsia="zh-CN"/>
        </w:rPr>
        <w:t xml:space="preserve">iPO </w:t>
      </w:r>
      <w:r w:rsidR="00D62DFC" w:rsidRPr="00E631E8">
        <w:rPr>
          <w:rFonts w:eastAsiaTheme="minorEastAsia" w:cs="Times New Roman"/>
          <w:color w:val="FF0000"/>
          <w:szCs w:val="24"/>
          <w:lang w:val="en-US" w:eastAsia="zh-CN"/>
        </w:rPr>
        <w:t>over</w:t>
      </w:r>
      <w:r w:rsidR="005214DC" w:rsidRPr="00E631E8">
        <w:rPr>
          <w:rFonts w:eastAsiaTheme="minorEastAsia" w:cs="Times New Roman"/>
          <w:color w:val="FF0000"/>
          <w:szCs w:val="24"/>
          <w:lang w:val="en-US" w:eastAsia="zh-CN"/>
        </w:rPr>
        <w:t xml:space="preserve"> a target of ownership (Pierce </w:t>
      </w:r>
      <w:r w:rsidR="00957690" w:rsidRPr="00957690">
        <w:rPr>
          <w:rFonts w:eastAsiaTheme="minorEastAsia" w:cs="Times New Roman"/>
          <w:i/>
          <w:iCs/>
          <w:color w:val="FF0000"/>
          <w:szCs w:val="24"/>
          <w:lang w:val="en-US" w:eastAsia="zh-CN"/>
        </w:rPr>
        <w:t>et al.</w:t>
      </w:r>
      <w:r w:rsidR="005214DC" w:rsidRPr="00E631E8">
        <w:rPr>
          <w:rFonts w:eastAsiaTheme="minorEastAsia" w:cs="Times New Roman"/>
          <w:color w:val="FF0000"/>
          <w:szCs w:val="24"/>
          <w:lang w:val="en-US" w:eastAsia="zh-CN"/>
        </w:rPr>
        <w:t>, 2003)</w:t>
      </w:r>
      <w:r w:rsidR="00D62DFC" w:rsidRPr="00E631E8">
        <w:rPr>
          <w:rFonts w:eastAsiaTheme="minorEastAsia" w:cs="Times New Roman"/>
          <w:color w:val="FF0000"/>
          <w:szCs w:val="24"/>
          <w:lang w:val="en-US" w:eastAsia="zh-CN"/>
        </w:rPr>
        <w:t xml:space="preserve">. iPO </w:t>
      </w:r>
      <w:r w:rsidR="00BB2BE9" w:rsidRPr="00E631E8">
        <w:rPr>
          <w:rFonts w:eastAsiaTheme="minorEastAsia" w:cs="Times New Roman"/>
          <w:color w:val="FF0000"/>
          <w:szCs w:val="24"/>
          <w:lang w:val="en-US" w:eastAsia="zh-CN"/>
        </w:rPr>
        <w:t>manifest</w:t>
      </w:r>
      <w:r w:rsidR="006E3C31" w:rsidRPr="00E631E8">
        <w:rPr>
          <w:rFonts w:eastAsiaTheme="minorEastAsia" w:cs="Times New Roman"/>
          <w:color w:val="FF0000"/>
          <w:szCs w:val="24"/>
          <w:lang w:val="en-US" w:eastAsia="zh-CN"/>
        </w:rPr>
        <w:t>s</w:t>
      </w:r>
      <w:r w:rsidR="0053327F" w:rsidRPr="00E631E8">
        <w:rPr>
          <w:rFonts w:eastAsiaTheme="minorEastAsia" w:cs="Times New Roman"/>
          <w:color w:val="FF0000"/>
          <w:szCs w:val="24"/>
          <w:lang w:val="en-US" w:eastAsia="zh-CN"/>
        </w:rPr>
        <w:t xml:space="preserve"> </w:t>
      </w:r>
      <w:r w:rsidR="00D62DFC" w:rsidRPr="00E631E8">
        <w:rPr>
          <w:rFonts w:eastAsiaTheme="minorEastAsia" w:cs="Times New Roman"/>
          <w:color w:val="FF0000"/>
          <w:szCs w:val="24"/>
          <w:lang w:val="en-US" w:eastAsia="zh-CN"/>
        </w:rPr>
        <w:t xml:space="preserve">as </w:t>
      </w:r>
      <w:r w:rsidR="00DD0EEB" w:rsidRPr="00E631E8">
        <w:rPr>
          <w:rFonts w:eastAsiaTheme="minorEastAsia" w:cs="Times New Roman"/>
          <w:color w:val="FF0000"/>
          <w:szCs w:val="24"/>
          <w:lang w:val="en-US" w:eastAsia="zh-CN"/>
        </w:rPr>
        <w:t xml:space="preserve">a </w:t>
      </w:r>
      <w:r w:rsidR="00203793" w:rsidRPr="00E631E8">
        <w:rPr>
          <w:rFonts w:eastAsiaTheme="minorEastAsia" w:cs="Times New Roman"/>
          <w:color w:val="FF0000"/>
          <w:szCs w:val="24"/>
          <w:lang w:val="en-US" w:eastAsia="zh-CN"/>
        </w:rPr>
        <w:t xml:space="preserve">user’s </w:t>
      </w:r>
      <w:r w:rsidR="00AC5719" w:rsidRPr="00E631E8">
        <w:rPr>
          <w:rFonts w:eastAsiaTheme="minorEastAsia" w:cs="Times New Roman"/>
          <w:color w:val="FF0000"/>
          <w:szCs w:val="24"/>
          <w:lang w:val="en-US" w:eastAsia="zh-CN"/>
        </w:rPr>
        <w:t xml:space="preserve">positive </w:t>
      </w:r>
      <w:r w:rsidR="00D573F4">
        <w:rPr>
          <w:rFonts w:eastAsiaTheme="minorEastAsia" w:cs="Times New Roman"/>
          <w:color w:val="FF0000"/>
          <w:szCs w:val="24"/>
          <w:lang w:val="en-US" w:eastAsia="zh-CN"/>
        </w:rPr>
        <w:t xml:space="preserve">engagement </w:t>
      </w:r>
      <w:r w:rsidR="00AC5719" w:rsidRPr="00E631E8">
        <w:rPr>
          <w:rFonts w:eastAsiaTheme="minorEastAsia" w:cs="Times New Roman"/>
          <w:color w:val="FF0000"/>
          <w:szCs w:val="24"/>
          <w:lang w:val="en-US" w:eastAsia="zh-CN"/>
        </w:rPr>
        <w:t xml:space="preserve">disposition </w:t>
      </w:r>
      <w:r w:rsidR="000538FE" w:rsidRPr="00E631E8">
        <w:rPr>
          <w:rFonts w:eastAsiaTheme="minorEastAsia" w:cs="Times New Roman"/>
          <w:color w:val="FF0000"/>
          <w:szCs w:val="24"/>
          <w:lang w:val="en-US" w:eastAsia="zh-CN"/>
        </w:rPr>
        <w:t>and</w:t>
      </w:r>
      <w:r w:rsidR="0053327F" w:rsidRPr="00E631E8">
        <w:rPr>
          <w:rFonts w:eastAsiaTheme="minorEastAsia" w:cs="Times New Roman"/>
          <w:color w:val="FF0000"/>
          <w:szCs w:val="24"/>
          <w:lang w:val="en-US" w:eastAsia="zh-CN"/>
        </w:rPr>
        <w:t xml:space="preserve"> </w:t>
      </w:r>
      <w:r w:rsidR="000538FE" w:rsidRPr="00E631E8">
        <w:rPr>
          <w:rFonts w:eastAsiaTheme="minorEastAsia" w:cs="Times New Roman"/>
          <w:color w:val="FF0000"/>
          <w:szCs w:val="24"/>
          <w:lang w:val="en-US" w:eastAsia="zh-CN"/>
        </w:rPr>
        <w:t>activities</w:t>
      </w:r>
      <w:r w:rsidR="00216E8E" w:rsidRPr="00E631E8">
        <w:rPr>
          <w:rFonts w:eastAsiaTheme="minorEastAsia" w:cs="Times New Roman"/>
          <w:color w:val="FF0000"/>
          <w:szCs w:val="24"/>
          <w:lang w:val="en-US" w:eastAsia="zh-CN"/>
        </w:rPr>
        <w:t xml:space="preserve"> towards </w:t>
      </w:r>
      <w:r w:rsidR="00203793" w:rsidRPr="00E631E8">
        <w:rPr>
          <w:rFonts w:eastAsiaTheme="minorEastAsia" w:cs="Times New Roman"/>
          <w:color w:val="FF0000"/>
          <w:szCs w:val="24"/>
          <w:lang w:val="en-US" w:eastAsia="zh-CN"/>
        </w:rPr>
        <w:t xml:space="preserve">a </w:t>
      </w:r>
      <w:r w:rsidR="00216E8E" w:rsidRPr="00E631E8">
        <w:rPr>
          <w:rFonts w:eastAsiaTheme="minorEastAsia" w:cs="Times New Roman"/>
          <w:color w:val="FF0000"/>
          <w:szCs w:val="24"/>
          <w:lang w:val="en-US" w:eastAsia="zh-CN"/>
        </w:rPr>
        <w:t>brand,</w:t>
      </w:r>
      <w:r w:rsidR="000538FE"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t xml:space="preserve">within </w:t>
      </w:r>
      <w:r w:rsidR="00203793" w:rsidRPr="00E631E8">
        <w:rPr>
          <w:rFonts w:eastAsiaTheme="minorEastAsia" w:cs="Times New Roman"/>
          <w:color w:val="FF0000"/>
          <w:szCs w:val="24"/>
          <w:lang w:val="en-US" w:eastAsia="zh-CN"/>
        </w:rPr>
        <w:t>a</w:t>
      </w:r>
      <w:r w:rsidR="00A30EC0"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lastRenderedPageBreak/>
        <w:t>dyad of user and</w:t>
      </w:r>
      <w:r w:rsidR="006D184C"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t>platform.</w:t>
      </w:r>
      <w:r w:rsidR="00A64A44" w:rsidRPr="00E631E8">
        <w:rPr>
          <w:rFonts w:eastAsiaTheme="minorEastAsia" w:cs="Times New Roman"/>
          <w:color w:val="FF0000"/>
          <w:szCs w:val="24"/>
          <w:lang w:val="en-US" w:eastAsia="zh-CN"/>
        </w:rPr>
        <w:t xml:space="preserve"> </w:t>
      </w:r>
      <w:r w:rsidR="002F064D">
        <w:rPr>
          <w:rFonts w:eastAsiaTheme="minorEastAsia" w:cs="Times New Roman"/>
          <w:color w:val="FF0000"/>
          <w:szCs w:val="24"/>
          <w:lang w:val="en-US" w:eastAsia="zh-CN"/>
        </w:rPr>
        <w:t>Moreover,</w:t>
      </w:r>
      <w:r w:rsidR="00A64A44" w:rsidRPr="00E631E8">
        <w:rPr>
          <w:rFonts w:eastAsiaTheme="minorEastAsia" w:cs="Times New Roman"/>
          <w:color w:val="FF0000"/>
          <w:szCs w:val="24"/>
          <w:lang w:val="en-US" w:eastAsia="zh-CN"/>
        </w:rPr>
        <w:t xml:space="preserve"> engagement</w:t>
      </w:r>
      <w:r w:rsidR="00C61B48">
        <w:rPr>
          <w:rFonts w:eastAsiaTheme="minorEastAsia" w:cs="Times New Roman"/>
          <w:color w:val="FF0000"/>
          <w:szCs w:val="24"/>
          <w:lang w:val="en-US" w:eastAsia="zh-CN"/>
        </w:rPr>
        <w:t xml:space="preserve"> </w:t>
      </w:r>
      <w:r w:rsidR="00E73428" w:rsidRPr="00E631E8">
        <w:rPr>
          <w:rFonts w:eastAsiaTheme="minorEastAsia" w:cs="Times New Roman"/>
          <w:color w:val="FF0000"/>
          <w:szCs w:val="24"/>
          <w:lang w:val="en-US" w:eastAsia="zh-CN"/>
        </w:rPr>
        <w:t xml:space="preserve">can </w:t>
      </w:r>
      <w:r w:rsidR="00A64A44" w:rsidRPr="00E631E8">
        <w:rPr>
          <w:rFonts w:eastAsiaTheme="minorEastAsia" w:cs="Times New Roman"/>
          <w:color w:val="FF0000"/>
          <w:szCs w:val="24"/>
          <w:lang w:val="en-US" w:eastAsia="zh-CN"/>
        </w:rPr>
        <w:t>iteratively</w:t>
      </w:r>
      <w:r w:rsidR="006C60EA">
        <w:rPr>
          <w:rFonts w:eastAsiaTheme="minorEastAsia" w:cs="Times New Roman"/>
          <w:color w:val="FF0000"/>
          <w:szCs w:val="24"/>
          <w:lang w:val="en-US" w:eastAsia="zh-CN"/>
        </w:rPr>
        <w:t xml:space="preserve"> grow as engagement activities act as </w:t>
      </w:r>
      <w:r w:rsidR="00203793" w:rsidRPr="00E631E8">
        <w:rPr>
          <w:rFonts w:eastAsiaTheme="minorEastAsia" w:cs="Times New Roman"/>
          <w:color w:val="FF0000"/>
          <w:szCs w:val="24"/>
          <w:lang w:val="en-US" w:eastAsia="zh-CN"/>
        </w:rPr>
        <w:t>causes for further</w:t>
      </w:r>
      <w:r w:rsidR="00FE4934" w:rsidRPr="00E631E8">
        <w:rPr>
          <w:rFonts w:eastAsiaTheme="minorEastAsia" w:cs="Times New Roman"/>
          <w:color w:val="FF0000"/>
          <w:szCs w:val="24"/>
          <w:lang w:val="en-US" w:eastAsia="zh-CN"/>
        </w:rPr>
        <w:t xml:space="preserve"> </w:t>
      </w:r>
      <w:r w:rsidR="00EF1E17" w:rsidRPr="00E631E8">
        <w:rPr>
          <w:rFonts w:eastAsiaTheme="minorEastAsia" w:cs="Times New Roman"/>
          <w:color w:val="FF0000"/>
          <w:szCs w:val="24"/>
          <w:lang w:val="en-US" w:eastAsia="zh-CN"/>
        </w:rPr>
        <w:t xml:space="preserve">growth in </w:t>
      </w:r>
      <w:r w:rsidR="00FE4934" w:rsidRPr="00E631E8">
        <w:rPr>
          <w:rFonts w:eastAsiaTheme="minorEastAsia" w:cs="Times New Roman"/>
          <w:color w:val="FF0000"/>
          <w:szCs w:val="24"/>
          <w:lang w:val="en-US" w:eastAsia="zh-CN"/>
        </w:rPr>
        <w:t>iPO.</w:t>
      </w:r>
      <w:r w:rsidR="00EF1E17" w:rsidRPr="00E631E8">
        <w:rPr>
          <w:rFonts w:eastAsiaTheme="minorEastAsia" w:cs="Times New Roman"/>
          <w:color w:val="FF0000"/>
          <w:szCs w:val="24"/>
          <w:lang w:val="en-US" w:eastAsia="zh-CN"/>
        </w:rPr>
        <w:t xml:space="preserve"> </w:t>
      </w:r>
    </w:p>
    <w:p w14:paraId="6E4EAFEA" w14:textId="7C830D3F" w:rsidR="00F22D4E" w:rsidRPr="005F2A26" w:rsidRDefault="005C6487" w:rsidP="00E631E8">
      <w:pPr>
        <w:keepNext/>
        <w:autoSpaceDE w:val="0"/>
        <w:autoSpaceDN w:val="0"/>
        <w:adjustRightInd w:val="0"/>
        <w:spacing w:after="0" w:line="480" w:lineRule="auto"/>
        <w:ind w:firstLine="720"/>
        <w:rPr>
          <w:rFonts w:eastAsiaTheme="minorEastAsia" w:cs="Times New Roman"/>
          <w:szCs w:val="24"/>
          <w:lang w:val="en-US" w:eastAsia="zh-CN"/>
        </w:rPr>
      </w:pPr>
      <w:r>
        <w:rPr>
          <w:rFonts w:eastAsiaTheme="minorEastAsia" w:cs="Times New Roman"/>
          <w:szCs w:val="24"/>
          <w:lang w:val="en-US" w:eastAsia="zh-CN"/>
        </w:rPr>
        <w:t>En</w:t>
      </w:r>
      <w:r w:rsidRPr="005F2A26">
        <w:rPr>
          <w:rFonts w:eastAsiaTheme="minorEastAsia" w:cs="Times New Roman"/>
          <w:szCs w:val="24"/>
          <w:lang w:val="en-US" w:eastAsia="zh-CN"/>
        </w:rPr>
        <w:t>gagement</w:t>
      </w:r>
      <w:r>
        <w:rPr>
          <w:rFonts w:eastAsiaTheme="minorEastAsia" w:cs="Times New Roman"/>
          <w:szCs w:val="24"/>
          <w:lang w:val="en-US" w:eastAsia="zh-CN"/>
        </w:rPr>
        <w:t xml:space="preserve"> within a </w:t>
      </w:r>
      <w:proofErr w:type="gramStart"/>
      <w:r>
        <w:rPr>
          <w:rFonts w:eastAsiaTheme="minorEastAsia" w:cs="Times New Roman"/>
          <w:szCs w:val="24"/>
          <w:lang w:val="en-US" w:eastAsia="zh-CN"/>
        </w:rPr>
        <w:t>dyad</w:t>
      </w:r>
      <w:r w:rsidRPr="005F2A26">
        <w:rPr>
          <w:rFonts w:eastAsiaTheme="minorEastAsia" w:cs="Times New Roman"/>
          <w:szCs w:val="24"/>
          <w:lang w:val="en-US" w:eastAsia="zh-CN"/>
        </w:rPr>
        <w:t xml:space="preserve"> </w:t>
      </w:r>
      <w:r w:rsidR="009528C6">
        <w:rPr>
          <w:rFonts w:eastAsiaTheme="minorEastAsia" w:cs="Times New Roman"/>
          <w:szCs w:val="24"/>
          <w:lang w:val="en-US" w:eastAsia="zh-CN"/>
        </w:rPr>
        <w:t>manifests</w:t>
      </w:r>
      <w:proofErr w:type="gramEnd"/>
      <w:r>
        <w:rPr>
          <w:rFonts w:eastAsiaTheme="minorEastAsia" w:cs="Times New Roman"/>
          <w:szCs w:val="24"/>
          <w:lang w:val="en-US" w:eastAsia="zh-CN"/>
        </w:rPr>
        <w:t xml:space="preserve"> as activities like</w:t>
      </w:r>
      <w:r w:rsidRPr="005F2A26">
        <w:rPr>
          <w:rFonts w:eastAsiaTheme="minorEastAsia" w:cs="Times New Roman"/>
          <w:szCs w:val="24"/>
          <w:lang w:val="en-US" w:eastAsia="zh-CN"/>
        </w:rPr>
        <w:t xml:space="preserve"> brand love, loyalty, co-developing service offerings, </w:t>
      </w:r>
      <w:r>
        <w:rPr>
          <w:rFonts w:eastAsiaTheme="minorEastAsia" w:cs="Times New Roman"/>
          <w:szCs w:val="24"/>
          <w:lang w:val="en-US" w:eastAsia="zh-CN"/>
        </w:rPr>
        <w:t xml:space="preserve">and </w:t>
      </w:r>
      <w:r w:rsidRPr="005F2A26">
        <w:rPr>
          <w:rFonts w:eastAsiaTheme="minorEastAsia" w:cs="Times New Roman"/>
          <w:szCs w:val="24"/>
          <w:lang w:val="en-US" w:eastAsia="zh-CN"/>
        </w:rPr>
        <w:t xml:space="preserve">increased purchasing intentions. </w:t>
      </w:r>
      <w:r w:rsidR="00CA2916" w:rsidRPr="005F2A26">
        <w:rPr>
          <w:rFonts w:eastAsiaTheme="minorEastAsia" w:cs="Times New Roman"/>
          <w:szCs w:val="24"/>
          <w:lang w:val="en-US" w:eastAsia="zh-CN"/>
        </w:rPr>
        <w:t xml:space="preserve">In </w:t>
      </w:r>
      <w:r w:rsidR="004C161C" w:rsidRPr="005F2A26">
        <w:rPr>
          <w:rFonts w:eastAsiaTheme="minorEastAsia" w:cs="Times New Roman"/>
          <w:szCs w:val="24"/>
          <w:lang w:val="en-US" w:eastAsia="zh-CN"/>
        </w:rPr>
        <w:t xml:space="preserve">the </w:t>
      </w:r>
      <w:r w:rsidR="00CA2916" w:rsidRPr="005F2A26">
        <w:rPr>
          <w:rFonts w:eastAsiaTheme="minorEastAsia" w:cs="Times New Roman"/>
          <w:szCs w:val="24"/>
          <w:lang w:val="en-US" w:eastAsia="zh-CN"/>
        </w:rPr>
        <w:t>SE,</w:t>
      </w:r>
      <w:r w:rsidR="00EB684B" w:rsidRPr="005F2A26">
        <w:rPr>
          <w:rFonts w:eastAsiaTheme="minorEastAsia" w:cs="Times New Roman"/>
          <w:szCs w:val="24"/>
          <w:lang w:val="en-US" w:eastAsia="zh-CN"/>
        </w:rPr>
        <w:t xml:space="preserve"> dyadic</w:t>
      </w:r>
      <w:r w:rsidR="00CA2916" w:rsidRPr="005F2A26">
        <w:rPr>
          <w:rFonts w:eastAsiaTheme="minorEastAsia" w:cs="Times New Roman"/>
          <w:szCs w:val="24"/>
          <w:lang w:val="en-US" w:eastAsia="zh-CN"/>
        </w:rPr>
        <w:t xml:space="preserve"> engagement relationships are beneficial to those platforms that closely control user interactions (e.g., Uber) and have relatively little reliance on P2P </w:t>
      </w:r>
      <w:r w:rsidR="00166538" w:rsidRPr="005F2A26">
        <w:rPr>
          <w:rFonts w:eastAsiaTheme="minorEastAsia" w:cs="Times New Roman"/>
          <w:szCs w:val="24"/>
          <w:lang w:val="en-US" w:eastAsia="zh-CN"/>
        </w:rPr>
        <w:t xml:space="preserve">socializing </w:t>
      </w:r>
      <w:r w:rsidR="00CA2916" w:rsidRPr="005F2A26">
        <w:rPr>
          <w:rFonts w:eastAsiaTheme="minorEastAsia" w:cs="Times New Roman"/>
          <w:szCs w:val="24"/>
          <w:lang w:val="en-US" w:eastAsia="zh-CN"/>
        </w:rPr>
        <w:t xml:space="preserve">and </w:t>
      </w:r>
      <w:r w:rsidR="00F21821" w:rsidRPr="005F2A26">
        <w:rPr>
          <w:rFonts w:eastAsiaTheme="minorEastAsia" w:cs="Times New Roman"/>
          <w:szCs w:val="24"/>
          <w:lang w:val="en-US" w:eastAsia="zh-CN"/>
        </w:rPr>
        <w:t xml:space="preserve">community-oriented </w:t>
      </w:r>
      <w:r w:rsidR="00CA2916" w:rsidRPr="005F2A26">
        <w:rPr>
          <w:rFonts w:eastAsiaTheme="minorEastAsia" w:cs="Times New Roman"/>
          <w:szCs w:val="24"/>
          <w:lang w:val="en-US" w:eastAsia="zh-CN"/>
        </w:rPr>
        <w:t>sharing.</w:t>
      </w:r>
      <w:r w:rsidR="005214DC" w:rsidRPr="005F2A26">
        <w:rPr>
          <w:rFonts w:eastAsiaTheme="minorEastAsia" w:cs="Times New Roman"/>
          <w:szCs w:val="24"/>
          <w:lang w:val="en-US" w:eastAsia="zh-CN"/>
        </w:rPr>
        <w:t xml:space="preserve"> In contrast, </w:t>
      </w:r>
      <w:r w:rsidR="00EE681A">
        <w:rPr>
          <w:rFonts w:eastAsiaTheme="minorEastAsia" w:cs="Times New Roman"/>
          <w:szCs w:val="24"/>
          <w:lang w:val="en-US" w:eastAsia="zh-CN"/>
        </w:rPr>
        <w:t xml:space="preserve">through their interactions with others </w:t>
      </w:r>
      <w:r w:rsidR="0024245C">
        <w:rPr>
          <w:rFonts w:eastAsiaTheme="minorEastAsia" w:cs="Times New Roman"/>
          <w:szCs w:val="24"/>
          <w:lang w:val="en-US" w:eastAsia="zh-CN"/>
        </w:rPr>
        <w:t>a user may become aware of shared control</w:t>
      </w:r>
      <w:r w:rsidR="007A589F">
        <w:rPr>
          <w:rFonts w:eastAsiaTheme="minorEastAsia" w:cs="Times New Roman"/>
          <w:szCs w:val="24"/>
          <w:lang w:val="en-US" w:eastAsia="zh-CN"/>
        </w:rPr>
        <w:t xml:space="preserve"> and</w:t>
      </w:r>
      <w:r w:rsidR="00105FE9">
        <w:rPr>
          <w:rFonts w:eastAsiaTheme="minorEastAsia" w:cs="Times New Roman"/>
          <w:szCs w:val="24"/>
          <w:lang w:val="en-US" w:eastAsia="zh-CN"/>
        </w:rPr>
        <w:t xml:space="preserve"> intimate knowing of and investment in the target</w:t>
      </w:r>
      <w:r w:rsidR="00A66FE8">
        <w:rPr>
          <w:rFonts w:eastAsiaTheme="minorEastAsia" w:cs="Times New Roman"/>
          <w:szCs w:val="24"/>
          <w:lang w:val="en-US" w:eastAsia="zh-CN"/>
        </w:rPr>
        <w:t>, leading to cPO</w:t>
      </w:r>
      <w:r w:rsidR="00105FE9">
        <w:rPr>
          <w:rFonts w:eastAsiaTheme="minorEastAsia" w:cs="Times New Roman"/>
          <w:szCs w:val="24"/>
          <w:lang w:val="en-US" w:eastAsia="zh-CN"/>
        </w:rPr>
        <w:t xml:space="preserve">. </w:t>
      </w:r>
      <w:r w:rsidR="00A66FE8">
        <w:rPr>
          <w:rFonts w:eastAsiaTheme="minorEastAsia" w:cs="Times New Roman"/>
          <w:szCs w:val="24"/>
          <w:lang w:val="en-US" w:eastAsia="zh-CN"/>
        </w:rPr>
        <w:t>A</w:t>
      </w:r>
      <w:r w:rsidR="005214DC" w:rsidRPr="005F2A26">
        <w:rPr>
          <w:rFonts w:eastAsiaTheme="minorEastAsia" w:cs="Times New Roman"/>
          <w:szCs w:val="24"/>
          <w:lang w:val="en-US" w:eastAsia="zh-CN"/>
        </w:rPr>
        <w:t xml:space="preserve"> group of users experiencing cPO</w:t>
      </w:r>
      <w:r w:rsidR="00BB1023" w:rsidRPr="005F2A26">
        <w:rPr>
          <w:rFonts w:eastAsiaTheme="minorEastAsia" w:cs="Times New Roman"/>
          <w:szCs w:val="24"/>
          <w:lang w:val="en-US" w:eastAsia="zh-CN"/>
        </w:rPr>
        <w:t xml:space="preserve"> </w:t>
      </w:r>
      <w:r w:rsidR="005214DC" w:rsidRPr="005F2A26">
        <w:rPr>
          <w:rFonts w:eastAsiaTheme="minorEastAsia" w:cs="Times New Roman"/>
          <w:szCs w:val="24"/>
          <w:lang w:val="en-US" w:eastAsia="zh-CN"/>
        </w:rPr>
        <w:t>feel</w:t>
      </w:r>
      <w:r w:rsidR="00876693" w:rsidRPr="005F2A26">
        <w:rPr>
          <w:rFonts w:eastAsiaTheme="minorEastAsia" w:cs="Times New Roman"/>
          <w:szCs w:val="24"/>
          <w:lang w:val="en-US" w:eastAsia="zh-CN"/>
        </w:rPr>
        <w:t>s</w:t>
      </w:r>
      <w:r w:rsidR="005214DC" w:rsidRPr="005F2A26">
        <w:rPr>
          <w:rFonts w:eastAsiaTheme="minorEastAsia" w:cs="Times New Roman"/>
          <w:szCs w:val="24"/>
          <w:lang w:val="en-US" w:eastAsia="zh-CN"/>
        </w:rPr>
        <w:t xml:space="preserve"> a target is collectively ‘</w:t>
      </w:r>
      <w:r w:rsidR="00C4032C" w:rsidRPr="005F2A26">
        <w:rPr>
          <w:rFonts w:eastAsiaTheme="minorEastAsia" w:cs="Times New Roman"/>
          <w:szCs w:val="24"/>
          <w:lang w:val="en-US" w:eastAsia="zh-CN"/>
        </w:rPr>
        <w:t>OURS</w:t>
      </w:r>
      <w:r w:rsidR="006E3C31" w:rsidRPr="005F2A26">
        <w:rPr>
          <w:rFonts w:eastAsiaTheme="minorEastAsia" w:cs="Times New Roman"/>
          <w:szCs w:val="24"/>
          <w:lang w:val="en-US" w:eastAsia="zh-CN"/>
        </w:rPr>
        <w:t>’</w:t>
      </w:r>
      <w:r w:rsidR="005214DC" w:rsidRPr="005F2A26">
        <w:rPr>
          <w:rFonts w:eastAsiaTheme="minorEastAsia" w:cs="Times New Roman"/>
          <w:szCs w:val="24"/>
          <w:lang w:val="en-US" w:eastAsia="zh-CN"/>
        </w:rPr>
        <w:t xml:space="preserve"> (Pierce </w:t>
      </w:r>
      <w:r w:rsidR="00957690" w:rsidRPr="00957690">
        <w:rPr>
          <w:rFonts w:eastAsiaTheme="minorEastAsia" w:cs="Times New Roman"/>
          <w:i/>
          <w:iCs/>
          <w:szCs w:val="24"/>
          <w:lang w:val="en-US" w:eastAsia="zh-CN"/>
        </w:rPr>
        <w:t>et al.</w:t>
      </w:r>
      <w:r w:rsidR="00CA0336" w:rsidRPr="005F2A26">
        <w:rPr>
          <w:rFonts w:eastAsiaTheme="minorEastAsia" w:cs="Times New Roman"/>
          <w:szCs w:val="24"/>
          <w:lang w:val="en-US" w:eastAsia="zh-CN"/>
        </w:rPr>
        <w:t>, 2019</w:t>
      </w:r>
      <w:r w:rsidR="005214DC" w:rsidRPr="005F2A26">
        <w:rPr>
          <w:rFonts w:eastAsiaTheme="minorEastAsia" w:cs="Times New Roman"/>
          <w:szCs w:val="24"/>
          <w:lang w:val="en-US" w:eastAsia="zh-CN"/>
        </w:rPr>
        <w:t>)</w:t>
      </w:r>
      <w:r w:rsidR="00BB1023" w:rsidRPr="005F2A26">
        <w:rPr>
          <w:rFonts w:eastAsiaTheme="minorEastAsia" w:cs="Times New Roman"/>
          <w:szCs w:val="24"/>
          <w:lang w:val="en-US" w:eastAsia="zh-CN"/>
        </w:rPr>
        <w:t xml:space="preserve">. </w:t>
      </w:r>
      <w:r w:rsidR="00293D51" w:rsidRPr="00E631E8">
        <w:rPr>
          <w:rFonts w:eastAsiaTheme="minorEastAsia" w:cs="Times New Roman"/>
          <w:color w:val="FF0000"/>
          <w:szCs w:val="24"/>
          <w:lang w:val="en-US" w:eastAsia="zh-CN"/>
        </w:rPr>
        <w:t>Synthesizing</w:t>
      </w:r>
      <w:r w:rsidR="00F40F5E" w:rsidRPr="00E631E8">
        <w:rPr>
          <w:rFonts w:eastAsiaTheme="minorEastAsia" w:cs="Times New Roman"/>
          <w:color w:val="FF0000"/>
          <w:szCs w:val="24"/>
          <w:lang w:val="en-US" w:eastAsia="zh-CN"/>
        </w:rPr>
        <w:t xml:space="preserve"> </w:t>
      </w:r>
      <w:r w:rsidR="00D12FA6" w:rsidRPr="00E631E8">
        <w:rPr>
          <w:rFonts w:eastAsiaTheme="minorEastAsia" w:cs="Times New Roman"/>
          <w:color w:val="FF0000"/>
          <w:szCs w:val="24"/>
          <w:lang w:val="en-US" w:eastAsia="zh-CN"/>
        </w:rPr>
        <w:t xml:space="preserve">the cPO </w:t>
      </w:r>
      <w:r w:rsidR="00E62854" w:rsidRPr="00E631E8">
        <w:rPr>
          <w:rFonts w:eastAsiaTheme="minorEastAsia" w:cs="Times New Roman"/>
          <w:color w:val="FF0000"/>
          <w:szCs w:val="24"/>
          <w:lang w:val="en-US" w:eastAsia="zh-CN"/>
        </w:rPr>
        <w:t xml:space="preserve">and collective engagement </w:t>
      </w:r>
      <w:r w:rsidR="00D12FA6" w:rsidRPr="00E631E8">
        <w:rPr>
          <w:rFonts w:eastAsiaTheme="minorEastAsia" w:cs="Times New Roman"/>
          <w:color w:val="FF0000"/>
          <w:szCs w:val="24"/>
          <w:lang w:val="en-US" w:eastAsia="zh-CN"/>
        </w:rPr>
        <w:t>perspective</w:t>
      </w:r>
      <w:r w:rsidR="00E62854" w:rsidRPr="00E631E8">
        <w:rPr>
          <w:rFonts w:eastAsiaTheme="minorEastAsia" w:cs="Times New Roman"/>
          <w:color w:val="FF0000"/>
          <w:szCs w:val="24"/>
          <w:lang w:val="en-US" w:eastAsia="zh-CN"/>
        </w:rPr>
        <w:t>s</w:t>
      </w:r>
      <w:r w:rsidR="00D12FA6" w:rsidRPr="00E631E8">
        <w:rPr>
          <w:rFonts w:eastAsiaTheme="minorEastAsia" w:cs="Times New Roman"/>
          <w:color w:val="FF0000"/>
          <w:szCs w:val="24"/>
          <w:lang w:val="en-US" w:eastAsia="zh-CN"/>
        </w:rPr>
        <w:t xml:space="preserve"> </w:t>
      </w:r>
      <w:r w:rsidR="0083218F" w:rsidRPr="00E631E8">
        <w:rPr>
          <w:rFonts w:eastAsiaTheme="minorEastAsia" w:cs="Times New Roman"/>
          <w:color w:val="FF0000"/>
          <w:szCs w:val="24"/>
          <w:lang w:val="en-US" w:eastAsia="zh-CN"/>
        </w:rPr>
        <w:t xml:space="preserve">explains </w:t>
      </w:r>
      <w:r w:rsidR="00E27D0A">
        <w:rPr>
          <w:rFonts w:eastAsiaTheme="minorEastAsia" w:cs="Times New Roman"/>
          <w:color w:val="FF0000"/>
          <w:szCs w:val="24"/>
          <w:lang w:val="en-US" w:eastAsia="zh-CN"/>
        </w:rPr>
        <w:t xml:space="preserve">why and </w:t>
      </w:r>
      <w:r w:rsidR="00D12FA6" w:rsidRPr="00E631E8">
        <w:rPr>
          <w:rFonts w:eastAsiaTheme="minorEastAsia" w:cs="Times New Roman"/>
          <w:color w:val="FF0000"/>
          <w:szCs w:val="24"/>
          <w:lang w:val="en-US" w:eastAsia="zh-CN"/>
        </w:rPr>
        <w:t xml:space="preserve">how factors such as platform </w:t>
      </w:r>
      <w:r w:rsidR="00F40F5E" w:rsidRPr="00E631E8">
        <w:rPr>
          <w:rFonts w:cs="Times New Roman"/>
          <w:color w:val="FF0000"/>
          <w:szCs w:val="24"/>
          <w:lang w:val="en-US"/>
        </w:rPr>
        <w:t xml:space="preserve">functionality (Chan </w:t>
      </w:r>
      <w:r w:rsidR="00957690" w:rsidRPr="00957690">
        <w:rPr>
          <w:rFonts w:cs="Times New Roman"/>
          <w:i/>
          <w:iCs/>
          <w:color w:val="FF0000"/>
          <w:szCs w:val="24"/>
          <w:lang w:val="en-US"/>
        </w:rPr>
        <w:t>et al.</w:t>
      </w:r>
      <w:r w:rsidR="00F40F5E" w:rsidRPr="00E631E8">
        <w:rPr>
          <w:rFonts w:cs="Times New Roman"/>
          <w:i/>
          <w:iCs/>
          <w:color w:val="FF0000"/>
          <w:szCs w:val="24"/>
          <w:lang w:val="en-US"/>
        </w:rPr>
        <w:t xml:space="preserve">, </w:t>
      </w:r>
      <w:r w:rsidR="00F40F5E" w:rsidRPr="00E631E8">
        <w:rPr>
          <w:rFonts w:cs="Times New Roman"/>
          <w:color w:val="FF0000"/>
          <w:szCs w:val="24"/>
          <w:lang w:val="en-US"/>
        </w:rPr>
        <w:t>2014)</w:t>
      </w:r>
      <w:r w:rsidR="0083218F" w:rsidRPr="00E631E8">
        <w:rPr>
          <w:rFonts w:cs="Times New Roman"/>
          <w:color w:val="FF0000"/>
          <w:szCs w:val="24"/>
          <w:lang w:val="en-US"/>
        </w:rPr>
        <w:t xml:space="preserve"> that enables person-to-person interactions</w:t>
      </w:r>
      <w:r w:rsidR="00934F8F" w:rsidRPr="00E631E8">
        <w:rPr>
          <w:rFonts w:cs="Times New Roman"/>
          <w:color w:val="FF0000"/>
          <w:szCs w:val="24"/>
          <w:lang w:val="en-US"/>
        </w:rPr>
        <w:t xml:space="preserve"> (</w:t>
      </w:r>
      <w:proofErr w:type="spellStart"/>
      <w:r w:rsidR="00934F8F" w:rsidRPr="00E631E8">
        <w:rPr>
          <w:rFonts w:cs="Times New Roman"/>
          <w:color w:val="FF0000"/>
          <w:szCs w:val="24"/>
          <w:lang w:val="en-US"/>
        </w:rPr>
        <w:t>Grönroos</w:t>
      </w:r>
      <w:proofErr w:type="spellEnd"/>
      <w:r w:rsidR="00934F8F" w:rsidRPr="00E631E8">
        <w:rPr>
          <w:rFonts w:cs="Times New Roman"/>
          <w:color w:val="FF0000"/>
          <w:szCs w:val="24"/>
          <w:lang w:val="en-US"/>
        </w:rPr>
        <w:t xml:space="preserve"> and </w:t>
      </w:r>
      <w:proofErr w:type="spellStart"/>
      <w:r w:rsidR="00934F8F" w:rsidRPr="00E631E8">
        <w:rPr>
          <w:rFonts w:cs="Times New Roman"/>
          <w:color w:val="FF0000"/>
          <w:szCs w:val="24"/>
          <w:lang w:val="en-US"/>
        </w:rPr>
        <w:t>Voima</w:t>
      </w:r>
      <w:proofErr w:type="spellEnd"/>
      <w:r w:rsidR="0083218F" w:rsidRPr="00E631E8">
        <w:rPr>
          <w:rFonts w:cs="Times New Roman"/>
          <w:color w:val="FF0000"/>
          <w:szCs w:val="24"/>
          <w:lang w:val="en-US"/>
        </w:rPr>
        <w:t>,</w:t>
      </w:r>
      <w:r w:rsidR="00D126D4" w:rsidRPr="00E631E8">
        <w:rPr>
          <w:rFonts w:cs="Times New Roman"/>
          <w:color w:val="FF0000"/>
          <w:szCs w:val="24"/>
          <w:lang w:val="en-US"/>
        </w:rPr>
        <w:t xml:space="preserve"> 2013)</w:t>
      </w:r>
      <w:r w:rsidR="00293D51" w:rsidRPr="00E631E8">
        <w:rPr>
          <w:rFonts w:cs="Times New Roman"/>
          <w:color w:val="FF0000"/>
          <w:szCs w:val="24"/>
          <w:lang w:val="en-US"/>
        </w:rPr>
        <w:t xml:space="preserve"> act as antecedents to collective engagement.</w:t>
      </w:r>
      <w:r w:rsidR="007C4923" w:rsidRPr="00E631E8">
        <w:rPr>
          <w:rFonts w:cs="Times New Roman"/>
          <w:color w:val="FF0000"/>
          <w:szCs w:val="24"/>
          <w:lang w:val="en-US"/>
        </w:rPr>
        <w:t xml:space="preserve"> A u</w:t>
      </w:r>
      <w:r w:rsidR="00DC0CC6" w:rsidRPr="00E631E8">
        <w:rPr>
          <w:rFonts w:eastAsiaTheme="minorEastAsia" w:cs="Times New Roman"/>
          <w:color w:val="FF0000"/>
          <w:szCs w:val="24"/>
          <w:lang w:val="en-US" w:eastAsia="zh-CN"/>
        </w:rPr>
        <w:t xml:space="preserve">ser </w:t>
      </w:r>
      <w:r w:rsidR="007C4923" w:rsidRPr="00E631E8">
        <w:rPr>
          <w:rFonts w:eastAsiaTheme="minorEastAsia" w:cs="Times New Roman"/>
          <w:color w:val="FF0000"/>
          <w:szCs w:val="24"/>
          <w:lang w:val="en-US" w:eastAsia="zh-CN"/>
        </w:rPr>
        <w:t>experienc</w:t>
      </w:r>
      <w:r w:rsidR="00D70EA9" w:rsidRPr="00E631E8">
        <w:rPr>
          <w:rFonts w:eastAsiaTheme="minorEastAsia" w:cs="Times New Roman"/>
          <w:color w:val="FF0000"/>
          <w:szCs w:val="24"/>
          <w:lang w:val="en-US" w:eastAsia="zh-CN"/>
        </w:rPr>
        <w:t>ing</w:t>
      </w:r>
      <w:r w:rsidR="00DC0CC6" w:rsidRPr="00E631E8">
        <w:rPr>
          <w:rFonts w:eastAsiaTheme="minorEastAsia" w:cs="Times New Roman"/>
          <w:color w:val="FF0000"/>
          <w:szCs w:val="24"/>
          <w:lang w:val="en-US" w:eastAsia="zh-CN"/>
        </w:rPr>
        <w:t xml:space="preserve"> c</w:t>
      </w:r>
      <w:r w:rsidR="005214DC" w:rsidRPr="00E631E8">
        <w:rPr>
          <w:rFonts w:eastAsiaTheme="minorEastAsia" w:cs="Times New Roman"/>
          <w:color w:val="FF0000"/>
          <w:szCs w:val="24"/>
          <w:lang w:val="en-US" w:eastAsia="zh-CN"/>
        </w:rPr>
        <w:t>ollective engage</w:t>
      </w:r>
      <w:r w:rsidR="00D70EA9" w:rsidRPr="00E631E8">
        <w:rPr>
          <w:rFonts w:eastAsiaTheme="minorEastAsia" w:cs="Times New Roman"/>
          <w:color w:val="FF0000"/>
          <w:szCs w:val="24"/>
          <w:lang w:val="en-US" w:eastAsia="zh-CN"/>
        </w:rPr>
        <w:t>ment enacts behaviors that</w:t>
      </w:r>
      <w:r w:rsidR="00DC0CC6"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t>aim</w:t>
      </w:r>
      <w:r w:rsidR="00C101B7" w:rsidRPr="00E631E8">
        <w:rPr>
          <w:rFonts w:eastAsiaTheme="minorEastAsia" w:cs="Times New Roman"/>
          <w:color w:val="FF0000"/>
          <w:szCs w:val="24"/>
          <w:lang w:val="en-US" w:eastAsia="zh-CN"/>
        </w:rPr>
        <w:t xml:space="preserve"> to</w:t>
      </w:r>
      <w:r w:rsidR="005214DC" w:rsidRPr="00E631E8">
        <w:rPr>
          <w:rFonts w:eastAsiaTheme="minorEastAsia" w:cs="Times New Roman"/>
          <w:color w:val="FF0000"/>
          <w:szCs w:val="24"/>
          <w:lang w:val="en-US" w:eastAsia="zh-CN"/>
        </w:rPr>
        <w:t xml:space="preserve"> benefit</w:t>
      </w:r>
      <w:r w:rsidR="00C101B7"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t>not just the</w:t>
      </w:r>
      <w:r w:rsidR="00C101B7" w:rsidRPr="00E631E8">
        <w:rPr>
          <w:rFonts w:eastAsiaTheme="minorEastAsia" w:cs="Times New Roman"/>
          <w:color w:val="FF0000"/>
          <w:szCs w:val="24"/>
          <w:lang w:val="en-US" w:eastAsia="zh-CN"/>
        </w:rPr>
        <w:t>mselves and the</w:t>
      </w:r>
      <w:r w:rsidR="005C44C0" w:rsidRPr="00E631E8">
        <w:rPr>
          <w:rFonts w:eastAsiaTheme="minorEastAsia" w:cs="Times New Roman"/>
          <w:color w:val="FF0000"/>
          <w:szCs w:val="24"/>
          <w:lang w:val="en-US" w:eastAsia="zh-CN"/>
        </w:rPr>
        <w:t xml:space="preserve"> </w:t>
      </w:r>
      <w:r w:rsidR="005214DC" w:rsidRPr="00E631E8">
        <w:rPr>
          <w:rFonts w:eastAsiaTheme="minorEastAsia" w:cs="Times New Roman"/>
          <w:color w:val="FF0000"/>
          <w:szCs w:val="24"/>
          <w:lang w:val="en-US" w:eastAsia="zh-CN"/>
        </w:rPr>
        <w:t xml:space="preserve">platform but also the broader </w:t>
      </w:r>
      <w:r w:rsidR="006E3C31" w:rsidRPr="00E631E8">
        <w:rPr>
          <w:rFonts w:eastAsiaTheme="minorEastAsia" w:cs="Times New Roman"/>
          <w:color w:val="FF0000"/>
          <w:szCs w:val="24"/>
          <w:lang w:val="en-US" w:eastAsia="zh-CN"/>
        </w:rPr>
        <w:t>user</w:t>
      </w:r>
      <w:r w:rsidR="005214DC" w:rsidRPr="00E631E8">
        <w:rPr>
          <w:rFonts w:eastAsiaTheme="minorEastAsia" w:cs="Times New Roman"/>
          <w:color w:val="FF0000"/>
          <w:szCs w:val="24"/>
          <w:lang w:val="en-US" w:eastAsia="zh-CN"/>
        </w:rPr>
        <w:t xml:space="preserve"> </w:t>
      </w:r>
      <w:r w:rsidR="00C101B7" w:rsidRPr="00E631E8">
        <w:rPr>
          <w:rFonts w:eastAsiaTheme="minorEastAsia" w:cs="Times New Roman"/>
          <w:color w:val="FF0000"/>
          <w:szCs w:val="24"/>
          <w:lang w:val="en-US" w:eastAsia="zh-CN"/>
        </w:rPr>
        <w:t>community</w:t>
      </w:r>
      <w:r w:rsidR="00214B29" w:rsidRPr="00E631E8">
        <w:rPr>
          <w:rFonts w:eastAsiaTheme="minorEastAsia" w:cs="Times New Roman"/>
          <w:color w:val="FF0000"/>
          <w:szCs w:val="24"/>
          <w:lang w:val="en-US" w:eastAsia="zh-CN"/>
        </w:rPr>
        <w:t xml:space="preserve">, e.g., </w:t>
      </w:r>
      <w:r w:rsidR="003C2631" w:rsidRPr="00E631E8">
        <w:rPr>
          <w:rFonts w:eastAsiaTheme="minorEastAsia" w:cs="Times New Roman"/>
          <w:color w:val="FF0000"/>
          <w:szCs w:val="24"/>
          <w:lang w:val="en-US" w:eastAsia="zh-CN"/>
        </w:rPr>
        <w:t xml:space="preserve">through </w:t>
      </w:r>
      <w:r w:rsidR="00601F1F" w:rsidRPr="00E631E8">
        <w:rPr>
          <w:rFonts w:eastAsiaTheme="minorEastAsia" w:cs="Times New Roman"/>
          <w:color w:val="FF0000"/>
          <w:szCs w:val="24"/>
          <w:lang w:val="en-US" w:eastAsia="zh-CN"/>
        </w:rPr>
        <w:t xml:space="preserve">community-oriented </w:t>
      </w:r>
      <w:r w:rsidR="00EC352E" w:rsidRPr="00E631E8">
        <w:rPr>
          <w:rFonts w:eastAsiaTheme="minorEastAsia" w:cs="Times New Roman"/>
          <w:color w:val="FF0000"/>
          <w:szCs w:val="24"/>
          <w:lang w:val="en-US" w:eastAsia="zh-CN"/>
        </w:rPr>
        <w:t xml:space="preserve">sharing of </w:t>
      </w:r>
      <w:r w:rsidR="00214B29" w:rsidRPr="00E631E8">
        <w:rPr>
          <w:rFonts w:eastAsiaTheme="minorEastAsia" w:cs="Times New Roman"/>
          <w:color w:val="FF0000"/>
          <w:szCs w:val="24"/>
          <w:lang w:val="en-US" w:eastAsia="zh-CN"/>
        </w:rPr>
        <w:t>recommendations, reviews</w:t>
      </w:r>
      <w:r w:rsidR="00D54BEC" w:rsidRPr="00E631E8">
        <w:rPr>
          <w:rFonts w:eastAsiaTheme="minorEastAsia" w:cs="Times New Roman"/>
          <w:color w:val="FF0000"/>
          <w:szCs w:val="24"/>
          <w:lang w:val="en-US" w:eastAsia="zh-CN"/>
        </w:rPr>
        <w:t>,</w:t>
      </w:r>
      <w:r w:rsidR="00214B29" w:rsidRPr="00E631E8">
        <w:rPr>
          <w:rFonts w:eastAsiaTheme="minorEastAsia" w:cs="Times New Roman"/>
          <w:color w:val="FF0000"/>
          <w:szCs w:val="24"/>
          <w:lang w:val="en-US" w:eastAsia="zh-CN"/>
        </w:rPr>
        <w:t xml:space="preserve"> assistance, </w:t>
      </w:r>
      <w:r w:rsidR="00B76307" w:rsidRPr="00E631E8">
        <w:rPr>
          <w:rFonts w:eastAsiaTheme="minorEastAsia" w:cs="Times New Roman"/>
          <w:color w:val="FF0000"/>
          <w:szCs w:val="24"/>
          <w:lang w:val="en-US" w:eastAsia="zh-CN"/>
        </w:rPr>
        <w:t xml:space="preserve">expertise, </w:t>
      </w:r>
      <w:r w:rsidR="008537BA">
        <w:rPr>
          <w:rFonts w:eastAsiaTheme="minorEastAsia" w:cs="Times New Roman"/>
          <w:color w:val="FF0000"/>
          <w:szCs w:val="24"/>
          <w:lang w:val="en-US" w:eastAsia="zh-CN"/>
        </w:rPr>
        <w:t xml:space="preserve">and </w:t>
      </w:r>
      <w:r w:rsidR="00B76307" w:rsidRPr="00E631E8">
        <w:rPr>
          <w:rFonts w:eastAsiaTheme="minorEastAsia" w:cs="Times New Roman"/>
          <w:color w:val="FF0000"/>
          <w:szCs w:val="24"/>
          <w:lang w:val="en-US" w:eastAsia="zh-CN"/>
        </w:rPr>
        <w:t>knowledge</w:t>
      </w:r>
      <w:r w:rsidR="00C101B7" w:rsidRPr="00E631E8">
        <w:rPr>
          <w:rFonts w:eastAsiaTheme="minorEastAsia" w:cs="Times New Roman"/>
          <w:color w:val="FF0000"/>
          <w:szCs w:val="24"/>
          <w:lang w:val="en-US" w:eastAsia="zh-CN"/>
        </w:rPr>
        <w:t>.</w:t>
      </w:r>
      <w:r w:rsidR="003D79FF" w:rsidRPr="00E631E8">
        <w:rPr>
          <w:rFonts w:eastAsiaTheme="minorEastAsia" w:cs="Times New Roman"/>
          <w:color w:val="FF0000"/>
          <w:szCs w:val="24"/>
          <w:lang w:val="en-US" w:eastAsia="zh-CN"/>
        </w:rPr>
        <w:t xml:space="preserve"> </w:t>
      </w:r>
    </w:p>
    <w:p w14:paraId="1EC38638" w14:textId="56E39167" w:rsidR="00A32087" w:rsidRPr="005F2A26" w:rsidRDefault="00F22D4E" w:rsidP="009938B9">
      <w:pPr>
        <w:autoSpaceDE w:val="0"/>
        <w:autoSpaceDN w:val="0"/>
        <w:adjustRightInd w:val="0"/>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t>By extension, our second theoretical contribution is a</w:t>
      </w:r>
      <w:r w:rsidRPr="005F2A26">
        <w:rPr>
          <w:rFonts w:eastAsia="Calibri" w:cs="Times New Roman"/>
          <w:noProof/>
          <w:szCs w:val="24"/>
          <w:lang w:val="en-US"/>
        </w:rPr>
        <w:t xml:space="preserve"> fresh conceptualization of how different types of SE platforms can be categ</w:t>
      </w:r>
      <w:r w:rsidR="00CE16A3">
        <w:rPr>
          <w:rFonts w:eastAsia="Calibri" w:cs="Times New Roman"/>
          <w:noProof/>
          <w:szCs w:val="24"/>
          <w:lang w:val="en-US"/>
        </w:rPr>
        <w:t>o</w:t>
      </w:r>
      <w:r w:rsidRPr="005F2A26">
        <w:rPr>
          <w:rFonts w:eastAsia="Calibri" w:cs="Times New Roman"/>
          <w:noProof/>
          <w:szCs w:val="24"/>
          <w:lang w:val="en-US"/>
        </w:rPr>
        <w:t>rized</w:t>
      </w:r>
      <w:r w:rsidR="008537BA">
        <w:rPr>
          <w:rFonts w:eastAsia="Calibri" w:cs="Times New Roman"/>
          <w:noProof/>
          <w:szCs w:val="24"/>
          <w:lang w:val="en-US"/>
        </w:rPr>
        <w:t xml:space="preserve">. </w:t>
      </w:r>
      <w:r w:rsidR="00FA64D5">
        <w:rPr>
          <w:rFonts w:eastAsia="Calibri" w:cs="Times New Roman"/>
          <w:noProof/>
          <w:szCs w:val="24"/>
          <w:lang w:val="en-US"/>
        </w:rPr>
        <w:t xml:space="preserve">This </w:t>
      </w:r>
      <w:r w:rsidR="00130C2B">
        <w:rPr>
          <w:rFonts w:eastAsia="Calibri" w:cs="Times New Roman"/>
          <w:noProof/>
          <w:szCs w:val="24"/>
          <w:lang w:val="en-US"/>
        </w:rPr>
        <w:t xml:space="preserve">categorization </w:t>
      </w:r>
      <w:r w:rsidR="00FA64D5">
        <w:rPr>
          <w:rFonts w:eastAsia="Calibri" w:cs="Times New Roman"/>
          <w:noProof/>
          <w:szCs w:val="24"/>
          <w:lang w:val="en-US"/>
        </w:rPr>
        <w:t xml:space="preserve">depends </w:t>
      </w:r>
      <w:r w:rsidR="00130C2B">
        <w:rPr>
          <w:rFonts w:eastAsia="Calibri" w:cs="Times New Roman"/>
          <w:noProof/>
          <w:szCs w:val="24"/>
          <w:lang w:val="en-US"/>
        </w:rPr>
        <w:t>on the</w:t>
      </w:r>
      <w:r w:rsidRPr="005F2A26">
        <w:rPr>
          <w:rFonts w:eastAsia="Calibri" w:cs="Times New Roman"/>
          <w:noProof/>
          <w:szCs w:val="24"/>
          <w:lang w:val="en-US"/>
        </w:rPr>
        <w:t xml:space="preserve"> type of </w:t>
      </w:r>
      <w:r w:rsidR="00130C2B">
        <w:rPr>
          <w:rFonts w:eastAsia="Calibri" w:cs="Times New Roman"/>
          <w:noProof/>
          <w:szCs w:val="24"/>
          <w:lang w:val="en-US"/>
        </w:rPr>
        <w:t xml:space="preserve">user </w:t>
      </w:r>
      <w:r w:rsidRPr="005F2A26">
        <w:rPr>
          <w:rFonts w:eastAsia="Calibri" w:cs="Times New Roman"/>
          <w:noProof/>
          <w:szCs w:val="24"/>
          <w:lang w:val="en-US"/>
        </w:rPr>
        <w:t xml:space="preserve">engagement </w:t>
      </w:r>
      <w:r w:rsidR="004F4F3F" w:rsidRPr="005F2A26">
        <w:rPr>
          <w:rFonts w:eastAsia="Calibri" w:cs="Times New Roman"/>
          <w:noProof/>
          <w:szCs w:val="24"/>
          <w:lang w:val="en-US"/>
        </w:rPr>
        <w:t>that is optimal</w:t>
      </w:r>
      <w:r w:rsidR="00A37883">
        <w:rPr>
          <w:rFonts w:eastAsia="Calibri" w:cs="Times New Roman"/>
          <w:noProof/>
          <w:szCs w:val="24"/>
          <w:lang w:val="en-US"/>
        </w:rPr>
        <w:t xml:space="preserve"> for a platform</w:t>
      </w:r>
      <w:r w:rsidRPr="005F2A26">
        <w:rPr>
          <w:rFonts w:eastAsia="Calibri" w:cs="Times New Roman"/>
          <w:noProof/>
          <w:szCs w:val="24"/>
          <w:lang w:val="en-US"/>
        </w:rPr>
        <w:t>, and the</w:t>
      </w:r>
      <w:r w:rsidR="0016048D" w:rsidRPr="005F2A26">
        <w:rPr>
          <w:rFonts w:eastAsia="Calibri" w:cs="Times New Roman"/>
          <w:noProof/>
          <w:szCs w:val="24"/>
          <w:lang w:val="en-US"/>
        </w:rPr>
        <w:t xml:space="preserve"> </w:t>
      </w:r>
      <w:r w:rsidRPr="005F2A26">
        <w:rPr>
          <w:rFonts w:eastAsia="Calibri" w:cs="Times New Roman"/>
          <w:noProof/>
          <w:szCs w:val="24"/>
          <w:lang w:val="en-US"/>
        </w:rPr>
        <w:t>degree of control the</w:t>
      </w:r>
      <w:r w:rsidR="00875010" w:rsidRPr="005F2A26">
        <w:rPr>
          <w:rFonts w:eastAsia="Calibri" w:cs="Times New Roman"/>
          <w:noProof/>
          <w:szCs w:val="24"/>
          <w:lang w:val="en-US"/>
        </w:rPr>
        <w:t xml:space="preserve"> platform</w:t>
      </w:r>
      <w:r w:rsidRPr="005F2A26">
        <w:rPr>
          <w:rFonts w:eastAsia="Calibri" w:cs="Times New Roman"/>
          <w:noProof/>
          <w:szCs w:val="24"/>
          <w:lang w:val="en-US"/>
        </w:rPr>
        <w:t xml:space="preserve"> </w:t>
      </w:r>
      <w:r w:rsidR="00875010" w:rsidRPr="005F2A26">
        <w:rPr>
          <w:rFonts w:eastAsia="Calibri" w:cs="Times New Roman"/>
          <w:noProof/>
          <w:szCs w:val="24"/>
          <w:lang w:val="en-US"/>
        </w:rPr>
        <w:t xml:space="preserve">takes </w:t>
      </w:r>
      <w:r w:rsidR="00A44967" w:rsidRPr="005F2A26">
        <w:rPr>
          <w:rFonts w:eastAsia="Calibri" w:cs="Times New Roman"/>
          <w:noProof/>
          <w:szCs w:val="24"/>
          <w:lang w:val="en-US"/>
        </w:rPr>
        <w:t>over</w:t>
      </w:r>
      <w:r w:rsidRPr="005F2A26">
        <w:rPr>
          <w:rFonts w:eastAsia="Calibri" w:cs="Times New Roman"/>
          <w:noProof/>
          <w:szCs w:val="24"/>
          <w:lang w:val="en-US"/>
        </w:rPr>
        <w:t xml:space="preserve"> peer interactions.</w:t>
      </w:r>
      <w:r w:rsidR="00040AB3">
        <w:rPr>
          <w:rFonts w:eastAsia="Calibri" w:cs="Times New Roman"/>
          <w:noProof/>
          <w:szCs w:val="24"/>
          <w:lang w:val="en-US"/>
        </w:rPr>
        <w:t xml:space="preserve"> P</w:t>
      </w:r>
      <w:r w:rsidR="00F966C6" w:rsidRPr="005F2A26">
        <w:rPr>
          <w:rFonts w:eastAsia="Calibri" w:cs="Times New Roman"/>
          <w:noProof/>
          <w:szCs w:val="24"/>
          <w:lang w:val="en-US"/>
        </w:rPr>
        <w:t>latforms that closely control peer interactions</w:t>
      </w:r>
      <w:r w:rsidR="00806F77">
        <w:rPr>
          <w:rFonts w:eastAsia="Calibri" w:cs="Times New Roman"/>
          <w:noProof/>
          <w:szCs w:val="24"/>
          <w:lang w:val="en-US"/>
        </w:rPr>
        <w:t xml:space="preserve"> and </w:t>
      </w:r>
      <w:r w:rsidR="00F966C6" w:rsidRPr="005F2A26">
        <w:rPr>
          <w:rFonts w:eastAsia="Calibri" w:cs="Times New Roman"/>
          <w:noProof/>
          <w:szCs w:val="24"/>
          <w:lang w:val="en-US"/>
        </w:rPr>
        <w:t xml:space="preserve">the service offering </w:t>
      </w:r>
      <w:r w:rsidR="00806F77">
        <w:rPr>
          <w:rFonts w:eastAsia="Calibri" w:cs="Times New Roman"/>
          <w:noProof/>
          <w:szCs w:val="24"/>
          <w:lang w:val="en-US"/>
        </w:rPr>
        <w:t xml:space="preserve">(e.g., </w:t>
      </w:r>
      <w:r w:rsidR="00F966C6" w:rsidRPr="005F2A26">
        <w:rPr>
          <w:rFonts w:eastAsia="Calibri" w:cs="Times New Roman"/>
          <w:noProof/>
          <w:szCs w:val="24"/>
          <w:lang w:val="en-US"/>
        </w:rPr>
        <w:t>membership and payment</w:t>
      </w:r>
      <w:r w:rsidR="00806F77">
        <w:rPr>
          <w:rFonts w:eastAsia="Calibri" w:cs="Times New Roman"/>
          <w:noProof/>
          <w:szCs w:val="24"/>
          <w:lang w:val="en-US"/>
        </w:rPr>
        <w:t>)</w:t>
      </w:r>
      <w:r w:rsidR="00F966C6" w:rsidRPr="005F2A26">
        <w:rPr>
          <w:rFonts w:eastAsia="Calibri" w:cs="Times New Roman"/>
          <w:noProof/>
          <w:szCs w:val="24"/>
          <w:lang w:val="en-US"/>
        </w:rPr>
        <w:t xml:space="preserve"> thrive with high degrees of engagement </w:t>
      </w:r>
      <w:r w:rsidR="00EC6DE5" w:rsidRPr="005F2A26">
        <w:rPr>
          <w:rFonts w:eastAsia="Calibri" w:cs="Times New Roman"/>
          <w:noProof/>
          <w:szCs w:val="24"/>
          <w:lang w:val="en-US"/>
        </w:rPr>
        <w:t>within a dyad of</w:t>
      </w:r>
      <w:r w:rsidR="00F966C6" w:rsidRPr="005F2A26">
        <w:rPr>
          <w:rFonts w:eastAsia="Calibri" w:cs="Times New Roman"/>
          <w:noProof/>
          <w:szCs w:val="24"/>
          <w:lang w:val="en-US"/>
        </w:rPr>
        <w:t xml:space="preserve"> user and platform. </w:t>
      </w:r>
      <w:r w:rsidR="0014162D" w:rsidRPr="005F2A26">
        <w:rPr>
          <w:rFonts w:eastAsia="Calibri" w:cs="Times New Roman"/>
          <w:noProof/>
          <w:szCs w:val="24"/>
          <w:lang w:val="en-US"/>
        </w:rPr>
        <w:t>In contrast,</w:t>
      </w:r>
      <w:r w:rsidR="00D07204">
        <w:rPr>
          <w:rFonts w:eastAsia="Calibri" w:cs="Times New Roman"/>
          <w:noProof/>
          <w:szCs w:val="24"/>
          <w:lang w:val="en-US"/>
        </w:rPr>
        <w:t xml:space="preserve"> for</w:t>
      </w:r>
      <w:r w:rsidR="00F966C6" w:rsidRPr="005F2A26">
        <w:rPr>
          <w:rFonts w:eastAsiaTheme="minorEastAsia" w:cs="Times New Roman"/>
          <w:szCs w:val="24"/>
          <w:lang w:val="en-US" w:eastAsia="zh-CN"/>
        </w:rPr>
        <w:t xml:space="preserve"> </w:t>
      </w:r>
      <w:r w:rsidR="00D0384F" w:rsidRPr="005F2A26">
        <w:rPr>
          <w:rFonts w:eastAsiaTheme="minorEastAsia" w:cs="Times New Roman"/>
          <w:szCs w:val="24"/>
          <w:lang w:val="en-US" w:eastAsia="zh-CN"/>
        </w:rPr>
        <w:t xml:space="preserve">a platform </w:t>
      </w:r>
      <w:r w:rsidR="00040AB3">
        <w:rPr>
          <w:rFonts w:eastAsiaTheme="minorEastAsia" w:cs="Times New Roman"/>
          <w:szCs w:val="24"/>
          <w:lang w:val="en-US" w:eastAsia="zh-CN"/>
        </w:rPr>
        <w:t xml:space="preserve">that </w:t>
      </w:r>
      <w:r w:rsidR="00D0384F" w:rsidRPr="005F2A26">
        <w:rPr>
          <w:rFonts w:eastAsiaTheme="minorEastAsia" w:cs="Times New Roman"/>
          <w:szCs w:val="24"/>
          <w:lang w:val="en-US" w:eastAsia="zh-CN"/>
        </w:rPr>
        <w:t>assumes relatively little control over P2P interactions</w:t>
      </w:r>
      <w:r w:rsidR="00D07204">
        <w:rPr>
          <w:rFonts w:eastAsiaTheme="minorEastAsia" w:cs="Times New Roman"/>
          <w:szCs w:val="24"/>
          <w:lang w:val="en-US" w:eastAsia="zh-CN"/>
        </w:rPr>
        <w:t xml:space="preserve">, </w:t>
      </w:r>
      <w:r w:rsidR="00F966C6" w:rsidRPr="005F2A26">
        <w:rPr>
          <w:rFonts w:eastAsiaTheme="minorEastAsia" w:cs="Times New Roman"/>
          <w:szCs w:val="24"/>
          <w:lang w:val="en-US" w:eastAsia="zh-CN"/>
        </w:rPr>
        <w:t>c</w:t>
      </w:r>
      <w:r w:rsidR="00F52E46" w:rsidRPr="005F2A26">
        <w:rPr>
          <w:rFonts w:eastAsiaTheme="minorEastAsia" w:cs="Times New Roman"/>
          <w:szCs w:val="24"/>
          <w:lang w:val="en-US" w:eastAsia="zh-CN"/>
        </w:rPr>
        <w:t xml:space="preserve">ollective </w:t>
      </w:r>
      <w:r w:rsidR="00F9423E" w:rsidRPr="005F2A26">
        <w:rPr>
          <w:rFonts w:eastAsiaTheme="minorEastAsia" w:cs="Times New Roman"/>
          <w:szCs w:val="24"/>
          <w:lang w:val="en-US" w:eastAsia="zh-CN"/>
        </w:rPr>
        <w:t>engagement is particularly beneficial</w:t>
      </w:r>
      <w:r w:rsidR="0073085B" w:rsidRPr="005F2A26">
        <w:rPr>
          <w:rFonts w:eastAsiaTheme="minorEastAsia" w:cs="Times New Roman"/>
          <w:szCs w:val="24"/>
          <w:lang w:val="en-US" w:eastAsia="zh-CN"/>
        </w:rPr>
        <w:t xml:space="preserve">, reflected in </w:t>
      </w:r>
      <w:r w:rsidR="00A028D3" w:rsidRPr="005F2A26">
        <w:rPr>
          <w:rFonts w:eastAsiaTheme="minorEastAsia" w:cs="Times New Roman"/>
          <w:szCs w:val="24"/>
          <w:lang w:val="en-US" w:eastAsia="zh-CN"/>
        </w:rPr>
        <w:t xml:space="preserve">engagement activities like generation of </w:t>
      </w:r>
      <w:r w:rsidR="00F9423E" w:rsidRPr="005F2A26">
        <w:rPr>
          <w:rFonts w:eastAsiaTheme="minorEastAsia" w:cs="Times New Roman"/>
          <w:szCs w:val="24"/>
          <w:lang w:val="en-US" w:eastAsia="zh-CN"/>
        </w:rPr>
        <w:t>user</w:t>
      </w:r>
      <w:r w:rsidR="008232D9" w:rsidRPr="005F2A26">
        <w:rPr>
          <w:rFonts w:eastAsiaTheme="minorEastAsia" w:cs="Times New Roman"/>
          <w:szCs w:val="24"/>
          <w:lang w:val="en-US" w:eastAsia="zh-CN"/>
        </w:rPr>
        <w:t xml:space="preserve"> content</w:t>
      </w:r>
      <w:r w:rsidR="00F9423E" w:rsidRPr="005F2A26">
        <w:rPr>
          <w:rFonts w:eastAsiaTheme="minorEastAsia" w:cs="Times New Roman"/>
          <w:szCs w:val="24"/>
          <w:lang w:val="en-US" w:eastAsia="zh-CN"/>
        </w:rPr>
        <w:t xml:space="preserve"> and</w:t>
      </w:r>
      <w:r w:rsidR="008173FB" w:rsidRPr="005F2A26">
        <w:rPr>
          <w:rFonts w:eastAsiaTheme="minorEastAsia" w:cs="Times New Roman"/>
          <w:szCs w:val="24"/>
          <w:lang w:val="en-US" w:eastAsia="zh-CN"/>
        </w:rPr>
        <w:t xml:space="preserve"> P2P</w:t>
      </w:r>
      <w:r w:rsidR="00F9423E" w:rsidRPr="005F2A26">
        <w:rPr>
          <w:rFonts w:eastAsiaTheme="minorEastAsia" w:cs="Times New Roman"/>
          <w:szCs w:val="24"/>
          <w:lang w:val="en-US" w:eastAsia="zh-CN"/>
        </w:rPr>
        <w:t xml:space="preserve"> </w:t>
      </w:r>
      <w:r w:rsidR="00E53AD1" w:rsidRPr="005F2A26">
        <w:rPr>
          <w:rFonts w:eastAsiaTheme="minorEastAsia" w:cs="Times New Roman"/>
          <w:szCs w:val="24"/>
          <w:lang w:val="en-US" w:eastAsia="zh-CN"/>
        </w:rPr>
        <w:t>socializing</w:t>
      </w:r>
      <w:r w:rsidR="00F9423E" w:rsidRPr="005F2A26">
        <w:rPr>
          <w:rFonts w:eastAsiaTheme="minorEastAsia" w:cs="Times New Roman"/>
          <w:szCs w:val="24"/>
          <w:lang w:val="en-US" w:eastAsia="zh-CN"/>
        </w:rPr>
        <w:t>.</w:t>
      </w:r>
      <w:r w:rsidR="005214DC" w:rsidRPr="005F2A26">
        <w:rPr>
          <w:rFonts w:eastAsiaTheme="minorEastAsia" w:cs="Times New Roman"/>
          <w:szCs w:val="24"/>
          <w:lang w:val="en-US" w:eastAsia="zh-CN"/>
        </w:rPr>
        <w:t xml:space="preserve"> </w:t>
      </w:r>
      <w:r w:rsidR="006E3C31" w:rsidRPr="005F2A26">
        <w:rPr>
          <w:rFonts w:eastAsiaTheme="minorEastAsia" w:cs="Times New Roman"/>
          <w:szCs w:val="24"/>
          <w:lang w:val="en-US" w:eastAsia="zh-CN"/>
        </w:rPr>
        <w:t>Between these two extremes, some platforms</w:t>
      </w:r>
      <w:r w:rsidR="00D917C8" w:rsidRPr="005F2A26">
        <w:rPr>
          <w:rFonts w:eastAsiaTheme="minorEastAsia" w:cs="Times New Roman"/>
          <w:szCs w:val="24"/>
          <w:lang w:val="en-US" w:eastAsia="zh-CN"/>
        </w:rPr>
        <w:t xml:space="preserve"> (like Airbnb)</w:t>
      </w:r>
      <w:r w:rsidR="006E3C31" w:rsidRPr="005F2A26">
        <w:rPr>
          <w:rFonts w:eastAsiaTheme="minorEastAsia" w:cs="Times New Roman"/>
          <w:szCs w:val="24"/>
          <w:lang w:val="en-US" w:eastAsia="zh-CN"/>
        </w:rPr>
        <w:t xml:space="preserve"> need a mix of both types of engagement to perform optimally.  </w:t>
      </w:r>
    </w:p>
    <w:p w14:paraId="2A3DE887" w14:textId="69699E0C" w:rsidR="001B72D0" w:rsidRPr="005F2A26" w:rsidRDefault="00DC31DF">
      <w:pPr>
        <w:autoSpaceDE w:val="0"/>
        <w:autoSpaceDN w:val="0"/>
        <w:adjustRightInd w:val="0"/>
        <w:spacing w:after="0" w:line="480" w:lineRule="auto"/>
        <w:ind w:firstLine="720"/>
        <w:rPr>
          <w:rFonts w:eastAsiaTheme="minorEastAsia" w:cs="Times New Roman"/>
          <w:szCs w:val="24"/>
          <w:lang w:val="en-US" w:eastAsia="zh-CN"/>
        </w:rPr>
      </w:pPr>
      <w:r w:rsidRPr="005F2A26">
        <w:rPr>
          <w:rFonts w:cs="Times New Roman"/>
          <w:szCs w:val="24"/>
          <w:lang w:val="en-US"/>
        </w:rPr>
        <w:lastRenderedPageBreak/>
        <w:t xml:space="preserve"> </w:t>
      </w:r>
      <w:r w:rsidR="00A32087" w:rsidRPr="005F2A26">
        <w:rPr>
          <w:rFonts w:cs="Times New Roman"/>
          <w:szCs w:val="24"/>
          <w:lang w:val="en-US"/>
        </w:rPr>
        <w:t>Third</w:t>
      </w:r>
      <w:r w:rsidR="00FA25EB" w:rsidRPr="005F2A26">
        <w:rPr>
          <w:rFonts w:cs="Times New Roman"/>
          <w:szCs w:val="24"/>
          <w:lang w:val="en-US"/>
        </w:rPr>
        <w:t xml:space="preserve">, </w:t>
      </w:r>
      <w:bookmarkStart w:id="8" w:name="_Hlk37247585"/>
      <w:r w:rsidR="006B4F36" w:rsidRPr="005F2A26">
        <w:rPr>
          <w:rFonts w:cs="Times New Roman"/>
          <w:szCs w:val="24"/>
          <w:lang w:val="en-US"/>
        </w:rPr>
        <w:t xml:space="preserve">this study </w:t>
      </w:r>
      <w:r w:rsidR="00D54C35" w:rsidRPr="005F2A26">
        <w:rPr>
          <w:rFonts w:cs="Times New Roman"/>
          <w:szCs w:val="24"/>
          <w:lang w:val="en-US"/>
        </w:rPr>
        <w:t>offer</w:t>
      </w:r>
      <w:r w:rsidR="006B4F36" w:rsidRPr="005F2A26">
        <w:rPr>
          <w:rFonts w:cs="Times New Roman"/>
          <w:szCs w:val="24"/>
          <w:lang w:val="en-US"/>
        </w:rPr>
        <w:t>s</w:t>
      </w:r>
      <w:r w:rsidR="00D54C35" w:rsidRPr="005F2A26">
        <w:rPr>
          <w:rFonts w:cs="Times New Roman"/>
          <w:szCs w:val="24"/>
          <w:lang w:val="en-US"/>
        </w:rPr>
        <w:t xml:space="preserve"> increased clarity </w:t>
      </w:r>
      <w:r w:rsidR="00BA1D0E" w:rsidRPr="005F2A26">
        <w:rPr>
          <w:rFonts w:cs="Times New Roman"/>
          <w:szCs w:val="24"/>
          <w:lang w:val="en-US"/>
        </w:rPr>
        <w:t xml:space="preserve">of </w:t>
      </w:r>
      <w:r w:rsidR="00D54C35" w:rsidRPr="005F2A26">
        <w:rPr>
          <w:rFonts w:cs="Times New Roman"/>
          <w:szCs w:val="24"/>
          <w:lang w:val="en-US"/>
        </w:rPr>
        <w:t xml:space="preserve">what </w:t>
      </w:r>
      <w:r w:rsidR="00564FCB" w:rsidRPr="005F2A26">
        <w:rPr>
          <w:rFonts w:cs="Times New Roman"/>
          <w:szCs w:val="24"/>
          <w:lang w:val="en-US"/>
        </w:rPr>
        <w:t xml:space="preserve">targets of PO </w:t>
      </w:r>
      <w:r w:rsidR="00D54C35" w:rsidRPr="005F2A26">
        <w:rPr>
          <w:rFonts w:cs="Times New Roman"/>
          <w:szCs w:val="24"/>
          <w:lang w:val="en-US"/>
        </w:rPr>
        <w:t>potentially serve as</w:t>
      </w:r>
      <w:r w:rsidR="00BE6C0E" w:rsidRPr="005F2A26">
        <w:rPr>
          <w:rFonts w:cs="Times New Roman"/>
          <w:szCs w:val="24"/>
          <w:lang w:val="en-US"/>
        </w:rPr>
        <w:t xml:space="preserve"> gateway</w:t>
      </w:r>
      <w:r w:rsidR="00564FCB" w:rsidRPr="005F2A26">
        <w:rPr>
          <w:rFonts w:cs="Times New Roman"/>
          <w:szCs w:val="24"/>
          <w:lang w:val="en-US"/>
        </w:rPr>
        <w:t>s</w:t>
      </w:r>
      <w:r w:rsidR="00BE6C0E" w:rsidRPr="005F2A26">
        <w:rPr>
          <w:rFonts w:cs="Times New Roman"/>
          <w:szCs w:val="24"/>
          <w:lang w:val="en-US"/>
        </w:rPr>
        <w:t xml:space="preserve"> to</w:t>
      </w:r>
      <w:r w:rsidR="0055546D" w:rsidRPr="005F2A26">
        <w:rPr>
          <w:rFonts w:cs="Times New Roman"/>
          <w:szCs w:val="24"/>
          <w:lang w:val="en-US"/>
        </w:rPr>
        <w:t xml:space="preserve"> engagement. </w:t>
      </w:r>
      <w:r w:rsidR="00D54C35" w:rsidRPr="005F2A26">
        <w:rPr>
          <w:rFonts w:cs="Times New Roman"/>
          <w:szCs w:val="24"/>
          <w:lang w:val="en-US"/>
        </w:rPr>
        <w:t xml:space="preserve">The engagement literature </w:t>
      </w:r>
      <w:r w:rsidR="003D39E5" w:rsidRPr="005F2A26">
        <w:rPr>
          <w:rFonts w:cs="Times New Roman"/>
          <w:szCs w:val="24"/>
          <w:lang w:val="en-US"/>
        </w:rPr>
        <w:t xml:space="preserve">predominantly </w:t>
      </w:r>
      <w:r w:rsidR="008D64CB" w:rsidRPr="005F2A26">
        <w:rPr>
          <w:rFonts w:cs="Times New Roman"/>
          <w:szCs w:val="24"/>
          <w:lang w:val="en-US"/>
        </w:rPr>
        <w:t xml:space="preserve">conceptualizes </w:t>
      </w:r>
      <w:r w:rsidR="00D54C35" w:rsidRPr="005F2A26">
        <w:rPr>
          <w:rFonts w:cs="Times New Roman"/>
          <w:szCs w:val="24"/>
          <w:lang w:val="en-US"/>
        </w:rPr>
        <w:t>brand</w:t>
      </w:r>
      <w:r w:rsidR="003D39E5" w:rsidRPr="005F2A26">
        <w:rPr>
          <w:rFonts w:cs="Times New Roman"/>
          <w:szCs w:val="24"/>
          <w:lang w:val="en-US"/>
        </w:rPr>
        <w:t xml:space="preserve">s as engagement </w:t>
      </w:r>
      <w:r w:rsidR="009E46AA" w:rsidRPr="005F2A26">
        <w:rPr>
          <w:rFonts w:cs="Times New Roman"/>
          <w:szCs w:val="24"/>
          <w:lang w:val="en-US"/>
        </w:rPr>
        <w:t>foci</w:t>
      </w:r>
      <w:r w:rsidR="003D39E5" w:rsidRPr="005F2A26">
        <w:rPr>
          <w:rFonts w:cs="Times New Roman"/>
          <w:szCs w:val="24"/>
          <w:lang w:val="en-US"/>
        </w:rPr>
        <w:t>. H</w:t>
      </w:r>
      <w:r w:rsidR="00D54C35" w:rsidRPr="005F2A26">
        <w:rPr>
          <w:rFonts w:cs="Times New Roman"/>
          <w:szCs w:val="24"/>
          <w:lang w:val="en-US"/>
        </w:rPr>
        <w:t>owever,</w:t>
      </w:r>
      <w:r w:rsidR="0055546D" w:rsidRPr="005F2A26">
        <w:rPr>
          <w:rFonts w:cs="Times New Roman"/>
          <w:szCs w:val="24"/>
          <w:lang w:val="en-US"/>
        </w:rPr>
        <w:t xml:space="preserve"> </w:t>
      </w:r>
      <w:r w:rsidR="00E20EEA">
        <w:rPr>
          <w:rFonts w:cs="Times New Roman"/>
          <w:szCs w:val="24"/>
          <w:lang w:val="en-US"/>
        </w:rPr>
        <w:t xml:space="preserve">both </w:t>
      </w:r>
      <w:r w:rsidR="00993FFE" w:rsidRPr="005F2A26">
        <w:rPr>
          <w:rFonts w:cs="Times New Roman"/>
          <w:szCs w:val="24"/>
          <w:lang w:val="en-US"/>
        </w:rPr>
        <w:t>tangible</w:t>
      </w:r>
      <w:r w:rsidR="00E20EEA">
        <w:rPr>
          <w:rFonts w:cs="Times New Roman"/>
          <w:szCs w:val="24"/>
          <w:lang w:val="en-US"/>
        </w:rPr>
        <w:t xml:space="preserve"> </w:t>
      </w:r>
      <w:r w:rsidR="00993FFE" w:rsidRPr="005F2A26">
        <w:rPr>
          <w:rFonts w:cs="Times New Roman"/>
          <w:szCs w:val="24"/>
          <w:lang w:val="en-US"/>
        </w:rPr>
        <w:t>and intangible</w:t>
      </w:r>
      <w:r w:rsidR="00F9698B" w:rsidRPr="005F2A26">
        <w:rPr>
          <w:rFonts w:cs="Times New Roman"/>
          <w:szCs w:val="24"/>
          <w:lang w:val="en-US"/>
        </w:rPr>
        <w:t xml:space="preserve"> objects serve as</w:t>
      </w:r>
      <w:r w:rsidR="00993FFE" w:rsidRPr="005F2A26">
        <w:rPr>
          <w:rFonts w:cs="Times New Roman"/>
          <w:szCs w:val="24"/>
          <w:lang w:val="en-US"/>
        </w:rPr>
        <w:t xml:space="preserve"> </w:t>
      </w:r>
      <w:r w:rsidR="0055546D" w:rsidRPr="005F2A26">
        <w:rPr>
          <w:rFonts w:cs="Times New Roman"/>
          <w:szCs w:val="24"/>
          <w:lang w:val="en-US"/>
        </w:rPr>
        <w:t>targets</w:t>
      </w:r>
      <w:r w:rsidR="00993FFE" w:rsidRPr="005F2A26">
        <w:rPr>
          <w:rFonts w:cs="Times New Roman"/>
          <w:szCs w:val="24"/>
          <w:lang w:val="en-US"/>
        </w:rPr>
        <w:t xml:space="preserve"> </w:t>
      </w:r>
      <w:r w:rsidR="0055546D" w:rsidRPr="005F2A26">
        <w:rPr>
          <w:rFonts w:cs="Times New Roman"/>
          <w:szCs w:val="24"/>
          <w:lang w:val="en-US"/>
        </w:rPr>
        <w:t>of iPO</w:t>
      </w:r>
      <w:r w:rsidR="00993FFE" w:rsidRPr="005F2A26">
        <w:rPr>
          <w:rFonts w:cs="Times New Roman"/>
          <w:szCs w:val="24"/>
          <w:lang w:val="en-US"/>
        </w:rPr>
        <w:t xml:space="preserve"> (</w:t>
      </w:r>
      <w:r w:rsidR="0055546D" w:rsidRPr="005F2A26">
        <w:rPr>
          <w:rFonts w:cs="Times New Roman"/>
          <w:szCs w:val="24"/>
          <w:lang w:val="en-US"/>
        </w:rPr>
        <w:t xml:space="preserve">e.g., </w:t>
      </w:r>
      <w:r w:rsidR="00D54C35" w:rsidRPr="005F2A26">
        <w:rPr>
          <w:rFonts w:eastAsiaTheme="minorEastAsia" w:cs="Times New Roman"/>
          <w:szCs w:val="24"/>
          <w:lang w:val="en-US" w:eastAsia="zh-CN"/>
        </w:rPr>
        <w:t>personal rating</w:t>
      </w:r>
      <w:r w:rsidR="003D39E5" w:rsidRPr="005F2A26">
        <w:rPr>
          <w:rFonts w:eastAsiaTheme="minorEastAsia" w:cs="Times New Roman"/>
          <w:szCs w:val="24"/>
          <w:lang w:val="en-US" w:eastAsia="zh-CN"/>
        </w:rPr>
        <w:t>s</w:t>
      </w:r>
      <w:r w:rsidR="00AD5F0E" w:rsidRPr="005F2A26">
        <w:rPr>
          <w:rFonts w:eastAsiaTheme="minorEastAsia" w:cs="Times New Roman"/>
          <w:szCs w:val="24"/>
          <w:lang w:val="en-US" w:eastAsia="zh-CN"/>
        </w:rPr>
        <w:t>,</w:t>
      </w:r>
      <w:r w:rsidR="003D39E5" w:rsidRPr="005F2A26">
        <w:rPr>
          <w:rFonts w:eastAsiaTheme="minorEastAsia" w:cs="Times New Roman"/>
          <w:szCs w:val="24"/>
          <w:lang w:val="en-US" w:eastAsia="zh-CN"/>
        </w:rPr>
        <w:t xml:space="preserve"> the service offering itself</w:t>
      </w:r>
      <w:r w:rsidR="00AD5F0E" w:rsidRPr="005F2A26">
        <w:rPr>
          <w:rFonts w:eastAsiaTheme="minorEastAsia" w:cs="Times New Roman"/>
          <w:szCs w:val="24"/>
          <w:lang w:val="en-US" w:eastAsia="zh-CN"/>
        </w:rPr>
        <w:t xml:space="preserve">, the </w:t>
      </w:r>
      <w:r w:rsidR="00B543F4" w:rsidRPr="005F2A26">
        <w:rPr>
          <w:rFonts w:eastAsiaTheme="minorEastAsia" w:cs="Times New Roman"/>
          <w:szCs w:val="24"/>
          <w:lang w:val="en-US" w:eastAsia="zh-CN"/>
        </w:rPr>
        <w:t>impact</w:t>
      </w:r>
      <w:r w:rsidR="00AD5F0E" w:rsidRPr="005F2A26">
        <w:rPr>
          <w:rFonts w:eastAsiaTheme="minorEastAsia" w:cs="Times New Roman"/>
          <w:szCs w:val="24"/>
          <w:lang w:val="en-US" w:eastAsia="zh-CN"/>
        </w:rPr>
        <w:t xml:space="preserve"> of the service offering</w:t>
      </w:r>
      <w:r w:rsidR="003439BD">
        <w:rPr>
          <w:rFonts w:eastAsiaTheme="minorEastAsia" w:cs="Times New Roman"/>
          <w:szCs w:val="24"/>
          <w:lang w:val="en-US" w:eastAsia="zh-CN"/>
        </w:rPr>
        <w:t>, etc.</w:t>
      </w:r>
      <w:r w:rsidR="00993FFE" w:rsidRPr="005F2A26">
        <w:rPr>
          <w:rFonts w:eastAsiaTheme="minorEastAsia" w:cs="Times New Roman"/>
          <w:szCs w:val="24"/>
          <w:lang w:val="en-US" w:eastAsia="zh-CN"/>
        </w:rPr>
        <w:t>)</w:t>
      </w:r>
      <w:r w:rsidR="003D39E5" w:rsidRPr="005F2A26">
        <w:rPr>
          <w:rFonts w:eastAsiaTheme="minorEastAsia" w:cs="Times New Roman"/>
          <w:szCs w:val="24"/>
          <w:lang w:val="en-US" w:eastAsia="zh-CN"/>
        </w:rPr>
        <w:t>.</w:t>
      </w:r>
      <w:r w:rsidR="00D54C35" w:rsidRPr="005F2A26">
        <w:rPr>
          <w:rFonts w:cs="Times New Roman"/>
          <w:bCs/>
          <w:szCs w:val="24"/>
          <w:lang w:val="en-US"/>
        </w:rPr>
        <w:t xml:space="preserve"> </w:t>
      </w:r>
      <w:r w:rsidR="0055546D" w:rsidRPr="005F2A26">
        <w:rPr>
          <w:rFonts w:cs="Times New Roman"/>
          <w:bCs/>
          <w:szCs w:val="24"/>
          <w:lang w:val="en-US"/>
        </w:rPr>
        <w:t>Hence, w</w:t>
      </w:r>
      <w:r w:rsidR="003D39E5" w:rsidRPr="005F2A26">
        <w:rPr>
          <w:rFonts w:cs="Times New Roman"/>
          <w:bCs/>
          <w:szCs w:val="24"/>
          <w:lang w:val="en-US"/>
        </w:rPr>
        <w:t>hile</w:t>
      </w:r>
      <w:r w:rsidR="0055546D" w:rsidRPr="005F2A26">
        <w:rPr>
          <w:rFonts w:cs="Times New Roman"/>
          <w:bCs/>
          <w:szCs w:val="24"/>
          <w:lang w:val="en-US"/>
        </w:rPr>
        <w:t xml:space="preserve"> a </w:t>
      </w:r>
      <w:r w:rsidR="00734970" w:rsidRPr="005F2A26">
        <w:rPr>
          <w:rFonts w:cs="Times New Roman"/>
          <w:bCs/>
          <w:szCs w:val="24"/>
          <w:lang w:val="en-US"/>
        </w:rPr>
        <w:t xml:space="preserve">focal </w:t>
      </w:r>
      <w:r w:rsidR="0055546D" w:rsidRPr="005F2A26">
        <w:rPr>
          <w:rFonts w:cs="Times New Roman"/>
          <w:bCs/>
          <w:szCs w:val="24"/>
          <w:lang w:val="en-US"/>
        </w:rPr>
        <w:t xml:space="preserve">brand may </w:t>
      </w:r>
      <w:r w:rsidR="000825F1" w:rsidRPr="005F2A26">
        <w:rPr>
          <w:rFonts w:cs="Times New Roman"/>
          <w:bCs/>
          <w:szCs w:val="24"/>
          <w:lang w:val="en-US"/>
        </w:rPr>
        <w:t>be</w:t>
      </w:r>
      <w:r w:rsidR="0055546D" w:rsidRPr="005F2A26">
        <w:rPr>
          <w:rFonts w:cs="Times New Roman"/>
          <w:bCs/>
          <w:szCs w:val="24"/>
          <w:lang w:val="en-US"/>
        </w:rPr>
        <w:t xml:space="preserve"> </w:t>
      </w:r>
      <w:r w:rsidR="00E10639" w:rsidRPr="005F2A26">
        <w:rPr>
          <w:rFonts w:cs="Times New Roman"/>
          <w:bCs/>
          <w:szCs w:val="24"/>
          <w:lang w:val="en-US"/>
        </w:rPr>
        <w:t xml:space="preserve">the </w:t>
      </w:r>
      <w:r w:rsidR="00734970" w:rsidRPr="005F2A26">
        <w:rPr>
          <w:rFonts w:cs="Times New Roman"/>
          <w:bCs/>
          <w:szCs w:val="24"/>
          <w:lang w:val="en-US"/>
        </w:rPr>
        <w:t xml:space="preserve">beneficiary </w:t>
      </w:r>
      <w:r w:rsidR="0055546D" w:rsidRPr="005F2A26">
        <w:rPr>
          <w:rFonts w:cs="Times New Roman"/>
          <w:bCs/>
          <w:szCs w:val="24"/>
          <w:lang w:val="en-US"/>
        </w:rPr>
        <w:t xml:space="preserve">of </w:t>
      </w:r>
      <w:r w:rsidR="00AE0875" w:rsidRPr="005F2A26">
        <w:rPr>
          <w:rFonts w:cs="Times New Roman"/>
          <w:bCs/>
          <w:szCs w:val="24"/>
          <w:lang w:val="en-US"/>
        </w:rPr>
        <w:t xml:space="preserve">an actor’s </w:t>
      </w:r>
      <w:r w:rsidR="00396493" w:rsidRPr="005F2A26">
        <w:rPr>
          <w:rFonts w:cs="Times New Roman"/>
          <w:bCs/>
          <w:szCs w:val="24"/>
          <w:lang w:val="en-US"/>
        </w:rPr>
        <w:t xml:space="preserve">positive </w:t>
      </w:r>
      <w:r w:rsidR="00AE0875" w:rsidRPr="005F2A26">
        <w:rPr>
          <w:rFonts w:cs="Times New Roman"/>
          <w:bCs/>
          <w:szCs w:val="24"/>
          <w:lang w:val="en-US"/>
        </w:rPr>
        <w:t>disposition and engagement activities</w:t>
      </w:r>
      <w:r w:rsidR="0055546D" w:rsidRPr="005F2A26">
        <w:rPr>
          <w:rFonts w:cs="Times New Roman"/>
          <w:bCs/>
          <w:szCs w:val="24"/>
          <w:lang w:val="en-US"/>
        </w:rPr>
        <w:t xml:space="preserve">, </w:t>
      </w:r>
      <w:r w:rsidR="003D39E5" w:rsidRPr="005F2A26">
        <w:rPr>
          <w:rFonts w:cs="Times New Roman"/>
          <w:bCs/>
          <w:szCs w:val="24"/>
          <w:lang w:val="en-US"/>
        </w:rPr>
        <w:t>a user first experiences iPO over a target</w:t>
      </w:r>
      <w:r w:rsidR="0012305D" w:rsidRPr="005F2A26">
        <w:rPr>
          <w:rFonts w:cs="Times New Roman"/>
          <w:bCs/>
          <w:szCs w:val="24"/>
          <w:lang w:val="en-US"/>
        </w:rPr>
        <w:t xml:space="preserve"> which may not be the brand itself</w:t>
      </w:r>
      <w:r w:rsidR="00E10639" w:rsidRPr="005F2A26">
        <w:rPr>
          <w:rFonts w:cs="Times New Roman"/>
          <w:bCs/>
          <w:szCs w:val="24"/>
          <w:lang w:val="en-US"/>
        </w:rPr>
        <w:t xml:space="preserve"> but instead </w:t>
      </w:r>
      <w:r w:rsidR="00345B0D">
        <w:rPr>
          <w:rFonts w:cs="Times New Roman"/>
          <w:bCs/>
          <w:szCs w:val="24"/>
          <w:lang w:val="en-US"/>
        </w:rPr>
        <w:t xml:space="preserve">be </w:t>
      </w:r>
      <w:r w:rsidR="00E10639" w:rsidRPr="005F2A26">
        <w:rPr>
          <w:rFonts w:cs="Times New Roman"/>
          <w:bCs/>
          <w:szCs w:val="24"/>
          <w:lang w:val="en-US"/>
        </w:rPr>
        <w:t>associated with the brand</w:t>
      </w:r>
      <w:r w:rsidR="003D39E5" w:rsidRPr="005F2A26">
        <w:rPr>
          <w:rFonts w:cs="Times New Roman"/>
          <w:bCs/>
          <w:szCs w:val="24"/>
          <w:lang w:val="en-US"/>
        </w:rPr>
        <w:t xml:space="preserve">. </w:t>
      </w:r>
      <w:r w:rsidR="006A26DB" w:rsidRPr="005F2A26">
        <w:rPr>
          <w:rFonts w:cs="Times New Roman"/>
          <w:bCs/>
          <w:szCs w:val="24"/>
          <w:lang w:val="en-US"/>
        </w:rPr>
        <w:t>By extension</w:t>
      </w:r>
      <w:r w:rsidR="00D54C35" w:rsidRPr="005F2A26">
        <w:rPr>
          <w:rFonts w:cs="Times New Roman"/>
          <w:bCs/>
          <w:szCs w:val="24"/>
          <w:lang w:val="en-US"/>
        </w:rPr>
        <w:t xml:space="preserve">, </w:t>
      </w:r>
      <w:r w:rsidR="00931E36">
        <w:rPr>
          <w:rFonts w:cs="Times New Roman"/>
          <w:bCs/>
          <w:szCs w:val="24"/>
          <w:lang w:val="en-US"/>
        </w:rPr>
        <w:t xml:space="preserve">dyadic </w:t>
      </w:r>
      <w:r w:rsidR="00915E58" w:rsidRPr="005F2A26">
        <w:rPr>
          <w:rFonts w:eastAsiaTheme="minorEastAsia" w:cs="Times New Roman"/>
          <w:szCs w:val="24"/>
          <w:lang w:val="en-US" w:eastAsia="zh-CN"/>
        </w:rPr>
        <w:t>engagement manifest</w:t>
      </w:r>
      <w:r w:rsidR="00975931" w:rsidRPr="005F2A26">
        <w:rPr>
          <w:rFonts w:eastAsiaTheme="minorEastAsia" w:cs="Times New Roman"/>
          <w:szCs w:val="24"/>
          <w:lang w:val="en-US" w:eastAsia="zh-CN"/>
        </w:rPr>
        <w:t xml:space="preserve">s </w:t>
      </w:r>
      <w:r w:rsidR="00915E58" w:rsidRPr="005F2A26">
        <w:rPr>
          <w:rFonts w:eastAsiaTheme="minorEastAsia" w:cs="Times New Roman"/>
          <w:szCs w:val="24"/>
          <w:lang w:val="en-US" w:eastAsia="zh-CN"/>
        </w:rPr>
        <w:t xml:space="preserve">from </w:t>
      </w:r>
      <w:r w:rsidR="00284A71" w:rsidRPr="005F2A26">
        <w:rPr>
          <w:rFonts w:eastAsiaTheme="minorEastAsia" w:cs="Times New Roman"/>
          <w:szCs w:val="24"/>
          <w:lang w:val="en-US" w:eastAsia="zh-CN"/>
        </w:rPr>
        <w:t>i</w:t>
      </w:r>
      <w:r w:rsidR="00D54C35" w:rsidRPr="005F2A26">
        <w:rPr>
          <w:rFonts w:eastAsiaTheme="minorEastAsia" w:cs="Times New Roman"/>
          <w:szCs w:val="24"/>
          <w:lang w:val="en-US" w:eastAsia="zh-CN"/>
        </w:rPr>
        <w:t>PO</w:t>
      </w:r>
      <w:r w:rsidR="00BC3085" w:rsidRPr="005F2A26">
        <w:rPr>
          <w:rFonts w:eastAsiaTheme="minorEastAsia" w:cs="Times New Roman"/>
          <w:szCs w:val="24"/>
          <w:lang w:val="en-US" w:eastAsia="zh-CN"/>
        </w:rPr>
        <w:t xml:space="preserve">, caused by </w:t>
      </w:r>
      <w:r w:rsidR="00AE79D5" w:rsidRPr="005F2A26">
        <w:rPr>
          <w:rFonts w:eastAsiaTheme="minorEastAsia" w:cs="Times New Roman"/>
          <w:szCs w:val="24"/>
          <w:lang w:val="en-US" w:eastAsia="zh-CN"/>
        </w:rPr>
        <w:t xml:space="preserve">a user’s ability to invest themselves </w:t>
      </w:r>
      <w:r w:rsidR="00EF35D2" w:rsidRPr="005F2A26">
        <w:rPr>
          <w:rFonts w:eastAsiaTheme="minorEastAsia" w:cs="Times New Roman"/>
          <w:szCs w:val="24"/>
          <w:lang w:val="en-US" w:eastAsia="zh-CN"/>
        </w:rPr>
        <w:t xml:space="preserve">and </w:t>
      </w:r>
      <w:r w:rsidR="00AE79D5" w:rsidRPr="005F2A26">
        <w:rPr>
          <w:rFonts w:eastAsiaTheme="minorEastAsia" w:cs="Times New Roman"/>
          <w:szCs w:val="24"/>
          <w:lang w:val="en-US" w:eastAsia="zh-CN"/>
        </w:rPr>
        <w:t xml:space="preserve">control and come to </w:t>
      </w:r>
      <w:r w:rsidR="002A7670" w:rsidRPr="005F2A26">
        <w:rPr>
          <w:rFonts w:eastAsiaTheme="minorEastAsia" w:cs="Times New Roman"/>
          <w:szCs w:val="24"/>
          <w:lang w:val="en-US" w:eastAsia="zh-CN"/>
        </w:rPr>
        <w:t xml:space="preserve">intimately </w:t>
      </w:r>
      <w:r w:rsidR="00AE79D5" w:rsidRPr="005F2A26">
        <w:rPr>
          <w:rFonts w:eastAsiaTheme="minorEastAsia" w:cs="Times New Roman"/>
          <w:szCs w:val="24"/>
          <w:lang w:val="en-US" w:eastAsia="zh-CN"/>
        </w:rPr>
        <w:t>know the target</w:t>
      </w:r>
      <w:r w:rsidR="00D54C35" w:rsidRPr="005F2A26">
        <w:rPr>
          <w:rFonts w:eastAsiaTheme="minorEastAsia" w:cs="Times New Roman"/>
          <w:szCs w:val="24"/>
          <w:lang w:val="en-US" w:eastAsia="zh-CN"/>
        </w:rPr>
        <w:t xml:space="preserve">. </w:t>
      </w:r>
      <w:r w:rsidR="00D16559" w:rsidRPr="005F2A26">
        <w:rPr>
          <w:rFonts w:eastAsiaTheme="minorEastAsia" w:cs="Times New Roman"/>
          <w:szCs w:val="24"/>
          <w:lang w:val="en-US" w:eastAsia="zh-CN"/>
        </w:rPr>
        <w:t>C</w:t>
      </w:r>
      <w:r w:rsidR="007C7C95" w:rsidRPr="005F2A26">
        <w:rPr>
          <w:rFonts w:eastAsiaTheme="minorEastAsia" w:cs="Times New Roman"/>
          <w:szCs w:val="24"/>
          <w:lang w:val="en-US" w:eastAsia="zh-CN"/>
        </w:rPr>
        <w:t xml:space="preserve">ollective </w:t>
      </w:r>
      <w:r w:rsidR="00D54C35" w:rsidRPr="005F2A26">
        <w:rPr>
          <w:rFonts w:eastAsiaTheme="minorEastAsia" w:cs="Times New Roman"/>
          <w:szCs w:val="24"/>
          <w:lang w:val="en-US" w:eastAsia="zh-CN"/>
        </w:rPr>
        <w:t xml:space="preserve">engagement </w:t>
      </w:r>
      <w:r w:rsidR="00F00154" w:rsidRPr="005F2A26">
        <w:rPr>
          <w:rFonts w:eastAsiaTheme="minorEastAsia" w:cs="Times New Roman"/>
          <w:szCs w:val="24"/>
          <w:lang w:val="en-US" w:eastAsia="zh-CN"/>
        </w:rPr>
        <w:t>manifests</w:t>
      </w:r>
      <w:r w:rsidR="00D54C35" w:rsidRPr="005F2A26">
        <w:rPr>
          <w:rFonts w:eastAsiaTheme="minorEastAsia" w:cs="Times New Roman"/>
          <w:szCs w:val="24"/>
          <w:lang w:val="en-US" w:eastAsia="zh-CN"/>
        </w:rPr>
        <w:t xml:space="preserve"> from cPO</w:t>
      </w:r>
      <w:r w:rsidR="007C7C95" w:rsidRPr="005F2A26">
        <w:rPr>
          <w:rFonts w:eastAsiaTheme="minorEastAsia" w:cs="Times New Roman"/>
          <w:szCs w:val="24"/>
          <w:lang w:val="en-US" w:eastAsia="zh-CN"/>
        </w:rPr>
        <w:t>,</w:t>
      </w:r>
      <w:r w:rsidR="00D54C35" w:rsidRPr="005F2A26">
        <w:rPr>
          <w:rFonts w:eastAsiaTheme="minorEastAsia" w:cs="Times New Roman"/>
          <w:szCs w:val="24"/>
          <w:lang w:val="en-US" w:eastAsia="zh-CN"/>
        </w:rPr>
        <w:t xml:space="preserve"> where multiple users develop collective recognition of shared investment, control and knowing of the target </w:t>
      </w:r>
      <w:r w:rsidR="00D54C35" w:rsidRPr="005F2A26">
        <w:rPr>
          <w:rFonts w:eastAsiaTheme="minorEastAsia" w:cs="Times New Roman"/>
          <w:iCs/>
          <w:noProof/>
          <w:szCs w:val="24"/>
          <w:lang w:val="en-US" w:eastAsia="zh-CN"/>
        </w:rPr>
        <w:t xml:space="preserve">(Pierce </w:t>
      </w:r>
      <w:r w:rsidR="00957690" w:rsidRPr="00957690">
        <w:rPr>
          <w:rFonts w:eastAsiaTheme="minorEastAsia" w:cs="Times New Roman"/>
          <w:i/>
          <w:iCs/>
          <w:noProof/>
          <w:szCs w:val="24"/>
          <w:lang w:val="en-US" w:eastAsia="zh-CN"/>
        </w:rPr>
        <w:t>et al.</w:t>
      </w:r>
      <w:r w:rsidR="00D54C35" w:rsidRPr="005F2A26">
        <w:rPr>
          <w:rFonts w:eastAsiaTheme="minorEastAsia" w:cs="Times New Roman"/>
          <w:iCs/>
          <w:noProof/>
          <w:szCs w:val="24"/>
          <w:lang w:val="en-US" w:eastAsia="zh-CN"/>
        </w:rPr>
        <w:t>, 2019)</w:t>
      </w:r>
      <w:r w:rsidR="00D54C35" w:rsidRPr="005F2A26">
        <w:rPr>
          <w:rFonts w:eastAsiaTheme="minorEastAsia" w:cs="Times New Roman"/>
          <w:iCs/>
          <w:szCs w:val="24"/>
          <w:lang w:val="en-US" w:eastAsia="zh-CN"/>
        </w:rPr>
        <w:t>.</w:t>
      </w:r>
      <w:r w:rsidR="00D54C35" w:rsidRPr="005F2A26">
        <w:rPr>
          <w:rFonts w:eastAsiaTheme="minorEastAsia" w:cs="Times New Roman"/>
          <w:szCs w:val="24"/>
          <w:lang w:val="en-US" w:eastAsia="zh-CN"/>
        </w:rPr>
        <w:t xml:space="preserve"> </w:t>
      </w:r>
      <w:r w:rsidR="00636004" w:rsidRPr="005F2A26">
        <w:rPr>
          <w:rFonts w:eastAsiaTheme="minorEastAsia" w:cs="Times New Roman"/>
          <w:szCs w:val="24"/>
          <w:lang w:val="en-US" w:eastAsia="zh-CN"/>
        </w:rPr>
        <w:t>Hence, the nature, functionality, and characteristics of targets of ownership contribute directly to the emergence of PO</w:t>
      </w:r>
      <w:r w:rsidR="00E13C32">
        <w:rPr>
          <w:rFonts w:eastAsiaTheme="minorEastAsia" w:cs="Times New Roman"/>
          <w:szCs w:val="24"/>
          <w:lang w:val="en-US" w:eastAsia="zh-CN"/>
        </w:rPr>
        <w:t xml:space="preserve"> </w:t>
      </w:r>
      <w:r w:rsidR="00524F6E" w:rsidRPr="005F2A26">
        <w:rPr>
          <w:rFonts w:eastAsiaTheme="minorEastAsia" w:cs="Times New Roman"/>
          <w:szCs w:val="24"/>
          <w:lang w:val="en-US" w:eastAsia="zh-CN"/>
        </w:rPr>
        <w:t xml:space="preserve">and </w:t>
      </w:r>
      <w:r w:rsidR="00A95492" w:rsidRPr="005F2A26">
        <w:rPr>
          <w:rFonts w:eastAsiaTheme="minorEastAsia" w:cs="Times New Roman"/>
          <w:szCs w:val="24"/>
          <w:lang w:val="en-US" w:eastAsia="zh-CN"/>
        </w:rPr>
        <w:t xml:space="preserve">subsequent manifestations of </w:t>
      </w:r>
      <w:r w:rsidR="00636004" w:rsidRPr="005F2A26">
        <w:rPr>
          <w:rFonts w:eastAsiaTheme="minorEastAsia" w:cs="Times New Roman"/>
          <w:szCs w:val="24"/>
          <w:lang w:val="en-US" w:eastAsia="zh-CN"/>
        </w:rPr>
        <w:t>engagement.</w:t>
      </w:r>
    </w:p>
    <w:bookmarkEnd w:id="8"/>
    <w:p w14:paraId="4BE9FFAE" w14:textId="3B1BC958" w:rsidR="001507D5" w:rsidRPr="005F2A26" w:rsidRDefault="00A32087" w:rsidP="00C93EC4">
      <w:pPr>
        <w:autoSpaceDE w:val="0"/>
        <w:autoSpaceDN w:val="0"/>
        <w:adjustRightInd w:val="0"/>
        <w:spacing w:after="0" w:line="480" w:lineRule="auto"/>
        <w:ind w:firstLine="720"/>
        <w:rPr>
          <w:rFonts w:eastAsia="Calibri" w:cs="Times New Roman"/>
          <w:noProof/>
          <w:szCs w:val="24"/>
          <w:lang w:val="en-US"/>
        </w:rPr>
      </w:pPr>
      <w:r w:rsidRPr="005F2A26">
        <w:rPr>
          <w:rFonts w:eastAsiaTheme="minorEastAsia" w:cs="Times New Roman"/>
          <w:szCs w:val="24"/>
          <w:lang w:val="en-US" w:eastAsia="zh-CN"/>
        </w:rPr>
        <w:t>Fourth</w:t>
      </w:r>
      <w:r w:rsidR="001A4CDB" w:rsidRPr="005F2A26">
        <w:rPr>
          <w:rFonts w:eastAsiaTheme="minorEastAsia" w:cs="Times New Roman"/>
          <w:szCs w:val="24"/>
          <w:lang w:val="en-US" w:eastAsia="zh-CN"/>
        </w:rPr>
        <w:t xml:space="preserve">, </w:t>
      </w:r>
      <w:r w:rsidR="00DC7EAC" w:rsidRPr="005F2A26">
        <w:rPr>
          <w:rFonts w:eastAsiaTheme="minorEastAsia" w:cs="Times New Roman"/>
          <w:szCs w:val="24"/>
          <w:lang w:val="en-US" w:eastAsia="zh-CN"/>
        </w:rPr>
        <w:t xml:space="preserve">for PO theory in marketing </w:t>
      </w:r>
      <w:r w:rsidR="001A4CDB" w:rsidRPr="005F2A26">
        <w:rPr>
          <w:rFonts w:eastAsiaTheme="minorEastAsia" w:cs="Times New Roman"/>
          <w:szCs w:val="24"/>
          <w:lang w:val="en-US" w:eastAsia="zh-CN"/>
        </w:rPr>
        <w:t xml:space="preserve">this study offers a </w:t>
      </w:r>
      <w:r w:rsidR="000D5A20" w:rsidRPr="005F2A26">
        <w:rPr>
          <w:rFonts w:eastAsiaTheme="minorEastAsia" w:cs="Times New Roman"/>
          <w:szCs w:val="24"/>
          <w:lang w:val="en-US" w:eastAsia="zh-CN"/>
        </w:rPr>
        <w:t>dual</w:t>
      </w:r>
      <w:r w:rsidR="001A4CDB" w:rsidRPr="005F2A26">
        <w:rPr>
          <w:rFonts w:eastAsiaTheme="minorEastAsia" w:cs="Times New Roman"/>
          <w:szCs w:val="24"/>
          <w:lang w:val="en-US" w:eastAsia="zh-CN"/>
        </w:rPr>
        <w:t xml:space="preserve">-level </w:t>
      </w:r>
      <w:r w:rsidR="000D5A20" w:rsidRPr="005F2A26">
        <w:rPr>
          <w:rFonts w:eastAsiaTheme="minorEastAsia" w:cs="Times New Roman"/>
          <w:szCs w:val="24"/>
          <w:lang w:val="en-US" w:eastAsia="zh-CN"/>
        </w:rPr>
        <w:t xml:space="preserve">(individual and collective) </w:t>
      </w:r>
      <w:r w:rsidR="001A4CDB" w:rsidRPr="005F2A26">
        <w:rPr>
          <w:rFonts w:eastAsiaTheme="minorEastAsia" w:cs="Times New Roman"/>
          <w:szCs w:val="24"/>
          <w:lang w:val="en-US" w:eastAsia="zh-CN"/>
        </w:rPr>
        <w:t xml:space="preserve">perspective of PO in the SE. </w:t>
      </w:r>
      <w:r w:rsidR="00B05F26" w:rsidRPr="005F2A26">
        <w:rPr>
          <w:rFonts w:eastAsiaTheme="minorEastAsia" w:cs="Times New Roman"/>
          <w:szCs w:val="24"/>
          <w:lang w:val="en-US" w:eastAsia="zh-CN"/>
        </w:rPr>
        <w:t xml:space="preserve">Extant </w:t>
      </w:r>
      <w:r w:rsidR="009246C1" w:rsidRPr="005F2A26">
        <w:rPr>
          <w:rFonts w:eastAsiaTheme="minorEastAsia" w:cs="Times New Roman"/>
          <w:szCs w:val="24"/>
          <w:lang w:val="en-US" w:eastAsia="zh-CN"/>
        </w:rPr>
        <w:t>studies</w:t>
      </w:r>
      <w:r w:rsidR="001939BB" w:rsidRPr="005F2A26">
        <w:rPr>
          <w:rFonts w:eastAsiaTheme="minorEastAsia" w:cs="Times New Roman"/>
          <w:szCs w:val="24"/>
          <w:lang w:val="en-US" w:eastAsia="zh-CN"/>
        </w:rPr>
        <w:t xml:space="preserve"> are restricted to</w:t>
      </w:r>
      <w:r w:rsidR="00B05F26" w:rsidRPr="005F2A26">
        <w:rPr>
          <w:rFonts w:eastAsiaTheme="minorEastAsia" w:cs="Times New Roman"/>
          <w:szCs w:val="24"/>
          <w:lang w:val="en-US" w:eastAsia="zh-CN"/>
        </w:rPr>
        <w:t xml:space="preserve"> access-based consumption (e.g., </w:t>
      </w:r>
      <w:proofErr w:type="spellStart"/>
      <w:r w:rsidR="00B05F26" w:rsidRPr="005F2A26">
        <w:rPr>
          <w:rFonts w:eastAsiaTheme="minorEastAsia" w:cs="Times New Roman"/>
          <w:szCs w:val="24"/>
          <w:lang w:val="en-US" w:eastAsia="zh-CN"/>
        </w:rPr>
        <w:t>Dan</w:t>
      </w:r>
      <w:r w:rsidR="00B237F7" w:rsidRPr="005F2A26">
        <w:rPr>
          <w:rFonts w:eastAsiaTheme="minorEastAsia" w:cs="Times New Roman"/>
          <w:szCs w:val="24"/>
          <w:lang w:val="en-US" w:eastAsia="zh-CN"/>
        </w:rPr>
        <w:t>c</w:t>
      </w:r>
      <w:r w:rsidR="00B05F26" w:rsidRPr="005F2A26">
        <w:rPr>
          <w:rFonts w:eastAsiaTheme="minorEastAsia" w:cs="Times New Roman"/>
          <w:szCs w:val="24"/>
          <w:lang w:val="en-US" w:eastAsia="zh-CN"/>
        </w:rPr>
        <w:t>kwerts</w:t>
      </w:r>
      <w:proofErr w:type="spellEnd"/>
      <w:r w:rsidR="00B05F26" w:rsidRPr="005F2A26">
        <w:rPr>
          <w:rFonts w:eastAsiaTheme="minorEastAsia" w:cs="Times New Roman"/>
          <w:szCs w:val="24"/>
          <w:lang w:val="en-US" w:eastAsia="zh-CN"/>
        </w:rPr>
        <w:t xml:space="preserve"> and Kenning, 2019) </w:t>
      </w:r>
      <w:r w:rsidR="001939BB" w:rsidRPr="005F2A26">
        <w:rPr>
          <w:rFonts w:eastAsiaTheme="minorEastAsia" w:cs="Times New Roman"/>
          <w:szCs w:val="24"/>
          <w:lang w:val="en-US" w:eastAsia="zh-CN"/>
        </w:rPr>
        <w:t>and (</w:t>
      </w:r>
      <w:r w:rsidR="001A4CDB" w:rsidRPr="005F2A26">
        <w:rPr>
          <w:rFonts w:eastAsiaTheme="minorEastAsia" w:cs="Times New Roman"/>
          <w:szCs w:val="24"/>
          <w:lang w:val="en-US" w:eastAsia="zh-CN"/>
        </w:rPr>
        <w:t>implicitly</w:t>
      </w:r>
      <w:r w:rsidR="001939BB" w:rsidRPr="005F2A26">
        <w:rPr>
          <w:rFonts w:eastAsiaTheme="minorEastAsia" w:cs="Times New Roman"/>
          <w:szCs w:val="24"/>
          <w:lang w:val="en-US" w:eastAsia="zh-CN"/>
        </w:rPr>
        <w:t>)</w:t>
      </w:r>
      <w:r w:rsidR="001A4CDB" w:rsidRPr="005F2A26">
        <w:rPr>
          <w:rFonts w:eastAsiaTheme="minorEastAsia" w:cs="Times New Roman"/>
          <w:szCs w:val="24"/>
          <w:lang w:val="en-US" w:eastAsia="zh-CN"/>
        </w:rPr>
        <w:t xml:space="preserve"> </w:t>
      </w:r>
      <w:r w:rsidR="00B05F26" w:rsidRPr="005F2A26">
        <w:rPr>
          <w:rFonts w:eastAsiaTheme="minorEastAsia" w:cs="Times New Roman"/>
          <w:szCs w:val="24"/>
          <w:lang w:val="en-US" w:eastAsia="zh-CN"/>
        </w:rPr>
        <w:t>adopt an</w:t>
      </w:r>
      <w:r w:rsidR="001A4CDB" w:rsidRPr="005F2A26">
        <w:rPr>
          <w:rFonts w:eastAsiaTheme="minorEastAsia" w:cs="Times New Roman"/>
          <w:szCs w:val="24"/>
          <w:lang w:val="en-US" w:eastAsia="zh-CN"/>
        </w:rPr>
        <w:t xml:space="preserve"> iPO</w:t>
      </w:r>
      <w:r w:rsidR="00B05F26" w:rsidRPr="005F2A26">
        <w:rPr>
          <w:rFonts w:eastAsiaTheme="minorEastAsia" w:cs="Times New Roman"/>
          <w:szCs w:val="24"/>
          <w:lang w:val="en-US" w:eastAsia="zh-CN"/>
        </w:rPr>
        <w:t xml:space="preserve"> </w:t>
      </w:r>
      <w:r w:rsidR="00451EA5" w:rsidRPr="005F2A26">
        <w:rPr>
          <w:rFonts w:eastAsiaTheme="minorEastAsia" w:cs="Times New Roman"/>
          <w:szCs w:val="24"/>
          <w:lang w:val="en-US" w:eastAsia="zh-CN"/>
        </w:rPr>
        <w:t>conceptualization</w:t>
      </w:r>
      <w:r w:rsidR="00B05F26" w:rsidRPr="005F2A26">
        <w:rPr>
          <w:rFonts w:eastAsiaTheme="minorEastAsia" w:cs="Times New Roman"/>
          <w:szCs w:val="24"/>
          <w:lang w:val="en-US" w:eastAsia="zh-CN"/>
        </w:rPr>
        <w:t xml:space="preserve">. In </w:t>
      </w:r>
      <w:r w:rsidR="00711B4A" w:rsidRPr="005F2A26">
        <w:rPr>
          <w:rFonts w:eastAsiaTheme="minorEastAsia" w:cs="Times New Roman"/>
          <w:szCs w:val="24"/>
          <w:lang w:val="en-US" w:eastAsia="zh-CN"/>
        </w:rPr>
        <w:t>contrast</w:t>
      </w:r>
      <w:r w:rsidR="00B05F26" w:rsidRPr="005F2A26">
        <w:rPr>
          <w:rFonts w:eastAsiaTheme="minorEastAsia" w:cs="Times New Roman"/>
          <w:szCs w:val="24"/>
          <w:lang w:val="en-US" w:eastAsia="zh-CN"/>
        </w:rPr>
        <w:t xml:space="preserve">, </w:t>
      </w:r>
      <w:r w:rsidR="00451EA5" w:rsidRPr="005F2A26">
        <w:rPr>
          <w:rFonts w:eastAsiaTheme="minorEastAsia" w:cs="Times New Roman"/>
          <w:szCs w:val="24"/>
          <w:lang w:val="en-US" w:eastAsia="zh-CN"/>
        </w:rPr>
        <w:t>this study</w:t>
      </w:r>
      <w:r w:rsidR="001A4CDB" w:rsidRPr="005F2A26">
        <w:rPr>
          <w:rFonts w:eastAsiaTheme="minorEastAsia" w:cs="Times New Roman"/>
          <w:szCs w:val="24"/>
          <w:lang w:val="en-US" w:eastAsia="zh-CN"/>
        </w:rPr>
        <w:t xml:space="preserve"> explore</w:t>
      </w:r>
      <w:r w:rsidR="00451EA5" w:rsidRPr="005F2A26">
        <w:rPr>
          <w:rFonts w:eastAsiaTheme="minorEastAsia" w:cs="Times New Roman"/>
          <w:szCs w:val="24"/>
          <w:lang w:val="en-US" w:eastAsia="zh-CN"/>
        </w:rPr>
        <w:t>s</w:t>
      </w:r>
      <w:r w:rsidR="001A4CDB" w:rsidRPr="005F2A26">
        <w:rPr>
          <w:rFonts w:eastAsiaTheme="minorEastAsia" w:cs="Times New Roman"/>
          <w:szCs w:val="24"/>
          <w:lang w:val="en-US" w:eastAsia="zh-CN"/>
        </w:rPr>
        <w:t xml:space="preserve"> </w:t>
      </w:r>
      <w:r w:rsidR="00867960" w:rsidRPr="005F2A26">
        <w:rPr>
          <w:rFonts w:eastAsiaTheme="minorEastAsia" w:cs="Times New Roman"/>
          <w:szCs w:val="24"/>
          <w:lang w:val="en-US" w:eastAsia="zh-CN"/>
        </w:rPr>
        <w:t>P2P contexts and</w:t>
      </w:r>
      <w:r w:rsidR="001A4CDB" w:rsidRPr="005F2A26">
        <w:rPr>
          <w:rFonts w:eastAsiaTheme="minorEastAsia" w:cs="Times New Roman"/>
          <w:szCs w:val="24"/>
          <w:lang w:val="en-US" w:eastAsia="zh-CN"/>
        </w:rPr>
        <w:t xml:space="preserve"> </w:t>
      </w:r>
      <w:r w:rsidR="008522DE" w:rsidRPr="005F2A26">
        <w:rPr>
          <w:rFonts w:eastAsiaTheme="minorEastAsia" w:cs="Times New Roman"/>
          <w:szCs w:val="24"/>
          <w:lang w:val="en-US" w:eastAsia="zh-CN"/>
        </w:rPr>
        <w:t>c</w:t>
      </w:r>
      <w:r w:rsidR="001A4CDB" w:rsidRPr="005F2A26">
        <w:rPr>
          <w:rFonts w:eastAsiaTheme="minorEastAsia" w:cs="Times New Roman"/>
          <w:szCs w:val="24"/>
          <w:lang w:val="en-US" w:eastAsia="zh-CN"/>
        </w:rPr>
        <w:t>PO</w:t>
      </w:r>
      <w:r w:rsidR="00B05F26" w:rsidRPr="005F2A26">
        <w:rPr>
          <w:rFonts w:eastAsiaTheme="minorEastAsia" w:cs="Times New Roman"/>
          <w:szCs w:val="24"/>
          <w:lang w:val="en-US" w:eastAsia="zh-CN"/>
        </w:rPr>
        <w:t xml:space="preserve">, which </w:t>
      </w:r>
      <w:r w:rsidR="001A4CDB" w:rsidRPr="005F2A26">
        <w:rPr>
          <w:rFonts w:eastAsiaTheme="minorEastAsia" w:cs="Times New Roman"/>
          <w:szCs w:val="24"/>
          <w:lang w:val="en-US" w:eastAsia="zh-CN"/>
        </w:rPr>
        <w:t xml:space="preserve">is critical for </w:t>
      </w:r>
      <w:r w:rsidR="00867960" w:rsidRPr="005F2A26">
        <w:rPr>
          <w:rFonts w:eastAsiaTheme="minorEastAsia" w:cs="Times New Roman"/>
          <w:szCs w:val="24"/>
          <w:lang w:val="en-US" w:eastAsia="zh-CN"/>
        </w:rPr>
        <w:t xml:space="preserve">driving </w:t>
      </w:r>
      <w:r w:rsidR="00DA464E" w:rsidRPr="005F2A26">
        <w:rPr>
          <w:rFonts w:eastAsiaTheme="minorEastAsia" w:cs="Times New Roman"/>
          <w:szCs w:val="24"/>
          <w:lang w:val="en-US" w:eastAsia="zh-CN"/>
        </w:rPr>
        <w:t>P2P</w:t>
      </w:r>
      <w:r w:rsidR="001A4CDB" w:rsidRPr="005F2A26">
        <w:rPr>
          <w:rFonts w:eastAsiaTheme="minorEastAsia" w:cs="Times New Roman"/>
          <w:szCs w:val="24"/>
          <w:lang w:val="en-US" w:eastAsia="zh-CN"/>
        </w:rPr>
        <w:t xml:space="preserve"> </w:t>
      </w:r>
      <w:r w:rsidR="00A720A4" w:rsidRPr="005F2A26">
        <w:rPr>
          <w:rFonts w:eastAsiaTheme="minorEastAsia" w:cs="Times New Roman"/>
          <w:szCs w:val="24"/>
          <w:lang w:val="en-US" w:eastAsia="zh-CN"/>
        </w:rPr>
        <w:t xml:space="preserve">socializing </w:t>
      </w:r>
      <w:r w:rsidR="00867960" w:rsidRPr="005F2A26">
        <w:rPr>
          <w:rFonts w:eastAsiaTheme="minorEastAsia" w:cs="Times New Roman"/>
          <w:szCs w:val="24"/>
          <w:lang w:val="en-US" w:eastAsia="zh-CN"/>
        </w:rPr>
        <w:t>and sharing</w:t>
      </w:r>
      <w:r w:rsidR="001A4CDB" w:rsidRPr="005F2A26">
        <w:rPr>
          <w:rFonts w:eastAsiaTheme="minorEastAsia" w:cs="Times New Roman"/>
          <w:szCs w:val="24"/>
          <w:lang w:val="en-US" w:eastAsia="zh-CN"/>
        </w:rPr>
        <w:t xml:space="preserve">. </w:t>
      </w:r>
      <w:r w:rsidR="00A92524" w:rsidRPr="005F2A26">
        <w:rPr>
          <w:rFonts w:eastAsiaTheme="minorEastAsia" w:cs="Times New Roman"/>
          <w:szCs w:val="24"/>
          <w:lang w:val="en-US" w:eastAsia="zh-CN"/>
        </w:rPr>
        <w:t>W</w:t>
      </w:r>
      <w:r w:rsidR="001A4CDB" w:rsidRPr="005F2A26">
        <w:rPr>
          <w:rFonts w:eastAsiaTheme="minorEastAsia" w:cs="Times New Roman"/>
          <w:szCs w:val="24"/>
          <w:lang w:val="en-US" w:eastAsia="zh-CN"/>
        </w:rPr>
        <w:t xml:space="preserve">e particularly highlight the </w:t>
      </w:r>
      <w:r w:rsidR="00996BAD" w:rsidRPr="005F2A26">
        <w:rPr>
          <w:rFonts w:eastAsiaTheme="minorEastAsia" w:cs="Times New Roman"/>
          <w:szCs w:val="24"/>
          <w:lang w:val="en-US" w:eastAsia="zh-CN"/>
        </w:rPr>
        <w:t xml:space="preserve">dual person-object and </w:t>
      </w:r>
      <w:r w:rsidR="0041613C" w:rsidRPr="005F2A26">
        <w:rPr>
          <w:rFonts w:eastAsiaTheme="minorEastAsia" w:cs="Times New Roman"/>
          <w:szCs w:val="24"/>
          <w:lang w:val="en-US" w:eastAsia="zh-CN"/>
        </w:rPr>
        <w:t xml:space="preserve">person-to-person </w:t>
      </w:r>
      <w:r w:rsidR="0027552E" w:rsidRPr="005F2A26">
        <w:rPr>
          <w:rFonts w:eastAsiaTheme="minorEastAsia" w:cs="Times New Roman"/>
          <w:szCs w:val="24"/>
          <w:lang w:val="en-US" w:eastAsia="zh-CN"/>
        </w:rPr>
        <w:t>nature</w:t>
      </w:r>
      <w:r w:rsidR="0041613C" w:rsidRPr="005F2A26">
        <w:rPr>
          <w:rFonts w:eastAsiaTheme="minorEastAsia" w:cs="Times New Roman"/>
          <w:szCs w:val="24"/>
          <w:lang w:val="en-US" w:eastAsia="zh-CN"/>
        </w:rPr>
        <w:t xml:space="preserve"> of targets</w:t>
      </w:r>
      <w:r w:rsidR="00C16AFD">
        <w:rPr>
          <w:rFonts w:eastAsiaTheme="minorEastAsia" w:cs="Times New Roman"/>
          <w:szCs w:val="24"/>
          <w:lang w:val="en-US" w:eastAsia="zh-CN"/>
        </w:rPr>
        <w:t xml:space="preserve"> of</w:t>
      </w:r>
      <w:r w:rsidR="0027552E" w:rsidRPr="005F2A26">
        <w:rPr>
          <w:rFonts w:eastAsiaTheme="minorEastAsia" w:cs="Times New Roman"/>
          <w:szCs w:val="24"/>
          <w:lang w:val="en-US" w:eastAsia="zh-CN"/>
        </w:rPr>
        <w:t xml:space="preserve"> </w:t>
      </w:r>
      <w:proofErr w:type="spellStart"/>
      <w:r w:rsidR="0027552E" w:rsidRPr="005F2A26">
        <w:rPr>
          <w:rFonts w:eastAsiaTheme="minorEastAsia" w:cs="Times New Roman"/>
          <w:szCs w:val="24"/>
          <w:lang w:val="en-US" w:eastAsia="zh-CN"/>
        </w:rPr>
        <w:t>cPO</w:t>
      </w:r>
      <w:proofErr w:type="spellEnd"/>
      <w:r w:rsidR="00A92524" w:rsidRPr="005F2A26">
        <w:rPr>
          <w:rFonts w:eastAsiaTheme="minorEastAsia" w:cs="Times New Roman"/>
          <w:szCs w:val="24"/>
          <w:lang w:val="en-US" w:eastAsia="zh-CN"/>
        </w:rPr>
        <w:t xml:space="preserve"> </w:t>
      </w:r>
      <w:r w:rsidR="00996BAD" w:rsidRPr="005F2A26">
        <w:rPr>
          <w:rFonts w:eastAsiaTheme="minorEastAsia" w:cs="Times New Roman"/>
          <w:szCs w:val="24"/>
          <w:lang w:val="en-US" w:eastAsia="zh-CN"/>
        </w:rPr>
        <w:t xml:space="preserve">(Pierce and </w:t>
      </w:r>
      <w:proofErr w:type="spellStart"/>
      <w:r w:rsidR="00996BAD" w:rsidRPr="005F2A26">
        <w:rPr>
          <w:rFonts w:eastAsiaTheme="minorEastAsia" w:cs="Times New Roman"/>
          <w:szCs w:val="24"/>
          <w:lang w:val="en-US" w:eastAsia="zh-CN"/>
        </w:rPr>
        <w:t>Jussila</w:t>
      </w:r>
      <w:proofErr w:type="spellEnd"/>
      <w:r w:rsidR="00996BAD" w:rsidRPr="005F2A26">
        <w:rPr>
          <w:rFonts w:eastAsiaTheme="minorEastAsia" w:cs="Times New Roman"/>
          <w:szCs w:val="24"/>
          <w:lang w:val="en-US" w:eastAsia="zh-CN"/>
        </w:rPr>
        <w:t>, 2010)</w:t>
      </w:r>
      <w:r w:rsidR="002E3378">
        <w:rPr>
          <w:rFonts w:eastAsiaTheme="minorEastAsia" w:cs="Times New Roman"/>
          <w:szCs w:val="24"/>
          <w:lang w:val="en-US" w:eastAsia="zh-CN"/>
        </w:rPr>
        <w:t xml:space="preserve"> that enable </w:t>
      </w:r>
      <w:r w:rsidR="00E53357" w:rsidRPr="005F2A26">
        <w:rPr>
          <w:rFonts w:eastAsia="Calibri" w:cs="Times New Roman"/>
          <w:noProof/>
          <w:szCs w:val="24"/>
          <w:lang w:val="en-US"/>
        </w:rPr>
        <w:t xml:space="preserve">a </w:t>
      </w:r>
      <w:r w:rsidR="00A37365" w:rsidRPr="005F2A26">
        <w:rPr>
          <w:rFonts w:eastAsia="Calibri" w:cs="Times New Roman"/>
          <w:noProof/>
          <w:szCs w:val="24"/>
          <w:lang w:val="en-US"/>
        </w:rPr>
        <w:t xml:space="preserve">shared </w:t>
      </w:r>
      <w:r w:rsidR="00E53357" w:rsidRPr="005F2A26">
        <w:rPr>
          <w:rFonts w:eastAsia="Calibri" w:cs="Times New Roman"/>
          <w:noProof/>
          <w:szCs w:val="24"/>
          <w:lang w:val="en-US"/>
        </w:rPr>
        <w:t xml:space="preserve">sense of  </w:t>
      </w:r>
      <w:r w:rsidR="001A4CDB" w:rsidRPr="005F2A26">
        <w:rPr>
          <w:rFonts w:eastAsia="Calibri" w:cs="Times New Roman"/>
          <w:noProof/>
          <w:szCs w:val="24"/>
          <w:lang w:val="en-US"/>
        </w:rPr>
        <w:t xml:space="preserve">identity, effectance and belongingness. </w:t>
      </w:r>
    </w:p>
    <w:p w14:paraId="541CE051" w14:textId="77777777" w:rsidR="00C93EC4" w:rsidRPr="005F2A26" w:rsidRDefault="00C93EC4" w:rsidP="00C93EC4">
      <w:pPr>
        <w:keepNext/>
        <w:spacing w:after="0" w:line="480" w:lineRule="auto"/>
        <w:rPr>
          <w:bCs/>
          <w:i/>
          <w:iCs/>
          <w:lang w:val="en-US"/>
        </w:rPr>
      </w:pPr>
    </w:p>
    <w:p w14:paraId="00B2B026" w14:textId="730CFB98" w:rsidR="00C71D56" w:rsidRPr="005F2A26" w:rsidRDefault="00C71D56" w:rsidP="00C93EC4">
      <w:pPr>
        <w:keepNext/>
        <w:spacing w:after="0" w:line="480" w:lineRule="auto"/>
        <w:rPr>
          <w:b/>
          <w:highlight w:val="yellow"/>
          <w:lang w:val="en-US"/>
        </w:rPr>
      </w:pPr>
      <w:r w:rsidRPr="005F2A26">
        <w:rPr>
          <w:bCs/>
          <w:i/>
          <w:iCs/>
          <w:lang w:val="en-US"/>
        </w:rPr>
        <w:t>Managerial implications</w:t>
      </w:r>
      <w:r w:rsidRPr="005F2A26">
        <w:rPr>
          <w:b/>
          <w:highlight w:val="yellow"/>
          <w:lang w:val="en-US"/>
        </w:rPr>
        <w:t xml:space="preserve"> </w:t>
      </w:r>
    </w:p>
    <w:p w14:paraId="143892C7" w14:textId="77777777" w:rsidR="00DA1289" w:rsidRDefault="004811BA" w:rsidP="00DC1AEF">
      <w:pPr>
        <w:spacing w:after="0" w:line="480" w:lineRule="auto"/>
        <w:rPr>
          <w:color w:val="FF0000"/>
        </w:rPr>
      </w:pPr>
      <w:r w:rsidRPr="005F2A26">
        <w:rPr>
          <w:rFonts w:cs="Times New Roman"/>
          <w:szCs w:val="24"/>
          <w:lang w:val="en-US"/>
        </w:rPr>
        <w:t xml:space="preserve">This study presents some </w:t>
      </w:r>
      <w:r w:rsidR="00AC0AD5" w:rsidRPr="005F2A26">
        <w:rPr>
          <w:rFonts w:cs="Times New Roman"/>
          <w:szCs w:val="24"/>
          <w:lang w:val="en-US"/>
        </w:rPr>
        <w:t xml:space="preserve">important </w:t>
      </w:r>
      <w:r w:rsidRPr="005F2A26">
        <w:rPr>
          <w:rFonts w:cs="Times New Roman"/>
          <w:szCs w:val="24"/>
          <w:lang w:val="en-US"/>
        </w:rPr>
        <w:t>implications for managers</w:t>
      </w:r>
      <w:r w:rsidR="004B4FC0" w:rsidRPr="005F2A26">
        <w:rPr>
          <w:rFonts w:cs="Times New Roman"/>
          <w:szCs w:val="24"/>
          <w:lang w:val="en-US"/>
        </w:rPr>
        <w:t xml:space="preserve"> </w:t>
      </w:r>
      <w:r w:rsidR="000F73BE">
        <w:rPr>
          <w:rFonts w:cs="Times New Roman"/>
          <w:szCs w:val="24"/>
          <w:lang w:val="en-US"/>
        </w:rPr>
        <w:t xml:space="preserve">and others </w:t>
      </w:r>
      <w:r w:rsidR="004B4FC0" w:rsidRPr="005F2A26">
        <w:rPr>
          <w:rFonts w:cs="Times New Roman"/>
          <w:szCs w:val="24"/>
          <w:lang w:val="en-US"/>
        </w:rPr>
        <w:t>within the SE</w:t>
      </w:r>
      <w:r w:rsidRPr="005F2A26">
        <w:rPr>
          <w:rFonts w:cs="Times New Roman"/>
          <w:szCs w:val="24"/>
          <w:lang w:val="en-US"/>
        </w:rPr>
        <w:t xml:space="preserve">. </w:t>
      </w:r>
      <w:r w:rsidR="00812B36">
        <w:rPr>
          <w:rFonts w:cs="Times New Roman"/>
          <w:szCs w:val="24"/>
          <w:lang w:val="en-US"/>
        </w:rPr>
        <w:t>M</w:t>
      </w:r>
      <w:r w:rsidR="006C49CA" w:rsidRPr="005F2A26">
        <w:rPr>
          <w:rFonts w:eastAsiaTheme="minorEastAsia" w:cs="Times New Roman"/>
          <w:szCs w:val="24"/>
          <w:lang w:val="en-US" w:eastAsia="zh-CN"/>
        </w:rPr>
        <w:t xml:space="preserve">anagers </w:t>
      </w:r>
      <w:r w:rsidR="00064DBF">
        <w:rPr>
          <w:rFonts w:eastAsiaTheme="minorEastAsia" w:cs="Times New Roman"/>
          <w:szCs w:val="24"/>
          <w:lang w:val="en-US" w:eastAsia="zh-CN"/>
        </w:rPr>
        <w:t>should</w:t>
      </w:r>
      <w:r w:rsidR="006C49CA" w:rsidRPr="005F2A26">
        <w:rPr>
          <w:rFonts w:eastAsiaTheme="minorEastAsia" w:cs="Times New Roman"/>
          <w:szCs w:val="24"/>
          <w:lang w:val="en-US" w:eastAsia="zh-CN"/>
        </w:rPr>
        <w:t xml:space="preserve"> understand that</w:t>
      </w:r>
      <w:r w:rsidR="0060695F" w:rsidRPr="005F2A26">
        <w:rPr>
          <w:lang w:val="en-US"/>
        </w:rPr>
        <w:t xml:space="preserve"> target</w:t>
      </w:r>
      <w:r w:rsidR="00D4480F">
        <w:rPr>
          <w:lang w:val="en-US"/>
        </w:rPr>
        <w:t>s of iPO</w:t>
      </w:r>
      <w:r w:rsidR="00064DBF">
        <w:rPr>
          <w:lang w:val="en-US"/>
        </w:rPr>
        <w:t xml:space="preserve"> </w:t>
      </w:r>
      <w:r w:rsidR="00261968">
        <w:rPr>
          <w:lang w:val="en-US"/>
        </w:rPr>
        <w:t xml:space="preserve">attract people based on their </w:t>
      </w:r>
      <w:r w:rsidR="0060695F" w:rsidRPr="005F2A26">
        <w:rPr>
          <w:lang w:val="en-US"/>
        </w:rPr>
        <w:t>human needs for self-identity, self-efficacy, and/or belongingness. Satisfying one or more of these needs</w:t>
      </w:r>
      <w:r w:rsidR="00261968">
        <w:rPr>
          <w:lang w:val="en-US"/>
        </w:rPr>
        <w:t xml:space="preserve"> and </w:t>
      </w:r>
      <w:r w:rsidR="0060695F" w:rsidRPr="005F2A26">
        <w:rPr>
          <w:lang w:val="en-US"/>
        </w:rPr>
        <w:t xml:space="preserve">driving users to invest themselves and </w:t>
      </w:r>
      <w:r w:rsidR="00802747" w:rsidRPr="005F2A26">
        <w:rPr>
          <w:lang w:val="en-US"/>
        </w:rPr>
        <w:t xml:space="preserve">come to </w:t>
      </w:r>
      <w:r w:rsidR="0060695F" w:rsidRPr="005F2A26">
        <w:rPr>
          <w:lang w:val="en-US"/>
        </w:rPr>
        <w:t xml:space="preserve">control and know the target (Pierce </w:t>
      </w:r>
      <w:r w:rsidR="00957690" w:rsidRPr="00957690">
        <w:rPr>
          <w:rFonts w:eastAsiaTheme="minorEastAsia" w:cs="Times New Roman"/>
          <w:i/>
          <w:iCs/>
          <w:szCs w:val="24"/>
          <w:lang w:val="en-US" w:eastAsia="zh-CN"/>
        </w:rPr>
        <w:t>et al.</w:t>
      </w:r>
      <w:r w:rsidR="003D3BB3" w:rsidRPr="005F2A26">
        <w:rPr>
          <w:rFonts w:eastAsiaTheme="minorEastAsia" w:cs="Times New Roman"/>
          <w:szCs w:val="24"/>
          <w:lang w:val="en-US" w:eastAsia="zh-CN"/>
        </w:rPr>
        <w:t xml:space="preserve">, </w:t>
      </w:r>
      <w:r w:rsidR="0060695F" w:rsidRPr="005F2A26">
        <w:rPr>
          <w:lang w:val="en-US"/>
        </w:rPr>
        <w:t xml:space="preserve">2001) </w:t>
      </w:r>
      <w:r w:rsidR="0060695F" w:rsidRPr="005F2A26">
        <w:rPr>
          <w:lang w:val="en-US"/>
        </w:rPr>
        <w:lastRenderedPageBreak/>
        <w:t>is the basis of all subsequent engagement by users. Users in the SE can self-identify in numerous ways</w:t>
      </w:r>
      <w:r w:rsidR="0026411E">
        <w:rPr>
          <w:lang w:val="en-US"/>
        </w:rPr>
        <w:t>, e.g.,</w:t>
      </w:r>
      <w:r w:rsidR="0060695F" w:rsidRPr="005F2A26">
        <w:rPr>
          <w:lang w:val="en-US"/>
        </w:rPr>
        <w:t xml:space="preserve"> budget conscious (</w:t>
      </w:r>
      <w:r w:rsidR="00043612" w:rsidRPr="005F2A26">
        <w:rPr>
          <w:iCs/>
          <w:lang w:val="en-US"/>
        </w:rPr>
        <w:t>Hwang and Griffiths, 2017</w:t>
      </w:r>
      <w:r w:rsidR="0060695F" w:rsidRPr="005F2A26">
        <w:rPr>
          <w:lang w:val="en-US"/>
        </w:rPr>
        <w:t xml:space="preserve">), caring for the collective good (Bucher </w:t>
      </w:r>
      <w:r w:rsidR="00957690" w:rsidRPr="00957690">
        <w:rPr>
          <w:rFonts w:eastAsiaTheme="minorEastAsia" w:cs="Times New Roman"/>
          <w:i/>
          <w:iCs/>
          <w:szCs w:val="24"/>
          <w:lang w:val="en-US" w:eastAsia="zh-CN"/>
        </w:rPr>
        <w:t>et al.</w:t>
      </w:r>
      <w:r w:rsidR="003D3BB3" w:rsidRPr="005F2A26">
        <w:rPr>
          <w:rFonts w:eastAsiaTheme="minorEastAsia" w:cs="Times New Roman"/>
          <w:szCs w:val="24"/>
          <w:lang w:val="en-US" w:eastAsia="zh-CN"/>
        </w:rPr>
        <w:t xml:space="preserve">, </w:t>
      </w:r>
      <w:r w:rsidR="0060695F" w:rsidRPr="005F2A26">
        <w:rPr>
          <w:lang w:val="en-US"/>
        </w:rPr>
        <w:t xml:space="preserve">2016), </w:t>
      </w:r>
      <w:r w:rsidR="008A7651">
        <w:rPr>
          <w:lang w:val="en-US"/>
        </w:rPr>
        <w:t xml:space="preserve">being </w:t>
      </w:r>
      <w:r w:rsidR="0060695F" w:rsidRPr="005F2A26">
        <w:rPr>
          <w:lang w:val="en-US"/>
        </w:rPr>
        <w:t>ethical</w:t>
      </w:r>
      <w:r w:rsidR="005A1486">
        <w:rPr>
          <w:lang w:val="en-US"/>
        </w:rPr>
        <w:t>ly</w:t>
      </w:r>
      <w:r w:rsidR="0060695F" w:rsidRPr="005F2A26">
        <w:rPr>
          <w:lang w:val="en-US"/>
        </w:rPr>
        <w:t xml:space="preserve"> </w:t>
      </w:r>
      <w:r w:rsidR="008A7651">
        <w:rPr>
          <w:lang w:val="en-US"/>
        </w:rPr>
        <w:t>or</w:t>
      </w:r>
      <w:r w:rsidR="0060695F" w:rsidRPr="005F2A26">
        <w:rPr>
          <w:lang w:val="en-US"/>
        </w:rPr>
        <w:t xml:space="preserve"> </w:t>
      </w:r>
      <w:r w:rsidR="008A7651" w:rsidRPr="005F2A26">
        <w:rPr>
          <w:lang w:val="en-US"/>
        </w:rPr>
        <w:t>ecological</w:t>
      </w:r>
      <w:r w:rsidR="008A7651">
        <w:rPr>
          <w:lang w:val="en-US"/>
        </w:rPr>
        <w:t>ly minded</w:t>
      </w:r>
      <w:r w:rsidR="0060695F" w:rsidRPr="005F2A26">
        <w:rPr>
          <w:lang w:val="en-US"/>
        </w:rPr>
        <w:t xml:space="preserve"> (Schrader, 2007)</w:t>
      </w:r>
      <w:r w:rsidR="004A3783">
        <w:rPr>
          <w:lang w:val="en-US"/>
        </w:rPr>
        <w:t>, etc</w:t>
      </w:r>
      <w:r w:rsidR="00663F43">
        <w:rPr>
          <w:lang w:val="en-US"/>
        </w:rPr>
        <w:t>.</w:t>
      </w:r>
      <w:r w:rsidR="00663F43" w:rsidRPr="00663F43">
        <w:rPr>
          <w:lang w:val="en-US"/>
        </w:rPr>
        <w:t xml:space="preserve"> </w:t>
      </w:r>
      <w:r w:rsidR="004A3783">
        <w:rPr>
          <w:lang w:val="en-US"/>
        </w:rPr>
        <w:t>U</w:t>
      </w:r>
      <w:r w:rsidR="00663F43" w:rsidRPr="005F2A26">
        <w:rPr>
          <w:lang w:val="en-US"/>
        </w:rPr>
        <w:t>nderstanding</w:t>
      </w:r>
      <w:r w:rsidR="005E4FB4">
        <w:rPr>
          <w:lang w:val="en-US"/>
        </w:rPr>
        <w:t xml:space="preserve"> </w:t>
      </w:r>
      <w:r w:rsidR="00663F43" w:rsidRPr="005F2A26">
        <w:rPr>
          <w:lang w:val="en-US"/>
        </w:rPr>
        <w:t>user</w:t>
      </w:r>
      <w:r w:rsidR="005556C2">
        <w:rPr>
          <w:lang w:val="en-US"/>
        </w:rPr>
        <w:t xml:space="preserve"> goals, values, and </w:t>
      </w:r>
      <w:r w:rsidR="00663F43" w:rsidRPr="005F2A26">
        <w:rPr>
          <w:lang w:val="en-US"/>
        </w:rPr>
        <w:t xml:space="preserve">motivations </w:t>
      </w:r>
      <w:r w:rsidR="002D6F66">
        <w:rPr>
          <w:lang w:val="en-US"/>
        </w:rPr>
        <w:t xml:space="preserve">will provide </w:t>
      </w:r>
      <w:r w:rsidR="00663F43" w:rsidRPr="005F2A26">
        <w:rPr>
          <w:lang w:val="en-US"/>
        </w:rPr>
        <w:t xml:space="preserve">critical </w:t>
      </w:r>
      <w:r w:rsidR="002D6F66">
        <w:rPr>
          <w:lang w:val="en-US"/>
        </w:rPr>
        <w:t>insight into</w:t>
      </w:r>
      <w:r w:rsidR="00663F43" w:rsidRPr="005F2A26">
        <w:rPr>
          <w:lang w:val="en-US"/>
        </w:rPr>
        <w:t xml:space="preserve"> what might emerge as target</w:t>
      </w:r>
      <w:r w:rsidR="002D6F66">
        <w:rPr>
          <w:lang w:val="en-US"/>
        </w:rPr>
        <w:t>s</w:t>
      </w:r>
      <w:r w:rsidR="00663F43" w:rsidRPr="005F2A26">
        <w:rPr>
          <w:lang w:val="en-US"/>
        </w:rPr>
        <w:t xml:space="preserve"> of PO</w:t>
      </w:r>
      <w:r w:rsidR="005556C2">
        <w:rPr>
          <w:lang w:val="en-US"/>
        </w:rPr>
        <w:t xml:space="preserve">. </w:t>
      </w:r>
      <w:r w:rsidR="00282C63">
        <w:rPr>
          <w:lang w:val="en-US"/>
        </w:rPr>
        <w:t>For example, a</w:t>
      </w:r>
      <w:r w:rsidR="0060695F" w:rsidRPr="005F2A26">
        <w:rPr>
          <w:lang w:val="en-US"/>
        </w:rPr>
        <w:t xml:space="preserve"> user who self-identifies </w:t>
      </w:r>
      <w:r w:rsidR="007C3F3B">
        <w:rPr>
          <w:lang w:val="en-US"/>
        </w:rPr>
        <w:t>with</w:t>
      </w:r>
      <w:r w:rsidR="0060695F" w:rsidRPr="005F2A26">
        <w:rPr>
          <w:lang w:val="en-US"/>
        </w:rPr>
        <w:t xml:space="preserve"> an asset-light lifestyle will also have a need for self-efficacy and/or belongingness as</w:t>
      </w:r>
      <w:r w:rsidR="007E7356" w:rsidRPr="005F2A26">
        <w:rPr>
          <w:lang w:val="en-US"/>
        </w:rPr>
        <w:t>sociated with</w:t>
      </w:r>
      <w:r w:rsidR="0060695F" w:rsidRPr="005F2A26">
        <w:rPr>
          <w:lang w:val="en-US"/>
        </w:rPr>
        <w:t xml:space="preserve"> reduc</w:t>
      </w:r>
      <w:r w:rsidR="007E7356" w:rsidRPr="005F2A26">
        <w:rPr>
          <w:lang w:val="en-US"/>
        </w:rPr>
        <w:t>ing</w:t>
      </w:r>
      <w:r w:rsidR="0060695F" w:rsidRPr="005F2A26">
        <w:rPr>
          <w:lang w:val="en-US"/>
        </w:rPr>
        <w:t xml:space="preserve"> consumerism</w:t>
      </w:r>
      <w:r w:rsidR="007E7356" w:rsidRPr="005F2A26">
        <w:rPr>
          <w:lang w:val="en-US"/>
        </w:rPr>
        <w:t>.</w:t>
      </w:r>
      <w:r w:rsidR="005214A0">
        <w:rPr>
          <w:lang w:val="en-US"/>
        </w:rPr>
        <w:t xml:space="preserve"> This</w:t>
      </w:r>
      <w:r w:rsidR="005214A0" w:rsidRPr="005F2A26">
        <w:rPr>
          <w:lang w:val="en-US"/>
        </w:rPr>
        <w:t xml:space="preserve"> </w:t>
      </w:r>
      <w:r w:rsidR="00EE7880">
        <w:rPr>
          <w:lang w:val="en-US"/>
        </w:rPr>
        <w:t>lifegoal c</w:t>
      </w:r>
      <w:r w:rsidR="005214A0" w:rsidRPr="005F2A26">
        <w:rPr>
          <w:lang w:val="en-US"/>
        </w:rPr>
        <w:t>ould be reflected in</w:t>
      </w:r>
      <w:r w:rsidR="003D0334">
        <w:rPr>
          <w:lang w:val="en-US"/>
        </w:rPr>
        <w:t xml:space="preserve"> a platform’s</w:t>
      </w:r>
      <w:r w:rsidR="005214A0" w:rsidRPr="005F2A26">
        <w:rPr>
          <w:lang w:val="en-US"/>
        </w:rPr>
        <w:t xml:space="preserve"> value proposition</w:t>
      </w:r>
      <w:r w:rsidR="006358F6">
        <w:rPr>
          <w:lang w:val="en-US"/>
        </w:rPr>
        <w:t>, messaging, rewards</w:t>
      </w:r>
      <w:r w:rsidR="00EE7880">
        <w:rPr>
          <w:lang w:val="en-US"/>
        </w:rPr>
        <w:t>,</w:t>
      </w:r>
      <w:r w:rsidR="006358F6">
        <w:rPr>
          <w:lang w:val="en-US"/>
        </w:rPr>
        <w:t xml:space="preserve"> and recognition</w:t>
      </w:r>
      <w:r w:rsidR="005214A0" w:rsidRPr="005F2A26">
        <w:rPr>
          <w:lang w:val="en-US"/>
        </w:rPr>
        <w:t>.</w:t>
      </w:r>
      <w:r w:rsidR="00DA051A">
        <w:t xml:space="preserve"> </w:t>
      </w:r>
      <w:r w:rsidR="00EE7880">
        <w:rPr>
          <w:color w:val="FF0000"/>
        </w:rPr>
        <w:t>T</w:t>
      </w:r>
      <w:r w:rsidR="000310B6" w:rsidRPr="009166F8">
        <w:rPr>
          <w:color w:val="FF0000"/>
        </w:rPr>
        <w:t xml:space="preserve">he PO-Engagement Framework could be used to map </w:t>
      </w:r>
      <w:r w:rsidR="00094D9D">
        <w:rPr>
          <w:color w:val="FF0000"/>
        </w:rPr>
        <w:t xml:space="preserve">this </w:t>
      </w:r>
      <w:r w:rsidR="000310B6" w:rsidRPr="009166F8">
        <w:rPr>
          <w:color w:val="FF0000"/>
        </w:rPr>
        <w:t xml:space="preserve">user </w:t>
      </w:r>
      <w:r w:rsidR="00EA5368">
        <w:rPr>
          <w:color w:val="FF0000"/>
        </w:rPr>
        <w:t>journey</w:t>
      </w:r>
      <w:r w:rsidR="006E35DF">
        <w:rPr>
          <w:color w:val="FF0000"/>
        </w:rPr>
        <w:t xml:space="preserve"> all the way from individual goals and values to collective engagement with others</w:t>
      </w:r>
      <w:r w:rsidR="000310B6" w:rsidRPr="009166F8">
        <w:rPr>
          <w:color w:val="FF0000"/>
        </w:rPr>
        <w:t xml:space="preserve">. </w:t>
      </w:r>
    </w:p>
    <w:p w14:paraId="556BCE75" w14:textId="77777777" w:rsidR="00203B70" w:rsidRDefault="00DA1289" w:rsidP="000D5A20">
      <w:pPr>
        <w:spacing w:after="0" w:line="480" w:lineRule="auto"/>
        <w:ind w:firstLine="720"/>
        <w:rPr>
          <w:rFonts w:eastAsiaTheme="minorEastAsia" w:cs="Times New Roman"/>
          <w:color w:val="FF0000"/>
          <w:szCs w:val="24"/>
          <w:lang w:val="en-US" w:eastAsia="zh-CN"/>
        </w:rPr>
      </w:pPr>
      <w:r>
        <w:rPr>
          <w:color w:val="FF0000"/>
        </w:rPr>
        <w:t>B</w:t>
      </w:r>
      <w:r w:rsidR="00344183" w:rsidRPr="009166F8">
        <w:rPr>
          <w:color w:val="FF0000"/>
        </w:rPr>
        <w:t xml:space="preserve">ased on our categorization of platforms in Figure 1, each </w:t>
      </w:r>
      <w:r w:rsidR="00DA051A" w:rsidRPr="009166F8">
        <w:rPr>
          <w:color w:val="FF0000"/>
        </w:rPr>
        <w:t xml:space="preserve">type </w:t>
      </w:r>
      <w:r w:rsidR="00344183" w:rsidRPr="009166F8">
        <w:rPr>
          <w:color w:val="FF0000"/>
        </w:rPr>
        <w:t>implies different priorities</w:t>
      </w:r>
      <w:r w:rsidR="00DA051A" w:rsidRPr="009166F8">
        <w:rPr>
          <w:color w:val="FF0000"/>
        </w:rPr>
        <w:t xml:space="preserve">, </w:t>
      </w:r>
      <w:r w:rsidR="00344183" w:rsidRPr="009166F8">
        <w:rPr>
          <w:color w:val="FF0000"/>
        </w:rPr>
        <w:t>resource requirements</w:t>
      </w:r>
      <w:r w:rsidR="00DA051A" w:rsidRPr="009166F8">
        <w:rPr>
          <w:color w:val="FF0000"/>
        </w:rPr>
        <w:t xml:space="preserve">, </w:t>
      </w:r>
      <w:r w:rsidR="00344183" w:rsidRPr="009166F8">
        <w:rPr>
          <w:color w:val="FF0000"/>
        </w:rPr>
        <w:t>business model implications</w:t>
      </w:r>
      <w:r w:rsidR="00DA051A" w:rsidRPr="009166F8">
        <w:rPr>
          <w:color w:val="FF0000"/>
        </w:rPr>
        <w:t>,</w:t>
      </w:r>
      <w:r w:rsidR="00344183" w:rsidRPr="009166F8">
        <w:rPr>
          <w:color w:val="FF0000"/>
        </w:rPr>
        <w:t xml:space="preserve"> and profit generating potential.</w:t>
      </w:r>
      <w:r w:rsidR="00B45DAB" w:rsidRPr="009166F8">
        <w:rPr>
          <w:color w:val="FF0000"/>
        </w:rPr>
        <w:t xml:space="preserve"> </w:t>
      </w:r>
      <w:r>
        <w:rPr>
          <w:color w:val="FF0000"/>
        </w:rPr>
        <w:t>M</w:t>
      </w:r>
      <w:r w:rsidR="00B45DAB" w:rsidRPr="009166F8">
        <w:rPr>
          <w:color w:val="FF0000"/>
        </w:rPr>
        <w:t>anagers need to define carefully what kind of platform they want</w:t>
      </w:r>
      <w:r w:rsidR="00094D9D">
        <w:rPr>
          <w:color w:val="FF0000"/>
        </w:rPr>
        <w:t xml:space="preserve"> and ensure the busines model </w:t>
      </w:r>
      <w:r w:rsidR="007A4061">
        <w:rPr>
          <w:color w:val="FF0000"/>
        </w:rPr>
        <w:t xml:space="preserve">enables and reflects </w:t>
      </w:r>
      <w:r w:rsidR="000C3C17">
        <w:rPr>
          <w:color w:val="FF0000"/>
        </w:rPr>
        <w:t>that goal</w:t>
      </w:r>
      <w:r w:rsidR="00B45DAB" w:rsidRPr="009166F8">
        <w:rPr>
          <w:color w:val="FF0000"/>
        </w:rPr>
        <w:t>.</w:t>
      </w:r>
      <w:r w:rsidR="00203B70">
        <w:rPr>
          <w:color w:val="FF0000"/>
        </w:rPr>
        <w:t xml:space="preserve"> </w:t>
      </w:r>
      <w:r w:rsidR="000C3C17">
        <w:rPr>
          <w:rFonts w:eastAsiaTheme="minorEastAsia" w:cs="Times New Roman"/>
          <w:color w:val="FF0000"/>
          <w:szCs w:val="24"/>
          <w:lang w:val="en-US" w:eastAsia="zh-CN"/>
        </w:rPr>
        <w:t xml:space="preserve">By extension, </w:t>
      </w:r>
      <w:r w:rsidR="0060695F" w:rsidRPr="003041E2">
        <w:rPr>
          <w:rFonts w:eastAsiaTheme="minorEastAsia" w:cs="Times New Roman"/>
          <w:color w:val="FF0000"/>
          <w:szCs w:val="24"/>
          <w:lang w:val="en-US" w:eastAsia="zh-CN"/>
        </w:rPr>
        <w:t>m</w:t>
      </w:r>
      <w:r w:rsidR="004811BA" w:rsidRPr="003041E2">
        <w:rPr>
          <w:rFonts w:eastAsiaTheme="minorEastAsia" w:cs="Times New Roman"/>
          <w:color w:val="FF0000"/>
          <w:szCs w:val="24"/>
          <w:lang w:val="en-US" w:eastAsia="zh-CN"/>
        </w:rPr>
        <w:t xml:space="preserve">anagers must carefully consider </w:t>
      </w:r>
      <w:r w:rsidR="003E7C62" w:rsidRPr="003041E2">
        <w:rPr>
          <w:rFonts w:eastAsiaTheme="minorEastAsia" w:cs="Times New Roman"/>
          <w:color w:val="FF0000"/>
          <w:szCs w:val="24"/>
          <w:lang w:val="en-US" w:eastAsia="zh-CN"/>
        </w:rPr>
        <w:t>technical</w:t>
      </w:r>
      <w:r w:rsidR="004811BA" w:rsidRPr="003041E2">
        <w:rPr>
          <w:rFonts w:eastAsiaTheme="minorEastAsia" w:cs="Times New Roman"/>
          <w:color w:val="FF0000"/>
          <w:szCs w:val="24"/>
          <w:lang w:val="en-US" w:eastAsia="zh-CN"/>
        </w:rPr>
        <w:t xml:space="preserve"> functionality in terms of</w:t>
      </w:r>
      <w:r w:rsidR="004F4BFD" w:rsidRPr="003041E2">
        <w:rPr>
          <w:rFonts w:eastAsiaTheme="minorEastAsia" w:cs="Times New Roman"/>
          <w:color w:val="FF0000"/>
          <w:szCs w:val="24"/>
          <w:lang w:val="en-US" w:eastAsia="zh-CN"/>
        </w:rPr>
        <w:t xml:space="preserve"> generating </w:t>
      </w:r>
      <w:r w:rsidR="00876880" w:rsidRPr="003041E2">
        <w:rPr>
          <w:rFonts w:eastAsiaTheme="minorEastAsia" w:cs="Times New Roman"/>
          <w:color w:val="FF0000"/>
          <w:szCs w:val="24"/>
          <w:lang w:val="en-US" w:eastAsia="zh-CN"/>
        </w:rPr>
        <w:t>i</w:t>
      </w:r>
      <w:r w:rsidR="004F4BFD" w:rsidRPr="003041E2">
        <w:rPr>
          <w:rFonts w:eastAsiaTheme="minorEastAsia" w:cs="Times New Roman"/>
          <w:color w:val="FF0000"/>
          <w:szCs w:val="24"/>
          <w:lang w:val="en-US" w:eastAsia="zh-CN"/>
        </w:rPr>
        <w:t>PO</w:t>
      </w:r>
      <w:r w:rsidR="00C66A6D">
        <w:rPr>
          <w:rFonts w:eastAsiaTheme="minorEastAsia" w:cs="Times New Roman"/>
          <w:color w:val="FF0000"/>
          <w:szCs w:val="24"/>
          <w:lang w:val="en-US" w:eastAsia="zh-CN"/>
        </w:rPr>
        <w:t>, and cPO if that is desirable</w:t>
      </w:r>
      <w:r w:rsidR="0018507A" w:rsidRPr="003041E2">
        <w:rPr>
          <w:rFonts w:eastAsiaTheme="minorEastAsia" w:cs="Times New Roman"/>
          <w:color w:val="FF0000"/>
          <w:szCs w:val="24"/>
          <w:lang w:val="en-US" w:eastAsia="zh-CN"/>
        </w:rPr>
        <w:t>.</w:t>
      </w:r>
      <w:r w:rsidR="0003713F" w:rsidRPr="003041E2">
        <w:rPr>
          <w:rFonts w:eastAsiaTheme="minorEastAsia" w:cs="Times New Roman"/>
          <w:color w:val="FF0000"/>
          <w:szCs w:val="24"/>
          <w:lang w:val="en-US" w:eastAsia="zh-CN"/>
        </w:rPr>
        <w:t xml:space="preserve"> This applies</w:t>
      </w:r>
      <w:r w:rsidR="0089620E" w:rsidRPr="003041E2">
        <w:rPr>
          <w:rFonts w:eastAsiaTheme="minorEastAsia" w:cs="Times New Roman"/>
          <w:color w:val="FF0000"/>
          <w:szCs w:val="24"/>
          <w:lang w:val="en-US" w:eastAsia="zh-CN"/>
        </w:rPr>
        <w:t xml:space="preserve"> </w:t>
      </w:r>
      <w:r w:rsidR="00DA0CE5">
        <w:rPr>
          <w:rFonts w:eastAsiaTheme="minorEastAsia" w:cs="Times New Roman"/>
          <w:color w:val="FF0000"/>
          <w:szCs w:val="24"/>
          <w:lang w:val="en-US" w:eastAsia="zh-CN"/>
        </w:rPr>
        <w:t xml:space="preserve">equally </w:t>
      </w:r>
      <w:r w:rsidR="0003713F" w:rsidRPr="003041E2">
        <w:rPr>
          <w:rFonts w:eastAsiaTheme="minorEastAsia" w:cs="Times New Roman"/>
          <w:color w:val="FF0000"/>
          <w:szCs w:val="24"/>
          <w:lang w:val="en-US" w:eastAsia="zh-CN"/>
        </w:rPr>
        <w:t>to</w:t>
      </w:r>
      <w:r w:rsidR="003041E2">
        <w:rPr>
          <w:rFonts w:eastAsiaTheme="minorEastAsia" w:cs="Times New Roman"/>
          <w:color w:val="FF0000"/>
          <w:szCs w:val="24"/>
          <w:lang w:val="en-US" w:eastAsia="zh-CN"/>
        </w:rPr>
        <w:t xml:space="preserve"> marketers</w:t>
      </w:r>
      <w:r w:rsidR="0003713F" w:rsidRPr="003041E2">
        <w:rPr>
          <w:rFonts w:eastAsiaTheme="minorEastAsia" w:cs="Times New Roman"/>
          <w:color w:val="FF0000"/>
          <w:szCs w:val="24"/>
          <w:lang w:val="en-US" w:eastAsia="zh-CN"/>
        </w:rPr>
        <w:t xml:space="preserve"> </w:t>
      </w:r>
      <w:r w:rsidR="00C66A6D">
        <w:rPr>
          <w:rFonts w:eastAsiaTheme="minorEastAsia" w:cs="Times New Roman"/>
          <w:color w:val="FF0000"/>
          <w:szCs w:val="24"/>
          <w:lang w:val="en-US" w:eastAsia="zh-CN"/>
        </w:rPr>
        <w:t>in</w:t>
      </w:r>
      <w:r w:rsidR="0003713F" w:rsidRPr="003041E2">
        <w:rPr>
          <w:rFonts w:eastAsiaTheme="minorEastAsia" w:cs="Times New Roman"/>
          <w:color w:val="FF0000"/>
          <w:szCs w:val="24"/>
          <w:lang w:val="en-US" w:eastAsia="zh-CN"/>
        </w:rPr>
        <w:t xml:space="preserve"> other types of businesses, </w:t>
      </w:r>
      <w:r w:rsidR="00C66A6D">
        <w:rPr>
          <w:rFonts w:eastAsiaTheme="minorEastAsia" w:cs="Times New Roman"/>
          <w:color w:val="FF0000"/>
          <w:szCs w:val="24"/>
          <w:lang w:val="en-US" w:eastAsia="zh-CN"/>
        </w:rPr>
        <w:t xml:space="preserve">e.g., </w:t>
      </w:r>
      <w:r w:rsidR="00DA0CE5">
        <w:rPr>
          <w:rFonts w:eastAsiaTheme="minorEastAsia" w:cs="Times New Roman"/>
          <w:color w:val="FF0000"/>
          <w:szCs w:val="24"/>
          <w:lang w:val="en-US" w:eastAsia="zh-CN"/>
        </w:rPr>
        <w:t xml:space="preserve">wishing </w:t>
      </w:r>
      <w:r w:rsidR="0003713F" w:rsidRPr="003041E2">
        <w:rPr>
          <w:rFonts w:eastAsiaTheme="minorEastAsia" w:cs="Times New Roman"/>
          <w:color w:val="FF0000"/>
          <w:szCs w:val="24"/>
          <w:lang w:val="en-US" w:eastAsia="zh-CN"/>
        </w:rPr>
        <w:t xml:space="preserve">to drive repeat purchasing and loyalty on </w:t>
      </w:r>
      <w:r w:rsidR="00D753C3" w:rsidRPr="003041E2">
        <w:rPr>
          <w:rFonts w:eastAsiaTheme="minorEastAsia" w:cs="Times New Roman"/>
          <w:color w:val="FF0000"/>
          <w:szCs w:val="24"/>
          <w:lang w:val="en-US" w:eastAsia="zh-CN"/>
        </w:rPr>
        <w:t>e-commerce sites</w:t>
      </w:r>
      <w:r w:rsidR="00847ED7" w:rsidRPr="003041E2">
        <w:rPr>
          <w:rFonts w:eastAsiaTheme="minorEastAsia" w:cs="Times New Roman"/>
          <w:color w:val="FF0000"/>
          <w:szCs w:val="24"/>
          <w:lang w:val="en-US" w:eastAsia="zh-CN"/>
        </w:rPr>
        <w:t>,</w:t>
      </w:r>
      <w:r w:rsidR="00A8262E">
        <w:rPr>
          <w:rFonts w:eastAsiaTheme="minorEastAsia" w:cs="Times New Roman"/>
          <w:color w:val="FF0000"/>
          <w:szCs w:val="24"/>
          <w:lang w:val="en-US" w:eastAsia="zh-CN"/>
        </w:rPr>
        <w:t xml:space="preserve"> in</w:t>
      </w:r>
      <w:r w:rsidR="00D753C3" w:rsidRPr="003041E2">
        <w:rPr>
          <w:rFonts w:eastAsiaTheme="minorEastAsia" w:cs="Times New Roman"/>
          <w:color w:val="FF0000"/>
          <w:szCs w:val="24"/>
          <w:lang w:val="en-US" w:eastAsia="zh-CN"/>
        </w:rPr>
        <w:t xml:space="preserve"> online brand </w:t>
      </w:r>
      <w:r w:rsidR="0089620E" w:rsidRPr="003041E2">
        <w:rPr>
          <w:rFonts w:eastAsiaTheme="minorEastAsia" w:cs="Times New Roman"/>
          <w:color w:val="FF0000"/>
          <w:szCs w:val="24"/>
          <w:lang w:val="en-US" w:eastAsia="zh-CN"/>
        </w:rPr>
        <w:t>communities</w:t>
      </w:r>
      <w:r w:rsidR="00847ED7" w:rsidRPr="003041E2">
        <w:rPr>
          <w:rFonts w:eastAsiaTheme="minorEastAsia" w:cs="Times New Roman"/>
          <w:color w:val="FF0000"/>
          <w:szCs w:val="24"/>
          <w:lang w:val="en-US" w:eastAsia="zh-CN"/>
        </w:rPr>
        <w:t xml:space="preserve">, </w:t>
      </w:r>
      <w:r w:rsidR="00A8262E">
        <w:rPr>
          <w:rFonts w:eastAsiaTheme="minorEastAsia" w:cs="Times New Roman"/>
          <w:color w:val="FF0000"/>
          <w:szCs w:val="24"/>
          <w:lang w:val="en-US" w:eastAsia="zh-CN"/>
        </w:rPr>
        <w:t>or on</w:t>
      </w:r>
      <w:r w:rsidR="00847ED7" w:rsidRPr="003041E2">
        <w:rPr>
          <w:rFonts w:eastAsiaTheme="minorEastAsia" w:cs="Times New Roman"/>
          <w:color w:val="FF0000"/>
          <w:szCs w:val="24"/>
          <w:lang w:val="en-US" w:eastAsia="zh-CN"/>
        </w:rPr>
        <w:t xml:space="preserve"> </w:t>
      </w:r>
      <w:r w:rsidR="00CD4CAA" w:rsidRPr="003041E2">
        <w:rPr>
          <w:rFonts w:eastAsiaTheme="minorEastAsia" w:cs="Times New Roman"/>
          <w:color w:val="FF0000"/>
          <w:szCs w:val="24"/>
          <w:lang w:val="en-US" w:eastAsia="zh-CN"/>
        </w:rPr>
        <w:t>review</w:t>
      </w:r>
      <w:r w:rsidR="00847ED7" w:rsidRPr="003041E2">
        <w:rPr>
          <w:rFonts w:eastAsiaTheme="minorEastAsia" w:cs="Times New Roman"/>
          <w:color w:val="FF0000"/>
          <w:szCs w:val="24"/>
          <w:lang w:val="en-US" w:eastAsia="zh-CN"/>
        </w:rPr>
        <w:t xml:space="preserve"> platforms like TripAdvisor</w:t>
      </w:r>
      <w:r w:rsidR="0089620E" w:rsidRPr="003041E2">
        <w:rPr>
          <w:rFonts w:eastAsiaTheme="minorEastAsia" w:cs="Times New Roman"/>
          <w:color w:val="FF0000"/>
          <w:szCs w:val="24"/>
          <w:lang w:val="en-US" w:eastAsia="zh-CN"/>
        </w:rPr>
        <w:t>.</w:t>
      </w:r>
      <w:r w:rsidR="004811BA" w:rsidRPr="003041E2">
        <w:rPr>
          <w:rFonts w:eastAsiaTheme="minorEastAsia" w:cs="Times New Roman"/>
          <w:color w:val="FF0000"/>
          <w:szCs w:val="24"/>
          <w:lang w:val="en-US" w:eastAsia="zh-CN"/>
        </w:rPr>
        <w:t xml:space="preserve"> </w:t>
      </w:r>
    </w:p>
    <w:p w14:paraId="61BE36C4" w14:textId="03E536B4" w:rsidR="00C37A60" w:rsidRPr="005F2A26" w:rsidRDefault="0089620E" w:rsidP="000D5A20">
      <w:pPr>
        <w:spacing w:after="0" w:line="480" w:lineRule="auto"/>
        <w:ind w:firstLine="720"/>
        <w:rPr>
          <w:rFonts w:cs="Times New Roman"/>
          <w:szCs w:val="24"/>
          <w:lang w:val="en-US"/>
        </w:rPr>
      </w:pPr>
      <w:r>
        <w:rPr>
          <w:rFonts w:eastAsiaTheme="minorEastAsia" w:cs="Times New Roman"/>
          <w:szCs w:val="24"/>
          <w:lang w:val="en-US" w:eastAsia="zh-CN"/>
        </w:rPr>
        <w:t>P</w:t>
      </w:r>
      <w:r w:rsidR="00063B62" w:rsidRPr="005F2A26">
        <w:rPr>
          <w:rFonts w:eastAsiaTheme="minorEastAsia" w:cs="Times New Roman"/>
          <w:szCs w:val="24"/>
          <w:lang w:val="en-US" w:eastAsia="zh-CN"/>
        </w:rPr>
        <w:t>latforms</w:t>
      </w:r>
      <w:r w:rsidR="00F65A38" w:rsidRPr="005F2A26">
        <w:rPr>
          <w:rFonts w:eastAsiaTheme="minorEastAsia" w:cs="Times New Roman"/>
          <w:szCs w:val="24"/>
          <w:lang w:val="en-US" w:eastAsia="zh-CN"/>
        </w:rPr>
        <w:t xml:space="preserve"> and their </w:t>
      </w:r>
      <w:r w:rsidR="00CD4CAA">
        <w:rPr>
          <w:rFonts w:eastAsiaTheme="minorEastAsia" w:cs="Times New Roman"/>
          <w:szCs w:val="24"/>
          <w:lang w:val="en-US" w:eastAsia="zh-CN"/>
        </w:rPr>
        <w:t xml:space="preserve">technical </w:t>
      </w:r>
      <w:r w:rsidR="00F65A38" w:rsidRPr="005F2A26">
        <w:rPr>
          <w:rFonts w:eastAsiaTheme="minorEastAsia" w:cs="Times New Roman"/>
          <w:szCs w:val="24"/>
          <w:lang w:val="en-US" w:eastAsia="zh-CN"/>
        </w:rPr>
        <w:t>functions</w:t>
      </w:r>
      <w:r w:rsidR="00063B62" w:rsidRPr="005F2A26">
        <w:rPr>
          <w:rFonts w:eastAsiaTheme="minorEastAsia" w:cs="Times New Roman"/>
          <w:szCs w:val="24"/>
          <w:lang w:val="en-US" w:eastAsia="zh-CN"/>
        </w:rPr>
        <w:t xml:space="preserve"> (as </w:t>
      </w:r>
      <w:r w:rsidR="004811BA" w:rsidRPr="005F2A26">
        <w:rPr>
          <w:rFonts w:eastAsiaTheme="minorEastAsia" w:cs="Times New Roman"/>
          <w:szCs w:val="24"/>
          <w:lang w:val="en-US" w:eastAsia="zh-CN"/>
        </w:rPr>
        <w:t>targets</w:t>
      </w:r>
      <w:r w:rsidR="00063B62" w:rsidRPr="005F2A26">
        <w:rPr>
          <w:rFonts w:eastAsiaTheme="minorEastAsia" w:cs="Times New Roman"/>
          <w:szCs w:val="24"/>
          <w:lang w:val="en-US" w:eastAsia="zh-CN"/>
        </w:rPr>
        <w:t>)</w:t>
      </w:r>
      <w:r w:rsidR="004811BA" w:rsidRPr="005F2A26">
        <w:rPr>
          <w:rFonts w:eastAsiaTheme="minorEastAsia" w:cs="Times New Roman"/>
          <w:szCs w:val="24"/>
          <w:lang w:val="en-US" w:eastAsia="zh-CN"/>
        </w:rPr>
        <w:t xml:space="preserve"> must be </w:t>
      </w:r>
      <w:proofErr w:type="spellStart"/>
      <w:r w:rsidR="004811BA" w:rsidRPr="005F2A26">
        <w:rPr>
          <w:rFonts w:eastAsiaTheme="minorEastAsia" w:cs="Times New Roman"/>
          <w:szCs w:val="24"/>
          <w:lang w:val="en-US" w:eastAsia="zh-CN"/>
        </w:rPr>
        <w:t>manipulable</w:t>
      </w:r>
      <w:proofErr w:type="spellEnd"/>
      <w:r w:rsidR="004811BA" w:rsidRPr="005F2A26">
        <w:rPr>
          <w:rFonts w:eastAsiaTheme="minorEastAsia" w:cs="Times New Roman"/>
          <w:szCs w:val="24"/>
          <w:lang w:val="en-US" w:eastAsia="zh-CN"/>
        </w:rPr>
        <w:t xml:space="preserve"> (Pierce and </w:t>
      </w:r>
      <w:proofErr w:type="spellStart"/>
      <w:r w:rsidR="004811BA" w:rsidRPr="005F2A26">
        <w:rPr>
          <w:rFonts w:eastAsiaTheme="minorEastAsia" w:cs="Times New Roman"/>
          <w:szCs w:val="24"/>
          <w:lang w:val="en-US" w:eastAsia="zh-CN"/>
        </w:rPr>
        <w:t>Jussila</w:t>
      </w:r>
      <w:proofErr w:type="spellEnd"/>
      <w:r w:rsidR="00BF69FD" w:rsidRPr="005F2A26">
        <w:rPr>
          <w:rFonts w:eastAsiaTheme="minorEastAsia" w:cs="Times New Roman"/>
          <w:szCs w:val="24"/>
          <w:lang w:val="en-US" w:eastAsia="zh-CN"/>
        </w:rPr>
        <w:t>,</w:t>
      </w:r>
      <w:r w:rsidR="004811BA" w:rsidRPr="005F2A26">
        <w:rPr>
          <w:rFonts w:eastAsiaTheme="minorEastAsia" w:cs="Times New Roman"/>
          <w:szCs w:val="24"/>
          <w:lang w:val="en-US" w:eastAsia="zh-CN"/>
        </w:rPr>
        <w:t xml:space="preserve"> 2010)</w:t>
      </w:r>
      <w:r w:rsidR="00405A2F" w:rsidRPr="005F2A26">
        <w:rPr>
          <w:rFonts w:eastAsiaTheme="minorEastAsia" w:cs="Times New Roman"/>
          <w:szCs w:val="24"/>
          <w:lang w:val="en-US" w:eastAsia="zh-CN"/>
        </w:rPr>
        <w:t xml:space="preserve"> so</w:t>
      </w:r>
      <w:r w:rsidR="00063B62" w:rsidRPr="005F2A26">
        <w:rPr>
          <w:rFonts w:eastAsiaTheme="minorEastAsia" w:cs="Times New Roman"/>
          <w:szCs w:val="24"/>
          <w:lang w:val="en-US" w:eastAsia="zh-CN"/>
        </w:rPr>
        <w:t xml:space="preserve"> a user </w:t>
      </w:r>
      <w:r w:rsidR="00405A2F" w:rsidRPr="005F2A26">
        <w:rPr>
          <w:rFonts w:eastAsiaTheme="minorEastAsia" w:cs="Times New Roman"/>
          <w:szCs w:val="24"/>
          <w:lang w:val="en-US" w:eastAsia="zh-CN"/>
        </w:rPr>
        <w:t>can</w:t>
      </w:r>
      <w:r w:rsidR="00063B62" w:rsidRPr="005F2A26">
        <w:rPr>
          <w:rFonts w:eastAsiaTheme="minorEastAsia" w:cs="Times New Roman"/>
          <w:szCs w:val="24"/>
          <w:lang w:val="en-US" w:eastAsia="zh-CN"/>
        </w:rPr>
        <w:t xml:space="preserve"> gain a sense of control</w:t>
      </w:r>
      <w:r w:rsidR="006608CF" w:rsidRPr="005F2A26">
        <w:rPr>
          <w:rFonts w:eastAsiaTheme="minorEastAsia" w:cs="Times New Roman"/>
          <w:szCs w:val="24"/>
          <w:lang w:val="en-US" w:eastAsia="zh-CN"/>
        </w:rPr>
        <w:t xml:space="preserve">, </w:t>
      </w:r>
      <w:r w:rsidR="0018507A">
        <w:rPr>
          <w:rFonts w:eastAsiaTheme="minorEastAsia" w:cs="Times New Roman"/>
          <w:szCs w:val="24"/>
          <w:lang w:val="en-US" w:eastAsia="zh-CN"/>
        </w:rPr>
        <w:t xml:space="preserve">e.g., </w:t>
      </w:r>
      <w:r w:rsidR="00F65A38" w:rsidRPr="005F2A26">
        <w:rPr>
          <w:rFonts w:eastAsiaTheme="minorEastAsia" w:cs="Times New Roman"/>
          <w:szCs w:val="24"/>
          <w:lang w:val="en-US" w:eastAsia="zh-CN"/>
        </w:rPr>
        <w:t xml:space="preserve">through </w:t>
      </w:r>
      <w:proofErr w:type="spellStart"/>
      <w:r w:rsidR="00EA0E75" w:rsidRPr="005F2A26">
        <w:rPr>
          <w:rFonts w:eastAsiaTheme="minorEastAsia" w:cs="Times New Roman"/>
          <w:szCs w:val="24"/>
          <w:lang w:val="en-US" w:eastAsia="zh-CN"/>
        </w:rPr>
        <w:t>personalizable</w:t>
      </w:r>
      <w:proofErr w:type="spellEnd"/>
      <w:r w:rsidR="00EA0E75" w:rsidRPr="005F2A26">
        <w:rPr>
          <w:rFonts w:eastAsiaTheme="minorEastAsia" w:cs="Times New Roman"/>
          <w:szCs w:val="24"/>
          <w:lang w:val="en-US" w:eastAsia="zh-CN"/>
        </w:rPr>
        <w:t xml:space="preserve"> profiles</w:t>
      </w:r>
      <w:r>
        <w:rPr>
          <w:rFonts w:eastAsiaTheme="minorEastAsia" w:cs="Times New Roman"/>
          <w:szCs w:val="24"/>
          <w:lang w:val="en-US" w:eastAsia="zh-CN"/>
        </w:rPr>
        <w:t xml:space="preserve">, </w:t>
      </w:r>
      <w:r w:rsidR="00BF2155">
        <w:rPr>
          <w:rFonts w:eastAsiaTheme="minorEastAsia" w:cs="Times New Roman"/>
          <w:szCs w:val="24"/>
          <w:lang w:val="en-US" w:eastAsia="zh-CN"/>
        </w:rPr>
        <w:t xml:space="preserve">the </w:t>
      </w:r>
      <w:r w:rsidR="00E473C8">
        <w:rPr>
          <w:rFonts w:eastAsiaTheme="minorEastAsia" w:cs="Times New Roman"/>
          <w:szCs w:val="24"/>
          <w:lang w:val="en-US" w:eastAsia="zh-CN"/>
        </w:rPr>
        <w:t>ability</w:t>
      </w:r>
      <w:r w:rsidR="00F65A38" w:rsidRPr="005F2A26">
        <w:rPr>
          <w:rFonts w:eastAsiaTheme="minorEastAsia" w:cs="Times New Roman"/>
          <w:szCs w:val="24"/>
          <w:lang w:val="en-US" w:eastAsia="zh-CN"/>
        </w:rPr>
        <w:t xml:space="preserve"> to vote content up or down</w:t>
      </w:r>
      <w:r>
        <w:rPr>
          <w:rFonts w:eastAsiaTheme="minorEastAsia" w:cs="Times New Roman"/>
          <w:szCs w:val="24"/>
          <w:lang w:val="en-US" w:eastAsia="zh-CN"/>
        </w:rPr>
        <w:t>, or make recommendations to others</w:t>
      </w:r>
      <w:r w:rsidR="00EA0E75" w:rsidRPr="005F2A26">
        <w:rPr>
          <w:rFonts w:eastAsiaTheme="minorEastAsia" w:cs="Times New Roman"/>
          <w:szCs w:val="24"/>
          <w:lang w:val="en-US" w:eastAsia="zh-CN"/>
        </w:rPr>
        <w:t>.</w:t>
      </w:r>
      <w:r w:rsidR="004811BA" w:rsidRPr="005F2A26">
        <w:rPr>
          <w:rFonts w:cs="Times New Roman"/>
          <w:szCs w:val="24"/>
          <w:lang w:val="en-US"/>
        </w:rPr>
        <w:t xml:space="preserve"> </w:t>
      </w:r>
      <w:r w:rsidR="00DD41D7" w:rsidRPr="005F2A26">
        <w:rPr>
          <w:rFonts w:cs="Times New Roman"/>
          <w:szCs w:val="24"/>
          <w:lang w:val="en-US"/>
        </w:rPr>
        <w:t>U</w:t>
      </w:r>
      <w:r w:rsidR="004811BA" w:rsidRPr="005F2A26">
        <w:rPr>
          <w:rFonts w:cs="Times New Roman"/>
          <w:szCs w:val="24"/>
          <w:lang w:val="en-US"/>
        </w:rPr>
        <w:t>sers</w:t>
      </w:r>
      <w:r w:rsidR="00085FEB" w:rsidRPr="005F2A26">
        <w:rPr>
          <w:rFonts w:cs="Times New Roman"/>
          <w:szCs w:val="24"/>
          <w:lang w:val="en-US"/>
        </w:rPr>
        <w:t xml:space="preserve"> </w:t>
      </w:r>
      <w:r w:rsidR="004811BA" w:rsidRPr="005F2A26">
        <w:rPr>
          <w:rFonts w:cs="Times New Roman"/>
          <w:szCs w:val="24"/>
          <w:lang w:val="en-US"/>
        </w:rPr>
        <w:t xml:space="preserve">have considerable control </w:t>
      </w:r>
      <w:r w:rsidR="00085FEB" w:rsidRPr="005F2A26">
        <w:rPr>
          <w:rFonts w:cs="Times New Roman"/>
          <w:szCs w:val="24"/>
          <w:lang w:val="en-US"/>
        </w:rPr>
        <w:t>if</w:t>
      </w:r>
      <w:r w:rsidR="004811BA" w:rsidRPr="005F2A26">
        <w:rPr>
          <w:rFonts w:cs="Times New Roman"/>
          <w:szCs w:val="24"/>
          <w:lang w:val="en-US"/>
        </w:rPr>
        <w:t xml:space="preserve"> they </w:t>
      </w:r>
      <w:r w:rsidR="00085FEB" w:rsidRPr="005F2A26">
        <w:rPr>
          <w:rFonts w:cs="Times New Roman"/>
          <w:szCs w:val="24"/>
          <w:lang w:val="en-US"/>
        </w:rPr>
        <w:t>can</w:t>
      </w:r>
      <w:r w:rsidR="004811BA" w:rsidRPr="005F2A26">
        <w:rPr>
          <w:rFonts w:cs="Times New Roman"/>
          <w:szCs w:val="24"/>
          <w:lang w:val="en-US"/>
        </w:rPr>
        <w:t xml:space="preserve"> co-creat</w:t>
      </w:r>
      <w:r w:rsidR="00085FEB" w:rsidRPr="005F2A26">
        <w:rPr>
          <w:rFonts w:cs="Times New Roman"/>
          <w:szCs w:val="24"/>
          <w:lang w:val="en-US"/>
        </w:rPr>
        <w:t>e</w:t>
      </w:r>
      <w:r w:rsidR="004811BA" w:rsidRPr="005F2A26">
        <w:rPr>
          <w:rFonts w:cs="Times New Roman"/>
          <w:szCs w:val="24"/>
          <w:lang w:val="en-US"/>
        </w:rPr>
        <w:t xml:space="preserve"> and co-design offering</w:t>
      </w:r>
      <w:r w:rsidR="00085FEB" w:rsidRPr="005F2A26">
        <w:rPr>
          <w:rFonts w:cs="Times New Roman"/>
          <w:szCs w:val="24"/>
          <w:lang w:val="en-US"/>
        </w:rPr>
        <w:t>s</w:t>
      </w:r>
      <w:r w:rsidR="004811BA" w:rsidRPr="005F2A26">
        <w:rPr>
          <w:rFonts w:cs="Times New Roman"/>
          <w:szCs w:val="24"/>
          <w:lang w:val="en-US"/>
        </w:rPr>
        <w:t xml:space="preserve"> </w:t>
      </w:r>
      <w:r w:rsidR="004811BA" w:rsidRPr="005F2A26">
        <w:rPr>
          <w:rFonts w:cs="Times New Roman"/>
          <w:noProof/>
          <w:szCs w:val="24"/>
          <w:lang w:val="en-US"/>
        </w:rPr>
        <w:t xml:space="preserve">(Fehrer </w:t>
      </w:r>
      <w:r w:rsidR="00957690" w:rsidRPr="00957690">
        <w:rPr>
          <w:rFonts w:cs="Times New Roman"/>
          <w:i/>
          <w:iCs/>
          <w:noProof/>
          <w:szCs w:val="24"/>
          <w:lang w:val="en-US"/>
        </w:rPr>
        <w:t>et al.</w:t>
      </w:r>
      <w:r w:rsidR="00BF69FD" w:rsidRPr="005F2A26">
        <w:rPr>
          <w:rFonts w:cs="Times New Roman"/>
          <w:noProof/>
          <w:szCs w:val="24"/>
          <w:lang w:val="en-US"/>
        </w:rPr>
        <w:t>,</w:t>
      </w:r>
      <w:r w:rsidR="004811BA" w:rsidRPr="005F2A26">
        <w:rPr>
          <w:rFonts w:cs="Times New Roman"/>
          <w:noProof/>
          <w:szCs w:val="24"/>
          <w:lang w:val="en-US"/>
        </w:rPr>
        <w:t xml:space="preserve"> 2018</w:t>
      </w:r>
      <w:r w:rsidR="000565A0">
        <w:rPr>
          <w:rFonts w:cs="Times New Roman"/>
          <w:noProof/>
          <w:szCs w:val="24"/>
          <w:lang w:val="en-US"/>
        </w:rPr>
        <w:t>a</w:t>
      </w:r>
      <w:r w:rsidR="004811BA" w:rsidRPr="005F2A26">
        <w:rPr>
          <w:rFonts w:cs="Times New Roman"/>
          <w:noProof/>
          <w:szCs w:val="24"/>
          <w:lang w:val="en-US"/>
        </w:rPr>
        <w:t>; Möhlmann</w:t>
      </w:r>
      <w:r w:rsidR="00BF69FD" w:rsidRPr="005F2A26">
        <w:rPr>
          <w:rFonts w:cs="Times New Roman"/>
          <w:noProof/>
          <w:szCs w:val="24"/>
          <w:lang w:val="en-US"/>
        </w:rPr>
        <w:t>,</w:t>
      </w:r>
      <w:r w:rsidR="004811BA" w:rsidRPr="005F2A26">
        <w:rPr>
          <w:rFonts w:cs="Times New Roman"/>
          <w:noProof/>
          <w:szCs w:val="24"/>
          <w:lang w:val="en-US"/>
        </w:rPr>
        <w:t xml:space="preserve"> 2015)</w:t>
      </w:r>
      <w:r w:rsidR="00DD41D7" w:rsidRPr="005F2A26">
        <w:rPr>
          <w:rFonts w:cs="Times New Roman"/>
          <w:noProof/>
          <w:szCs w:val="24"/>
          <w:lang w:val="en-US"/>
        </w:rPr>
        <w:t>, and investing the self in the target will be generated through gamification</w:t>
      </w:r>
      <w:r w:rsidR="00F36CAF">
        <w:rPr>
          <w:rFonts w:cs="Times New Roman"/>
          <w:noProof/>
          <w:szCs w:val="24"/>
          <w:lang w:val="en-US"/>
        </w:rPr>
        <w:t xml:space="preserve"> like</w:t>
      </w:r>
      <w:r w:rsidR="00DD41D7" w:rsidRPr="005F2A26">
        <w:rPr>
          <w:rFonts w:cs="Times New Roman"/>
          <w:noProof/>
          <w:szCs w:val="24"/>
          <w:lang w:val="en-US"/>
        </w:rPr>
        <w:t xml:space="preserve"> rewards, recognition, points systems, etc</w:t>
      </w:r>
      <w:r w:rsidR="004811BA" w:rsidRPr="005F2A26">
        <w:rPr>
          <w:rFonts w:cs="Times New Roman"/>
          <w:szCs w:val="24"/>
          <w:lang w:val="en-US"/>
        </w:rPr>
        <w:t>.</w:t>
      </w:r>
      <w:r w:rsidR="004B3303">
        <w:rPr>
          <w:rFonts w:cs="Times New Roman"/>
          <w:szCs w:val="24"/>
          <w:lang w:val="en-US"/>
        </w:rPr>
        <w:t xml:space="preserve"> T</w:t>
      </w:r>
      <w:r w:rsidR="002D5DF4" w:rsidRPr="005F2A26">
        <w:rPr>
          <w:rFonts w:cs="Times New Roman"/>
          <w:szCs w:val="24"/>
          <w:lang w:val="en-US"/>
        </w:rPr>
        <w:t>argets</w:t>
      </w:r>
      <w:r w:rsidR="004B3303">
        <w:rPr>
          <w:rFonts w:cs="Times New Roman"/>
          <w:szCs w:val="24"/>
          <w:lang w:val="en-US"/>
        </w:rPr>
        <w:t xml:space="preserve"> – and online communities – must </w:t>
      </w:r>
      <w:r w:rsidR="002D5DF4" w:rsidRPr="005F2A26">
        <w:rPr>
          <w:rFonts w:cs="Times New Roman"/>
          <w:szCs w:val="24"/>
          <w:lang w:val="en-US"/>
        </w:rPr>
        <w:t>be socially desirable to satisfy a user’s self-identity</w:t>
      </w:r>
      <w:r w:rsidR="00E2248C">
        <w:rPr>
          <w:rFonts w:cs="Times New Roman"/>
          <w:szCs w:val="24"/>
          <w:lang w:val="en-US"/>
        </w:rPr>
        <w:t>,</w:t>
      </w:r>
      <w:r w:rsidR="002D5DF4" w:rsidRPr="005F2A26">
        <w:rPr>
          <w:rFonts w:cs="Times New Roman"/>
          <w:szCs w:val="24"/>
          <w:lang w:val="en-US"/>
        </w:rPr>
        <w:t xml:space="preserve"> to experience belongingness, </w:t>
      </w:r>
      <w:r w:rsidR="00E2248C">
        <w:rPr>
          <w:rFonts w:cs="Times New Roman"/>
          <w:szCs w:val="24"/>
          <w:lang w:val="en-US"/>
        </w:rPr>
        <w:t>a</w:t>
      </w:r>
      <w:r w:rsidR="0034279A" w:rsidRPr="005F2A26">
        <w:rPr>
          <w:rFonts w:cs="Times New Roman"/>
          <w:szCs w:val="24"/>
          <w:lang w:val="en-US"/>
        </w:rPr>
        <w:t xml:space="preserve">nd for a sense of </w:t>
      </w:r>
      <w:r w:rsidR="00290FA6">
        <w:rPr>
          <w:rFonts w:cs="Times New Roman"/>
          <w:szCs w:val="24"/>
          <w:lang w:val="en-US"/>
        </w:rPr>
        <w:t>collective</w:t>
      </w:r>
      <w:r w:rsidR="0034279A" w:rsidRPr="005F2A26">
        <w:rPr>
          <w:rFonts w:cs="Times New Roman"/>
          <w:szCs w:val="24"/>
          <w:lang w:val="en-US"/>
        </w:rPr>
        <w:t xml:space="preserve"> to emerge. </w:t>
      </w:r>
      <w:r w:rsidR="00290FA6">
        <w:rPr>
          <w:rFonts w:cs="Times New Roman"/>
          <w:szCs w:val="24"/>
          <w:lang w:val="en-US"/>
        </w:rPr>
        <w:t>In sum, u</w:t>
      </w:r>
      <w:r w:rsidR="004811BA" w:rsidRPr="005F2A26">
        <w:rPr>
          <w:rFonts w:cs="Times New Roman"/>
          <w:szCs w:val="24"/>
          <w:lang w:val="en-US"/>
        </w:rPr>
        <w:t>nderstanding the</w:t>
      </w:r>
      <w:r w:rsidR="000B3930" w:rsidRPr="005F2A26">
        <w:rPr>
          <w:rFonts w:cs="Times New Roman"/>
          <w:szCs w:val="24"/>
          <w:lang w:val="en-US"/>
        </w:rPr>
        <w:t xml:space="preserve"> </w:t>
      </w:r>
      <w:r w:rsidR="008D48D6">
        <w:rPr>
          <w:rFonts w:cs="Times New Roman"/>
          <w:szCs w:val="24"/>
          <w:lang w:val="en-US"/>
        </w:rPr>
        <w:t xml:space="preserve">drivers </w:t>
      </w:r>
      <w:r w:rsidR="000B3930" w:rsidRPr="005F2A26">
        <w:rPr>
          <w:rFonts w:cs="Times New Roman"/>
          <w:szCs w:val="24"/>
          <w:lang w:val="en-US"/>
        </w:rPr>
        <w:t>of what</w:t>
      </w:r>
      <w:r w:rsidR="004811BA" w:rsidRPr="005F2A26">
        <w:rPr>
          <w:rFonts w:cs="Times New Roman"/>
          <w:szCs w:val="24"/>
          <w:lang w:val="en-US"/>
        </w:rPr>
        <w:t xml:space="preserve"> leads to a sense of ‘</w:t>
      </w:r>
      <w:r w:rsidR="004D7625">
        <w:rPr>
          <w:rFonts w:cs="Times New Roman"/>
          <w:szCs w:val="24"/>
          <w:lang w:val="en-US"/>
        </w:rPr>
        <w:t>MINE</w:t>
      </w:r>
      <w:r w:rsidR="004A4783">
        <w:rPr>
          <w:rFonts w:cs="Times New Roman"/>
          <w:szCs w:val="24"/>
          <w:lang w:val="en-US"/>
        </w:rPr>
        <w:t>’</w:t>
      </w:r>
      <w:r w:rsidR="008D48D6">
        <w:rPr>
          <w:rFonts w:cs="Times New Roman"/>
          <w:szCs w:val="24"/>
          <w:lang w:val="en-US"/>
        </w:rPr>
        <w:t xml:space="preserve"> </w:t>
      </w:r>
      <w:r w:rsidR="004811BA" w:rsidRPr="005F2A26">
        <w:rPr>
          <w:rFonts w:cs="Times New Roman"/>
          <w:szCs w:val="24"/>
          <w:lang w:val="en-US"/>
        </w:rPr>
        <w:t>or ‘</w:t>
      </w:r>
      <w:r w:rsidR="004A4783">
        <w:rPr>
          <w:rFonts w:cs="Times New Roman"/>
          <w:szCs w:val="24"/>
          <w:lang w:val="en-US"/>
        </w:rPr>
        <w:t>OURS’</w:t>
      </w:r>
      <w:r w:rsidR="008D48D6">
        <w:rPr>
          <w:rFonts w:cs="Times New Roman"/>
          <w:szCs w:val="24"/>
          <w:lang w:val="en-US"/>
        </w:rPr>
        <w:t xml:space="preserve"> </w:t>
      </w:r>
      <w:r w:rsidR="004811BA" w:rsidRPr="005F2A26">
        <w:rPr>
          <w:rFonts w:cs="Times New Roman"/>
          <w:szCs w:val="24"/>
          <w:lang w:val="en-US"/>
        </w:rPr>
        <w:t>is an important consideration for managers.</w:t>
      </w:r>
      <w:r w:rsidR="002D5DF4" w:rsidRPr="005F2A26">
        <w:rPr>
          <w:rFonts w:cs="Times New Roman"/>
          <w:szCs w:val="24"/>
          <w:lang w:val="en-US"/>
        </w:rPr>
        <w:t xml:space="preserve"> </w:t>
      </w:r>
    </w:p>
    <w:p w14:paraId="628B6209" w14:textId="2716173A" w:rsidR="005853FB" w:rsidRDefault="00703D0E" w:rsidP="00C93EC4">
      <w:pPr>
        <w:spacing w:after="0" w:line="480" w:lineRule="auto"/>
        <w:ind w:firstLine="720"/>
        <w:rPr>
          <w:rFonts w:eastAsiaTheme="minorEastAsia" w:cs="Times New Roman"/>
          <w:szCs w:val="24"/>
          <w:lang w:val="en-US" w:eastAsia="zh-CN"/>
        </w:rPr>
      </w:pPr>
      <w:r w:rsidRPr="005F2A26">
        <w:rPr>
          <w:rFonts w:eastAsiaTheme="minorEastAsia" w:cs="Times New Roman"/>
          <w:szCs w:val="24"/>
          <w:lang w:val="en-US" w:eastAsia="zh-CN"/>
        </w:rPr>
        <w:lastRenderedPageBreak/>
        <w:t>As targets of cPO enable both</w:t>
      </w:r>
      <w:r w:rsidR="00367CDD" w:rsidRPr="005F2A26">
        <w:rPr>
          <w:rFonts w:eastAsiaTheme="minorEastAsia" w:cs="Times New Roman"/>
          <w:szCs w:val="24"/>
          <w:lang w:val="en-US" w:eastAsia="zh-CN"/>
        </w:rPr>
        <w:t xml:space="preserve"> </w:t>
      </w:r>
      <w:r w:rsidR="0071635F" w:rsidRPr="005F2A26">
        <w:rPr>
          <w:rFonts w:eastAsiaTheme="minorEastAsia" w:cs="Times New Roman"/>
          <w:szCs w:val="24"/>
          <w:lang w:val="en-US" w:eastAsia="zh-CN"/>
        </w:rPr>
        <w:t>person-object</w:t>
      </w:r>
      <w:r w:rsidRPr="005F2A26">
        <w:rPr>
          <w:rFonts w:eastAsiaTheme="minorEastAsia" w:cs="Times New Roman"/>
          <w:szCs w:val="24"/>
          <w:lang w:val="en-US" w:eastAsia="zh-CN"/>
        </w:rPr>
        <w:t xml:space="preserve"> and</w:t>
      </w:r>
      <w:r w:rsidR="0071635F" w:rsidRPr="005F2A26">
        <w:rPr>
          <w:rFonts w:eastAsiaTheme="minorEastAsia" w:cs="Times New Roman"/>
          <w:szCs w:val="24"/>
          <w:lang w:val="en-US" w:eastAsia="zh-CN"/>
        </w:rPr>
        <w:t xml:space="preserve"> person-to-person interactions</w:t>
      </w:r>
      <w:r w:rsidR="003B6F16" w:rsidRPr="005F2A26">
        <w:rPr>
          <w:rFonts w:eastAsiaTheme="minorEastAsia" w:cs="Times New Roman"/>
          <w:szCs w:val="24"/>
          <w:lang w:val="en-US" w:eastAsia="zh-CN"/>
        </w:rPr>
        <w:t xml:space="preserve">, </w:t>
      </w:r>
      <w:r w:rsidR="00B83FA7" w:rsidRPr="005F2A26">
        <w:rPr>
          <w:rFonts w:eastAsiaTheme="minorEastAsia" w:cs="Times New Roman"/>
          <w:szCs w:val="24"/>
          <w:lang w:val="en-US" w:eastAsia="zh-CN"/>
        </w:rPr>
        <w:t>P2P</w:t>
      </w:r>
      <w:r w:rsidR="0071635F" w:rsidRPr="005F2A26">
        <w:rPr>
          <w:rFonts w:eastAsiaTheme="minorEastAsia" w:cs="Times New Roman"/>
          <w:szCs w:val="24"/>
          <w:lang w:val="en-US" w:eastAsia="zh-CN"/>
        </w:rPr>
        <w:t xml:space="preserve"> </w:t>
      </w:r>
      <w:r w:rsidR="003B6F16" w:rsidRPr="005F2A26">
        <w:rPr>
          <w:rFonts w:eastAsiaTheme="minorEastAsia" w:cs="Times New Roman"/>
          <w:szCs w:val="24"/>
          <w:lang w:val="en-US" w:eastAsia="zh-CN"/>
        </w:rPr>
        <w:t xml:space="preserve">socializing must be </w:t>
      </w:r>
      <w:r w:rsidR="0071635F" w:rsidRPr="005F2A26">
        <w:rPr>
          <w:rFonts w:eastAsiaTheme="minorEastAsia" w:cs="Times New Roman"/>
          <w:szCs w:val="24"/>
          <w:lang w:val="en-US" w:eastAsia="zh-CN"/>
        </w:rPr>
        <w:t>easy to achieve</w:t>
      </w:r>
      <w:r w:rsidR="007261AC">
        <w:rPr>
          <w:rFonts w:eastAsiaTheme="minorEastAsia" w:cs="Times New Roman"/>
          <w:szCs w:val="24"/>
          <w:lang w:val="en-US" w:eastAsia="zh-CN"/>
        </w:rPr>
        <w:t>,</w:t>
      </w:r>
      <w:r w:rsidR="0071635F" w:rsidRPr="005F2A26">
        <w:rPr>
          <w:rFonts w:eastAsiaTheme="minorEastAsia" w:cs="Times New Roman"/>
          <w:szCs w:val="24"/>
          <w:lang w:val="en-US" w:eastAsia="zh-CN"/>
        </w:rPr>
        <w:t xml:space="preserve"> and provide positive </w:t>
      </w:r>
      <w:r w:rsidR="007261AC">
        <w:rPr>
          <w:rFonts w:eastAsiaTheme="minorEastAsia" w:cs="Times New Roman"/>
          <w:szCs w:val="24"/>
          <w:lang w:val="en-US" w:eastAsia="zh-CN"/>
        </w:rPr>
        <w:t>user expe</w:t>
      </w:r>
      <w:r w:rsidR="0071635F" w:rsidRPr="005F2A26">
        <w:rPr>
          <w:rFonts w:eastAsiaTheme="minorEastAsia" w:cs="Times New Roman"/>
          <w:szCs w:val="24"/>
          <w:lang w:val="en-US" w:eastAsia="zh-CN"/>
        </w:rPr>
        <w:t>riences so a sense of collective identi</w:t>
      </w:r>
      <w:r w:rsidR="00D8266C" w:rsidRPr="005F2A26">
        <w:rPr>
          <w:rFonts w:eastAsiaTheme="minorEastAsia" w:cs="Times New Roman"/>
          <w:szCs w:val="24"/>
          <w:lang w:val="en-US" w:eastAsia="zh-CN"/>
        </w:rPr>
        <w:t>t</w:t>
      </w:r>
      <w:r w:rsidR="0071635F" w:rsidRPr="005F2A26">
        <w:rPr>
          <w:rFonts w:eastAsiaTheme="minorEastAsia" w:cs="Times New Roman"/>
          <w:szCs w:val="24"/>
          <w:lang w:val="en-US" w:eastAsia="zh-CN"/>
        </w:rPr>
        <w:t xml:space="preserve">y, </w:t>
      </w:r>
      <w:proofErr w:type="spellStart"/>
      <w:r w:rsidR="0071635F" w:rsidRPr="005F2A26">
        <w:rPr>
          <w:rFonts w:eastAsiaTheme="minorEastAsia" w:cs="Times New Roman"/>
          <w:szCs w:val="24"/>
          <w:lang w:val="en-US" w:eastAsia="zh-CN"/>
        </w:rPr>
        <w:t>effectance</w:t>
      </w:r>
      <w:proofErr w:type="spellEnd"/>
      <w:r w:rsidR="0071635F" w:rsidRPr="005F2A26">
        <w:rPr>
          <w:rFonts w:eastAsiaTheme="minorEastAsia" w:cs="Times New Roman"/>
          <w:szCs w:val="24"/>
          <w:lang w:val="en-US" w:eastAsia="zh-CN"/>
        </w:rPr>
        <w:t xml:space="preserve">, and belongingness </w:t>
      </w:r>
      <w:r w:rsidR="00E53BB6" w:rsidRPr="005F2A26">
        <w:rPr>
          <w:rFonts w:eastAsiaTheme="minorEastAsia" w:cs="Times New Roman"/>
          <w:szCs w:val="24"/>
          <w:lang w:val="en-US" w:eastAsia="zh-CN"/>
        </w:rPr>
        <w:t xml:space="preserve">can </w:t>
      </w:r>
      <w:r w:rsidR="0071635F" w:rsidRPr="005F2A26">
        <w:rPr>
          <w:rFonts w:eastAsiaTheme="minorEastAsia" w:cs="Times New Roman"/>
          <w:szCs w:val="24"/>
          <w:lang w:val="en-US" w:eastAsia="zh-CN"/>
        </w:rPr>
        <w:t>be stimulated</w:t>
      </w:r>
      <w:r w:rsidR="005853FB" w:rsidRPr="005F2A26">
        <w:rPr>
          <w:rFonts w:eastAsiaTheme="minorEastAsia" w:cs="Times New Roman"/>
          <w:szCs w:val="24"/>
          <w:lang w:val="en-US" w:eastAsia="zh-CN"/>
        </w:rPr>
        <w:t>.</w:t>
      </w:r>
      <w:r w:rsidR="003709CC" w:rsidRPr="005F2A26">
        <w:rPr>
          <w:rFonts w:eastAsiaTheme="minorEastAsia" w:cs="Times New Roman"/>
          <w:szCs w:val="24"/>
          <w:lang w:val="en-US" w:eastAsia="zh-CN"/>
        </w:rPr>
        <w:t xml:space="preserve"> This </w:t>
      </w:r>
      <w:r w:rsidR="00D8266C" w:rsidRPr="005F2A26">
        <w:rPr>
          <w:rFonts w:eastAsiaTheme="minorEastAsia" w:cs="Times New Roman"/>
          <w:szCs w:val="24"/>
          <w:lang w:val="en-US" w:eastAsia="zh-CN"/>
        </w:rPr>
        <w:t xml:space="preserve">approach is especially important where platform managers are trying to attract users with a strong sense of collectivism, e.g., community-oriented platforms </w:t>
      </w:r>
      <w:r w:rsidR="004A4783">
        <w:rPr>
          <w:rFonts w:eastAsiaTheme="minorEastAsia" w:cs="Times New Roman"/>
          <w:szCs w:val="24"/>
          <w:lang w:val="en-US" w:eastAsia="zh-CN"/>
        </w:rPr>
        <w:t>like</w:t>
      </w:r>
      <w:r w:rsidR="00D8266C" w:rsidRPr="005F2A26">
        <w:rPr>
          <w:rFonts w:eastAsiaTheme="minorEastAsia" w:cs="Times New Roman"/>
          <w:szCs w:val="24"/>
          <w:lang w:val="en-US" w:eastAsia="zh-CN"/>
        </w:rPr>
        <w:t xml:space="preserve"> toy libraries.</w:t>
      </w:r>
      <w:r w:rsidR="00B83FA7" w:rsidRPr="005F2A26">
        <w:rPr>
          <w:rFonts w:eastAsiaTheme="minorEastAsia" w:cs="Times New Roman"/>
          <w:szCs w:val="24"/>
          <w:lang w:val="en-US" w:eastAsia="zh-CN"/>
        </w:rPr>
        <w:t xml:space="preserve"> </w:t>
      </w:r>
      <w:r w:rsidR="0082322F">
        <w:rPr>
          <w:rFonts w:eastAsiaTheme="minorEastAsia" w:cs="Times New Roman"/>
          <w:szCs w:val="24"/>
          <w:lang w:val="en-US" w:eastAsia="zh-CN"/>
        </w:rPr>
        <w:t>However,</w:t>
      </w:r>
      <w:r w:rsidR="00B83FA7" w:rsidRPr="005F2A26">
        <w:rPr>
          <w:rFonts w:eastAsiaTheme="minorEastAsia" w:cs="Times New Roman"/>
          <w:szCs w:val="24"/>
          <w:lang w:val="en-US" w:eastAsia="zh-CN"/>
        </w:rPr>
        <w:t xml:space="preserve"> free communication</w:t>
      </w:r>
      <w:r w:rsidR="00D8266C" w:rsidRPr="005F2A26">
        <w:rPr>
          <w:rFonts w:eastAsiaTheme="minorEastAsia" w:cs="Times New Roman"/>
          <w:szCs w:val="24"/>
          <w:lang w:val="en-US" w:eastAsia="zh-CN"/>
        </w:rPr>
        <w:t xml:space="preserve"> </w:t>
      </w:r>
      <w:r w:rsidR="00B83FA7" w:rsidRPr="005F2A26">
        <w:rPr>
          <w:rFonts w:eastAsiaTheme="minorEastAsia" w:cs="Times New Roman"/>
          <w:szCs w:val="24"/>
          <w:lang w:val="en-US" w:eastAsia="zh-CN"/>
        </w:rPr>
        <w:t xml:space="preserve">is desirable </w:t>
      </w:r>
      <w:r w:rsidR="0035320A">
        <w:rPr>
          <w:rFonts w:eastAsiaTheme="minorEastAsia" w:cs="Times New Roman"/>
          <w:szCs w:val="24"/>
          <w:lang w:val="en-US" w:eastAsia="zh-CN"/>
        </w:rPr>
        <w:t xml:space="preserve">providing </w:t>
      </w:r>
      <w:r w:rsidR="00B83FA7" w:rsidRPr="005F2A26">
        <w:rPr>
          <w:rFonts w:eastAsiaTheme="minorEastAsia" w:cs="Times New Roman"/>
          <w:szCs w:val="24"/>
          <w:lang w:val="en-US" w:eastAsia="zh-CN"/>
        </w:rPr>
        <w:t xml:space="preserve">users can achieve a sense of shared control </w:t>
      </w:r>
      <w:r w:rsidR="00F65A38" w:rsidRPr="005F2A26">
        <w:rPr>
          <w:rFonts w:eastAsiaTheme="minorEastAsia" w:cs="Times New Roman"/>
          <w:szCs w:val="24"/>
          <w:lang w:val="en-US" w:eastAsia="zh-CN"/>
        </w:rPr>
        <w:t>and psychic safety</w:t>
      </w:r>
      <w:r w:rsidR="00D92A60">
        <w:rPr>
          <w:rFonts w:eastAsiaTheme="minorEastAsia" w:cs="Times New Roman"/>
          <w:szCs w:val="24"/>
          <w:lang w:val="en-US" w:eastAsia="zh-CN"/>
        </w:rPr>
        <w:t>, e.g.,</w:t>
      </w:r>
      <w:r w:rsidR="00F65A38" w:rsidRPr="005F2A26">
        <w:rPr>
          <w:rFonts w:eastAsiaTheme="minorEastAsia" w:cs="Times New Roman"/>
          <w:szCs w:val="24"/>
          <w:lang w:val="en-US" w:eastAsia="zh-CN"/>
        </w:rPr>
        <w:t xml:space="preserve"> </w:t>
      </w:r>
      <w:r w:rsidR="00B83FA7" w:rsidRPr="005F2A26">
        <w:rPr>
          <w:rFonts w:eastAsiaTheme="minorEastAsia" w:cs="Times New Roman"/>
          <w:szCs w:val="24"/>
          <w:lang w:val="en-US" w:eastAsia="zh-CN"/>
        </w:rPr>
        <w:t>through functions like abuse reporting.</w:t>
      </w:r>
      <w:r w:rsidR="000F0B87" w:rsidRPr="005F2A26">
        <w:rPr>
          <w:rFonts w:eastAsiaTheme="minorEastAsia" w:cs="Times New Roman"/>
          <w:szCs w:val="24"/>
          <w:lang w:val="en-US" w:eastAsia="zh-CN"/>
        </w:rPr>
        <w:t xml:space="preserve"> </w:t>
      </w:r>
      <w:r w:rsidR="0035320A">
        <w:rPr>
          <w:rFonts w:eastAsiaTheme="minorEastAsia" w:cs="Times New Roman"/>
          <w:szCs w:val="24"/>
          <w:lang w:val="en-US" w:eastAsia="zh-CN"/>
        </w:rPr>
        <w:t>G</w:t>
      </w:r>
      <w:r w:rsidR="000F0B87" w:rsidRPr="005F2A26">
        <w:rPr>
          <w:rFonts w:eastAsiaTheme="minorEastAsia" w:cs="Times New Roman"/>
          <w:szCs w:val="24"/>
          <w:lang w:val="en-US" w:eastAsia="zh-CN"/>
        </w:rPr>
        <w:t>amification involving earned access rights may assist here, while also generating an individual and shared sense of control</w:t>
      </w:r>
      <w:r w:rsidR="00F33C5D" w:rsidRPr="005F2A26">
        <w:rPr>
          <w:rFonts w:eastAsiaTheme="minorEastAsia" w:cs="Times New Roman"/>
          <w:szCs w:val="24"/>
          <w:lang w:val="en-US" w:eastAsia="zh-CN"/>
        </w:rPr>
        <w:t xml:space="preserve"> over the target.</w:t>
      </w:r>
    </w:p>
    <w:p w14:paraId="25EDC588" w14:textId="6CF8D224" w:rsidR="009166F8" w:rsidRPr="008F1934" w:rsidRDefault="009166F8" w:rsidP="00C93EC4">
      <w:pPr>
        <w:spacing w:after="0" w:line="480" w:lineRule="auto"/>
        <w:ind w:firstLine="720"/>
        <w:rPr>
          <w:rFonts w:eastAsiaTheme="minorEastAsia" w:cs="Times New Roman"/>
          <w:color w:val="FF0000"/>
          <w:szCs w:val="24"/>
          <w:lang w:val="en-US" w:eastAsia="zh-CN"/>
        </w:rPr>
      </w:pPr>
      <w:r w:rsidRPr="008F1934">
        <w:rPr>
          <w:rFonts w:eastAsiaTheme="minorEastAsia" w:cs="Times New Roman"/>
          <w:color w:val="FF0000"/>
          <w:szCs w:val="24"/>
          <w:lang w:val="en-US" w:eastAsia="zh-CN"/>
        </w:rPr>
        <w:t xml:space="preserve">Finally, </w:t>
      </w:r>
      <w:r w:rsidR="00261E9E" w:rsidRPr="008F1934">
        <w:rPr>
          <w:rFonts w:eastAsiaTheme="minorEastAsia" w:cs="Times New Roman"/>
          <w:color w:val="FF0000"/>
          <w:szCs w:val="24"/>
          <w:lang w:val="en-US" w:eastAsia="zh-CN"/>
        </w:rPr>
        <w:t xml:space="preserve">the PO-Engagement framework has implications for others in the SE. </w:t>
      </w:r>
      <w:r w:rsidR="009F7107">
        <w:rPr>
          <w:rFonts w:eastAsiaTheme="minorEastAsia" w:cs="Times New Roman"/>
          <w:color w:val="FF0000"/>
          <w:szCs w:val="24"/>
          <w:lang w:val="en-US" w:eastAsia="zh-CN"/>
        </w:rPr>
        <w:t>D</w:t>
      </w:r>
      <w:r w:rsidR="00835C1A">
        <w:rPr>
          <w:rFonts w:eastAsiaTheme="minorEastAsia" w:cs="Times New Roman"/>
          <w:color w:val="FF0000"/>
          <w:szCs w:val="24"/>
          <w:lang w:val="en-US" w:eastAsia="zh-CN"/>
        </w:rPr>
        <w:t xml:space="preserve">riving network effects and building </w:t>
      </w:r>
      <w:r w:rsidR="009F7107">
        <w:rPr>
          <w:rFonts w:eastAsiaTheme="minorEastAsia" w:cs="Times New Roman"/>
          <w:color w:val="FF0000"/>
          <w:szCs w:val="24"/>
          <w:lang w:val="en-US" w:eastAsia="zh-CN"/>
        </w:rPr>
        <w:t xml:space="preserve">a critical mass of users is one of the biggest challenges facing new platforms. </w:t>
      </w:r>
      <w:r w:rsidR="00CA471E">
        <w:rPr>
          <w:rFonts w:eastAsiaTheme="minorEastAsia" w:cs="Times New Roman"/>
          <w:color w:val="FF0000"/>
          <w:szCs w:val="24"/>
          <w:lang w:val="en-US" w:eastAsia="zh-CN"/>
        </w:rPr>
        <w:t xml:space="preserve">Entrepreneurs could use the PO-Engagement </w:t>
      </w:r>
      <w:r w:rsidR="00211B3B">
        <w:rPr>
          <w:rFonts w:eastAsiaTheme="minorEastAsia" w:cs="Times New Roman"/>
          <w:color w:val="FF0000"/>
          <w:szCs w:val="24"/>
          <w:lang w:val="en-US" w:eastAsia="zh-CN"/>
        </w:rPr>
        <w:t>F</w:t>
      </w:r>
      <w:r w:rsidR="00CA471E">
        <w:rPr>
          <w:rFonts w:eastAsiaTheme="minorEastAsia" w:cs="Times New Roman"/>
          <w:color w:val="FF0000"/>
          <w:szCs w:val="24"/>
          <w:lang w:val="en-US" w:eastAsia="zh-CN"/>
        </w:rPr>
        <w:t xml:space="preserve">ramework to </w:t>
      </w:r>
      <w:r w:rsidR="00174FAB">
        <w:rPr>
          <w:rFonts w:eastAsiaTheme="minorEastAsia" w:cs="Times New Roman"/>
          <w:color w:val="FF0000"/>
          <w:szCs w:val="24"/>
          <w:lang w:val="en-US" w:eastAsia="zh-CN"/>
        </w:rPr>
        <w:t>stimulate</w:t>
      </w:r>
      <w:r w:rsidR="00B41841">
        <w:rPr>
          <w:rFonts w:eastAsiaTheme="minorEastAsia" w:cs="Times New Roman"/>
          <w:color w:val="FF0000"/>
          <w:szCs w:val="24"/>
          <w:lang w:val="en-US" w:eastAsia="zh-CN"/>
        </w:rPr>
        <w:t xml:space="preserve"> these</w:t>
      </w:r>
      <w:r w:rsidR="00174FAB">
        <w:rPr>
          <w:rFonts w:eastAsiaTheme="minorEastAsia" w:cs="Times New Roman"/>
          <w:color w:val="FF0000"/>
          <w:szCs w:val="24"/>
          <w:lang w:val="en-US" w:eastAsia="zh-CN"/>
        </w:rPr>
        <w:t xml:space="preserve"> </w:t>
      </w:r>
      <w:r w:rsidR="00B41841">
        <w:rPr>
          <w:rFonts w:eastAsiaTheme="minorEastAsia" w:cs="Times New Roman"/>
          <w:color w:val="FF0000"/>
          <w:szCs w:val="24"/>
          <w:lang w:val="en-US" w:eastAsia="zh-CN"/>
        </w:rPr>
        <w:t xml:space="preserve">network effects, being equally mindful of </w:t>
      </w:r>
      <w:r w:rsidR="00EB4AB6">
        <w:rPr>
          <w:rFonts w:eastAsiaTheme="minorEastAsia" w:cs="Times New Roman"/>
          <w:color w:val="FF0000"/>
          <w:szCs w:val="24"/>
          <w:lang w:val="en-US" w:eastAsia="zh-CN"/>
        </w:rPr>
        <w:t>those who use services and those working in the gig economy</w:t>
      </w:r>
      <w:r w:rsidR="00B4701E">
        <w:rPr>
          <w:rFonts w:eastAsiaTheme="minorEastAsia" w:cs="Times New Roman"/>
          <w:color w:val="FF0000"/>
          <w:szCs w:val="24"/>
          <w:lang w:val="en-US" w:eastAsia="zh-CN"/>
        </w:rPr>
        <w:t xml:space="preserve"> who</w:t>
      </w:r>
      <w:r w:rsidR="00EB4AB6">
        <w:rPr>
          <w:rFonts w:eastAsiaTheme="minorEastAsia" w:cs="Times New Roman"/>
          <w:color w:val="FF0000"/>
          <w:szCs w:val="24"/>
          <w:lang w:val="en-US" w:eastAsia="zh-CN"/>
        </w:rPr>
        <w:t xml:space="preserve"> deliver services</w:t>
      </w:r>
      <w:r w:rsidR="00B41841">
        <w:rPr>
          <w:rFonts w:eastAsiaTheme="minorEastAsia" w:cs="Times New Roman"/>
          <w:color w:val="FF0000"/>
          <w:szCs w:val="24"/>
          <w:lang w:val="en-US" w:eastAsia="zh-CN"/>
        </w:rPr>
        <w:t>.</w:t>
      </w:r>
      <w:r w:rsidR="00CA471E">
        <w:rPr>
          <w:rFonts w:eastAsiaTheme="minorEastAsia" w:cs="Times New Roman"/>
          <w:color w:val="FF0000"/>
          <w:szCs w:val="24"/>
          <w:lang w:val="en-US" w:eastAsia="zh-CN"/>
        </w:rPr>
        <w:t xml:space="preserve"> </w:t>
      </w:r>
      <w:r w:rsidR="007D7BCE">
        <w:rPr>
          <w:rFonts w:eastAsiaTheme="minorEastAsia" w:cs="Times New Roman"/>
          <w:color w:val="FF0000"/>
          <w:szCs w:val="24"/>
          <w:lang w:val="en-US" w:eastAsia="zh-CN"/>
        </w:rPr>
        <w:t>G</w:t>
      </w:r>
      <w:r w:rsidR="00592ABD" w:rsidRPr="008F1934">
        <w:rPr>
          <w:rFonts w:eastAsiaTheme="minorEastAsia" w:cs="Times New Roman"/>
          <w:color w:val="FF0000"/>
          <w:szCs w:val="24"/>
          <w:lang w:val="en-US" w:eastAsia="zh-CN"/>
        </w:rPr>
        <w:t xml:space="preserve">ig economy </w:t>
      </w:r>
      <w:r w:rsidR="0070287B">
        <w:rPr>
          <w:rFonts w:eastAsiaTheme="minorEastAsia" w:cs="Times New Roman"/>
          <w:color w:val="FF0000"/>
          <w:szCs w:val="24"/>
          <w:lang w:val="en-US" w:eastAsia="zh-CN"/>
        </w:rPr>
        <w:t xml:space="preserve">workers </w:t>
      </w:r>
      <w:r w:rsidR="00460B2D" w:rsidRPr="008F1934">
        <w:rPr>
          <w:rFonts w:eastAsiaTheme="minorEastAsia" w:cs="Times New Roman"/>
          <w:color w:val="FF0000"/>
          <w:szCs w:val="24"/>
          <w:lang w:val="en-US" w:eastAsia="zh-CN"/>
        </w:rPr>
        <w:t xml:space="preserve">are advised to be mindful of how they curate themselves and their offering. In the same way </w:t>
      </w:r>
      <w:r w:rsidR="00B560E1" w:rsidRPr="008F1934">
        <w:rPr>
          <w:rFonts w:eastAsiaTheme="minorEastAsia" w:cs="Times New Roman"/>
          <w:color w:val="FF0000"/>
          <w:szCs w:val="24"/>
          <w:lang w:val="en-US" w:eastAsia="zh-CN"/>
        </w:rPr>
        <w:t>that platforms must be cognizant of responsive</w:t>
      </w:r>
      <w:r w:rsidR="007D7BCE">
        <w:rPr>
          <w:rFonts w:eastAsiaTheme="minorEastAsia" w:cs="Times New Roman"/>
          <w:color w:val="FF0000"/>
          <w:szCs w:val="24"/>
          <w:lang w:val="en-US" w:eastAsia="zh-CN"/>
        </w:rPr>
        <w:t>ness</w:t>
      </w:r>
      <w:r w:rsidR="00BF28CA" w:rsidRPr="008F1934">
        <w:rPr>
          <w:rFonts w:eastAsiaTheme="minorEastAsia" w:cs="Times New Roman"/>
          <w:color w:val="FF0000"/>
          <w:szCs w:val="24"/>
          <w:lang w:val="en-US" w:eastAsia="zh-CN"/>
        </w:rPr>
        <w:t xml:space="preserve"> and </w:t>
      </w:r>
      <w:r w:rsidR="00B4701E">
        <w:rPr>
          <w:rFonts w:eastAsiaTheme="minorEastAsia" w:cs="Times New Roman"/>
          <w:color w:val="FF0000"/>
          <w:szCs w:val="24"/>
          <w:lang w:val="en-US" w:eastAsia="zh-CN"/>
        </w:rPr>
        <w:t xml:space="preserve">ensure </w:t>
      </w:r>
      <w:r w:rsidR="007D7BCE">
        <w:rPr>
          <w:rFonts w:eastAsiaTheme="minorEastAsia" w:cs="Times New Roman"/>
          <w:color w:val="FF0000"/>
          <w:szCs w:val="24"/>
          <w:lang w:val="en-US" w:eastAsia="zh-CN"/>
        </w:rPr>
        <w:t>values</w:t>
      </w:r>
      <w:r w:rsidR="00BF28CA" w:rsidRPr="008F1934">
        <w:rPr>
          <w:rFonts w:eastAsiaTheme="minorEastAsia" w:cs="Times New Roman"/>
          <w:color w:val="FF0000"/>
          <w:szCs w:val="24"/>
          <w:lang w:val="en-US" w:eastAsia="zh-CN"/>
        </w:rPr>
        <w:t xml:space="preserve"> align</w:t>
      </w:r>
      <w:r w:rsidR="007D7BCE">
        <w:rPr>
          <w:rFonts w:eastAsiaTheme="minorEastAsia" w:cs="Times New Roman"/>
          <w:color w:val="FF0000"/>
          <w:szCs w:val="24"/>
          <w:lang w:val="en-US" w:eastAsia="zh-CN"/>
        </w:rPr>
        <w:t>ment</w:t>
      </w:r>
      <w:r w:rsidR="00984A31">
        <w:rPr>
          <w:rFonts w:eastAsiaTheme="minorEastAsia" w:cs="Times New Roman"/>
          <w:color w:val="FF0000"/>
          <w:szCs w:val="24"/>
          <w:lang w:val="en-US" w:eastAsia="zh-CN"/>
        </w:rPr>
        <w:t xml:space="preserve"> to stimulate iPO</w:t>
      </w:r>
      <w:r w:rsidR="00217B09" w:rsidRPr="008F1934">
        <w:rPr>
          <w:rFonts w:eastAsiaTheme="minorEastAsia" w:cs="Times New Roman"/>
          <w:color w:val="FF0000"/>
          <w:szCs w:val="24"/>
          <w:lang w:val="en-US" w:eastAsia="zh-CN"/>
        </w:rPr>
        <w:t xml:space="preserve">, </w:t>
      </w:r>
      <w:r w:rsidR="00887F71">
        <w:rPr>
          <w:rFonts w:eastAsiaTheme="minorEastAsia" w:cs="Times New Roman"/>
          <w:color w:val="FF0000"/>
          <w:szCs w:val="24"/>
          <w:lang w:val="en-US" w:eastAsia="zh-CN"/>
        </w:rPr>
        <w:t xml:space="preserve">workers </w:t>
      </w:r>
      <w:r w:rsidR="00217B09" w:rsidRPr="008F1934">
        <w:rPr>
          <w:rFonts w:eastAsiaTheme="minorEastAsia" w:cs="Times New Roman"/>
          <w:color w:val="FF0000"/>
          <w:szCs w:val="24"/>
          <w:lang w:val="en-US" w:eastAsia="zh-CN"/>
        </w:rPr>
        <w:t xml:space="preserve">must </w:t>
      </w:r>
      <w:r w:rsidR="007D7BCE">
        <w:rPr>
          <w:rFonts w:eastAsiaTheme="minorEastAsia" w:cs="Times New Roman"/>
          <w:color w:val="FF0000"/>
          <w:szCs w:val="24"/>
          <w:lang w:val="en-US" w:eastAsia="zh-CN"/>
        </w:rPr>
        <w:t xml:space="preserve">target repeat users </w:t>
      </w:r>
      <w:r w:rsidR="003928AC">
        <w:rPr>
          <w:rFonts w:eastAsiaTheme="minorEastAsia" w:cs="Times New Roman"/>
          <w:color w:val="FF0000"/>
          <w:szCs w:val="24"/>
          <w:lang w:val="en-US" w:eastAsia="zh-CN"/>
        </w:rPr>
        <w:t xml:space="preserve">in the same way within the </w:t>
      </w:r>
      <w:r w:rsidR="00217B09" w:rsidRPr="008F1934">
        <w:rPr>
          <w:rFonts w:eastAsiaTheme="minorEastAsia" w:cs="Times New Roman"/>
          <w:color w:val="FF0000"/>
          <w:szCs w:val="24"/>
          <w:lang w:val="en-US" w:eastAsia="zh-CN"/>
        </w:rPr>
        <w:t xml:space="preserve">confines of their </w:t>
      </w:r>
      <w:r w:rsidR="00F60DBB">
        <w:rPr>
          <w:rFonts w:eastAsiaTheme="minorEastAsia" w:cs="Times New Roman"/>
          <w:color w:val="FF0000"/>
          <w:szCs w:val="24"/>
          <w:lang w:val="en-US" w:eastAsia="zh-CN"/>
        </w:rPr>
        <w:t xml:space="preserve">curated </w:t>
      </w:r>
      <w:r w:rsidR="00217B09" w:rsidRPr="008F1934">
        <w:rPr>
          <w:rFonts w:eastAsiaTheme="minorEastAsia" w:cs="Times New Roman"/>
          <w:color w:val="FF0000"/>
          <w:szCs w:val="24"/>
          <w:lang w:val="en-US" w:eastAsia="zh-CN"/>
        </w:rPr>
        <w:t>listing and profile</w:t>
      </w:r>
      <w:r w:rsidR="000713FE">
        <w:rPr>
          <w:rFonts w:eastAsiaTheme="minorEastAsia" w:cs="Times New Roman"/>
          <w:color w:val="FF0000"/>
          <w:szCs w:val="24"/>
          <w:lang w:val="en-US" w:eastAsia="zh-CN"/>
        </w:rPr>
        <w:t>.</w:t>
      </w:r>
    </w:p>
    <w:p w14:paraId="6DCC3034" w14:textId="77777777" w:rsidR="00595352" w:rsidRPr="005F2A26" w:rsidRDefault="00595352" w:rsidP="00C93EC4">
      <w:pPr>
        <w:spacing w:after="0" w:line="480" w:lineRule="auto"/>
        <w:ind w:firstLine="720"/>
        <w:rPr>
          <w:b/>
          <w:highlight w:val="yellow"/>
          <w:lang w:val="en-US"/>
        </w:rPr>
      </w:pPr>
    </w:p>
    <w:p w14:paraId="622CBD6C" w14:textId="21B39C36" w:rsidR="00C44216" w:rsidRPr="00A46995" w:rsidRDefault="00D01183" w:rsidP="00C93EC4">
      <w:pPr>
        <w:keepNext/>
        <w:spacing w:after="0" w:line="480" w:lineRule="auto"/>
        <w:rPr>
          <w:bCs/>
          <w:i/>
          <w:iCs/>
          <w:color w:val="FF0000"/>
          <w:lang w:val="en-US"/>
        </w:rPr>
      </w:pPr>
      <w:r w:rsidRPr="00A46995">
        <w:rPr>
          <w:bCs/>
          <w:i/>
          <w:iCs/>
          <w:color w:val="FF0000"/>
          <w:lang w:val="en-US"/>
        </w:rPr>
        <w:t xml:space="preserve">Suggestions </w:t>
      </w:r>
      <w:r w:rsidR="00C44216" w:rsidRPr="00A46995">
        <w:rPr>
          <w:bCs/>
          <w:i/>
          <w:iCs/>
          <w:color w:val="FF0000"/>
          <w:lang w:val="en-US"/>
        </w:rPr>
        <w:t>for future research</w:t>
      </w:r>
    </w:p>
    <w:p w14:paraId="31F0A333" w14:textId="5EFECCAB" w:rsidR="00043B58" w:rsidRPr="00A46995" w:rsidRDefault="00D8266C" w:rsidP="00C93EC4">
      <w:pPr>
        <w:spacing w:after="0" w:line="480" w:lineRule="auto"/>
        <w:rPr>
          <w:color w:val="FF0000"/>
          <w:lang w:val="en-US"/>
        </w:rPr>
      </w:pPr>
      <w:r w:rsidRPr="00A46995">
        <w:rPr>
          <w:color w:val="FF0000"/>
          <w:lang w:val="en-US"/>
        </w:rPr>
        <w:t xml:space="preserve">Finally, we conclude with </w:t>
      </w:r>
      <w:r w:rsidR="00495B30" w:rsidRPr="00A46995">
        <w:rPr>
          <w:color w:val="FF0000"/>
          <w:lang w:val="en-US"/>
        </w:rPr>
        <w:t>a</w:t>
      </w:r>
      <w:r w:rsidR="005B7C88" w:rsidRPr="00A46995">
        <w:rPr>
          <w:color w:val="FF0000"/>
          <w:lang w:val="en-US"/>
        </w:rPr>
        <w:t xml:space="preserve">n extensive </w:t>
      </w:r>
      <w:r w:rsidR="00495B30" w:rsidRPr="00A46995">
        <w:rPr>
          <w:color w:val="FF0000"/>
          <w:lang w:val="en-US"/>
        </w:rPr>
        <w:t xml:space="preserve">set of </w:t>
      </w:r>
      <w:r w:rsidRPr="00A46995">
        <w:rPr>
          <w:color w:val="FF0000"/>
          <w:lang w:val="en-US"/>
        </w:rPr>
        <w:t xml:space="preserve">suggestions for future </w:t>
      </w:r>
      <w:r w:rsidR="00322480" w:rsidRPr="00A46995">
        <w:rPr>
          <w:color w:val="FF0000"/>
          <w:lang w:val="en-US"/>
        </w:rPr>
        <w:t xml:space="preserve">PO-Engagement </w:t>
      </w:r>
      <w:r w:rsidRPr="00A46995">
        <w:rPr>
          <w:color w:val="FF0000"/>
          <w:lang w:val="en-US"/>
        </w:rPr>
        <w:t>research</w:t>
      </w:r>
      <w:r w:rsidR="00223877" w:rsidRPr="00A46995">
        <w:rPr>
          <w:color w:val="FF0000"/>
          <w:lang w:val="en-US"/>
        </w:rPr>
        <w:t xml:space="preserve"> (</w:t>
      </w:r>
      <w:r w:rsidR="00BF66AB" w:rsidRPr="00A46995">
        <w:rPr>
          <w:color w:val="FF0000"/>
          <w:lang w:val="en-US"/>
        </w:rPr>
        <w:t>Table 1</w:t>
      </w:r>
      <w:r w:rsidR="00223877" w:rsidRPr="00A46995">
        <w:rPr>
          <w:color w:val="FF0000"/>
          <w:lang w:val="en-US"/>
        </w:rPr>
        <w:t xml:space="preserve">) that </w:t>
      </w:r>
      <w:r w:rsidR="001F5DAC" w:rsidRPr="00A46995">
        <w:rPr>
          <w:color w:val="FF0000"/>
          <w:lang w:val="en-US"/>
        </w:rPr>
        <w:t xml:space="preserve">we </w:t>
      </w:r>
      <w:r w:rsidR="00E72EA7" w:rsidRPr="00A46995">
        <w:rPr>
          <w:color w:val="FF0000"/>
          <w:lang w:val="en-US"/>
        </w:rPr>
        <w:t>assert</w:t>
      </w:r>
      <w:r w:rsidR="001F5DAC" w:rsidRPr="00A46995">
        <w:rPr>
          <w:color w:val="FF0000"/>
          <w:lang w:val="en-US"/>
        </w:rPr>
        <w:t xml:space="preserve"> </w:t>
      </w:r>
      <w:r w:rsidR="00BF66AB" w:rsidRPr="00A46995">
        <w:rPr>
          <w:color w:val="FF0000"/>
          <w:lang w:val="en-US"/>
        </w:rPr>
        <w:t xml:space="preserve">offers </w:t>
      </w:r>
      <w:r w:rsidR="00495B30" w:rsidRPr="00A46995">
        <w:rPr>
          <w:color w:val="FF0000"/>
          <w:lang w:val="en-US"/>
        </w:rPr>
        <w:t>fruitful</w:t>
      </w:r>
      <w:r w:rsidR="00BF66AB" w:rsidRPr="00A46995">
        <w:rPr>
          <w:color w:val="FF0000"/>
          <w:lang w:val="en-US"/>
        </w:rPr>
        <w:t xml:space="preserve"> avenues for scholars. </w:t>
      </w:r>
      <w:r w:rsidR="002C296B" w:rsidRPr="00A46995">
        <w:rPr>
          <w:color w:val="FF0000"/>
          <w:lang w:val="en-US"/>
        </w:rPr>
        <w:t>A</w:t>
      </w:r>
      <w:r w:rsidR="00223877" w:rsidRPr="00A46995">
        <w:rPr>
          <w:color w:val="FF0000"/>
          <w:lang w:val="en-US"/>
        </w:rPr>
        <w:t xml:space="preserve">s </w:t>
      </w:r>
      <w:r w:rsidR="00322480" w:rsidRPr="00A46995">
        <w:rPr>
          <w:color w:val="FF0000"/>
          <w:lang w:val="en-US"/>
        </w:rPr>
        <w:t>this paper is conceptual,</w:t>
      </w:r>
      <w:r w:rsidRPr="00A46995">
        <w:rPr>
          <w:color w:val="FF0000"/>
          <w:lang w:val="en-US"/>
        </w:rPr>
        <w:t xml:space="preserve"> empirical research</w:t>
      </w:r>
      <w:r w:rsidR="00223877" w:rsidRPr="00A46995">
        <w:rPr>
          <w:color w:val="FF0000"/>
          <w:lang w:val="en-US"/>
        </w:rPr>
        <w:t xml:space="preserve"> is needed</w:t>
      </w:r>
      <w:r w:rsidRPr="00A46995">
        <w:rPr>
          <w:color w:val="FF0000"/>
          <w:lang w:val="en-US"/>
        </w:rPr>
        <w:t xml:space="preserve"> </w:t>
      </w:r>
      <w:r w:rsidR="00F47C4A" w:rsidRPr="00A46995">
        <w:rPr>
          <w:color w:val="FF0000"/>
          <w:lang w:val="en-US"/>
        </w:rPr>
        <w:t>to</w:t>
      </w:r>
      <w:r w:rsidRPr="00A46995">
        <w:rPr>
          <w:color w:val="FF0000"/>
          <w:lang w:val="en-US"/>
        </w:rPr>
        <w:t xml:space="preserve"> validate, extend,</w:t>
      </w:r>
      <w:r w:rsidR="00223877" w:rsidRPr="00A46995">
        <w:rPr>
          <w:color w:val="FF0000"/>
          <w:lang w:val="en-US"/>
        </w:rPr>
        <w:t xml:space="preserve"> and re-contextualize</w:t>
      </w:r>
      <w:r w:rsidRPr="00A46995">
        <w:rPr>
          <w:color w:val="FF0000"/>
          <w:lang w:val="en-US"/>
        </w:rPr>
        <w:t xml:space="preserve"> </w:t>
      </w:r>
      <w:r w:rsidR="00223877" w:rsidRPr="00A46995">
        <w:rPr>
          <w:color w:val="FF0000"/>
          <w:lang w:val="en-US"/>
        </w:rPr>
        <w:t>the</w:t>
      </w:r>
      <w:r w:rsidRPr="00A46995">
        <w:rPr>
          <w:color w:val="FF0000"/>
          <w:lang w:val="en-US"/>
        </w:rPr>
        <w:t xml:space="preserve"> </w:t>
      </w:r>
      <w:r w:rsidR="00F47C4A" w:rsidRPr="00A46995">
        <w:rPr>
          <w:color w:val="FF0000"/>
          <w:lang w:val="en-US"/>
        </w:rPr>
        <w:t xml:space="preserve">PO-Engagement </w:t>
      </w:r>
      <w:r w:rsidR="00C672BB" w:rsidRPr="00A46995">
        <w:rPr>
          <w:color w:val="FF0000"/>
          <w:lang w:val="en-US"/>
        </w:rPr>
        <w:t>F</w:t>
      </w:r>
      <w:r w:rsidR="0065202E" w:rsidRPr="00A46995">
        <w:rPr>
          <w:color w:val="FF0000"/>
          <w:lang w:val="en-US"/>
        </w:rPr>
        <w:t>ramework</w:t>
      </w:r>
      <w:r w:rsidRPr="00A46995">
        <w:rPr>
          <w:color w:val="FF0000"/>
          <w:lang w:val="en-US"/>
        </w:rPr>
        <w:t xml:space="preserve">. </w:t>
      </w:r>
      <w:r w:rsidR="00223877" w:rsidRPr="00A46995">
        <w:rPr>
          <w:color w:val="FF0000"/>
          <w:lang w:val="en-US"/>
        </w:rPr>
        <w:t xml:space="preserve">We present a suggested future research agenda in six broad </w:t>
      </w:r>
      <w:r w:rsidR="00E72EA7" w:rsidRPr="00A46995">
        <w:rPr>
          <w:color w:val="FF0000"/>
          <w:lang w:val="en-US"/>
        </w:rPr>
        <w:t>areas</w:t>
      </w:r>
      <w:r w:rsidR="00223877" w:rsidRPr="00A46995">
        <w:rPr>
          <w:color w:val="FF0000"/>
          <w:lang w:val="en-US"/>
        </w:rPr>
        <w:t xml:space="preserve"> and provide </w:t>
      </w:r>
      <w:r w:rsidR="001F5DAC" w:rsidRPr="00A46995">
        <w:rPr>
          <w:color w:val="FF0000"/>
          <w:lang w:val="en-US"/>
        </w:rPr>
        <w:t>numerous</w:t>
      </w:r>
      <w:r w:rsidR="00223877" w:rsidRPr="00A46995">
        <w:rPr>
          <w:color w:val="FF0000"/>
          <w:lang w:val="en-US"/>
        </w:rPr>
        <w:t xml:space="preserve"> potential research questions.</w:t>
      </w:r>
      <w:r w:rsidR="00D40C77" w:rsidRPr="00A46995">
        <w:rPr>
          <w:color w:val="FF0000"/>
          <w:lang w:val="en-US"/>
        </w:rPr>
        <w:t xml:space="preserve"> </w:t>
      </w:r>
      <w:r w:rsidR="003D7D9E" w:rsidRPr="00A46995">
        <w:rPr>
          <w:color w:val="FF0000"/>
          <w:lang w:val="en-US"/>
        </w:rPr>
        <w:t xml:space="preserve">These broad areas reach beyond the SE to include </w:t>
      </w:r>
      <w:r w:rsidR="00043B58" w:rsidRPr="00A46995">
        <w:rPr>
          <w:color w:val="FF0000"/>
          <w:lang w:val="en-US"/>
        </w:rPr>
        <w:t>both other online contexts (e.g., brand communities</w:t>
      </w:r>
      <w:r w:rsidR="005A0D3A">
        <w:rPr>
          <w:color w:val="FF0000"/>
          <w:lang w:val="en-US"/>
        </w:rPr>
        <w:t>,</w:t>
      </w:r>
      <w:r w:rsidR="00043B58" w:rsidRPr="00A46995">
        <w:rPr>
          <w:color w:val="FF0000"/>
          <w:lang w:val="en-US"/>
        </w:rPr>
        <w:t xml:space="preserve"> e-commerce sites) and offline contexts. </w:t>
      </w:r>
    </w:p>
    <w:p w14:paraId="5DEEF2A8" w14:textId="35C850F8" w:rsidR="00A84DE9" w:rsidRPr="00A46995" w:rsidRDefault="00D40C77" w:rsidP="00043B58">
      <w:pPr>
        <w:spacing w:after="0" w:line="480" w:lineRule="auto"/>
        <w:ind w:firstLine="720"/>
        <w:rPr>
          <w:color w:val="FF0000"/>
          <w:lang w:val="en-US"/>
        </w:rPr>
      </w:pPr>
      <w:r w:rsidRPr="00A46995">
        <w:rPr>
          <w:color w:val="FF0000"/>
          <w:lang w:val="en-US"/>
        </w:rPr>
        <w:lastRenderedPageBreak/>
        <w:t xml:space="preserve">First, </w:t>
      </w:r>
      <w:r w:rsidR="00043B58" w:rsidRPr="00A46995">
        <w:rPr>
          <w:color w:val="FF0000"/>
          <w:lang w:val="en-US"/>
        </w:rPr>
        <w:t>online platform</w:t>
      </w:r>
      <w:r w:rsidRPr="00A46995">
        <w:rPr>
          <w:color w:val="FF0000"/>
          <w:lang w:val="en-US"/>
        </w:rPr>
        <w:t xml:space="preserve"> user characteristics</w:t>
      </w:r>
      <w:r w:rsidR="00F33C3A" w:rsidRPr="00A46995">
        <w:rPr>
          <w:color w:val="FF0000"/>
          <w:lang w:val="en-US"/>
        </w:rPr>
        <w:t xml:space="preserve"> offer compelling research opportunities including the traits, demographic and cultural elements, emotional state, and phenomenological interpretations of ownership and/or value that influence PO-Engagement development. </w:t>
      </w:r>
      <w:r w:rsidR="00882A49" w:rsidRPr="00A46995">
        <w:rPr>
          <w:color w:val="FF0000"/>
          <w:lang w:val="en-US"/>
        </w:rPr>
        <w:t>The role of emotions and cultural differences (e.g., collectivist versus individualistic societies) would be especially interesting to explore.</w:t>
      </w:r>
      <w:r w:rsidR="008A6D16">
        <w:rPr>
          <w:color w:val="FF0000"/>
          <w:lang w:val="en-US"/>
        </w:rPr>
        <w:t xml:space="preserve"> These </w:t>
      </w:r>
      <w:r w:rsidR="004D317F">
        <w:rPr>
          <w:color w:val="FF0000"/>
          <w:lang w:val="en-US"/>
        </w:rPr>
        <w:t xml:space="preserve">areas </w:t>
      </w:r>
      <w:r w:rsidR="00913EF3">
        <w:rPr>
          <w:color w:val="FF0000"/>
          <w:lang w:val="en-US"/>
        </w:rPr>
        <w:t xml:space="preserve">of enquiry </w:t>
      </w:r>
      <w:r w:rsidR="004D317F">
        <w:rPr>
          <w:color w:val="FF0000"/>
          <w:lang w:val="en-US"/>
        </w:rPr>
        <w:t>apply equally to those working in the gig economy as those using services.</w:t>
      </w:r>
      <w:r w:rsidR="00882A49" w:rsidRPr="00A46995">
        <w:rPr>
          <w:color w:val="FF0000"/>
          <w:lang w:val="en-US"/>
        </w:rPr>
        <w:t xml:space="preserve"> </w:t>
      </w:r>
      <w:r w:rsidR="006E2DD6" w:rsidRPr="00A46995">
        <w:rPr>
          <w:color w:val="FF0000"/>
          <w:lang w:val="en-US"/>
        </w:rPr>
        <w:t xml:space="preserve">Additionally, </w:t>
      </w:r>
      <w:r w:rsidR="00A7258C" w:rsidRPr="00A46995">
        <w:rPr>
          <w:color w:val="FF0000"/>
          <w:lang w:val="en-US"/>
        </w:rPr>
        <w:t xml:space="preserve">do online ‘lurkers’ not develop PO, </w:t>
      </w:r>
      <w:r w:rsidR="00EF2C66" w:rsidRPr="00A46995">
        <w:rPr>
          <w:color w:val="FF0000"/>
          <w:lang w:val="en-US"/>
        </w:rPr>
        <w:t xml:space="preserve">and </w:t>
      </w:r>
      <w:r w:rsidR="004A1BCC">
        <w:rPr>
          <w:color w:val="FF0000"/>
          <w:lang w:val="en-US"/>
        </w:rPr>
        <w:t>if not, why not</w:t>
      </w:r>
      <w:r w:rsidR="00743C03" w:rsidRPr="00A46995">
        <w:rPr>
          <w:color w:val="FF0000"/>
          <w:lang w:val="en-US"/>
        </w:rPr>
        <w:t>?</w:t>
      </w:r>
      <w:r w:rsidR="00A84DE9" w:rsidRPr="00A46995">
        <w:rPr>
          <w:color w:val="FF0000"/>
          <w:lang w:val="en-US"/>
        </w:rPr>
        <w:t xml:space="preserve"> </w:t>
      </w:r>
    </w:p>
    <w:p w14:paraId="3076900A" w14:textId="25D41377" w:rsidR="00223877" w:rsidRPr="00A46995" w:rsidRDefault="00D40C77" w:rsidP="00043B58">
      <w:pPr>
        <w:spacing w:after="0" w:line="480" w:lineRule="auto"/>
        <w:ind w:firstLine="720"/>
        <w:rPr>
          <w:color w:val="FF0000"/>
          <w:lang w:val="en-US"/>
        </w:rPr>
      </w:pPr>
      <w:r w:rsidRPr="00A46995">
        <w:rPr>
          <w:color w:val="FF0000"/>
          <w:lang w:val="en-US"/>
        </w:rPr>
        <w:t xml:space="preserve">Second, the characteristics of the platforms themselves </w:t>
      </w:r>
      <w:r w:rsidR="00F33C3A" w:rsidRPr="00A46995">
        <w:rPr>
          <w:color w:val="FF0000"/>
          <w:lang w:val="en-US"/>
        </w:rPr>
        <w:t>need</w:t>
      </w:r>
      <w:r w:rsidRPr="00A46995">
        <w:rPr>
          <w:color w:val="FF0000"/>
          <w:lang w:val="en-US"/>
        </w:rPr>
        <w:t xml:space="preserve"> attention, especially regarding target attributes </w:t>
      </w:r>
      <w:r w:rsidR="007229B3" w:rsidRPr="00A46995">
        <w:rPr>
          <w:color w:val="FF0000"/>
          <w:lang w:val="en-US"/>
        </w:rPr>
        <w:t xml:space="preserve">and platform functionality </w:t>
      </w:r>
      <w:r w:rsidRPr="00A46995">
        <w:rPr>
          <w:color w:val="FF0000"/>
          <w:lang w:val="en-US"/>
        </w:rPr>
        <w:t>that enhance or drive PO-Engagement. For example, interesting avenues include what</w:t>
      </w:r>
      <w:r w:rsidR="00743C03" w:rsidRPr="00A46995">
        <w:rPr>
          <w:color w:val="FF0000"/>
          <w:lang w:val="en-US"/>
        </w:rPr>
        <w:t xml:space="preserve"> technological functions act as targets</w:t>
      </w:r>
      <w:r w:rsidR="00D37C10" w:rsidRPr="00A46995">
        <w:rPr>
          <w:color w:val="FF0000"/>
          <w:lang w:val="en-US"/>
        </w:rPr>
        <w:t xml:space="preserve"> for individual versus collective PO</w:t>
      </w:r>
      <w:r w:rsidR="00BB3894">
        <w:rPr>
          <w:color w:val="FF0000"/>
          <w:lang w:val="en-US"/>
        </w:rPr>
        <w:t xml:space="preserve"> on platforms or</w:t>
      </w:r>
      <w:r w:rsidR="00650271" w:rsidRPr="00A46995">
        <w:rPr>
          <w:color w:val="FF0000"/>
          <w:lang w:val="en-US"/>
        </w:rPr>
        <w:t xml:space="preserve"> in e-commerce, and what</w:t>
      </w:r>
      <w:r w:rsidRPr="00A46995">
        <w:rPr>
          <w:color w:val="FF0000"/>
          <w:lang w:val="en-US"/>
        </w:rPr>
        <w:t xml:space="preserve"> attributes might prevent ‘lurking,’ switching, or disengagement by online users? </w:t>
      </w:r>
      <w:r w:rsidR="00810A35">
        <w:rPr>
          <w:color w:val="FF0000"/>
          <w:lang w:val="en-US"/>
        </w:rPr>
        <w:t xml:space="preserve">How can user journey maps </w:t>
      </w:r>
      <w:r w:rsidR="00BC7676">
        <w:rPr>
          <w:color w:val="FF0000"/>
          <w:lang w:val="en-US"/>
        </w:rPr>
        <w:t xml:space="preserve">be created to </w:t>
      </w:r>
      <w:r w:rsidR="00920A22">
        <w:rPr>
          <w:color w:val="FF0000"/>
          <w:lang w:val="en-US"/>
        </w:rPr>
        <w:t>understand</w:t>
      </w:r>
      <w:r w:rsidR="00BC7676">
        <w:rPr>
          <w:color w:val="FF0000"/>
          <w:lang w:val="en-US"/>
        </w:rPr>
        <w:t xml:space="preserve"> the</w:t>
      </w:r>
      <w:r w:rsidR="00920A22">
        <w:rPr>
          <w:color w:val="FF0000"/>
          <w:lang w:val="en-US"/>
        </w:rPr>
        <w:t xml:space="preserve"> </w:t>
      </w:r>
      <w:r w:rsidR="0085104B">
        <w:rPr>
          <w:color w:val="FF0000"/>
          <w:lang w:val="en-US"/>
        </w:rPr>
        <w:t>PO-Engagement process</w:t>
      </w:r>
      <w:r w:rsidR="00BC7676">
        <w:rPr>
          <w:color w:val="FF0000"/>
          <w:lang w:val="en-US"/>
        </w:rPr>
        <w:t xml:space="preserve">? </w:t>
      </w:r>
      <w:r w:rsidR="001F5B66" w:rsidRPr="00A46995">
        <w:rPr>
          <w:color w:val="FF0000"/>
          <w:lang w:val="en-US"/>
        </w:rPr>
        <w:t>Importantly,</w:t>
      </w:r>
      <w:r w:rsidR="00BC7676">
        <w:rPr>
          <w:color w:val="FF0000"/>
          <w:lang w:val="en-US"/>
        </w:rPr>
        <w:t xml:space="preserve"> </w:t>
      </w:r>
      <w:r w:rsidR="001F5B66" w:rsidRPr="00A46995">
        <w:rPr>
          <w:color w:val="FF0000"/>
          <w:lang w:val="en-US"/>
        </w:rPr>
        <w:t xml:space="preserve">does ownership or geographical scope impact the development of PO-Engagement? For example, is a site that is considered local more likely to engender PO, </w:t>
      </w:r>
      <w:r w:rsidR="00DD3992">
        <w:rPr>
          <w:color w:val="FF0000"/>
          <w:lang w:val="en-US"/>
        </w:rPr>
        <w:t>or</w:t>
      </w:r>
      <w:r w:rsidR="001F5B66" w:rsidRPr="00A46995">
        <w:rPr>
          <w:color w:val="FF0000"/>
          <w:lang w:val="en-US"/>
        </w:rPr>
        <w:t xml:space="preserve"> </w:t>
      </w:r>
      <w:r w:rsidR="00DD3992">
        <w:rPr>
          <w:color w:val="FF0000"/>
          <w:lang w:val="en-US"/>
        </w:rPr>
        <w:t>is</w:t>
      </w:r>
      <w:r w:rsidR="001F5B66" w:rsidRPr="00A46995">
        <w:rPr>
          <w:color w:val="FF0000"/>
          <w:lang w:val="en-US"/>
        </w:rPr>
        <w:t xml:space="preserve"> global brand </w:t>
      </w:r>
      <w:r w:rsidR="00CC4374">
        <w:rPr>
          <w:color w:val="FF0000"/>
          <w:lang w:val="en-US"/>
        </w:rPr>
        <w:t xml:space="preserve">ownership (e.g., </w:t>
      </w:r>
      <w:r w:rsidR="001F5B66" w:rsidRPr="00A46995">
        <w:rPr>
          <w:color w:val="FF0000"/>
          <w:lang w:val="en-US"/>
        </w:rPr>
        <w:t>Amazon or Google</w:t>
      </w:r>
      <w:r w:rsidR="00CC4374">
        <w:rPr>
          <w:color w:val="FF0000"/>
          <w:lang w:val="en-US"/>
        </w:rPr>
        <w:t>)</w:t>
      </w:r>
      <w:r w:rsidR="001F5B66" w:rsidRPr="00A46995">
        <w:rPr>
          <w:color w:val="FF0000"/>
          <w:lang w:val="en-US"/>
        </w:rPr>
        <w:t xml:space="preserve"> </w:t>
      </w:r>
      <w:r w:rsidR="00D42216" w:rsidRPr="00A46995">
        <w:rPr>
          <w:color w:val="FF0000"/>
          <w:lang w:val="en-US"/>
        </w:rPr>
        <w:t xml:space="preserve">more or less likely to </w:t>
      </w:r>
      <w:r w:rsidR="00DD3992">
        <w:rPr>
          <w:color w:val="FF0000"/>
          <w:lang w:val="en-US"/>
        </w:rPr>
        <w:t>stimulate</w:t>
      </w:r>
      <w:r w:rsidR="00D42216" w:rsidRPr="00A46995">
        <w:rPr>
          <w:color w:val="FF0000"/>
          <w:lang w:val="en-US"/>
        </w:rPr>
        <w:t xml:space="preserve"> PO-Engagement?</w:t>
      </w:r>
    </w:p>
    <w:p w14:paraId="78C47AAC" w14:textId="77777777" w:rsidR="00FE690D" w:rsidRDefault="00F33C3A" w:rsidP="00DD6A40">
      <w:pPr>
        <w:spacing w:after="0" w:line="480" w:lineRule="auto"/>
        <w:ind w:firstLine="720"/>
        <w:rPr>
          <w:color w:val="FF0000"/>
          <w:lang w:val="en-US"/>
        </w:rPr>
      </w:pPr>
      <w:r w:rsidRPr="00A46995">
        <w:rPr>
          <w:color w:val="FF0000"/>
          <w:lang w:val="en-US"/>
        </w:rPr>
        <w:t>Third,</w:t>
      </w:r>
      <w:r w:rsidR="00AB53E6">
        <w:rPr>
          <w:color w:val="FF0000"/>
          <w:lang w:val="en-US"/>
        </w:rPr>
        <w:t xml:space="preserve"> </w:t>
      </w:r>
      <w:r w:rsidRPr="00A46995">
        <w:rPr>
          <w:color w:val="FF0000"/>
          <w:lang w:val="en-US"/>
        </w:rPr>
        <w:t>research is needed into the process of PO-Engagement development, such as use patterns, time</w:t>
      </w:r>
      <w:r w:rsidR="00157035" w:rsidRPr="00A46995">
        <w:rPr>
          <w:color w:val="FF0000"/>
          <w:lang w:val="en-US"/>
        </w:rPr>
        <w:t>,</w:t>
      </w:r>
      <w:r w:rsidRPr="00A46995">
        <w:rPr>
          <w:color w:val="FF0000"/>
          <w:lang w:val="en-US"/>
        </w:rPr>
        <w:t xml:space="preserve"> and place dimensions</w:t>
      </w:r>
      <w:r w:rsidR="001919A0" w:rsidRPr="00A46995">
        <w:rPr>
          <w:color w:val="FF0000"/>
          <w:lang w:val="en-US"/>
        </w:rPr>
        <w:t>. Conversely, is there such a thing as dissociative PO-Engagement where a platform is “</w:t>
      </w:r>
      <w:r w:rsidR="00BA49E5" w:rsidRPr="00A46995">
        <w:rPr>
          <w:color w:val="FF0000"/>
          <w:lang w:val="en-US"/>
        </w:rPr>
        <w:t>N</w:t>
      </w:r>
      <w:r w:rsidR="00157035" w:rsidRPr="00A46995">
        <w:rPr>
          <w:color w:val="FF0000"/>
          <w:lang w:val="en-US"/>
        </w:rPr>
        <w:t>OT for ME</w:t>
      </w:r>
      <w:r w:rsidR="001919A0" w:rsidRPr="00A46995">
        <w:rPr>
          <w:color w:val="FF0000"/>
          <w:lang w:val="en-US"/>
        </w:rPr>
        <w:t>” or “</w:t>
      </w:r>
      <w:r w:rsidR="00BA49E5" w:rsidRPr="00A46995">
        <w:rPr>
          <w:color w:val="FF0000"/>
          <w:lang w:val="en-US"/>
        </w:rPr>
        <w:t>NOT</w:t>
      </w:r>
      <w:r w:rsidR="001919A0" w:rsidRPr="00A46995">
        <w:rPr>
          <w:color w:val="FF0000"/>
          <w:lang w:val="en-US"/>
        </w:rPr>
        <w:t xml:space="preserve"> </w:t>
      </w:r>
      <w:r w:rsidR="00157035" w:rsidRPr="00A46995">
        <w:rPr>
          <w:color w:val="FF0000"/>
          <w:lang w:val="en-US"/>
        </w:rPr>
        <w:t>for US</w:t>
      </w:r>
      <w:r w:rsidR="001919A0" w:rsidRPr="00A46995">
        <w:rPr>
          <w:color w:val="FF0000"/>
          <w:lang w:val="en-US"/>
        </w:rPr>
        <w:t xml:space="preserve">”? </w:t>
      </w:r>
      <w:r w:rsidR="00986BEF" w:rsidRPr="00A46995">
        <w:rPr>
          <w:color w:val="FF0000"/>
          <w:lang w:val="en-US"/>
        </w:rPr>
        <w:t xml:space="preserve">More broadly, how PO-Engagement might be encouraged or realized in offline or blended contexts </w:t>
      </w:r>
      <w:r w:rsidR="00BE32B1" w:rsidRPr="00A46995">
        <w:rPr>
          <w:color w:val="FF0000"/>
          <w:lang w:val="en-US"/>
        </w:rPr>
        <w:t xml:space="preserve">is worthy of investigation. For example, </w:t>
      </w:r>
      <w:r w:rsidR="00ED7D22">
        <w:rPr>
          <w:color w:val="FF0000"/>
          <w:lang w:val="en-US"/>
        </w:rPr>
        <w:t xml:space="preserve">how might </w:t>
      </w:r>
      <w:r w:rsidR="00BE32B1" w:rsidRPr="00A46995">
        <w:rPr>
          <w:color w:val="FF0000"/>
          <w:lang w:val="en-US"/>
        </w:rPr>
        <w:t xml:space="preserve">it </w:t>
      </w:r>
      <w:r w:rsidR="00ED7D22">
        <w:rPr>
          <w:color w:val="FF0000"/>
          <w:lang w:val="en-US"/>
        </w:rPr>
        <w:t xml:space="preserve">be </w:t>
      </w:r>
      <w:r w:rsidR="00BE32B1" w:rsidRPr="00A46995">
        <w:rPr>
          <w:color w:val="FF0000"/>
          <w:lang w:val="en-US"/>
        </w:rPr>
        <w:t xml:space="preserve">possible to lift engagement by </w:t>
      </w:r>
      <w:r w:rsidR="00246947">
        <w:rPr>
          <w:color w:val="FF0000"/>
          <w:lang w:val="en-US"/>
        </w:rPr>
        <w:t xml:space="preserve">university </w:t>
      </w:r>
      <w:r w:rsidR="00BE32B1" w:rsidRPr="00A46995">
        <w:rPr>
          <w:color w:val="FF0000"/>
          <w:lang w:val="en-US"/>
        </w:rPr>
        <w:t>students through triggering a sense of iPO</w:t>
      </w:r>
      <w:r w:rsidR="00246947">
        <w:rPr>
          <w:color w:val="FF0000"/>
          <w:lang w:val="en-US"/>
        </w:rPr>
        <w:t>/</w:t>
      </w:r>
      <w:r w:rsidR="00BE32B1" w:rsidRPr="00A46995">
        <w:rPr>
          <w:color w:val="FF0000"/>
          <w:lang w:val="en-US"/>
        </w:rPr>
        <w:t xml:space="preserve">cPO </w:t>
      </w:r>
      <w:r w:rsidR="00994BC3" w:rsidRPr="00A46995">
        <w:rPr>
          <w:color w:val="FF0000"/>
          <w:lang w:val="en-US"/>
        </w:rPr>
        <w:t>through Learning Management Systems and in the classroom?</w:t>
      </w:r>
      <w:r w:rsidR="00FE690D">
        <w:rPr>
          <w:color w:val="FF0000"/>
          <w:lang w:val="en-US"/>
        </w:rPr>
        <w:t xml:space="preserve"> </w:t>
      </w:r>
    </w:p>
    <w:p w14:paraId="04EF336F" w14:textId="054D1252" w:rsidR="0053707F" w:rsidRPr="00A46995" w:rsidRDefault="007229B3" w:rsidP="00DD6A40">
      <w:pPr>
        <w:spacing w:after="0" w:line="480" w:lineRule="auto"/>
        <w:ind w:firstLine="720"/>
        <w:rPr>
          <w:color w:val="FF0000"/>
          <w:lang w:val="en-US"/>
        </w:rPr>
      </w:pPr>
      <w:r w:rsidRPr="00A46995">
        <w:rPr>
          <w:color w:val="FF0000"/>
          <w:lang w:val="en-US"/>
        </w:rPr>
        <w:t xml:space="preserve">Fourth, what are the consequences of PO-Engagement, such as different types of engagement in dyads or collectives, </w:t>
      </w:r>
      <w:r w:rsidR="00D712AE">
        <w:rPr>
          <w:color w:val="FF0000"/>
          <w:lang w:val="en-US"/>
        </w:rPr>
        <w:t>or</w:t>
      </w:r>
      <w:r w:rsidRPr="00A46995">
        <w:rPr>
          <w:color w:val="FF0000"/>
          <w:lang w:val="en-US"/>
        </w:rPr>
        <w:t xml:space="preserve"> on platform users</w:t>
      </w:r>
      <w:r w:rsidR="002523DB" w:rsidRPr="00A46995">
        <w:rPr>
          <w:color w:val="FF0000"/>
          <w:lang w:val="en-US"/>
        </w:rPr>
        <w:t xml:space="preserve"> and </w:t>
      </w:r>
      <w:r w:rsidRPr="00A46995">
        <w:rPr>
          <w:color w:val="FF0000"/>
          <w:lang w:val="en-US"/>
        </w:rPr>
        <w:t xml:space="preserve">their social networks? </w:t>
      </w:r>
      <w:r w:rsidR="00AF6662" w:rsidRPr="00A46995">
        <w:rPr>
          <w:color w:val="FF0000"/>
          <w:lang w:val="en-US"/>
        </w:rPr>
        <w:t xml:space="preserve">What is </w:t>
      </w:r>
      <w:r w:rsidR="00AF6662" w:rsidRPr="00A46995">
        <w:rPr>
          <w:color w:val="FF0000"/>
          <w:lang w:val="en-US"/>
        </w:rPr>
        <w:lastRenderedPageBreak/>
        <w:t xml:space="preserve">the role </w:t>
      </w:r>
      <w:r w:rsidR="00A35519" w:rsidRPr="00A46995">
        <w:rPr>
          <w:color w:val="FF0000"/>
          <w:lang w:val="en-US"/>
        </w:rPr>
        <w:t>of interaction</w:t>
      </w:r>
      <w:r w:rsidR="0078699C">
        <w:rPr>
          <w:color w:val="FF0000"/>
          <w:lang w:val="en-US"/>
        </w:rPr>
        <w:t xml:space="preserve"> or communication</w:t>
      </w:r>
      <w:r w:rsidR="00A35519" w:rsidRPr="00A46995">
        <w:rPr>
          <w:color w:val="FF0000"/>
          <w:lang w:val="en-US"/>
        </w:rPr>
        <w:t xml:space="preserve"> in getting others to experience PO-Engagement, and the impact on those</w:t>
      </w:r>
      <w:r w:rsidR="0082753E">
        <w:rPr>
          <w:color w:val="FF0000"/>
          <w:lang w:val="en-US"/>
        </w:rPr>
        <w:t xml:space="preserve"> actors</w:t>
      </w:r>
      <w:r w:rsidR="00A35519" w:rsidRPr="00A46995">
        <w:rPr>
          <w:color w:val="FF0000"/>
          <w:lang w:val="en-US"/>
        </w:rPr>
        <w:t xml:space="preserve"> that do or do not</w:t>
      </w:r>
      <w:r w:rsidR="0053707F" w:rsidRPr="00A46995">
        <w:rPr>
          <w:color w:val="FF0000"/>
          <w:lang w:val="en-US"/>
        </w:rPr>
        <w:t xml:space="preserve">? </w:t>
      </w:r>
    </w:p>
    <w:p w14:paraId="02A7F5AC" w14:textId="57FEA4A2" w:rsidR="00FA57EC" w:rsidRPr="00A46995" w:rsidRDefault="007229B3" w:rsidP="00DD6A40">
      <w:pPr>
        <w:spacing w:after="0" w:line="480" w:lineRule="auto"/>
        <w:ind w:firstLine="720"/>
        <w:rPr>
          <w:color w:val="FF0000"/>
          <w:lang w:val="en-US"/>
        </w:rPr>
      </w:pPr>
      <w:r w:rsidRPr="00A46995">
        <w:rPr>
          <w:color w:val="FF0000"/>
          <w:lang w:val="en-US"/>
        </w:rPr>
        <w:t>Fifth, are there downsides to PO-Engagement</w:t>
      </w:r>
      <w:r w:rsidR="000265DA">
        <w:rPr>
          <w:color w:val="FF0000"/>
          <w:lang w:val="en-US"/>
        </w:rPr>
        <w:t xml:space="preserve">? What happens to </w:t>
      </w:r>
      <w:r w:rsidR="00CC0C2A">
        <w:rPr>
          <w:color w:val="FF0000"/>
          <w:lang w:val="en-US"/>
        </w:rPr>
        <w:t xml:space="preserve">the development of PO-Engagement in </w:t>
      </w:r>
      <w:r w:rsidR="000265DA">
        <w:rPr>
          <w:color w:val="FF0000"/>
          <w:lang w:val="en-US"/>
        </w:rPr>
        <w:t xml:space="preserve">others </w:t>
      </w:r>
      <w:r w:rsidRPr="00A46995">
        <w:rPr>
          <w:color w:val="FF0000"/>
          <w:lang w:val="en-US"/>
        </w:rPr>
        <w:t>when users become territorial over platforms that they consider to be</w:t>
      </w:r>
      <w:r w:rsidR="0082753E">
        <w:rPr>
          <w:color w:val="FF0000"/>
          <w:lang w:val="en-US"/>
        </w:rPr>
        <w:t xml:space="preserve"> ‘MINE’ or ‘OURS’</w:t>
      </w:r>
      <w:r w:rsidRPr="00A46995">
        <w:rPr>
          <w:color w:val="FF0000"/>
          <w:lang w:val="en-US"/>
        </w:rPr>
        <w:t>?</w:t>
      </w:r>
      <w:r w:rsidR="0053707F" w:rsidRPr="00A46995">
        <w:rPr>
          <w:color w:val="FF0000"/>
          <w:lang w:val="en-US"/>
        </w:rPr>
        <w:t xml:space="preserve"> </w:t>
      </w:r>
      <w:r w:rsidR="002E7295">
        <w:rPr>
          <w:color w:val="FF0000"/>
          <w:lang w:val="en-US"/>
        </w:rPr>
        <w:t>I</w:t>
      </w:r>
      <w:r w:rsidR="0053707F" w:rsidRPr="00A46995">
        <w:rPr>
          <w:color w:val="FF0000"/>
          <w:lang w:val="en-US"/>
        </w:rPr>
        <w:t>s the</w:t>
      </w:r>
      <w:r w:rsidR="002E7295">
        <w:rPr>
          <w:color w:val="FF0000"/>
          <w:lang w:val="en-US"/>
        </w:rPr>
        <w:t>re a</w:t>
      </w:r>
      <w:r w:rsidR="0053707F" w:rsidRPr="00A46995">
        <w:rPr>
          <w:color w:val="FF0000"/>
          <w:lang w:val="en-US"/>
        </w:rPr>
        <w:t xml:space="preserve"> role </w:t>
      </w:r>
      <w:r w:rsidR="002E7295">
        <w:rPr>
          <w:color w:val="FF0000"/>
          <w:lang w:val="en-US"/>
        </w:rPr>
        <w:t>for</w:t>
      </w:r>
      <w:r w:rsidR="0053707F" w:rsidRPr="00A46995">
        <w:rPr>
          <w:color w:val="FF0000"/>
          <w:lang w:val="en-US"/>
        </w:rPr>
        <w:t xml:space="preserve"> data security</w:t>
      </w:r>
      <w:r w:rsidR="00570BCD" w:rsidRPr="00A46995">
        <w:rPr>
          <w:color w:val="FF0000"/>
          <w:lang w:val="en-US"/>
        </w:rPr>
        <w:t xml:space="preserve"> in creating a sense of psychic security in online users?</w:t>
      </w:r>
      <w:r w:rsidRPr="00A46995">
        <w:rPr>
          <w:color w:val="FF0000"/>
          <w:lang w:val="en-US"/>
        </w:rPr>
        <w:t xml:space="preserve"> </w:t>
      </w:r>
      <w:r w:rsidR="005E4077" w:rsidRPr="00A46995">
        <w:rPr>
          <w:color w:val="FF0000"/>
          <w:lang w:val="en-US"/>
        </w:rPr>
        <w:t>Sixth</w:t>
      </w:r>
      <w:r w:rsidR="009B1026" w:rsidRPr="00A46995">
        <w:rPr>
          <w:color w:val="FF0000"/>
          <w:lang w:val="en-US"/>
        </w:rPr>
        <w:t xml:space="preserve"> and finally, </w:t>
      </w:r>
      <w:r w:rsidR="00DD6A40" w:rsidRPr="00A46995">
        <w:rPr>
          <w:color w:val="FF0000"/>
          <w:lang w:val="en-US"/>
        </w:rPr>
        <w:t xml:space="preserve">what are the dynamics of PO-Engagement? </w:t>
      </w:r>
      <w:r w:rsidR="006B3012" w:rsidRPr="00A46995">
        <w:rPr>
          <w:color w:val="FF0000"/>
          <w:lang w:val="en-US"/>
        </w:rPr>
        <w:t>How does it unfold in offline contexts and different online contexts, e.g., brand communities</w:t>
      </w:r>
      <w:r w:rsidR="009A66B5" w:rsidRPr="00A46995">
        <w:rPr>
          <w:color w:val="FF0000"/>
          <w:lang w:val="en-US"/>
        </w:rPr>
        <w:t xml:space="preserve">, </w:t>
      </w:r>
      <w:r w:rsidR="00723C89" w:rsidRPr="00A46995">
        <w:rPr>
          <w:color w:val="FF0000"/>
          <w:lang w:val="en-US"/>
        </w:rPr>
        <w:t>toy libraries</w:t>
      </w:r>
      <w:r w:rsidR="00171B8B">
        <w:rPr>
          <w:color w:val="FF0000"/>
          <w:lang w:val="en-US"/>
        </w:rPr>
        <w:t>,</w:t>
      </w:r>
      <w:r w:rsidR="009A66B5" w:rsidRPr="00A46995">
        <w:rPr>
          <w:color w:val="FF0000"/>
          <w:lang w:val="en-US"/>
        </w:rPr>
        <w:t xml:space="preserve"> community gardens?</w:t>
      </w:r>
      <w:r w:rsidR="006B3012" w:rsidRPr="00A46995">
        <w:rPr>
          <w:color w:val="FF0000"/>
          <w:lang w:val="en-US"/>
        </w:rPr>
        <w:t xml:space="preserve"> </w:t>
      </w:r>
      <w:r w:rsidR="0049753D" w:rsidRPr="00A46995">
        <w:rPr>
          <w:color w:val="FF0000"/>
          <w:lang w:val="en-US"/>
        </w:rPr>
        <w:t xml:space="preserve">Can PO-Engagement be used to improve sustainability outcomes </w:t>
      </w:r>
      <w:r w:rsidR="00FB2D19">
        <w:rPr>
          <w:color w:val="FF0000"/>
          <w:lang w:val="en-US"/>
        </w:rPr>
        <w:t xml:space="preserve">by driving a sense of cPO in </w:t>
      </w:r>
      <w:r w:rsidR="009321CF">
        <w:rPr>
          <w:color w:val="FF0000"/>
          <w:lang w:val="en-US"/>
        </w:rPr>
        <w:t>communities or societies; how can people be stimulated to have a sense of ‘OURS’ over the natural environment</w:t>
      </w:r>
      <w:r w:rsidR="0049753D" w:rsidRPr="00A46995">
        <w:rPr>
          <w:color w:val="FF0000"/>
          <w:lang w:val="en-US"/>
        </w:rPr>
        <w:t>?</w:t>
      </w:r>
      <w:r w:rsidR="006B3012" w:rsidRPr="00A46995">
        <w:rPr>
          <w:color w:val="FF0000"/>
          <w:lang w:val="en-US"/>
        </w:rPr>
        <w:t xml:space="preserve"> </w:t>
      </w:r>
      <w:r w:rsidR="0049753D" w:rsidRPr="00A46995">
        <w:rPr>
          <w:color w:val="FF0000"/>
          <w:lang w:val="en-US"/>
        </w:rPr>
        <w:t xml:space="preserve">Additionally, </w:t>
      </w:r>
      <w:r w:rsidR="00DD6A40" w:rsidRPr="00A46995">
        <w:rPr>
          <w:color w:val="FF0000"/>
          <w:lang w:val="en-US"/>
        </w:rPr>
        <w:t xml:space="preserve">is there a </w:t>
      </w:r>
      <w:r w:rsidR="00627A2F" w:rsidRPr="00A46995">
        <w:rPr>
          <w:color w:val="FF0000"/>
          <w:lang w:val="en-US"/>
        </w:rPr>
        <w:t>life cycle</w:t>
      </w:r>
      <w:r w:rsidR="00DD6A40" w:rsidRPr="00A46995">
        <w:rPr>
          <w:color w:val="FF0000"/>
          <w:lang w:val="en-US"/>
        </w:rPr>
        <w:t xml:space="preserve"> of PO-Engagement</w:t>
      </w:r>
      <w:r w:rsidR="009321CF">
        <w:rPr>
          <w:color w:val="FF0000"/>
          <w:lang w:val="en-US"/>
        </w:rPr>
        <w:t>?</w:t>
      </w:r>
      <w:r w:rsidR="00DD6A40" w:rsidRPr="00A46995">
        <w:rPr>
          <w:color w:val="FF0000"/>
          <w:lang w:val="en-US"/>
        </w:rPr>
        <w:t xml:space="preserve"> </w:t>
      </w:r>
      <w:r w:rsidR="009321CF">
        <w:rPr>
          <w:color w:val="FF0000"/>
          <w:lang w:val="en-US"/>
        </w:rPr>
        <w:t>A</w:t>
      </w:r>
      <w:r w:rsidR="00DD6A40" w:rsidRPr="00A46995">
        <w:rPr>
          <w:color w:val="FF0000"/>
          <w:lang w:val="en-US"/>
        </w:rPr>
        <w:t xml:space="preserve">re the stages of PO-Engagement </w:t>
      </w:r>
      <w:r w:rsidR="002D4C23">
        <w:rPr>
          <w:color w:val="FF0000"/>
          <w:lang w:val="en-US"/>
        </w:rPr>
        <w:t>discrete</w:t>
      </w:r>
      <w:r w:rsidR="00DD6A40" w:rsidRPr="00A46995">
        <w:rPr>
          <w:color w:val="FF0000"/>
          <w:lang w:val="en-US"/>
        </w:rPr>
        <w:t xml:space="preserve"> or always </w:t>
      </w:r>
      <w:r w:rsidR="0049753D" w:rsidRPr="00A46995">
        <w:rPr>
          <w:color w:val="FF0000"/>
          <w:lang w:val="en-US"/>
        </w:rPr>
        <w:t xml:space="preserve">iterative and </w:t>
      </w:r>
      <w:r w:rsidR="00DD6A40" w:rsidRPr="00A46995">
        <w:rPr>
          <w:color w:val="FF0000"/>
          <w:lang w:val="en-US"/>
        </w:rPr>
        <w:t>overlapping, and what factors influence</w:t>
      </w:r>
      <w:r w:rsidR="00A46995" w:rsidRPr="00A46995">
        <w:rPr>
          <w:color w:val="FF0000"/>
          <w:lang w:val="en-US"/>
        </w:rPr>
        <w:t xml:space="preserve"> – strengthen or weaken – these </w:t>
      </w:r>
      <w:r w:rsidR="002D4C23">
        <w:rPr>
          <w:color w:val="FF0000"/>
          <w:lang w:val="en-US"/>
        </w:rPr>
        <w:t>stages</w:t>
      </w:r>
      <w:r w:rsidR="00627A2F" w:rsidRPr="00A46995">
        <w:rPr>
          <w:color w:val="FF0000"/>
          <w:lang w:val="en-US"/>
        </w:rPr>
        <w:t>?</w:t>
      </w:r>
    </w:p>
    <w:p w14:paraId="5BBD5293" w14:textId="77777777" w:rsidR="00322480" w:rsidRPr="005F2A26" w:rsidRDefault="00322480" w:rsidP="006F25CE">
      <w:pPr>
        <w:spacing w:after="0"/>
        <w:rPr>
          <w:b/>
          <w:lang w:val="en-US"/>
        </w:rPr>
        <w:sectPr w:rsidR="00322480" w:rsidRPr="005F2A26" w:rsidSect="00805B58">
          <w:footerReference w:type="default" r:id="rId16"/>
          <w:pgSz w:w="11906" w:h="16838"/>
          <w:pgMar w:top="1440" w:right="1440" w:bottom="1440" w:left="1440" w:header="708" w:footer="708" w:gutter="0"/>
          <w:cols w:space="708"/>
          <w:docGrid w:linePitch="360"/>
        </w:sectPr>
      </w:pPr>
    </w:p>
    <w:p w14:paraId="7AB580A2" w14:textId="48681368" w:rsidR="00FA57EC" w:rsidRPr="005F2A26" w:rsidRDefault="00FA57EC" w:rsidP="006F25CE">
      <w:pPr>
        <w:spacing w:after="0"/>
        <w:rPr>
          <w:b/>
          <w:lang w:val="en-US"/>
        </w:rPr>
      </w:pPr>
    </w:p>
    <w:p w14:paraId="102A8277" w14:textId="4D95A5DB" w:rsidR="00223877" w:rsidRPr="005F2A26" w:rsidRDefault="00223877" w:rsidP="00223877">
      <w:pPr>
        <w:pStyle w:val="Caption"/>
        <w:keepNext/>
        <w:rPr>
          <w:sz w:val="24"/>
          <w:szCs w:val="24"/>
          <w:lang w:val="en-US"/>
        </w:rPr>
      </w:pPr>
      <w:r w:rsidRPr="005F2A26">
        <w:rPr>
          <w:sz w:val="24"/>
          <w:szCs w:val="24"/>
          <w:lang w:val="en-US"/>
        </w:rPr>
        <w:t xml:space="preserve">Table </w:t>
      </w:r>
      <w:r w:rsidR="002726EB" w:rsidRPr="005F2A26">
        <w:rPr>
          <w:sz w:val="24"/>
          <w:szCs w:val="24"/>
          <w:lang w:val="en-US"/>
        </w:rPr>
        <w:fldChar w:fldCharType="begin"/>
      </w:r>
      <w:r w:rsidR="002726EB" w:rsidRPr="005F2A26">
        <w:rPr>
          <w:sz w:val="24"/>
          <w:szCs w:val="24"/>
          <w:lang w:val="en-US"/>
        </w:rPr>
        <w:instrText xml:space="preserve"> SEQ Table \* ARABIC </w:instrText>
      </w:r>
      <w:r w:rsidR="002726EB" w:rsidRPr="005F2A26">
        <w:rPr>
          <w:sz w:val="24"/>
          <w:szCs w:val="24"/>
          <w:lang w:val="en-US"/>
        </w:rPr>
        <w:fldChar w:fldCharType="separate"/>
      </w:r>
      <w:r w:rsidRPr="005F2A26">
        <w:rPr>
          <w:noProof/>
          <w:sz w:val="24"/>
          <w:szCs w:val="24"/>
          <w:lang w:val="en-US"/>
        </w:rPr>
        <w:t>1</w:t>
      </w:r>
      <w:r w:rsidR="002726EB" w:rsidRPr="005F2A26">
        <w:rPr>
          <w:noProof/>
          <w:sz w:val="24"/>
          <w:szCs w:val="24"/>
          <w:lang w:val="en-US"/>
        </w:rPr>
        <w:fldChar w:fldCharType="end"/>
      </w:r>
      <w:r w:rsidRPr="005F2A26">
        <w:rPr>
          <w:sz w:val="24"/>
          <w:szCs w:val="24"/>
          <w:lang w:val="en-US"/>
        </w:rPr>
        <w:t>: PO-Engagement future research agenda</w:t>
      </w:r>
    </w:p>
    <w:p w14:paraId="72A464B6" w14:textId="6843A425" w:rsidR="00322480" w:rsidRPr="005F2A26" w:rsidRDefault="00C76971" w:rsidP="006F25CE">
      <w:pPr>
        <w:spacing w:after="0"/>
        <w:rPr>
          <w:b/>
          <w:lang w:val="en-US"/>
        </w:rPr>
        <w:sectPr w:rsidR="00322480" w:rsidRPr="005F2A26" w:rsidSect="00322480">
          <w:pgSz w:w="16838" w:h="11906" w:orient="landscape"/>
          <w:pgMar w:top="1440" w:right="1440" w:bottom="1440" w:left="1440" w:header="708" w:footer="708" w:gutter="0"/>
          <w:cols w:space="708"/>
          <w:docGrid w:linePitch="360"/>
        </w:sectPr>
      </w:pPr>
      <w:r>
        <w:rPr>
          <w:noProof/>
        </w:rPr>
        <w:drawing>
          <wp:inline distT="0" distB="0" distL="0" distR="0" wp14:anchorId="05FD1CA7" wp14:editId="1CBC4030">
            <wp:extent cx="8863330" cy="4741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4741545"/>
                    </a:xfrm>
                    <a:prstGeom prst="rect">
                      <a:avLst/>
                    </a:prstGeom>
                  </pic:spPr>
                </pic:pic>
              </a:graphicData>
            </a:graphic>
          </wp:inline>
        </w:drawing>
      </w:r>
    </w:p>
    <w:p w14:paraId="2291EFE0" w14:textId="2BCEAE13" w:rsidR="00322480" w:rsidRPr="005F2A26" w:rsidRDefault="00CF4B54" w:rsidP="006F25CE">
      <w:pPr>
        <w:spacing w:after="0"/>
        <w:rPr>
          <w:b/>
          <w:lang w:val="en-US"/>
        </w:rPr>
        <w:sectPr w:rsidR="00322480" w:rsidRPr="005F2A26" w:rsidSect="00322480">
          <w:pgSz w:w="16838" w:h="11906" w:orient="landscape"/>
          <w:pgMar w:top="1440" w:right="1440" w:bottom="1440" w:left="1440" w:header="708" w:footer="708" w:gutter="0"/>
          <w:cols w:space="708"/>
          <w:docGrid w:linePitch="360"/>
        </w:sectPr>
      </w:pPr>
      <w:r>
        <w:rPr>
          <w:noProof/>
        </w:rPr>
        <w:lastRenderedPageBreak/>
        <w:drawing>
          <wp:inline distT="0" distB="0" distL="0" distR="0" wp14:anchorId="32F8D676" wp14:editId="662AFD1C">
            <wp:extent cx="8863330" cy="2935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2935605"/>
                    </a:xfrm>
                    <a:prstGeom prst="rect">
                      <a:avLst/>
                    </a:prstGeom>
                  </pic:spPr>
                </pic:pic>
              </a:graphicData>
            </a:graphic>
          </wp:inline>
        </w:drawing>
      </w:r>
    </w:p>
    <w:p w14:paraId="75D31008" w14:textId="3DBF13DC" w:rsidR="008A4F59" w:rsidRPr="005F2A26" w:rsidRDefault="008A4F59" w:rsidP="00CA029D">
      <w:pPr>
        <w:spacing w:after="0" w:line="240" w:lineRule="auto"/>
        <w:ind w:left="720" w:hanging="720"/>
        <w:contextualSpacing/>
        <w:jc w:val="left"/>
        <w:rPr>
          <w:b/>
          <w:lang w:val="en-US"/>
        </w:rPr>
      </w:pPr>
      <w:bookmarkStart w:id="9" w:name="_Hlk63147671"/>
      <w:r w:rsidRPr="005F2A26">
        <w:rPr>
          <w:b/>
          <w:lang w:val="en-US"/>
        </w:rPr>
        <w:lastRenderedPageBreak/>
        <w:t xml:space="preserve">References </w:t>
      </w:r>
    </w:p>
    <w:p w14:paraId="2D0FAF08" w14:textId="4E1E2224" w:rsidR="00EB0249" w:rsidRPr="005F2A26" w:rsidRDefault="00EB0249" w:rsidP="00CA029D">
      <w:pPr>
        <w:pStyle w:val="EndNoteBibliography"/>
        <w:spacing w:after="0"/>
        <w:ind w:left="720" w:hanging="720"/>
        <w:contextualSpacing/>
        <w:jc w:val="left"/>
      </w:pPr>
      <w:r w:rsidRPr="005F2A26">
        <w:t xml:space="preserve">Arnould, E.J., Price, L.L. and Malshe, A. (2006), "Toward a cultural resource-based theory of the customer", Lusch R.F. and Vargo, S.L. (Ed.s), </w:t>
      </w:r>
      <w:r w:rsidRPr="005F2A26">
        <w:rPr>
          <w:i/>
          <w:iCs/>
        </w:rPr>
        <w:t>The Service Dominant Logic of Marketing: Dialog, Debate and Directions</w:t>
      </w:r>
      <w:r w:rsidRPr="005F2A26">
        <w:t>, Taylor &amp; Francis Group, Abingdon-on-Thames</w:t>
      </w:r>
      <w:r w:rsidR="006C12D4" w:rsidRPr="005F2A26">
        <w:t>, Oxfordshire</w:t>
      </w:r>
      <w:r w:rsidR="00BF0CFA" w:rsidRPr="005F2A26">
        <w:t>, UK</w:t>
      </w:r>
      <w:r w:rsidRPr="005F2A26">
        <w:t>, pp.320-333.</w:t>
      </w:r>
    </w:p>
    <w:p w14:paraId="4DBA85BF" w14:textId="77777777" w:rsidR="00EB0249" w:rsidRPr="005F2A26" w:rsidRDefault="00EB0249" w:rsidP="00CA029D">
      <w:pPr>
        <w:pStyle w:val="EndNoteBibliography"/>
        <w:spacing w:after="0"/>
        <w:ind w:left="720" w:hanging="720"/>
        <w:contextualSpacing/>
        <w:jc w:val="left"/>
      </w:pPr>
      <w:r w:rsidRPr="005F2A26">
        <w:t xml:space="preserve">Asatryan, V.S. and Oh, H. (2008), "Psychological ownership theory: An exploratory application in the restaurant industry", </w:t>
      </w:r>
      <w:r w:rsidRPr="005F2A26">
        <w:rPr>
          <w:i/>
          <w:iCs/>
        </w:rPr>
        <w:t>Journal of Hospitality and Tourism Research</w:t>
      </w:r>
      <w:r w:rsidRPr="005F2A26">
        <w:t>, Vol. 32 No. 3, pp.363-386.</w:t>
      </w:r>
    </w:p>
    <w:p w14:paraId="5F4FD32E" w14:textId="6659A95E" w:rsidR="00E431FE" w:rsidRDefault="00E431FE" w:rsidP="00CA029D">
      <w:pPr>
        <w:pStyle w:val="EndNoteBibliography"/>
        <w:spacing w:after="0"/>
        <w:ind w:left="720" w:hanging="720"/>
        <w:contextualSpacing/>
        <w:jc w:val="left"/>
      </w:pPr>
      <w:r w:rsidRPr="00E431FE">
        <w:rPr>
          <w:lang w:val="en-NZ"/>
        </w:rPr>
        <w:t>Atasoy, O</w:t>
      </w:r>
      <w:r>
        <w:rPr>
          <w:lang w:val="en-NZ"/>
        </w:rPr>
        <w:t>.</w:t>
      </w:r>
      <w:r w:rsidRPr="00E431FE">
        <w:rPr>
          <w:lang w:val="en-NZ"/>
        </w:rPr>
        <w:t xml:space="preserve"> and Morewedge</w:t>
      </w:r>
      <w:r>
        <w:rPr>
          <w:lang w:val="en-NZ"/>
        </w:rPr>
        <w:t>, C.K.</w:t>
      </w:r>
      <w:r w:rsidRPr="00E431FE">
        <w:rPr>
          <w:lang w:val="en-NZ"/>
        </w:rPr>
        <w:t xml:space="preserve"> (2018), “Digital Goods are Valued Less than Physical Goods”</w:t>
      </w:r>
      <w:r w:rsidR="00B216A6">
        <w:rPr>
          <w:lang w:val="en-NZ"/>
        </w:rPr>
        <w:t>,</w:t>
      </w:r>
      <w:r w:rsidRPr="00E431FE">
        <w:rPr>
          <w:lang w:val="en-NZ"/>
        </w:rPr>
        <w:t xml:space="preserve"> </w:t>
      </w:r>
      <w:r w:rsidRPr="00E431FE">
        <w:rPr>
          <w:i/>
          <w:iCs/>
          <w:lang w:val="en-NZ"/>
        </w:rPr>
        <w:t>Journal of Consumer Research</w:t>
      </w:r>
      <w:r w:rsidRPr="00E431FE">
        <w:rPr>
          <w:lang w:val="en-NZ"/>
        </w:rPr>
        <w:t xml:space="preserve">, </w:t>
      </w:r>
      <w:r w:rsidR="00B216A6">
        <w:rPr>
          <w:lang w:val="en-NZ"/>
        </w:rPr>
        <w:t xml:space="preserve">Vol. </w:t>
      </w:r>
      <w:r w:rsidRPr="00E431FE">
        <w:rPr>
          <w:lang w:val="en-NZ"/>
        </w:rPr>
        <w:t>44</w:t>
      </w:r>
      <w:r w:rsidR="00B216A6">
        <w:rPr>
          <w:lang w:val="en-NZ"/>
        </w:rPr>
        <w:t xml:space="preserve"> No. </w:t>
      </w:r>
      <w:r w:rsidRPr="00E431FE">
        <w:rPr>
          <w:lang w:val="en-NZ"/>
        </w:rPr>
        <w:t xml:space="preserve">6, </w:t>
      </w:r>
      <w:r w:rsidR="00B216A6">
        <w:rPr>
          <w:lang w:val="en-NZ"/>
        </w:rPr>
        <w:t>pp.</w:t>
      </w:r>
      <w:r w:rsidRPr="00E431FE">
        <w:rPr>
          <w:lang w:val="en-NZ"/>
        </w:rPr>
        <w:t>1343-57.</w:t>
      </w:r>
    </w:p>
    <w:p w14:paraId="165B74C8" w14:textId="21414063" w:rsidR="00EB0249" w:rsidRPr="005F2A26" w:rsidRDefault="00EB0249" w:rsidP="00CA029D">
      <w:pPr>
        <w:pStyle w:val="EndNoteBibliography"/>
        <w:spacing w:after="0"/>
        <w:ind w:left="720" w:hanging="720"/>
        <w:contextualSpacing/>
        <w:jc w:val="left"/>
      </w:pPr>
      <w:r w:rsidRPr="005F2A26">
        <w:t xml:space="preserve">Belk, R.W. (1988), "Possessions and the extended self", </w:t>
      </w:r>
      <w:r w:rsidRPr="005F2A26">
        <w:rPr>
          <w:i/>
          <w:iCs/>
        </w:rPr>
        <w:t>Journal of Consumer Research</w:t>
      </w:r>
      <w:r w:rsidRPr="005F2A26">
        <w:t>, Vol. 15 No. 2, pp.139-168.</w:t>
      </w:r>
    </w:p>
    <w:p w14:paraId="4D9BDBF8"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Bergel, M., Frank, P. and Brock, C. (2019), </w:t>
      </w:r>
      <w:r w:rsidRPr="005F2A26">
        <w:rPr>
          <w:szCs w:val="24"/>
        </w:rPr>
        <w:t>"</w:t>
      </w:r>
      <w:r w:rsidRPr="005F2A26">
        <w:rPr>
          <w:color w:val="222222"/>
          <w:szCs w:val="24"/>
          <w:shd w:val="clear" w:color="auto" w:fill="FFFFFF"/>
        </w:rPr>
        <w:t>The role of customer engagement facets on the formation of attitude, loyalty and price perception</w:t>
      </w:r>
      <w:r w:rsidRPr="005F2A26">
        <w:rPr>
          <w:szCs w:val="24"/>
        </w:rPr>
        <w:t xml:space="preserve">", </w:t>
      </w:r>
      <w:r w:rsidRPr="005F2A26">
        <w:rPr>
          <w:i/>
          <w:iCs/>
          <w:color w:val="222222"/>
          <w:szCs w:val="24"/>
          <w:shd w:val="clear" w:color="auto" w:fill="FFFFFF"/>
        </w:rPr>
        <w:t>Journal of Services Marketing</w:t>
      </w:r>
      <w:r w:rsidRPr="005F2A26">
        <w:rPr>
          <w:color w:val="222222"/>
          <w:szCs w:val="24"/>
          <w:shd w:val="clear" w:color="auto" w:fill="FFFFFF"/>
        </w:rPr>
        <w:t xml:space="preserve">, </w:t>
      </w:r>
      <w:r w:rsidRPr="005F2A26">
        <w:rPr>
          <w:szCs w:val="24"/>
          <w:shd w:val="clear" w:color="auto" w:fill="FFFFFF"/>
        </w:rPr>
        <w:t> Vol. 33 No. 7, pp.890-903</w:t>
      </w:r>
      <w:r w:rsidRPr="005F2A26">
        <w:rPr>
          <w:szCs w:val="24"/>
        </w:rPr>
        <w:t>.</w:t>
      </w:r>
    </w:p>
    <w:p w14:paraId="6F52A596" w14:textId="0C60E9F0" w:rsidR="00EB0249" w:rsidRPr="005F2A26" w:rsidRDefault="00EB0249" w:rsidP="00CA029D">
      <w:pPr>
        <w:pStyle w:val="EndNoteBibliography"/>
        <w:spacing w:after="0"/>
        <w:ind w:left="720" w:hanging="720"/>
        <w:contextualSpacing/>
        <w:jc w:val="left"/>
      </w:pPr>
      <w:r w:rsidRPr="005F2A26">
        <w:t xml:space="preserve">Botsman, R. and Rogers, R. (2010), </w:t>
      </w:r>
      <w:r w:rsidRPr="005F2A26">
        <w:rPr>
          <w:i/>
          <w:iCs/>
        </w:rPr>
        <w:t>What’s Mine Is Yours: The Rise of Collaborative Consumption</w:t>
      </w:r>
      <w:r w:rsidRPr="005F2A26">
        <w:t>, HarperCollins Publishers, New York, NY</w:t>
      </w:r>
      <w:r w:rsidR="00BF0CFA" w:rsidRPr="005F2A26">
        <w:t>, US.</w:t>
      </w:r>
    </w:p>
    <w:p w14:paraId="50A76C4B" w14:textId="4601BF0B" w:rsidR="00EB0249" w:rsidRPr="005F2A26" w:rsidRDefault="00EB0249" w:rsidP="00CA029D">
      <w:pPr>
        <w:pStyle w:val="EndNoteBibliography"/>
        <w:spacing w:after="0"/>
        <w:ind w:left="720" w:hanging="720"/>
        <w:contextualSpacing/>
        <w:jc w:val="left"/>
      </w:pPr>
      <w:r w:rsidRPr="005F2A26">
        <w:t xml:space="preserve">Breidbach, C.F., Brodie R.J. and Hollebeek, L. (2014), "Beyond virtuality: From engagement platforms to engagement ecosystems", </w:t>
      </w:r>
      <w:r w:rsidRPr="005F2A26">
        <w:rPr>
          <w:i/>
        </w:rPr>
        <w:t>Managing Service Quality</w:t>
      </w:r>
      <w:r w:rsidRPr="005F2A26">
        <w:t>, Vol</w:t>
      </w:r>
      <w:r w:rsidR="005C0B72" w:rsidRPr="005F2A26">
        <w:t>.</w:t>
      </w:r>
      <w:r w:rsidRPr="005F2A26">
        <w:t xml:space="preserve"> 24 No. 6, pp.592-611.</w:t>
      </w:r>
    </w:p>
    <w:p w14:paraId="41F25C60" w14:textId="77777777" w:rsidR="00EB0249" w:rsidRPr="005F2A26" w:rsidRDefault="00EB0249" w:rsidP="00CA029D">
      <w:pPr>
        <w:pStyle w:val="EndNoteBibliography"/>
        <w:spacing w:after="0"/>
        <w:ind w:left="720" w:hanging="720"/>
        <w:contextualSpacing/>
        <w:jc w:val="left"/>
        <w:rPr>
          <w:szCs w:val="24"/>
        </w:rPr>
      </w:pPr>
      <w:r w:rsidRPr="005F2A26">
        <w:rPr>
          <w:szCs w:val="24"/>
        </w:rPr>
        <w:t xml:space="preserve">Breidbach, C.F. and Brodie, R.J. (2017), </w:t>
      </w:r>
      <w:r w:rsidRPr="005F2A26">
        <w:t>"</w:t>
      </w:r>
      <w:r w:rsidRPr="005F2A26">
        <w:rPr>
          <w:szCs w:val="24"/>
        </w:rPr>
        <w:t>Engagement platforms in the sharing economy: Conceptual foundations and research directions</w:t>
      </w:r>
      <w:r w:rsidRPr="005F2A26">
        <w:t>",</w:t>
      </w:r>
      <w:r w:rsidRPr="005F2A26">
        <w:rPr>
          <w:szCs w:val="24"/>
        </w:rPr>
        <w:t xml:space="preserve"> </w:t>
      </w:r>
      <w:r w:rsidRPr="005F2A26">
        <w:rPr>
          <w:i/>
          <w:iCs/>
          <w:szCs w:val="24"/>
        </w:rPr>
        <w:t>Journal of Service Theory and Practice</w:t>
      </w:r>
      <w:r w:rsidRPr="005F2A26">
        <w:rPr>
          <w:szCs w:val="24"/>
        </w:rPr>
        <w:t>, Vol. 27 No. 4, pp.761-777.</w:t>
      </w:r>
    </w:p>
    <w:p w14:paraId="59F45197" w14:textId="77777777" w:rsidR="00EB0249" w:rsidRPr="005F2A26" w:rsidRDefault="00EB0249" w:rsidP="00CA029D">
      <w:pPr>
        <w:pStyle w:val="EndNoteBibliography"/>
        <w:spacing w:after="0"/>
        <w:ind w:left="720" w:hanging="720"/>
        <w:contextualSpacing/>
        <w:jc w:val="left"/>
      </w:pPr>
      <w:r w:rsidRPr="005F2A26">
        <w:t xml:space="preserve">Brodie, R.J., Hollebeek, L.D., Jurić, B. and Ilić, A. (2011), "Customer engagement: Conceptual domain, fundamental propositions, and implications for research", </w:t>
      </w:r>
      <w:r w:rsidRPr="005F2A26">
        <w:rPr>
          <w:i/>
        </w:rPr>
        <w:t>Journal of Service Research</w:t>
      </w:r>
      <w:r w:rsidRPr="005F2A26">
        <w:t xml:space="preserve">, Vol. 14 No. 3, pp.252-271. </w:t>
      </w:r>
    </w:p>
    <w:p w14:paraId="0CEAE42D" w14:textId="1966B962" w:rsidR="00EB0249" w:rsidRPr="005F2A26" w:rsidRDefault="00EB0249" w:rsidP="00CA029D">
      <w:pPr>
        <w:pStyle w:val="EndNoteBibliography"/>
        <w:spacing w:after="0"/>
        <w:ind w:left="720" w:hanging="720"/>
        <w:contextualSpacing/>
        <w:jc w:val="left"/>
        <w:rPr>
          <w:szCs w:val="24"/>
        </w:rPr>
      </w:pPr>
      <w:r w:rsidRPr="005F2A26">
        <w:rPr>
          <w:szCs w:val="24"/>
          <w:shd w:val="clear" w:color="auto" w:fill="FFFFFF"/>
        </w:rPr>
        <w:t xml:space="preserve">Brodie, R.J., </w:t>
      </w:r>
      <w:r w:rsidR="006C12D4" w:rsidRPr="005F2A26">
        <w:t>Ilić</w:t>
      </w:r>
      <w:r w:rsidRPr="005F2A26">
        <w:rPr>
          <w:szCs w:val="24"/>
          <w:shd w:val="clear" w:color="auto" w:fill="FFFFFF"/>
        </w:rPr>
        <w:t xml:space="preserve">, A., </w:t>
      </w:r>
      <w:r w:rsidR="006C12D4" w:rsidRPr="005F2A26">
        <w:t>Jurić</w:t>
      </w:r>
      <w:r w:rsidRPr="005F2A26">
        <w:rPr>
          <w:szCs w:val="24"/>
          <w:shd w:val="clear" w:color="auto" w:fill="FFFFFF"/>
        </w:rPr>
        <w:t xml:space="preserve">, B. and Hollebeek, L. (2013), </w:t>
      </w:r>
      <w:r w:rsidRPr="005F2A26">
        <w:t>"</w:t>
      </w:r>
      <w:r w:rsidRPr="005F2A26">
        <w:rPr>
          <w:szCs w:val="24"/>
          <w:shd w:val="clear" w:color="auto" w:fill="FFFFFF"/>
        </w:rPr>
        <w:t>Consumer engagement in a virtual brand community: An exploratory analysis</w:t>
      </w:r>
      <w:r w:rsidRPr="005F2A26">
        <w:t>",</w:t>
      </w:r>
      <w:r w:rsidRPr="005F2A26">
        <w:rPr>
          <w:szCs w:val="24"/>
          <w:shd w:val="clear" w:color="auto" w:fill="FFFFFF"/>
        </w:rPr>
        <w:t> </w:t>
      </w:r>
      <w:r w:rsidRPr="005F2A26">
        <w:rPr>
          <w:i/>
          <w:iCs/>
          <w:szCs w:val="24"/>
          <w:shd w:val="clear" w:color="auto" w:fill="FFFFFF"/>
        </w:rPr>
        <w:t>Journal of Business Research</w:t>
      </w:r>
      <w:r w:rsidRPr="005F2A26">
        <w:rPr>
          <w:szCs w:val="24"/>
          <w:shd w:val="clear" w:color="auto" w:fill="FFFFFF"/>
        </w:rPr>
        <w:t>, Vol. 66 No. 1, pp.105-114.</w:t>
      </w:r>
    </w:p>
    <w:p w14:paraId="2A404F6A" w14:textId="77777777" w:rsidR="00EB0249" w:rsidRPr="005F2A26" w:rsidRDefault="00EB0249" w:rsidP="00CA029D">
      <w:pPr>
        <w:pStyle w:val="EndNoteBibliography"/>
        <w:spacing w:after="0"/>
        <w:ind w:left="720" w:hanging="720"/>
        <w:contextualSpacing/>
        <w:jc w:val="left"/>
      </w:pPr>
      <w:r w:rsidRPr="005F2A26">
        <w:t xml:space="preserve">Brodie, R.J., Fehrer, J.A., Jaakkola, E. and Conduit, J. (2019), "Actor engagement in networks: Defining the conceptual domain", </w:t>
      </w:r>
      <w:r w:rsidRPr="005F2A26">
        <w:rPr>
          <w:i/>
          <w:iCs/>
        </w:rPr>
        <w:t>Journal of Service Research</w:t>
      </w:r>
      <w:r w:rsidRPr="005F2A26">
        <w:t>, Vol. 22 No. 2, pp.173-188.</w:t>
      </w:r>
    </w:p>
    <w:p w14:paraId="003370C6" w14:textId="77777777" w:rsidR="00EB0249" w:rsidRPr="005F2A26" w:rsidRDefault="00EB0249" w:rsidP="00CA029D">
      <w:pPr>
        <w:pStyle w:val="EndNoteBibliography"/>
        <w:spacing w:after="0"/>
        <w:ind w:left="720" w:hanging="720"/>
        <w:contextualSpacing/>
        <w:jc w:val="left"/>
      </w:pPr>
      <w:r w:rsidRPr="005F2A26">
        <w:t xml:space="preserve">Brown, G., Crossley, C. and Robinson, S.L. (2014), "Psychological ownership, territorial behavior, and being perceived as a team contributor: The critical role of trust in the work environment", </w:t>
      </w:r>
      <w:r w:rsidRPr="005F2A26">
        <w:rPr>
          <w:i/>
          <w:iCs/>
        </w:rPr>
        <w:t>Personnel Psychology</w:t>
      </w:r>
      <w:r w:rsidRPr="005F2A26">
        <w:t xml:space="preserve">, Vol. 67 No. 2, pp.463-485. </w:t>
      </w:r>
    </w:p>
    <w:p w14:paraId="507A188C" w14:textId="77777777" w:rsidR="00EB0249" w:rsidRPr="005F2A26" w:rsidRDefault="00EB0249" w:rsidP="00CA029D">
      <w:pPr>
        <w:pStyle w:val="EndNoteBibliography"/>
        <w:spacing w:after="0"/>
        <w:ind w:left="720" w:hanging="720"/>
        <w:contextualSpacing/>
        <w:jc w:val="left"/>
        <w:rPr>
          <w:szCs w:val="24"/>
          <w:shd w:val="clear" w:color="auto" w:fill="FFFFFF"/>
        </w:rPr>
      </w:pPr>
      <w:r w:rsidRPr="005F2A26">
        <w:rPr>
          <w:szCs w:val="24"/>
          <w:shd w:val="clear" w:color="auto" w:fill="FFFFFF"/>
        </w:rPr>
        <w:t xml:space="preserve">Bucher, E., Fieseler, C. and Lutz, C. (2016), </w:t>
      </w:r>
      <w:r w:rsidRPr="005F2A26">
        <w:rPr>
          <w:szCs w:val="24"/>
        </w:rPr>
        <w:t>"</w:t>
      </w:r>
      <w:r w:rsidRPr="005F2A26">
        <w:rPr>
          <w:szCs w:val="24"/>
          <w:shd w:val="clear" w:color="auto" w:fill="FFFFFF"/>
        </w:rPr>
        <w:t>What's mine is yours (for a nominal fee) –Exploring the spectrum of utilitarian to altruistic motives for Internet-mediated sharing</w:t>
      </w:r>
      <w:r w:rsidRPr="005F2A26">
        <w:rPr>
          <w:szCs w:val="24"/>
        </w:rPr>
        <w:t xml:space="preserve">", </w:t>
      </w:r>
      <w:r w:rsidRPr="005F2A26">
        <w:rPr>
          <w:i/>
          <w:iCs/>
          <w:szCs w:val="24"/>
          <w:shd w:val="clear" w:color="auto" w:fill="FFFFFF"/>
        </w:rPr>
        <w:t>Computers in Human Behavior</w:t>
      </w:r>
      <w:r w:rsidRPr="005F2A26">
        <w:rPr>
          <w:szCs w:val="24"/>
          <w:shd w:val="clear" w:color="auto" w:fill="FFFFFF"/>
        </w:rPr>
        <w:t>, Vol. 62, pp.316-326.</w:t>
      </w:r>
    </w:p>
    <w:p w14:paraId="770C8AAC" w14:textId="77777777" w:rsidR="00EB0249" w:rsidRPr="005F2A26" w:rsidRDefault="00EB0249" w:rsidP="00CA029D">
      <w:pPr>
        <w:pStyle w:val="EndNoteBibliography"/>
        <w:spacing w:after="0"/>
        <w:ind w:left="720" w:hanging="720"/>
        <w:contextualSpacing/>
        <w:jc w:val="left"/>
        <w:rPr>
          <w:szCs w:val="24"/>
          <w:shd w:val="clear" w:color="auto" w:fill="FFFFFF"/>
        </w:rPr>
      </w:pPr>
      <w:r w:rsidRPr="005F2A26">
        <w:rPr>
          <w:szCs w:val="24"/>
          <w:shd w:val="clear" w:color="auto" w:fill="FFFFFF"/>
        </w:rPr>
        <w:t xml:space="preserve">Böcker, L. and Meelen, T. (2017), </w:t>
      </w:r>
      <w:r w:rsidRPr="005F2A26">
        <w:rPr>
          <w:szCs w:val="24"/>
        </w:rPr>
        <w:t>"</w:t>
      </w:r>
      <w:r w:rsidRPr="005F2A26">
        <w:rPr>
          <w:szCs w:val="24"/>
          <w:shd w:val="clear" w:color="auto" w:fill="FFFFFF"/>
        </w:rPr>
        <w:t>Sharing for people, planet or profit? Analysing motivations for intended sharing economy participation</w:t>
      </w:r>
      <w:r w:rsidRPr="005F2A26">
        <w:rPr>
          <w:szCs w:val="24"/>
        </w:rPr>
        <w:t xml:space="preserve">", </w:t>
      </w:r>
      <w:r w:rsidRPr="005F2A26">
        <w:rPr>
          <w:i/>
          <w:iCs/>
          <w:szCs w:val="24"/>
          <w:shd w:val="clear" w:color="auto" w:fill="FFFFFF"/>
        </w:rPr>
        <w:t>Environmental Innovation and Societal Transitions</w:t>
      </w:r>
      <w:r w:rsidRPr="005F2A26">
        <w:rPr>
          <w:szCs w:val="24"/>
          <w:shd w:val="clear" w:color="auto" w:fill="FFFFFF"/>
        </w:rPr>
        <w:t>, Vol. 23, pp.28-39.</w:t>
      </w:r>
    </w:p>
    <w:p w14:paraId="3730F294" w14:textId="7714F06E" w:rsidR="00EB0249" w:rsidRPr="005F2A26" w:rsidRDefault="00EB0249" w:rsidP="00CA029D">
      <w:pPr>
        <w:pStyle w:val="EndNoteBibliography"/>
        <w:spacing w:after="0"/>
        <w:ind w:left="720" w:hanging="720"/>
        <w:contextualSpacing/>
        <w:jc w:val="left"/>
        <w:rPr>
          <w:szCs w:val="24"/>
        </w:rPr>
      </w:pPr>
      <w:r w:rsidRPr="005F2A26">
        <w:rPr>
          <w:szCs w:val="24"/>
        </w:rPr>
        <w:t>Bowden, J.L.-H., Conduit, J., Hollebeek, L.D., Luoma-aho, V. and Solem, B.A. (2017)</w:t>
      </w:r>
      <w:r w:rsidR="006C12D4" w:rsidRPr="005F2A26">
        <w:rPr>
          <w:szCs w:val="24"/>
        </w:rPr>
        <w:t>,</w:t>
      </w:r>
      <w:r w:rsidRPr="005F2A26">
        <w:rPr>
          <w:szCs w:val="24"/>
        </w:rPr>
        <w:t xml:space="preserve"> </w:t>
      </w:r>
      <w:r w:rsidRPr="005F2A26">
        <w:t>"</w:t>
      </w:r>
      <w:r w:rsidRPr="005F2A26">
        <w:rPr>
          <w:szCs w:val="24"/>
        </w:rPr>
        <w:t>Engagement valence duality and spillover effects in online brand communities</w:t>
      </w:r>
      <w:r w:rsidRPr="005F2A26">
        <w:t>",</w:t>
      </w:r>
      <w:r w:rsidRPr="005F2A26">
        <w:rPr>
          <w:szCs w:val="24"/>
        </w:rPr>
        <w:t xml:space="preserve"> </w:t>
      </w:r>
      <w:r w:rsidRPr="005F2A26">
        <w:rPr>
          <w:i/>
          <w:iCs/>
          <w:szCs w:val="24"/>
        </w:rPr>
        <w:t xml:space="preserve">Journal of Service Theory and Practice, </w:t>
      </w:r>
      <w:r w:rsidRPr="005F2A26">
        <w:rPr>
          <w:szCs w:val="24"/>
        </w:rPr>
        <w:t>Vol. 27 No. 4, pp.877-897.</w:t>
      </w:r>
    </w:p>
    <w:p w14:paraId="4F3D0E4D" w14:textId="4B121DA4" w:rsidR="007F4EDA" w:rsidRDefault="007F4EDA" w:rsidP="00CA029D">
      <w:pPr>
        <w:pStyle w:val="EndNoteBibliography"/>
        <w:spacing w:after="0"/>
        <w:ind w:left="720" w:hanging="720"/>
        <w:contextualSpacing/>
        <w:jc w:val="left"/>
        <w:rPr>
          <w:szCs w:val="24"/>
        </w:rPr>
      </w:pPr>
      <w:r w:rsidRPr="007F4EDA">
        <w:rPr>
          <w:szCs w:val="24"/>
        </w:rPr>
        <w:t xml:space="preserve">Chan, T. K., Zheng, X., Cheung, C. M., Lee, M. K., </w:t>
      </w:r>
      <w:r>
        <w:rPr>
          <w:szCs w:val="24"/>
        </w:rPr>
        <w:t>and</w:t>
      </w:r>
      <w:r w:rsidRPr="007F4EDA">
        <w:rPr>
          <w:szCs w:val="24"/>
        </w:rPr>
        <w:t xml:space="preserve"> Lee, Z. W. (2014)</w:t>
      </w:r>
      <w:r>
        <w:rPr>
          <w:szCs w:val="24"/>
        </w:rPr>
        <w:t>,</w:t>
      </w:r>
      <w:r w:rsidRPr="007F4EDA">
        <w:rPr>
          <w:szCs w:val="24"/>
        </w:rPr>
        <w:t xml:space="preserve"> </w:t>
      </w:r>
      <w:r>
        <w:rPr>
          <w:szCs w:val="24"/>
        </w:rPr>
        <w:t>“</w:t>
      </w:r>
      <w:r w:rsidRPr="007F4EDA">
        <w:rPr>
          <w:szCs w:val="24"/>
        </w:rPr>
        <w:t>Antecedents and consequences of customer engagement in online brand communities</w:t>
      </w:r>
      <w:r w:rsidR="00DF1A49">
        <w:rPr>
          <w:szCs w:val="24"/>
        </w:rPr>
        <w:t>”,</w:t>
      </w:r>
      <w:r w:rsidRPr="007F4EDA">
        <w:rPr>
          <w:szCs w:val="24"/>
        </w:rPr>
        <w:t xml:space="preserve"> </w:t>
      </w:r>
      <w:r w:rsidRPr="00DC1AEF">
        <w:rPr>
          <w:i/>
          <w:iCs/>
          <w:szCs w:val="24"/>
        </w:rPr>
        <w:t>Journal of Marketing Analytics</w:t>
      </w:r>
      <w:r w:rsidRPr="007F4EDA">
        <w:rPr>
          <w:szCs w:val="24"/>
        </w:rPr>
        <w:t xml:space="preserve">, </w:t>
      </w:r>
      <w:r>
        <w:rPr>
          <w:szCs w:val="24"/>
        </w:rPr>
        <w:t xml:space="preserve">Vol. </w:t>
      </w:r>
      <w:r w:rsidRPr="007F4EDA">
        <w:rPr>
          <w:szCs w:val="24"/>
        </w:rPr>
        <w:t>2</w:t>
      </w:r>
      <w:r>
        <w:rPr>
          <w:szCs w:val="24"/>
        </w:rPr>
        <w:t xml:space="preserve"> No. </w:t>
      </w:r>
      <w:r w:rsidRPr="007F4EDA">
        <w:rPr>
          <w:szCs w:val="24"/>
        </w:rPr>
        <w:t xml:space="preserve">2, </w:t>
      </w:r>
      <w:r>
        <w:rPr>
          <w:szCs w:val="24"/>
        </w:rPr>
        <w:t>pp.</w:t>
      </w:r>
      <w:r w:rsidRPr="007F4EDA">
        <w:rPr>
          <w:szCs w:val="24"/>
        </w:rPr>
        <w:t>81-97.</w:t>
      </w:r>
    </w:p>
    <w:p w14:paraId="6BD6E89C" w14:textId="53D28B76" w:rsidR="00EB0249" w:rsidRPr="005F2A26" w:rsidRDefault="00EB0249" w:rsidP="00CA029D">
      <w:pPr>
        <w:pStyle w:val="EndNoteBibliography"/>
        <w:spacing w:after="0"/>
        <w:ind w:left="720" w:hanging="720"/>
        <w:contextualSpacing/>
        <w:jc w:val="left"/>
        <w:rPr>
          <w:szCs w:val="24"/>
        </w:rPr>
      </w:pPr>
      <w:r w:rsidRPr="005F2A26">
        <w:rPr>
          <w:szCs w:val="24"/>
        </w:rPr>
        <w:t xml:space="preserve">Chen, F., Liu, S.Q. and Mattila, A.S. (2020), </w:t>
      </w:r>
      <w:r w:rsidRPr="005F2A26">
        <w:t>"</w:t>
      </w:r>
      <w:r w:rsidRPr="005F2A26">
        <w:rPr>
          <w:szCs w:val="24"/>
        </w:rPr>
        <w:t>Bragging and humblebragging in online reviews</w:t>
      </w:r>
      <w:r w:rsidRPr="005F2A26">
        <w:t>",</w:t>
      </w:r>
      <w:r w:rsidRPr="005F2A26">
        <w:rPr>
          <w:szCs w:val="24"/>
        </w:rPr>
        <w:t xml:space="preserve"> </w:t>
      </w:r>
      <w:r w:rsidRPr="005F2A26">
        <w:rPr>
          <w:i/>
          <w:iCs/>
          <w:szCs w:val="24"/>
        </w:rPr>
        <w:t>Annals of Tourism Research</w:t>
      </w:r>
      <w:r w:rsidRPr="005F2A26">
        <w:rPr>
          <w:szCs w:val="24"/>
        </w:rPr>
        <w:t>, Vol. 80, pp.1-12.</w:t>
      </w:r>
    </w:p>
    <w:p w14:paraId="3922330A" w14:textId="1129C7EB"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lastRenderedPageBreak/>
        <w:t xml:space="preserve">Costa, P.L., Passos, A.M. and Bakker, A.B. (2014), </w:t>
      </w:r>
      <w:r w:rsidRPr="005F2A26">
        <w:rPr>
          <w:szCs w:val="24"/>
        </w:rPr>
        <w:t>"</w:t>
      </w:r>
      <w:r w:rsidRPr="005F2A26">
        <w:rPr>
          <w:color w:val="222222"/>
          <w:szCs w:val="24"/>
          <w:shd w:val="clear" w:color="auto" w:fill="FFFFFF"/>
        </w:rPr>
        <w:t>Team work engagement: A model of emergence</w:t>
      </w:r>
      <w:r w:rsidRPr="005F2A26">
        <w:rPr>
          <w:szCs w:val="24"/>
        </w:rPr>
        <w:t xml:space="preserve">", </w:t>
      </w:r>
      <w:r w:rsidRPr="005F2A26">
        <w:rPr>
          <w:i/>
          <w:iCs/>
          <w:color w:val="222222"/>
          <w:szCs w:val="24"/>
          <w:shd w:val="clear" w:color="auto" w:fill="FFFFFF"/>
        </w:rPr>
        <w:t>Journal of occupational and organizational psychology</w:t>
      </w:r>
      <w:r w:rsidRPr="005F2A26">
        <w:rPr>
          <w:color w:val="222222"/>
          <w:szCs w:val="24"/>
          <w:shd w:val="clear" w:color="auto" w:fill="FFFFFF"/>
        </w:rPr>
        <w:t>, Vol. 87 No. 2, pp.414-436.</w:t>
      </w:r>
      <w:r w:rsidRPr="005F2A26">
        <w:rPr>
          <w:szCs w:val="24"/>
        </w:rPr>
        <w:t xml:space="preserve"> </w:t>
      </w:r>
    </w:p>
    <w:p w14:paraId="700CCABD" w14:textId="1E9EE939" w:rsidR="00EB0249" w:rsidRPr="005F2A26" w:rsidRDefault="00EB0249" w:rsidP="00CA029D">
      <w:pPr>
        <w:pStyle w:val="EndNoteBibliography"/>
        <w:spacing w:after="0"/>
        <w:ind w:left="720" w:hanging="720"/>
        <w:contextualSpacing/>
        <w:jc w:val="left"/>
      </w:pPr>
      <w:r w:rsidRPr="005F2A26">
        <w:t>Cusumano, M.A. (2018), "The sharing economy meets reality</w:t>
      </w:r>
      <w:r w:rsidR="006C12D4" w:rsidRPr="005F2A26">
        <w:rPr>
          <w:szCs w:val="24"/>
        </w:rPr>
        <w:t>",</w:t>
      </w:r>
      <w:r w:rsidRPr="005F2A26">
        <w:t xml:space="preserve"> </w:t>
      </w:r>
      <w:r w:rsidRPr="005F2A26">
        <w:rPr>
          <w:i/>
          <w:iCs/>
        </w:rPr>
        <w:t>Communications of the ACM</w:t>
      </w:r>
      <w:r w:rsidRPr="005F2A26">
        <w:t>, Vol. 61 No. 1, pp.26-28.</w:t>
      </w:r>
    </w:p>
    <w:p w14:paraId="35CAB922" w14:textId="77777777" w:rsidR="00EB0249" w:rsidRPr="005F2A26" w:rsidRDefault="00EB0249" w:rsidP="00CA029D">
      <w:pPr>
        <w:pStyle w:val="EndNoteBibliography"/>
        <w:spacing w:after="0"/>
        <w:ind w:left="720" w:hanging="720"/>
        <w:contextualSpacing/>
        <w:jc w:val="left"/>
      </w:pPr>
      <w:r w:rsidRPr="005F2A26">
        <w:t xml:space="preserve">Danckwerts, S. and Kenning, P. (2019), "“It’s MY service, It’s MY music’: The role of psychological ownership in music streaming consumption", </w:t>
      </w:r>
      <w:r w:rsidRPr="005F2A26">
        <w:rPr>
          <w:i/>
          <w:iCs/>
        </w:rPr>
        <w:t>Psychology &amp; Marketing</w:t>
      </w:r>
      <w:r w:rsidRPr="005F2A26">
        <w:t>, Vol. 36 No. 9, pp.803-816.</w:t>
      </w:r>
    </w:p>
    <w:p w14:paraId="3D2D2C96" w14:textId="77777777" w:rsidR="00EB0249" w:rsidRPr="005F2A26" w:rsidRDefault="00EB0249" w:rsidP="00CA029D">
      <w:pPr>
        <w:pStyle w:val="EndNoteBibliography"/>
        <w:spacing w:after="0"/>
        <w:ind w:left="720" w:hanging="720"/>
        <w:contextualSpacing/>
        <w:jc w:val="left"/>
      </w:pPr>
      <w:r w:rsidRPr="005F2A26">
        <w:t xml:space="preserve">Dawkins, S., Tian, A.W., Newman, A. and Martin, A. (2017), "Psychological ownership: A review and research agenda", </w:t>
      </w:r>
      <w:r w:rsidRPr="005F2A26">
        <w:rPr>
          <w:i/>
        </w:rPr>
        <w:t>Journal of Organizational Behavior</w:t>
      </w:r>
      <w:r w:rsidRPr="005F2A26">
        <w:t>, Vol. 38 No. 2, pp.163-183.</w:t>
      </w:r>
    </w:p>
    <w:p w14:paraId="66E41A69" w14:textId="27646113" w:rsidR="00225967" w:rsidRDefault="00225967" w:rsidP="00CA029D">
      <w:pPr>
        <w:pStyle w:val="EndNoteBibliography"/>
        <w:spacing w:after="0"/>
        <w:ind w:left="720" w:hanging="720"/>
        <w:contextualSpacing/>
        <w:jc w:val="left"/>
        <w:rPr>
          <w:szCs w:val="24"/>
          <w:shd w:val="clear" w:color="auto" w:fill="FFFFFF"/>
        </w:rPr>
      </w:pPr>
      <w:r w:rsidRPr="00225967">
        <w:rPr>
          <w:szCs w:val="24"/>
          <w:shd w:val="clear" w:color="auto" w:fill="FFFFFF"/>
          <w:lang w:val="en-GB"/>
        </w:rPr>
        <w:t>Dessart, L., Veloutsou, C., &amp; Morgan-Thomas, A. (2015). Consumer engagement in online brand communities: a social media perspective. </w:t>
      </w:r>
      <w:r w:rsidRPr="00225967">
        <w:rPr>
          <w:i/>
          <w:iCs/>
          <w:szCs w:val="24"/>
          <w:shd w:val="clear" w:color="auto" w:fill="FFFFFF"/>
          <w:lang w:val="en-GB"/>
        </w:rPr>
        <w:t>Journal of Product &amp; Brand Management</w:t>
      </w:r>
      <w:r w:rsidR="00FC4903">
        <w:rPr>
          <w:szCs w:val="24"/>
          <w:shd w:val="clear" w:color="auto" w:fill="FFFFFF"/>
          <w:lang w:val="en-GB"/>
        </w:rPr>
        <w:t>, Vol. 24 No.</w:t>
      </w:r>
      <w:r w:rsidR="003A0983">
        <w:rPr>
          <w:szCs w:val="24"/>
          <w:shd w:val="clear" w:color="auto" w:fill="FFFFFF"/>
          <w:lang w:val="en-GB"/>
        </w:rPr>
        <w:t xml:space="preserve"> </w:t>
      </w:r>
      <w:r w:rsidR="00FC4903">
        <w:rPr>
          <w:szCs w:val="24"/>
          <w:shd w:val="clear" w:color="auto" w:fill="FFFFFF"/>
          <w:lang w:val="en-GB"/>
        </w:rPr>
        <w:t>1</w:t>
      </w:r>
      <w:r w:rsidR="003A0983">
        <w:rPr>
          <w:szCs w:val="24"/>
          <w:shd w:val="clear" w:color="auto" w:fill="FFFFFF"/>
          <w:lang w:val="en-GB"/>
        </w:rPr>
        <w:t>, pp.28-42.</w:t>
      </w:r>
    </w:p>
    <w:p w14:paraId="09144B2A" w14:textId="13094D38" w:rsidR="00EB0249" w:rsidRPr="005F2A26" w:rsidRDefault="00B237F7" w:rsidP="00CA029D">
      <w:pPr>
        <w:pStyle w:val="EndNoteBibliography"/>
        <w:spacing w:after="0"/>
        <w:ind w:left="720" w:hanging="720"/>
        <w:contextualSpacing/>
        <w:jc w:val="left"/>
        <w:rPr>
          <w:szCs w:val="24"/>
        </w:rPr>
      </w:pPr>
      <w:r w:rsidRPr="005F2A26">
        <w:rPr>
          <w:szCs w:val="24"/>
          <w:shd w:val="clear" w:color="auto" w:fill="FFFFFF"/>
        </w:rPr>
        <w:t>V</w:t>
      </w:r>
      <w:r w:rsidR="00EB0249" w:rsidRPr="005F2A26">
        <w:rPr>
          <w:szCs w:val="24"/>
          <w:shd w:val="clear" w:color="auto" w:fill="FFFFFF"/>
        </w:rPr>
        <w:t xml:space="preserve">an Doorn, J., Lemon, K.N., Mittal, V., Nass, S., Pick, D., Pirner, P. and Verhoef, P.C. </w:t>
      </w:r>
      <w:r w:rsidR="00EB0249" w:rsidRPr="005F2A26">
        <w:rPr>
          <w:szCs w:val="24"/>
        </w:rPr>
        <w:t>(2010), "</w:t>
      </w:r>
      <w:r w:rsidR="00EB0249" w:rsidRPr="005F2A26">
        <w:rPr>
          <w:szCs w:val="24"/>
          <w:shd w:val="clear" w:color="auto" w:fill="FFFFFF"/>
        </w:rPr>
        <w:t>Customer engagement behavior: Theoretical foundations and research directions</w:t>
      </w:r>
      <w:r w:rsidR="00EB0249" w:rsidRPr="005F2A26">
        <w:rPr>
          <w:szCs w:val="24"/>
        </w:rPr>
        <w:t xml:space="preserve">", </w:t>
      </w:r>
      <w:r w:rsidR="00EB0249" w:rsidRPr="005F2A26">
        <w:rPr>
          <w:i/>
          <w:szCs w:val="24"/>
        </w:rPr>
        <w:t>Journal of Service Research</w:t>
      </w:r>
      <w:r w:rsidR="00EB0249" w:rsidRPr="005F2A26">
        <w:rPr>
          <w:szCs w:val="24"/>
        </w:rPr>
        <w:t>, Vol. 13 No. 3, pp.253-266.</w:t>
      </w:r>
    </w:p>
    <w:p w14:paraId="5586D628"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Eckhardt, G.M., Houston, M.B., Jiang, B., Lamberton, C., Rindfleisch, A. and Zervas, G. (2019), </w:t>
      </w:r>
      <w:r w:rsidRPr="005F2A26">
        <w:rPr>
          <w:szCs w:val="24"/>
        </w:rPr>
        <w:t>"</w:t>
      </w:r>
      <w:r w:rsidRPr="005F2A26">
        <w:rPr>
          <w:color w:val="222222"/>
          <w:szCs w:val="24"/>
          <w:shd w:val="clear" w:color="auto" w:fill="FFFFFF"/>
        </w:rPr>
        <w:t>Marketing in the sharing economy</w:t>
      </w:r>
      <w:r w:rsidRPr="005F2A26">
        <w:rPr>
          <w:szCs w:val="24"/>
        </w:rPr>
        <w:t xml:space="preserve">", </w:t>
      </w:r>
      <w:r w:rsidRPr="005F2A26">
        <w:rPr>
          <w:i/>
          <w:iCs/>
          <w:color w:val="222222"/>
          <w:szCs w:val="24"/>
          <w:shd w:val="clear" w:color="auto" w:fill="FFFFFF"/>
        </w:rPr>
        <w:t>Journal of Marketing</w:t>
      </w:r>
      <w:r w:rsidRPr="005F2A26">
        <w:rPr>
          <w:color w:val="222222"/>
          <w:szCs w:val="24"/>
          <w:shd w:val="clear" w:color="auto" w:fill="FFFFFF"/>
        </w:rPr>
        <w:t>, Vol. 83 No. 5, pp.5-27.</w:t>
      </w:r>
    </w:p>
    <w:p w14:paraId="30D29745" w14:textId="5883E205" w:rsidR="00EB0249" w:rsidRPr="005F2A26" w:rsidRDefault="00EB0249" w:rsidP="00CA029D">
      <w:pPr>
        <w:pStyle w:val="EndNoteBibliography"/>
        <w:spacing w:after="0"/>
        <w:ind w:left="720" w:hanging="720"/>
        <w:contextualSpacing/>
        <w:jc w:val="left"/>
      </w:pPr>
      <w:r w:rsidRPr="005F2A26">
        <w:t>Fehrer, J.A., Benoit, S., Aksoy, L., Baker, T.L., Bell, S.J., Brodie, R.J. and Marimuthu, M. (2018</w:t>
      </w:r>
      <w:r w:rsidR="00233958">
        <w:t>a</w:t>
      </w:r>
      <w:r w:rsidRPr="005F2A26">
        <w:t xml:space="preserve">), "Future scenarios of the collaborative economy: Centrally orchestrated, social bubbles or decentralized autonomous?", </w:t>
      </w:r>
      <w:r w:rsidRPr="005F2A26">
        <w:rPr>
          <w:i/>
        </w:rPr>
        <w:t>Journal of Service Management</w:t>
      </w:r>
      <w:r w:rsidRPr="005F2A26">
        <w:t>, Vol. 29 No. 5, pp.859-882.</w:t>
      </w:r>
    </w:p>
    <w:p w14:paraId="54287BDA" w14:textId="48A0B671" w:rsidR="00204CD6" w:rsidRPr="00987432" w:rsidRDefault="00204CD6" w:rsidP="00CA029D">
      <w:pPr>
        <w:pStyle w:val="EndNoteBibliography"/>
        <w:spacing w:after="0"/>
        <w:ind w:left="720" w:hanging="720"/>
        <w:contextualSpacing/>
        <w:jc w:val="left"/>
        <w:rPr>
          <w:color w:val="222222"/>
          <w:szCs w:val="24"/>
          <w:shd w:val="clear" w:color="auto" w:fill="FFFFFF"/>
        </w:rPr>
      </w:pPr>
      <w:r>
        <w:rPr>
          <w:color w:val="222222"/>
          <w:szCs w:val="24"/>
          <w:shd w:val="clear" w:color="auto" w:fill="FFFFFF"/>
        </w:rPr>
        <w:t>Fehrer</w:t>
      </w:r>
      <w:r w:rsidR="00615493">
        <w:rPr>
          <w:color w:val="222222"/>
          <w:szCs w:val="24"/>
          <w:shd w:val="clear" w:color="auto" w:fill="FFFFFF"/>
        </w:rPr>
        <w:t>, J.A., Woratschek, H., Germelmann, C.C., and Brodie, R.J. (2018b), “Dynamics and drivers of customer engagement: Within the dyad and beyond</w:t>
      </w:r>
      <w:r w:rsidR="00F40418">
        <w:rPr>
          <w:color w:val="222222"/>
          <w:szCs w:val="24"/>
          <w:shd w:val="clear" w:color="auto" w:fill="FFFFFF"/>
        </w:rPr>
        <w:t xml:space="preserve">”, </w:t>
      </w:r>
      <w:r w:rsidR="00F40418">
        <w:rPr>
          <w:i/>
          <w:iCs/>
          <w:color w:val="222222"/>
          <w:szCs w:val="24"/>
          <w:shd w:val="clear" w:color="auto" w:fill="FFFFFF"/>
        </w:rPr>
        <w:t xml:space="preserve">Journal of Service Management, </w:t>
      </w:r>
      <w:r w:rsidR="00F40418">
        <w:rPr>
          <w:color w:val="222222"/>
          <w:szCs w:val="24"/>
          <w:shd w:val="clear" w:color="auto" w:fill="FFFFFF"/>
        </w:rPr>
        <w:t>Vol.29 No.3, pp.4</w:t>
      </w:r>
      <w:r w:rsidR="00233958">
        <w:rPr>
          <w:color w:val="222222"/>
          <w:szCs w:val="24"/>
          <w:shd w:val="clear" w:color="auto" w:fill="FFFFFF"/>
        </w:rPr>
        <w:t>43-467.</w:t>
      </w:r>
    </w:p>
    <w:p w14:paraId="1A020AA2" w14:textId="66B8A1EA"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Fehrer, J.A., Conduit, J., Plewa, C., Li, L.P., Jaakkola, E. and Alexander, M. (2020), </w:t>
      </w:r>
      <w:r w:rsidRPr="005F2A26">
        <w:rPr>
          <w:szCs w:val="24"/>
        </w:rPr>
        <w:t>"</w:t>
      </w:r>
      <w:r w:rsidRPr="005F2A26">
        <w:rPr>
          <w:color w:val="222222"/>
          <w:szCs w:val="24"/>
          <w:shd w:val="clear" w:color="auto" w:fill="FFFFFF"/>
        </w:rPr>
        <w:t>Market shaping dynamics: Interplay of actor engagement and institutional work</w:t>
      </w:r>
      <w:r w:rsidRPr="005F2A26">
        <w:rPr>
          <w:szCs w:val="24"/>
        </w:rPr>
        <w:t xml:space="preserve">", </w:t>
      </w:r>
      <w:r w:rsidRPr="005F2A26">
        <w:rPr>
          <w:i/>
          <w:iCs/>
          <w:color w:val="222222"/>
          <w:szCs w:val="24"/>
          <w:shd w:val="clear" w:color="auto" w:fill="FFFFFF"/>
        </w:rPr>
        <w:t>Journal of Business &amp; Industrial Marketing</w:t>
      </w:r>
      <w:r w:rsidRPr="005F2A26">
        <w:rPr>
          <w:color w:val="222222"/>
          <w:szCs w:val="24"/>
          <w:shd w:val="clear" w:color="auto" w:fill="FFFFFF"/>
        </w:rPr>
        <w:t xml:space="preserve">, </w:t>
      </w:r>
      <w:r w:rsidRPr="005F2A26">
        <w:rPr>
          <w:szCs w:val="24"/>
          <w:shd w:val="clear" w:color="auto" w:fill="FFFFFF"/>
        </w:rPr>
        <w:t>Vol. 35 No. 9, pp.1425-1439.</w:t>
      </w:r>
    </w:p>
    <w:p w14:paraId="5B5EB726" w14:textId="77777777" w:rsidR="00EB0249" w:rsidRPr="005F2A26" w:rsidRDefault="00EB0249" w:rsidP="00CA029D">
      <w:pPr>
        <w:pStyle w:val="EndNoteBibliography"/>
        <w:spacing w:after="0"/>
        <w:ind w:left="720" w:hanging="720"/>
        <w:contextualSpacing/>
        <w:jc w:val="left"/>
        <w:rPr>
          <w:szCs w:val="24"/>
        </w:rPr>
      </w:pPr>
      <w:r w:rsidRPr="005F2A26">
        <w:rPr>
          <w:szCs w:val="24"/>
          <w:shd w:val="clear" w:color="auto" w:fill="FFFFFF"/>
        </w:rPr>
        <w:t xml:space="preserve">Fitzmaurice, C.J., Ladegaard, I., Attwood-Charles, W., Cansoy, M., Carfagna, L.B., Schor, J.B. and Wengronowitz, R. (2020), </w:t>
      </w:r>
      <w:r w:rsidRPr="005F2A26">
        <w:t>"</w:t>
      </w:r>
      <w:r w:rsidRPr="005F2A26">
        <w:rPr>
          <w:szCs w:val="24"/>
          <w:shd w:val="clear" w:color="auto" w:fill="FFFFFF"/>
        </w:rPr>
        <w:t>Domesticating the market: Moral exchange and the sharing economy</w:t>
      </w:r>
      <w:r w:rsidRPr="005F2A26">
        <w:t xml:space="preserve">", </w:t>
      </w:r>
      <w:r w:rsidRPr="005F2A26">
        <w:rPr>
          <w:i/>
          <w:iCs/>
          <w:szCs w:val="24"/>
          <w:shd w:val="clear" w:color="auto" w:fill="FFFFFF"/>
        </w:rPr>
        <w:t>Socio-Economic Review</w:t>
      </w:r>
      <w:r w:rsidRPr="005F2A26">
        <w:rPr>
          <w:szCs w:val="24"/>
          <w:shd w:val="clear" w:color="auto" w:fill="FFFFFF"/>
        </w:rPr>
        <w:t>, Vol. 18 No. 1, pp.81-102.</w:t>
      </w:r>
      <w:r w:rsidRPr="005F2A26">
        <w:rPr>
          <w:szCs w:val="24"/>
        </w:rPr>
        <w:t xml:space="preserve"> </w:t>
      </w:r>
    </w:p>
    <w:p w14:paraId="69AB63AF" w14:textId="77777777" w:rsidR="00EB0249" w:rsidRPr="005F2A26" w:rsidRDefault="00EB0249" w:rsidP="00CA029D">
      <w:pPr>
        <w:pStyle w:val="EndNoteBibliography"/>
        <w:spacing w:after="0"/>
        <w:ind w:left="720" w:hanging="720"/>
        <w:contextualSpacing/>
        <w:jc w:val="left"/>
      </w:pPr>
      <w:r w:rsidRPr="005F2A26">
        <w:t xml:space="preserve">Fritze, M.P., Marchand, A., Eisingerich, A.B. and Benkenstein, M. (2020), "Access-based services as substitutes for material possession: The role of psychological ownership", </w:t>
      </w:r>
      <w:r w:rsidRPr="005F2A26">
        <w:rPr>
          <w:i/>
          <w:iCs/>
        </w:rPr>
        <w:t>Journal of Service Research</w:t>
      </w:r>
      <w:r w:rsidRPr="005F2A26">
        <w:t xml:space="preserve">, Vol. 23 No. 3, pp.368-385. </w:t>
      </w:r>
    </w:p>
    <w:p w14:paraId="6F1C11D4" w14:textId="77777777" w:rsidR="00EB0249" w:rsidRPr="005F2A26" w:rsidRDefault="00EB0249" w:rsidP="00CA029D">
      <w:pPr>
        <w:pStyle w:val="EndNoteBibliography"/>
        <w:spacing w:after="0"/>
        <w:ind w:left="720" w:hanging="720"/>
        <w:contextualSpacing/>
        <w:jc w:val="left"/>
      </w:pPr>
      <w:r w:rsidRPr="005F2A26">
        <w:t xml:space="preserve">Fuchs, C., Prandelli, E. and Schreier, M. (2010), "The psychological effects of empowerment strategies on consumers’ product demand", </w:t>
      </w:r>
      <w:r w:rsidRPr="005F2A26">
        <w:rPr>
          <w:i/>
          <w:iCs/>
        </w:rPr>
        <w:t>Journal of Marketing</w:t>
      </w:r>
      <w:r w:rsidRPr="005F2A26">
        <w:t>, Vol. 74 No. 1, pp.65-79.</w:t>
      </w:r>
    </w:p>
    <w:p w14:paraId="22E4E961"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Garczynski, A.M., Waldrop, J.S., Rupprecht, E.A. and Grawitch, M.J. (2013), </w:t>
      </w:r>
      <w:r w:rsidRPr="005F2A26">
        <w:rPr>
          <w:szCs w:val="24"/>
        </w:rPr>
        <w:t>"</w:t>
      </w:r>
      <w:r w:rsidRPr="005F2A26">
        <w:rPr>
          <w:color w:val="222222"/>
          <w:szCs w:val="24"/>
          <w:shd w:val="clear" w:color="auto" w:fill="FFFFFF"/>
        </w:rPr>
        <w:t>Differentiation between work and nonwork self-aspects as a predictor of presenteeism and engagement: Cross-cultural differences</w:t>
      </w:r>
      <w:r w:rsidRPr="005F2A26">
        <w:rPr>
          <w:szCs w:val="24"/>
        </w:rPr>
        <w:t xml:space="preserve">", </w:t>
      </w:r>
      <w:r w:rsidRPr="005F2A26">
        <w:rPr>
          <w:i/>
          <w:iCs/>
          <w:color w:val="222222"/>
          <w:szCs w:val="24"/>
          <w:shd w:val="clear" w:color="auto" w:fill="FFFFFF"/>
        </w:rPr>
        <w:t>Journal of Occupational Health Psychology</w:t>
      </w:r>
      <w:r w:rsidRPr="005F2A26">
        <w:rPr>
          <w:color w:val="222222"/>
          <w:szCs w:val="24"/>
          <w:shd w:val="clear" w:color="auto" w:fill="FFFFFF"/>
        </w:rPr>
        <w:t>, Vol. 18 No. 4, pp.417-429.</w:t>
      </w:r>
    </w:p>
    <w:p w14:paraId="42D9EF5A"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Gerwe, O. and Silva, R. (2020), </w:t>
      </w:r>
      <w:r w:rsidRPr="005F2A26">
        <w:rPr>
          <w:szCs w:val="24"/>
        </w:rPr>
        <w:t>"</w:t>
      </w:r>
      <w:r w:rsidRPr="005F2A26">
        <w:rPr>
          <w:color w:val="222222"/>
          <w:szCs w:val="24"/>
          <w:shd w:val="clear" w:color="auto" w:fill="FFFFFF"/>
        </w:rPr>
        <w:t>Clarifying the sharing economy: Conceptualization, typology, antecedents, and effects</w:t>
      </w:r>
      <w:r w:rsidRPr="005F2A26">
        <w:rPr>
          <w:szCs w:val="24"/>
        </w:rPr>
        <w:t xml:space="preserve">", </w:t>
      </w:r>
      <w:r w:rsidRPr="005F2A26">
        <w:rPr>
          <w:i/>
          <w:iCs/>
          <w:color w:val="222222"/>
          <w:szCs w:val="24"/>
          <w:shd w:val="clear" w:color="auto" w:fill="FFFFFF"/>
        </w:rPr>
        <w:t>Academy of Management Perspectives</w:t>
      </w:r>
      <w:r w:rsidRPr="005F2A26">
        <w:rPr>
          <w:color w:val="222222"/>
          <w:szCs w:val="24"/>
          <w:shd w:val="clear" w:color="auto" w:fill="FFFFFF"/>
        </w:rPr>
        <w:t>, Vol. 34 No. 1, pp.65-96.</w:t>
      </w:r>
    </w:p>
    <w:p w14:paraId="3DC0239E" w14:textId="566CCD7F" w:rsidR="00EB0249" w:rsidRPr="005F2A26" w:rsidRDefault="00EB0249" w:rsidP="00CA029D">
      <w:pPr>
        <w:pStyle w:val="EndNoteBibliography"/>
        <w:spacing w:after="0"/>
        <w:ind w:left="720" w:hanging="720"/>
        <w:contextualSpacing/>
        <w:jc w:val="left"/>
        <w:rPr>
          <w:color w:val="222222"/>
          <w:sz w:val="32"/>
          <w:szCs w:val="32"/>
          <w:shd w:val="clear" w:color="auto" w:fill="FFFFFF"/>
        </w:rPr>
      </w:pPr>
      <w:r w:rsidRPr="005F2A26">
        <w:rPr>
          <w:color w:val="222222"/>
          <w:szCs w:val="24"/>
          <w:shd w:val="clear" w:color="auto" w:fill="FFFFFF"/>
        </w:rPr>
        <w:t xml:space="preserve">Gibson, C.B. (2001), </w:t>
      </w:r>
      <w:r w:rsidRPr="005F2A26">
        <w:rPr>
          <w:szCs w:val="24"/>
        </w:rPr>
        <w:t>"</w:t>
      </w:r>
      <w:r w:rsidRPr="005F2A26">
        <w:rPr>
          <w:color w:val="222222"/>
          <w:szCs w:val="24"/>
          <w:shd w:val="clear" w:color="auto" w:fill="FFFFFF"/>
        </w:rPr>
        <w:t>From knowledge accumulation to accommodation: Cycles of collective cognition in work groups</w:t>
      </w:r>
      <w:r w:rsidRPr="005F2A26">
        <w:rPr>
          <w:szCs w:val="24"/>
        </w:rPr>
        <w:t>",</w:t>
      </w:r>
      <w:r w:rsidRPr="005F2A26">
        <w:rPr>
          <w:color w:val="222222"/>
          <w:szCs w:val="24"/>
          <w:shd w:val="clear" w:color="auto" w:fill="FFFFFF"/>
        </w:rPr>
        <w:t> </w:t>
      </w:r>
      <w:r w:rsidRPr="005F2A26">
        <w:rPr>
          <w:i/>
          <w:iCs/>
          <w:color w:val="222222"/>
          <w:szCs w:val="24"/>
          <w:shd w:val="clear" w:color="auto" w:fill="FFFFFF"/>
        </w:rPr>
        <w:t>Journal of Organizational Behavior</w:t>
      </w:r>
      <w:r w:rsidRPr="005F2A26">
        <w:rPr>
          <w:color w:val="222222"/>
          <w:szCs w:val="24"/>
          <w:shd w:val="clear" w:color="auto" w:fill="FFFFFF"/>
        </w:rPr>
        <w:t>, Vol. 22 No. 2, pp.121-134.</w:t>
      </w:r>
    </w:p>
    <w:p w14:paraId="52DBA114" w14:textId="77777777" w:rsidR="00EB0249" w:rsidRPr="005F2A26" w:rsidRDefault="00EB0249" w:rsidP="00CA029D">
      <w:pPr>
        <w:pStyle w:val="EndNoteBibliography"/>
        <w:spacing w:after="0"/>
        <w:ind w:left="720" w:hanging="720"/>
        <w:contextualSpacing/>
        <w:jc w:val="left"/>
      </w:pPr>
      <w:r w:rsidRPr="005F2A26">
        <w:lastRenderedPageBreak/>
        <w:t xml:space="preserve">Grönroos, C. and Voima, P. (2013), "Service logic: Making sense of value creation and co-creation", </w:t>
      </w:r>
      <w:r w:rsidRPr="005F2A26">
        <w:rPr>
          <w:i/>
        </w:rPr>
        <w:t>Journal of the Academy of Marketing Science</w:t>
      </w:r>
      <w:r w:rsidRPr="005F2A26">
        <w:t>, Vol. 41 No. 2, pp.133-150.</w:t>
      </w:r>
    </w:p>
    <w:p w14:paraId="1CE9E066" w14:textId="77777777" w:rsidR="00EB0249" w:rsidRPr="005F2A26" w:rsidRDefault="00EB0249" w:rsidP="00CA029D">
      <w:pPr>
        <w:pStyle w:val="EndNoteBibliography"/>
        <w:spacing w:after="0"/>
        <w:ind w:left="720" w:hanging="720"/>
        <w:contextualSpacing/>
        <w:jc w:val="left"/>
        <w:rPr>
          <w:rFonts w:eastAsiaTheme="minorEastAsia"/>
          <w:szCs w:val="24"/>
          <w:shd w:val="clear" w:color="auto" w:fill="FFFFFF"/>
          <w:lang w:eastAsia="zh-CN"/>
        </w:rPr>
      </w:pPr>
      <w:r w:rsidRPr="005F2A26">
        <w:rPr>
          <w:rFonts w:eastAsiaTheme="minorEastAsia"/>
          <w:szCs w:val="24"/>
          <w:shd w:val="clear" w:color="auto" w:fill="FFFFFF"/>
          <w:lang w:eastAsia="zh-CN"/>
        </w:rPr>
        <w:t xml:space="preserve">Hamari, J., Sjöklint, M. and Ukkonen, A. (2015), </w:t>
      </w:r>
      <w:r w:rsidRPr="005F2A26">
        <w:rPr>
          <w:szCs w:val="24"/>
        </w:rPr>
        <w:t>"</w:t>
      </w:r>
      <w:r w:rsidRPr="005F2A26">
        <w:rPr>
          <w:rFonts w:eastAsiaTheme="minorEastAsia"/>
          <w:szCs w:val="24"/>
          <w:shd w:val="clear" w:color="auto" w:fill="FFFFFF"/>
          <w:lang w:eastAsia="zh-CN"/>
        </w:rPr>
        <w:t>The sharing economy: Why people participate in collaborative consumption</w:t>
      </w:r>
      <w:r w:rsidRPr="005F2A26">
        <w:rPr>
          <w:szCs w:val="24"/>
        </w:rPr>
        <w:t>"</w:t>
      </w:r>
      <w:r w:rsidRPr="005F2A26">
        <w:rPr>
          <w:rFonts w:eastAsiaTheme="minorEastAsia"/>
          <w:szCs w:val="24"/>
          <w:shd w:val="clear" w:color="auto" w:fill="FFFFFF"/>
          <w:lang w:eastAsia="zh-CN"/>
        </w:rPr>
        <w:t xml:space="preserve">, </w:t>
      </w:r>
      <w:r w:rsidRPr="005F2A26">
        <w:rPr>
          <w:rFonts w:eastAsiaTheme="minorEastAsia"/>
          <w:i/>
          <w:iCs/>
          <w:szCs w:val="24"/>
          <w:shd w:val="clear" w:color="auto" w:fill="FFFFFF"/>
          <w:lang w:eastAsia="zh-CN"/>
        </w:rPr>
        <w:t xml:space="preserve">Journal of the Association for Information Science and Technology, </w:t>
      </w:r>
      <w:r w:rsidRPr="005F2A26">
        <w:rPr>
          <w:rFonts w:eastAsiaTheme="minorEastAsia"/>
          <w:iCs/>
          <w:szCs w:val="24"/>
          <w:shd w:val="clear" w:color="auto" w:fill="FFFFFF"/>
          <w:lang w:eastAsia="zh-CN"/>
        </w:rPr>
        <w:t>Vol. 67 No. 9, pp.2047-2059</w:t>
      </w:r>
      <w:r w:rsidRPr="005F2A26">
        <w:rPr>
          <w:rFonts w:eastAsiaTheme="minorEastAsia"/>
          <w:szCs w:val="24"/>
          <w:shd w:val="clear" w:color="auto" w:fill="FFFFFF"/>
          <w:lang w:eastAsia="zh-CN"/>
        </w:rPr>
        <w:t>.</w:t>
      </w:r>
    </w:p>
    <w:p w14:paraId="53525F3A" w14:textId="77777777" w:rsidR="00EB0249" w:rsidRPr="005F2A26" w:rsidRDefault="00EB0249" w:rsidP="00CA029D">
      <w:pPr>
        <w:autoSpaceDE w:val="0"/>
        <w:autoSpaceDN w:val="0"/>
        <w:adjustRightInd w:val="0"/>
        <w:spacing w:after="0" w:line="240" w:lineRule="auto"/>
        <w:ind w:left="720" w:hanging="720"/>
        <w:contextualSpacing/>
        <w:jc w:val="left"/>
        <w:rPr>
          <w:lang w:val="en-US"/>
        </w:rPr>
      </w:pPr>
      <w:proofErr w:type="spellStart"/>
      <w:r w:rsidRPr="005F2A26">
        <w:rPr>
          <w:lang w:val="en-US"/>
        </w:rPr>
        <w:t>Hawlitschek</w:t>
      </w:r>
      <w:proofErr w:type="spellEnd"/>
      <w:r w:rsidRPr="005F2A26">
        <w:rPr>
          <w:lang w:val="en-US"/>
        </w:rPr>
        <w:t xml:space="preserve">, F., Teubner, T. and </w:t>
      </w:r>
      <w:proofErr w:type="spellStart"/>
      <w:r w:rsidRPr="005F2A26">
        <w:rPr>
          <w:lang w:val="en-US"/>
        </w:rPr>
        <w:t>Gimpel</w:t>
      </w:r>
      <w:proofErr w:type="spellEnd"/>
      <w:r w:rsidRPr="005F2A26">
        <w:rPr>
          <w:lang w:val="en-US"/>
        </w:rPr>
        <w:t>, H. (2018), "Consumer motives for peer-to-peer sharing", </w:t>
      </w:r>
      <w:r w:rsidRPr="005F2A26">
        <w:rPr>
          <w:i/>
          <w:iCs/>
          <w:lang w:val="en-US"/>
        </w:rPr>
        <w:t>Journal of Cleaner Production</w:t>
      </w:r>
      <w:r w:rsidRPr="005F2A26">
        <w:rPr>
          <w:lang w:val="en-US"/>
        </w:rPr>
        <w:t>, Vol. 204, pp.144-157.</w:t>
      </w:r>
    </w:p>
    <w:p w14:paraId="1A1C1A6D"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color w:val="222222"/>
          <w:szCs w:val="24"/>
          <w:shd w:val="clear" w:color="auto" w:fill="FFFFFF"/>
          <w:lang w:val="en-US"/>
        </w:rPr>
      </w:pPr>
      <w:proofErr w:type="spellStart"/>
      <w:r w:rsidRPr="005F2A26">
        <w:rPr>
          <w:rFonts w:cs="Times New Roman"/>
          <w:color w:val="222222"/>
          <w:szCs w:val="24"/>
          <w:shd w:val="clear" w:color="auto" w:fill="FFFFFF"/>
          <w:lang w:val="en-US"/>
        </w:rPr>
        <w:t>Hazée</w:t>
      </w:r>
      <w:proofErr w:type="spellEnd"/>
      <w:r w:rsidRPr="005F2A26">
        <w:rPr>
          <w:rFonts w:cs="Times New Roman"/>
          <w:color w:val="222222"/>
          <w:szCs w:val="24"/>
          <w:shd w:val="clear" w:color="auto" w:fill="FFFFFF"/>
          <w:lang w:val="en-US"/>
        </w:rPr>
        <w:t xml:space="preserve">, S., </w:t>
      </w:r>
      <w:proofErr w:type="spellStart"/>
      <w:r w:rsidRPr="005F2A26">
        <w:rPr>
          <w:rFonts w:cs="Times New Roman"/>
          <w:color w:val="222222"/>
          <w:szCs w:val="24"/>
          <w:shd w:val="clear" w:color="auto" w:fill="FFFFFF"/>
          <w:lang w:val="en-US"/>
        </w:rPr>
        <w:t>Zwienenberg</w:t>
      </w:r>
      <w:proofErr w:type="spellEnd"/>
      <w:r w:rsidRPr="005F2A26">
        <w:rPr>
          <w:rFonts w:cs="Times New Roman"/>
          <w:color w:val="222222"/>
          <w:szCs w:val="24"/>
          <w:shd w:val="clear" w:color="auto" w:fill="FFFFFF"/>
          <w:lang w:val="en-US"/>
        </w:rPr>
        <w:t xml:space="preserve">, T.J., Van </w:t>
      </w:r>
      <w:proofErr w:type="spellStart"/>
      <w:r w:rsidRPr="005F2A26">
        <w:rPr>
          <w:rFonts w:cs="Times New Roman"/>
          <w:color w:val="222222"/>
          <w:szCs w:val="24"/>
          <w:shd w:val="clear" w:color="auto" w:fill="FFFFFF"/>
          <w:lang w:val="en-US"/>
        </w:rPr>
        <w:t>Vaerenbergh</w:t>
      </w:r>
      <w:proofErr w:type="spellEnd"/>
      <w:r w:rsidRPr="005F2A26">
        <w:rPr>
          <w:rFonts w:cs="Times New Roman"/>
          <w:color w:val="222222"/>
          <w:szCs w:val="24"/>
          <w:shd w:val="clear" w:color="auto" w:fill="FFFFFF"/>
          <w:lang w:val="en-US"/>
        </w:rPr>
        <w:t xml:space="preserve">, Y., </w:t>
      </w:r>
      <w:proofErr w:type="spellStart"/>
      <w:r w:rsidRPr="005F2A26">
        <w:rPr>
          <w:rFonts w:cs="Times New Roman"/>
          <w:color w:val="222222"/>
          <w:szCs w:val="24"/>
          <w:shd w:val="clear" w:color="auto" w:fill="FFFFFF"/>
          <w:lang w:val="en-US"/>
        </w:rPr>
        <w:t>Faseur</w:t>
      </w:r>
      <w:proofErr w:type="spellEnd"/>
      <w:r w:rsidRPr="005F2A26">
        <w:rPr>
          <w:rFonts w:cs="Times New Roman"/>
          <w:color w:val="222222"/>
          <w:szCs w:val="24"/>
          <w:shd w:val="clear" w:color="auto" w:fill="FFFFFF"/>
          <w:lang w:val="en-US"/>
        </w:rPr>
        <w:t xml:space="preserve">, T., </w:t>
      </w:r>
      <w:proofErr w:type="spellStart"/>
      <w:r w:rsidRPr="005F2A26">
        <w:rPr>
          <w:rFonts w:cs="Times New Roman"/>
          <w:color w:val="222222"/>
          <w:szCs w:val="24"/>
          <w:shd w:val="clear" w:color="auto" w:fill="FFFFFF"/>
          <w:lang w:val="en-US"/>
        </w:rPr>
        <w:t>Vandenberghe</w:t>
      </w:r>
      <w:proofErr w:type="spellEnd"/>
      <w:r w:rsidRPr="005F2A26">
        <w:rPr>
          <w:rFonts w:cs="Times New Roman"/>
          <w:color w:val="222222"/>
          <w:szCs w:val="24"/>
          <w:shd w:val="clear" w:color="auto" w:fill="FFFFFF"/>
          <w:lang w:val="en-US"/>
        </w:rPr>
        <w:t xml:space="preserve">, A. and </w:t>
      </w:r>
      <w:proofErr w:type="spellStart"/>
      <w:r w:rsidRPr="005F2A26">
        <w:rPr>
          <w:rFonts w:cs="Times New Roman"/>
          <w:color w:val="222222"/>
          <w:szCs w:val="24"/>
          <w:shd w:val="clear" w:color="auto" w:fill="FFFFFF"/>
          <w:lang w:val="en-US"/>
        </w:rPr>
        <w:t>Keutgens</w:t>
      </w:r>
      <w:proofErr w:type="spellEnd"/>
      <w:r w:rsidRPr="005F2A26">
        <w:rPr>
          <w:rFonts w:cs="Times New Roman"/>
          <w:color w:val="222222"/>
          <w:szCs w:val="24"/>
          <w:shd w:val="clear" w:color="auto" w:fill="FFFFFF"/>
          <w:lang w:val="en-US"/>
        </w:rPr>
        <w:t xml:space="preserve">, O. (2020), </w:t>
      </w:r>
      <w:r w:rsidRPr="005F2A26">
        <w:rPr>
          <w:rFonts w:cs="Times New Roman"/>
          <w:szCs w:val="24"/>
          <w:lang w:val="en-US"/>
        </w:rPr>
        <w:t>"</w:t>
      </w:r>
      <w:r w:rsidRPr="005F2A26">
        <w:rPr>
          <w:rFonts w:cs="Times New Roman"/>
          <w:color w:val="222222"/>
          <w:szCs w:val="24"/>
          <w:shd w:val="clear" w:color="auto" w:fill="FFFFFF"/>
          <w:lang w:val="en-US"/>
        </w:rPr>
        <w:t>Why customers and peer service providers do not participate in collaborative consumption</w:t>
      </w:r>
      <w:r w:rsidRPr="005F2A26">
        <w:rPr>
          <w:rFonts w:cs="Times New Roman"/>
          <w:szCs w:val="24"/>
          <w:lang w:val="en-US"/>
        </w:rPr>
        <w:t>",</w:t>
      </w:r>
      <w:r w:rsidRPr="005F2A26">
        <w:rPr>
          <w:rFonts w:cs="Times New Roman"/>
          <w:color w:val="222222"/>
          <w:szCs w:val="24"/>
          <w:shd w:val="clear" w:color="auto" w:fill="FFFFFF"/>
          <w:lang w:val="en-US"/>
        </w:rPr>
        <w:t> </w:t>
      </w:r>
      <w:r w:rsidRPr="005F2A26">
        <w:rPr>
          <w:rFonts w:cs="Times New Roman"/>
          <w:i/>
          <w:iCs/>
          <w:color w:val="222222"/>
          <w:szCs w:val="24"/>
          <w:shd w:val="clear" w:color="auto" w:fill="FFFFFF"/>
          <w:lang w:val="en-US"/>
        </w:rPr>
        <w:t>Journal of Service Management</w:t>
      </w:r>
      <w:r w:rsidRPr="005F2A26">
        <w:rPr>
          <w:rFonts w:cs="Times New Roman"/>
          <w:color w:val="222222"/>
          <w:szCs w:val="24"/>
          <w:shd w:val="clear" w:color="auto" w:fill="FFFFFF"/>
          <w:lang w:val="en-US"/>
        </w:rPr>
        <w:t>, Vol. 31 No. 3, pp.397-419.</w:t>
      </w:r>
    </w:p>
    <w:p w14:paraId="432E7FB8"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szCs w:val="24"/>
          <w:shd w:val="clear" w:color="auto" w:fill="FFFFFF"/>
          <w:lang w:val="en-US"/>
        </w:rPr>
      </w:pPr>
      <w:r w:rsidRPr="005F2A26">
        <w:rPr>
          <w:rFonts w:cs="Times New Roman"/>
          <w:szCs w:val="24"/>
          <w:shd w:val="clear" w:color="auto" w:fill="FFFFFF"/>
          <w:lang w:val="en-US"/>
        </w:rPr>
        <w:t>Hofmann, E., </w:t>
      </w:r>
      <w:proofErr w:type="spellStart"/>
      <w:r w:rsidRPr="005F2A26">
        <w:rPr>
          <w:rFonts w:cs="Times New Roman"/>
          <w:szCs w:val="24"/>
          <w:shd w:val="clear" w:color="auto" w:fill="FFFFFF"/>
          <w:lang w:val="en-US"/>
        </w:rPr>
        <w:t>Hartl</w:t>
      </w:r>
      <w:proofErr w:type="spellEnd"/>
      <w:r w:rsidRPr="005F2A26">
        <w:rPr>
          <w:rFonts w:cs="Times New Roman"/>
          <w:szCs w:val="24"/>
          <w:shd w:val="clear" w:color="auto" w:fill="FFFFFF"/>
          <w:lang w:val="en-US"/>
        </w:rPr>
        <w:t>, B. and </w:t>
      </w:r>
      <w:proofErr w:type="spellStart"/>
      <w:r w:rsidRPr="005F2A26">
        <w:rPr>
          <w:rFonts w:cs="Times New Roman"/>
          <w:szCs w:val="24"/>
          <w:shd w:val="clear" w:color="auto" w:fill="FFFFFF"/>
          <w:lang w:val="en-US"/>
        </w:rPr>
        <w:t>Penz</w:t>
      </w:r>
      <w:proofErr w:type="spellEnd"/>
      <w:r w:rsidRPr="005F2A26">
        <w:rPr>
          <w:rFonts w:cs="Times New Roman"/>
          <w:szCs w:val="24"/>
          <w:shd w:val="clear" w:color="auto" w:fill="FFFFFF"/>
          <w:lang w:val="en-US"/>
        </w:rPr>
        <w:t>, E. (2017), "Power versus trust – What matters more in collaborative consumption?", </w:t>
      </w:r>
      <w:r w:rsidRPr="005F2A26">
        <w:rPr>
          <w:rFonts w:cs="Times New Roman"/>
          <w:i/>
          <w:iCs/>
          <w:szCs w:val="24"/>
          <w:lang w:val="en-US"/>
        </w:rPr>
        <w:t>Journal of Services Marketing</w:t>
      </w:r>
      <w:r w:rsidRPr="005F2A26">
        <w:rPr>
          <w:rFonts w:cs="Times New Roman"/>
          <w:szCs w:val="24"/>
          <w:shd w:val="clear" w:color="auto" w:fill="FFFFFF"/>
          <w:lang w:val="en-US"/>
        </w:rPr>
        <w:t>, Vol. 31 No. 6, pp.589-603.</w:t>
      </w:r>
    </w:p>
    <w:p w14:paraId="69E6918E"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color w:val="222222"/>
          <w:szCs w:val="24"/>
          <w:shd w:val="clear" w:color="auto" w:fill="FFFFFF"/>
          <w:lang w:val="en-US"/>
        </w:rPr>
      </w:pPr>
      <w:proofErr w:type="spellStart"/>
      <w:r w:rsidRPr="005F2A26">
        <w:rPr>
          <w:rFonts w:cs="Times New Roman"/>
          <w:color w:val="222222"/>
          <w:szCs w:val="24"/>
          <w:shd w:val="clear" w:color="auto" w:fill="FFFFFF"/>
          <w:lang w:val="en-US"/>
        </w:rPr>
        <w:t>Hollebeek</w:t>
      </w:r>
      <w:proofErr w:type="spellEnd"/>
      <w:r w:rsidRPr="005F2A26">
        <w:rPr>
          <w:rFonts w:cs="Times New Roman"/>
          <w:color w:val="222222"/>
          <w:szCs w:val="24"/>
          <w:shd w:val="clear" w:color="auto" w:fill="FFFFFF"/>
          <w:lang w:val="en-US"/>
        </w:rPr>
        <w:t xml:space="preserve">, L.D., Glynn, M.S. and Brodie, R.J. (2014), </w:t>
      </w:r>
      <w:r w:rsidRPr="005F2A26">
        <w:rPr>
          <w:rFonts w:cs="Times New Roman"/>
          <w:szCs w:val="24"/>
          <w:shd w:val="clear" w:color="auto" w:fill="FFFFFF"/>
          <w:lang w:val="en-US"/>
        </w:rPr>
        <w:t>"</w:t>
      </w:r>
      <w:r w:rsidRPr="005F2A26">
        <w:rPr>
          <w:rFonts w:cs="Times New Roman"/>
          <w:color w:val="222222"/>
          <w:szCs w:val="24"/>
          <w:shd w:val="clear" w:color="auto" w:fill="FFFFFF"/>
          <w:lang w:val="en-US"/>
        </w:rPr>
        <w:t>Consumer brand engagement in social media: Conceptualization, scale development and validation</w:t>
      </w:r>
      <w:r w:rsidRPr="005F2A26">
        <w:rPr>
          <w:rFonts w:cs="Times New Roman"/>
          <w:szCs w:val="24"/>
          <w:shd w:val="clear" w:color="auto" w:fill="FFFFFF"/>
          <w:lang w:val="en-US"/>
        </w:rPr>
        <w:t xml:space="preserve">", </w:t>
      </w:r>
      <w:r w:rsidRPr="005F2A26">
        <w:rPr>
          <w:rFonts w:cs="Times New Roman"/>
          <w:i/>
          <w:iCs/>
          <w:color w:val="222222"/>
          <w:szCs w:val="24"/>
          <w:shd w:val="clear" w:color="auto" w:fill="FFFFFF"/>
          <w:lang w:val="en-US"/>
        </w:rPr>
        <w:t>Journal of Interactive Marketing</w:t>
      </w:r>
      <w:r w:rsidRPr="005F2A26">
        <w:rPr>
          <w:rFonts w:cs="Times New Roman"/>
          <w:color w:val="222222"/>
          <w:szCs w:val="24"/>
          <w:shd w:val="clear" w:color="auto" w:fill="FFFFFF"/>
          <w:lang w:val="en-US"/>
        </w:rPr>
        <w:t>, Vol. 28 No. 2, pp.149-165.</w:t>
      </w:r>
    </w:p>
    <w:p w14:paraId="4D6ADB03"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szCs w:val="24"/>
          <w:shd w:val="clear" w:color="auto" w:fill="FFFFFF"/>
          <w:lang w:val="en-US"/>
        </w:rPr>
      </w:pPr>
      <w:proofErr w:type="spellStart"/>
      <w:r w:rsidRPr="005F2A26">
        <w:rPr>
          <w:rFonts w:cs="Times New Roman"/>
          <w:color w:val="222222"/>
          <w:szCs w:val="24"/>
          <w:shd w:val="clear" w:color="auto" w:fill="FFFFFF"/>
          <w:lang w:val="en-US"/>
        </w:rPr>
        <w:t>Hollebeek</w:t>
      </w:r>
      <w:proofErr w:type="spellEnd"/>
      <w:r w:rsidRPr="005F2A26">
        <w:rPr>
          <w:rFonts w:cs="Times New Roman"/>
          <w:color w:val="222222"/>
          <w:szCs w:val="24"/>
          <w:shd w:val="clear" w:color="auto" w:fill="FFFFFF"/>
          <w:lang w:val="en-US"/>
        </w:rPr>
        <w:t xml:space="preserve">, L.D., Srivastava, R.K. and Chen, T. (2019), </w:t>
      </w:r>
      <w:r w:rsidRPr="005F2A26">
        <w:rPr>
          <w:rFonts w:cs="Times New Roman"/>
          <w:szCs w:val="24"/>
          <w:shd w:val="clear" w:color="auto" w:fill="FFFFFF"/>
          <w:lang w:val="en-US"/>
        </w:rPr>
        <w:t>"</w:t>
      </w:r>
      <w:r w:rsidRPr="005F2A26">
        <w:rPr>
          <w:rFonts w:cs="Times New Roman"/>
          <w:color w:val="222222"/>
          <w:szCs w:val="24"/>
          <w:shd w:val="clear" w:color="auto" w:fill="FFFFFF"/>
          <w:lang w:val="en-US"/>
        </w:rPr>
        <w:t>SD logic–informed customer engagement: Integrative framework, revised fundamental propositions, and application to CRM</w:t>
      </w:r>
      <w:r w:rsidRPr="005F2A26">
        <w:rPr>
          <w:rFonts w:cs="Times New Roman"/>
          <w:szCs w:val="24"/>
          <w:shd w:val="clear" w:color="auto" w:fill="FFFFFF"/>
          <w:lang w:val="en-US"/>
        </w:rPr>
        <w:t xml:space="preserve">", </w:t>
      </w:r>
      <w:r w:rsidRPr="005F2A26">
        <w:rPr>
          <w:rFonts w:cs="Times New Roman"/>
          <w:i/>
          <w:iCs/>
          <w:color w:val="222222"/>
          <w:szCs w:val="24"/>
          <w:shd w:val="clear" w:color="auto" w:fill="FFFFFF"/>
          <w:lang w:val="en-US"/>
        </w:rPr>
        <w:t>Journal of the Academy of Marketing Science</w:t>
      </w:r>
      <w:r w:rsidRPr="005F2A26">
        <w:rPr>
          <w:rFonts w:cs="Times New Roman"/>
          <w:color w:val="222222"/>
          <w:szCs w:val="24"/>
          <w:shd w:val="clear" w:color="auto" w:fill="FFFFFF"/>
          <w:lang w:val="en-US"/>
        </w:rPr>
        <w:t>, Vol. 47 No. 1, pp.161-185.</w:t>
      </w:r>
    </w:p>
    <w:p w14:paraId="1760E78C" w14:textId="77777777" w:rsidR="00EB0249" w:rsidRPr="005F2A26" w:rsidRDefault="00EB0249" w:rsidP="00CA029D">
      <w:pPr>
        <w:autoSpaceDE w:val="0"/>
        <w:autoSpaceDN w:val="0"/>
        <w:adjustRightInd w:val="0"/>
        <w:spacing w:after="0" w:line="240" w:lineRule="auto"/>
        <w:ind w:left="720" w:hanging="720"/>
        <w:contextualSpacing/>
        <w:jc w:val="left"/>
        <w:rPr>
          <w:rFonts w:eastAsiaTheme="minorEastAsia" w:cs="Times New Roman"/>
          <w:szCs w:val="24"/>
          <w:lang w:val="en-US" w:eastAsia="zh-CN"/>
        </w:rPr>
      </w:pPr>
      <w:r w:rsidRPr="005F2A26">
        <w:rPr>
          <w:rFonts w:eastAsiaTheme="minorEastAsia" w:cs="Times New Roman"/>
          <w:szCs w:val="24"/>
          <w:lang w:val="en-US" w:eastAsia="zh-CN"/>
        </w:rPr>
        <w:t xml:space="preserve">Hwang, J. and Griffiths, M.A. (2017), </w:t>
      </w:r>
      <w:r w:rsidRPr="005F2A26">
        <w:rPr>
          <w:rFonts w:cs="Times New Roman"/>
          <w:szCs w:val="24"/>
          <w:lang w:val="en-US"/>
        </w:rPr>
        <w:t>"</w:t>
      </w:r>
      <w:r w:rsidRPr="005F2A26">
        <w:rPr>
          <w:rFonts w:eastAsiaTheme="minorEastAsia" w:cs="Times New Roman"/>
          <w:szCs w:val="24"/>
          <w:lang w:val="en-US" w:eastAsia="zh-CN"/>
        </w:rPr>
        <w:t>Share more, drive less: Millennials value perception and behavioral intent in using collaborative consumption services</w:t>
      </w:r>
      <w:r w:rsidRPr="005F2A26">
        <w:rPr>
          <w:rFonts w:cs="Times New Roman"/>
          <w:szCs w:val="24"/>
          <w:lang w:val="en-US"/>
        </w:rPr>
        <w:t>"</w:t>
      </w:r>
      <w:r w:rsidRPr="005F2A26">
        <w:rPr>
          <w:rFonts w:eastAsiaTheme="minorEastAsia" w:cs="Times New Roman"/>
          <w:szCs w:val="24"/>
          <w:lang w:val="en-US" w:eastAsia="zh-CN"/>
        </w:rPr>
        <w:t xml:space="preserve">, </w:t>
      </w:r>
      <w:r w:rsidRPr="005F2A26">
        <w:rPr>
          <w:rFonts w:eastAsiaTheme="minorEastAsia" w:cs="Times New Roman"/>
          <w:i/>
          <w:iCs/>
          <w:szCs w:val="24"/>
          <w:lang w:val="en-US" w:eastAsia="zh-CN"/>
        </w:rPr>
        <w:t>Journal of Consumer Marketing</w:t>
      </w:r>
      <w:r w:rsidRPr="005F2A26">
        <w:rPr>
          <w:rFonts w:eastAsiaTheme="minorEastAsia" w:cs="Times New Roman"/>
          <w:szCs w:val="24"/>
          <w:lang w:val="en-US" w:eastAsia="zh-CN"/>
        </w:rPr>
        <w:t xml:space="preserve">, Vol. </w:t>
      </w:r>
      <w:r w:rsidRPr="005F2A26">
        <w:rPr>
          <w:rFonts w:eastAsiaTheme="minorEastAsia" w:cs="Times New Roman"/>
          <w:iCs/>
          <w:szCs w:val="24"/>
          <w:lang w:val="en-US" w:eastAsia="zh-CN"/>
        </w:rPr>
        <w:t>34</w:t>
      </w:r>
      <w:r w:rsidRPr="005F2A26">
        <w:rPr>
          <w:rFonts w:eastAsiaTheme="minorEastAsia" w:cs="Times New Roman"/>
          <w:szCs w:val="24"/>
          <w:lang w:val="en-US" w:eastAsia="zh-CN"/>
        </w:rPr>
        <w:t xml:space="preserve"> No. 2, pp.132-146.</w:t>
      </w:r>
    </w:p>
    <w:p w14:paraId="7B9F9715"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color w:val="222222"/>
          <w:szCs w:val="24"/>
          <w:shd w:val="clear" w:color="auto" w:fill="FFFFFF"/>
          <w:lang w:val="en-US"/>
        </w:rPr>
      </w:pPr>
      <w:r w:rsidRPr="005F2A26">
        <w:rPr>
          <w:rFonts w:cs="Times New Roman"/>
          <w:color w:val="222222"/>
          <w:szCs w:val="24"/>
          <w:shd w:val="clear" w:color="auto" w:fill="FFFFFF"/>
          <w:lang w:val="en-US"/>
        </w:rPr>
        <w:t xml:space="preserve">Islam, J.U., </w:t>
      </w:r>
      <w:proofErr w:type="spellStart"/>
      <w:r w:rsidRPr="005F2A26">
        <w:rPr>
          <w:rFonts w:cs="Times New Roman"/>
          <w:color w:val="222222"/>
          <w:szCs w:val="24"/>
          <w:shd w:val="clear" w:color="auto" w:fill="FFFFFF"/>
          <w:lang w:val="en-US"/>
        </w:rPr>
        <w:t>Hollebeek</w:t>
      </w:r>
      <w:proofErr w:type="spellEnd"/>
      <w:r w:rsidRPr="005F2A26">
        <w:rPr>
          <w:rFonts w:cs="Times New Roman"/>
          <w:color w:val="222222"/>
          <w:szCs w:val="24"/>
          <w:shd w:val="clear" w:color="auto" w:fill="FFFFFF"/>
          <w:lang w:val="en-US"/>
        </w:rPr>
        <w:t xml:space="preserve">, L.D., Rahman, Z., Khan, I. and Rasool, A. (2019), </w:t>
      </w:r>
      <w:r w:rsidRPr="005F2A26">
        <w:rPr>
          <w:rFonts w:cs="Times New Roman"/>
          <w:szCs w:val="24"/>
          <w:lang w:val="en-US"/>
        </w:rPr>
        <w:t>"</w:t>
      </w:r>
      <w:r w:rsidRPr="005F2A26">
        <w:rPr>
          <w:rFonts w:cs="Times New Roman"/>
          <w:color w:val="222222"/>
          <w:szCs w:val="24"/>
          <w:shd w:val="clear" w:color="auto" w:fill="FFFFFF"/>
          <w:lang w:val="en-US"/>
        </w:rPr>
        <w:t>Customer engagement in the service context: An empirical investigation of the construct, its antecedents and consequences</w:t>
      </w:r>
      <w:r w:rsidRPr="005F2A26">
        <w:rPr>
          <w:rFonts w:cs="Times New Roman"/>
          <w:szCs w:val="24"/>
          <w:lang w:val="en-US"/>
        </w:rPr>
        <w:t xml:space="preserve">", </w:t>
      </w:r>
      <w:r w:rsidRPr="005F2A26">
        <w:rPr>
          <w:rFonts w:cs="Times New Roman"/>
          <w:i/>
          <w:iCs/>
          <w:color w:val="222222"/>
          <w:szCs w:val="24"/>
          <w:shd w:val="clear" w:color="auto" w:fill="FFFFFF"/>
          <w:lang w:val="en-US"/>
        </w:rPr>
        <w:t>Journal of Retailing and Consumer Services</w:t>
      </w:r>
      <w:r w:rsidRPr="005F2A26">
        <w:rPr>
          <w:rFonts w:cs="Times New Roman"/>
          <w:color w:val="222222"/>
          <w:szCs w:val="24"/>
          <w:shd w:val="clear" w:color="auto" w:fill="FFFFFF"/>
          <w:lang w:val="en-US"/>
        </w:rPr>
        <w:t>, Vol. 50, pp.277-285.</w:t>
      </w:r>
      <w:r w:rsidRPr="005F2A26">
        <w:rPr>
          <w:rFonts w:eastAsiaTheme="minorEastAsia" w:cs="Times New Roman"/>
          <w:szCs w:val="24"/>
          <w:lang w:val="en-US" w:eastAsia="zh-CN"/>
        </w:rPr>
        <w:t xml:space="preserve"> </w:t>
      </w:r>
    </w:p>
    <w:p w14:paraId="34740DCB" w14:textId="77777777" w:rsidR="00EB0249" w:rsidRPr="005F2A26" w:rsidRDefault="00EB0249" w:rsidP="00CA029D">
      <w:pPr>
        <w:autoSpaceDE w:val="0"/>
        <w:autoSpaceDN w:val="0"/>
        <w:adjustRightInd w:val="0"/>
        <w:spacing w:after="0" w:line="240" w:lineRule="auto"/>
        <w:ind w:left="720" w:hanging="720"/>
        <w:contextualSpacing/>
        <w:jc w:val="left"/>
        <w:rPr>
          <w:rFonts w:eastAsiaTheme="minorEastAsia" w:cs="Times New Roman"/>
          <w:szCs w:val="24"/>
          <w:lang w:val="en-US" w:eastAsia="zh-CN"/>
        </w:rPr>
      </w:pPr>
      <w:r w:rsidRPr="005F2A26">
        <w:rPr>
          <w:rFonts w:eastAsiaTheme="minorEastAsia" w:cs="Times New Roman"/>
          <w:szCs w:val="24"/>
          <w:lang w:val="en-US" w:eastAsia="zh-CN"/>
        </w:rPr>
        <w:t xml:space="preserve">Jaakkola, E. (2020), </w:t>
      </w:r>
      <w:r w:rsidRPr="005F2A26">
        <w:rPr>
          <w:rFonts w:cs="Times New Roman"/>
          <w:szCs w:val="24"/>
          <w:lang w:val="en-US"/>
        </w:rPr>
        <w:t>"</w:t>
      </w:r>
      <w:r w:rsidRPr="005F2A26">
        <w:rPr>
          <w:rFonts w:eastAsiaTheme="minorEastAsia" w:cs="Times New Roman"/>
          <w:szCs w:val="24"/>
          <w:lang w:val="en-US" w:eastAsia="zh-CN"/>
        </w:rPr>
        <w:t>Designing conceptual articles: Four approaches</w:t>
      </w:r>
      <w:r w:rsidRPr="005F2A26">
        <w:rPr>
          <w:rFonts w:cs="Times New Roman"/>
          <w:szCs w:val="24"/>
          <w:lang w:val="en-US"/>
        </w:rPr>
        <w:t>"</w:t>
      </w:r>
      <w:r w:rsidRPr="005F2A26">
        <w:rPr>
          <w:rFonts w:eastAsiaTheme="minorEastAsia" w:cs="Times New Roman"/>
          <w:szCs w:val="24"/>
          <w:lang w:val="en-US" w:eastAsia="zh-CN"/>
        </w:rPr>
        <w:t xml:space="preserve">, </w:t>
      </w:r>
      <w:r w:rsidRPr="005F2A26">
        <w:rPr>
          <w:rFonts w:eastAsiaTheme="minorEastAsia" w:cs="Times New Roman"/>
          <w:i/>
          <w:iCs/>
          <w:szCs w:val="24"/>
          <w:lang w:val="en-US" w:eastAsia="zh-CN"/>
        </w:rPr>
        <w:t>AMS Review,</w:t>
      </w:r>
      <w:r w:rsidRPr="005F2A26">
        <w:rPr>
          <w:rFonts w:eastAsiaTheme="minorEastAsia" w:cs="Times New Roman"/>
          <w:szCs w:val="24"/>
          <w:lang w:val="en-US" w:eastAsia="zh-CN"/>
        </w:rPr>
        <w:t xml:space="preserve"> Vol. 10, pp.18-26.</w:t>
      </w:r>
    </w:p>
    <w:p w14:paraId="634206AD" w14:textId="77777777" w:rsidR="00EB0249" w:rsidRPr="005F2A26" w:rsidRDefault="00EB0249" w:rsidP="00CA029D">
      <w:pPr>
        <w:autoSpaceDE w:val="0"/>
        <w:autoSpaceDN w:val="0"/>
        <w:adjustRightInd w:val="0"/>
        <w:spacing w:after="0" w:line="240" w:lineRule="auto"/>
        <w:ind w:left="720" w:hanging="720"/>
        <w:contextualSpacing/>
        <w:jc w:val="left"/>
        <w:rPr>
          <w:rFonts w:cs="Times New Roman"/>
          <w:szCs w:val="24"/>
          <w:lang w:val="en-US" w:eastAsia="zh-CN"/>
        </w:rPr>
      </w:pPr>
      <w:r w:rsidRPr="005F2A26">
        <w:rPr>
          <w:rFonts w:cs="Times New Roman"/>
          <w:szCs w:val="24"/>
          <w:shd w:val="clear" w:color="auto" w:fill="FFFFFF"/>
          <w:lang w:val="en-US"/>
        </w:rPr>
        <w:t xml:space="preserve">Jaakkola, E. and Alexander, M. (2014), </w:t>
      </w:r>
      <w:r w:rsidRPr="005F2A26">
        <w:rPr>
          <w:rFonts w:cs="Times New Roman"/>
          <w:szCs w:val="24"/>
          <w:lang w:val="en-US"/>
        </w:rPr>
        <w:t>"</w:t>
      </w:r>
      <w:r w:rsidRPr="005F2A26">
        <w:rPr>
          <w:rFonts w:cs="Times New Roman"/>
          <w:szCs w:val="24"/>
          <w:shd w:val="clear" w:color="auto" w:fill="FFFFFF"/>
          <w:lang w:val="en-US"/>
        </w:rPr>
        <w:t>The role of customer engagement behavior in value co-creation: A service system perspective</w:t>
      </w:r>
      <w:r w:rsidRPr="005F2A26">
        <w:rPr>
          <w:rFonts w:cs="Times New Roman"/>
          <w:szCs w:val="24"/>
          <w:lang w:val="en-US"/>
        </w:rPr>
        <w:t xml:space="preserve">", </w:t>
      </w:r>
      <w:r w:rsidRPr="005F2A26">
        <w:rPr>
          <w:rFonts w:cs="Times New Roman"/>
          <w:i/>
          <w:iCs/>
          <w:szCs w:val="24"/>
          <w:shd w:val="clear" w:color="auto" w:fill="FFFFFF"/>
          <w:lang w:val="en-US"/>
        </w:rPr>
        <w:t>Journal of Service Research</w:t>
      </w:r>
      <w:r w:rsidRPr="005F2A26">
        <w:rPr>
          <w:rFonts w:cs="Times New Roman"/>
          <w:szCs w:val="24"/>
          <w:shd w:val="clear" w:color="auto" w:fill="FFFFFF"/>
          <w:lang w:val="en-US"/>
        </w:rPr>
        <w:t>, Vol. 17 No. 3, pp.247-261.</w:t>
      </w:r>
    </w:p>
    <w:p w14:paraId="77070432" w14:textId="77777777" w:rsidR="00EB0249" w:rsidRPr="005F2A26" w:rsidRDefault="00EB0249" w:rsidP="00CA029D">
      <w:pPr>
        <w:autoSpaceDE w:val="0"/>
        <w:autoSpaceDN w:val="0"/>
        <w:adjustRightInd w:val="0"/>
        <w:spacing w:after="0" w:line="240" w:lineRule="auto"/>
        <w:ind w:left="720" w:hanging="720"/>
        <w:contextualSpacing/>
        <w:jc w:val="left"/>
        <w:rPr>
          <w:lang w:val="en-US" w:eastAsia="zh-CN"/>
        </w:rPr>
      </w:pPr>
      <w:proofErr w:type="spellStart"/>
      <w:r w:rsidRPr="005F2A26">
        <w:rPr>
          <w:lang w:val="en-US" w:eastAsia="zh-CN"/>
        </w:rPr>
        <w:t>Jussila</w:t>
      </w:r>
      <w:proofErr w:type="spellEnd"/>
      <w:r w:rsidRPr="005F2A26">
        <w:rPr>
          <w:lang w:val="en-US" w:eastAsia="zh-CN"/>
        </w:rPr>
        <w:t xml:space="preserve">, I., </w:t>
      </w:r>
      <w:proofErr w:type="spellStart"/>
      <w:r w:rsidRPr="005F2A26">
        <w:rPr>
          <w:lang w:val="en-US" w:eastAsia="zh-CN"/>
        </w:rPr>
        <w:t>Tarkiainen</w:t>
      </w:r>
      <w:proofErr w:type="spellEnd"/>
      <w:r w:rsidRPr="005F2A26">
        <w:rPr>
          <w:lang w:val="en-US" w:eastAsia="zh-CN"/>
        </w:rPr>
        <w:t xml:space="preserve">, A., </w:t>
      </w:r>
      <w:proofErr w:type="spellStart"/>
      <w:r w:rsidRPr="005F2A26">
        <w:rPr>
          <w:lang w:val="en-US" w:eastAsia="zh-CN"/>
        </w:rPr>
        <w:t>Sarstedt</w:t>
      </w:r>
      <w:proofErr w:type="spellEnd"/>
      <w:r w:rsidRPr="005F2A26">
        <w:rPr>
          <w:lang w:val="en-US" w:eastAsia="zh-CN"/>
        </w:rPr>
        <w:t xml:space="preserve">, M. and Hair, J.F. (2015), </w:t>
      </w:r>
      <w:r w:rsidRPr="005F2A26">
        <w:rPr>
          <w:rFonts w:cs="Times New Roman"/>
          <w:szCs w:val="24"/>
          <w:lang w:val="en-US"/>
        </w:rPr>
        <w:t>"</w:t>
      </w:r>
      <w:r w:rsidRPr="005F2A26">
        <w:rPr>
          <w:lang w:val="en-US" w:eastAsia="zh-CN"/>
        </w:rPr>
        <w:t>Individual psychological ownership: Concepts, evidence, and implications for research in marketing</w:t>
      </w:r>
      <w:r w:rsidRPr="005F2A26">
        <w:rPr>
          <w:rFonts w:cs="Times New Roman"/>
          <w:szCs w:val="24"/>
          <w:lang w:val="en-US"/>
        </w:rPr>
        <w:t>"</w:t>
      </w:r>
      <w:r w:rsidRPr="005F2A26">
        <w:rPr>
          <w:lang w:val="en-US" w:eastAsia="zh-CN"/>
        </w:rPr>
        <w:t xml:space="preserve">, </w:t>
      </w:r>
      <w:r w:rsidRPr="005F2A26">
        <w:rPr>
          <w:i/>
          <w:iCs/>
          <w:lang w:val="en-US" w:eastAsia="zh-CN"/>
        </w:rPr>
        <w:t>Journal of Marketing Theory and Practice</w:t>
      </w:r>
      <w:r w:rsidRPr="005F2A26">
        <w:rPr>
          <w:lang w:val="en-US" w:eastAsia="zh-CN"/>
        </w:rPr>
        <w:t>, Vol. 23 No. 2, pp.121-139.</w:t>
      </w:r>
    </w:p>
    <w:p w14:paraId="6338DAD6" w14:textId="77777777" w:rsidR="00EB0249" w:rsidRPr="005F2A26" w:rsidRDefault="00EB0249" w:rsidP="00CA029D">
      <w:pPr>
        <w:pStyle w:val="EndNoteBibliography"/>
        <w:spacing w:after="0"/>
        <w:ind w:left="720" w:hanging="720"/>
        <w:contextualSpacing/>
        <w:jc w:val="left"/>
        <w:rPr>
          <w:szCs w:val="24"/>
          <w:shd w:val="clear" w:color="auto" w:fill="FFFFFF"/>
        </w:rPr>
      </w:pPr>
      <w:r w:rsidRPr="005F2A26">
        <w:rPr>
          <w:szCs w:val="24"/>
          <w:shd w:val="clear" w:color="auto" w:fill="FFFFFF"/>
        </w:rPr>
        <w:t xml:space="preserve">Kenney, M. and Zysman, J. (2016), </w:t>
      </w:r>
      <w:r w:rsidRPr="005F2A26">
        <w:t>"</w:t>
      </w:r>
      <w:r w:rsidRPr="005F2A26">
        <w:rPr>
          <w:szCs w:val="24"/>
          <w:shd w:val="clear" w:color="auto" w:fill="FFFFFF"/>
        </w:rPr>
        <w:t>The rise of the platform economy</w:t>
      </w:r>
      <w:r w:rsidRPr="005F2A26">
        <w:t>"</w:t>
      </w:r>
      <w:r w:rsidRPr="005F2A26">
        <w:rPr>
          <w:szCs w:val="24"/>
          <w:shd w:val="clear" w:color="auto" w:fill="FFFFFF"/>
        </w:rPr>
        <w:t xml:space="preserve">, </w:t>
      </w:r>
      <w:r w:rsidRPr="005F2A26">
        <w:rPr>
          <w:i/>
          <w:iCs/>
          <w:szCs w:val="24"/>
          <w:shd w:val="clear" w:color="auto" w:fill="FFFFFF"/>
        </w:rPr>
        <w:t>Issues in Science and Technology</w:t>
      </w:r>
      <w:r w:rsidRPr="005F2A26">
        <w:rPr>
          <w:szCs w:val="24"/>
          <w:shd w:val="clear" w:color="auto" w:fill="FFFFFF"/>
        </w:rPr>
        <w:t>, Vol. 32 No. 3, pp.61-69.</w:t>
      </w:r>
    </w:p>
    <w:p w14:paraId="2B673BFB" w14:textId="1DDDA538" w:rsidR="00D77966" w:rsidRPr="005F2A26" w:rsidRDefault="00D77966"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Kleinaltenkamp, M., Karpen, I.O., Plewa, C., Jaakkola, E. and Conduit, J. (2019), </w:t>
      </w:r>
      <w:r w:rsidRPr="005F2A26">
        <w:rPr>
          <w:szCs w:val="24"/>
        </w:rPr>
        <w:t>"</w:t>
      </w:r>
      <w:r w:rsidRPr="005F2A26">
        <w:rPr>
          <w:color w:val="222222"/>
          <w:szCs w:val="24"/>
          <w:shd w:val="clear" w:color="auto" w:fill="FFFFFF"/>
        </w:rPr>
        <w:t>Collective engagement in organizational settings</w:t>
      </w:r>
      <w:r w:rsidRPr="005F2A26">
        <w:rPr>
          <w:szCs w:val="24"/>
        </w:rPr>
        <w:t xml:space="preserve">", </w:t>
      </w:r>
      <w:r w:rsidRPr="005F2A26">
        <w:rPr>
          <w:i/>
          <w:iCs/>
          <w:color w:val="222222"/>
          <w:szCs w:val="24"/>
          <w:shd w:val="clear" w:color="auto" w:fill="FFFFFF"/>
        </w:rPr>
        <w:t>Industrial Marketing Management</w:t>
      </w:r>
      <w:r w:rsidRPr="005F2A26">
        <w:rPr>
          <w:color w:val="222222"/>
          <w:szCs w:val="24"/>
          <w:shd w:val="clear" w:color="auto" w:fill="FFFFFF"/>
        </w:rPr>
        <w:t>, Vol. 80, pp.11-23.</w:t>
      </w:r>
    </w:p>
    <w:p w14:paraId="51C971A8" w14:textId="17F84B23" w:rsidR="00EB0249" w:rsidRPr="005F2A26" w:rsidRDefault="00EB0249" w:rsidP="00CA029D">
      <w:pPr>
        <w:pStyle w:val="EndNoteBibliography"/>
        <w:spacing w:after="0"/>
        <w:ind w:left="720" w:hanging="720"/>
        <w:contextualSpacing/>
        <w:jc w:val="left"/>
      </w:pPr>
      <w:r w:rsidRPr="005F2A26">
        <w:t xml:space="preserve">Kumar, J. (2019), "How psychological ownership stimulates participation in online brand communities? The moderating role of member type", </w:t>
      </w:r>
      <w:r w:rsidRPr="005F2A26">
        <w:rPr>
          <w:i/>
        </w:rPr>
        <w:t>Journal of Business Research</w:t>
      </w:r>
      <w:r w:rsidRPr="005F2A26">
        <w:t>, Vol. 105, pp.243-257.</w:t>
      </w:r>
    </w:p>
    <w:p w14:paraId="46FAFBAA" w14:textId="69482A71" w:rsidR="001D62AC" w:rsidRDefault="001D62AC" w:rsidP="00CA029D">
      <w:pPr>
        <w:pStyle w:val="EndNoteBibliography"/>
        <w:spacing w:after="0"/>
        <w:ind w:left="720" w:hanging="720"/>
        <w:contextualSpacing/>
        <w:jc w:val="left"/>
        <w:rPr>
          <w:color w:val="222222"/>
          <w:szCs w:val="24"/>
          <w:shd w:val="clear" w:color="auto" w:fill="FFFFFF"/>
        </w:rPr>
      </w:pPr>
      <w:r w:rsidRPr="001D62AC">
        <w:rPr>
          <w:color w:val="222222"/>
          <w:szCs w:val="24"/>
          <w:shd w:val="clear" w:color="auto" w:fill="FFFFFF"/>
          <w:lang w:val="en-GB"/>
        </w:rPr>
        <w:t xml:space="preserve">Kumar, V., Aksoy, L., Donkers, B., Venkatesan, R., Wiesel, T. </w:t>
      </w:r>
      <w:r>
        <w:rPr>
          <w:color w:val="222222"/>
          <w:szCs w:val="24"/>
          <w:shd w:val="clear" w:color="auto" w:fill="FFFFFF"/>
          <w:lang w:val="en-GB"/>
        </w:rPr>
        <w:t>and</w:t>
      </w:r>
      <w:r w:rsidRPr="001D62AC">
        <w:rPr>
          <w:color w:val="222222"/>
          <w:szCs w:val="24"/>
          <w:shd w:val="clear" w:color="auto" w:fill="FFFFFF"/>
          <w:lang w:val="en-GB"/>
        </w:rPr>
        <w:t xml:space="preserve"> Tillmanns, S. (2010)</w:t>
      </w:r>
      <w:r>
        <w:rPr>
          <w:color w:val="222222"/>
          <w:szCs w:val="24"/>
          <w:shd w:val="clear" w:color="auto" w:fill="FFFFFF"/>
          <w:lang w:val="en-GB"/>
        </w:rPr>
        <w:t>,</w:t>
      </w:r>
      <w:r w:rsidRPr="001D62AC">
        <w:rPr>
          <w:color w:val="222222"/>
          <w:szCs w:val="24"/>
          <w:shd w:val="clear" w:color="auto" w:fill="FFFFFF"/>
          <w:lang w:val="en-GB"/>
        </w:rPr>
        <w:t xml:space="preserve"> </w:t>
      </w:r>
      <w:r>
        <w:rPr>
          <w:color w:val="222222"/>
          <w:szCs w:val="24"/>
          <w:shd w:val="clear" w:color="auto" w:fill="FFFFFF"/>
          <w:lang w:val="en-GB"/>
        </w:rPr>
        <w:t>“</w:t>
      </w:r>
      <w:r w:rsidRPr="001D62AC">
        <w:rPr>
          <w:color w:val="222222"/>
          <w:szCs w:val="24"/>
          <w:shd w:val="clear" w:color="auto" w:fill="FFFFFF"/>
          <w:lang w:val="en-GB"/>
        </w:rPr>
        <w:t>Undervalued or overvalued customers: capturing total customer engagement value</w:t>
      </w:r>
      <w:r>
        <w:rPr>
          <w:color w:val="222222"/>
          <w:szCs w:val="24"/>
          <w:shd w:val="clear" w:color="auto" w:fill="FFFFFF"/>
          <w:lang w:val="en-GB"/>
        </w:rPr>
        <w:t>”,</w:t>
      </w:r>
      <w:r w:rsidRPr="001D62AC">
        <w:rPr>
          <w:color w:val="222222"/>
          <w:szCs w:val="24"/>
          <w:shd w:val="clear" w:color="auto" w:fill="FFFFFF"/>
          <w:lang w:val="en-GB"/>
        </w:rPr>
        <w:t> </w:t>
      </w:r>
      <w:r w:rsidRPr="001D62AC">
        <w:rPr>
          <w:i/>
          <w:iCs/>
          <w:color w:val="222222"/>
          <w:szCs w:val="24"/>
          <w:shd w:val="clear" w:color="auto" w:fill="FFFFFF"/>
          <w:lang w:val="en-GB"/>
        </w:rPr>
        <w:t>Journal of</w:t>
      </w:r>
      <w:r>
        <w:rPr>
          <w:i/>
          <w:iCs/>
          <w:color w:val="222222"/>
          <w:szCs w:val="24"/>
          <w:shd w:val="clear" w:color="auto" w:fill="FFFFFF"/>
          <w:lang w:val="en-GB"/>
        </w:rPr>
        <w:t xml:space="preserve"> S</w:t>
      </w:r>
      <w:r w:rsidRPr="001D62AC">
        <w:rPr>
          <w:i/>
          <w:iCs/>
          <w:color w:val="222222"/>
          <w:szCs w:val="24"/>
          <w:shd w:val="clear" w:color="auto" w:fill="FFFFFF"/>
          <w:lang w:val="en-GB"/>
        </w:rPr>
        <w:t xml:space="preserve">ervice </w:t>
      </w:r>
      <w:r>
        <w:rPr>
          <w:i/>
          <w:iCs/>
          <w:color w:val="222222"/>
          <w:szCs w:val="24"/>
          <w:shd w:val="clear" w:color="auto" w:fill="FFFFFF"/>
          <w:lang w:val="en-GB"/>
        </w:rPr>
        <w:t>R</w:t>
      </w:r>
      <w:r w:rsidRPr="001D62AC">
        <w:rPr>
          <w:i/>
          <w:iCs/>
          <w:color w:val="222222"/>
          <w:szCs w:val="24"/>
          <w:shd w:val="clear" w:color="auto" w:fill="FFFFFF"/>
          <w:lang w:val="en-GB"/>
        </w:rPr>
        <w:t>esearch</w:t>
      </w:r>
      <w:r w:rsidRPr="001D62AC">
        <w:rPr>
          <w:color w:val="222222"/>
          <w:szCs w:val="24"/>
          <w:shd w:val="clear" w:color="auto" w:fill="FFFFFF"/>
          <w:lang w:val="en-GB"/>
        </w:rPr>
        <w:t>, </w:t>
      </w:r>
      <w:r>
        <w:rPr>
          <w:color w:val="222222"/>
          <w:szCs w:val="24"/>
          <w:shd w:val="clear" w:color="auto" w:fill="FFFFFF"/>
          <w:lang w:val="en-GB"/>
        </w:rPr>
        <w:t>Vol.</w:t>
      </w:r>
      <w:r w:rsidR="00957690">
        <w:rPr>
          <w:color w:val="222222"/>
          <w:szCs w:val="24"/>
          <w:shd w:val="clear" w:color="auto" w:fill="FFFFFF"/>
          <w:lang w:val="en-GB"/>
        </w:rPr>
        <w:t xml:space="preserve"> </w:t>
      </w:r>
      <w:r w:rsidRPr="001D62AC">
        <w:rPr>
          <w:color w:val="222222"/>
          <w:szCs w:val="24"/>
          <w:shd w:val="clear" w:color="auto" w:fill="FFFFFF"/>
          <w:lang w:val="en-GB"/>
        </w:rPr>
        <w:t>13</w:t>
      </w:r>
      <w:r>
        <w:rPr>
          <w:color w:val="222222"/>
          <w:szCs w:val="24"/>
          <w:shd w:val="clear" w:color="auto" w:fill="FFFFFF"/>
          <w:lang w:val="en-GB"/>
        </w:rPr>
        <w:t xml:space="preserve"> No.</w:t>
      </w:r>
      <w:r w:rsidR="00957690">
        <w:rPr>
          <w:color w:val="222222"/>
          <w:szCs w:val="24"/>
          <w:shd w:val="clear" w:color="auto" w:fill="FFFFFF"/>
          <w:lang w:val="en-GB"/>
        </w:rPr>
        <w:t xml:space="preserve"> </w:t>
      </w:r>
      <w:r w:rsidRPr="001D62AC">
        <w:rPr>
          <w:color w:val="222222"/>
          <w:szCs w:val="24"/>
          <w:shd w:val="clear" w:color="auto" w:fill="FFFFFF"/>
          <w:lang w:val="en-GB"/>
        </w:rPr>
        <w:t xml:space="preserve">3, </w:t>
      </w:r>
      <w:r w:rsidR="00957690">
        <w:rPr>
          <w:color w:val="222222"/>
          <w:szCs w:val="24"/>
          <w:shd w:val="clear" w:color="auto" w:fill="FFFFFF"/>
          <w:lang w:val="en-GB"/>
        </w:rPr>
        <w:t>pp.</w:t>
      </w:r>
      <w:r w:rsidRPr="001D62AC">
        <w:rPr>
          <w:color w:val="222222"/>
          <w:szCs w:val="24"/>
          <w:shd w:val="clear" w:color="auto" w:fill="FFFFFF"/>
          <w:lang w:val="en-GB"/>
        </w:rPr>
        <w:t>297-310.</w:t>
      </w:r>
    </w:p>
    <w:p w14:paraId="381A25C7" w14:textId="4A0BEFCA"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Kumar, V. and Pansari, A. (2016), </w:t>
      </w:r>
      <w:r w:rsidRPr="005F2A26">
        <w:rPr>
          <w:szCs w:val="24"/>
        </w:rPr>
        <w:t>"</w:t>
      </w:r>
      <w:r w:rsidRPr="005F2A26">
        <w:rPr>
          <w:color w:val="222222"/>
          <w:szCs w:val="24"/>
          <w:shd w:val="clear" w:color="auto" w:fill="FFFFFF"/>
        </w:rPr>
        <w:t>Competitive advantage through engagement</w:t>
      </w:r>
      <w:r w:rsidRPr="005F2A26">
        <w:rPr>
          <w:szCs w:val="24"/>
        </w:rPr>
        <w:t xml:space="preserve">", </w:t>
      </w:r>
      <w:r w:rsidRPr="005F2A26">
        <w:rPr>
          <w:i/>
          <w:iCs/>
          <w:color w:val="222222"/>
          <w:szCs w:val="24"/>
          <w:shd w:val="clear" w:color="auto" w:fill="FFFFFF"/>
        </w:rPr>
        <w:t>Journal of Marketing Research</w:t>
      </w:r>
      <w:r w:rsidRPr="005F2A26">
        <w:rPr>
          <w:color w:val="222222"/>
          <w:szCs w:val="24"/>
          <w:shd w:val="clear" w:color="auto" w:fill="FFFFFF"/>
        </w:rPr>
        <w:t>, Vol. 53 No. 4, pp.497-514.</w:t>
      </w:r>
    </w:p>
    <w:p w14:paraId="2C229518" w14:textId="77777777" w:rsidR="00EB0249" w:rsidRPr="005F2A26" w:rsidRDefault="00EB0249" w:rsidP="00CA029D">
      <w:pPr>
        <w:pStyle w:val="EndNoteBibliography"/>
        <w:spacing w:after="0"/>
        <w:ind w:left="720" w:hanging="720"/>
        <w:contextualSpacing/>
        <w:jc w:val="left"/>
        <w:rPr>
          <w:iCs/>
          <w:szCs w:val="24"/>
        </w:rPr>
      </w:pPr>
      <w:r w:rsidRPr="005F2A26">
        <w:rPr>
          <w:color w:val="222222"/>
          <w:szCs w:val="24"/>
          <w:shd w:val="clear" w:color="auto" w:fill="FFFFFF"/>
        </w:rPr>
        <w:lastRenderedPageBreak/>
        <w:t xml:space="preserve">Leventhal, R.C., Hollebeek, L D. and Chen, T. (2014), </w:t>
      </w:r>
      <w:r w:rsidRPr="005F2A26">
        <w:rPr>
          <w:szCs w:val="24"/>
        </w:rPr>
        <w:t>"</w:t>
      </w:r>
      <w:r w:rsidRPr="005F2A26">
        <w:rPr>
          <w:color w:val="222222"/>
          <w:szCs w:val="24"/>
          <w:shd w:val="clear" w:color="auto" w:fill="FFFFFF"/>
        </w:rPr>
        <w:t>Exploring positively-versus negatively-valenced brand engagement: A conceptual model</w:t>
      </w:r>
      <w:r w:rsidRPr="005F2A26">
        <w:rPr>
          <w:szCs w:val="24"/>
        </w:rPr>
        <w:t xml:space="preserve">", </w:t>
      </w:r>
      <w:r w:rsidRPr="005F2A26">
        <w:rPr>
          <w:i/>
          <w:iCs/>
          <w:color w:val="222222"/>
          <w:szCs w:val="24"/>
          <w:shd w:val="clear" w:color="auto" w:fill="FFFFFF"/>
        </w:rPr>
        <w:t>Journal of Product &amp; Brand Management</w:t>
      </w:r>
      <w:r w:rsidRPr="005F2A26">
        <w:rPr>
          <w:color w:val="222222"/>
          <w:szCs w:val="24"/>
          <w:shd w:val="clear" w:color="auto" w:fill="FFFFFF"/>
        </w:rPr>
        <w:t xml:space="preserve">, </w:t>
      </w:r>
      <w:r w:rsidRPr="005F2A26">
        <w:rPr>
          <w:szCs w:val="24"/>
          <w:shd w:val="clear" w:color="auto" w:fill="FFFFFF"/>
        </w:rPr>
        <w:t>Vol. 23 No. 1, pp.62-74.</w:t>
      </w:r>
    </w:p>
    <w:p w14:paraId="45BE8E03" w14:textId="3DB9CEF9"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Li, L.P., </w:t>
      </w:r>
      <w:r w:rsidR="006C12D4" w:rsidRPr="005F2A26">
        <w:t>Jurić</w:t>
      </w:r>
      <w:r w:rsidRPr="005F2A26">
        <w:rPr>
          <w:color w:val="222222"/>
          <w:szCs w:val="24"/>
          <w:shd w:val="clear" w:color="auto" w:fill="FFFFFF"/>
        </w:rPr>
        <w:t xml:space="preserve">, B. and Brodie, R.J. (2017), </w:t>
      </w:r>
      <w:r w:rsidRPr="005F2A26">
        <w:rPr>
          <w:szCs w:val="24"/>
        </w:rPr>
        <w:t>"</w:t>
      </w:r>
      <w:r w:rsidRPr="005F2A26">
        <w:rPr>
          <w:color w:val="222222"/>
          <w:szCs w:val="24"/>
          <w:shd w:val="clear" w:color="auto" w:fill="FFFFFF"/>
        </w:rPr>
        <w:t>Dynamic multi-actor engagement in networks: The case of United Breaks Guitars</w:t>
      </w:r>
      <w:r w:rsidRPr="005F2A26">
        <w:rPr>
          <w:szCs w:val="24"/>
        </w:rPr>
        <w:t xml:space="preserve">", </w:t>
      </w:r>
      <w:r w:rsidRPr="005F2A26">
        <w:rPr>
          <w:i/>
          <w:iCs/>
          <w:color w:val="222222"/>
          <w:szCs w:val="24"/>
          <w:shd w:val="clear" w:color="auto" w:fill="FFFFFF"/>
        </w:rPr>
        <w:t>Journal of Service Theory and Practice</w:t>
      </w:r>
      <w:r w:rsidRPr="005F2A26">
        <w:rPr>
          <w:color w:val="222222"/>
          <w:szCs w:val="24"/>
          <w:shd w:val="clear" w:color="auto" w:fill="FFFFFF"/>
        </w:rPr>
        <w:t xml:space="preserve">, </w:t>
      </w:r>
      <w:r w:rsidRPr="005F2A26">
        <w:rPr>
          <w:szCs w:val="24"/>
        </w:rPr>
        <w:t>Vol. 27 No.4, pp.761-777.</w:t>
      </w:r>
    </w:p>
    <w:p w14:paraId="3A5AF031"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Lin, M., Miao, L., Wei, W. and Moon, H. (2019), </w:t>
      </w:r>
      <w:r w:rsidRPr="005F2A26">
        <w:rPr>
          <w:szCs w:val="24"/>
        </w:rPr>
        <w:t>"</w:t>
      </w:r>
      <w:r w:rsidRPr="005F2A26">
        <w:rPr>
          <w:color w:val="222222"/>
          <w:szCs w:val="24"/>
          <w:shd w:val="clear" w:color="auto" w:fill="FFFFFF"/>
        </w:rPr>
        <w:t>Peer engagement behaviors: Conceptualization and research directions</w:t>
      </w:r>
      <w:r w:rsidRPr="005F2A26">
        <w:rPr>
          <w:szCs w:val="24"/>
        </w:rPr>
        <w:t xml:space="preserve">", </w:t>
      </w:r>
      <w:r w:rsidRPr="005F2A26">
        <w:rPr>
          <w:i/>
          <w:iCs/>
          <w:color w:val="222222"/>
          <w:szCs w:val="24"/>
          <w:shd w:val="clear" w:color="auto" w:fill="FFFFFF"/>
        </w:rPr>
        <w:t>Journal of Service Research</w:t>
      </w:r>
      <w:r w:rsidRPr="005F2A26">
        <w:rPr>
          <w:color w:val="222222"/>
          <w:szCs w:val="24"/>
          <w:shd w:val="clear" w:color="auto" w:fill="FFFFFF"/>
        </w:rPr>
        <w:t>, Vol. 22 No. 4, pp.388-403.</w:t>
      </w:r>
    </w:p>
    <w:p w14:paraId="4DBD5F3E" w14:textId="77777777" w:rsidR="00EB0249" w:rsidRPr="005F2A26" w:rsidRDefault="00EB0249" w:rsidP="00CA029D">
      <w:pPr>
        <w:pStyle w:val="EndNoteBibliography"/>
        <w:spacing w:after="0"/>
        <w:ind w:left="720" w:hanging="720"/>
        <w:contextualSpacing/>
        <w:jc w:val="left"/>
        <w:rPr>
          <w:szCs w:val="24"/>
        </w:rPr>
      </w:pPr>
      <w:r w:rsidRPr="005F2A26">
        <w:rPr>
          <w:szCs w:val="24"/>
        </w:rPr>
        <w:t xml:space="preserve">Longmore, M.A. (1998), </w:t>
      </w:r>
      <w:r w:rsidRPr="005F2A26">
        <w:t>"</w:t>
      </w:r>
      <w:r w:rsidRPr="005F2A26">
        <w:rPr>
          <w:szCs w:val="24"/>
        </w:rPr>
        <w:t>Symbolic interactionism and the study of sexuality</w:t>
      </w:r>
      <w:r w:rsidRPr="005F2A26">
        <w:t xml:space="preserve">", </w:t>
      </w:r>
      <w:r w:rsidRPr="005F2A26">
        <w:rPr>
          <w:i/>
          <w:iCs/>
          <w:szCs w:val="24"/>
        </w:rPr>
        <w:t>Journal of Sex Research</w:t>
      </w:r>
      <w:r w:rsidRPr="005F2A26">
        <w:rPr>
          <w:szCs w:val="24"/>
        </w:rPr>
        <w:t>, Vol. 35 No. 1, pp.44-57.</w:t>
      </w:r>
    </w:p>
    <w:p w14:paraId="752B0E23" w14:textId="0AE72AE9"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MacInnis, D.J. (2011), </w:t>
      </w:r>
      <w:r w:rsidRPr="005F2A26">
        <w:rPr>
          <w:szCs w:val="24"/>
        </w:rPr>
        <w:t>"</w:t>
      </w:r>
      <w:r w:rsidRPr="005F2A26">
        <w:rPr>
          <w:color w:val="222222"/>
          <w:szCs w:val="24"/>
          <w:shd w:val="clear" w:color="auto" w:fill="FFFFFF"/>
        </w:rPr>
        <w:t>A framework for conceptual contributions in marketing</w:t>
      </w:r>
      <w:r w:rsidRPr="005F2A26">
        <w:rPr>
          <w:szCs w:val="24"/>
        </w:rPr>
        <w:t xml:space="preserve">", </w:t>
      </w:r>
      <w:r w:rsidRPr="005F2A26">
        <w:rPr>
          <w:i/>
          <w:iCs/>
          <w:color w:val="222222"/>
          <w:szCs w:val="24"/>
          <w:shd w:val="clear" w:color="auto" w:fill="FFFFFF"/>
        </w:rPr>
        <w:t>Journal of Marketing</w:t>
      </w:r>
      <w:r w:rsidRPr="005F2A26">
        <w:rPr>
          <w:color w:val="222222"/>
          <w:szCs w:val="24"/>
          <w:shd w:val="clear" w:color="auto" w:fill="FFFFFF"/>
        </w:rPr>
        <w:t>, Vol. 75 No. 4, pp.136-154.</w:t>
      </w:r>
    </w:p>
    <w:p w14:paraId="0FCA3D65" w14:textId="77777777" w:rsidR="00EB0249" w:rsidRPr="005F2A26" w:rsidRDefault="00EB0249" w:rsidP="00CA029D">
      <w:pPr>
        <w:pStyle w:val="EndNoteBibliography"/>
        <w:spacing w:after="0"/>
        <w:ind w:left="720" w:hanging="720"/>
        <w:contextualSpacing/>
        <w:jc w:val="left"/>
      </w:pPr>
      <w:r w:rsidRPr="005F2A26">
        <w:t xml:space="preserve">Molesworth, M., Watkins, R. and Denegri-Knott, J. (2016), "Possession work on hosted digital consumption objects as consumer ensnarement", </w:t>
      </w:r>
      <w:r w:rsidRPr="005F2A26">
        <w:rPr>
          <w:i/>
          <w:iCs/>
        </w:rPr>
        <w:t>Journal of the Association for Consumer Research</w:t>
      </w:r>
      <w:r w:rsidRPr="005F2A26">
        <w:t>, Vol. 1 No. 2, pp.246-261.</w:t>
      </w:r>
    </w:p>
    <w:p w14:paraId="5CA1F5BA" w14:textId="77777777" w:rsidR="00EB0249" w:rsidRPr="005F2A26" w:rsidRDefault="00EB0249" w:rsidP="00CA029D">
      <w:pPr>
        <w:pStyle w:val="EndNoteBibliography"/>
        <w:spacing w:after="0"/>
        <w:ind w:left="720" w:hanging="720"/>
        <w:contextualSpacing/>
        <w:jc w:val="left"/>
        <w:rPr>
          <w:szCs w:val="24"/>
        </w:rPr>
      </w:pPr>
      <w:bookmarkStart w:id="10" w:name="_Hlk38208701"/>
      <w:r w:rsidRPr="005F2A26">
        <w:rPr>
          <w:color w:val="222222"/>
          <w:szCs w:val="24"/>
          <w:shd w:val="clear" w:color="auto" w:fill="FFFFFF"/>
        </w:rPr>
        <w:t xml:space="preserve">Morewedge, C.K., Monga, A., Palmatier, R.W., Shu, S.B. and Small, D.A. (2021), </w:t>
      </w:r>
      <w:r w:rsidRPr="005F2A26">
        <w:rPr>
          <w:szCs w:val="24"/>
        </w:rPr>
        <w:t>"</w:t>
      </w:r>
      <w:r w:rsidRPr="005F2A26">
        <w:rPr>
          <w:color w:val="222222"/>
          <w:szCs w:val="24"/>
          <w:shd w:val="clear" w:color="auto" w:fill="FFFFFF"/>
        </w:rPr>
        <w:t>Evolution of consumption: A psychological ownership framework</w:t>
      </w:r>
      <w:r w:rsidRPr="005F2A26">
        <w:rPr>
          <w:szCs w:val="24"/>
        </w:rPr>
        <w:t xml:space="preserve">", </w:t>
      </w:r>
      <w:r w:rsidRPr="005F2A26">
        <w:rPr>
          <w:i/>
          <w:iCs/>
          <w:color w:val="222222"/>
          <w:szCs w:val="24"/>
          <w:shd w:val="clear" w:color="auto" w:fill="FFFFFF"/>
        </w:rPr>
        <w:t>Journal of Marketing</w:t>
      </w:r>
      <w:r w:rsidRPr="005F2A26">
        <w:rPr>
          <w:color w:val="222222"/>
          <w:szCs w:val="24"/>
          <w:shd w:val="clear" w:color="auto" w:fill="FFFFFF"/>
        </w:rPr>
        <w:t>, Vol. 85 No. 1, pp.196-218.</w:t>
      </w:r>
    </w:p>
    <w:p w14:paraId="4C5CB696" w14:textId="77777777" w:rsidR="00EB0249" w:rsidRPr="005F2A26" w:rsidRDefault="00EB0249" w:rsidP="00CA029D">
      <w:pPr>
        <w:pStyle w:val="EndNoteBibliography"/>
        <w:spacing w:after="0"/>
        <w:ind w:left="720" w:hanging="720"/>
        <w:contextualSpacing/>
        <w:jc w:val="left"/>
      </w:pPr>
      <w:r w:rsidRPr="005F2A26">
        <w:t xml:space="preserve">Möhlmann, M. (2015), "Collaborative consumption: Determinants of satisfaction and the likelihood of using a sharing economy option again", </w:t>
      </w:r>
      <w:r w:rsidRPr="005F2A26">
        <w:rPr>
          <w:i/>
        </w:rPr>
        <w:t>Journal of Consumer Behavior</w:t>
      </w:r>
      <w:r w:rsidRPr="005F2A26">
        <w:t>, Vol. 14 No. 3, pp.193-207.</w:t>
      </w:r>
    </w:p>
    <w:bookmarkEnd w:id="10"/>
    <w:p w14:paraId="4E9DD59A" w14:textId="45A6BFFC" w:rsidR="00EB0249" w:rsidRPr="005F2A26" w:rsidRDefault="00EB0249" w:rsidP="00CA029D">
      <w:pPr>
        <w:pStyle w:val="EndNoteBibliography"/>
        <w:spacing w:after="0"/>
        <w:ind w:left="720" w:hanging="720"/>
        <w:contextualSpacing/>
        <w:jc w:val="left"/>
      </w:pPr>
      <w:r w:rsidRPr="005F2A26">
        <w:t>Ozanne, L.K. and Ozanne</w:t>
      </w:r>
      <w:r w:rsidR="006C12D4" w:rsidRPr="005F2A26">
        <w:t>,</w:t>
      </w:r>
      <w:r w:rsidRPr="005F2A26">
        <w:t xml:space="preserve"> J.L. (2011), "A child's right to play: The social construction of civic virtues in toy libraries", </w:t>
      </w:r>
      <w:r w:rsidRPr="005F2A26">
        <w:rPr>
          <w:i/>
          <w:iCs/>
        </w:rPr>
        <w:t>Journal of Public Policy &amp; Marketing</w:t>
      </w:r>
      <w:r w:rsidRPr="005F2A26">
        <w:t>, Vol. 30 No. 2, pp.264-278.</w:t>
      </w:r>
    </w:p>
    <w:p w14:paraId="18184FFC"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Pansari, A. and Kumar, V. (2017), </w:t>
      </w:r>
      <w:r w:rsidRPr="005F2A26">
        <w:rPr>
          <w:szCs w:val="24"/>
        </w:rPr>
        <w:t>"</w:t>
      </w:r>
      <w:r w:rsidRPr="005F2A26">
        <w:rPr>
          <w:color w:val="222222"/>
          <w:szCs w:val="24"/>
          <w:shd w:val="clear" w:color="auto" w:fill="FFFFFF"/>
        </w:rPr>
        <w:t>Customer engagement: The construct, antecedents, and consequences</w:t>
      </w:r>
      <w:r w:rsidRPr="005F2A26">
        <w:rPr>
          <w:szCs w:val="24"/>
        </w:rPr>
        <w:t>",</w:t>
      </w:r>
      <w:r w:rsidRPr="005F2A26">
        <w:rPr>
          <w:color w:val="222222"/>
          <w:szCs w:val="24"/>
          <w:shd w:val="clear" w:color="auto" w:fill="FFFFFF"/>
        </w:rPr>
        <w:t> </w:t>
      </w:r>
      <w:r w:rsidRPr="005F2A26">
        <w:rPr>
          <w:i/>
          <w:iCs/>
          <w:color w:val="222222"/>
          <w:szCs w:val="24"/>
          <w:shd w:val="clear" w:color="auto" w:fill="FFFFFF"/>
        </w:rPr>
        <w:t>Journal of the Academy of Marketing Science</w:t>
      </w:r>
      <w:r w:rsidRPr="005F2A26">
        <w:rPr>
          <w:color w:val="222222"/>
          <w:szCs w:val="24"/>
          <w:shd w:val="clear" w:color="auto" w:fill="FFFFFF"/>
        </w:rPr>
        <w:t xml:space="preserve">, Vol. 45 No. 3, pp.294-311. </w:t>
      </w:r>
    </w:p>
    <w:p w14:paraId="5CA3D0D8" w14:textId="77777777" w:rsidR="00EB0249" w:rsidRPr="005F2A26" w:rsidRDefault="00EB0249" w:rsidP="00CA029D">
      <w:pPr>
        <w:pStyle w:val="EndNoteBibliography"/>
        <w:spacing w:after="0"/>
        <w:ind w:left="720" w:hanging="720"/>
        <w:contextualSpacing/>
        <w:jc w:val="left"/>
      </w:pPr>
      <w:bookmarkStart w:id="11" w:name="_Hlk38213873"/>
      <w:r w:rsidRPr="005F2A26">
        <w:t xml:space="preserve">Perren, R. and Kozinets, R.V. (2018), "Lateral exchange markets: How social platforms operate in a networked economy", </w:t>
      </w:r>
      <w:r w:rsidRPr="005F2A26">
        <w:rPr>
          <w:i/>
          <w:iCs/>
        </w:rPr>
        <w:t>Journal of Marketing</w:t>
      </w:r>
      <w:r w:rsidRPr="005F2A26">
        <w:t>, Vol. 82 No. 1, pp.20-36.</w:t>
      </w:r>
    </w:p>
    <w:bookmarkEnd w:id="11"/>
    <w:p w14:paraId="138FD593" w14:textId="77777777" w:rsidR="00EB0249" w:rsidRPr="005F2A26" w:rsidRDefault="00EB0249" w:rsidP="00CA029D">
      <w:pPr>
        <w:pStyle w:val="EndNoteBibliography"/>
        <w:spacing w:after="0"/>
        <w:ind w:left="720" w:hanging="720"/>
        <w:contextualSpacing/>
        <w:jc w:val="left"/>
      </w:pPr>
      <w:r w:rsidRPr="005F2A26">
        <w:t xml:space="preserve">Pierce, J.L. and Jussila, I. (2010), "Collective psychological ownership within the work and organizational context: Construct introduction and elaboration", </w:t>
      </w:r>
      <w:r w:rsidRPr="005F2A26">
        <w:rPr>
          <w:i/>
        </w:rPr>
        <w:t>Journal of Organizational Behavior</w:t>
      </w:r>
      <w:r w:rsidRPr="005F2A26">
        <w:t>, Vol. 31 No. 6, pp.810-834.</w:t>
      </w:r>
    </w:p>
    <w:p w14:paraId="1001197C"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Pierce, J.L. and Jussila, I. (2011),  </w:t>
      </w:r>
      <w:r w:rsidRPr="005F2A26">
        <w:rPr>
          <w:i/>
          <w:iCs/>
          <w:color w:val="222222"/>
          <w:szCs w:val="24"/>
          <w:shd w:val="clear" w:color="auto" w:fill="FFFFFF"/>
        </w:rPr>
        <w:t>Psychological Ownership and The Organizational Context: Theory, Research Evidence, and Application,</w:t>
      </w:r>
      <w:r w:rsidRPr="005F2A26">
        <w:rPr>
          <w:color w:val="222222"/>
          <w:szCs w:val="24"/>
          <w:shd w:val="clear" w:color="auto" w:fill="FFFFFF"/>
        </w:rPr>
        <w:t xml:space="preserve"> Edward Elgar Publishing, </w:t>
      </w:r>
      <w:r w:rsidRPr="005F2A26">
        <w:rPr>
          <w:szCs w:val="24"/>
        </w:rPr>
        <w:t>Cheltenham, UK.</w:t>
      </w:r>
    </w:p>
    <w:p w14:paraId="153B5C8D" w14:textId="77777777" w:rsidR="00EB0249" w:rsidRPr="005F2A26" w:rsidRDefault="00EB0249" w:rsidP="00CA029D">
      <w:pPr>
        <w:pStyle w:val="EndNoteBibliography"/>
        <w:spacing w:after="0"/>
        <w:ind w:left="720" w:hanging="720"/>
        <w:contextualSpacing/>
        <w:jc w:val="left"/>
      </w:pPr>
      <w:r w:rsidRPr="005F2A26">
        <w:t xml:space="preserve">Pierce, J.L., Jussila, I. and Cummings, A. (2009), "Psychological ownership within the job design context: Revision of the job characteristics model", </w:t>
      </w:r>
      <w:r w:rsidRPr="005F2A26">
        <w:rPr>
          <w:i/>
          <w:iCs/>
        </w:rPr>
        <w:t>Journal of Organizational Behavior</w:t>
      </w:r>
      <w:r w:rsidRPr="005F2A26">
        <w:t>, Vol. 30 No. 4, pp.477-496.</w:t>
      </w:r>
    </w:p>
    <w:p w14:paraId="215A5109" w14:textId="77777777" w:rsidR="00EB0249" w:rsidRPr="005F2A26" w:rsidRDefault="00EB0249" w:rsidP="00CA029D">
      <w:pPr>
        <w:pStyle w:val="EndNoteBibliography"/>
        <w:spacing w:after="0"/>
        <w:ind w:left="720" w:hanging="720"/>
        <w:contextualSpacing/>
        <w:jc w:val="left"/>
      </w:pPr>
      <w:r w:rsidRPr="005F2A26">
        <w:t xml:space="preserve">Pierce, J.L., Jussila, I. and Li, D. (2018), "Development and validation of an instrument for assessing collective psychological ownership in organizational field settings", </w:t>
      </w:r>
      <w:r w:rsidRPr="005F2A26">
        <w:rPr>
          <w:i/>
        </w:rPr>
        <w:t>Journal of Management &amp; Organization</w:t>
      </w:r>
      <w:r w:rsidRPr="005F2A26">
        <w:t>, Vol. 24 No. 6, pp.776-792.</w:t>
      </w:r>
    </w:p>
    <w:p w14:paraId="20E38882" w14:textId="77777777" w:rsidR="00EB0249" w:rsidRPr="005F2A26" w:rsidRDefault="00EB0249" w:rsidP="00CA029D">
      <w:pPr>
        <w:pStyle w:val="EndNoteBibliography"/>
        <w:spacing w:after="0"/>
        <w:ind w:left="720" w:hanging="720"/>
        <w:contextualSpacing/>
        <w:jc w:val="left"/>
      </w:pPr>
      <w:r w:rsidRPr="005F2A26">
        <w:t xml:space="preserve">Pierce, J.L., Kostova, T. and Dirks, K.T. (2001), "Towards a theory of psychological ownership in organizations", </w:t>
      </w:r>
      <w:r w:rsidRPr="005F2A26">
        <w:rPr>
          <w:i/>
          <w:iCs/>
        </w:rPr>
        <w:t>Academy of Management Review</w:t>
      </w:r>
      <w:r w:rsidRPr="005F2A26">
        <w:t>, Vol. 26 No. 2, pp.298-310.</w:t>
      </w:r>
    </w:p>
    <w:p w14:paraId="53F8AC95" w14:textId="77777777" w:rsidR="00EB0249" w:rsidRPr="005F2A26" w:rsidRDefault="00EB0249" w:rsidP="00CA029D">
      <w:pPr>
        <w:pStyle w:val="EndNoteBibliography"/>
        <w:spacing w:after="0"/>
        <w:ind w:left="720" w:hanging="720"/>
        <w:contextualSpacing/>
        <w:jc w:val="left"/>
        <w:rPr>
          <w:iCs/>
        </w:rPr>
      </w:pPr>
      <w:r w:rsidRPr="005F2A26">
        <w:t xml:space="preserve">Pierce, J.L., Kostova, T. and Dirks, K.T. (2003), "The state of psychological ownership: Integrating and extending a century of research", </w:t>
      </w:r>
      <w:r w:rsidRPr="005F2A26">
        <w:rPr>
          <w:i/>
        </w:rPr>
        <w:t>Review of General Psychology</w:t>
      </w:r>
      <w:r w:rsidRPr="005F2A26">
        <w:rPr>
          <w:iCs/>
        </w:rPr>
        <w:t>, Vol. 7 No. 1, pp.84-107.</w:t>
      </w:r>
    </w:p>
    <w:p w14:paraId="0601A34E" w14:textId="77777777" w:rsidR="00EB0249" w:rsidRPr="005F2A26" w:rsidRDefault="00EB0249" w:rsidP="00CA029D">
      <w:pPr>
        <w:pStyle w:val="EndNoteBibliography"/>
        <w:spacing w:after="0"/>
        <w:ind w:left="720" w:hanging="720"/>
        <w:contextualSpacing/>
        <w:jc w:val="left"/>
      </w:pPr>
      <w:r w:rsidRPr="005F2A26">
        <w:lastRenderedPageBreak/>
        <w:t xml:space="preserve">Pierce, J.L., Li, D., Jussila, I. and Wang, J. (2019), "An empirical examination of the emergence of collective psychological ownership in work team contexts", </w:t>
      </w:r>
      <w:r w:rsidRPr="005F2A26">
        <w:rPr>
          <w:i/>
        </w:rPr>
        <w:t>Journal of Management &amp; Organization</w:t>
      </w:r>
      <w:r w:rsidRPr="005F2A26">
        <w:t>, Vol. 26 No. 5, pp.657-676.</w:t>
      </w:r>
    </w:p>
    <w:p w14:paraId="07E28C48"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Porteous, J.D. (1976), </w:t>
      </w:r>
      <w:r w:rsidRPr="005F2A26">
        <w:rPr>
          <w:szCs w:val="24"/>
        </w:rPr>
        <w:t>"</w:t>
      </w:r>
      <w:r w:rsidRPr="005F2A26">
        <w:rPr>
          <w:color w:val="222222"/>
          <w:szCs w:val="24"/>
          <w:shd w:val="clear" w:color="auto" w:fill="FFFFFF"/>
        </w:rPr>
        <w:t>Home: The territorial core</w:t>
      </w:r>
      <w:r w:rsidRPr="005F2A26">
        <w:rPr>
          <w:szCs w:val="24"/>
        </w:rPr>
        <w:t xml:space="preserve">", </w:t>
      </w:r>
      <w:r w:rsidRPr="005F2A26">
        <w:rPr>
          <w:i/>
          <w:iCs/>
          <w:color w:val="222222"/>
          <w:szCs w:val="24"/>
          <w:shd w:val="clear" w:color="auto" w:fill="FFFFFF"/>
        </w:rPr>
        <w:t>Geographical Review</w:t>
      </w:r>
      <w:r w:rsidRPr="005F2A26">
        <w:rPr>
          <w:color w:val="222222"/>
          <w:szCs w:val="24"/>
          <w:shd w:val="clear" w:color="auto" w:fill="FFFFFF"/>
        </w:rPr>
        <w:t xml:space="preserve">, Vol. 66 No. 4, pp.383-390. </w:t>
      </w:r>
    </w:p>
    <w:p w14:paraId="52DF6B66" w14:textId="2BFF9465"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Rather, R.A., Hollebeek, L.D. and Islam, J.U. (2019), </w:t>
      </w:r>
      <w:r w:rsidR="005C0B72" w:rsidRPr="005F2A26">
        <w:rPr>
          <w:szCs w:val="24"/>
        </w:rPr>
        <w:t>"</w:t>
      </w:r>
      <w:r w:rsidRPr="005F2A26">
        <w:rPr>
          <w:color w:val="222222"/>
          <w:szCs w:val="24"/>
          <w:shd w:val="clear" w:color="auto" w:fill="FFFFFF"/>
        </w:rPr>
        <w:t>Tourism-based customer engagement: The construct, antecedents, and consequences</w:t>
      </w:r>
      <w:r w:rsidR="005C0B72" w:rsidRPr="005F2A26">
        <w:rPr>
          <w:szCs w:val="24"/>
        </w:rPr>
        <w:t>"</w:t>
      </w:r>
      <w:r w:rsidRPr="005F2A26">
        <w:rPr>
          <w:color w:val="222222"/>
          <w:szCs w:val="24"/>
          <w:shd w:val="clear" w:color="auto" w:fill="FFFFFF"/>
        </w:rPr>
        <w:t xml:space="preserve">, </w:t>
      </w:r>
      <w:r w:rsidRPr="005F2A26">
        <w:rPr>
          <w:i/>
          <w:iCs/>
          <w:color w:val="222222"/>
          <w:szCs w:val="24"/>
          <w:shd w:val="clear" w:color="auto" w:fill="FFFFFF"/>
        </w:rPr>
        <w:t>The Service Industries Journal</w:t>
      </w:r>
      <w:r w:rsidRPr="005F2A26">
        <w:rPr>
          <w:color w:val="222222"/>
          <w:szCs w:val="24"/>
          <w:shd w:val="clear" w:color="auto" w:fill="FFFFFF"/>
        </w:rPr>
        <w:t>, Vol. 39 Nos. 7-8, pp.519-540.</w:t>
      </w:r>
      <w:r w:rsidRPr="005F2A26">
        <w:rPr>
          <w:szCs w:val="24"/>
        </w:rPr>
        <w:t xml:space="preserve"> </w:t>
      </w:r>
    </w:p>
    <w:p w14:paraId="6027FA53" w14:textId="70BB292C"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Reb, J. and Connolly, T. (2007), </w:t>
      </w:r>
      <w:r w:rsidR="005C0B72" w:rsidRPr="005F2A26">
        <w:rPr>
          <w:szCs w:val="24"/>
        </w:rPr>
        <w:t>"</w:t>
      </w:r>
      <w:r w:rsidRPr="005F2A26">
        <w:rPr>
          <w:color w:val="222222"/>
          <w:szCs w:val="24"/>
          <w:shd w:val="clear" w:color="auto" w:fill="FFFFFF"/>
        </w:rPr>
        <w:t>Possession, feelings of ownership, and the endowment effect</w:t>
      </w:r>
      <w:r w:rsidR="005C0B72" w:rsidRPr="005F2A26">
        <w:rPr>
          <w:szCs w:val="24"/>
        </w:rPr>
        <w:t>"</w:t>
      </w:r>
      <w:r w:rsidRPr="005F2A26">
        <w:rPr>
          <w:color w:val="222222"/>
          <w:szCs w:val="24"/>
          <w:shd w:val="clear" w:color="auto" w:fill="FFFFFF"/>
        </w:rPr>
        <w:t xml:space="preserve">, </w:t>
      </w:r>
      <w:r w:rsidRPr="005F2A26">
        <w:rPr>
          <w:i/>
          <w:iCs/>
          <w:color w:val="222222"/>
          <w:szCs w:val="24"/>
          <w:shd w:val="clear" w:color="auto" w:fill="FFFFFF"/>
        </w:rPr>
        <w:t>Judgment and Decision making</w:t>
      </w:r>
      <w:r w:rsidRPr="005F2A26">
        <w:rPr>
          <w:color w:val="222222"/>
          <w:szCs w:val="24"/>
          <w:shd w:val="clear" w:color="auto" w:fill="FFFFFF"/>
        </w:rPr>
        <w:t>, Vol. 2 No. 2, pp.107-114.</w:t>
      </w:r>
      <w:r w:rsidRPr="005F2A26">
        <w:rPr>
          <w:szCs w:val="24"/>
        </w:rPr>
        <w:t xml:space="preserve"> </w:t>
      </w:r>
    </w:p>
    <w:p w14:paraId="78BB2CEC" w14:textId="1D121931" w:rsidR="00EB0249" w:rsidRPr="005F2A26" w:rsidRDefault="00EB0249" w:rsidP="00CA029D">
      <w:pPr>
        <w:pStyle w:val="EndNoteBibliography"/>
        <w:spacing w:after="0"/>
        <w:ind w:left="720" w:hanging="720"/>
        <w:contextualSpacing/>
        <w:jc w:val="left"/>
      </w:pPr>
      <w:r w:rsidRPr="005F2A26">
        <w:t>Reeve, J. (2012), "A self-determination theory perspective on student engagement</w:t>
      </w:r>
      <w:r w:rsidR="005C0B72" w:rsidRPr="005F2A26">
        <w:rPr>
          <w:szCs w:val="24"/>
        </w:rPr>
        <w:t>"</w:t>
      </w:r>
      <w:r w:rsidRPr="005F2A26">
        <w:t xml:space="preserve">, Christenson, S.L., Reschly, A.L. and Wylie C. (Ed.s.), </w:t>
      </w:r>
      <w:r w:rsidRPr="005F2A26">
        <w:rPr>
          <w:i/>
          <w:iCs/>
        </w:rPr>
        <w:t>Handbook of Research on Student Engagement</w:t>
      </w:r>
      <w:r w:rsidRPr="005F2A26">
        <w:t>,</w:t>
      </w:r>
      <w:r w:rsidRPr="005F2A26">
        <w:rPr>
          <w:i/>
          <w:iCs/>
        </w:rPr>
        <w:t xml:space="preserve"> </w:t>
      </w:r>
      <w:r w:rsidRPr="005F2A26">
        <w:t xml:space="preserve">Springer, New York, NY, </w:t>
      </w:r>
      <w:r w:rsidR="00BF0CFA" w:rsidRPr="005F2A26">
        <w:t xml:space="preserve">US, </w:t>
      </w:r>
      <w:r w:rsidRPr="005F2A26">
        <w:t xml:space="preserve">pp.149-172. </w:t>
      </w:r>
    </w:p>
    <w:p w14:paraId="77138897"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Roberts, C. and Alpert, F. (2010), </w:t>
      </w:r>
      <w:r w:rsidRPr="005F2A26">
        <w:rPr>
          <w:szCs w:val="24"/>
        </w:rPr>
        <w:t>"</w:t>
      </w:r>
      <w:r w:rsidRPr="005F2A26">
        <w:rPr>
          <w:color w:val="222222"/>
          <w:szCs w:val="24"/>
          <w:shd w:val="clear" w:color="auto" w:fill="FFFFFF"/>
        </w:rPr>
        <w:t>Total customer engagement: Designing and aligning key strategic elements to achieve growth</w:t>
      </w:r>
      <w:r w:rsidRPr="005F2A26">
        <w:rPr>
          <w:szCs w:val="24"/>
        </w:rPr>
        <w:t xml:space="preserve">", </w:t>
      </w:r>
      <w:r w:rsidRPr="005F2A26">
        <w:rPr>
          <w:i/>
          <w:iCs/>
          <w:color w:val="222222"/>
          <w:szCs w:val="24"/>
          <w:shd w:val="clear" w:color="auto" w:fill="FFFFFF"/>
        </w:rPr>
        <w:t xml:space="preserve">Journal of Product &amp; Brand Management, </w:t>
      </w:r>
      <w:r w:rsidRPr="005F2A26">
        <w:rPr>
          <w:szCs w:val="24"/>
          <w:shd w:val="clear" w:color="auto" w:fill="FFFFFF"/>
        </w:rPr>
        <w:t>Vol. 19 No. 3, pp.198-209.</w:t>
      </w:r>
    </w:p>
    <w:p w14:paraId="22177C9C" w14:textId="77777777" w:rsidR="00EB0249" w:rsidRPr="005F2A26" w:rsidRDefault="00EB0249" w:rsidP="00CA029D">
      <w:pPr>
        <w:pStyle w:val="EndNoteBibliography"/>
        <w:spacing w:after="0"/>
        <w:ind w:left="720" w:hanging="720"/>
        <w:contextualSpacing/>
        <w:jc w:val="left"/>
        <w:rPr>
          <w:szCs w:val="24"/>
          <w:shd w:val="clear" w:color="auto" w:fill="F9FDFE"/>
        </w:rPr>
      </w:pPr>
      <w:r w:rsidRPr="005F2A26">
        <w:rPr>
          <w:szCs w:val="24"/>
          <w:shd w:val="clear" w:color="auto" w:fill="F9FDFE"/>
        </w:rPr>
        <w:t>Schor, J. (2014), "Debating the sharing economy", available at: http://www.greattransition.org/publication/debating-the-sharing-economy</w:t>
      </w:r>
      <w:r w:rsidRPr="005F2A26">
        <w:rPr>
          <w:szCs w:val="24"/>
        </w:rPr>
        <w:t xml:space="preserve"> </w:t>
      </w:r>
      <w:r w:rsidRPr="005F2A26">
        <w:rPr>
          <w:szCs w:val="24"/>
          <w:shd w:val="clear" w:color="auto" w:fill="F9FDFE"/>
        </w:rPr>
        <w:t>(accessed 6 April 2020)</w:t>
      </w:r>
    </w:p>
    <w:p w14:paraId="7A1437BF" w14:textId="77777777" w:rsidR="00EB0249" w:rsidRPr="005F2A26" w:rsidRDefault="00EB0249" w:rsidP="00CA029D">
      <w:pPr>
        <w:pStyle w:val="EndNoteBibliography"/>
        <w:spacing w:after="0"/>
        <w:ind w:left="720" w:hanging="720"/>
        <w:contextualSpacing/>
        <w:jc w:val="left"/>
        <w:rPr>
          <w:szCs w:val="24"/>
          <w:shd w:val="clear" w:color="auto" w:fill="FFFFFF"/>
        </w:rPr>
      </w:pPr>
      <w:r w:rsidRPr="005F2A26">
        <w:rPr>
          <w:szCs w:val="24"/>
          <w:shd w:val="clear" w:color="auto" w:fill="FFFFFF"/>
        </w:rPr>
        <w:t xml:space="preserve">Schrader, U. (2007), </w:t>
      </w:r>
      <w:r w:rsidRPr="005F2A26">
        <w:rPr>
          <w:szCs w:val="24"/>
          <w:shd w:val="clear" w:color="auto" w:fill="F9FDFE"/>
        </w:rPr>
        <w:t>"</w:t>
      </w:r>
      <w:r w:rsidRPr="005F2A26">
        <w:rPr>
          <w:szCs w:val="24"/>
          <w:shd w:val="clear" w:color="auto" w:fill="FFFFFF"/>
        </w:rPr>
        <w:t>The moral responsibility of consumers as citizens</w:t>
      </w:r>
      <w:r w:rsidRPr="005F2A26">
        <w:rPr>
          <w:szCs w:val="24"/>
          <w:shd w:val="clear" w:color="auto" w:fill="F9FDFE"/>
        </w:rPr>
        <w:t xml:space="preserve">", </w:t>
      </w:r>
      <w:r w:rsidRPr="005F2A26">
        <w:rPr>
          <w:i/>
          <w:iCs/>
          <w:szCs w:val="24"/>
          <w:shd w:val="clear" w:color="auto" w:fill="FFFFFF"/>
        </w:rPr>
        <w:t>International Journal of Innovation and Sustainable Development</w:t>
      </w:r>
      <w:r w:rsidRPr="005F2A26">
        <w:rPr>
          <w:szCs w:val="24"/>
          <w:shd w:val="clear" w:color="auto" w:fill="FFFFFF"/>
        </w:rPr>
        <w:t>, Vol. 2 No. 1, pp.79-96.</w:t>
      </w:r>
    </w:p>
    <w:p w14:paraId="74AB9ABC" w14:textId="77777777" w:rsidR="00EB0249" w:rsidRPr="005F2A26" w:rsidRDefault="00EB0249" w:rsidP="00CA029D">
      <w:pPr>
        <w:pStyle w:val="EndNoteBibliography"/>
        <w:spacing w:after="0"/>
        <w:ind w:left="720" w:hanging="720"/>
        <w:contextualSpacing/>
        <w:jc w:val="left"/>
      </w:pPr>
      <w:r w:rsidRPr="005F2A26">
        <w:t xml:space="preserve">Selloni, D. (2017), "New forms of economies: Sharing economy, collaborative consumption, peer-to-peer economy", Selloni, D. (Ed.), </w:t>
      </w:r>
      <w:r w:rsidRPr="005F2A26">
        <w:rPr>
          <w:i/>
          <w:iCs/>
        </w:rPr>
        <w:t>CoDesign for Public-Interest Services</w:t>
      </w:r>
      <w:r w:rsidRPr="005F2A26">
        <w:t>, Springer, Cham, pp.15-26.</w:t>
      </w:r>
    </w:p>
    <w:p w14:paraId="765C2457" w14:textId="77777777" w:rsidR="00EB0249" w:rsidRPr="005F2A26" w:rsidRDefault="00EB0249" w:rsidP="00CA029D">
      <w:pPr>
        <w:pStyle w:val="EndNoteBibliography"/>
        <w:spacing w:after="0"/>
        <w:ind w:left="720" w:hanging="720"/>
        <w:contextualSpacing/>
        <w:jc w:val="left"/>
      </w:pPr>
      <w:r w:rsidRPr="005F2A26">
        <w:t xml:space="preserve">Sheng, J. (2019), "Being active in online communications: Firm responsiveness and customer engagement behaviour", </w:t>
      </w:r>
      <w:r w:rsidRPr="005F2A26">
        <w:rPr>
          <w:i/>
          <w:iCs/>
        </w:rPr>
        <w:t>Journal of Interactive Marketing</w:t>
      </w:r>
      <w:r w:rsidRPr="005F2A26">
        <w:t>, Vol. 46, pp.40-51.</w:t>
      </w:r>
    </w:p>
    <w:p w14:paraId="47EB1C29" w14:textId="6C0FAB0C" w:rsidR="00EB0249" w:rsidRPr="005F2A26" w:rsidRDefault="00EB0249" w:rsidP="00CA029D">
      <w:pPr>
        <w:pStyle w:val="EndNoteBibliography"/>
        <w:spacing w:after="0"/>
        <w:ind w:left="720" w:hanging="720"/>
        <w:contextualSpacing/>
        <w:jc w:val="left"/>
      </w:pPr>
      <w:r w:rsidRPr="005F2A26">
        <w:t xml:space="preserve">Sinclair, G. and Tinson, J. (2017), </w:t>
      </w:r>
      <w:r w:rsidRPr="005F2A26">
        <w:rPr>
          <w:szCs w:val="24"/>
        </w:rPr>
        <w:t>"</w:t>
      </w:r>
      <w:r w:rsidRPr="005F2A26">
        <w:t>Psychological ownership and music streaming consumption</w:t>
      </w:r>
      <w:r w:rsidRPr="005F2A26">
        <w:rPr>
          <w:szCs w:val="24"/>
        </w:rPr>
        <w:t>"</w:t>
      </w:r>
      <w:r w:rsidRPr="005F2A26">
        <w:t>,</w:t>
      </w:r>
      <w:r w:rsidRPr="005F2A26">
        <w:rPr>
          <w:i/>
          <w:iCs/>
        </w:rPr>
        <w:t xml:space="preserve"> Journal of Business Research</w:t>
      </w:r>
      <w:r w:rsidRPr="005F2A26">
        <w:t>, Vol. 71, pp.1-9.</w:t>
      </w:r>
    </w:p>
    <w:p w14:paraId="21A422CB"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Storbacka, K. (2019), </w:t>
      </w:r>
      <w:r w:rsidRPr="005F2A26">
        <w:rPr>
          <w:szCs w:val="24"/>
        </w:rPr>
        <w:t>"</w:t>
      </w:r>
      <w:r w:rsidRPr="005F2A26">
        <w:rPr>
          <w:color w:val="222222"/>
          <w:szCs w:val="24"/>
          <w:shd w:val="clear" w:color="auto" w:fill="FFFFFF"/>
        </w:rPr>
        <w:t>Actor engagement, value creation and market innovation</w:t>
      </w:r>
      <w:r w:rsidRPr="005F2A26">
        <w:rPr>
          <w:szCs w:val="24"/>
        </w:rPr>
        <w:t xml:space="preserve">", </w:t>
      </w:r>
      <w:r w:rsidRPr="005F2A26">
        <w:rPr>
          <w:i/>
          <w:iCs/>
          <w:color w:val="222222"/>
          <w:szCs w:val="24"/>
          <w:shd w:val="clear" w:color="auto" w:fill="FFFFFF"/>
        </w:rPr>
        <w:t>Industrial Marketing Management</w:t>
      </w:r>
      <w:r w:rsidRPr="005F2A26">
        <w:rPr>
          <w:color w:val="222222"/>
          <w:szCs w:val="24"/>
          <w:shd w:val="clear" w:color="auto" w:fill="FFFFFF"/>
        </w:rPr>
        <w:t>, Vol. 80, pp.4-10.</w:t>
      </w:r>
      <w:r w:rsidRPr="005F2A26">
        <w:rPr>
          <w:szCs w:val="24"/>
        </w:rPr>
        <w:t xml:space="preserve"> </w:t>
      </w:r>
    </w:p>
    <w:p w14:paraId="30D78DAE" w14:textId="2920028F" w:rsidR="00EB0249" w:rsidRPr="005F2A26" w:rsidRDefault="00EB0249" w:rsidP="00CA029D">
      <w:pPr>
        <w:pStyle w:val="EndNoteBibliography"/>
        <w:spacing w:after="0"/>
        <w:ind w:left="720" w:hanging="720"/>
        <w:contextualSpacing/>
        <w:jc w:val="left"/>
      </w:pPr>
      <w:r w:rsidRPr="005F2A26">
        <w:t>Storbacka, K., Brodie, R.J., Böhmann, T., Maglio, P.P</w:t>
      </w:r>
      <w:r w:rsidR="006C12D4" w:rsidRPr="005F2A26">
        <w:t>.</w:t>
      </w:r>
      <w:r w:rsidRPr="005F2A26">
        <w:t xml:space="preserve"> and Nenonen, S. (2016), "Actor engagement as a microfoundation for value co-creation", </w:t>
      </w:r>
      <w:r w:rsidRPr="005F2A26">
        <w:rPr>
          <w:i/>
        </w:rPr>
        <w:t>Journal of Business Research</w:t>
      </w:r>
      <w:r w:rsidRPr="005F2A26">
        <w:t>, Vol. 69 No. 8, pp.3008-3017.</w:t>
      </w:r>
    </w:p>
    <w:p w14:paraId="2DC9EB2B" w14:textId="712F995A" w:rsidR="001E419B" w:rsidRDefault="001E419B" w:rsidP="00CA029D">
      <w:pPr>
        <w:pStyle w:val="EndNoteBibliography"/>
        <w:spacing w:after="0"/>
        <w:ind w:left="720" w:hanging="720"/>
        <w:contextualSpacing/>
        <w:jc w:val="left"/>
      </w:pPr>
      <w:r w:rsidRPr="001E419B">
        <w:rPr>
          <w:lang w:val="en-NZ"/>
        </w:rPr>
        <w:t>Strahilevitz, M</w:t>
      </w:r>
      <w:r w:rsidR="00104612">
        <w:rPr>
          <w:lang w:val="en-NZ"/>
        </w:rPr>
        <w:t>.</w:t>
      </w:r>
      <w:r w:rsidRPr="001E419B">
        <w:rPr>
          <w:lang w:val="en-NZ"/>
        </w:rPr>
        <w:t>A.</w:t>
      </w:r>
      <w:r w:rsidR="00104612">
        <w:rPr>
          <w:lang w:val="en-NZ"/>
        </w:rPr>
        <w:t>,</w:t>
      </w:r>
      <w:r w:rsidRPr="001E419B">
        <w:rPr>
          <w:lang w:val="en-NZ"/>
        </w:rPr>
        <w:t xml:space="preserve"> and Loewenstein</w:t>
      </w:r>
      <w:r w:rsidR="00104612">
        <w:rPr>
          <w:lang w:val="en-NZ"/>
        </w:rPr>
        <w:t>, G.</w:t>
      </w:r>
      <w:r w:rsidRPr="001E419B">
        <w:rPr>
          <w:lang w:val="en-NZ"/>
        </w:rPr>
        <w:t xml:space="preserve"> (1998), “The Effect of Ownership History on the Valuation of Objects,” </w:t>
      </w:r>
      <w:r w:rsidRPr="001E419B">
        <w:rPr>
          <w:i/>
          <w:iCs/>
          <w:lang w:val="en-NZ"/>
        </w:rPr>
        <w:t>Journal of Consumer Research</w:t>
      </w:r>
      <w:r w:rsidRPr="001E419B">
        <w:rPr>
          <w:lang w:val="en-NZ"/>
        </w:rPr>
        <w:t xml:space="preserve">, </w:t>
      </w:r>
      <w:r>
        <w:rPr>
          <w:lang w:val="en-NZ"/>
        </w:rPr>
        <w:t xml:space="preserve">Vol. </w:t>
      </w:r>
      <w:r w:rsidRPr="001E419B">
        <w:rPr>
          <w:lang w:val="en-NZ"/>
        </w:rPr>
        <w:t>25</w:t>
      </w:r>
      <w:r w:rsidR="00104612">
        <w:rPr>
          <w:lang w:val="en-NZ"/>
        </w:rPr>
        <w:t xml:space="preserve"> No.</w:t>
      </w:r>
      <w:r w:rsidRPr="001E419B">
        <w:rPr>
          <w:lang w:val="en-NZ"/>
        </w:rPr>
        <w:t xml:space="preserve"> 3, </w:t>
      </w:r>
      <w:r w:rsidR="00104612">
        <w:rPr>
          <w:lang w:val="en-NZ"/>
        </w:rPr>
        <w:t>pp.</w:t>
      </w:r>
      <w:r w:rsidRPr="001E419B">
        <w:rPr>
          <w:lang w:val="en-NZ"/>
        </w:rPr>
        <w:t>276-</w:t>
      </w:r>
      <w:r w:rsidR="00104612">
        <w:rPr>
          <w:lang w:val="en-NZ"/>
        </w:rPr>
        <w:t>2</w:t>
      </w:r>
      <w:r w:rsidRPr="001E419B">
        <w:rPr>
          <w:lang w:val="en-NZ"/>
        </w:rPr>
        <w:t>89.</w:t>
      </w:r>
    </w:p>
    <w:p w14:paraId="3B73A912" w14:textId="505A2853" w:rsidR="00EB0249" w:rsidRPr="005F2A26" w:rsidRDefault="00EB0249" w:rsidP="00CA029D">
      <w:pPr>
        <w:pStyle w:val="EndNoteBibliography"/>
        <w:spacing w:after="0"/>
        <w:ind w:left="720" w:hanging="720"/>
        <w:contextualSpacing/>
        <w:jc w:val="left"/>
      </w:pPr>
      <w:r w:rsidRPr="005F2A26">
        <w:t xml:space="preserve">Tuominen, P., Jussila, I. and Saksa, J.-M. (2006), "Locality and regionality in management of Finnish customer owned co-operatives", </w:t>
      </w:r>
      <w:r w:rsidRPr="005F2A26">
        <w:rPr>
          <w:i/>
          <w:iCs/>
        </w:rPr>
        <w:t>International Journal of Co-operative Management</w:t>
      </w:r>
      <w:r w:rsidRPr="005F2A26">
        <w:t>, Vol. 3 No. 1, pp.9-19.</w:t>
      </w:r>
    </w:p>
    <w:p w14:paraId="5F29E10B" w14:textId="77777777" w:rsidR="00EB0249" w:rsidRPr="005F2A26" w:rsidRDefault="00EB0249" w:rsidP="00CA029D">
      <w:pPr>
        <w:pStyle w:val="EndNoteBibliography"/>
        <w:spacing w:after="0"/>
        <w:ind w:left="720" w:hanging="720"/>
        <w:contextualSpacing/>
        <w:jc w:val="left"/>
        <w:rPr>
          <w:szCs w:val="24"/>
        </w:rPr>
      </w:pPr>
      <w:r w:rsidRPr="005F2A26">
        <w:t xml:space="preserve">Tussyadiah, I.P. (2015), "An exploratory study on drivers and deterrents of collaborative consumption in travel", Tussyadiah, I. and Inversini, A. (Ed.s), </w:t>
      </w:r>
      <w:r w:rsidRPr="005F2A26">
        <w:rPr>
          <w:i/>
          <w:iCs/>
        </w:rPr>
        <w:t>Information and Communication Technologies in Tourism 2015</w:t>
      </w:r>
      <w:r w:rsidRPr="005F2A26">
        <w:t>, Springer International Publishing, Cham, Switzerland, pp.817-830.</w:t>
      </w:r>
    </w:p>
    <w:p w14:paraId="196082DF" w14:textId="77777777" w:rsidR="00EB0249" w:rsidRPr="005F2A26" w:rsidRDefault="00EB0249" w:rsidP="00CA029D">
      <w:pPr>
        <w:pStyle w:val="EndNoteBibliography"/>
        <w:spacing w:after="0"/>
        <w:ind w:left="720" w:hanging="720"/>
        <w:contextualSpacing/>
        <w:jc w:val="left"/>
        <w:rPr>
          <w:color w:val="222222"/>
          <w:szCs w:val="24"/>
          <w:shd w:val="clear" w:color="auto" w:fill="FFFFFF"/>
        </w:rPr>
      </w:pPr>
      <w:r w:rsidRPr="005F2A26">
        <w:rPr>
          <w:color w:val="222222"/>
          <w:szCs w:val="24"/>
          <w:shd w:val="clear" w:color="auto" w:fill="FFFFFF"/>
        </w:rPr>
        <w:t xml:space="preserve">Vargo, S.L. and Lusch, R.F. (2016), </w:t>
      </w:r>
      <w:r w:rsidRPr="005F2A26">
        <w:rPr>
          <w:szCs w:val="24"/>
        </w:rPr>
        <w:t>"</w:t>
      </w:r>
      <w:r w:rsidRPr="005F2A26">
        <w:rPr>
          <w:color w:val="222222"/>
          <w:szCs w:val="24"/>
          <w:shd w:val="clear" w:color="auto" w:fill="FFFFFF"/>
        </w:rPr>
        <w:t>Institutions and axioms: An extension and update of service-dominant logic</w:t>
      </w:r>
      <w:r w:rsidRPr="005F2A26">
        <w:rPr>
          <w:szCs w:val="24"/>
        </w:rPr>
        <w:t xml:space="preserve">", </w:t>
      </w:r>
      <w:r w:rsidRPr="005F2A26">
        <w:rPr>
          <w:i/>
          <w:iCs/>
          <w:color w:val="222222"/>
          <w:szCs w:val="24"/>
          <w:shd w:val="clear" w:color="auto" w:fill="FFFFFF"/>
        </w:rPr>
        <w:t>Journal of the Academy of Marketing Science</w:t>
      </w:r>
      <w:r w:rsidRPr="005F2A26">
        <w:rPr>
          <w:color w:val="222222"/>
          <w:szCs w:val="24"/>
          <w:shd w:val="clear" w:color="auto" w:fill="FFFFFF"/>
        </w:rPr>
        <w:t>, Vol. 44 No. 1, pp.5-23.</w:t>
      </w:r>
    </w:p>
    <w:p w14:paraId="26896E4B"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Verkuyten, M. and Martinovic, B. (2017), </w:t>
      </w:r>
      <w:r w:rsidRPr="005F2A26">
        <w:rPr>
          <w:szCs w:val="24"/>
        </w:rPr>
        <w:t>"</w:t>
      </w:r>
      <w:r w:rsidRPr="005F2A26">
        <w:rPr>
          <w:color w:val="222222"/>
          <w:szCs w:val="24"/>
          <w:shd w:val="clear" w:color="auto" w:fill="FFFFFF"/>
        </w:rPr>
        <w:t>Collective psychological ownership and intergroup relations</w:t>
      </w:r>
      <w:r w:rsidRPr="005F2A26">
        <w:rPr>
          <w:szCs w:val="24"/>
        </w:rPr>
        <w:t xml:space="preserve">", </w:t>
      </w:r>
      <w:r w:rsidRPr="005F2A26">
        <w:rPr>
          <w:i/>
          <w:iCs/>
          <w:color w:val="222222"/>
          <w:szCs w:val="24"/>
          <w:shd w:val="clear" w:color="auto" w:fill="FFFFFF"/>
        </w:rPr>
        <w:t>Perspectives on Psychological Science</w:t>
      </w:r>
      <w:r w:rsidRPr="005F2A26">
        <w:rPr>
          <w:color w:val="222222"/>
          <w:szCs w:val="24"/>
          <w:shd w:val="clear" w:color="auto" w:fill="FFFFFF"/>
        </w:rPr>
        <w:t>, Vol. 12 No. 6, pp.1021-1039.</w:t>
      </w:r>
      <w:r w:rsidRPr="005F2A26">
        <w:rPr>
          <w:szCs w:val="24"/>
        </w:rPr>
        <w:t xml:space="preserve"> </w:t>
      </w:r>
    </w:p>
    <w:p w14:paraId="0158FF74" w14:textId="77777777" w:rsidR="00EB0249" w:rsidRPr="005F2A26" w:rsidRDefault="00EB0249" w:rsidP="00CA029D">
      <w:pPr>
        <w:pStyle w:val="EndNoteBibliography"/>
        <w:spacing w:after="0"/>
        <w:ind w:left="720" w:hanging="720"/>
        <w:contextualSpacing/>
        <w:jc w:val="left"/>
      </w:pPr>
      <w:r w:rsidRPr="005F2A26">
        <w:lastRenderedPageBreak/>
        <w:t xml:space="preserve">Verleye, K., Gemmel, P. and Rangarajan, D. (2014), "Managing engagement behaviors in a network of customers and stakeholders: Evidence from the nursing home sector", </w:t>
      </w:r>
      <w:r w:rsidRPr="005F2A26">
        <w:rPr>
          <w:i/>
          <w:iCs/>
        </w:rPr>
        <w:t>Journal of Service Research,</w:t>
      </w:r>
      <w:r w:rsidRPr="005F2A26">
        <w:t xml:space="preserve"> Vol. 17 No. 1, pp.68-84.</w:t>
      </w:r>
    </w:p>
    <w:p w14:paraId="4E4CAE33"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Vivek, S.D., Beatty, S.E. and Morgan, R.M. (2012), </w:t>
      </w:r>
      <w:r w:rsidRPr="005F2A26">
        <w:rPr>
          <w:szCs w:val="24"/>
        </w:rPr>
        <w:t>"</w:t>
      </w:r>
      <w:r w:rsidRPr="005F2A26">
        <w:rPr>
          <w:color w:val="222222"/>
          <w:szCs w:val="24"/>
          <w:shd w:val="clear" w:color="auto" w:fill="FFFFFF"/>
        </w:rPr>
        <w:t>Customer engagement: Exploring customer relationships beyond purchase</w:t>
      </w:r>
      <w:r w:rsidRPr="005F2A26">
        <w:rPr>
          <w:szCs w:val="24"/>
        </w:rPr>
        <w:t xml:space="preserve">", </w:t>
      </w:r>
      <w:r w:rsidRPr="005F2A26">
        <w:rPr>
          <w:i/>
          <w:iCs/>
          <w:color w:val="222222"/>
          <w:szCs w:val="24"/>
          <w:shd w:val="clear" w:color="auto" w:fill="FFFFFF"/>
        </w:rPr>
        <w:t>Journal of Marketing Theory and Practice</w:t>
      </w:r>
      <w:r w:rsidRPr="005F2A26">
        <w:rPr>
          <w:color w:val="222222"/>
          <w:szCs w:val="24"/>
          <w:shd w:val="clear" w:color="auto" w:fill="FFFFFF"/>
        </w:rPr>
        <w:t>, Vol. 20 No. 2, pp.122-146.</w:t>
      </w:r>
    </w:p>
    <w:p w14:paraId="6EC3C90C" w14:textId="77777777" w:rsidR="00EB0249" w:rsidRPr="005F2A26" w:rsidRDefault="00EB0249" w:rsidP="00CA029D">
      <w:pPr>
        <w:pStyle w:val="EndNoteBibliography"/>
        <w:spacing w:after="0"/>
        <w:ind w:left="720" w:hanging="720"/>
        <w:contextualSpacing/>
        <w:jc w:val="left"/>
      </w:pPr>
      <w:r w:rsidRPr="005F2A26">
        <w:t xml:space="preserve">Weiss, L. and Johar, G.V. (2013), </w:t>
      </w:r>
      <w:r w:rsidRPr="005F2A26">
        <w:rPr>
          <w:szCs w:val="24"/>
        </w:rPr>
        <w:t>"</w:t>
      </w:r>
      <w:r w:rsidRPr="005F2A26">
        <w:t>Egocentric categorization and product judgment: Seeing your traits in what you own (and their opposite in what you don't)",</w:t>
      </w:r>
      <w:r w:rsidRPr="005F2A26">
        <w:rPr>
          <w:szCs w:val="24"/>
        </w:rPr>
        <w:t xml:space="preserve"> </w:t>
      </w:r>
      <w:r w:rsidRPr="005F2A26">
        <w:rPr>
          <w:i/>
          <w:iCs/>
        </w:rPr>
        <w:t xml:space="preserve">Journal of Consumer Research, </w:t>
      </w:r>
      <w:r w:rsidRPr="005F2A26">
        <w:t>Vol. 40 No. 1, pp.185-201.</w:t>
      </w:r>
    </w:p>
    <w:p w14:paraId="6804B397" w14:textId="77777777" w:rsidR="00EB0249" w:rsidRPr="005F2A26" w:rsidRDefault="00EB0249" w:rsidP="00CA029D">
      <w:pPr>
        <w:pStyle w:val="EndNoteBibliography"/>
        <w:spacing w:after="0"/>
        <w:ind w:left="720" w:hanging="720"/>
        <w:contextualSpacing/>
        <w:jc w:val="left"/>
        <w:rPr>
          <w:szCs w:val="24"/>
        </w:rPr>
      </w:pPr>
      <w:r w:rsidRPr="005F2A26">
        <w:rPr>
          <w:color w:val="222222"/>
          <w:szCs w:val="24"/>
          <w:shd w:val="clear" w:color="auto" w:fill="FFFFFF"/>
        </w:rPr>
        <w:t xml:space="preserve">Wilson, H.N. (2019), </w:t>
      </w:r>
      <w:r w:rsidRPr="005F2A26">
        <w:rPr>
          <w:szCs w:val="24"/>
        </w:rPr>
        <w:t>"</w:t>
      </w:r>
      <w:r w:rsidRPr="005F2A26">
        <w:rPr>
          <w:color w:val="222222"/>
          <w:szCs w:val="24"/>
          <w:shd w:val="clear" w:color="auto" w:fill="FFFFFF"/>
        </w:rPr>
        <w:t>Collective engagement: Four thought-shackles and how to escape them</w:t>
      </w:r>
      <w:r w:rsidRPr="005F2A26">
        <w:rPr>
          <w:szCs w:val="24"/>
        </w:rPr>
        <w:t xml:space="preserve">", </w:t>
      </w:r>
      <w:r w:rsidRPr="005F2A26">
        <w:rPr>
          <w:i/>
          <w:iCs/>
          <w:color w:val="222222"/>
          <w:szCs w:val="24"/>
          <w:shd w:val="clear" w:color="auto" w:fill="FFFFFF"/>
        </w:rPr>
        <w:t>Industrial Marketing Management</w:t>
      </w:r>
      <w:r w:rsidRPr="005F2A26">
        <w:rPr>
          <w:color w:val="222222"/>
          <w:szCs w:val="24"/>
          <w:shd w:val="clear" w:color="auto" w:fill="FFFFFF"/>
        </w:rPr>
        <w:t>, Vol. 80, pp.24-26.</w:t>
      </w:r>
      <w:r w:rsidRPr="005F2A26">
        <w:rPr>
          <w:szCs w:val="24"/>
        </w:rPr>
        <w:t xml:space="preserve"> </w:t>
      </w:r>
    </w:p>
    <w:p w14:paraId="176A86CB" w14:textId="77777777" w:rsidR="00EB0249" w:rsidRPr="005F2A26" w:rsidRDefault="00EB0249" w:rsidP="00CA029D">
      <w:pPr>
        <w:pStyle w:val="EndNoteBibliography"/>
        <w:spacing w:after="0"/>
        <w:ind w:left="720" w:hanging="720"/>
        <w:contextualSpacing/>
        <w:jc w:val="left"/>
      </w:pPr>
      <w:r w:rsidRPr="005F2A26">
        <w:t xml:space="preserve">Wirtz, J., So, K., Mody, M., Liu, S. and Chun, H. (2019), "Platforms in the peer-to-peer sharing economy", </w:t>
      </w:r>
      <w:r w:rsidRPr="005F2A26">
        <w:rPr>
          <w:i/>
          <w:iCs/>
        </w:rPr>
        <w:t>Journal of Service Management</w:t>
      </w:r>
      <w:r w:rsidRPr="005F2A26">
        <w:t>, Vol. 30 No. 4, pp.452-483.</w:t>
      </w:r>
    </w:p>
    <w:p w14:paraId="6669AC9F" w14:textId="038D9AA4" w:rsidR="00EB0249" w:rsidRPr="00CA029D" w:rsidRDefault="00EB0249" w:rsidP="00CA029D">
      <w:pPr>
        <w:pStyle w:val="EndNoteBibliography"/>
        <w:spacing w:after="0"/>
        <w:ind w:left="720" w:hanging="720"/>
        <w:contextualSpacing/>
        <w:jc w:val="left"/>
        <w:rPr>
          <w:bCs/>
        </w:rPr>
      </w:pPr>
      <w:r w:rsidRPr="005F2A26">
        <w:rPr>
          <w:bCs/>
        </w:rPr>
        <w:t xml:space="preserve">Wood, A.J., Graham, M., Lehdonvirta, V. and Hjorth, I. (2019), </w:t>
      </w:r>
      <w:r w:rsidRPr="005F2A26">
        <w:t>"</w:t>
      </w:r>
      <w:r w:rsidRPr="005F2A26">
        <w:rPr>
          <w:bCs/>
        </w:rPr>
        <w:t>Good gig, bad gig: Autonomy and algorithmic control in the global gig economy</w:t>
      </w:r>
      <w:r w:rsidRPr="005F2A26">
        <w:t>"</w:t>
      </w:r>
      <w:r w:rsidRPr="005F2A26">
        <w:rPr>
          <w:bCs/>
        </w:rPr>
        <w:t xml:space="preserve">, </w:t>
      </w:r>
      <w:r w:rsidRPr="005F2A26">
        <w:rPr>
          <w:bCs/>
          <w:i/>
          <w:iCs/>
        </w:rPr>
        <w:t>Work, Employment and Society,</w:t>
      </w:r>
      <w:r w:rsidRPr="005F2A26">
        <w:rPr>
          <w:bCs/>
        </w:rPr>
        <w:t xml:space="preserve"> Vol. 33 No. 1, pp.56-75.</w:t>
      </w:r>
      <w:bookmarkEnd w:id="9"/>
    </w:p>
    <w:sectPr w:rsidR="00EB0249" w:rsidRPr="00CA029D" w:rsidSect="00672D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7FFE" w14:textId="77777777" w:rsidR="007D55FB" w:rsidRDefault="007D55FB">
      <w:pPr>
        <w:spacing w:after="0" w:line="240" w:lineRule="auto"/>
      </w:pPr>
      <w:r>
        <w:separator/>
      </w:r>
    </w:p>
  </w:endnote>
  <w:endnote w:type="continuationSeparator" w:id="0">
    <w:p w14:paraId="7BF1BAAF" w14:textId="77777777" w:rsidR="007D55FB" w:rsidRDefault="007D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A312" w14:textId="77777777" w:rsidR="00590E81" w:rsidRDefault="0059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8665"/>
      <w:docPartObj>
        <w:docPartGallery w:val="Page Numbers (Bottom of Page)"/>
        <w:docPartUnique/>
      </w:docPartObj>
    </w:sdtPr>
    <w:sdtEndPr>
      <w:rPr>
        <w:noProof/>
      </w:rPr>
    </w:sdtEndPr>
    <w:sdtContent>
      <w:p w14:paraId="13093A44" w14:textId="636C306E" w:rsidR="00C26113" w:rsidRDefault="00C261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DDE65" w14:textId="77777777" w:rsidR="00C26113" w:rsidRDefault="00C26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05CC" w14:textId="77777777" w:rsidR="00590E81" w:rsidRDefault="00590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234233"/>
      <w:docPartObj>
        <w:docPartGallery w:val="Page Numbers (Bottom of Page)"/>
        <w:docPartUnique/>
      </w:docPartObj>
    </w:sdtPr>
    <w:sdtEndPr>
      <w:rPr>
        <w:noProof/>
      </w:rPr>
    </w:sdtEndPr>
    <w:sdtContent>
      <w:p w14:paraId="2AFE0BFD" w14:textId="77777777" w:rsidR="00C26113" w:rsidRDefault="00C2611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F1EB5C9" w14:textId="77777777" w:rsidR="00C26113" w:rsidRDefault="00C2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95A9" w14:textId="77777777" w:rsidR="007D55FB" w:rsidRDefault="007D55FB">
      <w:pPr>
        <w:spacing w:after="0" w:line="240" w:lineRule="auto"/>
      </w:pPr>
      <w:r>
        <w:separator/>
      </w:r>
    </w:p>
  </w:footnote>
  <w:footnote w:type="continuationSeparator" w:id="0">
    <w:p w14:paraId="30B428A1" w14:textId="77777777" w:rsidR="007D55FB" w:rsidRDefault="007D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2C63" w14:textId="77777777" w:rsidR="00590E81" w:rsidRDefault="0059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0DC6" w14:textId="77777777" w:rsidR="00590E81" w:rsidRDefault="00590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3007" w14:textId="77777777" w:rsidR="00590E81" w:rsidRDefault="00590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355"/>
    <w:multiLevelType w:val="hybridMultilevel"/>
    <w:tmpl w:val="9FFE72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67AF7"/>
    <w:multiLevelType w:val="hybridMultilevel"/>
    <w:tmpl w:val="43EC0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45690"/>
    <w:multiLevelType w:val="hybridMultilevel"/>
    <w:tmpl w:val="ED2C4F88"/>
    <w:lvl w:ilvl="0" w:tplc="791CC5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017E"/>
    <w:multiLevelType w:val="hybridMultilevel"/>
    <w:tmpl w:val="C8945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C26D90"/>
    <w:multiLevelType w:val="hybridMultilevel"/>
    <w:tmpl w:val="02C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EEF"/>
    <w:multiLevelType w:val="hybridMultilevel"/>
    <w:tmpl w:val="F92E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4CDE"/>
    <w:multiLevelType w:val="hybridMultilevel"/>
    <w:tmpl w:val="4676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B02"/>
    <w:multiLevelType w:val="hybridMultilevel"/>
    <w:tmpl w:val="51DA6E26"/>
    <w:lvl w:ilvl="0" w:tplc="44C4697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5312330"/>
    <w:multiLevelType w:val="hybridMultilevel"/>
    <w:tmpl w:val="39446684"/>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0300691"/>
    <w:multiLevelType w:val="hybridMultilevel"/>
    <w:tmpl w:val="2E467C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5BD78F2"/>
    <w:multiLevelType w:val="hybridMultilevel"/>
    <w:tmpl w:val="479CBF6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1" w15:restartNumberingAfterBreak="0">
    <w:nsid w:val="2EA069C8"/>
    <w:multiLevelType w:val="hybridMultilevel"/>
    <w:tmpl w:val="F1F850BE"/>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6CC6DBE"/>
    <w:multiLevelType w:val="hybridMultilevel"/>
    <w:tmpl w:val="DE0048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325F6"/>
    <w:multiLevelType w:val="hybridMultilevel"/>
    <w:tmpl w:val="A23EA4BE"/>
    <w:lvl w:ilvl="0" w:tplc="5EE277A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161A7"/>
    <w:multiLevelType w:val="hybridMultilevel"/>
    <w:tmpl w:val="FD7E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44D08"/>
    <w:multiLevelType w:val="hybridMultilevel"/>
    <w:tmpl w:val="BC5A58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21D4"/>
    <w:multiLevelType w:val="hybridMultilevel"/>
    <w:tmpl w:val="FBA455AA"/>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C9D19CE"/>
    <w:multiLevelType w:val="hybridMultilevel"/>
    <w:tmpl w:val="A56CC0C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30961E9"/>
    <w:multiLevelType w:val="hybridMultilevel"/>
    <w:tmpl w:val="FF18D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960C65"/>
    <w:multiLevelType w:val="hybridMultilevel"/>
    <w:tmpl w:val="4A26F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416967"/>
    <w:multiLevelType w:val="hybridMultilevel"/>
    <w:tmpl w:val="9E1E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2702B"/>
    <w:multiLevelType w:val="hybridMultilevel"/>
    <w:tmpl w:val="C9E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040FF"/>
    <w:multiLevelType w:val="hybridMultilevel"/>
    <w:tmpl w:val="B49079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CEF1866"/>
    <w:multiLevelType w:val="hybridMultilevel"/>
    <w:tmpl w:val="8CDEB4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E1353B3"/>
    <w:multiLevelType w:val="hybridMultilevel"/>
    <w:tmpl w:val="795A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A51AB"/>
    <w:multiLevelType w:val="multilevel"/>
    <w:tmpl w:val="96B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73E22"/>
    <w:multiLevelType w:val="hybridMultilevel"/>
    <w:tmpl w:val="A4C6E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94EB9"/>
    <w:multiLevelType w:val="hybridMultilevel"/>
    <w:tmpl w:val="97DC4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FD5E2B"/>
    <w:multiLevelType w:val="hybridMultilevel"/>
    <w:tmpl w:val="D6A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0B1E4B"/>
    <w:multiLevelType w:val="hybridMultilevel"/>
    <w:tmpl w:val="FBA808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6C663EA"/>
    <w:multiLevelType w:val="hybridMultilevel"/>
    <w:tmpl w:val="B1E4F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154169"/>
    <w:multiLevelType w:val="hybridMultilevel"/>
    <w:tmpl w:val="BC5A58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B30AF"/>
    <w:multiLevelType w:val="hybridMultilevel"/>
    <w:tmpl w:val="93E8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92512"/>
    <w:multiLevelType w:val="hybridMultilevel"/>
    <w:tmpl w:val="A7807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4"/>
  </w:num>
  <w:num w:numId="4">
    <w:abstractNumId w:val="12"/>
  </w:num>
  <w:num w:numId="5">
    <w:abstractNumId w:val="30"/>
  </w:num>
  <w:num w:numId="6">
    <w:abstractNumId w:val="18"/>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2"/>
  </w:num>
  <w:num w:numId="11">
    <w:abstractNumId w:val="6"/>
  </w:num>
  <w:num w:numId="12">
    <w:abstractNumId w:val="2"/>
  </w:num>
  <w:num w:numId="13">
    <w:abstractNumId w:val="0"/>
  </w:num>
  <w:num w:numId="14">
    <w:abstractNumId w:val="26"/>
  </w:num>
  <w:num w:numId="15">
    <w:abstractNumId w:val="1"/>
  </w:num>
  <w:num w:numId="16">
    <w:abstractNumId w:val="4"/>
  </w:num>
  <w:num w:numId="17">
    <w:abstractNumId w:val="21"/>
  </w:num>
  <w:num w:numId="18">
    <w:abstractNumId w:val="5"/>
  </w:num>
  <w:num w:numId="19">
    <w:abstractNumId w:val="13"/>
  </w:num>
  <w:num w:numId="20">
    <w:abstractNumId w:val="15"/>
  </w:num>
  <w:num w:numId="21">
    <w:abstractNumId w:val="31"/>
  </w:num>
  <w:num w:numId="22">
    <w:abstractNumId w:val="28"/>
  </w:num>
  <w:num w:numId="23">
    <w:abstractNumId w:val="7"/>
  </w:num>
  <w:num w:numId="24">
    <w:abstractNumId w:val="8"/>
  </w:num>
  <w:num w:numId="25">
    <w:abstractNumId w:val="16"/>
  </w:num>
  <w:num w:numId="26">
    <w:abstractNumId w:val="1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33"/>
  </w:num>
  <w:num w:numId="31">
    <w:abstractNumId w:val="23"/>
  </w:num>
  <w:num w:numId="32">
    <w:abstractNumId w:val="9"/>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TU2M7MwMzY2NDBW0lEKTi0uzszPAykwqQUAqDbyfywAAAA="/>
    <w:docVar w:name="EN.InstantFormat" w:val="&lt;ENInstantFormat&gt;&lt;Enabled&gt;1&lt;/Enabled&gt;&lt;ScanUnformatted&gt;1&lt;/ScanUnformatted&gt;&lt;ScanChanges&gt;1&lt;/ScanChanges&gt;&lt;Suspended&gt;1&lt;/Suspended&gt;&lt;/ENInstantFormat&gt;"/>
  </w:docVars>
  <w:rsids>
    <w:rsidRoot w:val="00C44216"/>
    <w:rsid w:val="000007E1"/>
    <w:rsid w:val="00000AC7"/>
    <w:rsid w:val="00000BE5"/>
    <w:rsid w:val="00000C08"/>
    <w:rsid w:val="000014D4"/>
    <w:rsid w:val="00001A3A"/>
    <w:rsid w:val="000026DF"/>
    <w:rsid w:val="00002D17"/>
    <w:rsid w:val="00002DE3"/>
    <w:rsid w:val="00005CDD"/>
    <w:rsid w:val="000069D3"/>
    <w:rsid w:val="00010315"/>
    <w:rsid w:val="000109C8"/>
    <w:rsid w:val="00011D2C"/>
    <w:rsid w:val="000142BE"/>
    <w:rsid w:val="00014C6E"/>
    <w:rsid w:val="00015364"/>
    <w:rsid w:val="000153E6"/>
    <w:rsid w:val="00015660"/>
    <w:rsid w:val="00015B97"/>
    <w:rsid w:val="0002031D"/>
    <w:rsid w:val="000205CD"/>
    <w:rsid w:val="00020C0C"/>
    <w:rsid w:val="000213FE"/>
    <w:rsid w:val="000235C6"/>
    <w:rsid w:val="0002495A"/>
    <w:rsid w:val="00025EB7"/>
    <w:rsid w:val="000263C4"/>
    <w:rsid w:val="000265DA"/>
    <w:rsid w:val="00026628"/>
    <w:rsid w:val="00027914"/>
    <w:rsid w:val="000304CB"/>
    <w:rsid w:val="0003078D"/>
    <w:rsid w:val="000308E7"/>
    <w:rsid w:val="000310B6"/>
    <w:rsid w:val="000314F7"/>
    <w:rsid w:val="0003161D"/>
    <w:rsid w:val="000317B9"/>
    <w:rsid w:val="00032248"/>
    <w:rsid w:val="00033633"/>
    <w:rsid w:val="00033CDD"/>
    <w:rsid w:val="00035170"/>
    <w:rsid w:val="0003619B"/>
    <w:rsid w:val="00036637"/>
    <w:rsid w:val="0003713F"/>
    <w:rsid w:val="000372B0"/>
    <w:rsid w:val="00040AB3"/>
    <w:rsid w:val="000410F1"/>
    <w:rsid w:val="0004188C"/>
    <w:rsid w:val="000427C9"/>
    <w:rsid w:val="00042ADD"/>
    <w:rsid w:val="00042AE6"/>
    <w:rsid w:val="00043387"/>
    <w:rsid w:val="000433D9"/>
    <w:rsid w:val="00043612"/>
    <w:rsid w:val="00043B58"/>
    <w:rsid w:val="00043C02"/>
    <w:rsid w:val="00044DC3"/>
    <w:rsid w:val="000452DD"/>
    <w:rsid w:val="000456AB"/>
    <w:rsid w:val="0004574B"/>
    <w:rsid w:val="00046D5D"/>
    <w:rsid w:val="00047C52"/>
    <w:rsid w:val="00047E0A"/>
    <w:rsid w:val="00051672"/>
    <w:rsid w:val="0005276A"/>
    <w:rsid w:val="0005372F"/>
    <w:rsid w:val="000538FE"/>
    <w:rsid w:val="00053F8F"/>
    <w:rsid w:val="00054173"/>
    <w:rsid w:val="000565A0"/>
    <w:rsid w:val="00056996"/>
    <w:rsid w:val="0006086D"/>
    <w:rsid w:val="00060E01"/>
    <w:rsid w:val="00061BAE"/>
    <w:rsid w:val="0006207D"/>
    <w:rsid w:val="0006281B"/>
    <w:rsid w:val="00062869"/>
    <w:rsid w:val="00062C38"/>
    <w:rsid w:val="0006313F"/>
    <w:rsid w:val="0006386A"/>
    <w:rsid w:val="00063B62"/>
    <w:rsid w:val="00063DF7"/>
    <w:rsid w:val="00064A15"/>
    <w:rsid w:val="00064DBF"/>
    <w:rsid w:val="00065B5E"/>
    <w:rsid w:val="0006612B"/>
    <w:rsid w:val="00066D36"/>
    <w:rsid w:val="000702E4"/>
    <w:rsid w:val="00070743"/>
    <w:rsid w:val="00070972"/>
    <w:rsid w:val="00070ED2"/>
    <w:rsid w:val="000713FE"/>
    <w:rsid w:val="00071E6B"/>
    <w:rsid w:val="0007206C"/>
    <w:rsid w:val="000726DD"/>
    <w:rsid w:val="00073B0E"/>
    <w:rsid w:val="00074E72"/>
    <w:rsid w:val="000752BF"/>
    <w:rsid w:val="000757A9"/>
    <w:rsid w:val="00075A63"/>
    <w:rsid w:val="00075B5F"/>
    <w:rsid w:val="00076F81"/>
    <w:rsid w:val="00077755"/>
    <w:rsid w:val="00080020"/>
    <w:rsid w:val="00080026"/>
    <w:rsid w:val="00080D2F"/>
    <w:rsid w:val="00081244"/>
    <w:rsid w:val="00081978"/>
    <w:rsid w:val="000825F1"/>
    <w:rsid w:val="00082791"/>
    <w:rsid w:val="00082871"/>
    <w:rsid w:val="0008366E"/>
    <w:rsid w:val="00083BD0"/>
    <w:rsid w:val="00083F1D"/>
    <w:rsid w:val="000849D1"/>
    <w:rsid w:val="00085BA3"/>
    <w:rsid w:val="00085C92"/>
    <w:rsid w:val="00085FEB"/>
    <w:rsid w:val="000860DF"/>
    <w:rsid w:val="00086153"/>
    <w:rsid w:val="000864F5"/>
    <w:rsid w:val="000865D7"/>
    <w:rsid w:val="00090D48"/>
    <w:rsid w:val="00091AE3"/>
    <w:rsid w:val="00091E6A"/>
    <w:rsid w:val="00092BA4"/>
    <w:rsid w:val="00093766"/>
    <w:rsid w:val="000940BF"/>
    <w:rsid w:val="0009418B"/>
    <w:rsid w:val="000941CB"/>
    <w:rsid w:val="000948B5"/>
    <w:rsid w:val="00094D9D"/>
    <w:rsid w:val="00096F0C"/>
    <w:rsid w:val="00097264"/>
    <w:rsid w:val="00097731"/>
    <w:rsid w:val="000A0696"/>
    <w:rsid w:val="000A0A92"/>
    <w:rsid w:val="000A15C1"/>
    <w:rsid w:val="000A174B"/>
    <w:rsid w:val="000A1A0A"/>
    <w:rsid w:val="000A2174"/>
    <w:rsid w:val="000A28F9"/>
    <w:rsid w:val="000A2BAF"/>
    <w:rsid w:val="000A335F"/>
    <w:rsid w:val="000A40E3"/>
    <w:rsid w:val="000A5721"/>
    <w:rsid w:val="000A75BC"/>
    <w:rsid w:val="000A7EAF"/>
    <w:rsid w:val="000B1783"/>
    <w:rsid w:val="000B1928"/>
    <w:rsid w:val="000B1A98"/>
    <w:rsid w:val="000B2444"/>
    <w:rsid w:val="000B2564"/>
    <w:rsid w:val="000B35D2"/>
    <w:rsid w:val="000B3930"/>
    <w:rsid w:val="000B3ACB"/>
    <w:rsid w:val="000B45FC"/>
    <w:rsid w:val="000B69A8"/>
    <w:rsid w:val="000B6BCB"/>
    <w:rsid w:val="000B7D19"/>
    <w:rsid w:val="000C0C86"/>
    <w:rsid w:val="000C145A"/>
    <w:rsid w:val="000C1C7D"/>
    <w:rsid w:val="000C2078"/>
    <w:rsid w:val="000C23AA"/>
    <w:rsid w:val="000C3C17"/>
    <w:rsid w:val="000C59EA"/>
    <w:rsid w:val="000C5A28"/>
    <w:rsid w:val="000C5DB7"/>
    <w:rsid w:val="000D01EB"/>
    <w:rsid w:val="000D1804"/>
    <w:rsid w:val="000D2823"/>
    <w:rsid w:val="000D3CB9"/>
    <w:rsid w:val="000D4545"/>
    <w:rsid w:val="000D47C2"/>
    <w:rsid w:val="000D5A20"/>
    <w:rsid w:val="000D6E69"/>
    <w:rsid w:val="000E00BA"/>
    <w:rsid w:val="000E0A1F"/>
    <w:rsid w:val="000E0B2A"/>
    <w:rsid w:val="000E0F2D"/>
    <w:rsid w:val="000E1291"/>
    <w:rsid w:val="000E1909"/>
    <w:rsid w:val="000E26D9"/>
    <w:rsid w:val="000E3628"/>
    <w:rsid w:val="000E4233"/>
    <w:rsid w:val="000E45B5"/>
    <w:rsid w:val="000F0B87"/>
    <w:rsid w:val="000F0FB8"/>
    <w:rsid w:val="000F150C"/>
    <w:rsid w:val="000F17F2"/>
    <w:rsid w:val="000F2DB0"/>
    <w:rsid w:val="000F3863"/>
    <w:rsid w:val="000F4CAA"/>
    <w:rsid w:val="000F5D9C"/>
    <w:rsid w:val="000F70C9"/>
    <w:rsid w:val="000F72CD"/>
    <w:rsid w:val="000F73BE"/>
    <w:rsid w:val="0010176E"/>
    <w:rsid w:val="0010249C"/>
    <w:rsid w:val="00103B77"/>
    <w:rsid w:val="00103E21"/>
    <w:rsid w:val="00104612"/>
    <w:rsid w:val="001051D0"/>
    <w:rsid w:val="001052EC"/>
    <w:rsid w:val="0010570C"/>
    <w:rsid w:val="00105C48"/>
    <w:rsid w:val="00105F89"/>
    <w:rsid w:val="00105FE9"/>
    <w:rsid w:val="001078FA"/>
    <w:rsid w:val="001079BA"/>
    <w:rsid w:val="00107D6C"/>
    <w:rsid w:val="0011092D"/>
    <w:rsid w:val="00110D43"/>
    <w:rsid w:val="00111487"/>
    <w:rsid w:val="00111893"/>
    <w:rsid w:val="00112874"/>
    <w:rsid w:val="00112ABB"/>
    <w:rsid w:val="00113FDE"/>
    <w:rsid w:val="00115BD2"/>
    <w:rsid w:val="001161BD"/>
    <w:rsid w:val="0011742F"/>
    <w:rsid w:val="00117CC9"/>
    <w:rsid w:val="00120B89"/>
    <w:rsid w:val="00121647"/>
    <w:rsid w:val="0012176C"/>
    <w:rsid w:val="00121831"/>
    <w:rsid w:val="00121A7F"/>
    <w:rsid w:val="00122A4F"/>
    <w:rsid w:val="0012305D"/>
    <w:rsid w:val="001232BE"/>
    <w:rsid w:val="001235E3"/>
    <w:rsid w:val="0012443A"/>
    <w:rsid w:val="00124C1D"/>
    <w:rsid w:val="0012506F"/>
    <w:rsid w:val="0012596E"/>
    <w:rsid w:val="0012669D"/>
    <w:rsid w:val="001270DA"/>
    <w:rsid w:val="00127915"/>
    <w:rsid w:val="00130051"/>
    <w:rsid w:val="001300B9"/>
    <w:rsid w:val="001300DB"/>
    <w:rsid w:val="00130188"/>
    <w:rsid w:val="00130622"/>
    <w:rsid w:val="00130C2B"/>
    <w:rsid w:val="00131B4C"/>
    <w:rsid w:val="001337B3"/>
    <w:rsid w:val="00133B5E"/>
    <w:rsid w:val="00133C05"/>
    <w:rsid w:val="001343CE"/>
    <w:rsid w:val="00134A32"/>
    <w:rsid w:val="00134FC4"/>
    <w:rsid w:val="001356C5"/>
    <w:rsid w:val="001365F9"/>
    <w:rsid w:val="00136844"/>
    <w:rsid w:val="00136BC4"/>
    <w:rsid w:val="00136C49"/>
    <w:rsid w:val="00140323"/>
    <w:rsid w:val="0014051F"/>
    <w:rsid w:val="00140BE8"/>
    <w:rsid w:val="00141181"/>
    <w:rsid w:val="0014162D"/>
    <w:rsid w:val="001418F1"/>
    <w:rsid w:val="00142802"/>
    <w:rsid w:val="00144529"/>
    <w:rsid w:val="001446E2"/>
    <w:rsid w:val="001461A4"/>
    <w:rsid w:val="00150389"/>
    <w:rsid w:val="001507D5"/>
    <w:rsid w:val="00150F54"/>
    <w:rsid w:val="001517AD"/>
    <w:rsid w:val="00151BA5"/>
    <w:rsid w:val="00152272"/>
    <w:rsid w:val="0015322A"/>
    <w:rsid w:val="00153982"/>
    <w:rsid w:val="0015428E"/>
    <w:rsid w:val="001542F9"/>
    <w:rsid w:val="001545D2"/>
    <w:rsid w:val="00154E82"/>
    <w:rsid w:val="00155316"/>
    <w:rsid w:val="001559FC"/>
    <w:rsid w:val="00155C99"/>
    <w:rsid w:val="001566F1"/>
    <w:rsid w:val="0015697D"/>
    <w:rsid w:val="00157003"/>
    <w:rsid w:val="00157035"/>
    <w:rsid w:val="00157F31"/>
    <w:rsid w:val="0016048D"/>
    <w:rsid w:val="001604C9"/>
    <w:rsid w:val="00161F30"/>
    <w:rsid w:val="00162588"/>
    <w:rsid w:val="00162C4C"/>
    <w:rsid w:val="001640E4"/>
    <w:rsid w:val="001651F1"/>
    <w:rsid w:val="00165D88"/>
    <w:rsid w:val="00166538"/>
    <w:rsid w:val="00170A78"/>
    <w:rsid w:val="00170A8B"/>
    <w:rsid w:val="00170CB6"/>
    <w:rsid w:val="00170E08"/>
    <w:rsid w:val="00170E0E"/>
    <w:rsid w:val="00171B8B"/>
    <w:rsid w:val="00172C54"/>
    <w:rsid w:val="0017360C"/>
    <w:rsid w:val="00174FAB"/>
    <w:rsid w:val="00175272"/>
    <w:rsid w:val="00175B9F"/>
    <w:rsid w:val="001762D8"/>
    <w:rsid w:val="00176467"/>
    <w:rsid w:val="00177160"/>
    <w:rsid w:val="00177E44"/>
    <w:rsid w:val="001805A0"/>
    <w:rsid w:val="001806C4"/>
    <w:rsid w:val="00180C34"/>
    <w:rsid w:val="00181C9E"/>
    <w:rsid w:val="00181F6D"/>
    <w:rsid w:val="001836E6"/>
    <w:rsid w:val="00184964"/>
    <w:rsid w:val="0018507A"/>
    <w:rsid w:val="00185756"/>
    <w:rsid w:val="00185EE2"/>
    <w:rsid w:val="00186146"/>
    <w:rsid w:val="00186E82"/>
    <w:rsid w:val="001870DA"/>
    <w:rsid w:val="001875CD"/>
    <w:rsid w:val="001902CC"/>
    <w:rsid w:val="001906F9"/>
    <w:rsid w:val="00190E58"/>
    <w:rsid w:val="001919A0"/>
    <w:rsid w:val="001925C7"/>
    <w:rsid w:val="001925E8"/>
    <w:rsid w:val="00192803"/>
    <w:rsid w:val="00193339"/>
    <w:rsid w:val="001935F9"/>
    <w:rsid w:val="001939BB"/>
    <w:rsid w:val="00193D14"/>
    <w:rsid w:val="00195382"/>
    <w:rsid w:val="00195946"/>
    <w:rsid w:val="00195AEA"/>
    <w:rsid w:val="00195D4C"/>
    <w:rsid w:val="00196C2B"/>
    <w:rsid w:val="001A0551"/>
    <w:rsid w:val="001A067B"/>
    <w:rsid w:val="001A0D89"/>
    <w:rsid w:val="001A280A"/>
    <w:rsid w:val="001A301D"/>
    <w:rsid w:val="001A3109"/>
    <w:rsid w:val="001A4CDB"/>
    <w:rsid w:val="001A53B1"/>
    <w:rsid w:val="001A68FE"/>
    <w:rsid w:val="001A695D"/>
    <w:rsid w:val="001A7371"/>
    <w:rsid w:val="001B09C1"/>
    <w:rsid w:val="001B1434"/>
    <w:rsid w:val="001B14DB"/>
    <w:rsid w:val="001B159B"/>
    <w:rsid w:val="001B24CB"/>
    <w:rsid w:val="001B43FE"/>
    <w:rsid w:val="001B5B4D"/>
    <w:rsid w:val="001B6BFC"/>
    <w:rsid w:val="001B6D54"/>
    <w:rsid w:val="001B6E02"/>
    <w:rsid w:val="001B72D0"/>
    <w:rsid w:val="001B7E52"/>
    <w:rsid w:val="001C007F"/>
    <w:rsid w:val="001C2123"/>
    <w:rsid w:val="001C3049"/>
    <w:rsid w:val="001C3AE6"/>
    <w:rsid w:val="001C4CA3"/>
    <w:rsid w:val="001C51A7"/>
    <w:rsid w:val="001C537E"/>
    <w:rsid w:val="001C60E6"/>
    <w:rsid w:val="001C693A"/>
    <w:rsid w:val="001C6A26"/>
    <w:rsid w:val="001C6C6E"/>
    <w:rsid w:val="001C6DED"/>
    <w:rsid w:val="001D052F"/>
    <w:rsid w:val="001D12ED"/>
    <w:rsid w:val="001D1465"/>
    <w:rsid w:val="001D1A29"/>
    <w:rsid w:val="001D38D2"/>
    <w:rsid w:val="001D3C16"/>
    <w:rsid w:val="001D4250"/>
    <w:rsid w:val="001D4865"/>
    <w:rsid w:val="001D5B9A"/>
    <w:rsid w:val="001D6032"/>
    <w:rsid w:val="001D60D7"/>
    <w:rsid w:val="001D62AC"/>
    <w:rsid w:val="001D67F0"/>
    <w:rsid w:val="001D6E5B"/>
    <w:rsid w:val="001D6E62"/>
    <w:rsid w:val="001D6F9D"/>
    <w:rsid w:val="001E0059"/>
    <w:rsid w:val="001E04A8"/>
    <w:rsid w:val="001E05A1"/>
    <w:rsid w:val="001E05B1"/>
    <w:rsid w:val="001E0E56"/>
    <w:rsid w:val="001E1156"/>
    <w:rsid w:val="001E3817"/>
    <w:rsid w:val="001E419B"/>
    <w:rsid w:val="001E50EA"/>
    <w:rsid w:val="001E6D51"/>
    <w:rsid w:val="001E6FE3"/>
    <w:rsid w:val="001F1270"/>
    <w:rsid w:val="001F128C"/>
    <w:rsid w:val="001F1C1E"/>
    <w:rsid w:val="001F202E"/>
    <w:rsid w:val="001F26E3"/>
    <w:rsid w:val="001F3659"/>
    <w:rsid w:val="001F3997"/>
    <w:rsid w:val="001F42CC"/>
    <w:rsid w:val="001F4BD0"/>
    <w:rsid w:val="001F4F45"/>
    <w:rsid w:val="001F53AB"/>
    <w:rsid w:val="001F5B66"/>
    <w:rsid w:val="001F5DAC"/>
    <w:rsid w:val="001F60ED"/>
    <w:rsid w:val="001F68C6"/>
    <w:rsid w:val="001F703D"/>
    <w:rsid w:val="001F7869"/>
    <w:rsid w:val="001F79B7"/>
    <w:rsid w:val="002017B2"/>
    <w:rsid w:val="00201B5B"/>
    <w:rsid w:val="00202A93"/>
    <w:rsid w:val="00203421"/>
    <w:rsid w:val="00203793"/>
    <w:rsid w:val="00203B70"/>
    <w:rsid w:val="00203E90"/>
    <w:rsid w:val="002047CB"/>
    <w:rsid w:val="00204CD6"/>
    <w:rsid w:val="00205636"/>
    <w:rsid w:val="0020582F"/>
    <w:rsid w:val="00206179"/>
    <w:rsid w:val="00207CFD"/>
    <w:rsid w:val="002100D7"/>
    <w:rsid w:val="002104EF"/>
    <w:rsid w:val="00210B51"/>
    <w:rsid w:val="00210DAC"/>
    <w:rsid w:val="002112C3"/>
    <w:rsid w:val="00211524"/>
    <w:rsid w:val="0021184E"/>
    <w:rsid w:val="00211B3B"/>
    <w:rsid w:val="00212ED1"/>
    <w:rsid w:val="00212F51"/>
    <w:rsid w:val="00213D1B"/>
    <w:rsid w:val="00214B29"/>
    <w:rsid w:val="00216E8E"/>
    <w:rsid w:val="00217B09"/>
    <w:rsid w:val="00217CF1"/>
    <w:rsid w:val="0022079D"/>
    <w:rsid w:val="00221177"/>
    <w:rsid w:val="00221665"/>
    <w:rsid w:val="00221A7E"/>
    <w:rsid w:val="00221AEB"/>
    <w:rsid w:val="0022275B"/>
    <w:rsid w:val="00222914"/>
    <w:rsid w:val="00223661"/>
    <w:rsid w:val="00223877"/>
    <w:rsid w:val="00224315"/>
    <w:rsid w:val="002243B5"/>
    <w:rsid w:val="002244AA"/>
    <w:rsid w:val="002246E8"/>
    <w:rsid w:val="002247CD"/>
    <w:rsid w:val="00224ED5"/>
    <w:rsid w:val="00225967"/>
    <w:rsid w:val="00225ADB"/>
    <w:rsid w:val="002262F1"/>
    <w:rsid w:val="00226C02"/>
    <w:rsid w:val="0022746A"/>
    <w:rsid w:val="0022758E"/>
    <w:rsid w:val="00227EAB"/>
    <w:rsid w:val="0023029F"/>
    <w:rsid w:val="00230D4D"/>
    <w:rsid w:val="0023308F"/>
    <w:rsid w:val="002338ED"/>
    <w:rsid w:val="00233958"/>
    <w:rsid w:val="00233F27"/>
    <w:rsid w:val="00233F82"/>
    <w:rsid w:val="00234BD3"/>
    <w:rsid w:val="00234C02"/>
    <w:rsid w:val="00234D5D"/>
    <w:rsid w:val="00234E39"/>
    <w:rsid w:val="002350DC"/>
    <w:rsid w:val="00235470"/>
    <w:rsid w:val="00235AAD"/>
    <w:rsid w:val="0023656D"/>
    <w:rsid w:val="002369D2"/>
    <w:rsid w:val="00236B4B"/>
    <w:rsid w:val="00241D89"/>
    <w:rsid w:val="0024245C"/>
    <w:rsid w:val="002425D4"/>
    <w:rsid w:val="00243FED"/>
    <w:rsid w:val="0024628A"/>
    <w:rsid w:val="00246596"/>
    <w:rsid w:val="00246947"/>
    <w:rsid w:val="002469E0"/>
    <w:rsid w:val="00247218"/>
    <w:rsid w:val="00247C01"/>
    <w:rsid w:val="00247CE6"/>
    <w:rsid w:val="00250BEC"/>
    <w:rsid w:val="00250F1A"/>
    <w:rsid w:val="00251222"/>
    <w:rsid w:val="00251C91"/>
    <w:rsid w:val="002521DD"/>
    <w:rsid w:val="002523DB"/>
    <w:rsid w:val="002535EB"/>
    <w:rsid w:val="002537EB"/>
    <w:rsid w:val="002550BC"/>
    <w:rsid w:val="00255159"/>
    <w:rsid w:val="00256487"/>
    <w:rsid w:val="002564BD"/>
    <w:rsid w:val="0025673E"/>
    <w:rsid w:val="00260639"/>
    <w:rsid w:val="00261968"/>
    <w:rsid w:val="00261AD0"/>
    <w:rsid w:val="00261E9E"/>
    <w:rsid w:val="00262320"/>
    <w:rsid w:val="002629E2"/>
    <w:rsid w:val="00262D1A"/>
    <w:rsid w:val="0026362C"/>
    <w:rsid w:val="0026394F"/>
    <w:rsid w:val="0026411E"/>
    <w:rsid w:val="00265539"/>
    <w:rsid w:val="002658EB"/>
    <w:rsid w:val="00265E19"/>
    <w:rsid w:val="0026771A"/>
    <w:rsid w:val="00267EAD"/>
    <w:rsid w:val="0027043E"/>
    <w:rsid w:val="00270B89"/>
    <w:rsid w:val="002718C2"/>
    <w:rsid w:val="00271ACF"/>
    <w:rsid w:val="00271DC3"/>
    <w:rsid w:val="00271E0C"/>
    <w:rsid w:val="00271F30"/>
    <w:rsid w:val="00272239"/>
    <w:rsid w:val="0027227B"/>
    <w:rsid w:val="0027232D"/>
    <w:rsid w:val="002726EB"/>
    <w:rsid w:val="00272FC3"/>
    <w:rsid w:val="00273171"/>
    <w:rsid w:val="00273BF9"/>
    <w:rsid w:val="00273CA6"/>
    <w:rsid w:val="00275194"/>
    <w:rsid w:val="0027552E"/>
    <w:rsid w:val="0027556E"/>
    <w:rsid w:val="00277019"/>
    <w:rsid w:val="0027725D"/>
    <w:rsid w:val="00277718"/>
    <w:rsid w:val="00277936"/>
    <w:rsid w:val="002813B8"/>
    <w:rsid w:val="002817BA"/>
    <w:rsid w:val="00282C63"/>
    <w:rsid w:val="00282DD6"/>
    <w:rsid w:val="002838F5"/>
    <w:rsid w:val="00284778"/>
    <w:rsid w:val="00284A71"/>
    <w:rsid w:val="00284B8F"/>
    <w:rsid w:val="00286697"/>
    <w:rsid w:val="0028672D"/>
    <w:rsid w:val="002874EB"/>
    <w:rsid w:val="002875D5"/>
    <w:rsid w:val="00290FA6"/>
    <w:rsid w:val="00292777"/>
    <w:rsid w:val="002934CA"/>
    <w:rsid w:val="0029375D"/>
    <w:rsid w:val="00293795"/>
    <w:rsid w:val="0029384F"/>
    <w:rsid w:val="0029391D"/>
    <w:rsid w:val="00293D51"/>
    <w:rsid w:val="00295710"/>
    <w:rsid w:val="0029620C"/>
    <w:rsid w:val="00296C09"/>
    <w:rsid w:val="002970E0"/>
    <w:rsid w:val="002979E3"/>
    <w:rsid w:val="002A07A1"/>
    <w:rsid w:val="002A1853"/>
    <w:rsid w:val="002A29A3"/>
    <w:rsid w:val="002A4A6F"/>
    <w:rsid w:val="002A4CAD"/>
    <w:rsid w:val="002A57D0"/>
    <w:rsid w:val="002A5AC9"/>
    <w:rsid w:val="002A65FD"/>
    <w:rsid w:val="002A7670"/>
    <w:rsid w:val="002A7685"/>
    <w:rsid w:val="002A7965"/>
    <w:rsid w:val="002B2642"/>
    <w:rsid w:val="002B383C"/>
    <w:rsid w:val="002B38AA"/>
    <w:rsid w:val="002B3CCF"/>
    <w:rsid w:val="002B465C"/>
    <w:rsid w:val="002B53F9"/>
    <w:rsid w:val="002B565D"/>
    <w:rsid w:val="002B6360"/>
    <w:rsid w:val="002B6670"/>
    <w:rsid w:val="002B7844"/>
    <w:rsid w:val="002C0E6D"/>
    <w:rsid w:val="002C296B"/>
    <w:rsid w:val="002C4788"/>
    <w:rsid w:val="002C51EE"/>
    <w:rsid w:val="002C5A01"/>
    <w:rsid w:val="002C5BB9"/>
    <w:rsid w:val="002C6439"/>
    <w:rsid w:val="002C6F4B"/>
    <w:rsid w:val="002C700D"/>
    <w:rsid w:val="002C71CD"/>
    <w:rsid w:val="002D0617"/>
    <w:rsid w:val="002D0E05"/>
    <w:rsid w:val="002D2233"/>
    <w:rsid w:val="002D224D"/>
    <w:rsid w:val="002D2EAC"/>
    <w:rsid w:val="002D365D"/>
    <w:rsid w:val="002D38F7"/>
    <w:rsid w:val="002D44BB"/>
    <w:rsid w:val="002D4C23"/>
    <w:rsid w:val="002D585D"/>
    <w:rsid w:val="002D5DF4"/>
    <w:rsid w:val="002D6868"/>
    <w:rsid w:val="002D6F66"/>
    <w:rsid w:val="002D7373"/>
    <w:rsid w:val="002D7838"/>
    <w:rsid w:val="002D7952"/>
    <w:rsid w:val="002D79AD"/>
    <w:rsid w:val="002D79C8"/>
    <w:rsid w:val="002D7F75"/>
    <w:rsid w:val="002D7FC2"/>
    <w:rsid w:val="002E068E"/>
    <w:rsid w:val="002E150D"/>
    <w:rsid w:val="002E1D3E"/>
    <w:rsid w:val="002E32E4"/>
    <w:rsid w:val="002E3378"/>
    <w:rsid w:val="002E38E0"/>
    <w:rsid w:val="002E4A43"/>
    <w:rsid w:val="002E52D8"/>
    <w:rsid w:val="002E5963"/>
    <w:rsid w:val="002E6E65"/>
    <w:rsid w:val="002E6E7F"/>
    <w:rsid w:val="002E7295"/>
    <w:rsid w:val="002E772C"/>
    <w:rsid w:val="002F064D"/>
    <w:rsid w:val="002F1A17"/>
    <w:rsid w:val="002F1F0A"/>
    <w:rsid w:val="002F260C"/>
    <w:rsid w:val="002F29FC"/>
    <w:rsid w:val="002F36CE"/>
    <w:rsid w:val="002F4D31"/>
    <w:rsid w:val="002F4E91"/>
    <w:rsid w:val="002F5679"/>
    <w:rsid w:val="002F68E5"/>
    <w:rsid w:val="002F690C"/>
    <w:rsid w:val="002F6B4A"/>
    <w:rsid w:val="002F6DDF"/>
    <w:rsid w:val="002F75F1"/>
    <w:rsid w:val="00300463"/>
    <w:rsid w:val="0030073E"/>
    <w:rsid w:val="00300A90"/>
    <w:rsid w:val="00302801"/>
    <w:rsid w:val="00302AD5"/>
    <w:rsid w:val="00302CD0"/>
    <w:rsid w:val="003030E5"/>
    <w:rsid w:val="003038AC"/>
    <w:rsid w:val="00303C59"/>
    <w:rsid w:val="00303EAA"/>
    <w:rsid w:val="003041E2"/>
    <w:rsid w:val="0030546B"/>
    <w:rsid w:val="00305882"/>
    <w:rsid w:val="00305A15"/>
    <w:rsid w:val="00306BE6"/>
    <w:rsid w:val="003072A8"/>
    <w:rsid w:val="00307497"/>
    <w:rsid w:val="0030761C"/>
    <w:rsid w:val="003076CB"/>
    <w:rsid w:val="00310DFE"/>
    <w:rsid w:val="00311163"/>
    <w:rsid w:val="003115A9"/>
    <w:rsid w:val="00311D2E"/>
    <w:rsid w:val="00312AFD"/>
    <w:rsid w:val="003130F3"/>
    <w:rsid w:val="0031484C"/>
    <w:rsid w:val="00314C94"/>
    <w:rsid w:val="00314D12"/>
    <w:rsid w:val="00315400"/>
    <w:rsid w:val="00315601"/>
    <w:rsid w:val="0031564A"/>
    <w:rsid w:val="00316017"/>
    <w:rsid w:val="003162F0"/>
    <w:rsid w:val="0031650B"/>
    <w:rsid w:val="003169BA"/>
    <w:rsid w:val="003204CC"/>
    <w:rsid w:val="003218F3"/>
    <w:rsid w:val="00321A78"/>
    <w:rsid w:val="00321DAA"/>
    <w:rsid w:val="00321E3F"/>
    <w:rsid w:val="00322480"/>
    <w:rsid w:val="00322813"/>
    <w:rsid w:val="00322E17"/>
    <w:rsid w:val="00323D6B"/>
    <w:rsid w:val="00325269"/>
    <w:rsid w:val="003258C0"/>
    <w:rsid w:val="003259D7"/>
    <w:rsid w:val="00326464"/>
    <w:rsid w:val="003273FD"/>
    <w:rsid w:val="00327EA4"/>
    <w:rsid w:val="003300E1"/>
    <w:rsid w:val="0033030F"/>
    <w:rsid w:val="00330CC4"/>
    <w:rsid w:val="003324E2"/>
    <w:rsid w:val="0033291F"/>
    <w:rsid w:val="003338F5"/>
    <w:rsid w:val="00334170"/>
    <w:rsid w:val="0033490B"/>
    <w:rsid w:val="0033579D"/>
    <w:rsid w:val="00336A54"/>
    <w:rsid w:val="00336D94"/>
    <w:rsid w:val="003379C2"/>
    <w:rsid w:val="00340197"/>
    <w:rsid w:val="003406BD"/>
    <w:rsid w:val="00340F33"/>
    <w:rsid w:val="00341818"/>
    <w:rsid w:val="00341F4F"/>
    <w:rsid w:val="0034279A"/>
    <w:rsid w:val="0034344F"/>
    <w:rsid w:val="003437E7"/>
    <w:rsid w:val="003439BD"/>
    <w:rsid w:val="00344183"/>
    <w:rsid w:val="00344312"/>
    <w:rsid w:val="00344BC7"/>
    <w:rsid w:val="00345041"/>
    <w:rsid w:val="00345B0D"/>
    <w:rsid w:val="0034633F"/>
    <w:rsid w:val="003466E0"/>
    <w:rsid w:val="0034684E"/>
    <w:rsid w:val="00346C7B"/>
    <w:rsid w:val="00346EB0"/>
    <w:rsid w:val="00347033"/>
    <w:rsid w:val="00347899"/>
    <w:rsid w:val="00347FA7"/>
    <w:rsid w:val="003500B7"/>
    <w:rsid w:val="003506CA"/>
    <w:rsid w:val="003507F2"/>
    <w:rsid w:val="0035170A"/>
    <w:rsid w:val="00351D45"/>
    <w:rsid w:val="00351F05"/>
    <w:rsid w:val="00351F93"/>
    <w:rsid w:val="003520EF"/>
    <w:rsid w:val="00352D20"/>
    <w:rsid w:val="00352EE8"/>
    <w:rsid w:val="0035320A"/>
    <w:rsid w:val="003533B7"/>
    <w:rsid w:val="0035361C"/>
    <w:rsid w:val="00353918"/>
    <w:rsid w:val="00353E52"/>
    <w:rsid w:val="003556F2"/>
    <w:rsid w:val="00356D1E"/>
    <w:rsid w:val="00357DB5"/>
    <w:rsid w:val="00361135"/>
    <w:rsid w:val="003615CF"/>
    <w:rsid w:val="00361881"/>
    <w:rsid w:val="00361F18"/>
    <w:rsid w:val="00361FDE"/>
    <w:rsid w:val="00364373"/>
    <w:rsid w:val="00364A52"/>
    <w:rsid w:val="00364AF1"/>
    <w:rsid w:val="00365AB7"/>
    <w:rsid w:val="00365B2C"/>
    <w:rsid w:val="00365B3B"/>
    <w:rsid w:val="00366256"/>
    <w:rsid w:val="00366A34"/>
    <w:rsid w:val="00366EF7"/>
    <w:rsid w:val="00367516"/>
    <w:rsid w:val="00367858"/>
    <w:rsid w:val="00367CDD"/>
    <w:rsid w:val="00367CE3"/>
    <w:rsid w:val="00367D57"/>
    <w:rsid w:val="003707C5"/>
    <w:rsid w:val="003708F7"/>
    <w:rsid w:val="003709CC"/>
    <w:rsid w:val="00371044"/>
    <w:rsid w:val="0037190A"/>
    <w:rsid w:val="00372032"/>
    <w:rsid w:val="003720C3"/>
    <w:rsid w:val="00373D80"/>
    <w:rsid w:val="00373FA5"/>
    <w:rsid w:val="00374493"/>
    <w:rsid w:val="0037460E"/>
    <w:rsid w:val="0037486A"/>
    <w:rsid w:val="003748AB"/>
    <w:rsid w:val="00374E62"/>
    <w:rsid w:val="003766B4"/>
    <w:rsid w:val="00376923"/>
    <w:rsid w:val="00377E73"/>
    <w:rsid w:val="003800B5"/>
    <w:rsid w:val="00381950"/>
    <w:rsid w:val="00381F5D"/>
    <w:rsid w:val="003826AA"/>
    <w:rsid w:val="00383546"/>
    <w:rsid w:val="003835E8"/>
    <w:rsid w:val="00384C7A"/>
    <w:rsid w:val="00385434"/>
    <w:rsid w:val="003866B8"/>
    <w:rsid w:val="003869B0"/>
    <w:rsid w:val="00387AB6"/>
    <w:rsid w:val="00390B59"/>
    <w:rsid w:val="00391CDC"/>
    <w:rsid w:val="003928AC"/>
    <w:rsid w:val="003929D8"/>
    <w:rsid w:val="00393EBD"/>
    <w:rsid w:val="0039571E"/>
    <w:rsid w:val="00395F7A"/>
    <w:rsid w:val="003963F4"/>
    <w:rsid w:val="00396493"/>
    <w:rsid w:val="00396939"/>
    <w:rsid w:val="00396AF2"/>
    <w:rsid w:val="00396E00"/>
    <w:rsid w:val="00396FBA"/>
    <w:rsid w:val="003A0697"/>
    <w:rsid w:val="003A0983"/>
    <w:rsid w:val="003A0F1E"/>
    <w:rsid w:val="003A10A7"/>
    <w:rsid w:val="003A1735"/>
    <w:rsid w:val="003A1E62"/>
    <w:rsid w:val="003A2386"/>
    <w:rsid w:val="003A4B68"/>
    <w:rsid w:val="003A5076"/>
    <w:rsid w:val="003A5346"/>
    <w:rsid w:val="003A691B"/>
    <w:rsid w:val="003A736D"/>
    <w:rsid w:val="003A74BF"/>
    <w:rsid w:val="003A74C9"/>
    <w:rsid w:val="003B0875"/>
    <w:rsid w:val="003B08F6"/>
    <w:rsid w:val="003B1B22"/>
    <w:rsid w:val="003B215F"/>
    <w:rsid w:val="003B23A8"/>
    <w:rsid w:val="003B2486"/>
    <w:rsid w:val="003B3082"/>
    <w:rsid w:val="003B313F"/>
    <w:rsid w:val="003B32A1"/>
    <w:rsid w:val="003B3624"/>
    <w:rsid w:val="003B371B"/>
    <w:rsid w:val="003B4F1D"/>
    <w:rsid w:val="003B4F6E"/>
    <w:rsid w:val="003B5206"/>
    <w:rsid w:val="003B5C24"/>
    <w:rsid w:val="003B5DD8"/>
    <w:rsid w:val="003B6207"/>
    <w:rsid w:val="003B6582"/>
    <w:rsid w:val="003B65E9"/>
    <w:rsid w:val="003B687E"/>
    <w:rsid w:val="003B6E51"/>
    <w:rsid w:val="003B6F16"/>
    <w:rsid w:val="003B7BF2"/>
    <w:rsid w:val="003C2220"/>
    <w:rsid w:val="003C22AF"/>
    <w:rsid w:val="003C2631"/>
    <w:rsid w:val="003C2FAD"/>
    <w:rsid w:val="003C359C"/>
    <w:rsid w:val="003C649A"/>
    <w:rsid w:val="003C67C0"/>
    <w:rsid w:val="003C68A2"/>
    <w:rsid w:val="003D0334"/>
    <w:rsid w:val="003D0390"/>
    <w:rsid w:val="003D13D5"/>
    <w:rsid w:val="003D1790"/>
    <w:rsid w:val="003D1E49"/>
    <w:rsid w:val="003D2035"/>
    <w:rsid w:val="003D26FD"/>
    <w:rsid w:val="003D2795"/>
    <w:rsid w:val="003D33F2"/>
    <w:rsid w:val="003D36D4"/>
    <w:rsid w:val="003D39E5"/>
    <w:rsid w:val="003D3BB3"/>
    <w:rsid w:val="003D4596"/>
    <w:rsid w:val="003D52C0"/>
    <w:rsid w:val="003D52F4"/>
    <w:rsid w:val="003D5789"/>
    <w:rsid w:val="003D5D11"/>
    <w:rsid w:val="003D6926"/>
    <w:rsid w:val="003D6B06"/>
    <w:rsid w:val="003D79FF"/>
    <w:rsid w:val="003D7C8F"/>
    <w:rsid w:val="003D7D9E"/>
    <w:rsid w:val="003E07A5"/>
    <w:rsid w:val="003E08F5"/>
    <w:rsid w:val="003E0F64"/>
    <w:rsid w:val="003E1875"/>
    <w:rsid w:val="003E1AA2"/>
    <w:rsid w:val="003E1DDA"/>
    <w:rsid w:val="003E2226"/>
    <w:rsid w:val="003E23F4"/>
    <w:rsid w:val="003E2F83"/>
    <w:rsid w:val="003E34C7"/>
    <w:rsid w:val="003E3641"/>
    <w:rsid w:val="003E3E9B"/>
    <w:rsid w:val="003E4230"/>
    <w:rsid w:val="003E4253"/>
    <w:rsid w:val="003E4C69"/>
    <w:rsid w:val="003E6545"/>
    <w:rsid w:val="003E6D37"/>
    <w:rsid w:val="003E6FF0"/>
    <w:rsid w:val="003E71EE"/>
    <w:rsid w:val="003E76D0"/>
    <w:rsid w:val="003E7C62"/>
    <w:rsid w:val="003E7D5F"/>
    <w:rsid w:val="003E7F29"/>
    <w:rsid w:val="003F0790"/>
    <w:rsid w:val="003F0B89"/>
    <w:rsid w:val="003F1770"/>
    <w:rsid w:val="003F1D62"/>
    <w:rsid w:val="003F33EA"/>
    <w:rsid w:val="003F4245"/>
    <w:rsid w:val="003F470E"/>
    <w:rsid w:val="003F48FB"/>
    <w:rsid w:val="003F499D"/>
    <w:rsid w:val="003F4A0A"/>
    <w:rsid w:val="003F5704"/>
    <w:rsid w:val="003F6C7F"/>
    <w:rsid w:val="003F78AD"/>
    <w:rsid w:val="003F7F8B"/>
    <w:rsid w:val="00400543"/>
    <w:rsid w:val="00400EA1"/>
    <w:rsid w:val="00400F6B"/>
    <w:rsid w:val="00401FBC"/>
    <w:rsid w:val="0040209B"/>
    <w:rsid w:val="00403616"/>
    <w:rsid w:val="00404CC9"/>
    <w:rsid w:val="00405A2F"/>
    <w:rsid w:val="004063D6"/>
    <w:rsid w:val="0040779B"/>
    <w:rsid w:val="004078D9"/>
    <w:rsid w:val="00407C03"/>
    <w:rsid w:val="0041018D"/>
    <w:rsid w:val="00410366"/>
    <w:rsid w:val="004104FD"/>
    <w:rsid w:val="004117AA"/>
    <w:rsid w:val="00411DB8"/>
    <w:rsid w:val="0041244F"/>
    <w:rsid w:val="00412CE7"/>
    <w:rsid w:val="00413315"/>
    <w:rsid w:val="00413977"/>
    <w:rsid w:val="00413B89"/>
    <w:rsid w:val="004143DB"/>
    <w:rsid w:val="0041501F"/>
    <w:rsid w:val="004151CA"/>
    <w:rsid w:val="00415668"/>
    <w:rsid w:val="00415AAE"/>
    <w:rsid w:val="0041613C"/>
    <w:rsid w:val="004176D3"/>
    <w:rsid w:val="004203D6"/>
    <w:rsid w:val="00420931"/>
    <w:rsid w:val="00422064"/>
    <w:rsid w:val="004221A3"/>
    <w:rsid w:val="0042220C"/>
    <w:rsid w:val="00422706"/>
    <w:rsid w:val="00423310"/>
    <w:rsid w:val="00423A4E"/>
    <w:rsid w:val="00424B2C"/>
    <w:rsid w:val="004251EA"/>
    <w:rsid w:val="00425329"/>
    <w:rsid w:val="00426263"/>
    <w:rsid w:val="00426C43"/>
    <w:rsid w:val="00427278"/>
    <w:rsid w:val="00427EEF"/>
    <w:rsid w:val="0043082A"/>
    <w:rsid w:val="0043147F"/>
    <w:rsid w:val="004325E5"/>
    <w:rsid w:val="00432784"/>
    <w:rsid w:val="00433DBA"/>
    <w:rsid w:val="00435613"/>
    <w:rsid w:val="0043669E"/>
    <w:rsid w:val="00436D3B"/>
    <w:rsid w:val="00437C72"/>
    <w:rsid w:val="00437CD7"/>
    <w:rsid w:val="00437D08"/>
    <w:rsid w:val="00437D57"/>
    <w:rsid w:val="004400D0"/>
    <w:rsid w:val="004404C7"/>
    <w:rsid w:val="0044157C"/>
    <w:rsid w:val="00441776"/>
    <w:rsid w:val="00442E1F"/>
    <w:rsid w:val="00443361"/>
    <w:rsid w:val="00443C24"/>
    <w:rsid w:val="00444558"/>
    <w:rsid w:val="0044546F"/>
    <w:rsid w:val="00446EC2"/>
    <w:rsid w:val="004479CE"/>
    <w:rsid w:val="00447B71"/>
    <w:rsid w:val="0045032E"/>
    <w:rsid w:val="00451267"/>
    <w:rsid w:val="00451EA5"/>
    <w:rsid w:val="0045221A"/>
    <w:rsid w:val="00452D98"/>
    <w:rsid w:val="00453068"/>
    <w:rsid w:val="00454B2F"/>
    <w:rsid w:val="00454B6E"/>
    <w:rsid w:val="00454C37"/>
    <w:rsid w:val="00454EE9"/>
    <w:rsid w:val="0045608A"/>
    <w:rsid w:val="00456D02"/>
    <w:rsid w:val="00456E0A"/>
    <w:rsid w:val="00460B2D"/>
    <w:rsid w:val="0046195E"/>
    <w:rsid w:val="00463C54"/>
    <w:rsid w:val="00464292"/>
    <w:rsid w:val="0046541C"/>
    <w:rsid w:val="00465EB5"/>
    <w:rsid w:val="00465F35"/>
    <w:rsid w:val="004660BF"/>
    <w:rsid w:val="004664FE"/>
    <w:rsid w:val="00466B2D"/>
    <w:rsid w:val="004717F5"/>
    <w:rsid w:val="004718C1"/>
    <w:rsid w:val="00471DBC"/>
    <w:rsid w:val="00473476"/>
    <w:rsid w:val="0047373B"/>
    <w:rsid w:val="00473BFE"/>
    <w:rsid w:val="004745A5"/>
    <w:rsid w:val="00474FAE"/>
    <w:rsid w:val="00475C30"/>
    <w:rsid w:val="00476576"/>
    <w:rsid w:val="004767DF"/>
    <w:rsid w:val="00476E14"/>
    <w:rsid w:val="00477B7E"/>
    <w:rsid w:val="00480061"/>
    <w:rsid w:val="00480148"/>
    <w:rsid w:val="004807EB"/>
    <w:rsid w:val="0048106E"/>
    <w:rsid w:val="004811BA"/>
    <w:rsid w:val="0048151E"/>
    <w:rsid w:val="0048174D"/>
    <w:rsid w:val="0048299C"/>
    <w:rsid w:val="00482A0D"/>
    <w:rsid w:val="00483E92"/>
    <w:rsid w:val="00484D72"/>
    <w:rsid w:val="00485136"/>
    <w:rsid w:val="004852C2"/>
    <w:rsid w:val="00485DD0"/>
    <w:rsid w:val="00486915"/>
    <w:rsid w:val="0048791E"/>
    <w:rsid w:val="0049020E"/>
    <w:rsid w:val="0049059C"/>
    <w:rsid w:val="00490DD6"/>
    <w:rsid w:val="00491DD7"/>
    <w:rsid w:val="00492F72"/>
    <w:rsid w:val="00492FB4"/>
    <w:rsid w:val="00493A8A"/>
    <w:rsid w:val="00494001"/>
    <w:rsid w:val="004941FD"/>
    <w:rsid w:val="00494EF8"/>
    <w:rsid w:val="00494F2F"/>
    <w:rsid w:val="0049587F"/>
    <w:rsid w:val="00495880"/>
    <w:rsid w:val="00495B30"/>
    <w:rsid w:val="0049646E"/>
    <w:rsid w:val="00496E91"/>
    <w:rsid w:val="004974A8"/>
    <w:rsid w:val="0049753D"/>
    <w:rsid w:val="004A17C3"/>
    <w:rsid w:val="004A1BCC"/>
    <w:rsid w:val="004A1F8C"/>
    <w:rsid w:val="004A3783"/>
    <w:rsid w:val="004A4541"/>
    <w:rsid w:val="004A4783"/>
    <w:rsid w:val="004A49E4"/>
    <w:rsid w:val="004A7511"/>
    <w:rsid w:val="004A7635"/>
    <w:rsid w:val="004A7BB3"/>
    <w:rsid w:val="004A7D67"/>
    <w:rsid w:val="004A7F45"/>
    <w:rsid w:val="004B0783"/>
    <w:rsid w:val="004B1E35"/>
    <w:rsid w:val="004B1EA1"/>
    <w:rsid w:val="004B3303"/>
    <w:rsid w:val="004B4000"/>
    <w:rsid w:val="004B45E4"/>
    <w:rsid w:val="004B4CF5"/>
    <w:rsid w:val="004B4FC0"/>
    <w:rsid w:val="004B5083"/>
    <w:rsid w:val="004B55BE"/>
    <w:rsid w:val="004B5974"/>
    <w:rsid w:val="004B7414"/>
    <w:rsid w:val="004B756D"/>
    <w:rsid w:val="004B75EB"/>
    <w:rsid w:val="004C00A3"/>
    <w:rsid w:val="004C0D87"/>
    <w:rsid w:val="004C0DB5"/>
    <w:rsid w:val="004C1575"/>
    <w:rsid w:val="004C161C"/>
    <w:rsid w:val="004C1AF4"/>
    <w:rsid w:val="004C22D9"/>
    <w:rsid w:val="004C26D1"/>
    <w:rsid w:val="004C29BD"/>
    <w:rsid w:val="004C31A7"/>
    <w:rsid w:val="004C3CEC"/>
    <w:rsid w:val="004C4E68"/>
    <w:rsid w:val="004C62EE"/>
    <w:rsid w:val="004C643D"/>
    <w:rsid w:val="004C6883"/>
    <w:rsid w:val="004C7715"/>
    <w:rsid w:val="004C7E92"/>
    <w:rsid w:val="004D107A"/>
    <w:rsid w:val="004D1A02"/>
    <w:rsid w:val="004D1A61"/>
    <w:rsid w:val="004D2F3B"/>
    <w:rsid w:val="004D317F"/>
    <w:rsid w:val="004D329C"/>
    <w:rsid w:val="004D3AEE"/>
    <w:rsid w:val="004D4272"/>
    <w:rsid w:val="004D46EA"/>
    <w:rsid w:val="004D48B2"/>
    <w:rsid w:val="004D4B18"/>
    <w:rsid w:val="004D63A9"/>
    <w:rsid w:val="004D6D4A"/>
    <w:rsid w:val="004D7625"/>
    <w:rsid w:val="004D7666"/>
    <w:rsid w:val="004D7AA2"/>
    <w:rsid w:val="004E0C77"/>
    <w:rsid w:val="004E0DEC"/>
    <w:rsid w:val="004E1489"/>
    <w:rsid w:val="004E1E1C"/>
    <w:rsid w:val="004E21CF"/>
    <w:rsid w:val="004E2A08"/>
    <w:rsid w:val="004E3320"/>
    <w:rsid w:val="004E370D"/>
    <w:rsid w:val="004E3B3B"/>
    <w:rsid w:val="004E474C"/>
    <w:rsid w:val="004E5B52"/>
    <w:rsid w:val="004E6F18"/>
    <w:rsid w:val="004E79F4"/>
    <w:rsid w:val="004F1849"/>
    <w:rsid w:val="004F1FB4"/>
    <w:rsid w:val="004F381D"/>
    <w:rsid w:val="004F4BFD"/>
    <w:rsid w:val="004F4DF2"/>
    <w:rsid w:val="004F4F3F"/>
    <w:rsid w:val="004F4F63"/>
    <w:rsid w:val="004F542E"/>
    <w:rsid w:val="004F69F0"/>
    <w:rsid w:val="004F6A77"/>
    <w:rsid w:val="004F6BC6"/>
    <w:rsid w:val="004F76B6"/>
    <w:rsid w:val="004F78AF"/>
    <w:rsid w:val="004F79FF"/>
    <w:rsid w:val="00500BB8"/>
    <w:rsid w:val="005016EE"/>
    <w:rsid w:val="00501B83"/>
    <w:rsid w:val="00502439"/>
    <w:rsid w:val="00502779"/>
    <w:rsid w:val="00503478"/>
    <w:rsid w:val="00503530"/>
    <w:rsid w:val="00504033"/>
    <w:rsid w:val="00504062"/>
    <w:rsid w:val="00505052"/>
    <w:rsid w:val="005058A3"/>
    <w:rsid w:val="00505E13"/>
    <w:rsid w:val="00506863"/>
    <w:rsid w:val="005072C1"/>
    <w:rsid w:val="00507524"/>
    <w:rsid w:val="005075B3"/>
    <w:rsid w:val="005075E6"/>
    <w:rsid w:val="00507724"/>
    <w:rsid w:val="00507B5B"/>
    <w:rsid w:val="00507B99"/>
    <w:rsid w:val="0051034B"/>
    <w:rsid w:val="005104C4"/>
    <w:rsid w:val="0051083A"/>
    <w:rsid w:val="00511572"/>
    <w:rsid w:val="00511704"/>
    <w:rsid w:val="00512151"/>
    <w:rsid w:val="00512390"/>
    <w:rsid w:val="0051288B"/>
    <w:rsid w:val="005129A1"/>
    <w:rsid w:val="00512A58"/>
    <w:rsid w:val="00513159"/>
    <w:rsid w:val="0051418E"/>
    <w:rsid w:val="00514A96"/>
    <w:rsid w:val="005152AF"/>
    <w:rsid w:val="0051533C"/>
    <w:rsid w:val="0051567A"/>
    <w:rsid w:val="00515C7C"/>
    <w:rsid w:val="0051620C"/>
    <w:rsid w:val="0051639E"/>
    <w:rsid w:val="0051710D"/>
    <w:rsid w:val="005174B2"/>
    <w:rsid w:val="00517C85"/>
    <w:rsid w:val="00520157"/>
    <w:rsid w:val="00520562"/>
    <w:rsid w:val="005205A2"/>
    <w:rsid w:val="0052080D"/>
    <w:rsid w:val="00520ACD"/>
    <w:rsid w:val="00521091"/>
    <w:rsid w:val="005214A0"/>
    <w:rsid w:val="005214DC"/>
    <w:rsid w:val="00521BD9"/>
    <w:rsid w:val="00521F4F"/>
    <w:rsid w:val="00522139"/>
    <w:rsid w:val="0052223F"/>
    <w:rsid w:val="00522971"/>
    <w:rsid w:val="00524250"/>
    <w:rsid w:val="00524457"/>
    <w:rsid w:val="0052461F"/>
    <w:rsid w:val="00524876"/>
    <w:rsid w:val="00524EBA"/>
    <w:rsid w:val="00524F6E"/>
    <w:rsid w:val="005253E4"/>
    <w:rsid w:val="00526423"/>
    <w:rsid w:val="00527C50"/>
    <w:rsid w:val="00530269"/>
    <w:rsid w:val="00530679"/>
    <w:rsid w:val="00531209"/>
    <w:rsid w:val="005313E0"/>
    <w:rsid w:val="005313F8"/>
    <w:rsid w:val="00531DC8"/>
    <w:rsid w:val="00532315"/>
    <w:rsid w:val="005327CB"/>
    <w:rsid w:val="0053327F"/>
    <w:rsid w:val="005339D5"/>
    <w:rsid w:val="00534A6A"/>
    <w:rsid w:val="00535676"/>
    <w:rsid w:val="00536813"/>
    <w:rsid w:val="00536AA6"/>
    <w:rsid w:val="0053707F"/>
    <w:rsid w:val="005373F3"/>
    <w:rsid w:val="00537B52"/>
    <w:rsid w:val="00537C3C"/>
    <w:rsid w:val="00540647"/>
    <w:rsid w:val="00540CC1"/>
    <w:rsid w:val="005411B6"/>
    <w:rsid w:val="00541A52"/>
    <w:rsid w:val="00541AF3"/>
    <w:rsid w:val="005426E4"/>
    <w:rsid w:val="0054299D"/>
    <w:rsid w:val="00542C38"/>
    <w:rsid w:val="005435BE"/>
    <w:rsid w:val="00543999"/>
    <w:rsid w:val="00543B91"/>
    <w:rsid w:val="00543D31"/>
    <w:rsid w:val="00543FD2"/>
    <w:rsid w:val="00544262"/>
    <w:rsid w:val="005450F9"/>
    <w:rsid w:val="00546D2F"/>
    <w:rsid w:val="005506F6"/>
    <w:rsid w:val="00551166"/>
    <w:rsid w:val="00552134"/>
    <w:rsid w:val="00552207"/>
    <w:rsid w:val="00553803"/>
    <w:rsid w:val="00554F37"/>
    <w:rsid w:val="00555108"/>
    <w:rsid w:val="00555401"/>
    <w:rsid w:val="0055546D"/>
    <w:rsid w:val="005556C2"/>
    <w:rsid w:val="00555882"/>
    <w:rsid w:val="00556D0F"/>
    <w:rsid w:val="00557343"/>
    <w:rsid w:val="00561C37"/>
    <w:rsid w:val="00561D0D"/>
    <w:rsid w:val="00562186"/>
    <w:rsid w:val="005628A4"/>
    <w:rsid w:val="00562B16"/>
    <w:rsid w:val="00564FCB"/>
    <w:rsid w:val="005655F5"/>
    <w:rsid w:val="00565C82"/>
    <w:rsid w:val="005666AA"/>
    <w:rsid w:val="00566FB4"/>
    <w:rsid w:val="00570B2B"/>
    <w:rsid w:val="00570BCD"/>
    <w:rsid w:val="00570FD1"/>
    <w:rsid w:val="005718E7"/>
    <w:rsid w:val="00571A24"/>
    <w:rsid w:val="00571A5B"/>
    <w:rsid w:val="0057372F"/>
    <w:rsid w:val="00573A0E"/>
    <w:rsid w:val="00575C33"/>
    <w:rsid w:val="0057682E"/>
    <w:rsid w:val="00576F53"/>
    <w:rsid w:val="00577B83"/>
    <w:rsid w:val="00581353"/>
    <w:rsid w:val="00582D8F"/>
    <w:rsid w:val="0058310A"/>
    <w:rsid w:val="00583974"/>
    <w:rsid w:val="005845D7"/>
    <w:rsid w:val="00584916"/>
    <w:rsid w:val="005853C7"/>
    <w:rsid w:val="005853FB"/>
    <w:rsid w:val="005855B4"/>
    <w:rsid w:val="00586F2B"/>
    <w:rsid w:val="00587D0F"/>
    <w:rsid w:val="00587F3F"/>
    <w:rsid w:val="005903E5"/>
    <w:rsid w:val="0059059F"/>
    <w:rsid w:val="00590E81"/>
    <w:rsid w:val="005912AF"/>
    <w:rsid w:val="0059153E"/>
    <w:rsid w:val="00591E90"/>
    <w:rsid w:val="005920AF"/>
    <w:rsid w:val="00592ABD"/>
    <w:rsid w:val="00592E46"/>
    <w:rsid w:val="005934FA"/>
    <w:rsid w:val="00594B0B"/>
    <w:rsid w:val="00594D59"/>
    <w:rsid w:val="0059533F"/>
    <w:rsid w:val="00595352"/>
    <w:rsid w:val="00595AC8"/>
    <w:rsid w:val="00595B39"/>
    <w:rsid w:val="005968BF"/>
    <w:rsid w:val="00597B35"/>
    <w:rsid w:val="00597F7B"/>
    <w:rsid w:val="005A0B61"/>
    <w:rsid w:val="005A0BFC"/>
    <w:rsid w:val="005A0D3A"/>
    <w:rsid w:val="005A1486"/>
    <w:rsid w:val="005A1850"/>
    <w:rsid w:val="005A1B51"/>
    <w:rsid w:val="005A252D"/>
    <w:rsid w:val="005A29BF"/>
    <w:rsid w:val="005A2C46"/>
    <w:rsid w:val="005A3154"/>
    <w:rsid w:val="005A339F"/>
    <w:rsid w:val="005A3517"/>
    <w:rsid w:val="005A3708"/>
    <w:rsid w:val="005A3AFD"/>
    <w:rsid w:val="005A4045"/>
    <w:rsid w:val="005A40C0"/>
    <w:rsid w:val="005A4606"/>
    <w:rsid w:val="005A52EF"/>
    <w:rsid w:val="005A5986"/>
    <w:rsid w:val="005A6A31"/>
    <w:rsid w:val="005B0FDE"/>
    <w:rsid w:val="005B1AD2"/>
    <w:rsid w:val="005B3646"/>
    <w:rsid w:val="005B37F1"/>
    <w:rsid w:val="005B417E"/>
    <w:rsid w:val="005B4644"/>
    <w:rsid w:val="005B55D1"/>
    <w:rsid w:val="005B596F"/>
    <w:rsid w:val="005B7829"/>
    <w:rsid w:val="005B7B5C"/>
    <w:rsid w:val="005B7C88"/>
    <w:rsid w:val="005C0071"/>
    <w:rsid w:val="005C00A7"/>
    <w:rsid w:val="005C0B72"/>
    <w:rsid w:val="005C31F6"/>
    <w:rsid w:val="005C4149"/>
    <w:rsid w:val="005C430B"/>
    <w:rsid w:val="005C44C0"/>
    <w:rsid w:val="005C4C2E"/>
    <w:rsid w:val="005C6231"/>
    <w:rsid w:val="005C6487"/>
    <w:rsid w:val="005C6BE7"/>
    <w:rsid w:val="005C70BF"/>
    <w:rsid w:val="005C737C"/>
    <w:rsid w:val="005C7912"/>
    <w:rsid w:val="005D0902"/>
    <w:rsid w:val="005D0C08"/>
    <w:rsid w:val="005D1A48"/>
    <w:rsid w:val="005D24CE"/>
    <w:rsid w:val="005D3406"/>
    <w:rsid w:val="005D44FF"/>
    <w:rsid w:val="005D4C9A"/>
    <w:rsid w:val="005D4D3F"/>
    <w:rsid w:val="005D531E"/>
    <w:rsid w:val="005D5888"/>
    <w:rsid w:val="005D5963"/>
    <w:rsid w:val="005D631D"/>
    <w:rsid w:val="005D6B64"/>
    <w:rsid w:val="005D6E02"/>
    <w:rsid w:val="005D746C"/>
    <w:rsid w:val="005D7BEB"/>
    <w:rsid w:val="005E12FB"/>
    <w:rsid w:val="005E165A"/>
    <w:rsid w:val="005E18B1"/>
    <w:rsid w:val="005E1BDF"/>
    <w:rsid w:val="005E1D03"/>
    <w:rsid w:val="005E1EE9"/>
    <w:rsid w:val="005E24BB"/>
    <w:rsid w:val="005E2B40"/>
    <w:rsid w:val="005E38F0"/>
    <w:rsid w:val="005E3CF5"/>
    <w:rsid w:val="005E3D71"/>
    <w:rsid w:val="005E4077"/>
    <w:rsid w:val="005E42B1"/>
    <w:rsid w:val="005E4E49"/>
    <w:rsid w:val="005E4FB4"/>
    <w:rsid w:val="005E631B"/>
    <w:rsid w:val="005E66CF"/>
    <w:rsid w:val="005E6DEC"/>
    <w:rsid w:val="005E6F95"/>
    <w:rsid w:val="005E7457"/>
    <w:rsid w:val="005E7DFF"/>
    <w:rsid w:val="005F1992"/>
    <w:rsid w:val="005F1B17"/>
    <w:rsid w:val="005F287A"/>
    <w:rsid w:val="005F2A26"/>
    <w:rsid w:val="005F2D29"/>
    <w:rsid w:val="005F3320"/>
    <w:rsid w:val="005F34A3"/>
    <w:rsid w:val="005F3DC8"/>
    <w:rsid w:val="005F43F8"/>
    <w:rsid w:val="005F67F6"/>
    <w:rsid w:val="005F71CB"/>
    <w:rsid w:val="005F7E04"/>
    <w:rsid w:val="00600778"/>
    <w:rsid w:val="0060138C"/>
    <w:rsid w:val="0060151C"/>
    <w:rsid w:val="006015A0"/>
    <w:rsid w:val="00601F1F"/>
    <w:rsid w:val="006020A9"/>
    <w:rsid w:val="006036CF"/>
    <w:rsid w:val="006040ED"/>
    <w:rsid w:val="006058E8"/>
    <w:rsid w:val="00605C48"/>
    <w:rsid w:val="00606653"/>
    <w:rsid w:val="00606816"/>
    <w:rsid w:val="0060695F"/>
    <w:rsid w:val="00607360"/>
    <w:rsid w:val="006074E1"/>
    <w:rsid w:val="00607AB3"/>
    <w:rsid w:val="00610871"/>
    <w:rsid w:val="00610A9C"/>
    <w:rsid w:val="00612536"/>
    <w:rsid w:val="0061271E"/>
    <w:rsid w:val="006131EE"/>
    <w:rsid w:val="00613DD6"/>
    <w:rsid w:val="00613F07"/>
    <w:rsid w:val="00614FB9"/>
    <w:rsid w:val="00615493"/>
    <w:rsid w:val="00615914"/>
    <w:rsid w:val="00615A1C"/>
    <w:rsid w:val="00617219"/>
    <w:rsid w:val="00617295"/>
    <w:rsid w:val="00617F4D"/>
    <w:rsid w:val="00620651"/>
    <w:rsid w:val="0062068C"/>
    <w:rsid w:val="00621008"/>
    <w:rsid w:val="006216B6"/>
    <w:rsid w:val="00621801"/>
    <w:rsid w:val="00621E9A"/>
    <w:rsid w:val="00622124"/>
    <w:rsid w:val="00622D70"/>
    <w:rsid w:val="00623013"/>
    <w:rsid w:val="006240C4"/>
    <w:rsid w:val="00624105"/>
    <w:rsid w:val="006245AA"/>
    <w:rsid w:val="00624693"/>
    <w:rsid w:val="00625C7A"/>
    <w:rsid w:val="00625D58"/>
    <w:rsid w:val="006262F9"/>
    <w:rsid w:val="00627663"/>
    <w:rsid w:val="0062782B"/>
    <w:rsid w:val="006278C3"/>
    <w:rsid w:val="00627A2F"/>
    <w:rsid w:val="00627AE8"/>
    <w:rsid w:val="006304C1"/>
    <w:rsid w:val="006304DC"/>
    <w:rsid w:val="00630741"/>
    <w:rsid w:val="00630B7E"/>
    <w:rsid w:val="00630BFD"/>
    <w:rsid w:val="0063139F"/>
    <w:rsid w:val="0063378F"/>
    <w:rsid w:val="006340C3"/>
    <w:rsid w:val="006343A3"/>
    <w:rsid w:val="006358F6"/>
    <w:rsid w:val="00635AF6"/>
    <w:rsid w:val="00636004"/>
    <w:rsid w:val="006365AB"/>
    <w:rsid w:val="00637A69"/>
    <w:rsid w:val="00640D2A"/>
    <w:rsid w:val="00640D6A"/>
    <w:rsid w:val="00641D3D"/>
    <w:rsid w:val="00642578"/>
    <w:rsid w:val="00642E4C"/>
    <w:rsid w:val="00643229"/>
    <w:rsid w:val="00643781"/>
    <w:rsid w:val="00643A26"/>
    <w:rsid w:val="00643CE5"/>
    <w:rsid w:val="006441AC"/>
    <w:rsid w:val="00644613"/>
    <w:rsid w:val="006455F5"/>
    <w:rsid w:val="006457BA"/>
    <w:rsid w:val="00646081"/>
    <w:rsid w:val="006462CB"/>
    <w:rsid w:val="006472D6"/>
    <w:rsid w:val="006475E3"/>
    <w:rsid w:val="0064765D"/>
    <w:rsid w:val="0064784B"/>
    <w:rsid w:val="00650271"/>
    <w:rsid w:val="006508B3"/>
    <w:rsid w:val="00650909"/>
    <w:rsid w:val="00650B61"/>
    <w:rsid w:val="00651C3C"/>
    <w:rsid w:val="0065202E"/>
    <w:rsid w:val="00652CAC"/>
    <w:rsid w:val="006532A7"/>
    <w:rsid w:val="00653450"/>
    <w:rsid w:val="0065411A"/>
    <w:rsid w:val="00654817"/>
    <w:rsid w:val="006550E3"/>
    <w:rsid w:val="00656EA1"/>
    <w:rsid w:val="0065729D"/>
    <w:rsid w:val="00657C26"/>
    <w:rsid w:val="006608CF"/>
    <w:rsid w:val="00661446"/>
    <w:rsid w:val="00661CD6"/>
    <w:rsid w:val="00661DA8"/>
    <w:rsid w:val="00661FF5"/>
    <w:rsid w:val="006622FD"/>
    <w:rsid w:val="00662DBA"/>
    <w:rsid w:val="0066328F"/>
    <w:rsid w:val="00663F43"/>
    <w:rsid w:val="0066447D"/>
    <w:rsid w:val="00664816"/>
    <w:rsid w:val="00665169"/>
    <w:rsid w:val="0066550E"/>
    <w:rsid w:val="006669B8"/>
    <w:rsid w:val="00666A4A"/>
    <w:rsid w:val="006679E1"/>
    <w:rsid w:val="00670623"/>
    <w:rsid w:val="00670EE0"/>
    <w:rsid w:val="00670F26"/>
    <w:rsid w:val="0067106E"/>
    <w:rsid w:val="006724A2"/>
    <w:rsid w:val="00672DC3"/>
    <w:rsid w:val="006734E6"/>
    <w:rsid w:val="00674231"/>
    <w:rsid w:val="00674AF0"/>
    <w:rsid w:val="00674E12"/>
    <w:rsid w:val="00675454"/>
    <w:rsid w:val="006755F2"/>
    <w:rsid w:val="00675F06"/>
    <w:rsid w:val="006762D8"/>
    <w:rsid w:val="00676B5B"/>
    <w:rsid w:val="00676B6F"/>
    <w:rsid w:val="00676F7C"/>
    <w:rsid w:val="006771BE"/>
    <w:rsid w:val="006773B0"/>
    <w:rsid w:val="00677DF4"/>
    <w:rsid w:val="00677F8F"/>
    <w:rsid w:val="006819BB"/>
    <w:rsid w:val="00682BE3"/>
    <w:rsid w:val="00683178"/>
    <w:rsid w:val="006831E5"/>
    <w:rsid w:val="00683478"/>
    <w:rsid w:val="00683A8A"/>
    <w:rsid w:val="006841B7"/>
    <w:rsid w:val="00684DCF"/>
    <w:rsid w:val="00684FC9"/>
    <w:rsid w:val="0068505B"/>
    <w:rsid w:val="006859B8"/>
    <w:rsid w:val="00686E41"/>
    <w:rsid w:val="0068717C"/>
    <w:rsid w:val="006871AE"/>
    <w:rsid w:val="0068747F"/>
    <w:rsid w:val="006909BD"/>
    <w:rsid w:val="00690CA5"/>
    <w:rsid w:val="0069128D"/>
    <w:rsid w:val="006912C3"/>
    <w:rsid w:val="006915F4"/>
    <w:rsid w:val="0069165E"/>
    <w:rsid w:val="006917AE"/>
    <w:rsid w:val="0069236C"/>
    <w:rsid w:val="006925DA"/>
    <w:rsid w:val="00692C5C"/>
    <w:rsid w:val="006935AB"/>
    <w:rsid w:val="00693D84"/>
    <w:rsid w:val="006945C0"/>
    <w:rsid w:val="00696577"/>
    <w:rsid w:val="00696E13"/>
    <w:rsid w:val="00697D79"/>
    <w:rsid w:val="006A0D7B"/>
    <w:rsid w:val="006A173C"/>
    <w:rsid w:val="006A26DB"/>
    <w:rsid w:val="006A2B03"/>
    <w:rsid w:val="006A2E5F"/>
    <w:rsid w:val="006A31B5"/>
    <w:rsid w:val="006A31DE"/>
    <w:rsid w:val="006A3A17"/>
    <w:rsid w:val="006A3CF0"/>
    <w:rsid w:val="006A42E9"/>
    <w:rsid w:val="006A45AC"/>
    <w:rsid w:val="006A481D"/>
    <w:rsid w:val="006A51BD"/>
    <w:rsid w:val="006A523B"/>
    <w:rsid w:val="006A5402"/>
    <w:rsid w:val="006A55EC"/>
    <w:rsid w:val="006A56B2"/>
    <w:rsid w:val="006A5B1E"/>
    <w:rsid w:val="006A5DD1"/>
    <w:rsid w:val="006A68F6"/>
    <w:rsid w:val="006A6B7C"/>
    <w:rsid w:val="006A74BC"/>
    <w:rsid w:val="006A7913"/>
    <w:rsid w:val="006A796F"/>
    <w:rsid w:val="006A7F6A"/>
    <w:rsid w:val="006B0CBB"/>
    <w:rsid w:val="006B0F33"/>
    <w:rsid w:val="006B109F"/>
    <w:rsid w:val="006B1668"/>
    <w:rsid w:val="006B3012"/>
    <w:rsid w:val="006B3467"/>
    <w:rsid w:val="006B3645"/>
    <w:rsid w:val="006B4F36"/>
    <w:rsid w:val="006B57D3"/>
    <w:rsid w:val="006B5B1A"/>
    <w:rsid w:val="006B5EA6"/>
    <w:rsid w:val="006B669B"/>
    <w:rsid w:val="006C0179"/>
    <w:rsid w:val="006C0D10"/>
    <w:rsid w:val="006C1185"/>
    <w:rsid w:val="006C12D4"/>
    <w:rsid w:val="006C15D1"/>
    <w:rsid w:val="006C1AC7"/>
    <w:rsid w:val="006C205E"/>
    <w:rsid w:val="006C22FB"/>
    <w:rsid w:val="006C235F"/>
    <w:rsid w:val="006C2F88"/>
    <w:rsid w:val="006C3691"/>
    <w:rsid w:val="006C3989"/>
    <w:rsid w:val="006C3C63"/>
    <w:rsid w:val="006C447B"/>
    <w:rsid w:val="006C49CA"/>
    <w:rsid w:val="006C5AB5"/>
    <w:rsid w:val="006C60EA"/>
    <w:rsid w:val="006C6273"/>
    <w:rsid w:val="006C68C4"/>
    <w:rsid w:val="006C6DDF"/>
    <w:rsid w:val="006C7249"/>
    <w:rsid w:val="006C7485"/>
    <w:rsid w:val="006C7DD2"/>
    <w:rsid w:val="006D0297"/>
    <w:rsid w:val="006D0541"/>
    <w:rsid w:val="006D0E5B"/>
    <w:rsid w:val="006D184C"/>
    <w:rsid w:val="006D1C99"/>
    <w:rsid w:val="006D1D34"/>
    <w:rsid w:val="006D1F5B"/>
    <w:rsid w:val="006D2622"/>
    <w:rsid w:val="006D27F6"/>
    <w:rsid w:val="006D2875"/>
    <w:rsid w:val="006D2B5E"/>
    <w:rsid w:val="006D2C01"/>
    <w:rsid w:val="006D2D84"/>
    <w:rsid w:val="006D5B1D"/>
    <w:rsid w:val="006D64E0"/>
    <w:rsid w:val="006D71F5"/>
    <w:rsid w:val="006D72C7"/>
    <w:rsid w:val="006D7D96"/>
    <w:rsid w:val="006E2D47"/>
    <w:rsid w:val="006E2DD6"/>
    <w:rsid w:val="006E2DF7"/>
    <w:rsid w:val="006E35DF"/>
    <w:rsid w:val="006E3C31"/>
    <w:rsid w:val="006E4F9F"/>
    <w:rsid w:val="006E4FC3"/>
    <w:rsid w:val="006E60DC"/>
    <w:rsid w:val="006E63F8"/>
    <w:rsid w:val="006F0299"/>
    <w:rsid w:val="006F0726"/>
    <w:rsid w:val="006F25CE"/>
    <w:rsid w:val="006F32B4"/>
    <w:rsid w:val="006F435D"/>
    <w:rsid w:val="006F472B"/>
    <w:rsid w:val="006F473C"/>
    <w:rsid w:val="006F4EE1"/>
    <w:rsid w:val="006F50D8"/>
    <w:rsid w:val="006F5499"/>
    <w:rsid w:val="006F5585"/>
    <w:rsid w:val="006F588E"/>
    <w:rsid w:val="006F5937"/>
    <w:rsid w:val="006F5E67"/>
    <w:rsid w:val="006F6316"/>
    <w:rsid w:val="006F696C"/>
    <w:rsid w:val="006F7AE5"/>
    <w:rsid w:val="00700398"/>
    <w:rsid w:val="007005E4"/>
    <w:rsid w:val="007007F9"/>
    <w:rsid w:val="00700E2D"/>
    <w:rsid w:val="00700E52"/>
    <w:rsid w:val="007015B9"/>
    <w:rsid w:val="00701903"/>
    <w:rsid w:val="0070196B"/>
    <w:rsid w:val="00701D8D"/>
    <w:rsid w:val="00701EA1"/>
    <w:rsid w:val="00702512"/>
    <w:rsid w:val="00702744"/>
    <w:rsid w:val="0070287B"/>
    <w:rsid w:val="007028DB"/>
    <w:rsid w:val="00703D0E"/>
    <w:rsid w:val="00703D15"/>
    <w:rsid w:val="0070527F"/>
    <w:rsid w:val="007056B5"/>
    <w:rsid w:val="00705BAA"/>
    <w:rsid w:val="00705BD5"/>
    <w:rsid w:val="00705E0A"/>
    <w:rsid w:val="007069E5"/>
    <w:rsid w:val="0070763F"/>
    <w:rsid w:val="00710513"/>
    <w:rsid w:val="007111C3"/>
    <w:rsid w:val="00711B4A"/>
    <w:rsid w:val="00711E0B"/>
    <w:rsid w:val="007138B7"/>
    <w:rsid w:val="007143DB"/>
    <w:rsid w:val="007144AD"/>
    <w:rsid w:val="00714539"/>
    <w:rsid w:val="007149CB"/>
    <w:rsid w:val="00715A4A"/>
    <w:rsid w:val="007162F3"/>
    <w:rsid w:val="0071635F"/>
    <w:rsid w:val="00716D1A"/>
    <w:rsid w:val="00717424"/>
    <w:rsid w:val="00717A50"/>
    <w:rsid w:val="00717F5A"/>
    <w:rsid w:val="00720025"/>
    <w:rsid w:val="007210D2"/>
    <w:rsid w:val="00721241"/>
    <w:rsid w:val="00721693"/>
    <w:rsid w:val="007229B3"/>
    <w:rsid w:val="00723159"/>
    <w:rsid w:val="00723805"/>
    <w:rsid w:val="00723C89"/>
    <w:rsid w:val="0072496F"/>
    <w:rsid w:val="00725117"/>
    <w:rsid w:val="0072517A"/>
    <w:rsid w:val="007261AC"/>
    <w:rsid w:val="0072694C"/>
    <w:rsid w:val="00726F96"/>
    <w:rsid w:val="0073001C"/>
    <w:rsid w:val="0073085B"/>
    <w:rsid w:val="00732D6A"/>
    <w:rsid w:val="00733B43"/>
    <w:rsid w:val="007342A3"/>
    <w:rsid w:val="00734970"/>
    <w:rsid w:val="00734A41"/>
    <w:rsid w:val="00734AE5"/>
    <w:rsid w:val="00734AEA"/>
    <w:rsid w:val="00735E19"/>
    <w:rsid w:val="007360EA"/>
    <w:rsid w:val="007379EE"/>
    <w:rsid w:val="00740689"/>
    <w:rsid w:val="00740705"/>
    <w:rsid w:val="007416EF"/>
    <w:rsid w:val="00742267"/>
    <w:rsid w:val="007425FD"/>
    <w:rsid w:val="007438CE"/>
    <w:rsid w:val="00743C03"/>
    <w:rsid w:val="00744311"/>
    <w:rsid w:val="00744996"/>
    <w:rsid w:val="00744FAF"/>
    <w:rsid w:val="0074612F"/>
    <w:rsid w:val="00746402"/>
    <w:rsid w:val="00747FBE"/>
    <w:rsid w:val="00750506"/>
    <w:rsid w:val="00751916"/>
    <w:rsid w:val="00751B0E"/>
    <w:rsid w:val="00752528"/>
    <w:rsid w:val="00754204"/>
    <w:rsid w:val="0075445D"/>
    <w:rsid w:val="00754F17"/>
    <w:rsid w:val="00755F51"/>
    <w:rsid w:val="00757004"/>
    <w:rsid w:val="00757111"/>
    <w:rsid w:val="0075799B"/>
    <w:rsid w:val="00757CB8"/>
    <w:rsid w:val="00757D0E"/>
    <w:rsid w:val="00757FEF"/>
    <w:rsid w:val="00760474"/>
    <w:rsid w:val="00761223"/>
    <w:rsid w:val="0076171E"/>
    <w:rsid w:val="00761C35"/>
    <w:rsid w:val="007621E7"/>
    <w:rsid w:val="00762872"/>
    <w:rsid w:val="00762EE5"/>
    <w:rsid w:val="00762FF4"/>
    <w:rsid w:val="007634D6"/>
    <w:rsid w:val="00763C17"/>
    <w:rsid w:val="00764036"/>
    <w:rsid w:val="0076604F"/>
    <w:rsid w:val="007667B3"/>
    <w:rsid w:val="00766BF6"/>
    <w:rsid w:val="007670DD"/>
    <w:rsid w:val="007674DA"/>
    <w:rsid w:val="00767793"/>
    <w:rsid w:val="00767B4B"/>
    <w:rsid w:val="00770843"/>
    <w:rsid w:val="00770974"/>
    <w:rsid w:val="00770D75"/>
    <w:rsid w:val="007722B4"/>
    <w:rsid w:val="00772557"/>
    <w:rsid w:val="007729A1"/>
    <w:rsid w:val="007737C2"/>
    <w:rsid w:val="00774CBE"/>
    <w:rsid w:val="00775685"/>
    <w:rsid w:val="007762FC"/>
    <w:rsid w:val="00777AE5"/>
    <w:rsid w:val="00780381"/>
    <w:rsid w:val="00781477"/>
    <w:rsid w:val="00781A92"/>
    <w:rsid w:val="00781E07"/>
    <w:rsid w:val="007820D0"/>
    <w:rsid w:val="007827A8"/>
    <w:rsid w:val="007829BB"/>
    <w:rsid w:val="00783219"/>
    <w:rsid w:val="00783A27"/>
    <w:rsid w:val="00784A5C"/>
    <w:rsid w:val="00784CB0"/>
    <w:rsid w:val="00785F9F"/>
    <w:rsid w:val="00786452"/>
    <w:rsid w:val="0078699C"/>
    <w:rsid w:val="00786B0B"/>
    <w:rsid w:val="00786C14"/>
    <w:rsid w:val="00786FA0"/>
    <w:rsid w:val="00787357"/>
    <w:rsid w:val="00787CA1"/>
    <w:rsid w:val="0079012B"/>
    <w:rsid w:val="00790756"/>
    <w:rsid w:val="007908FD"/>
    <w:rsid w:val="007916F6"/>
    <w:rsid w:val="007920DB"/>
    <w:rsid w:val="00792CDF"/>
    <w:rsid w:val="00793C26"/>
    <w:rsid w:val="00793DAE"/>
    <w:rsid w:val="00795D47"/>
    <w:rsid w:val="0079617A"/>
    <w:rsid w:val="00796E28"/>
    <w:rsid w:val="00797217"/>
    <w:rsid w:val="007972B9"/>
    <w:rsid w:val="0079742F"/>
    <w:rsid w:val="00797762"/>
    <w:rsid w:val="007A124A"/>
    <w:rsid w:val="007A1387"/>
    <w:rsid w:val="007A1A36"/>
    <w:rsid w:val="007A1B66"/>
    <w:rsid w:val="007A1DDE"/>
    <w:rsid w:val="007A2643"/>
    <w:rsid w:val="007A26E1"/>
    <w:rsid w:val="007A3724"/>
    <w:rsid w:val="007A3D1A"/>
    <w:rsid w:val="007A4061"/>
    <w:rsid w:val="007A4169"/>
    <w:rsid w:val="007A4A82"/>
    <w:rsid w:val="007A4D6A"/>
    <w:rsid w:val="007A55DF"/>
    <w:rsid w:val="007A589F"/>
    <w:rsid w:val="007A600B"/>
    <w:rsid w:val="007A7D2B"/>
    <w:rsid w:val="007B0061"/>
    <w:rsid w:val="007B0EF6"/>
    <w:rsid w:val="007B1124"/>
    <w:rsid w:val="007B13D0"/>
    <w:rsid w:val="007B1602"/>
    <w:rsid w:val="007B1ACF"/>
    <w:rsid w:val="007B1BCC"/>
    <w:rsid w:val="007B42EE"/>
    <w:rsid w:val="007B45C1"/>
    <w:rsid w:val="007B514C"/>
    <w:rsid w:val="007B5815"/>
    <w:rsid w:val="007B5C7A"/>
    <w:rsid w:val="007B6B18"/>
    <w:rsid w:val="007B6FBB"/>
    <w:rsid w:val="007B7E5B"/>
    <w:rsid w:val="007C131E"/>
    <w:rsid w:val="007C17B0"/>
    <w:rsid w:val="007C1DF5"/>
    <w:rsid w:val="007C2D11"/>
    <w:rsid w:val="007C3310"/>
    <w:rsid w:val="007C33A5"/>
    <w:rsid w:val="007C3496"/>
    <w:rsid w:val="007C354A"/>
    <w:rsid w:val="007C357E"/>
    <w:rsid w:val="007C38F9"/>
    <w:rsid w:val="007C3F3B"/>
    <w:rsid w:val="007C4923"/>
    <w:rsid w:val="007C4BDB"/>
    <w:rsid w:val="007C58A9"/>
    <w:rsid w:val="007C5925"/>
    <w:rsid w:val="007C657A"/>
    <w:rsid w:val="007C73B4"/>
    <w:rsid w:val="007C7C95"/>
    <w:rsid w:val="007D00D5"/>
    <w:rsid w:val="007D0438"/>
    <w:rsid w:val="007D13F8"/>
    <w:rsid w:val="007D1E27"/>
    <w:rsid w:val="007D2E2A"/>
    <w:rsid w:val="007D3F02"/>
    <w:rsid w:val="007D3F16"/>
    <w:rsid w:val="007D4505"/>
    <w:rsid w:val="007D4E6D"/>
    <w:rsid w:val="007D55FB"/>
    <w:rsid w:val="007D5CF9"/>
    <w:rsid w:val="007D5F17"/>
    <w:rsid w:val="007D613D"/>
    <w:rsid w:val="007D626F"/>
    <w:rsid w:val="007D65A0"/>
    <w:rsid w:val="007D69A3"/>
    <w:rsid w:val="007D784A"/>
    <w:rsid w:val="007D7BCE"/>
    <w:rsid w:val="007E01B8"/>
    <w:rsid w:val="007E0D01"/>
    <w:rsid w:val="007E0F87"/>
    <w:rsid w:val="007E1B79"/>
    <w:rsid w:val="007E1E8C"/>
    <w:rsid w:val="007E4A80"/>
    <w:rsid w:val="007E4D2A"/>
    <w:rsid w:val="007E5112"/>
    <w:rsid w:val="007E6396"/>
    <w:rsid w:val="007E7356"/>
    <w:rsid w:val="007F1173"/>
    <w:rsid w:val="007F17B0"/>
    <w:rsid w:val="007F37D8"/>
    <w:rsid w:val="007F4300"/>
    <w:rsid w:val="007F4488"/>
    <w:rsid w:val="007F448F"/>
    <w:rsid w:val="007F4E7C"/>
    <w:rsid w:val="007F4EDA"/>
    <w:rsid w:val="007F552A"/>
    <w:rsid w:val="007F6975"/>
    <w:rsid w:val="007F6AD4"/>
    <w:rsid w:val="00800098"/>
    <w:rsid w:val="00800309"/>
    <w:rsid w:val="0080031D"/>
    <w:rsid w:val="00800AEC"/>
    <w:rsid w:val="00800BC1"/>
    <w:rsid w:val="008026D8"/>
    <w:rsid w:val="00802747"/>
    <w:rsid w:val="00803455"/>
    <w:rsid w:val="00803B56"/>
    <w:rsid w:val="00804104"/>
    <w:rsid w:val="00804E2E"/>
    <w:rsid w:val="00805444"/>
    <w:rsid w:val="00805B58"/>
    <w:rsid w:val="00805C6A"/>
    <w:rsid w:val="008061D9"/>
    <w:rsid w:val="00806918"/>
    <w:rsid w:val="00806F77"/>
    <w:rsid w:val="008073A7"/>
    <w:rsid w:val="00807D5A"/>
    <w:rsid w:val="00807D8E"/>
    <w:rsid w:val="008106FB"/>
    <w:rsid w:val="00810A35"/>
    <w:rsid w:val="0081203A"/>
    <w:rsid w:val="00812B36"/>
    <w:rsid w:val="00814675"/>
    <w:rsid w:val="00814ADD"/>
    <w:rsid w:val="0081507A"/>
    <w:rsid w:val="008166D4"/>
    <w:rsid w:val="0081715F"/>
    <w:rsid w:val="008173FB"/>
    <w:rsid w:val="00821747"/>
    <w:rsid w:val="00822B82"/>
    <w:rsid w:val="00822F46"/>
    <w:rsid w:val="0082322F"/>
    <w:rsid w:val="008232D9"/>
    <w:rsid w:val="00823B57"/>
    <w:rsid w:val="00823E15"/>
    <w:rsid w:val="00823E16"/>
    <w:rsid w:val="00824353"/>
    <w:rsid w:val="00824C8B"/>
    <w:rsid w:val="00825A3E"/>
    <w:rsid w:val="00826090"/>
    <w:rsid w:val="00826482"/>
    <w:rsid w:val="0082682B"/>
    <w:rsid w:val="00826D54"/>
    <w:rsid w:val="008270DB"/>
    <w:rsid w:val="008272EA"/>
    <w:rsid w:val="008273CA"/>
    <w:rsid w:val="0082753E"/>
    <w:rsid w:val="00827695"/>
    <w:rsid w:val="00830252"/>
    <w:rsid w:val="00830D6B"/>
    <w:rsid w:val="0083123D"/>
    <w:rsid w:val="0083218F"/>
    <w:rsid w:val="00833FE7"/>
    <w:rsid w:val="0083487D"/>
    <w:rsid w:val="00834ECA"/>
    <w:rsid w:val="00835822"/>
    <w:rsid w:val="00835C1A"/>
    <w:rsid w:val="0083651C"/>
    <w:rsid w:val="008374EC"/>
    <w:rsid w:val="008422EC"/>
    <w:rsid w:val="00843D52"/>
    <w:rsid w:val="0084425A"/>
    <w:rsid w:val="008446F6"/>
    <w:rsid w:val="008452BA"/>
    <w:rsid w:val="008452C6"/>
    <w:rsid w:val="00845DB6"/>
    <w:rsid w:val="00845F56"/>
    <w:rsid w:val="00846575"/>
    <w:rsid w:val="00847A70"/>
    <w:rsid w:val="00847ED7"/>
    <w:rsid w:val="008501AC"/>
    <w:rsid w:val="00850442"/>
    <w:rsid w:val="00850F19"/>
    <w:rsid w:val="0085104B"/>
    <w:rsid w:val="008516B8"/>
    <w:rsid w:val="008522DE"/>
    <w:rsid w:val="008525BA"/>
    <w:rsid w:val="00852BFE"/>
    <w:rsid w:val="00852F2A"/>
    <w:rsid w:val="008533EB"/>
    <w:rsid w:val="008537BA"/>
    <w:rsid w:val="00853AA0"/>
    <w:rsid w:val="00854C5F"/>
    <w:rsid w:val="00854E0B"/>
    <w:rsid w:val="00856E8B"/>
    <w:rsid w:val="00856EBA"/>
    <w:rsid w:val="00857595"/>
    <w:rsid w:val="008575FE"/>
    <w:rsid w:val="00857C54"/>
    <w:rsid w:val="008606DC"/>
    <w:rsid w:val="00860D7B"/>
    <w:rsid w:val="00861897"/>
    <w:rsid w:val="00862A20"/>
    <w:rsid w:val="00863AF1"/>
    <w:rsid w:val="00863BAD"/>
    <w:rsid w:val="00864470"/>
    <w:rsid w:val="0086590F"/>
    <w:rsid w:val="00865C36"/>
    <w:rsid w:val="00865D9B"/>
    <w:rsid w:val="00867960"/>
    <w:rsid w:val="00867C88"/>
    <w:rsid w:val="0087017A"/>
    <w:rsid w:val="00870C60"/>
    <w:rsid w:val="00870DCC"/>
    <w:rsid w:val="008715ED"/>
    <w:rsid w:val="008724A5"/>
    <w:rsid w:val="008728AF"/>
    <w:rsid w:val="00872B0A"/>
    <w:rsid w:val="00872DA3"/>
    <w:rsid w:val="00873B42"/>
    <w:rsid w:val="00873C91"/>
    <w:rsid w:val="00873CD3"/>
    <w:rsid w:val="0087406C"/>
    <w:rsid w:val="00874421"/>
    <w:rsid w:val="00874944"/>
    <w:rsid w:val="00875010"/>
    <w:rsid w:val="00876693"/>
    <w:rsid w:val="00876880"/>
    <w:rsid w:val="00877080"/>
    <w:rsid w:val="008774A7"/>
    <w:rsid w:val="008805F3"/>
    <w:rsid w:val="00880CC7"/>
    <w:rsid w:val="0088144E"/>
    <w:rsid w:val="00881A1B"/>
    <w:rsid w:val="00881FA6"/>
    <w:rsid w:val="00882437"/>
    <w:rsid w:val="00882A49"/>
    <w:rsid w:val="00883FAC"/>
    <w:rsid w:val="0088538E"/>
    <w:rsid w:val="008854A0"/>
    <w:rsid w:val="00885B03"/>
    <w:rsid w:val="00885E95"/>
    <w:rsid w:val="00886A58"/>
    <w:rsid w:val="0088741C"/>
    <w:rsid w:val="00887F71"/>
    <w:rsid w:val="008901A8"/>
    <w:rsid w:val="008902D8"/>
    <w:rsid w:val="008902DB"/>
    <w:rsid w:val="0089068E"/>
    <w:rsid w:val="00891FB7"/>
    <w:rsid w:val="008926F8"/>
    <w:rsid w:val="00892E5A"/>
    <w:rsid w:val="0089304B"/>
    <w:rsid w:val="008937A8"/>
    <w:rsid w:val="00893A71"/>
    <w:rsid w:val="00893E01"/>
    <w:rsid w:val="00894ED6"/>
    <w:rsid w:val="008953A5"/>
    <w:rsid w:val="008956D7"/>
    <w:rsid w:val="00895AB4"/>
    <w:rsid w:val="00895E28"/>
    <w:rsid w:val="0089620E"/>
    <w:rsid w:val="00896828"/>
    <w:rsid w:val="00896B2C"/>
    <w:rsid w:val="00896FEC"/>
    <w:rsid w:val="0089730D"/>
    <w:rsid w:val="00897D74"/>
    <w:rsid w:val="008A0F18"/>
    <w:rsid w:val="008A147B"/>
    <w:rsid w:val="008A1910"/>
    <w:rsid w:val="008A25EA"/>
    <w:rsid w:val="008A278A"/>
    <w:rsid w:val="008A3133"/>
    <w:rsid w:val="008A3CFD"/>
    <w:rsid w:val="008A4917"/>
    <w:rsid w:val="008A4958"/>
    <w:rsid w:val="008A4E83"/>
    <w:rsid w:val="008A4F59"/>
    <w:rsid w:val="008A5E69"/>
    <w:rsid w:val="008A61A2"/>
    <w:rsid w:val="008A694F"/>
    <w:rsid w:val="008A6D16"/>
    <w:rsid w:val="008A7651"/>
    <w:rsid w:val="008A7BC3"/>
    <w:rsid w:val="008B0134"/>
    <w:rsid w:val="008B08D7"/>
    <w:rsid w:val="008B0A46"/>
    <w:rsid w:val="008B0EA6"/>
    <w:rsid w:val="008B117D"/>
    <w:rsid w:val="008B1B2D"/>
    <w:rsid w:val="008B40A3"/>
    <w:rsid w:val="008B4433"/>
    <w:rsid w:val="008B4B24"/>
    <w:rsid w:val="008B66C8"/>
    <w:rsid w:val="008B6E53"/>
    <w:rsid w:val="008B73C6"/>
    <w:rsid w:val="008B7BB8"/>
    <w:rsid w:val="008C016C"/>
    <w:rsid w:val="008C08C6"/>
    <w:rsid w:val="008C0909"/>
    <w:rsid w:val="008C3511"/>
    <w:rsid w:val="008C364A"/>
    <w:rsid w:val="008C3767"/>
    <w:rsid w:val="008C3B87"/>
    <w:rsid w:val="008C420F"/>
    <w:rsid w:val="008C43D4"/>
    <w:rsid w:val="008C4B45"/>
    <w:rsid w:val="008C5855"/>
    <w:rsid w:val="008C5F03"/>
    <w:rsid w:val="008C6A80"/>
    <w:rsid w:val="008C6AE6"/>
    <w:rsid w:val="008C6DFD"/>
    <w:rsid w:val="008C7A7C"/>
    <w:rsid w:val="008D01E5"/>
    <w:rsid w:val="008D0408"/>
    <w:rsid w:val="008D1587"/>
    <w:rsid w:val="008D1D77"/>
    <w:rsid w:val="008D1D7B"/>
    <w:rsid w:val="008D2019"/>
    <w:rsid w:val="008D386E"/>
    <w:rsid w:val="008D3A3C"/>
    <w:rsid w:val="008D4167"/>
    <w:rsid w:val="008D4397"/>
    <w:rsid w:val="008D440F"/>
    <w:rsid w:val="008D48D6"/>
    <w:rsid w:val="008D4A90"/>
    <w:rsid w:val="008D61CC"/>
    <w:rsid w:val="008D631B"/>
    <w:rsid w:val="008D64CB"/>
    <w:rsid w:val="008D6A68"/>
    <w:rsid w:val="008D6D71"/>
    <w:rsid w:val="008D7645"/>
    <w:rsid w:val="008D78CF"/>
    <w:rsid w:val="008D7B39"/>
    <w:rsid w:val="008E0AF9"/>
    <w:rsid w:val="008E0D52"/>
    <w:rsid w:val="008E0E2A"/>
    <w:rsid w:val="008E1477"/>
    <w:rsid w:val="008E14F9"/>
    <w:rsid w:val="008E1FE8"/>
    <w:rsid w:val="008E2226"/>
    <w:rsid w:val="008E2571"/>
    <w:rsid w:val="008E2B42"/>
    <w:rsid w:val="008E3317"/>
    <w:rsid w:val="008E3793"/>
    <w:rsid w:val="008E447D"/>
    <w:rsid w:val="008E4998"/>
    <w:rsid w:val="008E5020"/>
    <w:rsid w:val="008E5D93"/>
    <w:rsid w:val="008E6ECE"/>
    <w:rsid w:val="008F0877"/>
    <w:rsid w:val="008F0B5D"/>
    <w:rsid w:val="008F1561"/>
    <w:rsid w:val="008F1934"/>
    <w:rsid w:val="008F1ABC"/>
    <w:rsid w:val="008F1B3B"/>
    <w:rsid w:val="008F2062"/>
    <w:rsid w:val="008F20C8"/>
    <w:rsid w:val="008F2CCC"/>
    <w:rsid w:val="008F4441"/>
    <w:rsid w:val="008F4449"/>
    <w:rsid w:val="008F48E5"/>
    <w:rsid w:val="008F59F6"/>
    <w:rsid w:val="008F67AA"/>
    <w:rsid w:val="008F6B69"/>
    <w:rsid w:val="008F6F17"/>
    <w:rsid w:val="00900823"/>
    <w:rsid w:val="00900B13"/>
    <w:rsid w:val="00901EA8"/>
    <w:rsid w:val="0090283A"/>
    <w:rsid w:val="0090295F"/>
    <w:rsid w:val="009030DD"/>
    <w:rsid w:val="00903920"/>
    <w:rsid w:val="00904765"/>
    <w:rsid w:val="0090557C"/>
    <w:rsid w:val="00905F24"/>
    <w:rsid w:val="009075FD"/>
    <w:rsid w:val="0091092E"/>
    <w:rsid w:val="0091179F"/>
    <w:rsid w:val="00911F48"/>
    <w:rsid w:val="00913404"/>
    <w:rsid w:val="00913EF3"/>
    <w:rsid w:val="0091440A"/>
    <w:rsid w:val="00914807"/>
    <w:rsid w:val="00914C9B"/>
    <w:rsid w:val="00914ECA"/>
    <w:rsid w:val="009153CE"/>
    <w:rsid w:val="00915E58"/>
    <w:rsid w:val="00916073"/>
    <w:rsid w:val="009166F8"/>
    <w:rsid w:val="00916FEC"/>
    <w:rsid w:val="00917BFD"/>
    <w:rsid w:val="00917F84"/>
    <w:rsid w:val="0092006A"/>
    <w:rsid w:val="0092074C"/>
    <w:rsid w:val="0092089F"/>
    <w:rsid w:val="009208DB"/>
    <w:rsid w:val="0092092E"/>
    <w:rsid w:val="00920A22"/>
    <w:rsid w:val="00920E5B"/>
    <w:rsid w:val="00922DD9"/>
    <w:rsid w:val="009242BB"/>
    <w:rsid w:val="009246C1"/>
    <w:rsid w:val="009247D6"/>
    <w:rsid w:val="00924862"/>
    <w:rsid w:val="00924B2B"/>
    <w:rsid w:val="00926270"/>
    <w:rsid w:val="009266DC"/>
    <w:rsid w:val="00926B56"/>
    <w:rsid w:val="00926FAC"/>
    <w:rsid w:val="00927407"/>
    <w:rsid w:val="009303F8"/>
    <w:rsid w:val="0093064C"/>
    <w:rsid w:val="0093128F"/>
    <w:rsid w:val="009315E3"/>
    <w:rsid w:val="00931809"/>
    <w:rsid w:val="00931855"/>
    <w:rsid w:val="00931E36"/>
    <w:rsid w:val="009321CF"/>
    <w:rsid w:val="00932523"/>
    <w:rsid w:val="00932687"/>
    <w:rsid w:val="00933420"/>
    <w:rsid w:val="00933BD5"/>
    <w:rsid w:val="00934192"/>
    <w:rsid w:val="00934F8F"/>
    <w:rsid w:val="009353ED"/>
    <w:rsid w:val="00936178"/>
    <w:rsid w:val="0093627C"/>
    <w:rsid w:val="009362D7"/>
    <w:rsid w:val="00936363"/>
    <w:rsid w:val="00936400"/>
    <w:rsid w:val="009365AB"/>
    <w:rsid w:val="009368A5"/>
    <w:rsid w:val="009368B0"/>
    <w:rsid w:val="00937145"/>
    <w:rsid w:val="00937272"/>
    <w:rsid w:val="00940CEF"/>
    <w:rsid w:val="0094152E"/>
    <w:rsid w:val="0094212C"/>
    <w:rsid w:val="009424D7"/>
    <w:rsid w:val="009434F1"/>
    <w:rsid w:val="00943D94"/>
    <w:rsid w:val="009442B6"/>
    <w:rsid w:val="00945925"/>
    <w:rsid w:val="00945EA2"/>
    <w:rsid w:val="00946A7B"/>
    <w:rsid w:val="0094702A"/>
    <w:rsid w:val="009477F9"/>
    <w:rsid w:val="00947C56"/>
    <w:rsid w:val="00950603"/>
    <w:rsid w:val="00951240"/>
    <w:rsid w:val="009515DC"/>
    <w:rsid w:val="00951994"/>
    <w:rsid w:val="009528C6"/>
    <w:rsid w:val="009533A2"/>
    <w:rsid w:val="00953405"/>
    <w:rsid w:val="00953854"/>
    <w:rsid w:val="00953D4C"/>
    <w:rsid w:val="00953FA2"/>
    <w:rsid w:val="009548B3"/>
    <w:rsid w:val="00954C3D"/>
    <w:rsid w:val="009557B5"/>
    <w:rsid w:val="009565AD"/>
    <w:rsid w:val="00956EC9"/>
    <w:rsid w:val="00957058"/>
    <w:rsid w:val="00957138"/>
    <w:rsid w:val="009574BE"/>
    <w:rsid w:val="00957690"/>
    <w:rsid w:val="00957FDD"/>
    <w:rsid w:val="00960231"/>
    <w:rsid w:val="009629CB"/>
    <w:rsid w:val="00962F24"/>
    <w:rsid w:val="00963210"/>
    <w:rsid w:val="00964419"/>
    <w:rsid w:val="00964FBE"/>
    <w:rsid w:val="00966018"/>
    <w:rsid w:val="0096608E"/>
    <w:rsid w:val="009662C3"/>
    <w:rsid w:val="00966BB9"/>
    <w:rsid w:val="00966C99"/>
    <w:rsid w:val="00971D0A"/>
    <w:rsid w:val="00972321"/>
    <w:rsid w:val="009727AB"/>
    <w:rsid w:val="0097355F"/>
    <w:rsid w:val="009743C3"/>
    <w:rsid w:val="00974467"/>
    <w:rsid w:val="00974BA5"/>
    <w:rsid w:val="00975014"/>
    <w:rsid w:val="0097578A"/>
    <w:rsid w:val="00975931"/>
    <w:rsid w:val="00975C17"/>
    <w:rsid w:val="00976B25"/>
    <w:rsid w:val="0097701F"/>
    <w:rsid w:val="00977F79"/>
    <w:rsid w:val="009803F7"/>
    <w:rsid w:val="00981E24"/>
    <w:rsid w:val="00982314"/>
    <w:rsid w:val="0098232B"/>
    <w:rsid w:val="009825DB"/>
    <w:rsid w:val="00982886"/>
    <w:rsid w:val="009829D8"/>
    <w:rsid w:val="00982A87"/>
    <w:rsid w:val="00982D44"/>
    <w:rsid w:val="00982F83"/>
    <w:rsid w:val="0098317D"/>
    <w:rsid w:val="00984222"/>
    <w:rsid w:val="00984A31"/>
    <w:rsid w:val="00984FB9"/>
    <w:rsid w:val="00985369"/>
    <w:rsid w:val="0098557A"/>
    <w:rsid w:val="00986456"/>
    <w:rsid w:val="00986BEF"/>
    <w:rsid w:val="00987432"/>
    <w:rsid w:val="00990134"/>
    <w:rsid w:val="00990B85"/>
    <w:rsid w:val="00991863"/>
    <w:rsid w:val="00991869"/>
    <w:rsid w:val="0099194E"/>
    <w:rsid w:val="00991C48"/>
    <w:rsid w:val="00991CCA"/>
    <w:rsid w:val="00992DCB"/>
    <w:rsid w:val="009933D5"/>
    <w:rsid w:val="009938B9"/>
    <w:rsid w:val="00993FFE"/>
    <w:rsid w:val="00994019"/>
    <w:rsid w:val="00994B21"/>
    <w:rsid w:val="00994BC3"/>
    <w:rsid w:val="00994F03"/>
    <w:rsid w:val="009954CB"/>
    <w:rsid w:val="009958A6"/>
    <w:rsid w:val="00996295"/>
    <w:rsid w:val="00996976"/>
    <w:rsid w:val="00996BAD"/>
    <w:rsid w:val="0099757C"/>
    <w:rsid w:val="009979B1"/>
    <w:rsid w:val="009A0432"/>
    <w:rsid w:val="009A08E3"/>
    <w:rsid w:val="009A0B49"/>
    <w:rsid w:val="009A0FFD"/>
    <w:rsid w:val="009A15F8"/>
    <w:rsid w:val="009A25E6"/>
    <w:rsid w:val="009A3757"/>
    <w:rsid w:val="009A4755"/>
    <w:rsid w:val="009A4868"/>
    <w:rsid w:val="009A5E2E"/>
    <w:rsid w:val="009A66B5"/>
    <w:rsid w:val="009A6D3D"/>
    <w:rsid w:val="009B1026"/>
    <w:rsid w:val="009B190E"/>
    <w:rsid w:val="009B1999"/>
    <w:rsid w:val="009B1CE3"/>
    <w:rsid w:val="009B1E82"/>
    <w:rsid w:val="009B21EA"/>
    <w:rsid w:val="009B3678"/>
    <w:rsid w:val="009B4044"/>
    <w:rsid w:val="009B450A"/>
    <w:rsid w:val="009B468C"/>
    <w:rsid w:val="009B537E"/>
    <w:rsid w:val="009B59DC"/>
    <w:rsid w:val="009B5C3A"/>
    <w:rsid w:val="009B6F59"/>
    <w:rsid w:val="009B73A7"/>
    <w:rsid w:val="009C0188"/>
    <w:rsid w:val="009C1038"/>
    <w:rsid w:val="009C167F"/>
    <w:rsid w:val="009C2BDA"/>
    <w:rsid w:val="009C3D5F"/>
    <w:rsid w:val="009C4BC8"/>
    <w:rsid w:val="009C5397"/>
    <w:rsid w:val="009C5A0B"/>
    <w:rsid w:val="009C789E"/>
    <w:rsid w:val="009D05DB"/>
    <w:rsid w:val="009D0970"/>
    <w:rsid w:val="009D19D4"/>
    <w:rsid w:val="009D232A"/>
    <w:rsid w:val="009D234D"/>
    <w:rsid w:val="009D26F1"/>
    <w:rsid w:val="009D2D2D"/>
    <w:rsid w:val="009D3248"/>
    <w:rsid w:val="009D34E9"/>
    <w:rsid w:val="009D367B"/>
    <w:rsid w:val="009D3C04"/>
    <w:rsid w:val="009D45C5"/>
    <w:rsid w:val="009D4F60"/>
    <w:rsid w:val="009D5D06"/>
    <w:rsid w:val="009D63FD"/>
    <w:rsid w:val="009D6642"/>
    <w:rsid w:val="009D664E"/>
    <w:rsid w:val="009D694F"/>
    <w:rsid w:val="009D6973"/>
    <w:rsid w:val="009D7541"/>
    <w:rsid w:val="009D7849"/>
    <w:rsid w:val="009D7992"/>
    <w:rsid w:val="009E0437"/>
    <w:rsid w:val="009E2C8F"/>
    <w:rsid w:val="009E2CB7"/>
    <w:rsid w:val="009E301E"/>
    <w:rsid w:val="009E46AA"/>
    <w:rsid w:val="009E5256"/>
    <w:rsid w:val="009E55DC"/>
    <w:rsid w:val="009E5651"/>
    <w:rsid w:val="009E60E5"/>
    <w:rsid w:val="009E6493"/>
    <w:rsid w:val="009E67E3"/>
    <w:rsid w:val="009E7C44"/>
    <w:rsid w:val="009F0498"/>
    <w:rsid w:val="009F0A44"/>
    <w:rsid w:val="009F17A4"/>
    <w:rsid w:val="009F17A8"/>
    <w:rsid w:val="009F19B6"/>
    <w:rsid w:val="009F30A2"/>
    <w:rsid w:val="009F38B8"/>
    <w:rsid w:val="009F4596"/>
    <w:rsid w:val="009F508D"/>
    <w:rsid w:val="009F5954"/>
    <w:rsid w:val="009F5D9F"/>
    <w:rsid w:val="009F5F4B"/>
    <w:rsid w:val="009F7107"/>
    <w:rsid w:val="009F7351"/>
    <w:rsid w:val="00A000CE"/>
    <w:rsid w:val="00A028D3"/>
    <w:rsid w:val="00A02F85"/>
    <w:rsid w:val="00A031F7"/>
    <w:rsid w:val="00A032B5"/>
    <w:rsid w:val="00A038A4"/>
    <w:rsid w:val="00A068A4"/>
    <w:rsid w:val="00A06C43"/>
    <w:rsid w:val="00A07EB8"/>
    <w:rsid w:val="00A07EF6"/>
    <w:rsid w:val="00A10C73"/>
    <w:rsid w:val="00A10CD6"/>
    <w:rsid w:val="00A113A5"/>
    <w:rsid w:val="00A1154C"/>
    <w:rsid w:val="00A11600"/>
    <w:rsid w:val="00A12165"/>
    <w:rsid w:val="00A126A6"/>
    <w:rsid w:val="00A12766"/>
    <w:rsid w:val="00A12E37"/>
    <w:rsid w:val="00A13246"/>
    <w:rsid w:val="00A135A1"/>
    <w:rsid w:val="00A13641"/>
    <w:rsid w:val="00A13A1B"/>
    <w:rsid w:val="00A13BBB"/>
    <w:rsid w:val="00A142FE"/>
    <w:rsid w:val="00A15F4F"/>
    <w:rsid w:val="00A2233F"/>
    <w:rsid w:val="00A2289D"/>
    <w:rsid w:val="00A22B55"/>
    <w:rsid w:val="00A23245"/>
    <w:rsid w:val="00A232F9"/>
    <w:rsid w:val="00A23B99"/>
    <w:rsid w:val="00A256F1"/>
    <w:rsid w:val="00A258FB"/>
    <w:rsid w:val="00A261CF"/>
    <w:rsid w:val="00A26673"/>
    <w:rsid w:val="00A27214"/>
    <w:rsid w:val="00A27FE9"/>
    <w:rsid w:val="00A30585"/>
    <w:rsid w:val="00A305AC"/>
    <w:rsid w:val="00A30EC0"/>
    <w:rsid w:val="00A3149F"/>
    <w:rsid w:val="00A31F0B"/>
    <w:rsid w:val="00A32087"/>
    <w:rsid w:val="00A32321"/>
    <w:rsid w:val="00A32431"/>
    <w:rsid w:val="00A32581"/>
    <w:rsid w:val="00A3354F"/>
    <w:rsid w:val="00A33731"/>
    <w:rsid w:val="00A34B8B"/>
    <w:rsid w:val="00A35443"/>
    <w:rsid w:val="00A35519"/>
    <w:rsid w:val="00A3556A"/>
    <w:rsid w:val="00A35B84"/>
    <w:rsid w:val="00A360E6"/>
    <w:rsid w:val="00A3665A"/>
    <w:rsid w:val="00A368A7"/>
    <w:rsid w:val="00A37365"/>
    <w:rsid w:val="00A37883"/>
    <w:rsid w:val="00A37F97"/>
    <w:rsid w:val="00A4154E"/>
    <w:rsid w:val="00A4181E"/>
    <w:rsid w:val="00A419BB"/>
    <w:rsid w:val="00A41B3F"/>
    <w:rsid w:val="00A4201C"/>
    <w:rsid w:val="00A42975"/>
    <w:rsid w:val="00A435AF"/>
    <w:rsid w:val="00A43BC7"/>
    <w:rsid w:val="00A44967"/>
    <w:rsid w:val="00A44EDE"/>
    <w:rsid w:val="00A44F9E"/>
    <w:rsid w:val="00A451EB"/>
    <w:rsid w:val="00A45A5E"/>
    <w:rsid w:val="00A46050"/>
    <w:rsid w:val="00A46995"/>
    <w:rsid w:val="00A47179"/>
    <w:rsid w:val="00A47E3C"/>
    <w:rsid w:val="00A509A4"/>
    <w:rsid w:val="00A50C0A"/>
    <w:rsid w:val="00A51828"/>
    <w:rsid w:val="00A51B94"/>
    <w:rsid w:val="00A51F8F"/>
    <w:rsid w:val="00A5367C"/>
    <w:rsid w:val="00A54AF3"/>
    <w:rsid w:val="00A552E9"/>
    <w:rsid w:val="00A55AD4"/>
    <w:rsid w:val="00A55EAC"/>
    <w:rsid w:val="00A55F65"/>
    <w:rsid w:val="00A55FED"/>
    <w:rsid w:val="00A56341"/>
    <w:rsid w:val="00A57653"/>
    <w:rsid w:val="00A577A7"/>
    <w:rsid w:val="00A60BC8"/>
    <w:rsid w:val="00A61067"/>
    <w:rsid w:val="00A61197"/>
    <w:rsid w:val="00A622C3"/>
    <w:rsid w:val="00A6254D"/>
    <w:rsid w:val="00A637D5"/>
    <w:rsid w:val="00A6466F"/>
    <w:rsid w:val="00A64A44"/>
    <w:rsid w:val="00A64CD2"/>
    <w:rsid w:val="00A653F0"/>
    <w:rsid w:val="00A66C85"/>
    <w:rsid w:val="00A66FE8"/>
    <w:rsid w:val="00A67273"/>
    <w:rsid w:val="00A70113"/>
    <w:rsid w:val="00A70A7B"/>
    <w:rsid w:val="00A70C7B"/>
    <w:rsid w:val="00A71463"/>
    <w:rsid w:val="00A71B8D"/>
    <w:rsid w:val="00A720A4"/>
    <w:rsid w:val="00A722C8"/>
    <w:rsid w:val="00A7258C"/>
    <w:rsid w:val="00A73EE9"/>
    <w:rsid w:val="00A742EE"/>
    <w:rsid w:val="00A74E50"/>
    <w:rsid w:val="00A75477"/>
    <w:rsid w:val="00A75957"/>
    <w:rsid w:val="00A76789"/>
    <w:rsid w:val="00A7719E"/>
    <w:rsid w:val="00A8003C"/>
    <w:rsid w:val="00A80067"/>
    <w:rsid w:val="00A809B8"/>
    <w:rsid w:val="00A81570"/>
    <w:rsid w:val="00A81616"/>
    <w:rsid w:val="00A8180C"/>
    <w:rsid w:val="00A81EA3"/>
    <w:rsid w:val="00A8262E"/>
    <w:rsid w:val="00A82E46"/>
    <w:rsid w:val="00A82EC6"/>
    <w:rsid w:val="00A831A3"/>
    <w:rsid w:val="00A83479"/>
    <w:rsid w:val="00A836BC"/>
    <w:rsid w:val="00A84578"/>
    <w:rsid w:val="00A8486C"/>
    <w:rsid w:val="00A84ADA"/>
    <w:rsid w:val="00A84DE9"/>
    <w:rsid w:val="00A84F0B"/>
    <w:rsid w:val="00A87258"/>
    <w:rsid w:val="00A87A8F"/>
    <w:rsid w:val="00A90ADC"/>
    <w:rsid w:val="00A92524"/>
    <w:rsid w:val="00A92E29"/>
    <w:rsid w:val="00A9303F"/>
    <w:rsid w:val="00A946FF"/>
    <w:rsid w:val="00A94867"/>
    <w:rsid w:val="00A94894"/>
    <w:rsid w:val="00A951E3"/>
    <w:rsid w:val="00A95492"/>
    <w:rsid w:val="00A95E1D"/>
    <w:rsid w:val="00A9604E"/>
    <w:rsid w:val="00A96637"/>
    <w:rsid w:val="00A96B43"/>
    <w:rsid w:val="00A96EEC"/>
    <w:rsid w:val="00A97AD7"/>
    <w:rsid w:val="00A97C11"/>
    <w:rsid w:val="00AA079E"/>
    <w:rsid w:val="00AA1621"/>
    <w:rsid w:val="00AA1A6E"/>
    <w:rsid w:val="00AA233B"/>
    <w:rsid w:val="00AA2AD9"/>
    <w:rsid w:val="00AA3718"/>
    <w:rsid w:val="00AA38EF"/>
    <w:rsid w:val="00AA391B"/>
    <w:rsid w:val="00AA3AE4"/>
    <w:rsid w:val="00AA437F"/>
    <w:rsid w:val="00AA4D26"/>
    <w:rsid w:val="00AA5217"/>
    <w:rsid w:val="00AA5761"/>
    <w:rsid w:val="00AA5F10"/>
    <w:rsid w:val="00AA6C65"/>
    <w:rsid w:val="00AA7068"/>
    <w:rsid w:val="00AA7C2A"/>
    <w:rsid w:val="00AB01FB"/>
    <w:rsid w:val="00AB087E"/>
    <w:rsid w:val="00AB0D70"/>
    <w:rsid w:val="00AB1888"/>
    <w:rsid w:val="00AB23BB"/>
    <w:rsid w:val="00AB24AC"/>
    <w:rsid w:val="00AB42DD"/>
    <w:rsid w:val="00AB53E6"/>
    <w:rsid w:val="00AB55F9"/>
    <w:rsid w:val="00AB58BC"/>
    <w:rsid w:val="00AB592F"/>
    <w:rsid w:val="00AB6272"/>
    <w:rsid w:val="00AB7420"/>
    <w:rsid w:val="00AB746D"/>
    <w:rsid w:val="00AB7EBD"/>
    <w:rsid w:val="00AC01E3"/>
    <w:rsid w:val="00AC0AD5"/>
    <w:rsid w:val="00AC11FB"/>
    <w:rsid w:val="00AC158D"/>
    <w:rsid w:val="00AC227E"/>
    <w:rsid w:val="00AC23E4"/>
    <w:rsid w:val="00AC2791"/>
    <w:rsid w:val="00AC29ED"/>
    <w:rsid w:val="00AC3CFC"/>
    <w:rsid w:val="00AC53FA"/>
    <w:rsid w:val="00AC5719"/>
    <w:rsid w:val="00AC5F53"/>
    <w:rsid w:val="00AC69AA"/>
    <w:rsid w:val="00AC7A88"/>
    <w:rsid w:val="00AD08D5"/>
    <w:rsid w:val="00AD0C40"/>
    <w:rsid w:val="00AD12CD"/>
    <w:rsid w:val="00AD23F4"/>
    <w:rsid w:val="00AD3FDF"/>
    <w:rsid w:val="00AD42E5"/>
    <w:rsid w:val="00AD51D8"/>
    <w:rsid w:val="00AD52FF"/>
    <w:rsid w:val="00AD57DA"/>
    <w:rsid w:val="00AD5F0E"/>
    <w:rsid w:val="00AD625A"/>
    <w:rsid w:val="00AD62D6"/>
    <w:rsid w:val="00AD6808"/>
    <w:rsid w:val="00AD6C0E"/>
    <w:rsid w:val="00AD71D9"/>
    <w:rsid w:val="00AD7932"/>
    <w:rsid w:val="00AD7D72"/>
    <w:rsid w:val="00AE0875"/>
    <w:rsid w:val="00AE15E7"/>
    <w:rsid w:val="00AE24F7"/>
    <w:rsid w:val="00AE2DD1"/>
    <w:rsid w:val="00AE3927"/>
    <w:rsid w:val="00AE39A6"/>
    <w:rsid w:val="00AE550C"/>
    <w:rsid w:val="00AE74F9"/>
    <w:rsid w:val="00AE7596"/>
    <w:rsid w:val="00AE79D5"/>
    <w:rsid w:val="00AE7BA0"/>
    <w:rsid w:val="00AF03A3"/>
    <w:rsid w:val="00AF43C2"/>
    <w:rsid w:val="00AF484F"/>
    <w:rsid w:val="00AF4BEE"/>
    <w:rsid w:val="00AF4E61"/>
    <w:rsid w:val="00AF5DF8"/>
    <w:rsid w:val="00AF6662"/>
    <w:rsid w:val="00AF70AF"/>
    <w:rsid w:val="00AF73E4"/>
    <w:rsid w:val="00AF758F"/>
    <w:rsid w:val="00AF78A2"/>
    <w:rsid w:val="00AF7EF3"/>
    <w:rsid w:val="00B0037D"/>
    <w:rsid w:val="00B004E8"/>
    <w:rsid w:val="00B0182B"/>
    <w:rsid w:val="00B01CF4"/>
    <w:rsid w:val="00B03FB8"/>
    <w:rsid w:val="00B0423B"/>
    <w:rsid w:val="00B04505"/>
    <w:rsid w:val="00B05F26"/>
    <w:rsid w:val="00B108B9"/>
    <w:rsid w:val="00B1103E"/>
    <w:rsid w:val="00B11DD4"/>
    <w:rsid w:val="00B125F4"/>
    <w:rsid w:val="00B13942"/>
    <w:rsid w:val="00B1433F"/>
    <w:rsid w:val="00B1651E"/>
    <w:rsid w:val="00B16DCA"/>
    <w:rsid w:val="00B16FD0"/>
    <w:rsid w:val="00B1734D"/>
    <w:rsid w:val="00B17A6C"/>
    <w:rsid w:val="00B17C3A"/>
    <w:rsid w:val="00B17D72"/>
    <w:rsid w:val="00B20D6F"/>
    <w:rsid w:val="00B21549"/>
    <w:rsid w:val="00B215F9"/>
    <w:rsid w:val="00B216A6"/>
    <w:rsid w:val="00B22F5D"/>
    <w:rsid w:val="00B2313B"/>
    <w:rsid w:val="00B23432"/>
    <w:rsid w:val="00B237F7"/>
    <w:rsid w:val="00B23861"/>
    <w:rsid w:val="00B23F7B"/>
    <w:rsid w:val="00B242EA"/>
    <w:rsid w:val="00B24462"/>
    <w:rsid w:val="00B24594"/>
    <w:rsid w:val="00B2470F"/>
    <w:rsid w:val="00B24C0F"/>
    <w:rsid w:val="00B24CE3"/>
    <w:rsid w:val="00B25600"/>
    <w:rsid w:val="00B26CD8"/>
    <w:rsid w:val="00B2723C"/>
    <w:rsid w:val="00B27390"/>
    <w:rsid w:val="00B274BF"/>
    <w:rsid w:val="00B2795E"/>
    <w:rsid w:val="00B3083D"/>
    <w:rsid w:val="00B314FC"/>
    <w:rsid w:val="00B3187C"/>
    <w:rsid w:val="00B3225A"/>
    <w:rsid w:val="00B3289A"/>
    <w:rsid w:val="00B33453"/>
    <w:rsid w:val="00B3505D"/>
    <w:rsid w:val="00B3529E"/>
    <w:rsid w:val="00B35557"/>
    <w:rsid w:val="00B35DBD"/>
    <w:rsid w:val="00B36050"/>
    <w:rsid w:val="00B36983"/>
    <w:rsid w:val="00B3766B"/>
    <w:rsid w:val="00B40118"/>
    <w:rsid w:val="00B41841"/>
    <w:rsid w:val="00B418F0"/>
    <w:rsid w:val="00B4227F"/>
    <w:rsid w:val="00B42A31"/>
    <w:rsid w:val="00B42F67"/>
    <w:rsid w:val="00B45DAB"/>
    <w:rsid w:val="00B45E06"/>
    <w:rsid w:val="00B45EDD"/>
    <w:rsid w:val="00B46050"/>
    <w:rsid w:val="00B46FD9"/>
    <w:rsid w:val="00B4701E"/>
    <w:rsid w:val="00B47835"/>
    <w:rsid w:val="00B507FE"/>
    <w:rsid w:val="00B50849"/>
    <w:rsid w:val="00B508D7"/>
    <w:rsid w:val="00B510F7"/>
    <w:rsid w:val="00B5285F"/>
    <w:rsid w:val="00B52AA0"/>
    <w:rsid w:val="00B543F4"/>
    <w:rsid w:val="00B54E04"/>
    <w:rsid w:val="00B560E1"/>
    <w:rsid w:val="00B561FE"/>
    <w:rsid w:val="00B5706D"/>
    <w:rsid w:val="00B57325"/>
    <w:rsid w:val="00B60074"/>
    <w:rsid w:val="00B617B4"/>
    <w:rsid w:val="00B61DA8"/>
    <w:rsid w:val="00B630A4"/>
    <w:rsid w:val="00B63B49"/>
    <w:rsid w:val="00B642F9"/>
    <w:rsid w:val="00B6463E"/>
    <w:rsid w:val="00B659A5"/>
    <w:rsid w:val="00B65F26"/>
    <w:rsid w:val="00B66371"/>
    <w:rsid w:val="00B670D6"/>
    <w:rsid w:val="00B670E6"/>
    <w:rsid w:val="00B70851"/>
    <w:rsid w:val="00B7102A"/>
    <w:rsid w:val="00B711D6"/>
    <w:rsid w:val="00B712F1"/>
    <w:rsid w:val="00B7291F"/>
    <w:rsid w:val="00B72A3C"/>
    <w:rsid w:val="00B72BC9"/>
    <w:rsid w:val="00B74888"/>
    <w:rsid w:val="00B75AFC"/>
    <w:rsid w:val="00B75DCD"/>
    <w:rsid w:val="00B76153"/>
    <w:rsid w:val="00B76307"/>
    <w:rsid w:val="00B7705D"/>
    <w:rsid w:val="00B77963"/>
    <w:rsid w:val="00B80507"/>
    <w:rsid w:val="00B8071E"/>
    <w:rsid w:val="00B81675"/>
    <w:rsid w:val="00B82220"/>
    <w:rsid w:val="00B8304C"/>
    <w:rsid w:val="00B83641"/>
    <w:rsid w:val="00B83FA7"/>
    <w:rsid w:val="00B84703"/>
    <w:rsid w:val="00B84B56"/>
    <w:rsid w:val="00B87BAF"/>
    <w:rsid w:val="00B87BF3"/>
    <w:rsid w:val="00B903C8"/>
    <w:rsid w:val="00B9043C"/>
    <w:rsid w:val="00B91677"/>
    <w:rsid w:val="00B916E3"/>
    <w:rsid w:val="00B9203E"/>
    <w:rsid w:val="00B92715"/>
    <w:rsid w:val="00B94D26"/>
    <w:rsid w:val="00B95297"/>
    <w:rsid w:val="00B95F14"/>
    <w:rsid w:val="00B97794"/>
    <w:rsid w:val="00B97822"/>
    <w:rsid w:val="00BA0390"/>
    <w:rsid w:val="00BA0783"/>
    <w:rsid w:val="00BA1D0E"/>
    <w:rsid w:val="00BA2059"/>
    <w:rsid w:val="00BA2B7A"/>
    <w:rsid w:val="00BA49E5"/>
    <w:rsid w:val="00BA4F70"/>
    <w:rsid w:val="00BA54E0"/>
    <w:rsid w:val="00BA5E7C"/>
    <w:rsid w:val="00BA6551"/>
    <w:rsid w:val="00BA6D89"/>
    <w:rsid w:val="00BB0DDB"/>
    <w:rsid w:val="00BB1023"/>
    <w:rsid w:val="00BB12AF"/>
    <w:rsid w:val="00BB12CF"/>
    <w:rsid w:val="00BB1688"/>
    <w:rsid w:val="00BB18B6"/>
    <w:rsid w:val="00BB1B15"/>
    <w:rsid w:val="00BB2BE9"/>
    <w:rsid w:val="00BB3062"/>
    <w:rsid w:val="00BB3337"/>
    <w:rsid w:val="00BB3658"/>
    <w:rsid w:val="00BB3894"/>
    <w:rsid w:val="00BB5F20"/>
    <w:rsid w:val="00BB61B6"/>
    <w:rsid w:val="00BB6F96"/>
    <w:rsid w:val="00BB71B5"/>
    <w:rsid w:val="00BB7815"/>
    <w:rsid w:val="00BC1719"/>
    <w:rsid w:val="00BC1F65"/>
    <w:rsid w:val="00BC1FDB"/>
    <w:rsid w:val="00BC24E4"/>
    <w:rsid w:val="00BC280D"/>
    <w:rsid w:val="00BC2BB7"/>
    <w:rsid w:val="00BC3085"/>
    <w:rsid w:val="00BC3A07"/>
    <w:rsid w:val="00BC3D74"/>
    <w:rsid w:val="00BC4903"/>
    <w:rsid w:val="00BC4D44"/>
    <w:rsid w:val="00BC5343"/>
    <w:rsid w:val="00BC57C2"/>
    <w:rsid w:val="00BC5C1B"/>
    <w:rsid w:val="00BC6B21"/>
    <w:rsid w:val="00BC6E34"/>
    <w:rsid w:val="00BC7676"/>
    <w:rsid w:val="00BC7AF7"/>
    <w:rsid w:val="00BD07C5"/>
    <w:rsid w:val="00BD1846"/>
    <w:rsid w:val="00BD2988"/>
    <w:rsid w:val="00BD3088"/>
    <w:rsid w:val="00BD46D9"/>
    <w:rsid w:val="00BD4751"/>
    <w:rsid w:val="00BD4A07"/>
    <w:rsid w:val="00BD571A"/>
    <w:rsid w:val="00BD57C7"/>
    <w:rsid w:val="00BD580D"/>
    <w:rsid w:val="00BD59FC"/>
    <w:rsid w:val="00BD6025"/>
    <w:rsid w:val="00BD6718"/>
    <w:rsid w:val="00BD7AD7"/>
    <w:rsid w:val="00BD7E39"/>
    <w:rsid w:val="00BE151F"/>
    <w:rsid w:val="00BE1913"/>
    <w:rsid w:val="00BE32B1"/>
    <w:rsid w:val="00BE3FD0"/>
    <w:rsid w:val="00BE4270"/>
    <w:rsid w:val="00BE567E"/>
    <w:rsid w:val="00BE5C29"/>
    <w:rsid w:val="00BE6120"/>
    <w:rsid w:val="00BE6285"/>
    <w:rsid w:val="00BE62E8"/>
    <w:rsid w:val="00BE6C0E"/>
    <w:rsid w:val="00BE7116"/>
    <w:rsid w:val="00BE7791"/>
    <w:rsid w:val="00BF0C5C"/>
    <w:rsid w:val="00BF0CFA"/>
    <w:rsid w:val="00BF0D3B"/>
    <w:rsid w:val="00BF12F2"/>
    <w:rsid w:val="00BF16F3"/>
    <w:rsid w:val="00BF181D"/>
    <w:rsid w:val="00BF2155"/>
    <w:rsid w:val="00BF28CA"/>
    <w:rsid w:val="00BF50ED"/>
    <w:rsid w:val="00BF55D6"/>
    <w:rsid w:val="00BF5AF0"/>
    <w:rsid w:val="00BF5B91"/>
    <w:rsid w:val="00BF6383"/>
    <w:rsid w:val="00BF66AB"/>
    <w:rsid w:val="00BF69FD"/>
    <w:rsid w:val="00BF75FC"/>
    <w:rsid w:val="00BF786C"/>
    <w:rsid w:val="00BF7C38"/>
    <w:rsid w:val="00C013A1"/>
    <w:rsid w:val="00C01D09"/>
    <w:rsid w:val="00C02462"/>
    <w:rsid w:val="00C0306C"/>
    <w:rsid w:val="00C03E5D"/>
    <w:rsid w:val="00C05123"/>
    <w:rsid w:val="00C05270"/>
    <w:rsid w:val="00C05606"/>
    <w:rsid w:val="00C05EE3"/>
    <w:rsid w:val="00C074AA"/>
    <w:rsid w:val="00C07946"/>
    <w:rsid w:val="00C07CC5"/>
    <w:rsid w:val="00C101B7"/>
    <w:rsid w:val="00C10622"/>
    <w:rsid w:val="00C10CE7"/>
    <w:rsid w:val="00C11352"/>
    <w:rsid w:val="00C119C9"/>
    <w:rsid w:val="00C125BE"/>
    <w:rsid w:val="00C12732"/>
    <w:rsid w:val="00C1286D"/>
    <w:rsid w:val="00C12AF4"/>
    <w:rsid w:val="00C133C9"/>
    <w:rsid w:val="00C1342B"/>
    <w:rsid w:val="00C14A43"/>
    <w:rsid w:val="00C154CC"/>
    <w:rsid w:val="00C15A78"/>
    <w:rsid w:val="00C16067"/>
    <w:rsid w:val="00C16AFD"/>
    <w:rsid w:val="00C17195"/>
    <w:rsid w:val="00C17A32"/>
    <w:rsid w:val="00C20097"/>
    <w:rsid w:val="00C20AA0"/>
    <w:rsid w:val="00C20F0C"/>
    <w:rsid w:val="00C2133A"/>
    <w:rsid w:val="00C222DE"/>
    <w:rsid w:val="00C22753"/>
    <w:rsid w:val="00C22D6F"/>
    <w:rsid w:val="00C2356D"/>
    <w:rsid w:val="00C2364E"/>
    <w:rsid w:val="00C2372E"/>
    <w:rsid w:val="00C23B7C"/>
    <w:rsid w:val="00C23CC6"/>
    <w:rsid w:val="00C2405B"/>
    <w:rsid w:val="00C243FE"/>
    <w:rsid w:val="00C2444E"/>
    <w:rsid w:val="00C246CB"/>
    <w:rsid w:val="00C26113"/>
    <w:rsid w:val="00C26488"/>
    <w:rsid w:val="00C27D2F"/>
    <w:rsid w:val="00C27F25"/>
    <w:rsid w:val="00C31071"/>
    <w:rsid w:val="00C316CA"/>
    <w:rsid w:val="00C316DA"/>
    <w:rsid w:val="00C31BFE"/>
    <w:rsid w:val="00C31E3C"/>
    <w:rsid w:val="00C32587"/>
    <w:rsid w:val="00C32849"/>
    <w:rsid w:val="00C32A88"/>
    <w:rsid w:val="00C3416B"/>
    <w:rsid w:val="00C3586B"/>
    <w:rsid w:val="00C35BA0"/>
    <w:rsid w:val="00C36C08"/>
    <w:rsid w:val="00C36C72"/>
    <w:rsid w:val="00C36E1B"/>
    <w:rsid w:val="00C37A60"/>
    <w:rsid w:val="00C37DE3"/>
    <w:rsid w:val="00C4032C"/>
    <w:rsid w:val="00C4072E"/>
    <w:rsid w:val="00C40D11"/>
    <w:rsid w:val="00C41F55"/>
    <w:rsid w:val="00C42DF1"/>
    <w:rsid w:val="00C43D2B"/>
    <w:rsid w:val="00C43EE6"/>
    <w:rsid w:val="00C44216"/>
    <w:rsid w:val="00C448C6"/>
    <w:rsid w:val="00C45A82"/>
    <w:rsid w:val="00C45CC0"/>
    <w:rsid w:val="00C46278"/>
    <w:rsid w:val="00C462D8"/>
    <w:rsid w:val="00C464E8"/>
    <w:rsid w:val="00C4660E"/>
    <w:rsid w:val="00C47736"/>
    <w:rsid w:val="00C47AB9"/>
    <w:rsid w:val="00C47E22"/>
    <w:rsid w:val="00C501E6"/>
    <w:rsid w:val="00C5067B"/>
    <w:rsid w:val="00C50AA4"/>
    <w:rsid w:val="00C50E1D"/>
    <w:rsid w:val="00C51E33"/>
    <w:rsid w:val="00C51EAA"/>
    <w:rsid w:val="00C520FE"/>
    <w:rsid w:val="00C5237D"/>
    <w:rsid w:val="00C52555"/>
    <w:rsid w:val="00C52AAD"/>
    <w:rsid w:val="00C52B18"/>
    <w:rsid w:val="00C5442C"/>
    <w:rsid w:val="00C5494C"/>
    <w:rsid w:val="00C55562"/>
    <w:rsid w:val="00C55AD0"/>
    <w:rsid w:val="00C55E67"/>
    <w:rsid w:val="00C5610C"/>
    <w:rsid w:val="00C56908"/>
    <w:rsid w:val="00C569E8"/>
    <w:rsid w:val="00C56A70"/>
    <w:rsid w:val="00C57695"/>
    <w:rsid w:val="00C578AE"/>
    <w:rsid w:val="00C60646"/>
    <w:rsid w:val="00C60C20"/>
    <w:rsid w:val="00C60DBD"/>
    <w:rsid w:val="00C6178F"/>
    <w:rsid w:val="00C61B48"/>
    <w:rsid w:val="00C61EE7"/>
    <w:rsid w:val="00C637DB"/>
    <w:rsid w:val="00C63AA0"/>
    <w:rsid w:val="00C6504A"/>
    <w:rsid w:val="00C65153"/>
    <w:rsid w:val="00C65A07"/>
    <w:rsid w:val="00C66667"/>
    <w:rsid w:val="00C66A6D"/>
    <w:rsid w:val="00C67178"/>
    <w:rsid w:val="00C672BB"/>
    <w:rsid w:val="00C67495"/>
    <w:rsid w:val="00C67D71"/>
    <w:rsid w:val="00C70A6C"/>
    <w:rsid w:val="00C71224"/>
    <w:rsid w:val="00C71440"/>
    <w:rsid w:val="00C71D56"/>
    <w:rsid w:val="00C73A2F"/>
    <w:rsid w:val="00C73B83"/>
    <w:rsid w:val="00C75AE1"/>
    <w:rsid w:val="00C7625B"/>
    <w:rsid w:val="00C76971"/>
    <w:rsid w:val="00C77508"/>
    <w:rsid w:val="00C7753E"/>
    <w:rsid w:val="00C80BF4"/>
    <w:rsid w:val="00C82620"/>
    <w:rsid w:val="00C82AFC"/>
    <w:rsid w:val="00C82B97"/>
    <w:rsid w:val="00C82DFD"/>
    <w:rsid w:val="00C8329A"/>
    <w:rsid w:val="00C835A1"/>
    <w:rsid w:val="00C83F30"/>
    <w:rsid w:val="00C840D3"/>
    <w:rsid w:val="00C84395"/>
    <w:rsid w:val="00C855D1"/>
    <w:rsid w:val="00C856BD"/>
    <w:rsid w:val="00C85730"/>
    <w:rsid w:val="00C85DD3"/>
    <w:rsid w:val="00C860FE"/>
    <w:rsid w:val="00C919C4"/>
    <w:rsid w:val="00C91C50"/>
    <w:rsid w:val="00C92031"/>
    <w:rsid w:val="00C9323E"/>
    <w:rsid w:val="00C9368F"/>
    <w:rsid w:val="00C93EC4"/>
    <w:rsid w:val="00C95647"/>
    <w:rsid w:val="00C97A8D"/>
    <w:rsid w:val="00CA029D"/>
    <w:rsid w:val="00CA0336"/>
    <w:rsid w:val="00CA156A"/>
    <w:rsid w:val="00CA198A"/>
    <w:rsid w:val="00CA1D11"/>
    <w:rsid w:val="00CA1F0C"/>
    <w:rsid w:val="00CA2916"/>
    <w:rsid w:val="00CA3275"/>
    <w:rsid w:val="00CA3396"/>
    <w:rsid w:val="00CA471E"/>
    <w:rsid w:val="00CA527F"/>
    <w:rsid w:val="00CA591B"/>
    <w:rsid w:val="00CA5C6D"/>
    <w:rsid w:val="00CA5FF2"/>
    <w:rsid w:val="00CA6733"/>
    <w:rsid w:val="00CA6835"/>
    <w:rsid w:val="00CA7D64"/>
    <w:rsid w:val="00CB0006"/>
    <w:rsid w:val="00CB055C"/>
    <w:rsid w:val="00CB0805"/>
    <w:rsid w:val="00CB0F55"/>
    <w:rsid w:val="00CB1EEF"/>
    <w:rsid w:val="00CB2A3E"/>
    <w:rsid w:val="00CB3138"/>
    <w:rsid w:val="00CB34D9"/>
    <w:rsid w:val="00CB3F03"/>
    <w:rsid w:val="00CB4A17"/>
    <w:rsid w:val="00CB560A"/>
    <w:rsid w:val="00CB5CF7"/>
    <w:rsid w:val="00CB6532"/>
    <w:rsid w:val="00CB7515"/>
    <w:rsid w:val="00CC0081"/>
    <w:rsid w:val="00CC0C2A"/>
    <w:rsid w:val="00CC1AB6"/>
    <w:rsid w:val="00CC1BF4"/>
    <w:rsid w:val="00CC23CB"/>
    <w:rsid w:val="00CC26B7"/>
    <w:rsid w:val="00CC2979"/>
    <w:rsid w:val="00CC2E28"/>
    <w:rsid w:val="00CC3604"/>
    <w:rsid w:val="00CC4374"/>
    <w:rsid w:val="00CC554B"/>
    <w:rsid w:val="00CC5648"/>
    <w:rsid w:val="00CC59C6"/>
    <w:rsid w:val="00CC5B79"/>
    <w:rsid w:val="00CC5D87"/>
    <w:rsid w:val="00CD15C0"/>
    <w:rsid w:val="00CD17FE"/>
    <w:rsid w:val="00CD188E"/>
    <w:rsid w:val="00CD1977"/>
    <w:rsid w:val="00CD294D"/>
    <w:rsid w:val="00CD2A29"/>
    <w:rsid w:val="00CD2BCF"/>
    <w:rsid w:val="00CD330C"/>
    <w:rsid w:val="00CD3321"/>
    <w:rsid w:val="00CD3541"/>
    <w:rsid w:val="00CD39B5"/>
    <w:rsid w:val="00CD3B25"/>
    <w:rsid w:val="00CD4BA2"/>
    <w:rsid w:val="00CD4CAA"/>
    <w:rsid w:val="00CD619F"/>
    <w:rsid w:val="00CD7B8C"/>
    <w:rsid w:val="00CE0034"/>
    <w:rsid w:val="00CE13A3"/>
    <w:rsid w:val="00CE16A3"/>
    <w:rsid w:val="00CE2C8D"/>
    <w:rsid w:val="00CE4307"/>
    <w:rsid w:val="00CE53D7"/>
    <w:rsid w:val="00CE573A"/>
    <w:rsid w:val="00CE5B21"/>
    <w:rsid w:val="00CE6492"/>
    <w:rsid w:val="00CF01C8"/>
    <w:rsid w:val="00CF1681"/>
    <w:rsid w:val="00CF2F62"/>
    <w:rsid w:val="00CF376B"/>
    <w:rsid w:val="00CF4B54"/>
    <w:rsid w:val="00CF511C"/>
    <w:rsid w:val="00CF5A88"/>
    <w:rsid w:val="00CF6498"/>
    <w:rsid w:val="00CF6F10"/>
    <w:rsid w:val="00CF74D9"/>
    <w:rsid w:val="00CF759F"/>
    <w:rsid w:val="00D00464"/>
    <w:rsid w:val="00D0054E"/>
    <w:rsid w:val="00D01183"/>
    <w:rsid w:val="00D018FA"/>
    <w:rsid w:val="00D02060"/>
    <w:rsid w:val="00D02AEB"/>
    <w:rsid w:val="00D03301"/>
    <w:rsid w:val="00D0384F"/>
    <w:rsid w:val="00D03D78"/>
    <w:rsid w:val="00D059F7"/>
    <w:rsid w:val="00D05E5E"/>
    <w:rsid w:val="00D05F2A"/>
    <w:rsid w:val="00D060EB"/>
    <w:rsid w:val="00D06234"/>
    <w:rsid w:val="00D06418"/>
    <w:rsid w:val="00D06D14"/>
    <w:rsid w:val="00D07204"/>
    <w:rsid w:val="00D10481"/>
    <w:rsid w:val="00D126D4"/>
    <w:rsid w:val="00D12FA6"/>
    <w:rsid w:val="00D1350E"/>
    <w:rsid w:val="00D138EC"/>
    <w:rsid w:val="00D14C2A"/>
    <w:rsid w:val="00D16559"/>
    <w:rsid w:val="00D16798"/>
    <w:rsid w:val="00D174AF"/>
    <w:rsid w:val="00D175A3"/>
    <w:rsid w:val="00D200A2"/>
    <w:rsid w:val="00D2050E"/>
    <w:rsid w:val="00D2056E"/>
    <w:rsid w:val="00D20BFD"/>
    <w:rsid w:val="00D21F16"/>
    <w:rsid w:val="00D227CE"/>
    <w:rsid w:val="00D23640"/>
    <w:rsid w:val="00D248BE"/>
    <w:rsid w:val="00D24F7F"/>
    <w:rsid w:val="00D2584D"/>
    <w:rsid w:val="00D2591F"/>
    <w:rsid w:val="00D25D99"/>
    <w:rsid w:val="00D26448"/>
    <w:rsid w:val="00D26C19"/>
    <w:rsid w:val="00D27D4C"/>
    <w:rsid w:val="00D302FE"/>
    <w:rsid w:val="00D30A74"/>
    <w:rsid w:val="00D30DCB"/>
    <w:rsid w:val="00D30DF1"/>
    <w:rsid w:val="00D30ECD"/>
    <w:rsid w:val="00D3122C"/>
    <w:rsid w:val="00D3197B"/>
    <w:rsid w:val="00D32427"/>
    <w:rsid w:val="00D326F6"/>
    <w:rsid w:val="00D33280"/>
    <w:rsid w:val="00D33DBC"/>
    <w:rsid w:val="00D33FA4"/>
    <w:rsid w:val="00D3415A"/>
    <w:rsid w:val="00D34519"/>
    <w:rsid w:val="00D351E3"/>
    <w:rsid w:val="00D3588E"/>
    <w:rsid w:val="00D35E30"/>
    <w:rsid w:val="00D363B9"/>
    <w:rsid w:val="00D3641E"/>
    <w:rsid w:val="00D3699E"/>
    <w:rsid w:val="00D369F5"/>
    <w:rsid w:val="00D372EA"/>
    <w:rsid w:val="00D37C10"/>
    <w:rsid w:val="00D4014F"/>
    <w:rsid w:val="00D40392"/>
    <w:rsid w:val="00D40C77"/>
    <w:rsid w:val="00D42216"/>
    <w:rsid w:val="00D424C7"/>
    <w:rsid w:val="00D42704"/>
    <w:rsid w:val="00D435F1"/>
    <w:rsid w:val="00D43890"/>
    <w:rsid w:val="00D44255"/>
    <w:rsid w:val="00D442A0"/>
    <w:rsid w:val="00D4480F"/>
    <w:rsid w:val="00D4518D"/>
    <w:rsid w:val="00D45551"/>
    <w:rsid w:val="00D458E8"/>
    <w:rsid w:val="00D45BD4"/>
    <w:rsid w:val="00D46B56"/>
    <w:rsid w:val="00D46C91"/>
    <w:rsid w:val="00D46F2E"/>
    <w:rsid w:val="00D47F6C"/>
    <w:rsid w:val="00D50217"/>
    <w:rsid w:val="00D5044E"/>
    <w:rsid w:val="00D5046E"/>
    <w:rsid w:val="00D50665"/>
    <w:rsid w:val="00D524BC"/>
    <w:rsid w:val="00D54BEC"/>
    <w:rsid w:val="00D54C35"/>
    <w:rsid w:val="00D5505A"/>
    <w:rsid w:val="00D55829"/>
    <w:rsid w:val="00D573F4"/>
    <w:rsid w:val="00D57AB9"/>
    <w:rsid w:val="00D606BB"/>
    <w:rsid w:val="00D60A3D"/>
    <w:rsid w:val="00D60DD1"/>
    <w:rsid w:val="00D610F8"/>
    <w:rsid w:val="00D61688"/>
    <w:rsid w:val="00D62DFC"/>
    <w:rsid w:val="00D62F0D"/>
    <w:rsid w:val="00D632EC"/>
    <w:rsid w:val="00D64549"/>
    <w:rsid w:val="00D649E6"/>
    <w:rsid w:val="00D64F83"/>
    <w:rsid w:val="00D65727"/>
    <w:rsid w:val="00D65F18"/>
    <w:rsid w:val="00D66913"/>
    <w:rsid w:val="00D66A64"/>
    <w:rsid w:val="00D67EBB"/>
    <w:rsid w:val="00D67ECD"/>
    <w:rsid w:val="00D700BF"/>
    <w:rsid w:val="00D70816"/>
    <w:rsid w:val="00D70EA9"/>
    <w:rsid w:val="00D712AE"/>
    <w:rsid w:val="00D718C5"/>
    <w:rsid w:val="00D738B9"/>
    <w:rsid w:val="00D73F70"/>
    <w:rsid w:val="00D7430B"/>
    <w:rsid w:val="00D74CBC"/>
    <w:rsid w:val="00D74E96"/>
    <w:rsid w:val="00D75016"/>
    <w:rsid w:val="00D753C3"/>
    <w:rsid w:val="00D75A11"/>
    <w:rsid w:val="00D767FF"/>
    <w:rsid w:val="00D7725B"/>
    <w:rsid w:val="00D77966"/>
    <w:rsid w:val="00D77E22"/>
    <w:rsid w:val="00D801C8"/>
    <w:rsid w:val="00D80C6E"/>
    <w:rsid w:val="00D81F9D"/>
    <w:rsid w:val="00D8266C"/>
    <w:rsid w:val="00D84290"/>
    <w:rsid w:val="00D84C93"/>
    <w:rsid w:val="00D8580E"/>
    <w:rsid w:val="00D870ED"/>
    <w:rsid w:val="00D8733F"/>
    <w:rsid w:val="00D87D4E"/>
    <w:rsid w:val="00D90170"/>
    <w:rsid w:val="00D90C8D"/>
    <w:rsid w:val="00D917C8"/>
    <w:rsid w:val="00D91A00"/>
    <w:rsid w:val="00D924C3"/>
    <w:rsid w:val="00D92675"/>
    <w:rsid w:val="00D929A9"/>
    <w:rsid w:val="00D92A60"/>
    <w:rsid w:val="00D9398D"/>
    <w:rsid w:val="00D93A5E"/>
    <w:rsid w:val="00D93C09"/>
    <w:rsid w:val="00D93FAA"/>
    <w:rsid w:val="00D94851"/>
    <w:rsid w:val="00D94BAD"/>
    <w:rsid w:val="00D954EB"/>
    <w:rsid w:val="00D95E4C"/>
    <w:rsid w:val="00D95F0E"/>
    <w:rsid w:val="00D9656F"/>
    <w:rsid w:val="00D97456"/>
    <w:rsid w:val="00DA0423"/>
    <w:rsid w:val="00DA051A"/>
    <w:rsid w:val="00DA0824"/>
    <w:rsid w:val="00DA0CE5"/>
    <w:rsid w:val="00DA0F79"/>
    <w:rsid w:val="00DA1289"/>
    <w:rsid w:val="00DA1B8C"/>
    <w:rsid w:val="00DA1D2C"/>
    <w:rsid w:val="00DA464E"/>
    <w:rsid w:val="00DA4DFD"/>
    <w:rsid w:val="00DA5726"/>
    <w:rsid w:val="00DA59BA"/>
    <w:rsid w:val="00DA5B0C"/>
    <w:rsid w:val="00DA6B65"/>
    <w:rsid w:val="00DA6D46"/>
    <w:rsid w:val="00DA7524"/>
    <w:rsid w:val="00DA7B66"/>
    <w:rsid w:val="00DB08A9"/>
    <w:rsid w:val="00DB0CBC"/>
    <w:rsid w:val="00DB0F4F"/>
    <w:rsid w:val="00DB2BAF"/>
    <w:rsid w:val="00DB3430"/>
    <w:rsid w:val="00DB5A1A"/>
    <w:rsid w:val="00DB5B7D"/>
    <w:rsid w:val="00DC037C"/>
    <w:rsid w:val="00DC0CC6"/>
    <w:rsid w:val="00DC18E8"/>
    <w:rsid w:val="00DC1AEF"/>
    <w:rsid w:val="00DC30AD"/>
    <w:rsid w:val="00DC31DF"/>
    <w:rsid w:val="00DC3BE8"/>
    <w:rsid w:val="00DC45EE"/>
    <w:rsid w:val="00DC48B4"/>
    <w:rsid w:val="00DC4D3C"/>
    <w:rsid w:val="00DC5008"/>
    <w:rsid w:val="00DC52B2"/>
    <w:rsid w:val="00DC6E92"/>
    <w:rsid w:val="00DC72A8"/>
    <w:rsid w:val="00DC78BC"/>
    <w:rsid w:val="00DC7A72"/>
    <w:rsid w:val="00DC7EAC"/>
    <w:rsid w:val="00DD0830"/>
    <w:rsid w:val="00DD0EEB"/>
    <w:rsid w:val="00DD11F1"/>
    <w:rsid w:val="00DD2358"/>
    <w:rsid w:val="00DD2410"/>
    <w:rsid w:val="00DD2D86"/>
    <w:rsid w:val="00DD3131"/>
    <w:rsid w:val="00DD34E7"/>
    <w:rsid w:val="00DD392F"/>
    <w:rsid w:val="00DD3992"/>
    <w:rsid w:val="00DD41D7"/>
    <w:rsid w:val="00DD4C98"/>
    <w:rsid w:val="00DD5718"/>
    <w:rsid w:val="00DD6693"/>
    <w:rsid w:val="00DD6A40"/>
    <w:rsid w:val="00DD72B6"/>
    <w:rsid w:val="00DD7691"/>
    <w:rsid w:val="00DD7716"/>
    <w:rsid w:val="00DE03AD"/>
    <w:rsid w:val="00DE1B0D"/>
    <w:rsid w:val="00DE1FA8"/>
    <w:rsid w:val="00DE2EF7"/>
    <w:rsid w:val="00DE35FF"/>
    <w:rsid w:val="00DE4D32"/>
    <w:rsid w:val="00DE5E88"/>
    <w:rsid w:val="00DE5F16"/>
    <w:rsid w:val="00DE61DF"/>
    <w:rsid w:val="00DE6631"/>
    <w:rsid w:val="00DE66B1"/>
    <w:rsid w:val="00DE681A"/>
    <w:rsid w:val="00DE6AD8"/>
    <w:rsid w:val="00DE6DD1"/>
    <w:rsid w:val="00DE75AF"/>
    <w:rsid w:val="00DF139C"/>
    <w:rsid w:val="00DF194A"/>
    <w:rsid w:val="00DF1A49"/>
    <w:rsid w:val="00DF1A95"/>
    <w:rsid w:val="00DF1D36"/>
    <w:rsid w:val="00DF3120"/>
    <w:rsid w:val="00DF42F3"/>
    <w:rsid w:val="00DF45CA"/>
    <w:rsid w:val="00DF570B"/>
    <w:rsid w:val="00DF5929"/>
    <w:rsid w:val="00DF6161"/>
    <w:rsid w:val="00DF6D0F"/>
    <w:rsid w:val="00DF6E05"/>
    <w:rsid w:val="00DF74B8"/>
    <w:rsid w:val="00DF792C"/>
    <w:rsid w:val="00DF795C"/>
    <w:rsid w:val="00E01546"/>
    <w:rsid w:val="00E0329D"/>
    <w:rsid w:val="00E036A2"/>
    <w:rsid w:val="00E04E80"/>
    <w:rsid w:val="00E05153"/>
    <w:rsid w:val="00E05895"/>
    <w:rsid w:val="00E05DD3"/>
    <w:rsid w:val="00E068AD"/>
    <w:rsid w:val="00E06C12"/>
    <w:rsid w:val="00E0778B"/>
    <w:rsid w:val="00E10197"/>
    <w:rsid w:val="00E10639"/>
    <w:rsid w:val="00E10DD1"/>
    <w:rsid w:val="00E11CF8"/>
    <w:rsid w:val="00E1245A"/>
    <w:rsid w:val="00E130BE"/>
    <w:rsid w:val="00E13C32"/>
    <w:rsid w:val="00E1460E"/>
    <w:rsid w:val="00E14F0C"/>
    <w:rsid w:val="00E1536E"/>
    <w:rsid w:val="00E1574A"/>
    <w:rsid w:val="00E1761F"/>
    <w:rsid w:val="00E17D34"/>
    <w:rsid w:val="00E17F3E"/>
    <w:rsid w:val="00E17F64"/>
    <w:rsid w:val="00E20842"/>
    <w:rsid w:val="00E20EEA"/>
    <w:rsid w:val="00E20F0A"/>
    <w:rsid w:val="00E219A1"/>
    <w:rsid w:val="00E21E0F"/>
    <w:rsid w:val="00E2248C"/>
    <w:rsid w:val="00E22E8E"/>
    <w:rsid w:val="00E230A5"/>
    <w:rsid w:val="00E2485C"/>
    <w:rsid w:val="00E24A4C"/>
    <w:rsid w:val="00E25770"/>
    <w:rsid w:val="00E257FB"/>
    <w:rsid w:val="00E259BF"/>
    <w:rsid w:val="00E25C24"/>
    <w:rsid w:val="00E26131"/>
    <w:rsid w:val="00E2714A"/>
    <w:rsid w:val="00E2749A"/>
    <w:rsid w:val="00E27D0A"/>
    <w:rsid w:val="00E3053D"/>
    <w:rsid w:val="00E30A15"/>
    <w:rsid w:val="00E31822"/>
    <w:rsid w:val="00E32D57"/>
    <w:rsid w:val="00E35972"/>
    <w:rsid w:val="00E35C3C"/>
    <w:rsid w:val="00E37990"/>
    <w:rsid w:val="00E40079"/>
    <w:rsid w:val="00E40F33"/>
    <w:rsid w:val="00E41853"/>
    <w:rsid w:val="00E418EB"/>
    <w:rsid w:val="00E422C0"/>
    <w:rsid w:val="00E42C1B"/>
    <w:rsid w:val="00E431FE"/>
    <w:rsid w:val="00E44247"/>
    <w:rsid w:val="00E44825"/>
    <w:rsid w:val="00E44CBD"/>
    <w:rsid w:val="00E452A0"/>
    <w:rsid w:val="00E45456"/>
    <w:rsid w:val="00E456E9"/>
    <w:rsid w:val="00E46462"/>
    <w:rsid w:val="00E4679E"/>
    <w:rsid w:val="00E473C8"/>
    <w:rsid w:val="00E47513"/>
    <w:rsid w:val="00E47A05"/>
    <w:rsid w:val="00E47FF8"/>
    <w:rsid w:val="00E51746"/>
    <w:rsid w:val="00E52EC5"/>
    <w:rsid w:val="00E531F4"/>
    <w:rsid w:val="00E53357"/>
    <w:rsid w:val="00E53AD1"/>
    <w:rsid w:val="00E53BB6"/>
    <w:rsid w:val="00E53F44"/>
    <w:rsid w:val="00E55F75"/>
    <w:rsid w:val="00E5691A"/>
    <w:rsid w:val="00E56AA5"/>
    <w:rsid w:val="00E56FBC"/>
    <w:rsid w:val="00E605C0"/>
    <w:rsid w:val="00E6263E"/>
    <w:rsid w:val="00E62854"/>
    <w:rsid w:val="00E631E8"/>
    <w:rsid w:val="00E636BA"/>
    <w:rsid w:val="00E63978"/>
    <w:rsid w:val="00E63B01"/>
    <w:rsid w:val="00E66265"/>
    <w:rsid w:val="00E66804"/>
    <w:rsid w:val="00E708DC"/>
    <w:rsid w:val="00E70BEF"/>
    <w:rsid w:val="00E70DA3"/>
    <w:rsid w:val="00E70E64"/>
    <w:rsid w:val="00E71032"/>
    <w:rsid w:val="00E7118F"/>
    <w:rsid w:val="00E7142F"/>
    <w:rsid w:val="00E7165C"/>
    <w:rsid w:val="00E72EA7"/>
    <w:rsid w:val="00E73428"/>
    <w:rsid w:val="00E7342D"/>
    <w:rsid w:val="00E7345F"/>
    <w:rsid w:val="00E7366B"/>
    <w:rsid w:val="00E74013"/>
    <w:rsid w:val="00E74426"/>
    <w:rsid w:val="00E7478B"/>
    <w:rsid w:val="00E759DE"/>
    <w:rsid w:val="00E75D49"/>
    <w:rsid w:val="00E762C0"/>
    <w:rsid w:val="00E7634C"/>
    <w:rsid w:val="00E77471"/>
    <w:rsid w:val="00E77853"/>
    <w:rsid w:val="00E805E5"/>
    <w:rsid w:val="00E80AF2"/>
    <w:rsid w:val="00E81133"/>
    <w:rsid w:val="00E8164C"/>
    <w:rsid w:val="00E81814"/>
    <w:rsid w:val="00E81E19"/>
    <w:rsid w:val="00E83A45"/>
    <w:rsid w:val="00E8446F"/>
    <w:rsid w:val="00E84D16"/>
    <w:rsid w:val="00E8645B"/>
    <w:rsid w:val="00E8684F"/>
    <w:rsid w:val="00E868D3"/>
    <w:rsid w:val="00E87535"/>
    <w:rsid w:val="00E87A4A"/>
    <w:rsid w:val="00E901D5"/>
    <w:rsid w:val="00E9080F"/>
    <w:rsid w:val="00E90959"/>
    <w:rsid w:val="00E90C03"/>
    <w:rsid w:val="00E90F12"/>
    <w:rsid w:val="00E913C3"/>
    <w:rsid w:val="00E9192A"/>
    <w:rsid w:val="00E91B45"/>
    <w:rsid w:val="00E924FC"/>
    <w:rsid w:val="00E92AB0"/>
    <w:rsid w:val="00E959DD"/>
    <w:rsid w:val="00E963FD"/>
    <w:rsid w:val="00E96844"/>
    <w:rsid w:val="00E97800"/>
    <w:rsid w:val="00E97B05"/>
    <w:rsid w:val="00EA00D0"/>
    <w:rsid w:val="00EA075F"/>
    <w:rsid w:val="00EA0B7C"/>
    <w:rsid w:val="00EA0CEE"/>
    <w:rsid w:val="00EA0E75"/>
    <w:rsid w:val="00EA1179"/>
    <w:rsid w:val="00EA1B0D"/>
    <w:rsid w:val="00EA2178"/>
    <w:rsid w:val="00EA2703"/>
    <w:rsid w:val="00EA42AB"/>
    <w:rsid w:val="00EA43C5"/>
    <w:rsid w:val="00EA4BAE"/>
    <w:rsid w:val="00EA4C5B"/>
    <w:rsid w:val="00EA5368"/>
    <w:rsid w:val="00EA54E6"/>
    <w:rsid w:val="00EA5B24"/>
    <w:rsid w:val="00EA71FD"/>
    <w:rsid w:val="00EA733D"/>
    <w:rsid w:val="00EA7D94"/>
    <w:rsid w:val="00EB0249"/>
    <w:rsid w:val="00EB070E"/>
    <w:rsid w:val="00EB1AF6"/>
    <w:rsid w:val="00EB223E"/>
    <w:rsid w:val="00EB2FF3"/>
    <w:rsid w:val="00EB463E"/>
    <w:rsid w:val="00EB4783"/>
    <w:rsid w:val="00EB4AB6"/>
    <w:rsid w:val="00EB594C"/>
    <w:rsid w:val="00EB5E77"/>
    <w:rsid w:val="00EB684B"/>
    <w:rsid w:val="00EB769C"/>
    <w:rsid w:val="00EB7EE3"/>
    <w:rsid w:val="00EC0719"/>
    <w:rsid w:val="00EC0999"/>
    <w:rsid w:val="00EC0B43"/>
    <w:rsid w:val="00EC1056"/>
    <w:rsid w:val="00EC1BE2"/>
    <w:rsid w:val="00EC2342"/>
    <w:rsid w:val="00EC352E"/>
    <w:rsid w:val="00EC3758"/>
    <w:rsid w:val="00EC3D69"/>
    <w:rsid w:val="00EC4155"/>
    <w:rsid w:val="00EC48FD"/>
    <w:rsid w:val="00EC4BB5"/>
    <w:rsid w:val="00EC4FFF"/>
    <w:rsid w:val="00EC56E7"/>
    <w:rsid w:val="00EC5710"/>
    <w:rsid w:val="00EC5E5B"/>
    <w:rsid w:val="00EC689D"/>
    <w:rsid w:val="00EC69F8"/>
    <w:rsid w:val="00EC6DE5"/>
    <w:rsid w:val="00EC7B92"/>
    <w:rsid w:val="00ED0AEC"/>
    <w:rsid w:val="00ED0F50"/>
    <w:rsid w:val="00ED161A"/>
    <w:rsid w:val="00ED1722"/>
    <w:rsid w:val="00ED17DF"/>
    <w:rsid w:val="00ED1E42"/>
    <w:rsid w:val="00ED22C2"/>
    <w:rsid w:val="00ED2A69"/>
    <w:rsid w:val="00ED31BC"/>
    <w:rsid w:val="00ED323B"/>
    <w:rsid w:val="00ED33C3"/>
    <w:rsid w:val="00ED34A3"/>
    <w:rsid w:val="00ED5149"/>
    <w:rsid w:val="00ED56BA"/>
    <w:rsid w:val="00ED71A9"/>
    <w:rsid w:val="00ED77AE"/>
    <w:rsid w:val="00ED7880"/>
    <w:rsid w:val="00ED7D22"/>
    <w:rsid w:val="00ED7EE6"/>
    <w:rsid w:val="00EE161A"/>
    <w:rsid w:val="00EE2CD9"/>
    <w:rsid w:val="00EE34F3"/>
    <w:rsid w:val="00EE41B5"/>
    <w:rsid w:val="00EE44AE"/>
    <w:rsid w:val="00EE4AFA"/>
    <w:rsid w:val="00EE54EA"/>
    <w:rsid w:val="00EE5637"/>
    <w:rsid w:val="00EE5844"/>
    <w:rsid w:val="00EE681A"/>
    <w:rsid w:val="00EE6863"/>
    <w:rsid w:val="00EE696C"/>
    <w:rsid w:val="00EE70DB"/>
    <w:rsid w:val="00EE7760"/>
    <w:rsid w:val="00EE7880"/>
    <w:rsid w:val="00EE7CA5"/>
    <w:rsid w:val="00EE7CC2"/>
    <w:rsid w:val="00EF1E17"/>
    <w:rsid w:val="00EF264C"/>
    <w:rsid w:val="00EF2C66"/>
    <w:rsid w:val="00EF35D2"/>
    <w:rsid w:val="00EF3F4D"/>
    <w:rsid w:val="00EF4F77"/>
    <w:rsid w:val="00EF6888"/>
    <w:rsid w:val="00EF6B6E"/>
    <w:rsid w:val="00EF6CBE"/>
    <w:rsid w:val="00EF7D4E"/>
    <w:rsid w:val="00F00154"/>
    <w:rsid w:val="00F006AB"/>
    <w:rsid w:val="00F00ACC"/>
    <w:rsid w:val="00F00CC0"/>
    <w:rsid w:val="00F012B2"/>
    <w:rsid w:val="00F0169D"/>
    <w:rsid w:val="00F01776"/>
    <w:rsid w:val="00F026B0"/>
    <w:rsid w:val="00F02ADC"/>
    <w:rsid w:val="00F03295"/>
    <w:rsid w:val="00F04852"/>
    <w:rsid w:val="00F04CC3"/>
    <w:rsid w:val="00F06202"/>
    <w:rsid w:val="00F062FA"/>
    <w:rsid w:val="00F06557"/>
    <w:rsid w:val="00F07965"/>
    <w:rsid w:val="00F1068C"/>
    <w:rsid w:val="00F109FB"/>
    <w:rsid w:val="00F111DE"/>
    <w:rsid w:val="00F11752"/>
    <w:rsid w:val="00F127FC"/>
    <w:rsid w:val="00F132C2"/>
    <w:rsid w:val="00F1361F"/>
    <w:rsid w:val="00F13AEF"/>
    <w:rsid w:val="00F13E8C"/>
    <w:rsid w:val="00F14225"/>
    <w:rsid w:val="00F142B8"/>
    <w:rsid w:val="00F152E5"/>
    <w:rsid w:val="00F15496"/>
    <w:rsid w:val="00F16B83"/>
    <w:rsid w:val="00F17A6C"/>
    <w:rsid w:val="00F2070F"/>
    <w:rsid w:val="00F20BF0"/>
    <w:rsid w:val="00F21812"/>
    <w:rsid w:val="00F21821"/>
    <w:rsid w:val="00F21F25"/>
    <w:rsid w:val="00F2256A"/>
    <w:rsid w:val="00F22636"/>
    <w:rsid w:val="00F2298A"/>
    <w:rsid w:val="00F22D4E"/>
    <w:rsid w:val="00F235A0"/>
    <w:rsid w:val="00F23D9E"/>
    <w:rsid w:val="00F23FC7"/>
    <w:rsid w:val="00F242C9"/>
    <w:rsid w:val="00F246CB"/>
    <w:rsid w:val="00F25E22"/>
    <w:rsid w:val="00F268DC"/>
    <w:rsid w:val="00F26B04"/>
    <w:rsid w:val="00F27380"/>
    <w:rsid w:val="00F27694"/>
    <w:rsid w:val="00F276AB"/>
    <w:rsid w:val="00F276F1"/>
    <w:rsid w:val="00F27D27"/>
    <w:rsid w:val="00F3036A"/>
    <w:rsid w:val="00F304C0"/>
    <w:rsid w:val="00F3054C"/>
    <w:rsid w:val="00F307D0"/>
    <w:rsid w:val="00F316A8"/>
    <w:rsid w:val="00F320A5"/>
    <w:rsid w:val="00F334E0"/>
    <w:rsid w:val="00F335DE"/>
    <w:rsid w:val="00F33AF7"/>
    <w:rsid w:val="00F33C3A"/>
    <w:rsid w:val="00F33C5D"/>
    <w:rsid w:val="00F34137"/>
    <w:rsid w:val="00F35066"/>
    <w:rsid w:val="00F35190"/>
    <w:rsid w:val="00F35E1C"/>
    <w:rsid w:val="00F35F0A"/>
    <w:rsid w:val="00F36750"/>
    <w:rsid w:val="00F36CAF"/>
    <w:rsid w:val="00F36CF0"/>
    <w:rsid w:val="00F37283"/>
    <w:rsid w:val="00F37328"/>
    <w:rsid w:val="00F3769A"/>
    <w:rsid w:val="00F37B27"/>
    <w:rsid w:val="00F40418"/>
    <w:rsid w:val="00F40F5E"/>
    <w:rsid w:val="00F413B3"/>
    <w:rsid w:val="00F41E64"/>
    <w:rsid w:val="00F41EA2"/>
    <w:rsid w:val="00F428A9"/>
    <w:rsid w:val="00F43512"/>
    <w:rsid w:val="00F44837"/>
    <w:rsid w:val="00F448E3"/>
    <w:rsid w:val="00F44ABE"/>
    <w:rsid w:val="00F452AC"/>
    <w:rsid w:val="00F453D3"/>
    <w:rsid w:val="00F45877"/>
    <w:rsid w:val="00F45FD8"/>
    <w:rsid w:val="00F46505"/>
    <w:rsid w:val="00F46586"/>
    <w:rsid w:val="00F465B0"/>
    <w:rsid w:val="00F46BF7"/>
    <w:rsid w:val="00F470D0"/>
    <w:rsid w:val="00F478D8"/>
    <w:rsid w:val="00F47C4A"/>
    <w:rsid w:val="00F501C9"/>
    <w:rsid w:val="00F503BE"/>
    <w:rsid w:val="00F50F0E"/>
    <w:rsid w:val="00F50FA1"/>
    <w:rsid w:val="00F52C00"/>
    <w:rsid w:val="00F52E46"/>
    <w:rsid w:val="00F532B9"/>
    <w:rsid w:val="00F54785"/>
    <w:rsid w:val="00F55429"/>
    <w:rsid w:val="00F555D3"/>
    <w:rsid w:val="00F55897"/>
    <w:rsid w:val="00F55978"/>
    <w:rsid w:val="00F57C05"/>
    <w:rsid w:val="00F602F6"/>
    <w:rsid w:val="00F6068C"/>
    <w:rsid w:val="00F6071E"/>
    <w:rsid w:val="00F60C29"/>
    <w:rsid w:val="00F60DBB"/>
    <w:rsid w:val="00F61258"/>
    <w:rsid w:val="00F61FE4"/>
    <w:rsid w:val="00F6277B"/>
    <w:rsid w:val="00F642AC"/>
    <w:rsid w:val="00F64776"/>
    <w:rsid w:val="00F6520F"/>
    <w:rsid w:val="00F656AA"/>
    <w:rsid w:val="00F65A38"/>
    <w:rsid w:val="00F6690E"/>
    <w:rsid w:val="00F70249"/>
    <w:rsid w:val="00F70789"/>
    <w:rsid w:val="00F70851"/>
    <w:rsid w:val="00F70C0E"/>
    <w:rsid w:val="00F7147B"/>
    <w:rsid w:val="00F7346A"/>
    <w:rsid w:val="00F73648"/>
    <w:rsid w:val="00F73ACC"/>
    <w:rsid w:val="00F73EA8"/>
    <w:rsid w:val="00F74738"/>
    <w:rsid w:val="00F74E91"/>
    <w:rsid w:val="00F7575D"/>
    <w:rsid w:val="00F76E76"/>
    <w:rsid w:val="00F776FA"/>
    <w:rsid w:val="00F77886"/>
    <w:rsid w:val="00F77B23"/>
    <w:rsid w:val="00F802B5"/>
    <w:rsid w:val="00F80D6F"/>
    <w:rsid w:val="00F80D78"/>
    <w:rsid w:val="00F81C9B"/>
    <w:rsid w:val="00F81F7A"/>
    <w:rsid w:val="00F82170"/>
    <w:rsid w:val="00F822E0"/>
    <w:rsid w:val="00F82947"/>
    <w:rsid w:val="00F850CF"/>
    <w:rsid w:val="00F85FD5"/>
    <w:rsid w:val="00F860B3"/>
    <w:rsid w:val="00F86BF7"/>
    <w:rsid w:val="00F87171"/>
    <w:rsid w:val="00F87575"/>
    <w:rsid w:val="00F8799E"/>
    <w:rsid w:val="00F90B97"/>
    <w:rsid w:val="00F91AB6"/>
    <w:rsid w:val="00F91BCB"/>
    <w:rsid w:val="00F91D85"/>
    <w:rsid w:val="00F92C3D"/>
    <w:rsid w:val="00F93943"/>
    <w:rsid w:val="00F9423E"/>
    <w:rsid w:val="00F9433C"/>
    <w:rsid w:val="00F94AC7"/>
    <w:rsid w:val="00F94CEA"/>
    <w:rsid w:val="00F95B4A"/>
    <w:rsid w:val="00F95C22"/>
    <w:rsid w:val="00F9612C"/>
    <w:rsid w:val="00F966C6"/>
    <w:rsid w:val="00F967AA"/>
    <w:rsid w:val="00F9698B"/>
    <w:rsid w:val="00F96DEE"/>
    <w:rsid w:val="00F970C9"/>
    <w:rsid w:val="00F97322"/>
    <w:rsid w:val="00FA015A"/>
    <w:rsid w:val="00FA0315"/>
    <w:rsid w:val="00FA03DE"/>
    <w:rsid w:val="00FA0DAC"/>
    <w:rsid w:val="00FA1AC7"/>
    <w:rsid w:val="00FA25EB"/>
    <w:rsid w:val="00FA2949"/>
    <w:rsid w:val="00FA2B81"/>
    <w:rsid w:val="00FA381A"/>
    <w:rsid w:val="00FA501B"/>
    <w:rsid w:val="00FA57EC"/>
    <w:rsid w:val="00FA64D5"/>
    <w:rsid w:val="00FA6823"/>
    <w:rsid w:val="00FA6ABD"/>
    <w:rsid w:val="00FA6B95"/>
    <w:rsid w:val="00FA76B3"/>
    <w:rsid w:val="00FA7AD2"/>
    <w:rsid w:val="00FB013C"/>
    <w:rsid w:val="00FB0755"/>
    <w:rsid w:val="00FB0865"/>
    <w:rsid w:val="00FB0963"/>
    <w:rsid w:val="00FB0DA8"/>
    <w:rsid w:val="00FB0FDC"/>
    <w:rsid w:val="00FB1EDE"/>
    <w:rsid w:val="00FB21C2"/>
    <w:rsid w:val="00FB2A18"/>
    <w:rsid w:val="00FB2AED"/>
    <w:rsid w:val="00FB2D19"/>
    <w:rsid w:val="00FB315A"/>
    <w:rsid w:val="00FB46DF"/>
    <w:rsid w:val="00FB4912"/>
    <w:rsid w:val="00FB4A7C"/>
    <w:rsid w:val="00FB4C7D"/>
    <w:rsid w:val="00FB51B2"/>
    <w:rsid w:val="00FB52D0"/>
    <w:rsid w:val="00FB532C"/>
    <w:rsid w:val="00FB581E"/>
    <w:rsid w:val="00FB7415"/>
    <w:rsid w:val="00FB7F18"/>
    <w:rsid w:val="00FC2068"/>
    <w:rsid w:val="00FC239B"/>
    <w:rsid w:val="00FC23A0"/>
    <w:rsid w:val="00FC390A"/>
    <w:rsid w:val="00FC3D43"/>
    <w:rsid w:val="00FC4124"/>
    <w:rsid w:val="00FC4903"/>
    <w:rsid w:val="00FC4B59"/>
    <w:rsid w:val="00FC4F35"/>
    <w:rsid w:val="00FC4FE6"/>
    <w:rsid w:val="00FC6BDE"/>
    <w:rsid w:val="00FC6EFC"/>
    <w:rsid w:val="00FC7183"/>
    <w:rsid w:val="00FC7524"/>
    <w:rsid w:val="00FC7EDD"/>
    <w:rsid w:val="00FD076A"/>
    <w:rsid w:val="00FD09DF"/>
    <w:rsid w:val="00FD0B7B"/>
    <w:rsid w:val="00FD0E71"/>
    <w:rsid w:val="00FD130F"/>
    <w:rsid w:val="00FD1D60"/>
    <w:rsid w:val="00FD2459"/>
    <w:rsid w:val="00FD24F1"/>
    <w:rsid w:val="00FD27E0"/>
    <w:rsid w:val="00FD2A5E"/>
    <w:rsid w:val="00FD2E5C"/>
    <w:rsid w:val="00FD334E"/>
    <w:rsid w:val="00FD614A"/>
    <w:rsid w:val="00FD6254"/>
    <w:rsid w:val="00FD6B16"/>
    <w:rsid w:val="00FD6CC8"/>
    <w:rsid w:val="00FD7FAE"/>
    <w:rsid w:val="00FE03C3"/>
    <w:rsid w:val="00FE091B"/>
    <w:rsid w:val="00FE0F62"/>
    <w:rsid w:val="00FE1A92"/>
    <w:rsid w:val="00FE1EE6"/>
    <w:rsid w:val="00FE2F9E"/>
    <w:rsid w:val="00FE3336"/>
    <w:rsid w:val="00FE39DF"/>
    <w:rsid w:val="00FE4934"/>
    <w:rsid w:val="00FE4F45"/>
    <w:rsid w:val="00FE5048"/>
    <w:rsid w:val="00FE5EFE"/>
    <w:rsid w:val="00FE5FE0"/>
    <w:rsid w:val="00FE6774"/>
    <w:rsid w:val="00FE690D"/>
    <w:rsid w:val="00FE6DE8"/>
    <w:rsid w:val="00FE71D5"/>
    <w:rsid w:val="00FE7654"/>
    <w:rsid w:val="00FF064B"/>
    <w:rsid w:val="00FF1DE2"/>
    <w:rsid w:val="00FF270C"/>
    <w:rsid w:val="00FF2EDB"/>
    <w:rsid w:val="00FF3A26"/>
    <w:rsid w:val="00FF3ABC"/>
    <w:rsid w:val="00FF4C82"/>
    <w:rsid w:val="00FF5501"/>
    <w:rsid w:val="00FF6CB9"/>
    <w:rsid w:val="00FF71D6"/>
    <w:rsid w:val="00FF7381"/>
    <w:rsid w:val="00FF7E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590A"/>
  <w15:chartTrackingRefBased/>
  <w15:docId w15:val="{84B01AA9-CBC7-4CCC-9ED6-12ED35DA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21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44216"/>
    <w:pPr>
      <w:keepNext/>
      <w:keepLines/>
      <w:spacing w:after="0" w:line="480" w:lineRule="auto"/>
      <w:outlineLvl w:val="0"/>
    </w:pPr>
    <w:rPr>
      <w:rFonts w:asciiTheme="minorHAnsi" w:eastAsiaTheme="majorEastAsia" w:hAnsiTheme="minorHAnsi" w:cstheme="majorBidi"/>
      <w:b/>
      <w:b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216"/>
    <w:rPr>
      <w:rFonts w:eastAsiaTheme="majorEastAsia" w:cstheme="majorBidi"/>
      <w:b/>
      <w:bCs/>
      <w:lang w:val="en-AU"/>
    </w:rPr>
  </w:style>
  <w:style w:type="paragraph" w:styleId="ListParagraph">
    <w:name w:val="List Paragraph"/>
    <w:basedOn w:val="Normal"/>
    <w:link w:val="ListParagraphChar"/>
    <w:uiPriority w:val="34"/>
    <w:qFormat/>
    <w:rsid w:val="00C44216"/>
    <w:pPr>
      <w:ind w:left="720"/>
      <w:contextualSpacing/>
    </w:pPr>
  </w:style>
  <w:style w:type="character" w:styleId="CommentReference">
    <w:name w:val="annotation reference"/>
    <w:basedOn w:val="DefaultParagraphFont"/>
    <w:uiPriority w:val="99"/>
    <w:semiHidden/>
    <w:unhideWhenUsed/>
    <w:rsid w:val="00C44216"/>
    <w:rPr>
      <w:sz w:val="16"/>
      <w:szCs w:val="16"/>
    </w:rPr>
  </w:style>
  <w:style w:type="paragraph" w:styleId="CommentText">
    <w:name w:val="annotation text"/>
    <w:basedOn w:val="Normal"/>
    <w:link w:val="CommentTextChar"/>
    <w:uiPriority w:val="99"/>
    <w:unhideWhenUsed/>
    <w:rsid w:val="00C44216"/>
    <w:pPr>
      <w:spacing w:line="240" w:lineRule="auto"/>
    </w:pPr>
    <w:rPr>
      <w:sz w:val="20"/>
      <w:szCs w:val="20"/>
    </w:rPr>
  </w:style>
  <w:style w:type="character" w:customStyle="1" w:styleId="CommentTextChar">
    <w:name w:val="Comment Text Char"/>
    <w:basedOn w:val="DefaultParagraphFont"/>
    <w:link w:val="CommentText"/>
    <w:uiPriority w:val="99"/>
    <w:rsid w:val="00C442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4216"/>
    <w:rPr>
      <w:b/>
      <w:bCs/>
    </w:rPr>
  </w:style>
  <w:style w:type="character" w:customStyle="1" w:styleId="CommentSubjectChar">
    <w:name w:val="Comment Subject Char"/>
    <w:basedOn w:val="CommentTextChar"/>
    <w:link w:val="CommentSubject"/>
    <w:uiPriority w:val="99"/>
    <w:semiHidden/>
    <w:rsid w:val="00C44216"/>
    <w:rPr>
      <w:rFonts w:ascii="Times New Roman" w:hAnsi="Times New Roman"/>
      <w:b/>
      <w:bCs/>
      <w:sz w:val="20"/>
      <w:szCs w:val="20"/>
    </w:rPr>
  </w:style>
  <w:style w:type="paragraph" w:styleId="BalloonText">
    <w:name w:val="Balloon Text"/>
    <w:basedOn w:val="Normal"/>
    <w:link w:val="BalloonTextChar"/>
    <w:uiPriority w:val="99"/>
    <w:semiHidden/>
    <w:unhideWhenUsed/>
    <w:rsid w:val="00C4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16"/>
    <w:rPr>
      <w:rFonts w:ascii="Segoe UI" w:hAnsi="Segoe UI" w:cs="Segoe UI"/>
      <w:sz w:val="18"/>
      <w:szCs w:val="18"/>
    </w:rPr>
  </w:style>
  <w:style w:type="paragraph" w:customStyle="1" w:styleId="EndNoteBibliographyTitle">
    <w:name w:val="EndNote Bibliography Title"/>
    <w:basedOn w:val="Normal"/>
    <w:link w:val="EndNoteBibliographyTitleChar"/>
    <w:rsid w:val="00C4421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4421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4421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44216"/>
    <w:rPr>
      <w:rFonts w:ascii="Times New Roman" w:hAnsi="Times New Roman" w:cs="Times New Roman"/>
      <w:noProof/>
      <w:sz w:val="24"/>
      <w:lang w:val="en-US"/>
    </w:rPr>
  </w:style>
  <w:style w:type="table" w:customStyle="1" w:styleId="TableGrid1">
    <w:name w:val="Table Grid1"/>
    <w:basedOn w:val="TableNormal"/>
    <w:next w:val="TableGrid"/>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4216"/>
    <w:pPr>
      <w:spacing w:before="100" w:beforeAutospacing="1" w:after="100" w:afterAutospacing="1" w:line="240" w:lineRule="auto"/>
      <w:jc w:val="left"/>
    </w:pPr>
    <w:rPr>
      <w:rFonts w:eastAsiaTheme="minorEastAsia" w:cs="Times New Roman"/>
      <w:szCs w:val="24"/>
      <w:lang w:val="en-NZ" w:eastAsia="en-NZ"/>
    </w:rPr>
  </w:style>
  <w:style w:type="paragraph" w:styleId="Footer">
    <w:name w:val="footer"/>
    <w:basedOn w:val="Normal"/>
    <w:link w:val="FooterChar"/>
    <w:uiPriority w:val="99"/>
    <w:unhideWhenUsed/>
    <w:rsid w:val="00C44216"/>
    <w:pPr>
      <w:tabs>
        <w:tab w:val="center" w:pos="4513"/>
        <w:tab w:val="right" w:pos="9026"/>
      </w:tabs>
      <w:spacing w:after="0" w:line="240" w:lineRule="auto"/>
      <w:jc w:val="left"/>
    </w:pPr>
    <w:rPr>
      <w:rFonts w:asciiTheme="minorHAnsi" w:eastAsiaTheme="minorEastAsia" w:hAnsiTheme="minorHAnsi"/>
      <w:sz w:val="22"/>
      <w:lang w:val="en-AU" w:eastAsia="zh-CN"/>
    </w:rPr>
  </w:style>
  <w:style w:type="character" w:customStyle="1" w:styleId="FooterChar">
    <w:name w:val="Footer Char"/>
    <w:basedOn w:val="DefaultParagraphFont"/>
    <w:link w:val="Footer"/>
    <w:uiPriority w:val="99"/>
    <w:rsid w:val="00C44216"/>
    <w:rPr>
      <w:rFonts w:eastAsiaTheme="minorEastAsia"/>
      <w:lang w:val="en-AU" w:eastAsia="zh-CN"/>
    </w:rPr>
  </w:style>
  <w:style w:type="paragraph" w:styleId="Header">
    <w:name w:val="header"/>
    <w:basedOn w:val="Normal"/>
    <w:link w:val="HeaderChar"/>
    <w:uiPriority w:val="99"/>
    <w:unhideWhenUsed/>
    <w:rsid w:val="00C4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216"/>
    <w:rPr>
      <w:rFonts w:ascii="Times New Roman" w:hAnsi="Times New Roman"/>
      <w:sz w:val="24"/>
    </w:rPr>
  </w:style>
  <w:style w:type="paragraph" w:styleId="Revision">
    <w:name w:val="Revision"/>
    <w:hidden/>
    <w:uiPriority w:val="99"/>
    <w:semiHidden/>
    <w:rsid w:val="00C44216"/>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AB6272"/>
    <w:rPr>
      <w:rFonts w:ascii="Times New Roman" w:hAnsi="Times New Roman"/>
      <w:sz w:val="24"/>
    </w:rPr>
  </w:style>
  <w:style w:type="character" w:styleId="Hyperlink">
    <w:name w:val="Hyperlink"/>
    <w:basedOn w:val="DefaultParagraphFont"/>
    <w:uiPriority w:val="99"/>
    <w:semiHidden/>
    <w:unhideWhenUsed/>
    <w:rsid w:val="00762EE5"/>
    <w:rPr>
      <w:color w:val="0000FF"/>
      <w:u w:val="single"/>
    </w:rPr>
  </w:style>
  <w:style w:type="character" w:styleId="FollowedHyperlink">
    <w:name w:val="FollowedHyperlink"/>
    <w:basedOn w:val="DefaultParagraphFont"/>
    <w:uiPriority w:val="99"/>
    <w:semiHidden/>
    <w:unhideWhenUsed/>
    <w:rsid w:val="003B1B22"/>
    <w:rPr>
      <w:color w:val="954F72" w:themeColor="followedHyperlink"/>
      <w:u w:val="single"/>
    </w:rPr>
  </w:style>
  <w:style w:type="paragraph" w:styleId="Caption">
    <w:name w:val="caption"/>
    <w:basedOn w:val="Normal"/>
    <w:next w:val="Normal"/>
    <w:uiPriority w:val="35"/>
    <w:unhideWhenUsed/>
    <w:qFormat/>
    <w:rsid w:val="008E3793"/>
    <w:pPr>
      <w:spacing w:after="200" w:line="240" w:lineRule="auto"/>
    </w:pPr>
    <w:rPr>
      <w:i/>
      <w:iCs/>
      <w:color w:val="44546A" w:themeColor="text2"/>
      <w:sz w:val="18"/>
      <w:szCs w:val="18"/>
    </w:rPr>
  </w:style>
  <w:style w:type="table" w:styleId="PlainTable2">
    <w:name w:val="Plain Table 2"/>
    <w:basedOn w:val="TableNormal"/>
    <w:uiPriority w:val="42"/>
    <w:rsid w:val="00386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4D107A"/>
    <w:rPr>
      <w:i/>
      <w:iCs/>
    </w:rPr>
  </w:style>
  <w:style w:type="character" w:customStyle="1" w:styleId="personname">
    <w:name w:val="person_name"/>
    <w:basedOn w:val="DefaultParagraphFont"/>
    <w:rsid w:val="00B617B4"/>
  </w:style>
  <w:style w:type="character" w:customStyle="1" w:styleId="expandable-author">
    <w:name w:val="expandable-author"/>
    <w:basedOn w:val="DefaultParagraphFont"/>
    <w:rsid w:val="00B617B4"/>
  </w:style>
  <w:style w:type="character" w:customStyle="1" w:styleId="contribdegrees">
    <w:name w:val="contribdegrees"/>
    <w:basedOn w:val="DefaultParagraphFont"/>
    <w:rsid w:val="00B617B4"/>
  </w:style>
  <w:style w:type="paragraph" w:styleId="PlainText">
    <w:name w:val="Plain Text"/>
    <w:basedOn w:val="Normal"/>
    <w:link w:val="PlainTextChar"/>
    <w:uiPriority w:val="99"/>
    <w:semiHidden/>
    <w:unhideWhenUsed/>
    <w:rsid w:val="006A3CF0"/>
    <w:pPr>
      <w:spacing w:after="0" w:line="240" w:lineRule="auto"/>
      <w:jc w:val="left"/>
    </w:pPr>
    <w:rPr>
      <w:rFonts w:ascii="Calibri" w:hAnsi="Calibri"/>
      <w:sz w:val="22"/>
      <w:szCs w:val="21"/>
      <w:lang w:val="en-NZ"/>
    </w:rPr>
  </w:style>
  <w:style w:type="character" w:customStyle="1" w:styleId="PlainTextChar">
    <w:name w:val="Plain Text Char"/>
    <w:basedOn w:val="DefaultParagraphFont"/>
    <w:link w:val="PlainText"/>
    <w:uiPriority w:val="99"/>
    <w:semiHidden/>
    <w:rsid w:val="006A3CF0"/>
    <w:rPr>
      <w:rFonts w:ascii="Calibri" w:hAnsi="Calibri"/>
      <w:szCs w:val="21"/>
      <w:lang w:val="en-NZ"/>
    </w:rPr>
  </w:style>
  <w:style w:type="table" w:customStyle="1" w:styleId="PlainTable21">
    <w:name w:val="Plain Table 21"/>
    <w:basedOn w:val="TableNormal"/>
    <w:next w:val="PlainTable2"/>
    <w:uiPriority w:val="42"/>
    <w:rsid w:val="00D011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83">
      <w:bodyDiv w:val="1"/>
      <w:marLeft w:val="0"/>
      <w:marRight w:val="0"/>
      <w:marTop w:val="0"/>
      <w:marBottom w:val="0"/>
      <w:divBdr>
        <w:top w:val="none" w:sz="0" w:space="0" w:color="auto"/>
        <w:left w:val="none" w:sz="0" w:space="0" w:color="auto"/>
        <w:bottom w:val="none" w:sz="0" w:space="0" w:color="auto"/>
        <w:right w:val="none" w:sz="0" w:space="0" w:color="auto"/>
      </w:divBdr>
    </w:div>
    <w:div w:id="47533565">
      <w:bodyDiv w:val="1"/>
      <w:marLeft w:val="0"/>
      <w:marRight w:val="0"/>
      <w:marTop w:val="0"/>
      <w:marBottom w:val="0"/>
      <w:divBdr>
        <w:top w:val="none" w:sz="0" w:space="0" w:color="auto"/>
        <w:left w:val="none" w:sz="0" w:space="0" w:color="auto"/>
        <w:bottom w:val="none" w:sz="0" w:space="0" w:color="auto"/>
        <w:right w:val="none" w:sz="0" w:space="0" w:color="auto"/>
      </w:divBdr>
    </w:div>
    <w:div w:id="248737401">
      <w:bodyDiv w:val="1"/>
      <w:marLeft w:val="0"/>
      <w:marRight w:val="0"/>
      <w:marTop w:val="0"/>
      <w:marBottom w:val="0"/>
      <w:divBdr>
        <w:top w:val="none" w:sz="0" w:space="0" w:color="auto"/>
        <w:left w:val="none" w:sz="0" w:space="0" w:color="auto"/>
        <w:bottom w:val="none" w:sz="0" w:space="0" w:color="auto"/>
        <w:right w:val="none" w:sz="0" w:space="0" w:color="auto"/>
      </w:divBdr>
    </w:div>
    <w:div w:id="253637444">
      <w:bodyDiv w:val="1"/>
      <w:marLeft w:val="0"/>
      <w:marRight w:val="0"/>
      <w:marTop w:val="0"/>
      <w:marBottom w:val="0"/>
      <w:divBdr>
        <w:top w:val="none" w:sz="0" w:space="0" w:color="auto"/>
        <w:left w:val="none" w:sz="0" w:space="0" w:color="auto"/>
        <w:bottom w:val="none" w:sz="0" w:space="0" w:color="auto"/>
        <w:right w:val="none" w:sz="0" w:space="0" w:color="auto"/>
      </w:divBdr>
    </w:div>
    <w:div w:id="442844031">
      <w:bodyDiv w:val="1"/>
      <w:marLeft w:val="0"/>
      <w:marRight w:val="0"/>
      <w:marTop w:val="0"/>
      <w:marBottom w:val="0"/>
      <w:divBdr>
        <w:top w:val="none" w:sz="0" w:space="0" w:color="auto"/>
        <w:left w:val="none" w:sz="0" w:space="0" w:color="auto"/>
        <w:bottom w:val="none" w:sz="0" w:space="0" w:color="auto"/>
        <w:right w:val="none" w:sz="0" w:space="0" w:color="auto"/>
      </w:divBdr>
    </w:div>
    <w:div w:id="446890800">
      <w:bodyDiv w:val="1"/>
      <w:marLeft w:val="0"/>
      <w:marRight w:val="0"/>
      <w:marTop w:val="0"/>
      <w:marBottom w:val="0"/>
      <w:divBdr>
        <w:top w:val="none" w:sz="0" w:space="0" w:color="auto"/>
        <w:left w:val="none" w:sz="0" w:space="0" w:color="auto"/>
        <w:bottom w:val="none" w:sz="0" w:space="0" w:color="auto"/>
        <w:right w:val="none" w:sz="0" w:space="0" w:color="auto"/>
      </w:divBdr>
    </w:div>
    <w:div w:id="468015056">
      <w:bodyDiv w:val="1"/>
      <w:marLeft w:val="0"/>
      <w:marRight w:val="0"/>
      <w:marTop w:val="0"/>
      <w:marBottom w:val="0"/>
      <w:divBdr>
        <w:top w:val="none" w:sz="0" w:space="0" w:color="auto"/>
        <w:left w:val="none" w:sz="0" w:space="0" w:color="auto"/>
        <w:bottom w:val="none" w:sz="0" w:space="0" w:color="auto"/>
        <w:right w:val="none" w:sz="0" w:space="0" w:color="auto"/>
      </w:divBdr>
    </w:div>
    <w:div w:id="697660919">
      <w:bodyDiv w:val="1"/>
      <w:marLeft w:val="0"/>
      <w:marRight w:val="0"/>
      <w:marTop w:val="0"/>
      <w:marBottom w:val="0"/>
      <w:divBdr>
        <w:top w:val="none" w:sz="0" w:space="0" w:color="auto"/>
        <w:left w:val="none" w:sz="0" w:space="0" w:color="auto"/>
        <w:bottom w:val="none" w:sz="0" w:space="0" w:color="auto"/>
        <w:right w:val="none" w:sz="0" w:space="0" w:color="auto"/>
      </w:divBdr>
    </w:div>
    <w:div w:id="701787280">
      <w:bodyDiv w:val="1"/>
      <w:marLeft w:val="0"/>
      <w:marRight w:val="0"/>
      <w:marTop w:val="0"/>
      <w:marBottom w:val="0"/>
      <w:divBdr>
        <w:top w:val="none" w:sz="0" w:space="0" w:color="auto"/>
        <w:left w:val="none" w:sz="0" w:space="0" w:color="auto"/>
        <w:bottom w:val="none" w:sz="0" w:space="0" w:color="auto"/>
        <w:right w:val="none" w:sz="0" w:space="0" w:color="auto"/>
      </w:divBdr>
    </w:div>
    <w:div w:id="715007085">
      <w:bodyDiv w:val="1"/>
      <w:marLeft w:val="0"/>
      <w:marRight w:val="0"/>
      <w:marTop w:val="0"/>
      <w:marBottom w:val="0"/>
      <w:divBdr>
        <w:top w:val="none" w:sz="0" w:space="0" w:color="auto"/>
        <w:left w:val="none" w:sz="0" w:space="0" w:color="auto"/>
        <w:bottom w:val="none" w:sz="0" w:space="0" w:color="auto"/>
        <w:right w:val="none" w:sz="0" w:space="0" w:color="auto"/>
      </w:divBdr>
    </w:div>
    <w:div w:id="761608608">
      <w:bodyDiv w:val="1"/>
      <w:marLeft w:val="0"/>
      <w:marRight w:val="0"/>
      <w:marTop w:val="0"/>
      <w:marBottom w:val="0"/>
      <w:divBdr>
        <w:top w:val="none" w:sz="0" w:space="0" w:color="auto"/>
        <w:left w:val="none" w:sz="0" w:space="0" w:color="auto"/>
        <w:bottom w:val="none" w:sz="0" w:space="0" w:color="auto"/>
        <w:right w:val="none" w:sz="0" w:space="0" w:color="auto"/>
      </w:divBdr>
    </w:div>
    <w:div w:id="948586063">
      <w:bodyDiv w:val="1"/>
      <w:marLeft w:val="0"/>
      <w:marRight w:val="0"/>
      <w:marTop w:val="0"/>
      <w:marBottom w:val="0"/>
      <w:divBdr>
        <w:top w:val="none" w:sz="0" w:space="0" w:color="auto"/>
        <w:left w:val="none" w:sz="0" w:space="0" w:color="auto"/>
        <w:bottom w:val="none" w:sz="0" w:space="0" w:color="auto"/>
        <w:right w:val="none" w:sz="0" w:space="0" w:color="auto"/>
      </w:divBdr>
    </w:div>
    <w:div w:id="1072317047">
      <w:bodyDiv w:val="1"/>
      <w:marLeft w:val="0"/>
      <w:marRight w:val="0"/>
      <w:marTop w:val="0"/>
      <w:marBottom w:val="0"/>
      <w:divBdr>
        <w:top w:val="none" w:sz="0" w:space="0" w:color="auto"/>
        <w:left w:val="none" w:sz="0" w:space="0" w:color="auto"/>
        <w:bottom w:val="none" w:sz="0" w:space="0" w:color="auto"/>
        <w:right w:val="none" w:sz="0" w:space="0" w:color="auto"/>
      </w:divBdr>
    </w:div>
    <w:div w:id="1124353452">
      <w:bodyDiv w:val="1"/>
      <w:marLeft w:val="0"/>
      <w:marRight w:val="0"/>
      <w:marTop w:val="0"/>
      <w:marBottom w:val="0"/>
      <w:divBdr>
        <w:top w:val="none" w:sz="0" w:space="0" w:color="auto"/>
        <w:left w:val="none" w:sz="0" w:space="0" w:color="auto"/>
        <w:bottom w:val="none" w:sz="0" w:space="0" w:color="auto"/>
        <w:right w:val="none" w:sz="0" w:space="0" w:color="auto"/>
      </w:divBdr>
    </w:div>
    <w:div w:id="1169247966">
      <w:bodyDiv w:val="1"/>
      <w:marLeft w:val="0"/>
      <w:marRight w:val="0"/>
      <w:marTop w:val="0"/>
      <w:marBottom w:val="0"/>
      <w:divBdr>
        <w:top w:val="none" w:sz="0" w:space="0" w:color="auto"/>
        <w:left w:val="none" w:sz="0" w:space="0" w:color="auto"/>
        <w:bottom w:val="none" w:sz="0" w:space="0" w:color="auto"/>
        <w:right w:val="none" w:sz="0" w:space="0" w:color="auto"/>
      </w:divBdr>
    </w:div>
    <w:div w:id="1256479032">
      <w:bodyDiv w:val="1"/>
      <w:marLeft w:val="0"/>
      <w:marRight w:val="0"/>
      <w:marTop w:val="0"/>
      <w:marBottom w:val="0"/>
      <w:divBdr>
        <w:top w:val="none" w:sz="0" w:space="0" w:color="auto"/>
        <w:left w:val="none" w:sz="0" w:space="0" w:color="auto"/>
        <w:bottom w:val="none" w:sz="0" w:space="0" w:color="auto"/>
        <w:right w:val="none" w:sz="0" w:space="0" w:color="auto"/>
      </w:divBdr>
    </w:div>
    <w:div w:id="1728410914">
      <w:bodyDiv w:val="1"/>
      <w:marLeft w:val="0"/>
      <w:marRight w:val="0"/>
      <w:marTop w:val="0"/>
      <w:marBottom w:val="0"/>
      <w:divBdr>
        <w:top w:val="none" w:sz="0" w:space="0" w:color="auto"/>
        <w:left w:val="none" w:sz="0" w:space="0" w:color="auto"/>
        <w:bottom w:val="none" w:sz="0" w:space="0" w:color="auto"/>
        <w:right w:val="none" w:sz="0" w:space="0" w:color="auto"/>
      </w:divBdr>
    </w:div>
    <w:div w:id="1737513547">
      <w:bodyDiv w:val="1"/>
      <w:marLeft w:val="0"/>
      <w:marRight w:val="0"/>
      <w:marTop w:val="0"/>
      <w:marBottom w:val="0"/>
      <w:divBdr>
        <w:top w:val="none" w:sz="0" w:space="0" w:color="auto"/>
        <w:left w:val="none" w:sz="0" w:space="0" w:color="auto"/>
        <w:bottom w:val="none" w:sz="0" w:space="0" w:color="auto"/>
        <w:right w:val="none" w:sz="0" w:space="0" w:color="auto"/>
      </w:divBdr>
    </w:div>
    <w:div w:id="1750808873">
      <w:bodyDiv w:val="1"/>
      <w:marLeft w:val="0"/>
      <w:marRight w:val="0"/>
      <w:marTop w:val="0"/>
      <w:marBottom w:val="0"/>
      <w:divBdr>
        <w:top w:val="none" w:sz="0" w:space="0" w:color="auto"/>
        <w:left w:val="none" w:sz="0" w:space="0" w:color="auto"/>
        <w:bottom w:val="none" w:sz="0" w:space="0" w:color="auto"/>
        <w:right w:val="none" w:sz="0" w:space="0" w:color="auto"/>
      </w:divBdr>
    </w:div>
    <w:div w:id="1759598278">
      <w:bodyDiv w:val="1"/>
      <w:marLeft w:val="0"/>
      <w:marRight w:val="0"/>
      <w:marTop w:val="0"/>
      <w:marBottom w:val="0"/>
      <w:divBdr>
        <w:top w:val="none" w:sz="0" w:space="0" w:color="auto"/>
        <w:left w:val="none" w:sz="0" w:space="0" w:color="auto"/>
        <w:bottom w:val="none" w:sz="0" w:space="0" w:color="auto"/>
        <w:right w:val="none" w:sz="0" w:space="0" w:color="auto"/>
      </w:divBdr>
    </w:div>
    <w:div w:id="1778283311">
      <w:bodyDiv w:val="1"/>
      <w:marLeft w:val="0"/>
      <w:marRight w:val="0"/>
      <w:marTop w:val="0"/>
      <w:marBottom w:val="0"/>
      <w:divBdr>
        <w:top w:val="none" w:sz="0" w:space="0" w:color="auto"/>
        <w:left w:val="none" w:sz="0" w:space="0" w:color="auto"/>
        <w:bottom w:val="none" w:sz="0" w:space="0" w:color="auto"/>
        <w:right w:val="none" w:sz="0" w:space="0" w:color="auto"/>
      </w:divBdr>
    </w:div>
    <w:div w:id="1815489363">
      <w:bodyDiv w:val="1"/>
      <w:marLeft w:val="0"/>
      <w:marRight w:val="0"/>
      <w:marTop w:val="0"/>
      <w:marBottom w:val="0"/>
      <w:divBdr>
        <w:top w:val="none" w:sz="0" w:space="0" w:color="auto"/>
        <w:left w:val="none" w:sz="0" w:space="0" w:color="auto"/>
        <w:bottom w:val="none" w:sz="0" w:space="0" w:color="auto"/>
        <w:right w:val="none" w:sz="0" w:space="0" w:color="auto"/>
      </w:divBdr>
    </w:div>
    <w:div w:id="1899196729">
      <w:bodyDiv w:val="1"/>
      <w:marLeft w:val="0"/>
      <w:marRight w:val="0"/>
      <w:marTop w:val="0"/>
      <w:marBottom w:val="0"/>
      <w:divBdr>
        <w:top w:val="none" w:sz="0" w:space="0" w:color="auto"/>
        <w:left w:val="none" w:sz="0" w:space="0" w:color="auto"/>
        <w:bottom w:val="none" w:sz="0" w:space="0" w:color="auto"/>
        <w:right w:val="none" w:sz="0" w:space="0" w:color="auto"/>
      </w:divBdr>
    </w:div>
    <w:div w:id="1905800819">
      <w:bodyDiv w:val="1"/>
      <w:marLeft w:val="0"/>
      <w:marRight w:val="0"/>
      <w:marTop w:val="0"/>
      <w:marBottom w:val="0"/>
      <w:divBdr>
        <w:top w:val="none" w:sz="0" w:space="0" w:color="auto"/>
        <w:left w:val="none" w:sz="0" w:space="0" w:color="auto"/>
        <w:bottom w:val="none" w:sz="0" w:space="0" w:color="auto"/>
        <w:right w:val="none" w:sz="0" w:space="0" w:color="auto"/>
      </w:divBdr>
    </w:div>
    <w:div w:id="1930188833">
      <w:bodyDiv w:val="1"/>
      <w:marLeft w:val="0"/>
      <w:marRight w:val="0"/>
      <w:marTop w:val="0"/>
      <w:marBottom w:val="0"/>
      <w:divBdr>
        <w:top w:val="none" w:sz="0" w:space="0" w:color="auto"/>
        <w:left w:val="none" w:sz="0" w:space="0" w:color="auto"/>
        <w:bottom w:val="none" w:sz="0" w:space="0" w:color="auto"/>
        <w:right w:val="none" w:sz="0" w:space="0" w:color="auto"/>
      </w:divBdr>
    </w:div>
    <w:div w:id="1973361927">
      <w:bodyDiv w:val="1"/>
      <w:marLeft w:val="0"/>
      <w:marRight w:val="0"/>
      <w:marTop w:val="0"/>
      <w:marBottom w:val="0"/>
      <w:divBdr>
        <w:top w:val="none" w:sz="0" w:space="0" w:color="auto"/>
        <w:left w:val="none" w:sz="0" w:space="0" w:color="auto"/>
        <w:bottom w:val="none" w:sz="0" w:space="0" w:color="auto"/>
        <w:right w:val="none" w:sz="0" w:space="0" w:color="auto"/>
      </w:divBdr>
    </w:div>
    <w:div w:id="1990938912">
      <w:bodyDiv w:val="1"/>
      <w:marLeft w:val="0"/>
      <w:marRight w:val="0"/>
      <w:marTop w:val="0"/>
      <w:marBottom w:val="0"/>
      <w:divBdr>
        <w:top w:val="none" w:sz="0" w:space="0" w:color="auto"/>
        <w:left w:val="none" w:sz="0" w:space="0" w:color="auto"/>
        <w:bottom w:val="none" w:sz="0" w:space="0" w:color="auto"/>
        <w:right w:val="none" w:sz="0" w:space="0" w:color="auto"/>
      </w:divBdr>
    </w:div>
    <w:div w:id="20402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65EC-13B4-4428-B38C-29384B8A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12365</Words>
  <Characters>70483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Treasa</dc:creator>
  <cp:keywords/>
  <dc:description/>
  <cp:lastModifiedBy>Kearney, Treasa</cp:lastModifiedBy>
  <cp:revision>2</cp:revision>
  <cp:lastPrinted>2020-04-17T04:01:00Z</cp:lastPrinted>
  <dcterms:created xsi:type="dcterms:W3CDTF">2021-04-20T08:50:00Z</dcterms:created>
  <dcterms:modified xsi:type="dcterms:W3CDTF">2021-04-20T08:50:00Z</dcterms:modified>
</cp:coreProperties>
</file>