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F106" w14:textId="77777777" w:rsidR="00435981" w:rsidRPr="00CA462B" w:rsidRDefault="00435981" w:rsidP="00435981">
      <w:pPr>
        <w:spacing w:after="0" w:line="240" w:lineRule="auto"/>
        <w:contextualSpacing/>
        <w:jc w:val="center"/>
        <w:rPr>
          <w:rFonts w:ascii="Calibri" w:eastAsiaTheme="minorHAnsi" w:hAnsi="Calibri" w:cs="Calibri"/>
          <w:lang w:eastAsia="en-GB"/>
        </w:rPr>
      </w:pPr>
      <w:bookmarkStart w:id="0" w:name="_GoBack"/>
      <w:bookmarkEnd w:id="0"/>
      <w:r w:rsidRPr="00CA462B">
        <w:rPr>
          <w:rFonts w:eastAsiaTheme="minorHAnsi" w:cstheme="minorHAnsi"/>
          <w:b/>
          <w:bCs/>
          <w:iCs/>
          <w:lang w:eastAsia="en-GB"/>
        </w:rPr>
        <w:t xml:space="preserve">Media representations </w:t>
      </w:r>
      <w:r w:rsidRPr="00CA462B">
        <w:rPr>
          <w:rFonts w:eastAsiaTheme="minorHAnsi" w:cstheme="minorHAnsi"/>
          <w:b/>
          <w:bCs/>
          <w:lang w:eastAsia="en-GB"/>
        </w:rPr>
        <w:t>of opposition to the ‘junk food advertising ban’ on the Transport for London (TfL) network: a thematic content analysis of UK news and trade press</w:t>
      </w:r>
    </w:p>
    <w:p w14:paraId="069034AC" w14:textId="77777777" w:rsidR="00435981" w:rsidRPr="00CA462B" w:rsidRDefault="00435981" w:rsidP="00435981">
      <w:pPr>
        <w:widowControl w:val="0"/>
        <w:autoSpaceDE w:val="0"/>
        <w:autoSpaceDN w:val="0"/>
        <w:adjustRightInd w:val="0"/>
        <w:spacing w:after="0" w:line="240" w:lineRule="auto"/>
        <w:contextualSpacing/>
        <w:rPr>
          <w:rFonts w:cstheme="minorHAnsi"/>
          <w:bCs/>
        </w:rPr>
      </w:pPr>
    </w:p>
    <w:p w14:paraId="65415484" w14:textId="77777777" w:rsidR="00435981" w:rsidRPr="00CA462B" w:rsidRDefault="00435981" w:rsidP="00435981">
      <w:pPr>
        <w:widowControl w:val="0"/>
        <w:autoSpaceDE w:val="0"/>
        <w:autoSpaceDN w:val="0"/>
        <w:adjustRightInd w:val="0"/>
        <w:spacing w:after="0" w:line="240" w:lineRule="auto"/>
        <w:contextualSpacing/>
        <w:rPr>
          <w:rFonts w:cstheme="minorHAnsi"/>
          <w:bCs/>
        </w:rPr>
      </w:pPr>
    </w:p>
    <w:p w14:paraId="16544856" w14:textId="77777777" w:rsidR="00435981" w:rsidRPr="00CA462B" w:rsidRDefault="00435981" w:rsidP="00435981">
      <w:pPr>
        <w:widowControl w:val="0"/>
        <w:autoSpaceDE w:val="0"/>
        <w:autoSpaceDN w:val="0"/>
        <w:adjustRightInd w:val="0"/>
        <w:spacing w:after="0" w:line="240" w:lineRule="auto"/>
        <w:contextualSpacing/>
        <w:rPr>
          <w:rFonts w:cstheme="minorHAnsi"/>
          <w:bCs/>
        </w:rPr>
      </w:pPr>
    </w:p>
    <w:p w14:paraId="3A67D2CD" w14:textId="77777777" w:rsidR="00435981" w:rsidRPr="00CA462B" w:rsidRDefault="00435981" w:rsidP="00435981">
      <w:pPr>
        <w:widowControl w:val="0"/>
        <w:autoSpaceDE w:val="0"/>
        <w:autoSpaceDN w:val="0"/>
        <w:adjustRightInd w:val="0"/>
        <w:spacing w:after="0" w:line="240" w:lineRule="auto"/>
        <w:contextualSpacing/>
        <w:rPr>
          <w:rFonts w:cstheme="minorHAnsi"/>
          <w:bCs/>
        </w:rPr>
      </w:pPr>
      <w:r w:rsidRPr="00CA462B">
        <w:rPr>
          <w:rFonts w:cstheme="minorHAnsi"/>
          <w:bCs/>
        </w:rPr>
        <w:t>Claire Thompson</w:t>
      </w:r>
      <w:r w:rsidRPr="00CA462B">
        <w:rPr>
          <w:rFonts w:ascii="Calibri" w:hAnsi="Calibri" w:cs="Arial"/>
          <w:vertAlign w:val="superscript"/>
        </w:rPr>
        <w:t>1</w:t>
      </w:r>
      <w:r w:rsidRPr="00CA462B">
        <w:rPr>
          <w:rFonts w:cstheme="minorHAnsi"/>
          <w:bCs/>
        </w:rPr>
        <w:t>, Christelle Clary</w:t>
      </w:r>
      <w:r w:rsidRPr="00CA462B">
        <w:rPr>
          <w:rFonts w:ascii="Calibri" w:hAnsi="Calibri" w:cs="Arial"/>
          <w:vertAlign w:val="superscript"/>
        </w:rPr>
        <w:t>2</w:t>
      </w:r>
      <w:r w:rsidRPr="00CA462B">
        <w:rPr>
          <w:rFonts w:cstheme="minorHAnsi"/>
          <w:bCs/>
        </w:rPr>
        <w:t>, Vanessa Er</w:t>
      </w:r>
      <w:r w:rsidRPr="00CA462B">
        <w:rPr>
          <w:rFonts w:ascii="Calibri" w:hAnsi="Calibri" w:cs="Arial"/>
          <w:vertAlign w:val="superscript"/>
        </w:rPr>
        <w:t>2</w:t>
      </w:r>
      <w:r w:rsidRPr="00CA462B">
        <w:rPr>
          <w:rFonts w:cstheme="minorHAnsi"/>
          <w:bCs/>
        </w:rPr>
        <w:t>, Jean Adams</w:t>
      </w:r>
      <w:r w:rsidRPr="00CA462B">
        <w:rPr>
          <w:rFonts w:ascii="Calibri" w:hAnsi="Calibri" w:cs="Arial"/>
          <w:vertAlign w:val="superscript"/>
        </w:rPr>
        <w:t>3</w:t>
      </w:r>
      <w:r w:rsidRPr="00CA462B">
        <w:rPr>
          <w:rFonts w:cstheme="minorHAnsi"/>
          <w:bCs/>
        </w:rPr>
        <w:t>, Emma Boyland</w:t>
      </w:r>
      <w:r w:rsidRPr="00CA462B">
        <w:rPr>
          <w:rFonts w:ascii="Calibri" w:hAnsi="Calibri" w:cs="Arial"/>
          <w:vertAlign w:val="superscript"/>
        </w:rPr>
        <w:t>4</w:t>
      </w:r>
      <w:r w:rsidRPr="00CA462B">
        <w:rPr>
          <w:rFonts w:cstheme="minorHAnsi"/>
          <w:bCs/>
        </w:rPr>
        <w:t>, Thomas Burgoine</w:t>
      </w:r>
      <w:r w:rsidRPr="00CA462B">
        <w:rPr>
          <w:rFonts w:ascii="Calibri" w:hAnsi="Calibri" w:cs="Arial"/>
          <w:vertAlign w:val="superscript"/>
        </w:rPr>
        <w:t>3</w:t>
      </w:r>
      <w:r w:rsidRPr="00CA462B">
        <w:rPr>
          <w:rFonts w:cstheme="minorHAnsi"/>
          <w:bCs/>
        </w:rPr>
        <w:t>, Laura Cornelsen</w:t>
      </w:r>
      <w:r w:rsidRPr="00CA462B">
        <w:rPr>
          <w:rFonts w:ascii="Calibri" w:hAnsi="Calibri" w:cs="Arial"/>
          <w:vertAlign w:val="superscript"/>
        </w:rPr>
        <w:t>2</w:t>
      </w:r>
      <w:r w:rsidRPr="00CA462B">
        <w:rPr>
          <w:rFonts w:cstheme="minorHAnsi"/>
          <w:bCs/>
        </w:rPr>
        <w:t>, Frank de Vocht</w:t>
      </w:r>
      <w:r w:rsidRPr="00CA462B">
        <w:rPr>
          <w:rFonts w:ascii="Calibri" w:hAnsi="Calibri" w:cs="Arial"/>
          <w:vertAlign w:val="superscript"/>
        </w:rPr>
        <w:t>5,6</w:t>
      </w:r>
      <w:r w:rsidRPr="00CA462B">
        <w:rPr>
          <w:rFonts w:cstheme="minorHAnsi"/>
          <w:bCs/>
        </w:rPr>
        <w:t>, Matt Egan</w:t>
      </w:r>
      <w:r w:rsidRPr="00CA462B">
        <w:rPr>
          <w:rFonts w:ascii="Calibri" w:hAnsi="Calibri" w:cs="Arial"/>
          <w:vertAlign w:val="superscript"/>
        </w:rPr>
        <w:t>7</w:t>
      </w:r>
      <w:r w:rsidRPr="00CA462B">
        <w:rPr>
          <w:rFonts w:cstheme="minorHAnsi"/>
          <w:bCs/>
        </w:rPr>
        <w:t>, Amelia A Lake</w:t>
      </w:r>
      <w:r w:rsidRPr="00CA462B">
        <w:rPr>
          <w:rFonts w:ascii="Calibri" w:hAnsi="Calibri" w:cs="Arial"/>
          <w:vertAlign w:val="superscript"/>
        </w:rPr>
        <w:t>8,9</w:t>
      </w:r>
      <w:r w:rsidRPr="00CA462B">
        <w:rPr>
          <w:rFonts w:cstheme="minorHAnsi"/>
          <w:bCs/>
        </w:rPr>
        <w:t>, Karen Lock</w:t>
      </w:r>
      <w:r w:rsidRPr="00CA462B">
        <w:rPr>
          <w:rFonts w:ascii="Calibri" w:hAnsi="Calibri" w:cs="Arial"/>
          <w:vertAlign w:val="superscript"/>
        </w:rPr>
        <w:t>10</w:t>
      </w:r>
      <w:r w:rsidRPr="00CA462B">
        <w:rPr>
          <w:rFonts w:cstheme="minorHAnsi"/>
          <w:bCs/>
        </w:rPr>
        <w:t>, Oliver Mytton</w:t>
      </w:r>
      <w:r w:rsidRPr="00CA462B">
        <w:rPr>
          <w:rFonts w:ascii="Calibri" w:hAnsi="Calibri" w:cs="Arial"/>
          <w:vertAlign w:val="superscript"/>
        </w:rPr>
        <w:t>3</w:t>
      </w:r>
      <w:r w:rsidRPr="00CA462B">
        <w:rPr>
          <w:rFonts w:cstheme="minorHAnsi"/>
          <w:bCs/>
        </w:rPr>
        <w:t>, Mark Petticrew</w:t>
      </w:r>
      <w:r w:rsidRPr="00CA462B">
        <w:rPr>
          <w:rFonts w:ascii="Calibri" w:hAnsi="Calibri" w:cs="Arial"/>
          <w:vertAlign w:val="superscript"/>
        </w:rPr>
        <w:t>7</w:t>
      </w:r>
      <w:r w:rsidRPr="00CA462B">
        <w:rPr>
          <w:rFonts w:cstheme="minorHAnsi"/>
          <w:bCs/>
        </w:rPr>
        <w:t>, Martin White</w:t>
      </w:r>
      <w:r w:rsidRPr="00CA462B">
        <w:rPr>
          <w:rFonts w:ascii="Calibri" w:hAnsi="Calibri" w:cs="Arial"/>
          <w:vertAlign w:val="superscript"/>
        </w:rPr>
        <w:t>3</w:t>
      </w:r>
      <w:r w:rsidRPr="00CA462B">
        <w:rPr>
          <w:rFonts w:cstheme="minorHAnsi"/>
          <w:bCs/>
        </w:rPr>
        <w:t>, Amy Yau</w:t>
      </w:r>
      <w:r w:rsidRPr="00CA462B">
        <w:rPr>
          <w:rFonts w:ascii="Calibri" w:hAnsi="Calibri" w:cs="Arial"/>
          <w:vertAlign w:val="superscript"/>
        </w:rPr>
        <w:t>2</w:t>
      </w:r>
      <w:r w:rsidRPr="00CA462B">
        <w:rPr>
          <w:rFonts w:cstheme="minorHAnsi"/>
          <w:bCs/>
        </w:rPr>
        <w:t>, Steven Cummins</w:t>
      </w:r>
      <w:r w:rsidRPr="00CA462B">
        <w:rPr>
          <w:rFonts w:ascii="Calibri" w:hAnsi="Calibri" w:cs="Arial"/>
          <w:vertAlign w:val="superscript"/>
        </w:rPr>
        <w:t>2</w:t>
      </w:r>
      <w:r w:rsidRPr="00CA462B">
        <w:rPr>
          <w:rFonts w:cstheme="minorHAnsi"/>
          <w:bCs/>
        </w:rPr>
        <w:t>.</w:t>
      </w:r>
    </w:p>
    <w:p w14:paraId="3C0EC7DB" w14:textId="77777777" w:rsidR="00435981" w:rsidRPr="00CA462B" w:rsidRDefault="00435981" w:rsidP="00435981">
      <w:pPr>
        <w:spacing w:after="0" w:line="240" w:lineRule="auto"/>
        <w:contextualSpacing/>
        <w:rPr>
          <w:rFonts w:ascii="Calibri" w:eastAsiaTheme="minorEastAsia" w:hAnsi="Calibri"/>
          <w:lang w:eastAsia="zh-CN"/>
        </w:rPr>
      </w:pPr>
    </w:p>
    <w:p w14:paraId="1E15FE0B" w14:textId="77777777" w:rsidR="00435981" w:rsidRPr="00CA462B" w:rsidRDefault="00435981" w:rsidP="00435981">
      <w:pPr>
        <w:spacing w:after="0" w:line="240" w:lineRule="auto"/>
        <w:contextualSpacing/>
        <w:rPr>
          <w:rFonts w:ascii="Calibri" w:eastAsiaTheme="minorEastAsia" w:hAnsi="Calibri"/>
          <w:lang w:eastAsia="zh-CN"/>
        </w:rPr>
      </w:pPr>
    </w:p>
    <w:p w14:paraId="4CBFAB89" w14:textId="77777777" w:rsidR="00435981" w:rsidRPr="00CA462B" w:rsidRDefault="00435981" w:rsidP="00435981">
      <w:pPr>
        <w:spacing w:after="0" w:line="240" w:lineRule="auto"/>
        <w:contextualSpacing/>
        <w:rPr>
          <w:rFonts w:ascii="Calibri" w:eastAsia="Times New Roman" w:hAnsi="Calibri" w:cs="Arial"/>
          <w:lang w:eastAsia="zh-CN"/>
        </w:rPr>
      </w:pPr>
      <w:r w:rsidRPr="00CA462B">
        <w:rPr>
          <w:rFonts w:ascii="Calibri" w:eastAsia="Times New Roman" w:hAnsi="Calibri" w:cs="Arial"/>
          <w:b/>
          <w:bCs/>
          <w:lang w:eastAsia="zh-CN"/>
        </w:rPr>
        <w:t>1</w:t>
      </w:r>
      <w:r w:rsidRPr="00CA462B">
        <w:rPr>
          <w:rFonts w:ascii="Calibri" w:eastAsia="Times New Roman" w:hAnsi="Calibri" w:cs="Arial"/>
          <w:lang w:eastAsia="zh-CN"/>
        </w:rPr>
        <w:t xml:space="preserve"> Centre for Research in Public Health and Community Care, School of Health and Social Work, University of Hertfordshire, Hatfield, United Kingdom </w:t>
      </w:r>
    </w:p>
    <w:p w14:paraId="702481CE" w14:textId="77777777" w:rsidR="00435981" w:rsidRPr="00CA462B" w:rsidRDefault="00435981" w:rsidP="00435981">
      <w:pPr>
        <w:spacing w:after="0" w:line="240" w:lineRule="auto"/>
        <w:contextualSpacing/>
        <w:rPr>
          <w:rFonts w:ascii="Calibri" w:eastAsia="Times New Roman" w:hAnsi="Calibri" w:cs="Arial"/>
          <w:lang w:eastAsia="zh-CN"/>
        </w:rPr>
      </w:pPr>
      <w:r w:rsidRPr="00CA462B">
        <w:rPr>
          <w:rFonts w:ascii="Calibri" w:eastAsia="Times New Roman" w:hAnsi="Calibri" w:cs="Arial"/>
          <w:b/>
          <w:bCs/>
          <w:lang w:eastAsia="zh-CN"/>
        </w:rPr>
        <w:t>2</w:t>
      </w:r>
      <w:r w:rsidRPr="00CA462B">
        <w:rPr>
          <w:rFonts w:ascii="Calibri" w:eastAsia="Times New Roman" w:hAnsi="Calibri" w:cs="Arial"/>
          <w:lang w:eastAsia="zh-CN"/>
        </w:rPr>
        <w:t xml:space="preserve"> Population Health Innovation Lab, Department of Public Health, Environments &amp; Society, Faculty of Public Health &amp; Policy, London School of Hygiene &amp; Tropical Medicine, London, United Kingdom</w:t>
      </w:r>
    </w:p>
    <w:p w14:paraId="4394B046" w14:textId="77777777" w:rsidR="00435981" w:rsidRPr="00CA462B" w:rsidRDefault="00435981" w:rsidP="00435981">
      <w:pPr>
        <w:spacing w:after="0" w:line="240" w:lineRule="auto"/>
        <w:contextualSpacing/>
        <w:rPr>
          <w:rFonts w:ascii="Calibri" w:eastAsia="Times New Roman" w:hAnsi="Calibri" w:cs="Arial"/>
          <w:lang w:eastAsia="zh-CN"/>
        </w:rPr>
      </w:pPr>
      <w:r w:rsidRPr="00CA462B">
        <w:rPr>
          <w:rFonts w:ascii="Calibri" w:eastAsia="Times New Roman" w:hAnsi="Calibri" w:cs="Arial"/>
          <w:b/>
          <w:bCs/>
          <w:lang w:eastAsia="zh-CN"/>
        </w:rPr>
        <w:t xml:space="preserve">3 </w:t>
      </w:r>
      <w:r w:rsidRPr="00CA462B">
        <w:rPr>
          <w:rFonts w:ascii="Calibri" w:eastAsia="Times New Roman" w:hAnsi="Calibri" w:cs="Arial"/>
          <w:lang w:eastAsia="zh-CN"/>
        </w:rPr>
        <w:t>Centre for Diet &amp; Activity Research, MRC Epidemiology Unit, University of Cambridge, Cambridge, United Kingdom</w:t>
      </w:r>
    </w:p>
    <w:p w14:paraId="3A3B51C2" w14:textId="77777777" w:rsidR="00435981" w:rsidRPr="00CA462B" w:rsidRDefault="00435981" w:rsidP="00435981">
      <w:pPr>
        <w:spacing w:after="0" w:line="240" w:lineRule="auto"/>
        <w:contextualSpacing/>
        <w:rPr>
          <w:rFonts w:ascii="Calibri" w:eastAsia="Times New Roman" w:hAnsi="Calibri" w:cs="Arial"/>
          <w:lang w:eastAsia="zh-CN"/>
        </w:rPr>
      </w:pPr>
      <w:r w:rsidRPr="00CA462B">
        <w:rPr>
          <w:rFonts w:ascii="Calibri" w:eastAsia="Times New Roman" w:hAnsi="Calibri" w:cs="Arial"/>
          <w:lang w:eastAsia="zh-CN"/>
        </w:rPr>
        <w:t xml:space="preserve">4 Department of Psychology, Institute of Population Health, University of Liverpool, Liverpool, United Kingdom  </w:t>
      </w:r>
    </w:p>
    <w:p w14:paraId="10BC61A3" w14:textId="77777777" w:rsidR="00435981" w:rsidRPr="00CA462B" w:rsidRDefault="00435981" w:rsidP="00435981">
      <w:pPr>
        <w:spacing w:after="0" w:line="240" w:lineRule="auto"/>
        <w:contextualSpacing/>
        <w:rPr>
          <w:rFonts w:ascii="Calibri" w:eastAsia="Times New Roman" w:hAnsi="Calibri" w:cs="Arial"/>
          <w:lang w:eastAsia="zh-CN"/>
        </w:rPr>
      </w:pPr>
      <w:r w:rsidRPr="00CA462B">
        <w:rPr>
          <w:rFonts w:ascii="Calibri" w:eastAsia="Times New Roman" w:hAnsi="Calibri" w:cs="Arial"/>
          <w:b/>
          <w:bCs/>
          <w:lang w:eastAsia="zh-CN"/>
        </w:rPr>
        <w:t>5</w:t>
      </w:r>
      <w:r w:rsidRPr="00CA462B">
        <w:rPr>
          <w:rFonts w:ascii="Calibri" w:eastAsia="Times New Roman" w:hAnsi="Calibri" w:cs="Arial"/>
          <w:lang w:eastAsia="zh-CN"/>
        </w:rPr>
        <w:t xml:space="preserve"> Population Health Sciences, Bristol Medical School, University of Bristol, United Kingdom </w:t>
      </w:r>
    </w:p>
    <w:p w14:paraId="25FA5BBF" w14:textId="77777777" w:rsidR="00435981" w:rsidRPr="00CA462B" w:rsidRDefault="00435981" w:rsidP="00435981">
      <w:pPr>
        <w:spacing w:after="0" w:line="240" w:lineRule="auto"/>
        <w:contextualSpacing/>
        <w:rPr>
          <w:rFonts w:ascii="Calibri" w:eastAsia="Times New Roman" w:hAnsi="Calibri" w:cs="Arial"/>
          <w:lang w:eastAsia="zh-CN"/>
        </w:rPr>
      </w:pPr>
      <w:r w:rsidRPr="00CA462B">
        <w:rPr>
          <w:rFonts w:ascii="Calibri" w:eastAsia="Times New Roman" w:hAnsi="Calibri" w:cs="Arial"/>
          <w:b/>
          <w:bCs/>
          <w:lang w:eastAsia="zh-CN"/>
        </w:rPr>
        <w:t>6</w:t>
      </w:r>
      <w:r w:rsidRPr="00CA462B">
        <w:rPr>
          <w:rFonts w:ascii="Calibri" w:eastAsia="Times New Roman" w:hAnsi="Calibri" w:cs="Arial"/>
          <w:lang w:eastAsia="zh-CN"/>
        </w:rPr>
        <w:t xml:space="preserve"> </w:t>
      </w:r>
      <w:r w:rsidRPr="00CA462B">
        <w:rPr>
          <w:rFonts w:ascii="Calibri" w:eastAsiaTheme="minorEastAsia" w:hAnsi="Calibri" w:cs="Times New Roman"/>
          <w:lang w:eastAsia="zh-CN"/>
        </w:rPr>
        <w:t xml:space="preserve">National Institute for Health Research Applied Research Collaboration West (NIHR ARC West), Bristol, United Kingdom </w:t>
      </w:r>
    </w:p>
    <w:p w14:paraId="109E6457" w14:textId="77777777" w:rsidR="00435981" w:rsidRPr="00CA462B" w:rsidRDefault="00435981" w:rsidP="00435981">
      <w:pPr>
        <w:spacing w:after="0" w:line="240" w:lineRule="auto"/>
        <w:contextualSpacing/>
        <w:rPr>
          <w:rFonts w:ascii="Calibri" w:eastAsia="Times New Roman" w:hAnsi="Calibri" w:cs="Arial"/>
          <w:lang w:eastAsia="zh-CN"/>
        </w:rPr>
      </w:pPr>
      <w:r w:rsidRPr="00CA462B">
        <w:rPr>
          <w:rFonts w:ascii="Calibri" w:eastAsia="Times New Roman" w:hAnsi="Calibri" w:cs="Arial"/>
          <w:b/>
          <w:bCs/>
          <w:lang w:eastAsia="zh-CN"/>
        </w:rPr>
        <w:t>7</w:t>
      </w:r>
      <w:r w:rsidRPr="00CA462B">
        <w:rPr>
          <w:rFonts w:ascii="Calibri" w:eastAsia="Times New Roman" w:hAnsi="Calibri" w:cs="Arial"/>
          <w:lang w:eastAsia="zh-CN"/>
        </w:rPr>
        <w:t xml:space="preserve"> Department of Public Health, Environments &amp; Society, Faculty of Public Health &amp; Policy, London School of Hygiene &amp; Tropical Medicine, London, United Kingdom</w:t>
      </w:r>
    </w:p>
    <w:p w14:paraId="277C08B1" w14:textId="77777777" w:rsidR="00435981" w:rsidRPr="00CA462B" w:rsidRDefault="00435981" w:rsidP="00435981">
      <w:pPr>
        <w:spacing w:after="0" w:line="240" w:lineRule="auto"/>
        <w:contextualSpacing/>
        <w:rPr>
          <w:rFonts w:ascii="Calibri" w:eastAsia="Times New Roman" w:hAnsi="Calibri" w:cs="Arial"/>
          <w:lang w:eastAsia="zh-CN"/>
        </w:rPr>
      </w:pPr>
      <w:r w:rsidRPr="00CA462B">
        <w:rPr>
          <w:rFonts w:ascii="Calibri" w:eastAsia="Times New Roman" w:hAnsi="Calibri" w:cs="Arial"/>
          <w:b/>
          <w:bCs/>
          <w:lang w:eastAsia="zh-CN"/>
        </w:rPr>
        <w:t>8</w:t>
      </w:r>
      <w:r w:rsidRPr="00CA462B">
        <w:rPr>
          <w:rFonts w:ascii="Calibri" w:eastAsia="Times New Roman" w:hAnsi="Calibri" w:cs="Arial"/>
          <w:lang w:eastAsia="zh-CN"/>
        </w:rPr>
        <w:t xml:space="preserve"> Centre for Public Health Research, School of Health and Life Sciences Teesside University, Middlesbrough, United Kingdom</w:t>
      </w:r>
    </w:p>
    <w:p w14:paraId="5C6632C9" w14:textId="77777777" w:rsidR="00435981" w:rsidRPr="00CA462B" w:rsidRDefault="00435981" w:rsidP="00435981">
      <w:pPr>
        <w:spacing w:after="0" w:line="240" w:lineRule="auto"/>
        <w:contextualSpacing/>
        <w:rPr>
          <w:rFonts w:ascii="Calibri" w:eastAsia="Times New Roman" w:hAnsi="Calibri" w:cs="Arial"/>
          <w:color w:val="000000" w:themeColor="text1"/>
          <w:lang w:eastAsia="zh-CN"/>
        </w:rPr>
      </w:pPr>
      <w:r w:rsidRPr="00CA462B">
        <w:rPr>
          <w:rFonts w:ascii="Calibri" w:eastAsiaTheme="minorEastAsia" w:hAnsi="Calibri" w:cs="Arial"/>
          <w:b/>
          <w:bCs/>
          <w:color w:val="000000" w:themeColor="text1"/>
          <w:shd w:val="clear" w:color="auto" w:fill="FFFFFF"/>
          <w:lang w:eastAsia="zh-CN"/>
        </w:rPr>
        <w:t>9</w:t>
      </w:r>
      <w:r w:rsidRPr="00CA462B">
        <w:rPr>
          <w:rFonts w:ascii="Calibri" w:eastAsiaTheme="minorEastAsia" w:hAnsi="Calibri" w:cs="Arial"/>
          <w:color w:val="000000" w:themeColor="text1"/>
          <w:shd w:val="clear" w:color="auto" w:fill="FFFFFF"/>
          <w:lang w:eastAsia="zh-CN"/>
        </w:rPr>
        <w:t xml:space="preserve"> Fuse, The Centre for Translational Research in Public Health, Newcastle upon Tyne, United Kingdom</w:t>
      </w:r>
    </w:p>
    <w:p w14:paraId="57B7239B" w14:textId="77777777" w:rsidR="00435981" w:rsidRPr="00CA462B" w:rsidRDefault="00435981" w:rsidP="00435981">
      <w:pPr>
        <w:spacing w:after="0" w:line="240" w:lineRule="auto"/>
        <w:contextualSpacing/>
        <w:rPr>
          <w:rFonts w:ascii="Calibri" w:eastAsia="Times New Roman" w:hAnsi="Calibri" w:cs="Arial"/>
          <w:lang w:eastAsia="zh-CN"/>
        </w:rPr>
      </w:pPr>
      <w:r w:rsidRPr="00CA462B">
        <w:rPr>
          <w:rFonts w:ascii="Calibri" w:eastAsia="Times New Roman" w:hAnsi="Calibri" w:cs="Arial"/>
          <w:b/>
          <w:bCs/>
          <w:lang w:eastAsia="zh-CN"/>
        </w:rPr>
        <w:t>10</w:t>
      </w:r>
      <w:r w:rsidRPr="00CA462B">
        <w:rPr>
          <w:rFonts w:ascii="Calibri" w:eastAsia="Times New Roman" w:hAnsi="Calibri" w:cs="Arial"/>
          <w:lang w:eastAsia="zh-CN"/>
        </w:rPr>
        <w:t xml:space="preserve"> Department of Health Services Research &amp; Policy, Faculty of Public Health &amp; Policy, London School of Hygiene &amp; Tropical Medicine, London, United Kingdom</w:t>
      </w:r>
    </w:p>
    <w:p w14:paraId="27DDE24D" w14:textId="77777777" w:rsidR="00435981" w:rsidRPr="00CA462B" w:rsidRDefault="00435981" w:rsidP="00435981">
      <w:pPr>
        <w:spacing w:after="0" w:line="240" w:lineRule="auto"/>
        <w:contextualSpacing/>
        <w:rPr>
          <w:rFonts w:ascii="Calibri" w:eastAsiaTheme="minorEastAsia" w:hAnsi="Calibri"/>
          <w:lang w:eastAsia="zh-CN"/>
        </w:rPr>
      </w:pPr>
    </w:p>
    <w:p w14:paraId="063F7A85" w14:textId="77777777" w:rsidR="00435981" w:rsidRPr="00CA462B" w:rsidRDefault="00435981" w:rsidP="00435981">
      <w:pPr>
        <w:spacing w:after="0" w:line="240" w:lineRule="auto"/>
        <w:contextualSpacing/>
        <w:rPr>
          <w:rFonts w:ascii="Calibri" w:eastAsiaTheme="minorEastAsia" w:hAnsi="Calibri"/>
          <w:lang w:eastAsia="zh-CN"/>
        </w:rPr>
      </w:pPr>
    </w:p>
    <w:p w14:paraId="4C4BEBED" w14:textId="77777777" w:rsidR="00435981" w:rsidRPr="00CA462B" w:rsidRDefault="00435981" w:rsidP="00435981">
      <w:pPr>
        <w:spacing w:after="0" w:line="240" w:lineRule="auto"/>
        <w:contextualSpacing/>
        <w:rPr>
          <w:rFonts w:ascii="Calibri" w:eastAsia="Times New Roman" w:hAnsi="Calibri" w:cs="Arial"/>
          <w:lang w:eastAsia="zh-CN"/>
        </w:rPr>
      </w:pPr>
      <w:r w:rsidRPr="00CA462B">
        <w:rPr>
          <w:rFonts w:eastAsiaTheme="minorEastAsia"/>
          <w:b/>
          <w:lang w:eastAsia="zh-CN"/>
        </w:rPr>
        <w:t>Corresponding author:</w:t>
      </w:r>
      <w:r w:rsidRPr="00CA462B">
        <w:rPr>
          <w:rFonts w:eastAsiaTheme="minorEastAsia"/>
          <w:lang w:eastAsia="zh-CN"/>
        </w:rPr>
        <w:t xml:space="preserve">  Claire Thompson.  </w:t>
      </w:r>
      <w:r w:rsidRPr="00CA462B">
        <w:rPr>
          <w:rFonts w:ascii="Calibri" w:eastAsia="Times New Roman" w:hAnsi="Calibri" w:cs="Arial"/>
          <w:lang w:eastAsia="zh-CN"/>
        </w:rPr>
        <w:t xml:space="preserve">Centre for Research in Public Health and Community Care, School of Health and Social Work, University of Hertfordshire, Hatfield, United Kingdom.  </w:t>
      </w:r>
      <w:hyperlink r:id="rId11" w:history="1">
        <w:r w:rsidRPr="00CA462B">
          <w:rPr>
            <w:rFonts w:ascii="Calibri" w:eastAsia="Times New Roman" w:hAnsi="Calibri" w:cs="Arial"/>
            <w:color w:val="0563C1" w:themeColor="hyperlink"/>
            <w:u w:val="single"/>
            <w:lang w:eastAsia="zh-CN"/>
          </w:rPr>
          <w:t>c.thompson25@herts.ac.uk</w:t>
        </w:r>
      </w:hyperlink>
    </w:p>
    <w:p w14:paraId="17A6B200" w14:textId="77777777" w:rsidR="00435981" w:rsidRPr="00CA462B" w:rsidRDefault="00435981" w:rsidP="00435981">
      <w:pPr>
        <w:spacing w:after="0" w:line="240" w:lineRule="auto"/>
        <w:rPr>
          <w:rFonts w:eastAsiaTheme="minorEastAsia"/>
          <w:lang w:eastAsia="zh-CN"/>
        </w:rPr>
      </w:pPr>
    </w:p>
    <w:tbl>
      <w:tblPr>
        <w:tblW w:w="0" w:type="auto"/>
        <w:tblCellSpacing w:w="6" w:type="dxa"/>
        <w:shd w:val="clear" w:color="auto" w:fill="FFFFFF"/>
        <w:tblCellMar>
          <w:left w:w="0" w:type="dxa"/>
          <w:right w:w="0" w:type="dxa"/>
        </w:tblCellMar>
        <w:tblLook w:val="04A0" w:firstRow="1" w:lastRow="0" w:firstColumn="1" w:lastColumn="0" w:noHBand="0" w:noVBand="1"/>
      </w:tblPr>
      <w:tblGrid>
        <w:gridCol w:w="9026"/>
      </w:tblGrid>
      <w:tr w:rsidR="00435981" w:rsidRPr="00CA462B" w14:paraId="2854AEC3" w14:textId="77777777" w:rsidTr="006F6FC3">
        <w:trPr>
          <w:tblCellSpacing w:w="6" w:type="dxa"/>
        </w:trPr>
        <w:tc>
          <w:tcPr>
            <w:tcW w:w="0" w:type="auto"/>
            <w:shd w:val="clear" w:color="auto" w:fill="FFFFFF"/>
            <w:vAlign w:val="center"/>
          </w:tcPr>
          <w:p w14:paraId="710767BD" w14:textId="77777777" w:rsidR="00435981" w:rsidRPr="00CA462B" w:rsidRDefault="00435981" w:rsidP="00435981">
            <w:pPr>
              <w:spacing w:after="240" w:line="240" w:lineRule="auto"/>
              <w:rPr>
                <w:rFonts w:eastAsia="Times New Roman" w:cstheme="minorHAnsi"/>
                <w:color w:val="222222"/>
                <w:lang w:eastAsia="en-GB"/>
              </w:rPr>
            </w:pPr>
          </w:p>
          <w:p w14:paraId="4423B146" w14:textId="77777777" w:rsidR="00435981" w:rsidRPr="00CA462B" w:rsidRDefault="00435981" w:rsidP="00435981">
            <w:pPr>
              <w:spacing w:after="240" w:line="240" w:lineRule="auto"/>
              <w:rPr>
                <w:rFonts w:ascii="Verdana" w:eastAsia="Times New Roman" w:hAnsi="Verdana" w:cs="Times New Roman"/>
                <w:color w:val="222222"/>
                <w:lang w:eastAsia="en-GB"/>
              </w:rPr>
            </w:pPr>
            <w:r w:rsidRPr="00CA462B">
              <w:rPr>
                <w:rFonts w:eastAsia="Times New Roman" w:cstheme="minorHAnsi"/>
                <w:color w:val="222222"/>
                <w:lang w:eastAsia="en-GB"/>
              </w:rPr>
              <w:t>The authors have no conflicts of interest to declare and full information on the funding of the study and for the authors is stated in the acknowledgements section.</w:t>
            </w:r>
          </w:p>
        </w:tc>
      </w:tr>
    </w:tbl>
    <w:p w14:paraId="015ECCBA" w14:textId="77777777" w:rsidR="00435981" w:rsidRPr="00CA462B" w:rsidRDefault="00435981" w:rsidP="004D0983">
      <w:pPr>
        <w:pStyle w:val="Normal1"/>
        <w:spacing w:line="360" w:lineRule="auto"/>
        <w:rPr>
          <w:rFonts w:asciiTheme="minorHAnsi" w:hAnsiTheme="minorHAnsi" w:cstheme="minorHAnsi"/>
          <w:b/>
          <w:bCs/>
          <w:iCs/>
        </w:rPr>
      </w:pPr>
    </w:p>
    <w:p w14:paraId="0563FDE3" w14:textId="77777777" w:rsidR="00435981" w:rsidRPr="00CA462B" w:rsidRDefault="00435981" w:rsidP="004D0983">
      <w:pPr>
        <w:pStyle w:val="Normal1"/>
        <w:spacing w:line="360" w:lineRule="auto"/>
        <w:rPr>
          <w:rFonts w:asciiTheme="minorHAnsi" w:hAnsiTheme="minorHAnsi" w:cstheme="minorHAnsi"/>
          <w:b/>
          <w:bCs/>
          <w:iCs/>
        </w:rPr>
      </w:pPr>
    </w:p>
    <w:p w14:paraId="337F767A" w14:textId="373FFEF1" w:rsidR="00435981" w:rsidRDefault="00435981" w:rsidP="004D0983">
      <w:pPr>
        <w:pStyle w:val="Normal1"/>
        <w:spacing w:line="360" w:lineRule="auto"/>
        <w:rPr>
          <w:rFonts w:asciiTheme="minorHAnsi" w:hAnsiTheme="minorHAnsi" w:cstheme="minorHAnsi"/>
          <w:b/>
          <w:bCs/>
          <w:iCs/>
        </w:rPr>
      </w:pPr>
    </w:p>
    <w:p w14:paraId="6F525131" w14:textId="77777777" w:rsidR="00CA462B" w:rsidRPr="00CA462B" w:rsidRDefault="00CA462B" w:rsidP="004D0983">
      <w:pPr>
        <w:pStyle w:val="Normal1"/>
        <w:spacing w:line="360" w:lineRule="auto"/>
        <w:rPr>
          <w:rFonts w:asciiTheme="minorHAnsi" w:hAnsiTheme="minorHAnsi" w:cstheme="minorHAnsi"/>
          <w:b/>
          <w:bCs/>
          <w:iCs/>
        </w:rPr>
      </w:pPr>
    </w:p>
    <w:p w14:paraId="0084B0CE" w14:textId="6678631E" w:rsidR="004D0983" w:rsidRDefault="004D0983" w:rsidP="004D0983">
      <w:pPr>
        <w:pStyle w:val="Normal1"/>
        <w:spacing w:line="360" w:lineRule="auto"/>
      </w:pPr>
      <w:r>
        <w:rPr>
          <w:rFonts w:asciiTheme="minorHAnsi" w:hAnsiTheme="minorHAnsi" w:cstheme="minorHAnsi"/>
          <w:b/>
          <w:bCs/>
          <w:iCs/>
        </w:rPr>
        <w:lastRenderedPageBreak/>
        <w:t xml:space="preserve">Media representations </w:t>
      </w:r>
      <w:r>
        <w:rPr>
          <w:rFonts w:asciiTheme="minorHAnsi" w:hAnsiTheme="minorHAnsi" w:cstheme="minorHAnsi"/>
          <w:b/>
          <w:bCs/>
        </w:rPr>
        <w:t>of opposition to the ‘junk food advertising ban’ on the Transport for London (TfL) network: a thematic content analysis of UK news and trade press</w:t>
      </w:r>
    </w:p>
    <w:p w14:paraId="32926EA1" w14:textId="54330938" w:rsidR="002406AC" w:rsidRDefault="002406AC" w:rsidP="00951D1A">
      <w:pPr>
        <w:rPr>
          <w:b/>
        </w:rPr>
      </w:pPr>
      <w:r w:rsidRPr="00F9642B">
        <w:rPr>
          <w:b/>
        </w:rPr>
        <w:t>Abstract</w:t>
      </w:r>
    </w:p>
    <w:p w14:paraId="4B8BDCAF" w14:textId="77777777" w:rsidR="003C2435" w:rsidRPr="00C36C39" w:rsidRDefault="003C2435" w:rsidP="003C2435">
      <w:pPr>
        <w:spacing w:after="0" w:line="360" w:lineRule="auto"/>
        <w:rPr>
          <w:rFonts w:cstheme="minorHAnsi"/>
        </w:rPr>
      </w:pPr>
      <w:r w:rsidRPr="00F9642B">
        <w:rPr>
          <w:b/>
        </w:rPr>
        <w:t xml:space="preserve">Background: </w:t>
      </w:r>
      <w:r w:rsidRPr="005B0501">
        <w:rPr>
          <w:bCs/>
        </w:rPr>
        <w:t xml:space="preserve">Advertising of less healthy foods and drinks </w:t>
      </w:r>
      <w:r>
        <w:rPr>
          <w:bCs/>
        </w:rPr>
        <w:t xml:space="preserve">is hypothesised to be associated with </w:t>
      </w:r>
      <w:r w:rsidRPr="00C36C39">
        <w:rPr>
          <w:bCs/>
        </w:rPr>
        <w:t>obesity in adults and children</w:t>
      </w:r>
      <w:r w:rsidRPr="00C36C39">
        <w:rPr>
          <w:rFonts w:cstheme="minorHAnsi"/>
        </w:rPr>
        <w:t>. In February 2019, Transport for London implemented restrictions on advertisements for foods and beverages high in fat, salt or sugar across its network as part of a city-wide strategy to tackle childhood obesity. The policy was extensively debated in the press</w:t>
      </w:r>
      <w:bookmarkStart w:id="1" w:name="_Hlk63524423"/>
      <w:r w:rsidRPr="00C36C39">
        <w:rPr>
          <w:rFonts w:cstheme="minorHAnsi"/>
        </w:rPr>
        <w:t>.  This paper identifies arguments for and against the restrictions.  Focusing on arguments against the restrictions, it then goes on to deconstruct the discursive strategies underpinning them.</w:t>
      </w:r>
    </w:p>
    <w:bookmarkEnd w:id="1"/>
    <w:p w14:paraId="4F9E14FE" w14:textId="77777777" w:rsidR="003C2435" w:rsidRPr="00C36C39" w:rsidRDefault="003C2435" w:rsidP="003C2435">
      <w:pPr>
        <w:spacing w:after="0" w:line="360" w:lineRule="auto"/>
        <w:rPr>
          <w:rFonts w:cstheme="minorHAnsi"/>
        </w:rPr>
      </w:pPr>
    </w:p>
    <w:p w14:paraId="7E9831EE" w14:textId="77777777" w:rsidR="003C2435" w:rsidRPr="00C36C39" w:rsidRDefault="003C2435" w:rsidP="003C2435">
      <w:pPr>
        <w:spacing w:after="0" w:line="360" w:lineRule="auto"/>
      </w:pPr>
      <w:r w:rsidRPr="00C36C39">
        <w:rPr>
          <w:b/>
        </w:rPr>
        <w:t xml:space="preserve">Methods: </w:t>
      </w:r>
      <w:r w:rsidRPr="00C36C39">
        <w:rPr>
          <w:rFonts w:cstheme="minorHAnsi"/>
        </w:rPr>
        <w:t xml:space="preserve">A qualitative thematic content analysis of media coverage of the restrictions (the ‘ban’) in UK newspapers and trade press was followed by a document analysis of arguments against the ban. </w:t>
      </w:r>
      <w:r w:rsidRPr="00C36C39">
        <w:t xml:space="preserve">A search </w:t>
      </w:r>
      <w:r w:rsidRPr="00C36C39">
        <w:rPr>
          <w:rFonts w:cstheme="minorHAnsi"/>
        </w:rPr>
        <w:t>period of 1</w:t>
      </w:r>
      <w:r w:rsidRPr="00C36C39">
        <w:rPr>
          <w:rFonts w:cstheme="minorHAnsi"/>
          <w:vertAlign w:val="superscript"/>
        </w:rPr>
        <w:t>st</w:t>
      </w:r>
      <w:r w:rsidRPr="00C36C39">
        <w:rPr>
          <w:rFonts w:cstheme="minorHAnsi"/>
        </w:rPr>
        <w:t xml:space="preserve"> March 2018 to 31</w:t>
      </w:r>
      <w:r w:rsidRPr="00C36C39">
        <w:rPr>
          <w:rFonts w:cstheme="minorHAnsi"/>
          <w:vertAlign w:val="superscript"/>
        </w:rPr>
        <w:t>st</w:t>
      </w:r>
      <w:r w:rsidRPr="00C36C39">
        <w:rPr>
          <w:rFonts w:cstheme="minorHAnsi"/>
        </w:rPr>
        <w:t xml:space="preserve"> May 2019 covered: (i) the launch of the public consultation on the ban in May 2018; (ii) the announcement of the ban in November 2018; and (iii) its implementation in February 2019. A systematic search of </w:t>
      </w:r>
      <w:r w:rsidRPr="00C36C39">
        <w:t>printed and online publications in English distributed in the UK or published on UK-specific websites</w:t>
      </w:r>
      <w:r w:rsidRPr="00C36C39">
        <w:rPr>
          <w:rFonts w:cstheme="minorHAnsi"/>
        </w:rPr>
        <w:t xml:space="preserve"> identified 152 articles.</w:t>
      </w:r>
    </w:p>
    <w:p w14:paraId="2FC0799D" w14:textId="77777777" w:rsidR="003C2435" w:rsidRPr="00C36C39" w:rsidRDefault="003C2435" w:rsidP="003C2435">
      <w:pPr>
        <w:spacing w:after="0" w:line="360" w:lineRule="auto"/>
        <w:rPr>
          <w:b/>
        </w:rPr>
      </w:pPr>
    </w:p>
    <w:p w14:paraId="06064325" w14:textId="77777777" w:rsidR="003C2435" w:rsidRPr="00C36C39" w:rsidRDefault="003C2435" w:rsidP="003C2435">
      <w:pPr>
        <w:spacing w:after="0" w:line="360" w:lineRule="auto"/>
        <w:rPr>
          <w:rFonts w:cstheme="minorHAnsi"/>
        </w:rPr>
      </w:pPr>
      <w:r w:rsidRPr="00C36C39">
        <w:rPr>
          <w:b/>
        </w:rPr>
        <w:t xml:space="preserve">Results:  </w:t>
      </w:r>
      <w:r w:rsidRPr="00C36C39">
        <w:t xml:space="preserve">Arguments in favour of the ban focused on inequalities and childhood obesity.  </w:t>
      </w:r>
      <w:r w:rsidRPr="00C36C39">
        <w:rPr>
          <w:rFonts w:cstheme="minorHAnsi"/>
        </w:rPr>
        <w:t xml:space="preserve">Arguments against the ban centred on two claims: that childhood obesity was not the ‘right’ priority; and that an advertising ban was not an effective way to address childhood obesity.  These claims were justified via three discursive approaches: (i) claiming more ‘important’ priorities for action; (ii) disputing the science behind the ban; (iii) emphasising potential financial </w:t>
      </w:r>
      <w:r w:rsidRPr="00C36C39">
        <w:rPr>
          <w:rFonts w:eastAsiaTheme="minorHAnsi" w:cstheme="minorHAnsi"/>
        </w:rPr>
        <w:t xml:space="preserve">costs </w:t>
      </w:r>
      <w:r w:rsidRPr="00C36C39">
        <w:rPr>
          <w:rFonts w:cstheme="minorHAnsi"/>
        </w:rPr>
        <w:t>of the ban.</w:t>
      </w:r>
    </w:p>
    <w:p w14:paraId="394AA461" w14:textId="77777777" w:rsidR="003C2435" w:rsidRPr="00C36C39" w:rsidRDefault="003C2435" w:rsidP="003C2435">
      <w:pPr>
        <w:spacing w:after="0" w:line="360" w:lineRule="auto"/>
        <w:rPr>
          <w:b/>
        </w:rPr>
      </w:pPr>
    </w:p>
    <w:p w14:paraId="7F90F114" w14:textId="77777777" w:rsidR="003C2435" w:rsidRPr="00F9642B" w:rsidRDefault="003C2435" w:rsidP="003C2435">
      <w:pPr>
        <w:spacing w:after="0" w:line="360" w:lineRule="auto"/>
        <w:rPr>
          <w:b/>
        </w:rPr>
      </w:pPr>
      <w:r w:rsidRPr="00C36C39">
        <w:rPr>
          <w:b/>
        </w:rPr>
        <w:t xml:space="preserve">Conclusion: </w:t>
      </w:r>
      <w:r w:rsidRPr="00C36C39">
        <w:rPr>
          <w:rFonts w:cstheme="minorHAnsi"/>
        </w:rPr>
        <w:t xml:space="preserve">The discursive tactics used in media sources to argue against the ban draw on frames widely used by unhealthy commodities industries in response to structural public health interventions. Our analyses highlight </w:t>
      </w:r>
      <w:bookmarkStart w:id="2" w:name="_Hlk54366114"/>
      <w:r w:rsidRPr="00C36C39">
        <w:rPr>
          <w:rFonts w:cstheme="minorHAnsi"/>
        </w:rPr>
        <w:t>the need for interventions to be framed in ways that can pre-emptively counter common</w:t>
      </w:r>
      <w:r w:rsidRPr="00F9642B">
        <w:rPr>
          <w:rFonts w:cstheme="minorHAnsi"/>
        </w:rPr>
        <w:t xml:space="preserve"> criticisms.</w:t>
      </w:r>
    </w:p>
    <w:bookmarkEnd w:id="2"/>
    <w:p w14:paraId="767D9648" w14:textId="77777777" w:rsidR="003C2435" w:rsidRDefault="003C2435" w:rsidP="003C2435">
      <w:pPr>
        <w:rPr>
          <w:b/>
        </w:rPr>
      </w:pPr>
    </w:p>
    <w:p w14:paraId="4AFB3879" w14:textId="77777777" w:rsidR="003C2435" w:rsidRPr="009778C3" w:rsidRDefault="003C2435" w:rsidP="003C2435">
      <w:pPr>
        <w:spacing w:line="360" w:lineRule="auto"/>
        <w:rPr>
          <w:color w:val="000000"/>
        </w:rPr>
      </w:pPr>
      <w:r w:rsidRPr="00F9642B">
        <w:rPr>
          <w:b/>
          <w:color w:val="000000"/>
        </w:rPr>
        <w:t>Key words:</w:t>
      </w:r>
      <w:r w:rsidRPr="00F9642B">
        <w:rPr>
          <w:color w:val="000000"/>
        </w:rPr>
        <w:t xml:space="preserve"> advertising; regulation; childhood obesity; media.</w:t>
      </w:r>
    </w:p>
    <w:p w14:paraId="56C438D5" w14:textId="0B81F811" w:rsidR="00641882" w:rsidRPr="009778C3" w:rsidRDefault="00641882" w:rsidP="009778C3">
      <w:pPr>
        <w:spacing w:line="360" w:lineRule="auto"/>
        <w:rPr>
          <w:color w:val="000000"/>
        </w:rPr>
      </w:pPr>
    </w:p>
    <w:p w14:paraId="7902A30A" w14:textId="77777777" w:rsidR="00FF668A" w:rsidRDefault="00FF668A" w:rsidP="00FC27DF">
      <w:pPr>
        <w:spacing w:after="0" w:line="360" w:lineRule="auto"/>
        <w:contextualSpacing/>
        <w:rPr>
          <w:b/>
        </w:rPr>
      </w:pPr>
    </w:p>
    <w:p w14:paraId="49F16ABB" w14:textId="77777777" w:rsidR="00FF668A" w:rsidRDefault="00FF668A" w:rsidP="00FC27DF">
      <w:pPr>
        <w:spacing w:after="0" w:line="360" w:lineRule="auto"/>
        <w:contextualSpacing/>
        <w:rPr>
          <w:b/>
        </w:rPr>
      </w:pPr>
    </w:p>
    <w:p w14:paraId="704A97F9" w14:textId="77777777" w:rsidR="00FF668A" w:rsidRDefault="00FF668A" w:rsidP="00FC27DF">
      <w:pPr>
        <w:spacing w:after="0" w:line="360" w:lineRule="auto"/>
        <w:contextualSpacing/>
        <w:rPr>
          <w:b/>
        </w:rPr>
      </w:pPr>
    </w:p>
    <w:p w14:paraId="08ADCB97" w14:textId="4EAD7ABE" w:rsidR="00D35EAE" w:rsidRDefault="00B71184" w:rsidP="00FC27DF">
      <w:pPr>
        <w:spacing w:after="0" w:line="360" w:lineRule="auto"/>
        <w:contextualSpacing/>
        <w:rPr>
          <w:b/>
        </w:rPr>
      </w:pPr>
      <w:r w:rsidRPr="00F9642B">
        <w:rPr>
          <w:b/>
        </w:rPr>
        <w:lastRenderedPageBreak/>
        <w:t xml:space="preserve">1. </w:t>
      </w:r>
      <w:r w:rsidR="0042004A" w:rsidRPr="00F9642B">
        <w:rPr>
          <w:b/>
        </w:rPr>
        <w:t>Introduction</w:t>
      </w:r>
    </w:p>
    <w:p w14:paraId="66908860" w14:textId="66CD76E0" w:rsidR="00D3091B" w:rsidRPr="00622DC0" w:rsidRDefault="00D3091B" w:rsidP="00FC27DF">
      <w:pPr>
        <w:spacing w:after="0" w:line="360" w:lineRule="auto"/>
        <w:contextualSpacing/>
        <w:rPr>
          <w:b/>
          <w:i/>
        </w:rPr>
      </w:pPr>
      <w:r w:rsidRPr="00622DC0">
        <w:rPr>
          <w:b/>
          <w:i/>
        </w:rPr>
        <w:t>1.1 D</w:t>
      </w:r>
      <w:r w:rsidR="00622DC0" w:rsidRPr="00622DC0">
        <w:rPr>
          <w:b/>
          <w:i/>
        </w:rPr>
        <w:t>iet, health and advertising</w:t>
      </w:r>
    </w:p>
    <w:p w14:paraId="0EDF8FC5" w14:textId="5C433ED3" w:rsidR="008E3903" w:rsidRDefault="00E4402B" w:rsidP="00FC27DF">
      <w:pPr>
        <w:spacing w:after="0" w:line="360" w:lineRule="auto"/>
        <w:contextualSpacing/>
      </w:pPr>
      <w:r w:rsidRPr="00F9642B">
        <w:t xml:space="preserve">Poor diet is a key modifiable determinant of childhood obesity </w:t>
      </w:r>
      <w:r w:rsidRPr="00F9642B">
        <w:fldChar w:fldCharType="begin"/>
      </w:r>
      <w:r w:rsidR="00C00B26">
        <w:instrText xml:space="preserve"> ADDIN EN.CITE &lt;EndNote&gt;&lt;Cite&gt;&lt;Author&gt;Jennings&lt;/Author&gt;&lt;Year&gt;2011&lt;/Year&gt;&lt;RecNum&gt;17&lt;/RecNum&gt;&lt;DisplayText&gt;(Jennings, Welch, van Sluijs, Griffin, &amp;amp; Cassidy, 2011)&lt;/DisplayText&gt;&lt;record&gt;&lt;rec-number&gt;17&lt;/rec-number&gt;&lt;foreign-keys&gt;&lt;key app="EN" db-id="wzprpxfe7t9fvgestwr5rrx7sv9vazf92ae5" timestamp="1572530568"&gt;17&lt;/key&gt;&lt;/foreign-keys&gt;&lt;ref-type name="Journal Article"&gt;17&lt;/ref-type&gt;&lt;contributors&gt;&lt;authors&gt;&lt;author&gt;Jennings, Amy&lt;/author&gt;&lt;author&gt;Welch, Ailsa&lt;/author&gt;&lt;author&gt;van Sluijs, Esther MF&lt;/author&gt;&lt;author&gt;Griffin, Simon J&lt;/author&gt;&lt;author&gt;Cassidy, Aedín&lt;/author&gt;&lt;/authors&gt;&lt;/contributors&gt;&lt;titles&gt;&lt;title&gt;Diet quality is independently associated with weight status in children aged 9–10 years&lt;/title&gt;&lt;secondary-title&gt;The Journal of nutrition&lt;/secondary-title&gt;&lt;/titles&gt;&lt;periodical&gt;&lt;full-title&gt;The Journal of nutrition&lt;/full-title&gt;&lt;/periodical&gt;&lt;pages&gt;453-459&lt;/pages&gt;&lt;volume&gt;141&lt;/volume&gt;&lt;number&gt;3&lt;/number&gt;&lt;dates&gt;&lt;year&gt;2011&lt;/year&gt;&lt;/dates&gt;&lt;isbn&gt;0022-3166&lt;/isbn&gt;&lt;urls&gt;&lt;/urls&gt;&lt;/record&gt;&lt;/Cite&gt;&lt;/EndNote&gt;</w:instrText>
      </w:r>
      <w:r w:rsidRPr="00F9642B">
        <w:fldChar w:fldCharType="separate"/>
      </w:r>
      <w:r w:rsidR="00C00B26">
        <w:rPr>
          <w:noProof/>
        </w:rPr>
        <w:t>(Jennings, Welch, van Sluijs, Griffin, &amp; Cassidy, 2011)</w:t>
      </w:r>
      <w:r w:rsidRPr="00F9642B">
        <w:fldChar w:fldCharType="end"/>
      </w:r>
      <w:r w:rsidRPr="00F9642B">
        <w:t xml:space="preserve">.  In the UK, children’s average intakes of free sugars and saturated fat exceed Government recommendations, </w:t>
      </w:r>
      <w:r w:rsidR="003403B7">
        <w:t xml:space="preserve">while </w:t>
      </w:r>
      <w:r w:rsidRPr="00F9642B">
        <w:t xml:space="preserve">consumption of fruits and vegetables is lower than recommended levels </w:t>
      </w:r>
      <w:r>
        <w:fldChar w:fldCharType="begin"/>
      </w:r>
      <w:r w:rsidR="00C00B26">
        <w:instrText xml:space="preserve"> ADDIN EN.CITE &lt;EndNote&gt;&lt;Cite&gt;&lt;Author&gt;Bates&lt;/Author&gt;&lt;Year&gt;2016&lt;/Year&gt;&lt;RecNum&gt;318&lt;/RecNum&gt;&lt;DisplayText&gt;(Bates et al., 2016)&lt;/DisplayText&gt;&lt;record&gt;&lt;rec-number&gt;318&lt;/rec-number&gt;&lt;foreign-keys&gt;&lt;key app="EN" db-id="wz0s5vxeow0299ew9xqvdsw7t0xf9w02z5wt" timestamp="1606141809"&gt;318&lt;/key&gt;&lt;/foreign-keys&gt;&lt;ref-type name="Report"&gt;27&lt;/ref-type&gt;&lt;contributors&gt;&lt;authors&gt;&lt;author&gt;Bates, B.C.L.&lt;/author&gt;&lt;author&gt;Nicholson, S.&lt;/author&gt;&lt;author&gt;Page, P.&lt;/author&gt;&lt;author&gt;Prentice, A.&lt;/author&gt;&lt;author&gt;Steer, T.&lt;/author&gt;&lt;author&gt;Swan, G.&lt;/author&gt;&lt;/authors&gt;&lt;/contributors&gt;&lt;titles&gt;&lt;title&gt;National Diet and Nutrition Survey Results from Years 5 and 6 (combined) of the Rolling Programme (2012/2013–2013/2014)&lt;/title&gt;&lt;/titles&gt;&lt;dates&gt;&lt;year&gt;2016&lt;/year&gt;&lt;/dates&gt;&lt;pub-location&gt;London&lt;/pub-location&gt;&lt;publisher&gt;Public Health England and Food Standards Agency&lt;/publisher&gt;&lt;urls&gt;&lt;/urls&gt;&lt;/record&gt;&lt;/Cite&gt;&lt;/EndNote&gt;</w:instrText>
      </w:r>
      <w:r>
        <w:fldChar w:fldCharType="separate"/>
      </w:r>
      <w:r w:rsidR="00C00B26">
        <w:rPr>
          <w:noProof/>
        </w:rPr>
        <w:t>(Bates et al., 2016)</w:t>
      </w:r>
      <w:r>
        <w:fldChar w:fldCharType="end"/>
      </w:r>
      <w:r>
        <w:t>. The latest figures show that</w:t>
      </w:r>
      <w:r w:rsidR="005B4513">
        <w:t xml:space="preserve"> in the UK</w:t>
      </w:r>
      <w:r>
        <w:t xml:space="preserve"> one in five </w:t>
      </w:r>
      <w:r w:rsidR="003403B7">
        <w:t xml:space="preserve">children </w:t>
      </w:r>
      <w:r w:rsidR="00BA4103" w:rsidRPr="00F9642B">
        <w:t>in year 6 (age 10-11</w:t>
      </w:r>
      <w:r w:rsidR="00DA4AA4" w:rsidRPr="00F9642B">
        <w:t xml:space="preserve"> years</w:t>
      </w:r>
      <w:r w:rsidR="00BA4103" w:rsidRPr="00F9642B">
        <w:t>)</w:t>
      </w:r>
      <w:r w:rsidR="00DD5E13" w:rsidRPr="00F9642B">
        <w:t xml:space="preserve"> </w:t>
      </w:r>
      <w:r w:rsidR="009460F2" w:rsidRPr="00F9642B">
        <w:t>are</w:t>
      </w:r>
      <w:r w:rsidR="008C281C">
        <w:t xml:space="preserve"> </w:t>
      </w:r>
      <w:r w:rsidR="005E291A">
        <w:t>obese</w:t>
      </w:r>
      <w:r w:rsidR="007E0C1A">
        <w:t xml:space="preserve"> </w:t>
      </w:r>
      <w:r w:rsidR="007E0C1A">
        <w:fldChar w:fldCharType="begin"/>
      </w:r>
      <w:r w:rsidR="00C00B26">
        <w:instrText xml:space="preserve"> ADDIN EN.CITE &lt;EndNote&gt;&lt;Cite&gt;&lt;Author&gt;NHS Digital&lt;/Author&gt;&lt;Year&gt;2020&lt;/Year&gt;&lt;RecNum&gt;317&lt;/RecNum&gt;&lt;DisplayText&gt;(NHS Digital, 2020)&lt;/DisplayText&gt;&lt;record&gt;&lt;rec-number&gt;317&lt;/rec-number&gt;&lt;foreign-keys&gt;&lt;key app="EN" db-id="wz0s5vxeow0299ew9xqvdsw7t0xf9w02z5wt" timestamp="1606138656"&gt;317&lt;/key&gt;&lt;/foreign-keys&gt;&lt;ref-type name="Web Page"&gt;12&lt;/ref-type&gt;&lt;contributors&gt;&lt;authors&gt;&lt;author&gt;NHS Digital,&lt;/author&gt;&lt;/authors&gt;&lt;/contributors&gt;&lt;titles&gt;&lt;title&gt;National Child Measurement Programme, England 2019/20 School Year&lt;/title&gt;&lt;/titles&gt;&lt;dates&gt;&lt;year&gt;2020&lt;/year&gt;&lt;/dates&gt;&lt;urls&gt;&lt;related-urls&gt;&lt;url&gt;https://digital.nhs.uk/data-and-information/publications/statistical/national-child-measurement-programme/2019-20-school-year&lt;/url&gt;&lt;/related-urls&gt;&lt;/urls&gt;&lt;/record&gt;&lt;/Cite&gt;&lt;/EndNote&gt;</w:instrText>
      </w:r>
      <w:r w:rsidR="007E0C1A">
        <w:fldChar w:fldCharType="separate"/>
      </w:r>
      <w:r w:rsidR="00C00B26">
        <w:rPr>
          <w:noProof/>
        </w:rPr>
        <w:t>(NHS Digital, 2020)</w:t>
      </w:r>
      <w:r w:rsidR="007E0C1A">
        <w:fldChar w:fldCharType="end"/>
      </w:r>
      <w:r w:rsidR="00CF1E90">
        <w:t xml:space="preserve">. </w:t>
      </w:r>
      <w:r w:rsidR="006C7BB0" w:rsidRPr="00F9642B">
        <w:t xml:space="preserve">Children living with overweight </w:t>
      </w:r>
      <w:r w:rsidR="00126313">
        <w:t>or</w:t>
      </w:r>
      <w:r w:rsidR="00126313" w:rsidRPr="00F9642B">
        <w:t xml:space="preserve"> </w:t>
      </w:r>
      <w:r w:rsidR="006C7BB0" w:rsidRPr="00F9642B">
        <w:t xml:space="preserve">obesity </w:t>
      </w:r>
      <w:r w:rsidR="000002E3" w:rsidRPr="00F9642B">
        <w:t xml:space="preserve">suffer physical and psychological ill health, </w:t>
      </w:r>
      <w:r w:rsidR="007713C4" w:rsidRPr="00F9642B">
        <w:t xml:space="preserve">are more likely to </w:t>
      </w:r>
      <w:r w:rsidR="006C7BB0" w:rsidRPr="00F9642B">
        <w:t xml:space="preserve">remain </w:t>
      </w:r>
      <w:r w:rsidR="007713C4" w:rsidRPr="00F9642B">
        <w:t xml:space="preserve">obese </w:t>
      </w:r>
      <w:r w:rsidR="006C7BB0" w:rsidRPr="00F9642B">
        <w:t xml:space="preserve">or overweight </w:t>
      </w:r>
      <w:r w:rsidR="007713C4" w:rsidRPr="00F9642B">
        <w:t>in adulthood</w:t>
      </w:r>
      <w:r w:rsidR="005F782B" w:rsidRPr="00F9642B">
        <w:t>,</w:t>
      </w:r>
      <w:r w:rsidR="00BA4103" w:rsidRPr="00F9642B">
        <w:t xml:space="preserve"> </w:t>
      </w:r>
      <w:r w:rsidR="007713C4" w:rsidRPr="00F9642B">
        <w:t xml:space="preserve">and develop </w:t>
      </w:r>
      <w:r w:rsidR="005F782B" w:rsidRPr="00F9642B">
        <w:t xml:space="preserve">chronic </w:t>
      </w:r>
      <w:r w:rsidR="007713C4" w:rsidRPr="00F9642B">
        <w:t>disease at a younger age</w:t>
      </w:r>
      <w:r w:rsidR="00236CCF" w:rsidRPr="00F9642B">
        <w:t xml:space="preserve"> </w:t>
      </w:r>
      <w:r w:rsidR="007713C4" w:rsidRPr="00F9642B">
        <w:fldChar w:fldCharType="begin"/>
      </w:r>
      <w:r w:rsidR="00C00B26">
        <w:instrText xml:space="preserve"> ADDIN EN.CITE &lt;EndNote&gt;&lt;Cite&gt;&lt;Author&gt;Sahoo&lt;/Author&gt;&lt;Year&gt;2015&lt;/Year&gt;&lt;RecNum&gt;290&lt;/RecNum&gt;&lt;DisplayText&gt;(Sahoo et al., 2015)&lt;/DisplayText&gt;&lt;record&gt;&lt;rec-number&gt;290&lt;/rec-number&gt;&lt;foreign-keys&gt;&lt;key app="EN" db-id="2xerwtez52p9x8ep05ip59fgspsews0w00ew" timestamp="1595347517"&gt;290&lt;/key&gt;&lt;/foreign-keys&gt;&lt;ref-type name="Journal Article"&gt;17&lt;/ref-type&gt;&lt;contributors&gt;&lt;authors&gt;&lt;author&gt;Sahoo, K.&lt;/author&gt;&lt;author&gt;Sahoo, B.&lt;/author&gt;&lt;author&gt;Kumar Choudhury, A.&lt;/author&gt;&lt;author&gt;Yasin Sofi, N.&lt;/author&gt;&lt;author&gt;Kumar, R.&lt;/author&gt;&lt;author&gt;Singh Bhadoria, A.&lt;/author&gt;&lt;/authors&gt;&lt;/contributors&gt;&lt;titles&gt;&lt;title&gt;Childhood obesity: causes and consequences&lt;/title&gt;&lt;secondary-title&gt;Journal of Family Medicine and Primary Care&lt;/secondary-title&gt;&lt;/titles&gt;&lt;periodical&gt;&lt;full-title&gt;Journal of Family Medicine and Primary Care&lt;/full-title&gt;&lt;/periodical&gt;&lt;pages&gt;187-192&lt;/pages&gt;&lt;volume&gt;4&lt;/volume&gt;&lt;number&gt;2&lt;/number&gt;&lt;dates&gt;&lt;year&gt;2015&lt;/year&gt;&lt;/dates&gt;&lt;urls&gt;&lt;/urls&gt;&lt;/record&gt;&lt;/Cite&gt;&lt;/EndNote&gt;</w:instrText>
      </w:r>
      <w:r w:rsidR="007713C4" w:rsidRPr="00F9642B">
        <w:fldChar w:fldCharType="separate"/>
      </w:r>
      <w:r w:rsidR="00C00B26">
        <w:rPr>
          <w:noProof/>
        </w:rPr>
        <w:t>(Sahoo et al., 2015)</w:t>
      </w:r>
      <w:r w:rsidR="007713C4" w:rsidRPr="00F9642B">
        <w:fldChar w:fldCharType="end"/>
      </w:r>
      <w:r w:rsidR="00BA5D1F">
        <w:t xml:space="preserve">.  </w:t>
      </w:r>
      <w:r w:rsidR="00BA4103" w:rsidRPr="00F9642B">
        <w:t xml:space="preserve"> </w:t>
      </w:r>
      <w:r w:rsidR="001720C7" w:rsidRPr="00F9642B">
        <w:t xml:space="preserve"> </w:t>
      </w:r>
    </w:p>
    <w:p w14:paraId="0E575E13" w14:textId="20C6DA76" w:rsidR="00BE315E" w:rsidRPr="009007DD" w:rsidRDefault="00F2455C" w:rsidP="00FC27DF">
      <w:pPr>
        <w:spacing w:after="0" w:line="360" w:lineRule="auto"/>
      </w:pPr>
      <w:r w:rsidRPr="00C93010">
        <w:rPr>
          <w:rFonts w:eastAsia="Times New Roman"/>
          <w:color w:val="C45911" w:themeColor="accent2" w:themeShade="BF"/>
        </w:rPr>
        <w:br/>
      </w:r>
      <w:r w:rsidR="005B4513" w:rsidRPr="00760B11">
        <w:rPr>
          <w:rFonts w:cstheme="minorHAnsi"/>
          <w:color w:val="212121"/>
          <w:shd w:val="clear" w:color="auto" w:fill="FFFFFF"/>
        </w:rPr>
        <w:t>Food advertising ha</w:t>
      </w:r>
      <w:r w:rsidR="00EB63A5">
        <w:rPr>
          <w:rFonts w:cstheme="minorHAnsi"/>
          <w:color w:val="212121"/>
          <w:shd w:val="clear" w:color="auto" w:fill="FFFFFF"/>
        </w:rPr>
        <w:t>s</w:t>
      </w:r>
      <w:r w:rsidR="005B4513" w:rsidRPr="00760B11">
        <w:rPr>
          <w:rFonts w:cstheme="minorHAnsi"/>
          <w:color w:val="212121"/>
          <w:shd w:val="clear" w:color="auto" w:fill="FFFFFF"/>
        </w:rPr>
        <w:t xml:space="preserve"> a direct effect on children's nutrition knowledge, preferences, consumption patterns and diet-related health. </w:t>
      </w:r>
      <w:r w:rsidR="00752D9C">
        <w:rPr>
          <w:rFonts w:cstheme="minorHAnsi"/>
          <w:color w:val="212121"/>
          <w:shd w:val="clear" w:color="auto" w:fill="FFFFFF"/>
        </w:rPr>
        <w:t xml:space="preserve"> </w:t>
      </w:r>
      <w:r w:rsidR="005B4513" w:rsidRPr="00760B11">
        <w:rPr>
          <w:rFonts w:cstheme="minorHAnsi"/>
          <w:color w:val="212121"/>
          <w:shd w:val="clear" w:color="auto" w:fill="FFFFFF"/>
        </w:rPr>
        <w:t xml:space="preserve">Advertising on television and </w:t>
      </w:r>
      <w:r w:rsidR="00126313">
        <w:rPr>
          <w:rFonts w:cstheme="minorHAnsi"/>
          <w:color w:val="212121"/>
          <w:shd w:val="clear" w:color="auto" w:fill="FFFFFF"/>
        </w:rPr>
        <w:t xml:space="preserve">other </w:t>
      </w:r>
      <w:r w:rsidR="005B4513" w:rsidRPr="00760B11">
        <w:rPr>
          <w:rFonts w:cstheme="minorHAnsi"/>
          <w:color w:val="212121"/>
          <w:shd w:val="clear" w:color="auto" w:fill="FFFFFF"/>
        </w:rPr>
        <w:t>marketing practices predominantly promote less healthy products</w:t>
      </w:r>
      <w:r w:rsidR="005B4513">
        <w:rPr>
          <w:rFonts w:cstheme="minorHAnsi"/>
          <w:color w:val="212121"/>
          <w:shd w:val="clear" w:color="auto" w:fill="FFFFFF"/>
        </w:rPr>
        <w:t xml:space="preserve"> </w:t>
      </w:r>
      <w:r w:rsidR="005B4513" w:rsidRPr="00760B11">
        <w:rPr>
          <w:rFonts w:cstheme="minorHAnsi"/>
        </w:rPr>
        <w:fldChar w:fldCharType="begin"/>
      </w:r>
      <w:r w:rsidR="00C00B26">
        <w:rPr>
          <w:rFonts w:cstheme="minorHAnsi"/>
        </w:rPr>
        <w:instrText xml:space="preserve"> ADDIN EN.CITE &lt;EndNote&gt;&lt;Cite&gt;&lt;Author&gt;Cairns&lt;/Author&gt;&lt;Year&gt;2013&lt;/Year&gt;&lt;RecNum&gt;336&lt;/RecNum&gt;&lt;DisplayText&gt;(Cairns, Angus, Hastings, &amp;amp; Caraher, 2013)&lt;/DisplayText&gt;&lt;record&gt;&lt;rec-number&gt;336&lt;/rec-number&gt;&lt;foreign-keys&gt;&lt;key app="EN" db-id="wz0s5vxeow0299ew9xqvdsw7t0xf9w02z5wt" timestamp="1606756834"&gt;336&lt;/key&gt;&lt;/foreign-keys&gt;&lt;ref-type name="Journal Article"&gt;17&lt;/ref-type&gt;&lt;contributors&gt;&lt;authors&gt;&lt;author&gt;Cairns, G.&lt;/author&gt;&lt;author&gt;Angus, K.&lt;/author&gt;&lt;author&gt;Hastings, G.&lt;/author&gt;&lt;author&gt;Caraher, M.&lt;/author&gt;&lt;/authors&gt;&lt;/contributors&gt;&lt;titles&gt;&lt;title&gt;Systematic reviews of the evidence on the nature, extent and effects of food marketing to children. A retrospective summary&lt;/title&gt;&lt;secondary-title&gt;Appetite&lt;/secondary-title&gt;&lt;/titles&gt;&lt;periodical&gt;&lt;full-title&gt;Appetite&lt;/full-title&gt;&lt;/periodical&gt;&lt;pages&gt;209-15&lt;/pages&gt;&lt;volume&gt;62&lt;/volume&gt;&lt;dates&gt;&lt;year&gt;2013&lt;/year&gt;&lt;/dates&gt;&lt;urls&gt;&lt;/urls&gt;&lt;/record&gt;&lt;/Cite&gt;&lt;/EndNote&gt;</w:instrText>
      </w:r>
      <w:r w:rsidR="005B4513" w:rsidRPr="00760B11">
        <w:rPr>
          <w:rFonts w:cstheme="minorHAnsi"/>
        </w:rPr>
        <w:fldChar w:fldCharType="separate"/>
      </w:r>
      <w:r w:rsidR="00C00B26">
        <w:rPr>
          <w:rFonts w:cstheme="minorHAnsi"/>
          <w:noProof/>
        </w:rPr>
        <w:t>(Cairns, Angus, Hastings, &amp; Caraher, 2013)</w:t>
      </w:r>
      <w:r w:rsidR="005B4513" w:rsidRPr="00760B11">
        <w:rPr>
          <w:rFonts w:cstheme="minorHAnsi"/>
        </w:rPr>
        <w:fldChar w:fldCharType="end"/>
      </w:r>
      <w:r w:rsidR="005B4513" w:rsidRPr="00760B11">
        <w:rPr>
          <w:rFonts w:cstheme="minorHAnsi"/>
        </w:rPr>
        <w:t>.</w:t>
      </w:r>
      <w:r w:rsidR="005B4513">
        <w:rPr>
          <w:rFonts w:cstheme="minorHAnsi"/>
        </w:rPr>
        <w:t xml:space="preserve"> </w:t>
      </w:r>
      <w:r w:rsidR="00EB63A5">
        <w:rPr>
          <w:rFonts w:cstheme="minorHAnsi"/>
        </w:rPr>
        <w:t xml:space="preserve"> </w:t>
      </w:r>
      <w:r w:rsidR="005B4513">
        <w:rPr>
          <w:rFonts w:cstheme="minorHAnsi"/>
        </w:rPr>
        <w:t>It has been shown that f</w:t>
      </w:r>
      <w:r w:rsidR="004B37A7">
        <w:rPr>
          <w:rFonts w:cstheme="minorHAnsi"/>
        </w:rPr>
        <w:t>or children aged 4-12 years, e</w:t>
      </w:r>
      <w:r w:rsidR="005934DC" w:rsidRPr="00ED7003">
        <w:rPr>
          <w:rFonts w:cstheme="minorHAnsi"/>
        </w:rPr>
        <w:t>xposure to advertising for high fat, salt and sugar (HFSS) foods and beverages</w:t>
      </w:r>
      <w:r w:rsidR="00BA4103" w:rsidRPr="00ED7003">
        <w:rPr>
          <w:rFonts w:cstheme="minorHAnsi"/>
        </w:rPr>
        <w:t xml:space="preserve"> </w:t>
      </w:r>
      <w:r w:rsidR="00FF524C" w:rsidRPr="00ED7003">
        <w:rPr>
          <w:rFonts w:cstheme="minorHAnsi"/>
        </w:rPr>
        <w:t xml:space="preserve">(hereafter referred to as ‘food’) </w:t>
      </w:r>
      <w:r w:rsidR="00AA10D1" w:rsidRPr="00ED7003">
        <w:rPr>
          <w:rFonts w:cstheme="minorHAnsi"/>
        </w:rPr>
        <w:t xml:space="preserve">is </w:t>
      </w:r>
      <w:r w:rsidR="00CA1DDC">
        <w:rPr>
          <w:rFonts w:cstheme="minorHAnsi"/>
        </w:rPr>
        <w:t xml:space="preserve">significantly related to consumption of advertised brands and </w:t>
      </w:r>
      <w:r w:rsidR="00824AAA">
        <w:rPr>
          <w:rFonts w:cstheme="minorHAnsi"/>
        </w:rPr>
        <w:t>energy-dense product categories more generally</w:t>
      </w:r>
      <w:r w:rsidR="001720C7" w:rsidRPr="00ED7003">
        <w:rPr>
          <w:rFonts w:cstheme="minorHAnsi"/>
        </w:rPr>
        <w:t xml:space="preserve"> </w:t>
      </w:r>
      <w:r w:rsidR="001720C7" w:rsidRPr="00ED7003">
        <w:rPr>
          <w:rFonts w:cstheme="minorHAnsi"/>
        </w:rPr>
        <w:fldChar w:fldCharType="begin"/>
      </w:r>
      <w:r w:rsidR="00C00B26">
        <w:rPr>
          <w:rFonts w:cstheme="minorHAnsi"/>
        </w:rPr>
        <w:instrText xml:space="preserve"> ADDIN EN.CITE &lt;EndNote&gt;&lt;Cite&gt;&lt;Author&gt;Buijzen&lt;/Author&gt;&lt;Year&gt;2008&lt;/Year&gt;&lt;RecNum&gt;291&lt;/RecNum&gt;&lt;DisplayText&gt;(Buijzen, Schuurman, &amp;amp; Bomhof, 2008)&lt;/DisplayText&gt;&lt;record&gt;&lt;rec-number&gt;291&lt;/rec-number&gt;&lt;foreign-keys&gt;&lt;key app="EN" db-id="2xerwtez52p9x8ep05ip59fgspsews0w00ew" timestamp="1595348793"&gt;291&lt;/key&gt;&lt;/foreign-keys&gt;&lt;ref-type name="Journal Article"&gt;17&lt;/ref-type&gt;&lt;contributors&gt;&lt;authors&gt;&lt;author&gt;Buijzen, M.&lt;/author&gt;&lt;author&gt;Schuurman, J.&lt;/author&gt;&lt;author&gt;Bomhof, E.&lt;/author&gt;&lt;/authors&gt;&lt;/contributors&gt;&lt;titles&gt;&lt;title&gt;Associations between children&amp;apos;s television advertising exposure and their food consumption patterns: A household diary–survey study&lt;/title&gt;&lt;secondary-title&gt;Appetite&lt;/secondary-title&gt;&lt;/titles&gt;&lt;periodical&gt;&lt;full-title&gt;Appetite&lt;/full-title&gt;&lt;/periodical&gt;&lt;pages&gt;231-239&lt;/pages&gt;&lt;volume&gt;50&lt;/volume&gt;&lt;number&gt;2-3&lt;/number&gt;&lt;dates&gt;&lt;year&gt;2008&lt;/year&gt;&lt;/dates&gt;&lt;urls&gt;&lt;/urls&gt;&lt;/record&gt;&lt;/Cite&gt;&lt;/EndNote&gt;</w:instrText>
      </w:r>
      <w:r w:rsidR="001720C7" w:rsidRPr="00ED7003">
        <w:rPr>
          <w:rFonts w:cstheme="minorHAnsi"/>
        </w:rPr>
        <w:fldChar w:fldCharType="separate"/>
      </w:r>
      <w:r w:rsidR="00C00B26">
        <w:rPr>
          <w:rFonts w:cstheme="minorHAnsi"/>
          <w:noProof/>
        </w:rPr>
        <w:t>(Buijzen, Schuurman, &amp; Bomhof, 2008)</w:t>
      </w:r>
      <w:r w:rsidR="001720C7" w:rsidRPr="00ED7003">
        <w:rPr>
          <w:rFonts w:cstheme="minorHAnsi"/>
        </w:rPr>
        <w:fldChar w:fldCharType="end"/>
      </w:r>
      <w:r w:rsidR="00BA4103" w:rsidRPr="00ED7003">
        <w:rPr>
          <w:rFonts w:cstheme="minorHAnsi"/>
        </w:rPr>
        <w:t>.</w:t>
      </w:r>
      <w:r w:rsidR="005B4513">
        <w:rPr>
          <w:rFonts w:cstheme="minorHAnsi"/>
        </w:rPr>
        <w:t xml:space="preserve"> </w:t>
      </w:r>
      <w:r w:rsidR="00BA5D1F">
        <w:rPr>
          <w:rFonts w:cstheme="minorHAnsi"/>
        </w:rPr>
        <w:t xml:space="preserve"> </w:t>
      </w:r>
      <w:r w:rsidR="00020178" w:rsidRPr="00F9642B">
        <w:t>S</w:t>
      </w:r>
      <w:r w:rsidR="00FC27DF" w:rsidRPr="00F9642B">
        <w:t xml:space="preserve">ince 2007, </w:t>
      </w:r>
      <w:r w:rsidR="00321AE9" w:rsidRPr="00F9642B">
        <w:t>television advertisements within children</w:t>
      </w:r>
      <w:r w:rsidR="00D13536" w:rsidRPr="00F9642B">
        <w:t>’</w:t>
      </w:r>
      <w:r w:rsidR="00321AE9" w:rsidRPr="00F9642B">
        <w:t>s programm</w:t>
      </w:r>
      <w:r w:rsidR="00D56850" w:rsidRPr="00F9642B">
        <w:t>ing</w:t>
      </w:r>
      <w:r w:rsidR="00321AE9" w:rsidRPr="00F9642B">
        <w:t xml:space="preserve"> </w:t>
      </w:r>
      <w:r w:rsidR="00FA1BE1" w:rsidRPr="00F9642B">
        <w:t>are no</w:t>
      </w:r>
      <w:r w:rsidR="00080A47" w:rsidRPr="00F9642B">
        <w:t>t</w:t>
      </w:r>
      <w:r w:rsidR="00FA1BE1" w:rsidRPr="00F9642B">
        <w:t xml:space="preserve"> permitted to show </w:t>
      </w:r>
      <w:r w:rsidR="00FC27DF" w:rsidRPr="00F9642B">
        <w:t xml:space="preserve">HFSS </w:t>
      </w:r>
      <w:r w:rsidR="00FA0BB7" w:rsidRPr="00F9642B">
        <w:t xml:space="preserve">food </w:t>
      </w:r>
      <w:r w:rsidR="00FC27DF" w:rsidRPr="00F9642B">
        <w:t>advert</w:t>
      </w:r>
      <w:r w:rsidR="00992632" w:rsidRPr="00F9642B">
        <w:t>i</w:t>
      </w:r>
      <w:r w:rsidR="00FC27DF" w:rsidRPr="00F9642B">
        <w:t>s</w:t>
      </w:r>
      <w:r w:rsidR="00992632" w:rsidRPr="00F9642B">
        <w:t>ements</w:t>
      </w:r>
      <w:r w:rsidR="00FA1BE1" w:rsidRPr="00F9642B">
        <w:t xml:space="preserve"> </w:t>
      </w:r>
      <w:r w:rsidR="00265CAA">
        <w:fldChar w:fldCharType="begin"/>
      </w:r>
      <w:r w:rsidR="00C00B26">
        <w:rPr>
          <w:rFonts w:hint="eastAsia"/>
        </w:rPr>
        <w:instrText xml:space="preserve"> ADDIN EN.CITE &lt;EndNote&gt;&lt;Cite&gt;&lt;Author&gt;Galbraith</w:instrText>
      </w:r>
      <w:r w:rsidR="00C00B26">
        <w:rPr>
          <w:rFonts w:hint="eastAsia"/>
        </w:rPr>
        <w:instrText>‐</w:instrText>
      </w:r>
      <w:r w:rsidR="00C00B26">
        <w:rPr>
          <w:rFonts w:hint="eastAsia"/>
        </w:rPr>
        <w:instrText>Emami&lt;/Author&gt;&lt;Year&gt;2013&lt;/Year&gt;&lt;RecNum&gt;322&lt;/RecNum&gt;&lt;DisplayText&gt;(Galbraith</w:instrText>
      </w:r>
      <w:r w:rsidR="00C00B26">
        <w:rPr>
          <w:rFonts w:hint="eastAsia"/>
        </w:rPr>
        <w:instrText>‐</w:instrText>
      </w:r>
      <w:r w:rsidR="00C00B26">
        <w:rPr>
          <w:rFonts w:hint="eastAsia"/>
        </w:rPr>
        <w:instrText>Emami &amp;amp; Lobstein, 2013)&lt;/DisplayText&gt;&lt;record&gt;&lt;rec-number&gt;322&lt;/rec-number&gt;&lt;foreign-keys&gt;&lt;key app="EN" db-id="wz0s5vxeow0299ew9xqvdsw7t0xf9w02z5wt" timestamp="1606306014"&gt;322&lt;/key&gt;&lt;/foreign-keys&gt;&lt;ref-type name="Journal Article"&gt;17&lt;/ref-type&gt;&lt;contributors&gt;&lt;authors&gt;&lt;author&gt;Galbraith</w:instrText>
      </w:r>
      <w:r w:rsidR="00C00B26">
        <w:rPr>
          <w:rFonts w:hint="eastAsia"/>
        </w:rPr>
        <w:instrText>‐</w:instrText>
      </w:r>
      <w:r w:rsidR="00C00B26">
        <w:rPr>
          <w:rFonts w:hint="eastAsia"/>
        </w:rPr>
        <w:instrText>Emami, S.&lt;/author&gt;&lt;author&gt;Lobstein, T.&lt;/author&gt;&lt;/authors&gt;&lt;/contributors&gt;&lt;titles&gt;&lt;title&gt;The impact of in</w:instrText>
      </w:r>
      <w:r w:rsidR="00C00B26">
        <w:instrText>itiatives to limit the advertising of food and beverage products to children: a systematic review&lt;/title&gt;&lt;secondary-title&gt;Obesity Reviews&lt;/secondary-title&gt;&lt;/titles&gt;&lt;periodical&gt;&lt;full-title&gt;Obesity Reviews&lt;/full-title&gt;&lt;/periodical&gt;&lt;pages&gt;960-74&lt;/pages&gt;&lt;volume&gt;14&lt;/volume&gt;&lt;dates&gt;&lt;year&gt;2013&lt;/year&gt;&lt;/dates&gt;&lt;urls&gt;&lt;/urls&gt;&lt;/record&gt;&lt;/Cite&gt;&lt;/EndNote&gt;</w:instrText>
      </w:r>
      <w:r w:rsidR="00265CAA">
        <w:fldChar w:fldCharType="separate"/>
      </w:r>
      <w:r w:rsidR="00C00B26">
        <w:rPr>
          <w:rFonts w:hint="eastAsia"/>
          <w:noProof/>
        </w:rPr>
        <w:t>(Galbraith</w:t>
      </w:r>
      <w:r w:rsidR="00C00B26">
        <w:rPr>
          <w:rFonts w:hint="eastAsia"/>
          <w:noProof/>
        </w:rPr>
        <w:t>‐</w:t>
      </w:r>
      <w:r w:rsidR="00C00B26">
        <w:rPr>
          <w:rFonts w:hint="eastAsia"/>
          <w:noProof/>
        </w:rPr>
        <w:t>Emami &amp; Lobstein, 2013)</w:t>
      </w:r>
      <w:r w:rsidR="00265CAA">
        <w:fldChar w:fldCharType="end"/>
      </w:r>
      <w:r w:rsidR="006F06C8" w:rsidRPr="00F9642B">
        <w:t xml:space="preserve">.  </w:t>
      </w:r>
      <w:r w:rsidR="00452582">
        <w:t>S</w:t>
      </w:r>
      <w:r w:rsidR="00423211" w:rsidRPr="00F9642B">
        <w:t xml:space="preserve">tricter restrictions </w:t>
      </w:r>
      <w:r w:rsidR="00DB55A9" w:rsidRPr="00F9642B">
        <w:t>both on television</w:t>
      </w:r>
      <w:r w:rsidR="00423211" w:rsidRPr="00F9642B">
        <w:t xml:space="preserve"> and online are </w:t>
      </w:r>
      <w:r w:rsidR="003403B7">
        <w:t xml:space="preserve">currently </w:t>
      </w:r>
      <w:r w:rsidR="00423211" w:rsidRPr="00F9642B">
        <w:t>being considered</w:t>
      </w:r>
      <w:r w:rsidR="00AA2D57">
        <w:t xml:space="preserve"> </w:t>
      </w:r>
      <w:r w:rsidR="00AA2D57">
        <w:fldChar w:fldCharType="begin"/>
      </w:r>
      <w:r w:rsidR="00C00B26">
        <w:instrText xml:space="preserve"> ADDIN EN.CITE &lt;EndNote&gt;&lt;Cite&gt;&lt;Author&gt;Department of Health and Social Care&lt;/Author&gt;&lt;Year&gt;2020&lt;/Year&gt;&lt;RecNum&gt;325&lt;/RecNum&gt;&lt;DisplayText&gt;(Department of Health and Social Care, 2020)&lt;/DisplayText&gt;&lt;record&gt;&lt;rec-number&gt;325&lt;/rec-number&gt;&lt;foreign-keys&gt;&lt;key app="EN" db-id="wz0s5vxeow0299ew9xqvdsw7t0xf9w02z5wt" timestamp="1606307133"&gt;325&lt;/key&gt;&lt;/foreign-keys&gt;&lt;ref-type name="Press Release"&gt;63&lt;/ref-type&gt;&lt;contributors&gt;&lt;authors&gt;&lt;author&gt;Department of Health and Social Care,&lt;/author&gt;&lt;/authors&gt;&lt;/contributors&gt;&lt;titles&gt;&lt;title&gt;New obesity strategy unveiled as country urged to lose weight to beat coronavirus (COVID-19) and protect the NHS&lt;/title&gt;&lt;/titles&gt;&lt;dates&gt;&lt;year&gt;2020&lt;/year&gt;&lt;pub-dates&gt;&lt;date&gt;27th July 2020&lt;/date&gt;&lt;/pub-dates&gt;&lt;/dates&gt;&lt;urls&gt;&lt;related-urls&gt;&lt;url&gt;https://www.gov.uk/government/news/new-obesity-strategy-unveiled-as-country-urged-to-lose-weight-to-beat-coronavirus-covid-19-and-protect-the-nhs&lt;/url&gt;&lt;/related-urls&gt;&lt;/urls&gt;&lt;/record&gt;&lt;/Cite&gt;&lt;/EndNote&gt;</w:instrText>
      </w:r>
      <w:r w:rsidR="00AA2D57">
        <w:fldChar w:fldCharType="separate"/>
      </w:r>
      <w:r w:rsidR="00C00B26">
        <w:rPr>
          <w:noProof/>
        </w:rPr>
        <w:t>(Department of Health and Social Care, 2020)</w:t>
      </w:r>
      <w:r w:rsidR="00AA2D57">
        <w:fldChar w:fldCharType="end"/>
      </w:r>
      <w:r w:rsidR="00423211" w:rsidRPr="00F9642B">
        <w:t xml:space="preserve">.  </w:t>
      </w:r>
      <w:r w:rsidR="006F06C8" w:rsidRPr="00F9642B">
        <w:t>Such policies</w:t>
      </w:r>
      <w:r w:rsidR="004461BF" w:rsidRPr="00F9642B">
        <w:t xml:space="preserve"> </w:t>
      </w:r>
      <w:r w:rsidR="00160211">
        <w:t>are predicted to have important impacts on population health</w:t>
      </w:r>
      <w:r w:rsidR="00DC123D">
        <w:t xml:space="preserve"> </w:t>
      </w:r>
      <w:r w:rsidR="00F67845">
        <w:fldChar w:fldCharType="begin"/>
      </w:r>
      <w:r w:rsidR="00F67845">
        <w:instrText xml:space="preserve"> ADDIN EN.CITE &lt;EndNote&gt;&lt;Cite&gt;&lt;Author&gt;Mytton&lt;/Author&gt;&lt;Year&gt;2020&lt;/Year&gt;&lt;RecNum&gt;331&lt;/RecNum&gt;&lt;DisplayText&gt;(Mytton et al., 2020)&lt;/DisplayText&gt;&lt;record&gt;&lt;rec-number&gt;331&lt;/rec-number&gt;&lt;foreign-keys&gt;&lt;key app="EN" db-id="wz0s5vxeow0299ew9xqvdsw7t0xf9w02z5wt" timestamp="1606408739"&gt;331&lt;/key&gt;&lt;/foreign-keys&gt;&lt;ref-type name="Journal Article"&gt;17&lt;/ref-type&gt;&lt;contributors&gt;&lt;authors&gt;&lt;author&gt;Mytton, O.T.&lt;/author&gt;&lt;author&gt;Boyland, E. &lt;/author&gt;&lt;author&gt;Adams, J. &lt;/author&gt;&lt;author&gt;Collins, B. &lt;/author&gt;&lt;author&gt;O’Connell, M.&lt;/author&gt;&lt;author&gt;Russell, S.J.&lt;/author&gt;&lt;author&gt;Smith, K.&lt;/author&gt;&lt;author&gt;Stroud, R.&lt;/author&gt;&lt;author&gt;Viner, R.M.&lt;/author&gt;&lt;author&gt;Cobiac, L.J.&lt;/author&gt;&lt;/authors&gt;&lt;/contributors&gt;&lt;titles&gt;&lt;title&gt;The potential health impact of restricting less-healthy food and beverage advertising on UK television between 05.30 and 21.00 hours: A modelling study&lt;/title&gt;&lt;secondary-title&gt;PLoS Medicine&lt;/secondary-title&gt;&lt;/titles&gt;&lt;periodical&gt;&lt;full-title&gt;PLoS Medicine&lt;/full-title&gt;&lt;/periodical&gt;&lt;volume&gt;17&lt;/volume&gt;&lt;number&gt;10&lt;/number&gt;&lt;section&gt;e1003212&lt;/section&gt;&lt;dates&gt;&lt;year&gt;2020&lt;/year&gt;&lt;/dates&gt;&lt;urls&gt;&lt;/urls&gt;&lt;/record&gt;&lt;/Cite&gt;&lt;/EndNote&gt;</w:instrText>
      </w:r>
      <w:r w:rsidR="00F67845">
        <w:fldChar w:fldCharType="separate"/>
      </w:r>
      <w:r w:rsidR="00F67845">
        <w:rPr>
          <w:noProof/>
        </w:rPr>
        <w:t>(Mytton et al., 2020)</w:t>
      </w:r>
      <w:r w:rsidR="00F67845">
        <w:fldChar w:fldCharType="end"/>
      </w:r>
      <w:r w:rsidR="00030237">
        <w:t>.</w:t>
      </w:r>
      <w:r w:rsidR="00FB1A03" w:rsidRPr="00F9642B">
        <w:t xml:space="preserve">  However, </w:t>
      </w:r>
      <w:r w:rsidR="00BE315E" w:rsidRPr="00F9642B">
        <w:t xml:space="preserve">children are still exposed to high amounts of </w:t>
      </w:r>
      <w:r w:rsidR="00080A47" w:rsidRPr="00F9642B">
        <w:t xml:space="preserve">less </w:t>
      </w:r>
      <w:r w:rsidR="00BE315E" w:rsidRPr="00F9642B">
        <w:t>healthy food advertising</w:t>
      </w:r>
      <w:r w:rsidR="00B76404" w:rsidRPr="00F9642B">
        <w:t xml:space="preserve"> </w:t>
      </w:r>
      <w:r w:rsidR="00685079" w:rsidRPr="00F9642B">
        <w:t xml:space="preserve">beyond </w:t>
      </w:r>
      <w:r w:rsidR="00B76404" w:rsidRPr="00F9642B">
        <w:t>television</w:t>
      </w:r>
      <w:r w:rsidR="00BE315E" w:rsidRPr="00F9642B">
        <w:t xml:space="preserve"> </w:t>
      </w:r>
      <w:r w:rsidR="00BE315E" w:rsidRPr="00F9642B">
        <w:fldChar w:fldCharType="begin"/>
      </w:r>
      <w:r w:rsidR="00C00B26">
        <w:instrText xml:space="preserve"> ADDIN EN.CITE &lt;EndNote&gt;&lt;Cite&gt;&lt;Author&gt;Whalen&lt;/Author&gt;&lt;Year&gt;2017&lt;/Year&gt;&lt;RecNum&gt;298&lt;/RecNum&gt;&lt;DisplayText&gt;(Whalen, Harrold, Child, Halford, &amp;amp; Boyland, 2017)&lt;/DisplayText&gt;&lt;record&gt;&lt;rec-number&gt;298&lt;/rec-number&gt;&lt;foreign-keys&gt;&lt;key app="EN" db-id="2xerwtez52p9x8ep05ip59fgspsews0w00ew" timestamp="1595503569"&gt;298&lt;/key&gt;&lt;/foreign-keys&gt;&lt;ref-type name="Journal Article"&gt;17&lt;/ref-type&gt;&lt;contributors&gt;&lt;authors&gt;&lt;author&gt;Whalen, R.&lt;/author&gt;&lt;author&gt;Harrold, J.&lt;/author&gt;&lt;author&gt;Child, S.&lt;/author&gt;&lt;author&gt;Halford, J.&lt;/author&gt;&lt;author&gt;Boyland, E. &lt;/author&gt;&lt;/authors&gt;&lt;/contributors&gt;&lt;titles&gt;&lt;title&gt;Children’s exposure to food advertising: the impact of statutory restrictions &lt;/title&gt;&lt;secondary-title&gt;Health Promotion International&lt;/secondary-title&gt;&lt;/titles&gt;&lt;periodical&gt;&lt;full-title&gt;Health Promotion International&lt;/full-title&gt;&lt;/periodical&gt;&lt;pages&gt;227-235&lt;/pages&gt;&lt;volume&gt;34&lt;/volume&gt;&lt;number&gt;2&lt;/number&gt;&lt;dates&gt;&lt;year&gt;2017&lt;/year&gt;&lt;/dates&gt;&lt;urls&gt;&lt;/urls&gt;&lt;/record&gt;&lt;/Cite&gt;&lt;/EndNote&gt;</w:instrText>
      </w:r>
      <w:r w:rsidR="00BE315E" w:rsidRPr="00F9642B">
        <w:fldChar w:fldCharType="separate"/>
      </w:r>
      <w:r w:rsidR="00C00B26">
        <w:rPr>
          <w:noProof/>
        </w:rPr>
        <w:t>(Whalen, Harrold, Child, Halford, &amp; Boyland, 2017)</w:t>
      </w:r>
      <w:r w:rsidR="00BE315E" w:rsidRPr="00F9642B">
        <w:fldChar w:fldCharType="end"/>
      </w:r>
      <w:r w:rsidR="00BE315E" w:rsidRPr="00F9642B">
        <w:t xml:space="preserve"> and evidence suggests that s</w:t>
      </w:r>
      <w:r w:rsidR="00BE315E" w:rsidRPr="00F9642B">
        <w:rPr>
          <w:color w:val="000000"/>
          <w:shd w:val="clear" w:color="auto" w:fill="FFFFFF"/>
        </w:rPr>
        <w:t xml:space="preserve">tronger restrictions targeting a wider range of </w:t>
      </w:r>
      <w:r w:rsidR="00D56850" w:rsidRPr="00F9642B">
        <w:rPr>
          <w:rFonts w:cstheme="minorHAnsi"/>
          <w:color w:val="000000"/>
          <w:shd w:val="clear" w:color="auto" w:fill="FFFFFF"/>
        </w:rPr>
        <w:t>media channels</w:t>
      </w:r>
      <w:r w:rsidR="00BE315E" w:rsidRPr="00F9642B">
        <w:rPr>
          <w:rFonts w:cstheme="minorHAnsi"/>
          <w:color w:val="000000"/>
          <w:shd w:val="clear" w:color="auto" w:fill="FFFFFF"/>
        </w:rPr>
        <w:t xml:space="preserve"> are </w:t>
      </w:r>
      <w:r w:rsidR="002A03DA" w:rsidRPr="00F9642B">
        <w:rPr>
          <w:rFonts w:cstheme="minorHAnsi"/>
          <w:color w:val="000000"/>
          <w:shd w:val="clear" w:color="auto" w:fill="FFFFFF"/>
        </w:rPr>
        <w:t xml:space="preserve">required </w:t>
      </w:r>
      <w:r w:rsidR="00BE315E" w:rsidRPr="00F9642B">
        <w:rPr>
          <w:rFonts w:cstheme="minorHAnsi"/>
          <w:color w:val="000000"/>
          <w:shd w:val="clear" w:color="auto" w:fill="FFFFFF"/>
        </w:rPr>
        <w:t xml:space="preserve">to reduce exposure of children to marketing of less </w:t>
      </w:r>
      <w:r w:rsidR="00FA0BB7" w:rsidRPr="00F9642B">
        <w:rPr>
          <w:rFonts w:cstheme="minorHAnsi"/>
          <w:color w:val="000000"/>
          <w:shd w:val="clear" w:color="auto" w:fill="FFFFFF"/>
        </w:rPr>
        <w:t xml:space="preserve">healthy </w:t>
      </w:r>
      <w:r w:rsidR="00BE315E" w:rsidRPr="00F9642B">
        <w:rPr>
          <w:rFonts w:cstheme="minorHAnsi"/>
          <w:color w:val="000000"/>
          <w:shd w:val="clear" w:color="auto" w:fill="FFFFFF"/>
        </w:rPr>
        <w:t xml:space="preserve">foods </w:t>
      </w:r>
      <w:r w:rsidR="00BE315E" w:rsidRPr="00F9642B">
        <w:rPr>
          <w:rFonts w:cstheme="minorHAnsi"/>
          <w:color w:val="000000"/>
          <w:shd w:val="clear" w:color="auto" w:fill="FFFFFF"/>
        </w:rPr>
        <w:fldChar w:fldCharType="begin"/>
      </w:r>
      <w:r w:rsidR="00452582">
        <w:rPr>
          <w:rFonts w:cstheme="minorHAnsi"/>
          <w:color w:val="000000"/>
          <w:shd w:val="clear" w:color="auto" w:fill="FFFFFF"/>
        </w:rPr>
        <w:instrText xml:space="preserve"> ADDIN EN.CITE &lt;EndNote&gt;&lt;Cite&gt;&lt;Author&gt;Adams&lt;/Author&gt;&lt;Year&gt;2012&lt;/Year&gt;&lt;RecNum&gt;299&lt;/RecNum&gt;&lt;DisplayText&gt;(Adams, Tyrrell, Adamson, &amp;amp; White, 2012)&lt;/DisplayText&gt;&lt;record&gt;&lt;rec-number&gt;299&lt;/rec-number&gt;&lt;foreign-keys&gt;&lt;key app="EN" db-id="2xerwtez52p9x8ep05ip59fgspsews0w00ew" timestamp="1595503855"&gt;299&lt;/key&gt;&lt;/foreign-keys&gt;&lt;ref-type name="Journal Article"&gt;17&lt;/ref-type&gt;&lt;contributors&gt;&lt;authors&gt;&lt;author&gt;Adams, J.&lt;/author&gt;&lt;author&gt;Tyrrell, R.&lt;/author&gt;&lt;author&gt;Adamson, A.J.&lt;/author&gt;&lt;author&gt;White, M. &lt;/author&gt;&lt;/authors&gt;&lt;/contributors&gt;&lt;titles&gt;&lt;title&gt;Effect of Restrictions on Television Food Advertising to Children on Exposure to Advertisements for ‘Less Healthy’ Foods: Repeat Cross-Sectional Study&lt;/title&gt;&lt;secondary-title&gt;PLOS ONE&lt;/secondary-title&gt;&lt;/titles&gt;&lt;periodical&gt;&lt;full-title&gt;PLOS ONE&lt;/full-title&gt;&lt;/periodical&gt;&lt;volume&gt;7&lt;/volume&gt;&lt;number&gt;2&lt;/number&gt;&lt;section&gt;e31578&lt;/section&gt;&lt;dates&gt;&lt;year&gt;2012&lt;/year&gt;&lt;/dates&gt;&lt;urls&gt;&lt;/urls&gt;&lt;/record&gt;&lt;/Cite&gt;&lt;/EndNote&gt;</w:instrText>
      </w:r>
      <w:r w:rsidR="00BE315E" w:rsidRPr="00F9642B">
        <w:rPr>
          <w:rFonts w:cstheme="minorHAnsi"/>
          <w:color w:val="000000"/>
          <w:shd w:val="clear" w:color="auto" w:fill="FFFFFF"/>
        </w:rPr>
        <w:fldChar w:fldCharType="separate"/>
      </w:r>
      <w:r w:rsidR="00452582">
        <w:rPr>
          <w:rFonts w:cstheme="minorHAnsi"/>
          <w:noProof/>
          <w:color w:val="000000"/>
          <w:shd w:val="clear" w:color="auto" w:fill="FFFFFF"/>
        </w:rPr>
        <w:t>(Adams, Tyrrell, Adamson, &amp; White, 2012)</w:t>
      </w:r>
      <w:r w:rsidR="00BE315E" w:rsidRPr="00F9642B">
        <w:rPr>
          <w:rFonts w:cstheme="minorHAnsi"/>
          <w:color w:val="000000"/>
          <w:shd w:val="clear" w:color="auto" w:fill="FFFFFF"/>
        </w:rPr>
        <w:fldChar w:fldCharType="end"/>
      </w:r>
      <w:r w:rsidR="00BE315E" w:rsidRPr="00F9642B">
        <w:rPr>
          <w:rFonts w:cstheme="minorHAnsi"/>
          <w:color w:val="000000"/>
          <w:shd w:val="clear" w:color="auto" w:fill="FFFFFF"/>
        </w:rPr>
        <w:t>.</w:t>
      </w:r>
      <w:r w:rsidR="00123F4A" w:rsidRPr="00F9642B">
        <w:rPr>
          <w:rFonts w:cstheme="minorHAnsi"/>
          <w:color w:val="000000"/>
          <w:shd w:val="clear" w:color="auto" w:fill="FFFFFF"/>
        </w:rPr>
        <w:t xml:space="preserve">  </w:t>
      </w:r>
    </w:p>
    <w:p w14:paraId="4881ABFB" w14:textId="77777777" w:rsidR="006F06C8" w:rsidRPr="00F9642B" w:rsidRDefault="006F06C8" w:rsidP="004006DB">
      <w:pPr>
        <w:pStyle w:val="CommentText"/>
        <w:spacing w:after="0" w:line="360" w:lineRule="auto"/>
        <w:contextualSpacing/>
        <w:rPr>
          <w:rFonts w:ascii="Arial" w:hAnsi="Arial" w:cs="Arial"/>
          <w:color w:val="222222"/>
          <w:shd w:val="clear" w:color="auto" w:fill="FFFFFF"/>
        </w:rPr>
      </w:pPr>
    </w:p>
    <w:p w14:paraId="11DE1E91" w14:textId="2091C5C5" w:rsidR="009139D2" w:rsidRPr="006C4861" w:rsidRDefault="00D56850" w:rsidP="009139D2">
      <w:pPr>
        <w:spacing w:after="0" w:line="360" w:lineRule="auto"/>
        <w:contextualSpacing/>
        <w:rPr>
          <w:rFonts w:cstheme="minorHAnsi"/>
          <w:color w:val="333333"/>
          <w:shd w:val="clear" w:color="auto" w:fill="FFFFFF"/>
        </w:rPr>
      </w:pPr>
      <w:r w:rsidRPr="00F9642B">
        <w:rPr>
          <w:rFonts w:cstheme="minorHAnsi"/>
        </w:rPr>
        <w:t>T</w:t>
      </w:r>
      <w:r w:rsidR="0001028C" w:rsidRPr="00F9642B">
        <w:rPr>
          <w:rFonts w:cstheme="minorHAnsi"/>
        </w:rPr>
        <w:t xml:space="preserve">he majority of </w:t>
      </w:r>
      <w:r w:rsidR="00CD47E0" w:rsidRPr="00F9642B">
        <w:rPr>
          <w:rFonts w:cstheme="minorHAnsi"/>
        </w:rPr>
        <w:t>research</w:t>
      </w:r>
      <w:r w:rsidR="0001028C" w:rsidRPr="00F9642B">
        <w:rPr>
          <w:rFonts w:cstheme="minorHAnsi"/>
        </w:rPr>
        <w:t xml:space="preserve"> on food advertising </w:t>
      </w:r>
      <w:r w:rsidR="00CD47E0" w:rsidRPr="00F9642B">
        <w:rPr>
          <w:rFonts w:cstheme="minorHAnsi"/>
        </w:rPr>
        <w:t xml:space="preserve">and diet </w:t>
      </w:r>
      <w:r w:rsidR="0001028C" w:rsidRPr="00F9642B">
        <w:rPr>
          <w:rFonts w:cstheme="minorHAnsi"/>
        </w:rPr>
        <w:t xml:space="preserve">has focused on television </w:t>
      </w:r>
      <w:r w:rsidR="00FA0BB7" w:rsidRPr="00F9642B">
        <w:rPr>
          <w:rFonts w:cstheme="minorHAnsi"/>
        </w:rPr>
        <w:t xml:space="preserve">while </w:t>
      </w:r>
      <w:r w:rsidR="0001028C" w:rsidRPr="00F9642B">
        <w:rPr>
          <w:rFonts w:cstheme="minorHAnsi"/>
        </w:rPr>
        <w:t xml:space="preserve">outdoor food advertising </w:t>
      </w:r>
      <w:r w:rsidRPr="00F9642B">
        <w:rPr>
          <w:rFonts w:cstheme="minorHAnsi"/>
        </w:rPr>
        <w:t>has received little attention</w:t>
      </w:r>
      <w:r w:rsidR="001A7BBA" w:rsidRPr="00F9642B">
        <w:rPr>
          <w:rFonts w:cstheme="minorHAnsi"/>
        </w:rPr>
        <w:t xml:space="preserve"> </w:t>
      </w:r>
      <w:r w:rsidR="004006DB" w:rsidRPr="00F9642B">
        <w:rPr>
          <w:rFonts w:cstheme="minorHAnsi"/>
        </w:rPr>
        <w:fldChar w:fldCharType="begin"/>
      </w:r>
      <w:r w:rsidR="00C00B26">
        <w:rPr>
          <w:rFonts w:cstheme="minorHAnsi"/>
        </w:rPr>
        <w:instrText xml:space="preserve"> ADDIN EN.CITE &lt;EndNote&gt;&lt;Cite&gt;&lt;Author&gt;Adams&lt;/Author&gt;&lt;Year&gt;2011&lt;/Year&gt;&lt;RecNum&gt;301&lt;/RecNum&gt;&lt;DisplayText&gt;(Adams, Ganiti, &amp;amp; White, 2011)&lt;/DisplayText&gt;&lt;record&gt;&lt;rec-number&gt;301&lt;/rec-number&gt;&lt;foreign-keys&gt;&lt;key app="EN" db-id="2xerwtez52p9x8ep05ip59fgspsews0w00ew" timestamp="1595506357"&gt;301&lt;/key&gt;&lt;/foreign-keys&gt;&lt;ref-type name="Journal Article"&gt;17&lt;/ref-type&gt;&lt;contributors&gt;&lt;authors&gt;&lt;author&gt;Adams, J.&lt;/author&gt;&lt;author&gt;Ganiti, E.&lt;/author&gt;&lt;author&gt;White, M.&lt;/author&gt;&lt;/authors&gt;&lt;/contributors&gt;&lt;titles&gt;&lt;title&gt;Socio-economic differences in outdoor food advertising in a city in Northern England&lt;/title&gt;&lt;secondary-title&gt;Public HEalth Nutrition&lt;/secondary-title&gt;&lt;/titles&gt;&lt;periodical&gt;&lt;full-title&gt;Public Health Nutrition&lt;/full-title&gt;&lt;/periodical&gt;&lt;pages&gt;945-950&lt;/pages&gt;&lt;volume&gt;14&lt;/volume&gt;&lt;number&gt;6&lt;/number&gt;&lt;dates&gt;&lt;year&gt;2011&lt;/year&gt;&lt;/dates&gt;&lt;urls&gt;&lt;/urls&gt;&lt;/record&gt;&lt;/Cite&gt;&lt;/EndNote&gt;</w:instrText>
      </w:r>
      <w:r w:rsidR="004006DB" w:rsidRPr="00F9642B">
        <w:rPr>
          <w:rFonts w:cstheme="minorHAnsi"/>
        </w:rPr>
        <w:fldChar w:fldCharType="separate"/>
      </w:r>
      <w:r w:rsidR="00C00B26">
        <w:rPr>
          <w:rFonts w:cstheme="minorHAnsi"/>
          <w:noProof/>
        </w:rPr>
        <w:t>(Adams, Ganiti, &amp; White, 2011)</w:t>
      </w:r>
      <w:r w:rsidR="004006DB" w:rsidRPr="00F9642B">
        <w:rPr>
          <w:rFonts w:cstheme="minorHAnsi"/>
        </w:rPr>
        <w:fldChar w:fldCharType="end"/>
      </w:r>
      <w:r w:rsidR="004006DB" w:rsidRPr="00F9642B">
        <w:rPr>
          <w:rFonts w:cstheme="minorHAnsi"/>
        </w:rPr>
        <w:t xml:space="preserve">.  </w:t>
      </w:r>
      <w:r w:rsidR="00080A47" w:rsidRPr="00F9642B">
        <w:rPr>
          <w:rFonts w:cstheme="minorHAnsi"/>
        </w:rPr>
        <w:t>A high proportion of o</w:t>
      </w:r>
      <w:r w:rsidR="004006DB" w:rsidRPr="00F9642B">
        <w:rPr>
          <w:rFonts w:cstheme="minorHAnsi"/>
        </w:rPr>
        <w:t xml:space="preserve">utdoor advertising </w:t>
      </w:r>
      <w:r w:rsidR="00080A47" w:rsidRPr="00F9642B">
        <w:rPr>
          <w:rFonts w:cstheme="minorHAnsi"/>
        </w:rPr>
        <w:t xml:space="preserve">in the UK </w:t>
      </w:r>
      <w:r w:rsidR="004006DB" w:rsidRPr="00F9642B">
        <w:rPr>
          <w:rFonts w:cstheme="minorHAnsi"/>
        </w:rPr>
        <w:t xml:space="preserve">appears in spaces </w:t>
      </w:r>
      <w:r w:rsidR="00080A47" w:rsidRPr="00F9642B">
        <w:rPr>
          <w:rFonts w:cstheme="minorHAnsi"/>
        </w:rPr>
        <w:t xml:space="preserve">linked to </w:t>
      </w:r>
      <w:r w:rsidR="00F35915" w:rsidRPr="00F9642B">
        <w:rPr>
          <w:rFonts w:cstheme="minorHAnsi"/>
        </w:rPr>
        <w:t>public transportation</w:t>
      </w:r>
      <w:r w:rsidR="004006DB" w:rsidRPr="00F9642B">
        <w:rPr>
          <w:rFonts w:cstheme="minorHAnsi"/>
        </w:rPr>
        <w:t xml:space="preserve">, </w:t>
      </w:r>
      <w:r w:rsidR="00CD47E0" w:rsidRPr="00F9642B">
        <w:rPr>
          <w:rFonts w:cstheme="minorHAnsi"/>
        </w:rPr>
        <w:t>such as</w:t>
      </w:r>
      <w:r w:rsidR="004006DB" w:rsidRPr="00F9642B">
        <w:rPr>
          <w:rFonts w:cstheme="minorHAnsi"/>
        </w:rPr>
        <w:t xml:space="preserve"> subway </w:t>
      </w:r>
      <w:r w:rsidR="00CD47E0" w:rsidRPr="00F9642B">
        <w:rPr>
          <w:rFonts w:cstheme="minorHAnsi"/>
        </w:rPr>
        <w:t xml:space="preserve">and rail </w:t>
      </w:r>
      <w:r w:rsidR="004006DB" w:rsidRPr="00F9642B">
        <w:rPr>
          <w:rFonts w:cstheme="minorHAnsi"/>
        </w:rPr>
        <w:t>stations</w:t>
      </w:r>
      <w:r w:rsidR="00CD47E0" w:rsidRPr="00F9642B">
        <w:rPr>
          <w:rFonts w:cstheme="minorHAnsi"/>
        </w:rPr>
        <w:t>, bus-stops</w:t>
      </w:r>
      <w:r w:rsidR="004006DB" w:rsidRPr="00F9642B">
        <w:rPr>
          <w:rFonts w:cstheme="minorHAnsi"/>
        </w:rPr>
        <w:t xml:space="preserve"> and transport </w:t>
      </w:r>
      <w:r w:rsidR="00CD47E0" w:rsidRPr="00F9642B">
        <w:rPr>
          <w:rFonts w:cstheme="minorHAnsi"/>
        </w:rPr>
        <w:t>hubs</w:t>
      </w:r>
      <w:r w:rsidR="002A791D" w:rsidRPr="00F9642B">
        <w:rPr>
          <w:rFonts w:cstheme="minorHAnsi"/>
        </w:rPr>
        <w:t xml:space="preserve">.  </w:t>
      </w:r>
      <w:r w:rsidR="00685079" w:rsidRPr="00F9642B">
        <w:rPr>
          <w:rFonts w:cstheme="minorHAnsi"/>
        </w:rPr>
        <w:t>R</w:t>
      </w:r>
      <w:r w:rsidR="002A791D" w:rsidRPr="00F9642B">
        <w:rPr>
          <w:rFonts w:cstheme="minorHAnsi"/>
        </w:rPr>
        <w:t>esearch in the US found that</w:t>
      </w:r>
      <w:r w:rsidR="004006DB" w:rsidRPr="00F9642B">
        <w:rPr>
          <w:rFonts w:cstheme="minorHAnsi"/>
        </w:rPr>
        <w:t xml:space="preserve"> </w:t>
      </w:r>
      <w:r w:rsidR="000519C9" w:rsidRPr="00F9642B">
        <w:rPr>
          <w:rFonts w:cstheme="minorHAnsi"/>
          <w:color w:val="212121"/>
          <w:shd w:val="clear" w:color="auto" w:fill="FFFFFF"/>
        </w:rPr>
        <w:t xml:space="preserve">subway-station </w:t>
      </w:r>
      <w:r w:rsidR="000519C9" w:rsidRPr="006C4861">
        <w:rPr>
          <w:rFonts w:cstheme="minorHAnsi"/>
          <w:color w:val="212121"/>
          <w:shd w:val="clear" w:color="auto" w:fill="FFFFFF"/>
        </w:rPr>
        <w:t>advertisements for "less-healthful" food</w:t>
      </w:r>
      <w:r w:rsidR="002E3EF4" w:rsidRPr="006C4861">
        <w:rPr>
          <w:rFonts w:cstheme="minorHAnsi"/>
          <w:color w:val="212121"/>
          <w:shd w:val="clear" w:color="auto" w:fill="FFFFFF"/>
        </w:rPr>
        <w:t>s</w:t>
      </w:r>
      <w:r w:rsidR="000519C9" w:rsidRPr="006C4861">
        <w:rPr>
          <w:rFonts w:cstheme="minorHAnsi"/>
          <w:color w:val="212121"/>
          <w:shd w:val="clear" w:color="auto" w:fill="FFFFFF"/>
        </w:rPr>
        <w:t xml:space="preserve"> were disproportionately</w:t>
      </w:r>
      <w:r w:rsidR="00CD47E0" w:rsidRPr="006C4861">
        <w:rPr>
          <w:rFonts w:cstheme="minorHAnsi"/>
          <w:color w:val="212121"/>
          <w:shd w:val="clear" w:color="auto" w:fill="FFFFFF"/>
        </w:rPr>
        <w:t xml:space="preserve"> located</w:t>
      </w:r>
      <w:r w:rsidR="000519C9" w:rsidRPr="006C4861">
        <w:rPr>
          <w:rFonts w:cstheme="minorHAnsi"/>
          <w:color w:val="212121"/>
          <w:shd w:val="clear" w:color="auto" w:fill="FFFFFF"/>
        </w:rPr>
        <w:t xml:space="preserve"> in </w:t>
      </w:r>
      <w:r w:rsidR="00CD47E0" w:rsidRPr="006C4861">
        <w:rPr>
          <w:rFonts w:cstheme="minorHAnsi"/>
          <w:color w:val="212121"/>
          <w:shd w:val="clear" w:color="auto" w:fill="FFFFFF"/>
        </w:rPr>
        <w:t xml:space="preserve">more disadvantaged areas </w:t>
      </w:r>
      <w:r w:rsidR="009139D2" w:rsidRPr="006C4861">
        <w:rPr>
          <w:rFonts w:cstheme="minorHAnsi"/>
          <w:color w:val="212121"/>
          <w:shd w:val="clear" w:color="auto" w:fill="FFFFFF"/>
        </w:rPr>
        <w:fldChar w:fldCharType="begin"/>
      </w:r>
      <w:r w:rsidR="009139D2" w:rsidRPr="006C4861">
        <w:rPr>
          <w:rFonts w:cstheme="minorHAnsi"/>
          <w:color w:val="212121"/>
          <w:shd w:val="clear" w:color="auto" w:fill="FFFFFF"/>
        </w:rPr>
        <w:instrText xml:space="preserve"> ADDIN EN.CITE &lt;EndNote&gt;&lt;Cite&gt;&lt;Author&gt;Lucan&lt;/Author&gt;&lt;Year&gt;2017&lt;/Year&gt;&lt;RecNum&gt;385&lt;/RecNum&gt;&lt;DisplayText&gt;(Lucan, Maroko, Sanon, &amp;amp; Schechter, 2017)&lt;/DisplayText&gt;&lt;record&gt;&lt;rec-number&gt;385&lt;/rec-number&gt;&lt;foreign-keys&gt;&lt;key app="EN" db-id="wz0s5vxeow0299ew9xqvdsw7t0xf9w02z5wt" timestamp="1612625967"&gt;385&lt;/key&gt;&lt;/foreign-keys&gt;&lt;ref-type name="Journal Article"&gt;17&lt;/ref-type&gt;&lt;contributors&gt;&lt;authors&gt;&lt;author&gt;Lucan, S.C.&lt;/author&gt;&lt;author&gt;Maroko, A.R.&lt;/author&gt;&lt;author&gt;Sanon, O.C.&lt;/author&gt;&lt;author&gt;Schechter, C.B.&lt;/author&gt;&lt;/authors&gt;&lt;/contributors&gt;&lt;titles&gt;&lt;title&gt;Unhealthful Food-and-Beverage Advertising in Subway Stations: Targeted Marketing, Vulnerable Groups, Dietary Intake, and Poor Health&lt;/title&gt;&lt;secondary-title&gt;Journal of Urban Health&lt;/secondary-title&gt;&lt;/titles&gt;&lt;periodical&gt;&lt;full-title&gt;Journal of Urban Health&lt;/full-title&gt;&lt;/periodical&gt;&lt;pages&gt;220-232&lt;/pages&gt;&lt;volume&gt;94&lt;/volume&gt;&lt;dates&gt;&lt;year&gt;2017&lt;/year&gt;&lt;/dates&gt;&lt;urls&gt;&lt;/urls&gt;&lt;/record&gt;&lt;/Cite&gt;&lt;/EndNote&gt;</w:instrText>
      </w:r>
      <w:r w:rsidR="009139D2" w:rsidRPr="006C4861">
        <w:rPr>
          <w:rFonts w:cstheme="minorHAnsi"/>
          <w:color w:val="212121"/>
          <w:shd w:val="clear" w:color="auto" w:fill="FFFFFF"/>
        </w:rPr>
        <w:fldChar w:fldCharType="separate"/>
      </w:r>
      <w:r w:rsidR="009139D2" w:rsidRPr="006C4861">
        <w:rPr>
          <w:rFonts w:cstheme="minorHAnsi"/>
          <w:noProof/>
          <w:color w:val="212121"/>
          <w:shd w:val="clear" w:color="auto" w:fill="FFFFFF"/>
        </w:rPr>
        <w:t>(Lucan, Maroko, Sanon, &amp; Schechter, 2017)</w:t>
      </w:r>
      <w:r w:rsidR="009139D2" w:rsidRPr="006C4861">
        <w:rPr>
          <w:rFonts w:cstheme="minorHAnsi"/>
          <w:color w:val="212121"/>
          <w:shd w:val="clear" w:color="auto" w:fill="FFFFFF"/>
        </w:rPr>
        <w:fldChar w:fldCharType="end"/>
      </w:r>
      <w:r w:rsidR="00471B54" w:rsidRPr="006C4861">
        <w:rPr>
          <w:rFonts w:cstheme="minorHAnsi"/>
          <w:color w:val="212121"/>
          <w:shd w:val="clear" w:color="auto" w:fill="FFFFFF"/>
        </w:rPr>
        <w:t xml:space="preserve"> and this may also be the case in the UK</w:t>
      </w:r>
      <w:r w:rsidR="000519C9" w:rsidRPr="006C4861">
        <w:rPr>
          <w:rFonts w:cstheme="minorHAnsi"/>
          <w:color w:val="212121"/>
          <w:shd w:val="clear" w:color="auto" w:fill="FFFFFF"/>
        </w:rPr>
        <w:t xml:space="preserve">. </w:t>
      </w:r>
      <w:r w:rsidR="009139D2" w:rsidRPr="006C4861">
        <w:rPr>
          <w:rFonts w:cstheme="minorHAnsi"/>
          <w:color w:val="212121"/>
          <w:shd w:val="clear" w:color="auto" w:fill="FFFFFF"/>
        </w:rPr>
        <w:t xml:space="preserve"> </w:t>
      </w:r>
      <w:r w:rsidR="003A6106" w:rsidRPr="006C4861">
        <w:rPr>
          <w:rFonts w:cstheme="minorHAnsi"/>
          <w:color w:val="212121"/>
          <w:shd w:val="clear" w:color="auto" w:fill="FFFFFF"/>
        </w:rPr>
        <w:t>R</w:t>
      </w:r>
      <w:r w:rsidR="009139D2" w:rsidRPr="006C4861">
        <w:rPr>
          <w:rFonts w:cstheme="minorHAnsi"/>
          <w:color w:val="333333"/>
          <w:shd w:val="clear" w:color="auto" w:fill="FFFFFF"/>
        </w:rPr>
        <w:t xml:space="preserve">esearch </w:t>
      </w:r>
      <w:r w:rsidR="003A6106" w:rsidRPr="006C4861">
        <w:rPr>
          <w:rFonts w:cstheme="minorHAnsi"/>
          <w:color w:val="333333"/>
          <w:shd w:val="clear" w:color="auto" w:fill="FFFFFF"/>
        </w:rPr>
        <w:t xml:space="preserve">on advertising  </w:t>
      </w:r>
      <w:r w:rsidR="009139D2" w:rsidRPr="006C4861">
        <w:rPr>
          <w:rFonts w:cstheme="minorHAnsi"/>
          <w:color w:val="333333"/>
          <w:shd w:val="clear" w:color="auto" w:fill="FFFFFF"/>
        </w:rPr>
        <w:t xml:space="preserve">specific to transport hubs </w:t>
      </w:r>
      <w:r w:rsidR="003A6106" w:rsidRPr="006C4861">
        <w:rPr>
          <w:rFonts w:cstheme="minorHAnsi"/>
          <w:color w:val="333333"/>
          <w:shd w:val="clear" w:color="auto" w:fill="FFFFFF"/>
        </w:rPr>
        <w:t xml:space="preserve">remains </w:t>
      </w:r>
      <w:r w:rsidR="009139D2" w:rsidRPr="006C4861">
        <w:rPr>
          <w:rFonts w:cstheme="minorHAnsi"/>
          <w:color w:val="333333"/>
          <w:shd w:val="clear" w:color="auto" w:fill="FFFFFF"/>
        </w:rPr>
        <w:t xml:space="preserve">very much under researched </w:t>
      </w:r>
      <w:r w:rsidR="003A6106" w:rsidRPr="006C4861">
        <w:rPr>
          <w:rFonts w:cstheme="minorHAnsi"/>
          <w:color w:val="333333"/>
          <w:shd w:val="clear" w:color="auto" w:fill="FFFFFF"/>
        </w:rPr>
        <w:fldChar w:fldCharType="begin"/>
      </w:r>
      <w:r w:rsidR="003A6106" w:rsidRPr="006C4861">
        <w:rPr>
          <w:rFonts w:cstheme="minorHAnsi"/>
          <w:color w:val="333333"/>
          <w:shd w:val="clear" w:color="auto" w:fill="FFFFFF"/>
        </w:rPr>
        <w:instrText xml:space="preserve"> ADDIN EN.CITE &lt;EndNote&gt;&lt;Cite&gt;&lt;Author&gt;Gentry&lt;/Author&gt;&lt;Year&gt;2011&lt;/Year&gt;&lt;RecNum&gt;386&lt;/RecNum&gt;&lt;DisplayText&gt;(Gentry et al., 2011)&lt;/DisplayText&gt;&lt;record&gt;&lt;rec-number&gt;386&lt;/rec-number&gt;&lt;foreign-keys&gt;&lt;key app="EN" db-id="wz0s5vxeow0299ew9xqvdsw7t0xf9w02z5wt" timestamp="1612626542"&gt;386&lt;/key&gt;&lt;/foreign-keys&gt;&lt;ref-type name="Journal Article"&gt;17&lt;/ref-type&gt;&lt;contributors&gt;&lt;authors&gt;&lt;author&gt;Gentry, E.&lt;/author&gt;&lt;author&gt;Poirier, K.&lt;/author&gt;&lt;author&gt;Wilkinson, T.&lt;/author&gt;&lt;author&gt;Nhean, S.&lt;/author&gt;&lt;author&gt;Nyborn, J. &lt;/author&gt;&lt;author&gt;Siegel, M.&lt;/author&gt;&lt;/authors&gt;&lt;/contributors&gt;&lt;titles&gt;&lt;title&gt;Alcohol advertising at Boston subway stations: an assessment of exposure by race and socioeconomic status&lt;/title&gt;&lt;secondary-title&gt;American Journal of Public Health&lt;/secondary-title&gt;&lt;/titles&gt;&lt;periodical&gt;&lt;full-title&gt;American Journal of Public Health&lt;/full-title&gt;&lt;/periodical&gt;&lt;pages&gt;1936-1941&lt;/pages&gt;&lt;volume&gt;101&lt;/volume&gt;&lt;number&gt;10&lt;/number&gt;&lt;dates&gt;&lt;year&gt;2011&lt;/year&gt;&lt;/dates&gt;&lt;urls&gt;&lt;/urls&gt;&lt;/record&gt;&lt;/Cite&gt;&lt;/EndNote&gt;</w:instrText>
      </w:r>
      <w:r w:rsidR="003A6106" w:rsidRPr="006C4861">
        <w:rPr>
          <w:rFonts w:cstheme="minorHAnsi"/>
          <w:color w:val="333333"/>
          <w:shd w:val="clear" w:color="auto" w:fill="FFFFFF"/>
        </w:rPr>
        <w:fldChar w:fldCharType="separate"/>
      </w:r>
      <w:r w:rsidR="003A6106" w:rsidRPr="006C4861">
        <w:rPr>
          <w:rFonts w:cstheme="minorHAnsi"/>
          <w:noProof/>
          <w:color w:val="333333"/>
          <w:shd w:val="clear" w:color="auto" w:fill="FFFFFF"/>
        </w:rPr>
        <w:t>(Gentry et al., 2011)</w:t>
      </w:r>
      <w:r w:rsidR="003A6106" w:rsidRPr="006C4861">
        <w:rPr>
          <w:rFonts w:cstheme="minorHAnsi"/>
          <w:color w:val="333333"/>
          <w:shd w:val="clear" w:color="auto" w:fill="FFFFFF"/>
        </w:rPr>
        <w:fldChar w:fldCharType="end"/>
      </w:r>
      <w:r w:rsidR="003A6106" w:rsidRPr="006C4861">
        <w:rPr>
          <w:rFonts w:cstheme="minorHAnsi"/>
          <w:color w:val="333333"/>
          <w:shd w:val="clear" w:color="auto" w:fill="FFFFFF"/>
        </w:rPr>
        <w:t>.</w:t>
      </w:r>
    </w:p>
    <w:p w14:paraId="1DABAE50" w14:textId="2C1812A8" w:rsidR="009139D2" w:rsidRDefault="009139D2" w:rsidP="000519C9">
      <w:pPr>
        <w:spacing w:after="0" w:line="360" w:lineRule="auto"/>
        <w:contextualSpacing/>
        <w:rPr>
          <w:rFonts w:cstheme="minorHAnsi"/>
          <w:color w:val="FF0000"/>
        </w:rPr>
      </w:pPr>
    </w:p>
    <w:p w14:paraId="4EF78BEC" w14:textId="77777777" w:rsidR="006975A4" w:rsidRDefault="006975A4" w:rsidP="004006DB">
      <w:pPr>
        <w:pStyle w:val="CommentText"/>
        <w:spacing w:after="0" w:line="360" w:lineRule="auto"/>
        <w:contextualSpacing/>
        <w:rPr>
          <w:b/>
          <w:i/>
          <w:sz w:val="22"/>
          <w:szCs w:val="22"/>
        </w:rPr>
      </w:pPr>
    </w:p>
    <w:p w14:paraId="500B24F5" w14:textId="77777777" w:rsidR="006975A4" w:rsidRDefault="006975A4" w:rsidP="004006DB">
      <w:pPr>
        <w:pStyle w:val="CommentText"/>
        <w:spacing w:after="0" w:line="360" w:lineRule="auto"/>
        <w:contextualSpacing/>
        <w:rPr>
          <w:b/>
          <w:i/>
          <w:sz w:val="22"/>
          <w:szCs w:val="22"/>
        </w:rPr>
      </w:pPr>
    </w:p>
    <w:p w14:paraId="7C73D6FF" w14:textId="74CF4EB3" w:rsidR="00D30D2E" w:rsidRPr="006C4861" w:rsidRDefault="00D30D2E" w:rsidP="004006DB">
      <w:pPr>
        <w:pStyle w:val="CommentText"/>
        <w:spacing w:after="0" w:line="360" w:lineRule="auto"/>
        <w:contextualSpacing/>
        <w:rPr>
          <w:b/>
          <w:i/>
          <w:sz w:val="22"/>
          <w:szCs w:val="22"/>
        </w:rPr>
      </w:pPr>
      <w:r w:rsidRPr="006C4861">
        <w:rPr>
          <w:b/>
          <w:i/>
          <w:sz w:val="22"/>
          <w:szCs w:val="22"/>
        </w:rPr>
        <w:lastRenderedPageBreak/>
        <w:t xml:space="preserve">1.2 TfL and </w:t>
      </w:r>
      <w:r w:rsidR="00655D87" w:rsidRPr="006C4861">
        <w:rPr>
          <w:b/>
          <w:i/>
          <w:sz w:val="22"/>
          <w:szCs w:val="22"/>
        </w:rPr>
        <w:t>restrictions on advertisements for HFSS</w:t>
      </w:r>
      <w:r w:rsidR="00E12ED5">
        <w:rPr>
          <w:b/>
          <w:i/>
          <w:sz w:val="22"/>
          <w:szCs w:val="22"/>
        </w:rPr>
        <w:t xml:space="preserve"> products</w:t>
      </w:r>
    </w:p>
    <w:p w14:paraId="51761E7D" w14:textId="131CB2FF" w:rsidR="009139D2" w:rsidRPr="009139D2" w:rsidRDefault="000E7EC6" w:rsidP="009139D2">
      <w:pPr>
        <w:pStyle w:val="CommentText"/>
        <w:spacing w:after="0" w:line="360" w:lineRule="auto"/>
        <w:contextualSpacing/>
        <w:rPr>
          <w:rFonts w:cstheme="minorHAnsi"/>
          <w:strike/>
          <w:color w:val="333333"/>
          <w:sz w:val="22"/>
          <w:szCs w:val="22"/>
          <w:shd w:val="clear" w:color="auto" w:fill="FFFFFF"/>
        </w:rPr>
      </w:pPr>
      <w:r w:rsidRPr="006C4861">
        <w:rPr>
          <w:rFonts w:cstheme="minorHAnsi"/>
          <w:color w:val="222222"/>
          <w:sz w:val="22"/>
          <w:szCs w:val="22"/>
          <w:shd w:val="clear" w:color="auto" w:fill="FFFFFF"/>
        </w:rPr>
        <w:t xml:space="preserve">Greater London is the largest metropolitan area in the UK and home to 16% of England’s population.  </w:t>
      </w:r>
      <w:r w:rsidR="004A0F91" w:rsidRPr="006C4861">
        <w:rPr>
          <w:rFonts w:cstheme="minorHAnsi"/>
          <w:color w:val="222222"/>
          <w:sz w:val="22"/>
          <w:szCs w:val="22"/>
          <w:shd w:val="clear" w:color="auto" w:fill="FFFFFF"/>
        </w:rPr>
        <w:t xml:space="preserve">Transport for </w:t>
      </w:r>
      <w:r w:rsidR="004A0F91" w:rsidRPr="006C4861">
        <w:rPr>
          <w:rFonts w:cstheme="minorHAnsi"/>
          <w:bCs/>
          <w:color w:val="222222"/>
          <w:sz w:val="22"/>
          <w:szCs w:val="22"/>
        </w:rPr>
        <w:t>London</w:t>
      </w:r>
      <w:r w:rsidR="004A0F91" w:rsidRPr="006C4861">
        <w:rPr>
          <w:rFonts w:cstheme="minorHAnsi"/>
          <w:color w:val="222222"/>
          <w:sz w:val="22"/>
          <w:szCs w:val="22"/>
          <w:shd w:val="clear" w:color="auto" w:fill="FFFFFF"/>
        </w:rPr>
        <w:t xml:space="preserve"> (</w:t>
      </w:r>
      <w:r w:rsidR="004A0F91" w:rsidRPr="006C4861">
        <w:rPr>
          <w:rFonts w:cstheme="minorHAnsi"/>
          <w:bCs/>
          <w:color w:val="222222"/>
          <w:sz w:val="22"/>
          <w:szCs w:val="22"/>
        </w:rPr>
        <w:t>TfL</w:t>
      </w:r>
      <w:r w:rsidR="004A0F91" w:rsidRPr="006C4861">
        <w:rPr>
          <w:rFonts w:cstheme="minorHAnsi"/>
          <w:color w:val="222222"/>
          <w:sz w:val="22"/>
          <w:szCs w:val="22"/>
          <w:shd w:val="clear" w:color="auto" w:fill="FFFFFF"/>
        </w:rPr>
        <w:t xml:space="preserve">) is </w:t>
      </w:r>
      <w:r w:rsidR="00873871" w:rsidRPr="006C4861">
        <w:rPr>
          <w:rFonts w:cstheme="minorHAnsi"/>
          <w:color w:val="222222"/>
          <w:sz w:val="22"/>
          <w:szCs w:val="22"/>
          <w:shd w:val="clear" w:color="auto" w:fill="FFFFFF"/>
        </w:rPr>
        <w:t>the</w:t>
      </w:r>
      <w:r w:rsidR="004A0F91" w:rsidRPr="006C4861">
        <w:rPr>
          <w:rFonts w:cstheme="minorHAnsi"/>
          <w:color w:val="222222"/>
          <w:sz w:val="22"/>
          <w:szCs w:val="22"/>
          <w:shd w:val="clear" w:color="auto" w:fill="FFFFFF"/>
        </w:rPr>
        <w:t xml:space="preserve"> local government body responsible for the transport system in Greater </w:t>
      </w:r>
      <w:r w:rsidR="004A0F91" w:rsidRPr="006C4861">
        <w:rPr>
          <w:rFonts w:cstheme="minorHAnsi"/>
          <w:bCs/>
          <w:color w:val="222222"/>
          <w:sz w:val="22"/>
          <w:szCs w:val="22"/>
        </w:rPr>
        <w:t>London</w:t>
      </w:r>
      <w:r w:rsidR="00CD47E0" w:rsidRPr="006C4861">
        <w:rPr>
          <w:rFonts w:cstheme="minorHAnsi"/>
          <w:bCs/>
          <w:color w:val="222222"/>
          <w:sz w:val="22"/>
          <w:szCs w:val="22"/>
        </w:rPr>
        <w:t xml:space="preserve"> and is under the control of the Mayor of London</w:t>
      </w:r>
      <w:r w:rsidR="004A0F91" w:rsidRPr="006C4861">
        <w:rPr>
          <w:rFonts w:cstheme="minorHAnsi"/>
          <w:color w:val="222222"/>
          <w:sz w:val="22"/>
          <w:szCs w:val="22"/>
          <w:shd w:val="clear" w:color="auto" w:fill="FFFFFF"/>
        </w:rPr>
        <w:t xml:space="preserve">. </w:t>
      </w:r>
      <w:r w:rsidR="00F369AB" w:rsidRPr="006C4861">
        <w:rPr>
          <w:rFonts w:cstheme="minorHAnsi"/>
          <w:color w:val="222222"/>
          <w:sz w:val="22"/>
          <w:szCs w:val="22"/>
          <w:shd w:val="clear" w:color="auto" w:fill="FFFFFF"/>
        </w:rPr>
        <w:t xml:space="preserve"> </w:t>
      </w:r>
      <w:r w:rsidR="00873871" w:rsidRPr="006C4861">
        <w:rPr>
          <w:rFonts w:cstheme="minorHAnsi"/>
          <w:color w:val="222222"/>
          <w:sz w:val="22"/>
          <w:szCs w:val="22"/>
          <w:shd w:val="clear" w:color="auto" w:fill="FFFFFF"/>
        </w:rPr>
        <w:t>It has</w:t>
      </w:r>
      <w:r w:rsidR="004A0F91" w:rsidRPr="006C4861">
        <w:rPr>
          <w:rFonts w:cstheme="minorHAnsi"/>
          <w:color w:val="222222"/>
          <w:sz w:val="22"/>
          <w:szCs w:val="22"/>
          <w:shd w:val="clear" w:color="auto" w:fill="FFFFFF"/>
        </w:rPr>
        <w:t xml:space="preserve"> responsibility for </w:t>
      </w:r>
      <w:r w:rsidR="004A0F91" w:rsidRPr="006C4861">
        <w:rPr>
          <w:rFonts w:cstheme="minorHAnsi"/>
          <w:bCs/>
          <w:color w:val="222222"/>
          <w:sz w:val="22"/>
          <w:szCs w:val="22"/>
        </w:rPr>
        <w:t>London's</w:t>
      </w:r>
      <w:r w:rsidR="004A0F91" w:rsidRPr="006C4861">
        <w:rPr>
          <w:rFonts w:cstheme="minorHAnsi"/>
          <w:color w:val="222222"/>
          <w:sz w:val="22"/>
          <w:szCs w:val="22"/>
          <w:shd w:val="clear" w:color="auto" w:fill="FFFFFF"/>
        </w:rPr>
        <w:t xml:space="preserve"> network of principal road routes</w:t>
      </w:r>
      <w:r w:rsidR="00166D8A" w:rsidRPr="006C4861">
        <w:rPr>
          <w:rFonts w:cstheme="minorHAnsi"/>
          <w:color w:val="222222"/>
          <w:sz w:val="22"/>
          <w:szCs w:val="22"/>
          <w:shd w:val="clear" w:color="auto" w:fill="FFFFFF"/>
        </w:rPr>
        <w:t xml:space="preserve"> and </w:t>
      </w:r>
      <w:r w:rsidR="004A0F91" w:rsidRPr="006C4861">
        <w:rPr>
          <w:rFonts w:cstheme="minorHAnsi"/>
          <w:color w:val="222222"/>
          <w:sz w:val="22"/>
          <w:szCs w:val="22"/>
          <w:shd w:val="clear" w:color="auto" w:fill="FFFFFF"/>
        </w:rPr>
        <w:t>for various</w:t>
      </w:r>
      <w:r w:rsidR="004A0F91" w:rsidRPr="00F9642B">
        <w:rPr>
          <w:rFonts w:cstheme="minorHAnsi"/>
          <w:color w:val="222222"/>
          <w:sz w:val="22"/>
          <w:szCs w:val="22"/>
          <w:shd w:val="clear" w:color="auto" w:fill="FFFFFF"/>
        </w:rPr>
        <w:t xml:space="preserve"> rail networks</w:t>
      </w:r>
      <w:r w:rsidR="00AB73B6" w:rsidRPr="00F9642B">
        <w:rPr>
          <w:rFonts w:cstheme="minorHAnsi"/>
          <w:color w:val="222222"/>
          <w:sz w:val="22"/>
          <w:szCs w:val="22"/>
          <w:shd w:val="clear" w:color="auto" w:fill="FFFFFF"/>
        </w:rPr>
        <w:t>.</w:t>
      </w:r>
      <w:r w:rsidR="000615EA" w:rsidRPr="00F9642B">
        <w:rPr>
          <w:rFonts w:cstheme="minorHAnsi"/>
          <w:color w:val="222222"/>
          <w:sz w:val="22"/>
          <w:szCs w:val="22"/>
          <w:shd w:val="clear" w:color="auto" w:fill="FFFFFF"/>
        </w:rPr>
        <w:t xml:space="preserve">  </w:t>
      </w:r>
      <w:r w:rsidR="00496DAD" w:rsidRPr="00DA1D7D">
        <w:rPr>
          <w:rFonts w:cstheme="minorHAnsi"/>
          <w:sz w:val="22"/>
          <w:szCs w:val="22"/>
        </w:rPr>
        <w:t>TfL has one of the most valuable advertising estates in the world</w:t>
      </w:r>
      <w:r w:rsidR="00452582">
        <w:rPr>
          <w:rFonts w:cstheme="minorHAnsi"/>
          <w:sz w:val="22"/>
          <w:szCs w:val="22"/>
        </w:rPr>
        <w:t xml:space="preserve"> and makes up</w:t>
      </w:r>
      <w:r w:rsidR="00496DAD" w:rsidRPr="00DA1D7D">
        <w:rPr>
          <w:rFonts w:cstheme="minorHAnsi"/>
          <w:sz w:val="22"/>
          <w:szCs w:val="22"/>
        </w:rPr>
        <w:t xml:space="preserve"> 20% of the UK’s outdoor advertising </w:t>
      </w:r>
      <w:r w:rsidR="00E12ED5">
        <w:rPr>
          <w:rFonts w:cstheme="minorHAnsi"/>
          <w:sz w:val="22"/>
          <w:szCs w:val="22"/>
        </w:rPr>
        <w:t xml:space="preserve">by </w:t>
      </w:r>
      <w:r w:rsidR="00496DAD" w:rsidRPr="00DA1D7D">
        <w:rPr>
          <w:rFonts w:cstheme="minorHAnsi"/>
          <w:sz w:val="22"/>
          <w:szCs w:val="22"/>
        </w:rPr>
        <w:t>value</w:t>
      </w:r>
      <w:r w:rsidR="00452582">
        <w:rPr>
          <w:rFonts w:cstheme="minorHAnsi"/>
          <w:sz w:val="22"/>
          <w:szCs w:val="22"/>
        </w:rPr>
        <w:t xml:space="preserve"> </w:t>
      </w:r>
      <w:r w:rsidR="00496DAD" w:rsidRPr="00DA1D7D">
        <w:rPr>
          <w:rFonts w:cstheme="minorHAnsi"/>
          <w:sz w:val="22"/>
          <w:szCs w:val="22"/>
        </w:rPr>
        <w:fldChar w:fldCharType="begin"/>
      </w:r>
      <w:r w:rsidR="00C5495E">
        <w:rPr>
          <w:rFonts w:cstheme="minorHAnsi"/>
          <w:sz w:val="22"/>
          <w:szCs w:val="22"/>
        </w:rPr>
        <w:instrText xml:space="preserve"> ADDIN EN.CITE &lt;EndNote&gt;&lt;Cite&gt;&lt;Author&gt;Mayor of London&lt;/Author&gt;&lt;Year&gt;2018&lt;/Year&gt;&lt;RecNum&gt;326&lt;/RecNum&gt;&lt;DisplayText&gt;(Mayor of London, 2018)&lt;/DisplayText&gt;&lt;record&gt;&lt;rec-number&gt;326&lt;/rec-number&gt;&lt;foreign-keys&gt;&lt;key app="EN" db-id="wz0s5vxeow0299ew9xqvdsw7t0xf9w02z5wt" timestamp="1606310221"&gt;326&lt;/key&gt;&lt;/foreign-keys&gt;&lt;ref-type name="Generic"&gt;13&lt;/ref-type&gt;&lt;contributors&gt;&lt;authors&gt;&lt;author&gt;Mayor of London,&lt;/author&gt;&lt;/authors&gt;&lt;/contributors&gt;&lt;titles&gt;&lt;title&gt;Annual Report and Statement of Accounts 2017/18&lt;/title&gt;&lt;/titles&gt;&lt;dates&gt;&lt;year&gt;2018&lt;/year&gt;&lt;/dates&gt;&lt;publisher&gt;Transport for London&lt;/publisher&gt;&lt;urls&gt;&lt;/urls&gt;&lt;/record&gt;&lt;/Cite&gt;&lt;/EndNote&gt;</w:instrText>
      </w:r>
      <w:r w:rsidR="00496DAD" w:rsidRPr="00DA1D7D">
        <w:rPr>
          <w:rFonts w:cstheme="minorHAnsi"/>
          <w:sz w:val="22"/>
          <w:szCs w:val="22"/>
        </w:rPr>
        <w:fldChar w:fldCharType="separate"/>
      </w:r>
      <w:r w:rsidR="00C00B26">
        <w:rPr>
          <w:rFonts w:cstheme="minorHAnsi"/>
          <w:noProof/>
          <w:sz w:val="22"/>
          <w:szCs w:val="22"/>
        </w:rPr>
        <w:t>(Mayor of London, 2018)</w:t>
      </w:r>
      <w:r w:rsidR="00496DAD" w:rsidRPr="00DA1D7D">
        <w:rPr>
          <w:rFonts w:cstheme="minorHAnsi"/>
          <w:sz w:val="22"/>
          <w:szCs w:val="22"/>
        </w:rPr>
        <w:fldChar w:fldCharType="end"/>
      </w:r>
      <w:r w:rsidR="00496DAD" w:rsidRPr="00DA1D7D">
        <w:rPr>
          <w:rFonts w:cstheme="minorHAnsi"/>
          <w:sz w:val="22"/>
          <w:szCs w:val="22"/>
        </w:rPr>
        <w:t xml:space="preserve">. </w:t>
      </w:r>
      <w:r w:rsidR="009139D2" w:rsidRPr="009139D2">
        <w:rPr>
          <w:rFonts w:cstheme="minorHAnsi"/>
          <w:color w:val="333333"/>
          <w:sz w:val="22"/>
          <w:szCs w:val="22"/>
          <w:shd w:val="clear" w:color="auto" w:fill="FFFFFF"/>
        </w:rPr>
        <w:t xml:space="preserve"> </w:t>
      </w:r>
    </w:p>
    <w:p w14:paraId="3B7C7F39" w14:textId="77777777" w:rsidR="009139D2" w:rsidRPr="00AA57AB" w:rsidRDefault="009139D2" w:rsidP="009139D2">
      <w:pPr>
        <w:pStyle w:val="CommentText"/>
        <w:spacing w:after="0" w:line="360" w:lineRule="auto"/>
        <w:contextualSpacing/>
        <w:rPr>
          <w:rFonts w:cstheme="minorHAnsi"/>
          <w:sz w:val="22"/>
          <w:szCs w:val="22"/>
        </w:rPr>
      </w:pPr>
      <w:r>
        <w:rPr>
          <w:rFonts w:cstheme="minorHAnsi"/>
          <w:color w:val="333333"/>
          <w:sz w:val="22"/>
          <w:szCs w:val="22"/>
          <w:shd w:val="clear" w:color="auto" w:fill="FFFFFF"/>
        </w:rPr>
        <w:t xml:space="preserve"> </w:t>
      </w:r>
    </w:p>
    <w:p w14:paraId="4C123230" w14:textId="5261CCC0" w:rsidR="00496DAD" w:rsidRPr="00452582" w:rsidRDefault="00A24620" w:rsidP="000E7EC6">
      <w:pPr>
        <w:pStyle w:val="CommentText"/>
        <w:spacing w:after="0" w:line="360" w:lineRule="auto"/>
        <w:contextualSpacing/>
        <w:rPr>
          <w:rFonts w:cstheme="minorHAnsi"/>
          <w:sz w:val="22"/>
          <w:szCs w:val="22"/>
        </w:rPr>
      </w:pPr>
      <w:r w:rsidRPr="00F9642B">
        <w:rPr>
          <w:rFonts w:cstheme="minorHAnsi"/>
          <w:sz w:val="22"/>
          <w:szCs w:val="22"/>
        </w:rPr>
        <w:t>In February 2019, TfL</w:t>
      </w:r>
      <w:r w:rsidR="00AB73B6" w:rsidRPr="00F9642B">
        <w:rPr>
          <w:rFonts w:cstheme="minorHAnsi"/>
          <w:sz w:val="22"/>
          <w:szCs w:val="22"/>
        </w:rPr>
        <w:t xml:space="preserve"> </w:t>
      </w:r>
      <w:r w:rsidRPr="00F9642B">
        <w:rPr>
          <w:rFonts w:cstheme="minorHAnsi"/>
          <w:sz w:val="22"/>
          <w:szCs w:val="22"/>
        </w:rPr>
        <w:t>implement</w:t>
      </w:r>
      <w:r w:rsidR="00CD47E0" w:rsidRPr="00F9642B">
        <w:rPr>
          <w:rFonts w:cstheme="minorHAnsi"/>
          <w:sz w:val="22"/>
          <w:szCs w:val="22"/>
        </w:rPr>
        <w:t>ed</w:t>
      </w:r>
      <w:r w:rsidRPr="00F9642B">
        <w:rPr>
          <w:rFonts w:cstheme="minorHAnsi"/>
          <w:sz w:val="22"/>
          <w:szCs w:val="22"/>
        </w:rPr>
        <w:t xml:space="preserve"> </w:t>
      </w:r>
      <w:r w:rsidRPr="00DA1D7D">
        <w:rPr>
          <w:rFonts w:cstheme="minorHAnsi"/>
          <w:sz w:val="22"/>
          <w:szCs w:val="22"/>
        </w:rPr>
        <w:t>restrictions on advertisements for HFSS</w:t>
      </w:r>
      <w:r w:rsidR="001439DC" w:rsidRPr="00DA1D7D">
        <w:rPr>
          <w:rFonts w:cstheme="minorHAnsi"/>
          <w:sz w:val="22"/>
          <w:szCs w:val="22"/>
        </w:rPr>
        <w:t xml:space="preserve"> </w:t>
      </w:r>
      <w:r w:rsidR="00FF524C" w:rsidRPr="00DA1D7D">
        <w:rPr>
          <w:rFonts w:cstheme="minorHAnsi"/>
          <w:sz w:val="22"/>
          <w:szCs w:val="22"/>
        </w:rPr>
        <w:t xml:space="preserve">foods </w:t>
      </w:r>
      <w:r w:rsidR="001439DC" w:rsidRPr="00DA1D7D">
        <w:rPr>
          <w:rFonts w:cstheme="minorHAnsi"/>
          <w:sz w:val="22"/>
          <w:szCs w:val="22"/>
        </w:rPr>
        <w:t xml:space="preserve">across </w:t>
      </w:r>
      <w:r w:rsidRPr="00DA1D7D">
        <w:rPr>
          <w:rFonts w:cstheme="minorHAnsi"/>
          <w:sz w:val="22"/>
          <w:szCs w:val="22"/>
        </w:rPr>
        <w:t>its  network</w:t>
      </w:r>
      <w:r w:rsidR="00160211">
        <w:rPr>
          <w:rFonts w:cstheme="minorHAnsi"/>
          <w:sz w:val="22"/>
          <w:szCs w:val="22"/>
        </w:rPr>
        <w:t xml:space="preserve"> </w:t>
      </w:r>
      <w:r w:rsidR="00EB63A5">
        <w:rPr>
          <w:rFonts w:cstheme="minorHAnsi"/>
          <w:sz w:val="22"/>
          <w:szCs w:val="22"/>
        </w:rPr>
        <w:t xml:space="preserve">(see table 1) </w:t>
      </w:r>
      <w:r w:rsidR="00160211">
        <w:rPr>
          <w:rFonts w:cstheme="minorHAnsi"/>
          <w:sz w:val="22"/>
          <w:szCs w:val="22"/>
        </w:rPr>
        <w:t xml:space="preserve">– </w:t>
      </w:r>
      <w:r w:rsidR="00496DAD" w:rsidRPr="00DA1D7D">
        <w:rPr>
          <w:rFonts w:cstheme="minorHAnsi"/>
          <w:sz w:val="22"/>
          <w:szCs w:val="22"/>
        </w:rPr>
        <w:t xml:space="preserve">or </w:t>
      </w:r>
      <w:r w:rsidR="00160211">
        <w:rPr>
          <w:rFonts w:cstheme="minorHAnsi"/>
          <w:sz w:val="22"/>
          <w:szCs w:val="22"/>
        </w:rPr>
        <w:t xml:space="preserve">a </w:t>
      </w:r>
      <w:r w:rsidR="00496DAD" w:rsidRPr="00DA1D7D">
        <w:rPr>
          <w:rFonts w:cstheme="minorHAnsi"/>
          <w:sz w:val="22"/>
          <w:szCs w:val="22"/>
        </w:rPr>
        <w:t>‘junk food ad ban’ as it was widely referred to in the media</w:t>
      </w:r>
      <w:r w:rsidR="00160211">
        <w:rPr>
          <w:rFonts w:cstheme="minorHAnsi"/>
          <w:sz w:val="22"/>
          <w:szCs w:val="22"/>
        </w:rPr>
        <w:t xml:space="preserve"> – </w:t>
      </w:r>
      <w:r w:rsidR="00496DAD" w:rsidRPr="00DA1D7D">
        <w:rPr>
          <w:rFonts w:cstheme="minorHAnsi"/>
          <w:sz w:val="22"/>
          <w:szCs w:val="22"/>
        </w:rPr>
        <w:t>as</w:t>
      </w:r>
      <w:r w:rsidR="00160211">
        <w:rPr>
          <w:rFonts w:cstheme="minorHAnsi"/>
          <w:sz w:val="22"/>
          <w:szCs w:val="22"/>
        </w:rPr>
        <w:t xml:space="preserve"> </w:t>
      </w:r>
      <w:r w:rsidR="00496DAD" w:rsidRPr="00DA1D7D">
        <w:rPr>
          <w:rFonts w:cstheme="minorHAnsi"/>
          <w:sz w:val="22"/>
          <w:szCs w:val="22"/>
        </w:rPr>
        <w:t xml:space="preserve">part of  the Mayor’s strategy to tackle childhood </w:t>
      </w:r>
      <w:r w:rsidR="00496DAD" w:rsidRPr="00186F07">
        <w:rPr>
          <w:rFonts w:cstheme="minorHAnsi"/>
          <w:sz w:val="22"/>
          <w:szCs w:val="22"/>
        </w:rPr>
        <w:t xml:space="preserve">obesity </w:t>
      </w:r>
      <w:r w:rsidRPr="00452582">
        <w:rPr>
          <w:rFonts w:cstheme="minorHAnsi"/>
          <w:sz w:val="22"/>
          <w:szCs w:val="22"/>
        </w:rPr>
        <w:fldChar w:fldCharType="begin"/>
      </w:r>
      <w:r w:rsidR="008200DE" w:rsidRPr="00452582">
        <w:rPr>
          <w:rFonts w:cstheme="minorHAnsi"/>
          <w:sz w:val="22"/>
          <w:szCs w:val="22"/>
        </w:rPr>
        <w:instrText xml:space="preserve"> ADDIN EN.CITE &lt;EndNote&gt;&lt;Cite&gt;&lt;Author&gt;Mayor of London Transport for London&lt;/Author&gt;&lt;RecNum&gt;4&lt;/RecNum&gt;&lt;DisplayText&gt;(Mayor of London Transport for London)&lt;/DisplayText&gt;&lt;record&gt;&lt;rec-number&gt;4&lt;/rec-number&gt;&lt;foreign-keys&gt;&lt;key app="EN" db-id="wzprpxfe7t9fvgestwr5rrx7sv9vazf92ae5" timestamp="1562593543"&gt;4&lt;/key&gt;&lt;/foreign-keys&gt;&lt;ref-type name="Report"&gt;27&lt;/ref-type&gt;&lt;contributors&gt;&lt;authors&gt;&lt;author&gt;Mayor of London Transport for London,&lt;/author&gt;&lt;/authors&gt;&lt;/contributors&gt;&lt;titles&gt;&lt;title&gt;Annual Advertising Report 2017/18&lt;/title&gt;&lt;/titles&gt;&lt;dates&gt;&lt;/dates&gt;&lt;urls&gt;&lt;/urls&gt;&lt;/record&gt;&lt;/Cite&gt;&lt;/EndNote&gt;</w:instrText>
      </w:r>
      <w:r w:rsidRPr="00452582">
        <w:rPr>
          <w:rFonts w:cstheme="minorHAnsi"/>
          <w:sz w:val="22"/>
          <w:szCs w:val="22"/>
        </w:rPr>
        <w:fldChar w:fldCharType="separate"/>
      </w:r>
      <w:r w:rsidR="008200DE" w:rsidRPr="00452582">
        <w:rPr>
          <w:rFonts w:cstheme="minorHAnsi"/>
          <w:noProof/>
          <w:sz w:val="22"/>
          <w:szCs w:val="22"/>
        </w:rPr>
        <w:t>(Mayor of London Transport for London)</w:t>
      </w:r>
      <w:r w:rsidRPr="00452582">
        <w:rPr>
          <w:rFonts w:cstheme="minorHAnsi"/>
          <w:sz w:val="22"/>
          <w:szCs w:val="22"/>
        </w:rPr>
        <w:fldChar w:fldCharType="end"/>
      </w:r>
      <w:r w:rsidRPr="00186F07">
        <w:rPr>
          <w:rFonts w:cstheme="minorHAnsi"/>
          <w:sz w:val="22"/>
          <w:szCs w:val="22"/>
        </w:rPr>
        <w:t>.</w:t>
      </w:r>
      <w:r w:rsidR="00EC42B1" w:rsidRPr="00186F07">
        <w:rPr>
          <w:rFonts w:cstheme="minorHAnsi"/>
          <w:sz w:val="22"/>
          <w:szCs w:val="22"/>
        </w:rPr>
        <w:t xml:space="preserve">  </w:t>
      </w:r>
      <w:r w:rsidR="00496DAD" w:rsidRPr="00186F07">
        <w:rPr>
          <w:rFonts w:cstheme="minorHAnsi"/>
          <w:sz w:val="22"/>
          <w:szCs w:val="22"/>
        </w:rPr>
        <w:t>Under the</w:t>
      </w:r>
      <w:r w:rsidR="00496DAD">
        <w:rPr>
          <w:rFonts w:cstheme="minorHAnsi"/>
          <w:sz w:val="22"/>
          <w:szCs w:val="22"/>
        </w:rPr>
        <w:t xml:space="preserve"> policy, f</w:t>
      </w:r>
      <w:r w:rsidR="00267C5D">
        <w:rPr>
          <w:rFonts w:cstheme="minorHAnsi"/>
          <w:sz w:val="22"/>
          <w:szCs w:val="22"/>
        </w:rPr>
        <w:t>ood products were subject to the</w:t>
      </w:r>
      <w:r w:rsidR="00D14C4D">
        <w:rPr>
          <w:rFonts w:cstheme="minorHAnsi"/>
          <w:sz w:val="22"/>
          <w:szCs w:val="22"/>
        </w:rPr>
        <w:t xml:space="preserve"> advertising</w:t>
      </w:r>
      <w:r w:rsidR="00267C5D">
        <w:rPr>
          <w:rFonts w:cstheme="minorHAnsi"/>
          <w:sz w:val="22"/>
          <w:szCs w:val="22"/>
        </w:rPr>
        <w:t xml:space="preserve"> restrictions if</w:t>
      </w:r>
      <w:r w:rsidR="0025531C">
        <w:rPr>
          <w:rFonts w:cstheme="minorHAnsi"/>
          <w:sz w:val="22"/>
          <w:szCs w:val="22"/>
        </w:rPr>
        <w:t xml:space="preserve"> they were</w:t>
      </w:r>
      <w:r w:rsidR="00496DAD">
        <w:rPr>
          <w:rFonts w:cstheme="minorHAnsi"/>
          <w:sz w:val="22"/>
          <w:szCs w:val="22"/>
        </w:rPr>
        <w:t xml:space="preserve"> classified as HFSS under a </w:t>
      </w:r>
      <w:r w:rsidR="0054583F">
        <w:rPr>
          <w:rFonts w:cstheme="minorHAnsi"/>
          <w:sz w:val="22"/>
          <w:szCs w:val="22"/>
        </w:rPr>
        <w:t xml:space="preserve">points-based </w:t>
      </w:r>
      <w:r w:rsidR="00496DAD">
        <w:rPr>
          <w:rFonts w:cstheme="minorHAnsi"/>
          <w:sz w:val="22"/>
          <w:szCs w:val="22"/>
        </w:rPr>
        <w:t xml:space="preserve">nutrient profiling model </w:t>
      </w:r>
      <w:r w:rsidR="00496DAD">
        <w:rPr>
          <w:rFonts w:cstheme="minorHAnsi"/>
          <w:noProof/>
          <w:sz w:val="22"/>
          <w:szCs w:val="22"/>
        </w:rPr>
        <w:t>(NPM)</w:t>
      </w:r>
      <w:r w:rsidR="00540B7D">
        <w:rPr>
          <w:rFonts w:cstheme="minorHAnsi"/>
          <w:noProof/>
          <w:sz w:val="22"/>
          <w:szCs w:val="22"/>
        </w:rPr>
        <w:t>.</w:t>
      </w:r>
      <w:r w:rsidR="006420E6">
        <w:rPr>
          <w:rFonts w:cstheme="minorHAnsi"/>
          <w:noProof/>
          <w:sz w:val="22"/>
          <w:szCs w:val="22"/>
        </w:rPr>
        <w:t xml:space="preserve">  </w:t>
      </w:r>
      <w:r w:rsidR="00496DAD" w:rsidRPr="00186F07">
        <w:rPr>
          <w:rFonts w:cstheme="minorHAnsi"/>
          <w:noProof/>
          <w:sz w:val="22"/>
          <w:szCs w:val="22"/>
        </w:rPr>
        <w:t xml:space="preserve">The final nutrient profile score is calculated by subtracting the </w:t>
      </w:r>
      <w:r w:rsidR="00452582" w:rsidRPr="00186F07">
        <w:rPr>
          <w:rFonts w:cstheme="minorHAnsi"/>
          <w:noProof/>
          <w:sz w:val="22"/>
          <w:szCs w:val="22"/>
        </w:rPr>
        <w:t>fruit, vegetable, nut, fibre and protein content</w:t>
      </w:r>
      <w:r w:rsidR="00496DAD" w:rsidRPr="00186F07">
        <w:rPr>
          <w:rFonts w:cstheme="minorHAnsi"/>
          <w:noProof/>
          <w:sz w:val="22"/>
          <w:szCs w:val="22"/>
        </w:rPr>
        <w:t xml:space="preserve"> score from the</w:t>
      </w:r>
      <w:r w:rsidR="00452582">
        <w:rPr>
          <w:rFonts w:cstheme="minorHAnsi"/>
          <w:noProof/>
          <w:sz w:val="22"/>
          <w:szCs w:val="22"/>
        </w:rPr>
        <w:t xml:space="preserve"> </w:t>
      </w:r>
      <w:r w:rsidR="003F3FA3">
        <w:rPr>
          <w:rFonts w:cstheme="minorHAnsi"/>
          <w:noProof/>
          <w:sz w:val="22"/>
          <w:szCs w:val="22"/>
        </w:rPr>
        <w:t xml:space="preserve">energy </w:t>
      </w:r>
      <w:r w:rsidR="00452582" w:rsidRPr="002741F8">
        <w:rPr>
          <w:rFonts w:cstheme="minorHAnsi"/>
          <w:noProof/>
          <w:sz w:val="22"/>
          <w:szCs w:val="22"/>
        </w:rPr>
        <w:t>sugar, salt and saturated fats</w:t>
      </w:r>
      <w:r w:rsidR="0054583F">
        <w:rPr>
          <w:rFonts w:cstheme="minorHAnsi"/>
          <w:noProof/>
          <w:sz w:val="22"/>
          <w:szCs w:val="22"/>
        </w:rPr>
        <w:t xml:space="preserve"> score</w:t>
      </w:r>
      <w:r w:rsidR="00496DAD" w:rsidRPr="00186F07">
        <w:rPr>
          <w:rFonts w:cstheme="minorHAnsi"/>
          <w:noProof/>
          <w:sz w:val="22"/>
          <w:szCs w:val="22"/>
        </w:rPr>
        <w:t xml:space="preserve">.  Foods with a final </w:t>
      </w:r>
      <w:r w:rsidR="0054583F">
        <w:rPr>
          <w:rFonts w:cstheme="minorHAnsi"/>
          <w:noProof/>
          <w:sz w:val="22"/>
          <w:szCs w:val="22"/>
        </w:rPr>
        <w:t>s</w:t>
      </w:r>
      <w:r w:rsidR="00496DAD" w:rsidRPr="00452582">
        <w:rPr>
          <w:rFonts w:cstheme="minorHAnsi"/>
          <w:noProof/>
          <w:sz w:val="22"/>
          <w:szCs w:val="22"/>
        </w:rPr>
        <w:t xml:space="preserve">core of 4 or more </w:t>
      </w:r>
      <w:r w:rsidR="003F3FA3">
        <w:rPr>
          <w:rFonts w:cstheme="minorHAnsi"/>
          <w:noProof/>
          <w:sz w:val="22"/>
          <w:szCs w:val="22"/>
        </w:rPr>
        <w:t xml:space="preserve">and drinks with a final score of 1 or more </w:t>
      </w:r>
      <w:r w:rsidR="00496DAD" w:rsidRPr="00452582">
        <w:rPr>
          <w:rFonts w:cstheme="minorHAnsi"/>
          <w:noProof/>
          <w:sz w:val="22"/>
          <w:szCs w:val="22"/>
        </w:rPr>
        <w:t xml:space="preserve">are classified as HFSS </w:t>
      </w:r>
      <w:r w:rsidR="00496DAD" w:rsidRPr="00452582">
        <w:rPr>
          <w:rFonts w:cstheme="minorHAnsi"/>
          <w:noProof/>
          <w:sz w:val="22"/>
          <w:szCs w:val="22"/>
        </w:rPr>
        <w:fldChar w:fldCharType="begin"/>
      </w:r>
      <w:r w:rsidR="00C00B26" w:rsidRPr="00452582">
        <w:rPr>
          <w:rFonts w:cstheme="minorHAnsi"/>
          <w:noProof/>
          <w:sz w:val="22"/>
          <w:szCs w:val="22"/>
        </w:rPr>
        <w:instrText xml:space="preserve"> ADDIN EN.CITE &lt;EndNote&gt;&lt;Cite&gt;&lt;Author&gt;Department of Health&lt;/Author&gt;&lt;Year&gt;2011&lt;/Year&gt;&lt;RecNum&gt;287&lt;/RecNum&gt;&lt;DisplayText&gt;(Advertising Standards Authority, 2017; Department of Health, 2011)&lt;/DisplayText&gt;&lt;record&gt;&lt;rec-number&gt;287&lt;/rec-number&gt;&lt;foreign-keys&gt;&lt;key app="EN" db-id="wz0s5vxeow0299ew9xqvdsw7t0xf9w02z5wt" timestamp="1602249043"&gt;287&lt;/key&gt;&lt;/foreign-keys&gt;&lt;ref-type name="Report"&gt;27&lt;/ref-type&gt;&lt;contributors&gt;&lt;authors&gt;&lt;author&gt;Department of Health,&lt;/author&gt;&lt;/authors&gt;&lt;/contributors&gt;&lt;titles&gt;&lt;title&gt;Nutrient Profiling Technical Guidance&lt;/title&gt;&lt;/titles&gt;&lt;dates&gt;&lt;year&gt;2011&lt;/year&gt;&lt;/dates&gt;&lt;publisher&gt;Obesity Team&lt;/publisher&gt;&lt;urls&gt;&lt;related-urls&gt;&lt;url&gt;https://assets.publishing.service.gov.uk/government/uploads/system/uploads/attachment_data/file/216094/dh_123492.pdf&lt;/url&gt;&lt;/related-urls&gt;&lt;/urls&gt;&lt;/record&gt;&lt;/Cite&gt;&lt;Cite&gt;&lt;Author&gt;Advertising Standards Authority&lt;/Author&gt;&lt;Year&gt;2017&lt;/Year&gt;&lt;RecNum&gt;319&lt;/RecNum&gt;&lt;record&gt;&lt;rec-number&gt;319&lt;/rec-number&gt;&lt;foreign-keys&gt;&lt;key app="EN" db-id="wz0s5vxeow0299ew9xqvdsw7t0xf9w02z5wt" timestamp="1606302551"&gt;319&lt;/key&gt;&lt;/foreign-keys&gt;&lt;ref-type name="Web Page"&gt;12&lt;/ref-type&gt;&lt;contributors&gt;&lt;authors&gt;&lt;author&gt;Advertising Standards Authority,&lt;/author&gt;&lt;/authors&gt;&lt;/contributors&gt;&lt;titles&gt;&lt;title&gt;Food: HFSS Nutrient Profiling&lt;/title&gt;&lt;/titles&gt;&lt;dates&gt;&lt;year&gt;2017&lt;/year&gt;&lt;/dates&gt;&lt;publisher&gt;ASA and CAP&lt;/publisher&gt;&lt;urls&gt;&lt;related-urls&gt;&lt;url&gt;https://www.asa.org.uk/advice-online/food-hfss-nutrient-profiling.html#:~:text=HFSS%20products%20are%20food%20and,as%20identified%20using%20nutrient%20profiling.&amp;amp;text=Points%20are%20awarded%20for%20&amp;apos;A,content%2C%20fibre%20and%20protein&lt;/url&gt;&lt;/related-urls&gt;&lt;/urls&gt;&lt;/record&gt;&lt;/Cite&gt;&lt;/EndNote&gt;</w:instrText>
      </w:r>
      <w:r w:rsidR="00496DAD" w:rsidRPr="00452582">
        <w:rPr>
          <w:rFonts w:cstheme="minorHAnsi"/>
          <w:noProof/>
          <w:sz w:val="22"/>
          <w:szCs w:val="22"/>
        </w:rPr>
        <w:fldChar w:fldCharType="separate"/>
      </w:r>
      <w:r w:rsidR="00C00B26" w:rsidRPr="00452582">
        <w:rPr>
          <w:rFonts w:cstheme="minorHAnsi"/>
          <w:noProof/>
          <w:sz w:val="22"/>
          <w:szCs w:val="22"/>
        </w:rPr>
        <w:t>(Advertising Standards Authority, 2017; Department of Health, 2011)</w:t>
      </w:r>
      <w:r w:rsidR="00496DAD" w:rsidRPr="00452582">
        <w:rPr>
          <w:rFonts w:cstheme="minorHAnsi"/>
          <w:noProof/>
          <w:sz w:val="22"/>
          <w:szCs w:val="22"/>
        </w:rPr>
        <w:fldChar w:fldCharType="end"/>
      </w:r>
      <w:r w:rsidR="00496DAD" w:rsidRPr="00186F07">
        <w:rPr>
          <w:rFonts w:cstheme="minorHAnsi"/>
          <w:noProof/>
          <w:sz w:val="22"/>
          <w:szCs w:val="22"/>
        </w:rPr>
        <w:t xml:space="preserve">.  The NPM model has been in use since </w:t>
      </w:r>
      <w:r w:rsidR="0011603A" w:rsidRPr="00186F07">
        <w:rPr>
          <w:rFonts w:cstheme="minorHAnsi"/>
          <w:noProof/>
          <w:sz w:val="22"/>
          <w:szCs w:val="22"/>
        </w:rPr>
        <w:t>2007 i</w:t>
      </w:r>
      <w:r w:rsidR="00496DAD" w:rsidRPr="00186F07">
        <w:rPr>
          <w:rFonts w:cstheme="minorHAnsi"/>
          <w:noProof/>
          <w:sz w:val="22"/>
          <w:szCs w:val="22"/>
        </w:rPr>
        <w:t>n the UK to determine what foods can be advertised on tele</w:t>
      </w:r>
      <w:r w:rsidR="00496DAD" w:rsidRPr="00452582">
        <w:rPr>
          <w:rFonts w:cstheme="minorHAnsi"/>
          <w:noProof/>
          <w:sz w:val="22"/>
          <w:szCs w:val="22"/>
        </w:rPr>
        <w:t>vision.</w:t>
      </w:r>
    </w:p>
    <w:p w14:paraId="2B4DA11B" w14:textId="77777777" w:rsidR="00E12ED5" w:rsidRDefault="00E12ED5" w:rsidP="00E12ED5">
      <w:pPr>
        <w:pStyle w:val="CommentText"/>
        <w:rPr>
          <w:rFonts w:cstheme="minorHAnsi"/>
          <w:b/>
        </w:rPr>
      </w:pPr>
    </w:p>
    <w:p w14:paraId="7E7B8D91" w14:textId="06DCD095" w:rsidR="00496DAD" w:rsidRPr="006975A4" w:rsidRDefault="00E12ED5" w:rsidP="006975A4">
      <w:pPr>
        <w:pStyle w:val="CommentText"/>
        <w:rPr>
          <w:rFonts w:cstheme="minorHAnsi"/>
          <w:b/>
          <w:sz w:val="22"/>
          <w:szCs w:val="22"/>
        </w:rPr>
      </w:pPr>
      <w:r w:rsidRPr="006975A4">
        <w:rPr>
          <w:rFonts w:cstheme="minorHAnsi"/>
          <w:b/>
          <w:sz w:val="22"/>
          <w:szCs w:val="22"/>
        </w:rPr>
        <w:t xml:space="preserve">Table 1 </w:t>
      </w:r>
      <w:r w:rsidRPr="006975A4">
        <w:rPr>
          <w:rFonts w:cstheme="minorHAnsi"/>
          <w:sz w:val="22"/>
          <w:szCs w:val="22"/>
        </w:rPr>
        <w:t>Timeline and details of the TfL HFSS advertising restrictions</w:t>
      </w:r>
    </w:p>
    <w:tbl>
      <w:tblPr>
        <w:tblStyle w:val="TableGrid"/>
        <w:tblW w:w="0" w:type="auto"/>
        <w:tblLook w:val="04A0" w:firstRow="1" w:lastRow="0" w:firstColumn="1" w:lastColumn="0" w:noHBand="0" w:noVBand="1"/>
      </w:tblPr>
      <w:tblGrid>
        <w:gridCol w:w="1696"/>
        <w:gridCol w:w="7320"/>
      </w:tblGrid>
      <w:tr w:rsidR="001C27B4" w:rsidRPr="00F9642B" w14:paraId="2CE85672" w14:textId="77777777" w:rsidTr="00EB63A5">
        <w:tc>
          <w:tcPr>
            <w:tcW w:w="1696" w:type="dxa"/>
            <w:shd w:val="clear" w:color="auto" w:fill="E7E6E6" w:themeFill="background2"/>
          </w:tcPr>
          <w:p w14:paraId="080EF1A4" w14:textId="20AD5CF3" w:rsidR="001C27B4" w:rsidRPr="009B5233" w:rsidRDefault="001C27B4" w:rsidP="00AD7F76">
            <w:pPr>
              <w:pStyle w:val="CommentText"/>
              <w:keepNext/>
              <w:keepLines/>
              <w:spacing w:before="60" w:after="60" w:line="360" w:lineRule="auto"/>
              <w:jc w:val="center"/>
              <w:rPr>
                <w:rFonts w:cstheme="minorHAnsi"/>
                <w:b/>
                <w:sz w:val="22"/>
                <w:szCs w:val="22"/>
              </w:rPr>
            </w:pPr>
            <w:r w:rsidRPr="009B5233">
              <w:rPr>
                <w:rFonts w:cstheme="minorHAnsi"/>
                <w:b/>
                <w:sz w:val="22"/>
                <w:szCs w:val="22"/>
              </w:rPr>
              <w:lastRenderedPageBreak/>
              <w:t>Date</w:t>
            </w:r>
          </w:p>
        </w:tc>
        <w:tc>
          <w:tcPr>
            <w:tcW w:w="7320" w:type="dxa"/>
            <w:shd w:val="clear" w:color="auto" w:fill="E7E6E6" w:themeFill="background2"/>
          </w:tcPr>
          <w:p w14:paraId="4058E224" w14:textId="28B29FAB" w:rsidR="001C27B4" w:rsidRPr="009B5233" w:rsidRDefault="001C27B4" w:rsidP="00AD7F76">
            <w:pPr>
              <w:pStyle w:val="CommentText"/>
              <w:keepNext/>
              <w:keepLines/>
              <w:spacing w:before="60" w:after="60" w:line="360" w:lineRule="auto"/>
              <w:jc w:val="center"/>
              <w:rPr>
                <w:rFonts w:cstheme="minorHAnsi"/>
                <w:b/>
                <w:sz w:val="22"/>
                <w:szCs w:val="22"/>
              </w:rPr>
            </w:pPr>
            <w:r w:rsidRPr="009B5233">
              <w:rPr>
                <w:rFonts w:cstheme="minorHAnsi"/>
                <w:b/>
                <w:sz w:val="22"/>
                <w:szCs w:val="22"/>
              </w:rPr>
              <w:t>Development</w:t>
            </w:r>
          </w:p>
        </w:tc>
      </w:tr>
      <w:tr w:rsidR="001C27B4" w:rsidRPr="00F9642B" w14:paraId="1D093980" w14:textId="77777777" w:rsidTr="00EB63A5">
        <w:tc>
          <w:tcPr>
            <w:tcW w:w="1696" w:type="dxa"/>
          </w:tcPr>
          <w:p w14:paraId="6849254F" w14:textId="5D4A3AB6" w:rsidR="001C27B4" w:rsidRPr="009B5233" w:rsidRDefault="00F95484" w:rsidP="00AD7F76">
            <w:pPr>
              <w:pStyle w:val="CommentText"/>
              <w:keepNext/>
              <w:keepLines/>
              <w:spacing w:before="60" w:after="60" w:line="360" w:lineRule="auto"/>
              <w:rPr>
                <w:rFonts w:cstheme="minorHAnsi"/>
                <w:sz w:val="22"/>
                <w:szCs w:val="22"/>
              </w:rPr>
            </w:pPr>
            <w:r w:rsidRPr="009B5233">
              <w:rPr>
                <w:rFonts w:cstheme="minorHAnsi"/>
                <w:sz w:val="22"/>
                <w:szCs w:val="22"/>
              </w:rPr>
              <w:t>May 2018</w:t>
            </w:r>
          </w:p>
        </w:tc>
        <w:tc>
          <w:tcPr>
            <w:tcW w:w="7320" w:type="dxa"/>
          </w:tcPr>
          <w:p w14:paraId="592935FE" w14:textId="7C60CBEA" w:rsidR="00EB63A5" w:rsidRPr="009B5233" w:rsidRDefault="00F95484" w:rsidP="00AD7F76">
            <w:pPr>
              <w:pStyle w:val="CommentText"/>
              <w:keepNext/>
              <w:keepLines/>
              <w:spacing w:before="60" w:after="60" w:line="360" w:lineRule="auto"/>
              <w:rPr>
                <w:rFonts w:cstheme="minorHAnsi"/>
                <w:sz w:val="22"/>
                <w:szCs w:val="22"/>
              </w:rPr>
            </w:pPr>
            <w:r w:rsidRPr="009B5233">
              <w:rPr>
                <w:rFonts w:cstheme="minorHAnsi"/>
                <w:color w:val="000000" w:themeColor="text1"/>
                <w:sz w:val="22"/>
                <w:szCs w:val="22"/>
              </w:rPr>
              <w:t>Launch of the public consultation</w:t>
            </w:r>
            <w:r w:rsidR="00ED6B2C" w:rsidRPr="009B5233">
              <w:rPr>
                <w:rFonts w:cstheme="minorHAnsi"/>
                <w:color w:val="000000" w:themeColor="text1"/>
                <w:sz w:val="22"/>
                <w:szCs w:val="22"/>
              </w:rPr>
              <w:t xml:space="preserve"> on the ban</w:t>
            </w:r>
          </w:p>
        </w:tc>
      </w:tr>
      <w:tr w:rsidR="00ED6B2C" w:rsidRPr="00F9642B" w14:paraId="20A6D2E6" w14:textId="77777777" w:rsidTr="00EB63A5">
        <w:tc>
          <w:tcPr>
            <w:tcW w:w="1696" w:type="dxa"/>
          </w:tcPr>
          <w:p w14:paraId="49711020" w14:textId="4A15B4EF" w:rsidR="00ED6B2C" w:rsidRPr="009B5233" w:rsidRDefault="00ED6B2C" w:rsidP="00AD7F76">
            <w:pPr>
              <w:pStyle w:val="CommentText"/>
              <w:keepNext/>
              <w:keepLines/>
              <w:spacing w:before="60" w:after="60" w:line="360" w:lineRule="auto"/>
              <w:rPr>
                <w:rFonts w:cstheme="minorHAnsi"/>
                <w:sz w:val="22"/>
                <w:szCs w:val="22"/>
              </w:rPr>
            </w:pPr>
            <w:r w:rsidRPr="009B5233">
              <w:rPr>
                <w:rFonts w:cstheme="minorHAnsi"/>
                <w:sz w:val="22"/>
                <w:szCs w:val="22"/>
              </w:rPr>
              <w:t>November 2018</w:t>
            </w:r>
          </w:p>
        </w:tc>
        <w:tc>
          <w:tcPr>
            <w:tcW w:w="7320" w:type="dxa"/>
          </w:tcPr>
          <w:p w14:paraId="32A49AF0" w14:textId="77777777" w:rsidR="00EB63A5" w:rsidRDefault="00ED6B2C" w:rsidP="00AD7F76">
            <w:pPr>
              <w:keepNext/>
              <w:keepLines/>
              <w:spacing w:before="60" w:after="60" w:line="360" w:lineRule="auto"/>
              <w:rPr>
                <w:rFonts w:cstheme="minorHAnsi"/>
                <w:color w:val="000000" w:themeColor="text1"/>
              </w:rPr>
            </w:pPr>
            <w:r w:rsidRPr="009B5233">
              <w:rPr>
                <w:rFonts w:cstheme="minorHAnsi"/>
                <w:color w:val="000000" w:themeColor="text1"/>
              </w:rPr>
              <w:t>Announcement of the ban</w:t>
            </w:r>
          </w:p>
          <w:p w14:paraId="11846F19" w14:textId="20212567" w:rsidR="00EB63A5" w:rsidRPr="009B5233" w:rsidRDefault="00EB63A5" w:rsidP="00AD7F76">
            <w:pPr>
              <w:keepNext/>
              <w:keepLines/>
              <w:spacing w:before="60" w:after="60" w:line="360" w:lineRule="auto"/>
              <w:rPr>
                <w:rFonts w:cstheme="minorHAnsi"/>
                <w:color w:val="000000" w:themeColor="text1"/>
              </w:rPr>
            </w:pPr>
          </w:p>
        </w:tc>
      </w:tr>
      <w:tr w:rsidR="001C27B4" w:rsidRPr="00F9642B" w14:paraId="6F2CE218" w14:textId="77777777" w:rsidTr="00EB63A5">
        <w:tc>
          <w:tcPr>
            <w:tcW w:w="1696" w:type="dxa"/>
          </w:tcPr>
          <w:p w14:paraId="05EFB061" w14:textId="58B2F973" w:rsidR="001C27B4" w:rsidRPr="009B5233" w:rsidRDefault="00B17C53" w:rsidP="00AD7F76">
            <w:pPr>
              <w:pStyle w:val="CommentText"/>
              <w:keepNext/>
              <w:keepLines/>
              <w:spacing w:before="60" w:after="60" w:line="360" w:lineRule="auto"/>
              <w:rPr>
                <w:rFonts w:cstheme="minorHAnsi"/>
                <w:sz w:val="22"/>
                <w:szCs w:val="22"/>
              </w:rPr>
            </w:pPr>
            <w:r w:rsidRPr="009B5233">
              <w:rPr>
                <w:rFonts w:cstheme="minorHAnsi"/>
                <w:sz w:val="22"/>
                <w:szCs w:val="22"/>
              </w:rPr>
              <w:t>February 2019</w:t>
            </w:r>
          </w:p>
        </w:tc>
        <w:tc>
          <w:tcPr>
            <w:tcW w:w="7320" w:type="dxa"/>
          </w:tcPr>
          <w:p w14:paraId="24F1D393" w14:textId="1B93C86F" w:rsidR="006A2E80" w:rsidRPr="009B5233" w:rsidRDefault="00797C8F" w:rsidP="00AD7F76">
            <w:pPr>
              <w:pStyle w:val="CommentText"/>
              <w:keepNext/>
              <w:keepLines/>
              <w:spacing w:before="60" w:after="60" w:line="360" w:lineRule="auto"/>
              <w:rPr>
                <w:rFonts w:cstheme="minorHAnsi"/>
                <w:color w:val="000000" w:themeColor="text1"/>
                <w:sz w:val="22"/>
                <w:szCs w:val="22"/>
              </w:rPr>
            </w:pPr>
            <w:r w:rsidRPr="009B5233">
              <w:rPr>
                <w:rFonts w:cstheme="minorHAnsi"/>
                <w:color w:val="000000" w:themeColor="text1"/>
                <w:sz w:val="22"/>
                <w:szCs w:val="22"/>
              </w:rPr>
              <w:t>Implementation of the ban</w:t>
            </w:r>
            <w:r w:rsidR="00654993" w:rsidRPr="009B5233">
              <w:rPr>
                <w:rFonts w:cstheme="minorHAnsi"/>
                <w:color w:val="000000" w:themeColor="text1"/>
                <w:sz w:val="22"/>
                <w:szCs w:val="22"/>
              </w:rPr>
              <w:t xml:space="preserve">. </w:t>
            </w:r>
            <w:r w:rsidR="00B871D3" w:rsidRPr="009B5233">
              <w:rPr>
                <w:rFonts w:cstheme="minorHAnsi"/>
                <w:color w:val="000000" w:themeColor="text1"/>
                <w:sz w:val="22"/>
                <w:szCs w:val="22"/>
              </w:rPr>
              <w:t>No foods are banned automatically, rather individual products are objectively assessed against the N</w:t>
            </w:r>
            <w:r w:rsidR="003B2E10" w:rsidRPr="009B5233">
              <w:rPr>
                <w:rFonts w:cstheme="minorHAnsi"/>
                <w:color w:val="000000" w:themeColor="text1"/>
                <w:sz w:val="22"/>
                <w:szCs w:val="22"/>
              </w:rPr>
              <w:t>P</w:t>
            </w:r>
            <w:r w:rsidR="00B871D3" w:rsidRPr="009B5233">
              <w:rPr>
                <w:rFonts w:cstheme="minorHAnsi"/>
                <w:color w:val="000000" w:themeColor="text1"/>
                <w:sz w:val="22"/>
                <w:szCs w:val="22"/>
              </w:rPr>
              <w:t>M</w:t>
            </w:r>
            <w:r w:rsidR="00E12ED5">
              <w:rPr>
                <w:rFonts w:cstheme="minorHAnsi"/>
                <w:color w:val="000000" w:themeColor="text1"/>
                <w:sz w:val="22"/>
                <w:szCs w:val="22"/>
              </w:rPr>
              <w:t>. A score of 4+</w:t>
            </w:r>
            <w:r w:rsidR="00E12ED5" w:rsidRPr="00E12ED5">
              <w:rPr>
                <w:rFonts w:cstheme="minorHAnsi"/>
                <w:color w:val="000000" w:themeColor="text1"/>
                <w:sz w:val="22"/>
                <w:szCs w:val="22"/>
              </w:rPr>
              <w:t xml:space="preserve"> </w:t>
            </w:r>
            <w:r w:rsidR="003F3FA3">
              <w:rPr>
                <w:rFonts w:cstheme="minorHAnsi"/>
                <w:color w:val="000000" w:themeColor="text1"/>
                <w:sz w:val="22"/>
                <w:szCs w:val="22"/>
              </w:rPr>
              <w:t xml:space="preserve">for foods and 1+ for drinks </w:t>
            </w:r>
            <w:r w:rsidR="00E12ED5" w:rsidRPr="00E12ED5">
              <w:rPr>
                <w:rFonts w:cstheme="minorHAnsi"/>
                <w:color w:val="000000" w:themeColor="text1"/>
                <w:sz w:val="22"/>
                <w:szCs w:val="22"/>
              </w:rPr>
              <w:t>classif</w:t>
            </w:r>
            <w:r w:rsidR="00E12ED5">
              <w:rPr>
                <w:rFonts w:cstheme="minorHAnsi"/>
                <w:color w:val="000000" w:themeColor="text1"/>
                <w:sz w:val="22"/>
                <w:szCs w:val="22"/>
              </w:rPr>
              <w:t>ies</w:t>
            </w:r>
            <w:r w:rsidR="00E12ED5" w:rsidRPr="00E12ED5">
              <w:rPr>
                <w:rFonts w:cstheme="minorHAnsi"/>
                <w:color w:val="000000" w:themeColor="text1"/>
                <w:sz w:val="22"/>
                <w:szCs w:val="22"/>
              </w:rPr>
              <w:t xml:space="preserve"> them as HFSS</w:t>
            </w:r>
            <w:r w:rsidR="003B2E10" w:rsidRPr="009B5233">
              <w:rPr>
                <w:rFonts w:cstheme="minorHAnsi"/>
                <w:color w:val="000000" w:themeColor="text1"/>
                <w:sz w:val="22"/>
                <w:szCs w:val="22"/>
              </w:rPr>
              <w:t>.</w:t>
            </w:r>
            <w:r w:rsidR="00FF524C" w:rsidRPr="009B5233">
              <w:rPr>
                <w:rFonts w:cstheme="minorHAnsi"/>
                <w:color w:val="000000" w:themeColor="text1"/>
                <w:sz w:val="22"/>
                <w:szCs w:val="22"/>
              </w:rPr>
              <w:t xml:space="preserve"> </w:t>
            </w:r>
            <w:r w:rsidR="006A2E80" w:rsidRPr="009B5233">
              <w:rPr>
                <w:rFonts w:cstheme="minorHAnsi"/>
                <w:color w:val="000000" w:themeColor="text1"/>
                <w:sz w:val="22"/>
                <w:szCs w:val="22"/>
              </w:rPr>
              <w:t xml:space="preserve"> </w:t>
            </w:r>
          </w:p>
          <w:p w14:paraId="574E3AA6" w14:textId="0320E6AC" w:rsidR="006A2E80" w:rsidRPr="009B5233" w:rsidRDefault="00763B69" w:rsidP="00AD7F76">
            <w:pPr>
              <w:pStyle w:val="Default"/>
              <w:keepNext/>
              <w:keepLines/>
              <w:spacing w:before="60" w:after="60" w:line="360" w:lineRule="auto"/>
              <w:rPr>
                <w:rFonts w:asciiTheme="minorHAnsi" w:hAnsiTheme="minorHAnsi" w:cstheme="minorHAnsi"/>
                <w:color w:val="000000" w:themeColor="text1"/>
                <w:sz w:val="22"/>
                <w:szCs w:val="22"/>
              </w:rPr>
            </w:pPr>
            <w:r w:rsidRPr="009B5233">
              <w:rPr>
                <w:rFonts w:asciiTheme="minorHAnsi" w:hAnsiTheme="minorHAnsi" w:cstheme="minorHAnsi"/>
                <w:color w:val="000000" w:themeColor="text1"/>
                <w:sz w:val="22"/>
                <w:szCs w:val="22"/>
              </w:rPr>
              <w:t>Products classified as HFSS</w:t>
            </w:r>
            <w:r w:rsidR="00C868F3" w:rsidRPr="009B5233">
              <w:rPr>
                <w:rFonts w:asciiTheme="minorHAnsi" w:hAnsiTheme="minorHAnsi" w:cstheme="minorHAnsi"/>
                <w:color w:val="000000" w:themeColor="text1"/>
                <w:sz w:val="22"/>
                <w:szCs w:val="22"/>
              </w:rPr>
              <w:t xml:space="preserve"> c</w:t>
            </w:r>
            <w:r w:rsidR="006A2E80" w:rsidRPr="009B5233">
              <w:rPr>
                <w:rFonts w:asciiTheme="minorHAnsi" w:hAnsiTheme="minorHAnsi" w:cstheme="minorHAnsi"/>
                <w:color w:val="000000" w:themeColor="text1"/>
                <w:sz w:val="22"/>
                <w:szCs w:val="22"/>
              </w:rPr>
              <w:t xml:space="preserve">an be considered for an exception </w:t>
            </w:r>
            <w:r w:rsidR="002001FB" w:rsidRPr="009B5233">
              <w:rPr>
                <w:rFonts w:asciiTheme="minorHAnsi" w:hAnsiTheme="minorHAnsi" w:cstheme="minorHAnsi"/>
                <w:color w:val="000000" w:themeColor="text1"/>
                <w:sz w:val="22"/>
                <w:szCs w:val="22"/>
              </w:rPr>
              <w:t xml:space="preserve">if the advertiser </w:t>
            </w:r>
            <w:r w:rsidR="006A2E80" w:rsidRPr="009B5233">
              <w:rPr>
                <w:rFonts w:asciiTheme="minorHAnsi" w:hAnsiTheme="minorHAnsi" w:cstheme="minorHAnsi"/>
                <w:color w:val="000000" w:themeColor="text1"/>
                <w:sz w:val="22"/>
                <w:szCs w:val="22"/>
              </w:rPr>
              <w:t xml:space="preserve">can demonstrate that the product does not contribute to </w:t>
            </w:r>
            <w:r w:rsidR="00471EB5" w:rsidRPr="009B5233">
              <w:rPr>
                <w:rFonts w:asciiTheme="minorHAnsi" w:hAnsiTheme="minorHAnsi" w:cstheme="minorHAnsi"/>
                <w:color w:val="000000" w:themeColor="text1"/>
                <w:sz w:val="22"/>
                <w:szCs w:val="22"/>
              </w:rPr>
              <w:t xml:space="preserve">consumption of </w:t>
            </w:r>
            <w:r w:rsidR="006A2E80" w:rsidRPr="009B5233">
              <w:rPr>
                <w:rFonts w:asciiTheme="minorHAnsi" w:hAnsiTheme="minorHAnsi" w:cstheme="minorHAnsi"/>
                <w:color w:val="000000" w:themeColor="text1"/>
                <w:sz w:val="22"/>
                <w:szCs w:val="22"/>
              </w:rPr>
              <w:t>HFSS</w:t>
            </w:r>
            <w:r w:rsidR="003B0DBC">
              <w:rPr>
                <w:rFonts w:asciiTheme="minorHAnsi" w:hAnsiTheme="minorHAnsi" w:cstheme="minorHAnsi"/>
                <w:color w:val="000000" w:themeColor="text1"/>
                <w:sz w:val="22"/>
                <w:szCs w:val="22"/>
              </w:rPr>
              <w:t xml:space="preserve"> foods</w:t>
            </w:r>
            <w:r w:rsidR="006A2E80" w:rsidRPr="009B5233">
              <w:rPr>
                <w:rFonts w:asciiTheme="minorHAnsi" w:hAnsiTheme="minorHAnsi" w:cstheme="minorHAnsi"/>
                <w:color w:val="000000" w:themeColor="text1"/>
                <w:sz w:val="22"/>
                <w:szCs w:val="22"/>
              </w:rPr>
              <w:t xml:space="preserve"> </w:t>
            </w:r>
            <w:r w:rsidR="00471EB5" w:rsidRPr="009B5233">
              <w:rPr>
                <w:rFonts w:asciiTheme="minorHAnsi" w:hAnsiTheme="minorHAnsi" w:cstheme="minorHAnsi"/>
                <w:color w:val="000000" w:themeColor="text1"/>
                <w:sz w:val="22"/>
                <w:szCs w:val="22"/>
              </w:rPr>
              <w:t>by</w:t>
            </w:r>
            <w:r w:rsidR="006A2E80" w:rsidRPr="009B5233">
              <w:rPr>
                <w:rFonts w:asciiTheme="minorHAnsi" w:hAnsiTheme="minorHAnsi" w:cstheme="minorHAnsi"/>
                <w:color w:val="000000" w:themeColor="text1"/>
                <w:sz w:val="22"/>
                <w:szCs w:val="22"/>
              </w:rPr>
              <w:t xml:space="preserve"> children. </w:t>
            </w:r>
            <w:r w:rsidR="0012200F" w:rsidRPr="009B5233">
              <w:rPr>
                <w:rFonts w:asciiTheme="minorHAnsi" w:hAnsiTheme="minorHAnsi" w:cstheme="minorHAnsi"/>
                <w:color w:val="000000" w:themeColor="text1"/>
                <w:sz w:val="22"/>
                <w:szCs w:val="22"/>
              </w:rPr>
              <w:t xml:space="preserve"> </w:t>
            </w:r>
          </w:p>
        </w:tc>
      </w:tr>
      <w:tr w:rsidR="001C27B4" w:rsidRPr="00F9642B" w14:paraId="3A37A06A" w14:textId="77777777" w:rsidTr="00EB63A5">
        <w:tc>
          <w:tcPr>
            <w:tcW w:w="1696" w:type="dxa"/>
          </w:tcPr>
          <w:p w14:paraId="7D86C50F" w14:textId="6AD33526" w:rsidR="001C27B4" w:rsidRPr="009B5233" w:rsidRDefault="00A65EF1" w:rsidP="00AD7F76">
            <w:pPr>
              <w:pStyle w:val="CommentText"/>
              <w:keepNext/>
              <w:keepLines/>
              <w:spacing w:before="60" w:after="60" w:line="360" w:lineRule="auto"/>
              <w:rPr>
                <w:rFonts w:cstheme="minorHAnsi"/>
                <w:sz w:val="22"/>
                <w:szCs w:val="22"/>
              </w:rPr>
            </w:pPr>
            <w:r w:rsidRPr="009B5233">
              <w:rPr>
                <w:rFonts w:cstheme="minorHAnsi"/>
                <w:sz w:val="22"/>
                <w:szCs w:val="22"/>
              </w:rPr>
              <w:t>June 2019</w:t>
            </w:r>
          </w:p>
        </w:tc>
        <w:tc>
          <w:tcPr>
            <w:tcW w:w="7320" w:type="dxa"/>
          </w:tcPr>
          <w:p w14:paraId="2E8598E4" w14:textId="77777777" w:rsidR="001C27B4" w:rsidRDefault="00671A61" w:rsidP="00AD7F76">
            <w:pPr>
              <w:pStyle w:val="CommentText"/>
              <w:keepNext/>
              <w:keepLines/>
              <w:spacing w:before="60" w:after="60" w:line="360" w:lineRule="auto"/>
              <w:rPr>
                <w:rFonts w:cstheme="minorHAnsi"/>
                <w:color w:val="000000" w:themeColor="text1"/>
                <w:sz w:val="22"/>
                <w:szCs w:val="22"/>
              </w:rPr>
            </w:pPr>
            <w:r w:rsidRPr="009B5233">
              <w:rPr>
                <w:rFonts w:cstheme="minorHAnsi"/>
                <w:color w:val="000000" w:themeColor="text1"/>
                <w:sz w:val="22"/>
                <w:szCs w:val="22"/>
              </w:rPr>
              <w:t>TfL issues updated guidance to advertisers</w:t>
            </w:r>
            <w:r w:rsidR="002B1074" w:rsidRPr="009B5233">
              <w:rPr>
                <w:rFonts w:cstheme="minorHAnsi"/>
                <w:color w:val="000000" w:themeColor="text1"/>
                <w:sz w:val="22"/>
                <w:szCs w:val="22"/>
              </w:rPr>
              <w:t xml:space="preserve"> on what is acceptable to advertise</w:t>
            </w:r>
          </w:p>
          <w:p w14:paraId="3642C2CA" w14:textId="11A2D301" w:rsidR="00EB63A5" w:rsidRPr="009B5233" w:rsidRDefault="00EB63A5" w:rsidP="00AD7F76">
            <w:pPr>
              <w:pStyle w:val="CommentText"/>
              <w:keepNext/>
              <w:keepLines/>
              <w:spacing w:before="60" w:after="60" w:line="360" w:lineRule="auto"/>
              <w:rPr>
                <w:rFonts w:cstheme="minorHAnsi"/>
                <w:color w:val="000000" w:themeColor="text1"/>
                <w:sz w:val="22"/>
                <w:szCs w:val="22"/>
              </w:rPr>
            </w:pPr>
          </w:p>
        </w:tc>
      </w:tr>
    </w:tbl>
    <w:p w14:paraId="08BFD975" w14:textId="4FEBE3A2" w:rsidR="008D2A05" w:rsidRPr="00F9642B" w:rsidRDefault="008D2A05" w:rsidP="000E7EC6">
      <w:pPr>
        <w:pStyle w:val="CommentText"/>
        <w:spacing w:after="0" w:line="360" w:lineRule="auto"/>
        <w:contextualSpacing/>
        <w:rPr>
          <w:rFonts w:cstheme="minorHAnsi"/>
          <w:sz w:val="22"/>
          <w:szCs w:val="22"/>
        </w:rPr>
      </w:pPr>
    </w:p>
    <w:p w14:paraId="2AD2EDF3" w14:textId="5A804884" w:rsidR="00573C82" w:rsidRDefault="00E133DA" w:rsidP="00AB73B6">
      <w:pPr>
        <w:pStyle w:val="CommentText"/>
        <w:spacing w:after="0" w:line="360" w:lineRule="auto"/>
        <w:contextualSpacing/>
        <w:rPr>
          <w:rFonts w:cstheme="minorHAnsi"/>
          <w:sz w:val="22"/>
          <w:szCs w:val="22"/>
        </w:rPr>
      </w:pPr>
      <w:r w:rsidRPr="00F9642B">
        <w:rPr>
          <w:rFonts w:cstheme="minorHAnsi"/>
          <w:sz w:val="22"/>
          <w:szCs w:val="22"/>
        </w:rPr>
        <w:t xml:space="preserve">Policies </w:t>
      </w:r>
      <w:r w:rsidR="006A0545" w:rsidRPr="00F9642B">
        <w:rPr>
          <w:rFonts w:cstheme="minorHAnsi"/>
          <w:sz w:val="22"/>
          <w:szCs w:val="22"/>
        </w:rPr>
        <w:t xml:space="preserve">that </w:t>
      </w:r>
      <w:r w:rsidRPr="00F9642B">
        <w:rPr>
          <w:rFonts w:cstheme="minorHAnsi"/>
          <w:sz w:val="22"/>
          <w:szCs w:val="22"/>
        </w:rPr>
        <w:t>seek to regulate commercial behaviours</w:t>
      </w:r>
      <w:r w:rsidR="00E879EB">
        <w:rPr>
          <w:rFonts w:cstheme="minorHAnsi"/>
          <w:sz w:val="22"/>
          <w:szCs w:val="22"/>
        </w:rPr>
        <w:t xml:space="preserve">, like the </w:t>
      </w:r>
      <w:r w:rsidR="006D4290">
        <w:rPr>
          <w:rFonts w:cstheme="minorHAnsi"/>
          <w:sz w:val="22"/>
          <w:szCs w:val="22"/>
        </w:rPr>
        <w:t>‘junk food ad ban</w:t>
      </w:r>
      <w:r w:rsidR="00496DAD">
        <w:rPr>
          <w:rFonts w:cstheme="minorHAnsi"/>
          <w:sz w:val="22"/>
          <w:szCs w:val="22"/>
        </w:rPr>
        <w:t>’</w:t>
      </w:r>
      <w:r w:rsidR="006D4290">
        <w:rPr>
          <w:rFonts w:cstheme="minorHAnsi"/>
          <w:sz w:val="22"/>
          <w:szCs w:val="22"/>
        </w:rPr>
        <w:t>,</w:t>
      </w:r>
      <w:r w:rsidRPr="00F9642B">
        <w:rPr>
          <w:rFonts w:cstheme="minorHAnsi"/>
          <w:sz w:val="22"/>
          <w:szCs w:val="22"/>
        </w:rPr>
        <w:t xml:space="preserve"> are </w:t>
      </w:r>
      <w:r w:rsidR="006A0545" w:rsidRPr="00F9642B">
        <w:rPr>
          <w:rFonts w:cstheme="minorHAnsi"/>
          <w:sz w:val="22"/>
          <w:szCs w:val="22"/>
        </w:rPr>
        <w:t>controversial</w:t>
      </w:r>
      <w:r w:rsidR="002C4448">
        <w:rPr>
          <w:rFonts w:cstheme="minorHAnsi"/>
          <w:sz w:val="22"/>
          <w:szCs w:val="22"/>
        </w:rPr>
        <w:t xml:space="preserve">.  </w:t>
      </w:r>
      <w:r w:rsidR="0054583F">
        <w:rPr>
          <w:sz w:val="22"/>
          <w:szCs w:val="22"/>
        </w:rPr>
        <w:t>R</w:t>
      </w:r>
      <w:r w:rsidR="002E44E6" w:rsidRPr="00F9642B">
        <w:rPr>
          <w:sz w:val="22"/>
          <w:szCs w:val="22"/>
        </w:rPr>
        <w:t xml:space="preserve">egulation of the commercial sector for public health purposes often generates resistance from corporations involved in the production, marketing and retailing of the targeted commodities </w:t>
      </w:r>
      <w:r w:rsidR="009D00F7" w:rsidRPr="00831B81">
        <w:rPr>
          <w:sz w:val="22"/>
          <w:szCs w:val="22"/>
        </w:rPr>
        <w:fldChar w:fldCharType="begin"/>
      </w:r>
      <w:r w:rsidR="00C00B26" w:rsidRPr="00831B81">
        <w:rPr>
          <w:sz w:val="22"/>
          <w:szCs w:val="22"/>
        </w:rPr>
        <w:instrText xml:space="preserve"> ADDIN EN.CITE &lt;EndNote&gt;&lt;Cite&gt;&lt;Author&gt;BBC News&lt;/Author&gt;&lt;Year&gt;2012&lt;/Year&gt;&lt;RecNum&gt;327&lt;/RecNum&gt;&lt;DisplayText&gt;(BBC News, 2012; Food and Drink Federation, 2019)&lt;/DisplayText&gt;&lt;record&gt;&lt;rec-number&gt;327&lt;/rec-number&gt;&lt;foreign-keys&gt;&lt;key app="EN" db-id="wz0s5vxeow0299ew9xqvdsw7t0xf9w02z5wt" timestamp="1606310493"&gt;327&lt;/key&gt;&lt;/foreign-keys&gt;&lt;ref-type name="Web Page"&gt;12&lt;/ref-type&gt;&lt;contributors&gt;&lt;authors&gt;&lt;author&gt;BBC News,&lt;/author&gt;&lt;/authors&gt;&lt;/contributors&gt;&lt;titles&gt;&lt;title&gt;Scotch Whisky Association challenges Scotland&amp;apos;s minimum alcohol price law&lt;/title&gt;&lt;/titles&gt;&lt;volume&gt;2020&lt;/volume&gt;&lt;dates&gt;&lt;year&gt;2012&lt;/year&gt;&lt;/dates&gt;&lt;publisher&gt;BBC&lt;/publisher&gt;&lt;urls&gt;&lt;related-urls&gt;&lt;url&gt;https://www.bbc.co.uk/news/uk-scotland-scotland-politics-18898024&lt;/url&gt;&lt;/related-urls&gt;&lt;/urls&gt;&lt;/record&gt;&lt;/Cite&gt;&lt;Cite&gt;&lt;Author&gt;Food and Drink Federation&lt;/Author&gt;&lt;Year&gt;2019&lt;/Year&gt;&lt;RecNum&gt;328&lt;/RecNum&gt;&lt;record&gt;&lt;rec-number&gt;328&lt;/rec-number&gt;&lt;foreign-keys&gt;&lt;key app="EN" db-id="wz0s5vxeow0299ew9xqvdsw7t0xf9w02z5wt" timestamp="1606310706"&gt;328&lt;/key&gt;&lt;/foreign-keys&gt;&lt;ref-type name="Web Page"&gt;12&lt;/ref-type&gt;&lt;contributors&gt;&lt;authors&gt;&lt;author&gt;Food and Drink Federation,&lt;/author&gt;&lt;/authors&gt;&lt;/contributors&gt;&lt;titles&gt;&lt;title&gt;Advertising and Promotions - Policy Position&lt;/title&gt;&lt;/titles&gt;&lt;volume&gt;2019&lt;/volume&gt;&lt;dates&gt;&lt;year&gt;2019&lt;/year&gt;&lt;/dates&gt;&lt;urls&gt;&lt;related-urls&gt;&lt;url&gt;http://www.fdf.org.uk/keyissues_hw.aspx?issue=644&lt;/url&gt;&lt;/related-urls&gt;&lt;/urls&gt;&lt;/record&gt;&lt;/Cite&gt;&lt;/EndNote&gt;</w:instrText>
      </w:r>
      <w:r w:rsidR="009D00F7" w:rsidRPr="00831B81">
        <w:rPr>
          <w:sz w:val="22"/>
          <w:szCs w:val="22"/>
        </w:rPr>
        <w:fldChar w:fldCharType="separate"/>
      </w:r>
      <w:r w:rsidR="00C00B26" w:rsidRPr="00831B81">
        <w:rPr>
          <w:noProof/>
          <w:sz w:val="22"/>
          <w:szCs w:val="22"/>
        </w:rPr>
        <w:t>(BBC News, 2012; Food and Drink Federation, 2019)</w:t>
      </w:r>
      <w:r w:rsidR="009D00F7" w:rsidRPr="00831B81">
        <w:rPr>
          <w:sz w:val="22"/>
          <w:szCs w:val="22"/>
        </w:rPr>
        <w:fldChar w:fldCharType="end"/>
      </w:r>
      <w:r w:rsidR="002D3290" w:rsidRPr="00831B81">
        <w:rPr>
          <w:sz w:val="22"/>
          <w:szCs w:val="22"/>
        </w:rPr>
        <w:t>.</w:t>
      </w:r>
      <w:r w:rsidR="007C34BB" w:rsidRPr="00831B81">
        <w:rPr>
          <w:sz w:val="22"/>
          <w:szCs w:val="22"/>
        </w:rPr>
        <w:t xml:space="preserve">  </w:t>
      </w:r>
      <w:r w:rsidR="002817C0" w:rsidRPr="00831B81">
        <w:rPr>
          <w:rFonts w:cstheme="minorHAnsi"/>
          <w:sz w:val="22"/>
          <w:szCs w:val="22"/>
          <w:shd w:val="clear" w:color="auto" w:fill="FFFFFF"/>
        </w:rPr>
        <w:t xml:space="preserve">These corporations are typically </w:t>
      </w:r>
      <w:r w:rsidR="007C34BB" w:rsidRPr="00831B81">
        <w:rPr>
          <w:rFonts w:cstheme="minorHAnsi"/>
          <w:sz w:val="22"/>
          <w:szCs w:val="22"/>
          <w:shd w:val="clear" w:color="auto" w:fill="FFFFFF"/>
        </w:rPr>
        <w:t xml:space="preserve">unhealthy commodities industries (UCIs): </w:t>
      </w:r>
      <w:r w:rsidR="002C4448" w:rsidRPr="00831B81">
        <w:rPr>
          <w:rFonts w:cstheme="minorHAnsi"/>
          <w:sz w:val="22"/>
          <w:szCs w:val="22"/>
          <w:shd w:val="clear" w:color="auto" w:fill="FFFFFF"/>
        </w:rPr>
        <w:t xml:space="preserve"> </w:t>
      </w:r>
      <w:r w:rsidR="002817C0" w:rsidRPr="00831B81">
        <w:rPr>
          <w:rFonts w:cstheme="minorHAnsi"/>
          <w:sz w:val="22"/>
          <w:szCs w:val="22"/>
          <w:shd w:val="clear" w:color="auto" w:fill="FFFFFF"/>
        </w:rPr>
        <w:t xml:space="preserve">processed foods, tobacco and alcohol </w:t>
      </w:r>
      <w:r w:rsidR="002817C0" w:rsidRPr="00831B81">
        <w:rPr>
          <w:rFonts w:cstheme="minorHAnsi"/>
          <w:sz w:val="22"/>
          <w:szCs w:val="22"/>
          <w:shd w:val="clear" w:color="auto" w:fill="FFFFFF"/>
        </w:rPr>
        <w:fldChar w:fldCharType="begin"/>
      </w:r>
      <w:r w:rsidR="002817C0" w:rsidRPr="00831B81">
        <w:rPr>
          <w:rFonts w:cstheme="minorHAnsi"/>
          <w:sz w:val="22"/>
          <w:szCs w:val="22"/>
          <w:shd w:val="clear" w:color="auto" w:fill="FFFFFF"/>
        </w:rPr>
        <w:instrText xml:space="preserve"> ADDIN EN.CITE &lt;EndNote&gt;&lt;Cite&gt;&lt;Author&gt;Stuckler&lt;/Author&gt;&lt;Year&gt;2012&lt;/Year&gt;&lt;RecNum&gt;379&lt;/RecNum&gt;&lt;DisplayText&gt;(Stuckler, McKee, Ebrahim, &amp;amp; Basu, 2012)&lt;/DisplayText&gt;&lt;record&gt;&lt;rec-number&gt;379&lt;/rec-number&gt;&lt;foreign-keys&gt;&lt;key app="EN" db-id="wz0s5vxeow0299ew9xqvdsw7t0xf9w02z5wt" timestamp="1612558348"&gt;379&lt;/key&gt;&lt;/foreign-keys&gt;&lt;ref-type name="Journal Article"&gt;17&lt;/ref-type&gt;&lt;contributors&gt;&lt;authors&gt;&lt;author&gt;Stuckler, D.&lt;/author&gt;&lt;author&gt;McKee, M.&lt;/author&gt;&lt;author&gt;Ebrahim, S.&lt;/author&gt;&lt;author&gt;Basu, S.&lt;/author&gt;&lt;/authors&gt;&lt;/contributors&gt;&lt;titles&gt;&lt;title&gt;Manufacturing Epidemics: The Role of Global Producers in Increased Consumption of Unhealthy Commodities Including Processed Foods, Alcohol, and Tobacco&lt;/title&gt;&lt;secondary-title&gt;PLoS Medicine&lt;/secondary-title&gt;&lt;/titles&gt;&lt;periodical&gt;&lt;full-title&gt;PLoS Medicine&lt;/full-title&gt;&lt;/periodical&gt;&lt;volume&gt;9&lt;/volume&gt;&lt;number&gt;6&lt;/number&gt;&lt;section&gt;e1001235&lt;/section&gt;&lt;dates&gt;&lt;year&gt;2012&lt;/year&gt;&lt;/dates&gt;&lt;urls&gt;&lt;/urls&gt;&lt;/record&gt;&lt;/Cite&gt;&lt;/EndNote&gt;</w:instrText>
      </w:r>
      <w:r w:rsidR="002817C0" w:rsidRPr="00831B81">
        <w:rPr>
          <w:rFonts w:cstheme="minorHAnsi"/>
          <w:sz w:val="22"/>
          <w:szCs w:val="22"/>
          <w:shd w:val="clear" w:color="auto" w:fill="FFFFFF"/>
        </w:rPr>
        <w:fldChar w:fldCharType="separate"/>
      </w:r>
      <w:r w:rsidR="002817C0" w:rsidRPr="00831B81">
        <w:rPr>
          <w:rFonts w:cstheme="minorHAnsi"/>
          <w:noProof/>
          <w:sz w:val="22"/>
          <w:szCs w:val="22"/>
          <w:shd w:val="clear" w:color="auto" w:fill="FFFFFF"/>
        </w:rPr>
        <w:t>(Stuckler, McKee, Ebrahim, &amp; Basu, 2012)</w:t>
      </w:r>
      <w:r w:rsidR="002817C0" w:rsidRPr="00831B81">
        <w:rPr>
          <w:rFonts w:cstheme="minorHAnsi"/>
          <w:sz w:val="22"/>
          <w:szCs w:val="22"/>
          <w:shd w:val="clear" w:color="auto" w:fill="FFFFFF"/>
        </w:rPr>
        <w:fldChar w:fldCharType="end"/>
      </w:r>
      <w:r w:rsidR="002817C0" w:rsidRPr="00831B81">
        <w:rPr>
          <w:rFonts w:cstheme="minorHAnsi"/>
          <w:sz w:val="22"/>
          <w:szCs w:val="22"/>
          <w:shd w:val="clear" w:color="auto" w:fill="FFFFFF"/>
        </w:rPr>
        <w:t>.  The strategies that </w:t>
      </w:r>
      <w:r w:rsidR="00186F07" w:rsidRPr="00831B81">
        <w:rPr>
          <w:rFonts w:cstheme="minorHAnsi"/>
          <w:sz w:val="22"/>
          <w:szCs w:val="22"/>
          <w:shd w:val="clear" w:color="auto" w:fill="FFFFFF"/>
        </w:rPr>
        <w:t>UCIs</w:t>
      </w:r>
      <w:r w:rsidR="002817C0" w:rsidRPr="00831B81">
        <w:rPr>
          <w:rFonts w:cstheme="minorHAnsi"/>
          <w:sz w:val="22"/>
          <w:szCs w:val="22"/>
          <w:shd w:val="clear" w:color="auto" w:fill="FFFFFF"/>
        </w:rPr>
        <w:t xml:space="preserve"> use to </w:t>
      </w:r>
      <w:r w:rsidR="005453D3" w:rsidRPr="00831B81">
        <w:rPr>
          <w:rFonts w:cstheme="minorHAnsi"/>
          <w:sz w:val="22"/>
          <w:szCs w:val="22"/>
          <w:shd w:val="clear" w:color="auto" w:fill="FFFFFF"/>
        </w:rPr>
        <w:t xml:space="preserve">oppose regulation </w:t>
      </w:r>
      <w:r w:rsidR="002817C0" w:rsidRPr="00831B81">
        <w:rPr>
          <w:rFonts w:cstheme="minorHAnsi"/>
          <w:sz w:val="22"/>
          <w:szCs w:val="22"/>
          <w:shd w:val="clear" w:color="auto" w:fill="FFFFFF"/>
        </w:rPr>
        <w:t>are increasingly the subject of research</w:t>
      </w:r>
      <w:r w:rsidR="005453D3" w:rsidRPr="00831B81">
        <w:rPr>
          <w:rFonts w:cstheme="minorHAnsi"/>
          <w:sz w:val="22"/>
          <w:szCs w:val="22"/>
          <w:shd w:val="clear" w:color="auto" w:fill="FFFFFF"/>
        </w:rPr>
        <w:t xml:space="preserve"> </w:t>
      </w:r>
      <w:r w:rsidR="005453D3" w:rsidRPr="00831B81">
        <w:rPr>
          <w:rFonts w:cstheme="minorHAnsi"/>
          <w:sz w:val="22"/>
          <w:szCs w:val="22"/>
          <w:shd w:val="clear" w:color="auto" w:fill="FFFFFF"/>
        </w:rPr>
        <w:fldChar w:fldCharType="begin"/>
      </w:r>
      <w:r w:rsidR="00C5495E">
        <w:rPr>
          <w:rFonts w:cstheme="minorHAnsi"/>
          <w:sz w:val="22"/>
          <w:szCs w:val="22"/>
          <w:shd w:val="clear" w:color="auto" w:fill="FFFFFF"/>
        </w:rPr>
        <w:instrText xml:space="preserve"> ADDIN EN.CITE &lt;EndNote&gt;&lt;Cite&gt;&lt;Author&gt;The PLoS Medicine Editors&lt;/Author&gt;&lt;Year&gt;2012&lt;/Year&gt;&lt;RecNum&gt;380&lt;/RecNum&gt;&lt;DisplayText&gt;(The PLoS Medicine Editors, 2012)&lt;/DisplayText&gt;&lt;record&gt;&lt;rec-number&gt;380&lt;/rec-number&gt;&lt;foreign-keys&gt;&lt;key app="EN" db-id="wz0s5vxeow0299ew9xqvdsw7t0xf9w02z5wt" timestamp="1612558772"&gt;380&lt;/key&gt;&lt;/foreign-keys&gt;&lt;ref-type name="Journal Article"&gt;17&lt;/ref-type&gt;&lt;contributors&gt;&lt;authors&gt;&lt;author&gt;The PLoS Medicine Editors,&lt;/author&gt;&lt;/authors&gt;&lt;/contributors&gt;&lt;titles&gt;&lt;title&gt;Editorial.  Big Food: The Food Industry Is Ripe for Scrutiny&lt;/title&gt;&lt;secondary-title&gt;PLoS Medicine&lt;/secondary-title&gt;&lt;/titles&gt;&lt;periodical&gt;&lt;full-title&gt;PLoS Medicine&lt;/full-title&gt;&lt;/periodical&gt;&lt;volume&gt;9&lt;/volume&gt;&lt;number&gt;6&lt;/number&gt;&lt;section&gt; e1001246&lt;/section&gt;&lt;dates&gt;&lt;year&gt;2012&lt;/year&gt;&lt;/dates&gt;&lt;urls&gt;&lt;/urls&gt;&lt;/record&gt;&lt;/Cite&gt;&lt;/EndNote&gt;</w:instrText>
      </w:r>
      <w:r w:rsidR="005453D3" w:rsidRPr="00831B81">
        <w:rPr>
          <w:rFonts w:cstheme="minorHAnsi"/>
          <w:sz w:val="22"/>
          <w:szCs w:val="22"/>
          <w:shd w:val="clear" w:color="auto" w:fill="FFFFFF"/>
        </w:rPr>
        <w:fldChar w:fldCharType="separate"/>
      </w:r>
      <w:r w:rsidR="005453D3" w:rsidRPr="00831B81">
        <w:rPr>
          <w:rFonts w:cstheme="minorHAnsi"/>
          <w:noProof/>
          <w:sz w:val="22"/>
          <w:szCs w:val="22"/>
          <w:shd w:val="clear" w:color="auto" w:fill="FFFFFF"/>
        </w:rPr>
        <w:t>(The PLoS Medicine Editors, 2012)</w:t>
      </w:r>
      <w:r w:rsidR="005453D3" w:rsidRPr="00831B81">
        <w:rPr>
          <w:rFonts w:cstheme="minorHAnsi"/>
          <w:sz w:val="22"/>
          <w:szCs w:val="22"/>
          <w:shd w:val="clear" w:color="auto" w:fill="FFFFFF"/>
        </w:rPr>
        <w:fldChar w:fldCharType="end"/>
      </w:r>
      <w:r w:rsidR="00186F07" w:rsidRPr="00831B81">
        <w:rPr>
          <w:rFonts w:cstheme="minorHAnsi"/>
          <w:sz w:val="22"/>
          <w:szCs w:val="22"/>
          <w:shd w:val="clear" w:color="auto" w:fill="FFFFFF"/>
        </w:rPr>
        <w:t xml:space="preserve">, which </w:t>
      </w:r>
      <w:r w:rsidR="0054583F" w:rsidRPr="00831B81">
        <w:rPr>
          <w:rFonts w:cstheme="minorHAnsi"/>
          <w:sz w:val="22"/>
          <w:szCs w:val="22"/>
          <w:shd w:val="clear" w:color="auto" w:fill="FFFFFF"/>
        </w:rPr>
        <w:t xml:space="preserve">has demonstrated </w:t>
      </w:r>
      <w:r w:rsidR="009C5B68" w:rsidRPr="00831B81">
        <w:rPr>
          <w:rFonts w:cstheme="minorHAnsi"/>
          <w:sz w:val="22"/>
          <w:szCs w:val="22"/>
          <w:shd w:val="clear" w:color="auto" w:fill="FFFFFF"/>
        </w:rPr>
        <w:t>the existence of a cross-industry ‘playbook’</w:t>
      </w:r>
      <w:r w:rsidR="003B0DBC">
        <w:rPr>
          <w:rFonts w:cstheme="minorHAnsi"/>
          <w:sz w:val="22"/>
          <w:szCs w:val="22"/>
          <w:shd w:val="clear" w:color="auto" w:fill="FFFFFF"/>
        </w:rPr>
        <w:t xml:space="preserve"> of arguments and strategies</w:t>
      </w:r>
      <w:r w:rsidR="009C5B68" w:rsidRPr="00831B81">
        <w:rPr>
          <w:rFonts w:cstheme="minorHAnsi"/>
          <w:sz w:val="22"/>
          <w:szCs w:val="22"/>
          <w:shd w:val="clear" w:color="auto" w:fill="FFFFFF"/>
        </w:rPr>
        <w:t xml:space="preserve">, use </w:t>
      </w:r>
      <w:r w:rsidR="003B0DBC">
        <w:rPr>
          <w:rFonts w:cstheme="minorHAnsi"/>
          <w:sz w:val="22"/>
          <w:szCs w:val="22"/>
          <w:shd w:val="clear" w:color="auto" w:fill="FFFFFF"/>
        </w:rPr>
        <w:t xml:space="preserve">of which </w:t>
      </w:r>
      <w:r w:rsidR="009C5B68" w:rsidRPr="00831B81">
        <w:rPr>
          <w:rFonts w:cstheme="minorHAnsi"/>
          <w:sz w:val="22"/>
          <w:szCs w:val="22"/>
          <w:shd w:val="clear" w:color="auto" w:fill="FFFFFF"/>
        </w:rPr>
        <w:t xml:space="preserve">results in the undermining of </w:t>
      </w:r>
      <w:r w:rsidR="003B0DBC">
        <w:rPr>
          <w:rFonts w:cstheme="minorHAnsi"/>
          <w:sz w:val="22"/>
          <w:szCs w:val="22"/>
          <w:shd w:val="clear" w:color="auto" w:fill="FFFFFF"/>
        </w:rPr>
        <w:t xml:space="preserve">proposals for </w:t>
      </w:r>
      <w:r w:rsidR="009C5B68" w:rsidRPr="00831B81">
        <w:rPr>
          <w:rFonts w:cstheme="minorHAnsi"/>
          <w:sz w:val="22"/>
          <w:szCs w:val="22"/>
          <w:shd w:val="clear" w:color="auto" w:fill="FFFFFF"/>
        </w:rPr>
        <w:t>effective public health policies</w:t>
      </w:r>
      <w:r w:rsidR="005453D3" w:rsidRPr="00831B81">
        <w:rPr>
          <w:rFonts w:cstheme="minorHAnsi"/>
          <w:sz w:val="22"/>
          <w:szCs w:val="22"/>
          <w:shd w:val="clear" w:color="auto" w:fill="FFFFFF"/>
        </w:rPr>
        <w:t xml:space="preserve"> </w:t>
      </w:r>
      <w:r w:rsidR="002817C0" w:rsidRPr="00831B81">
        <w:rPr>
          <w:rFonts w:cstheme="minorHAnsi"/>
          <w:sz w:val="22"/>
          <w:szCs w:val="22"/>
        </w:rPr>
        <w:fldChar w:fldCharType="begin"/>
      </w:r>
      <w:r w:rsidR="002817C0" w:rsidRPr="00831B81">
        <w:rPr>
          <w:rFonts w:cstheme="minorHAnsi"/>
          <w:sz w:val="22"/>
          <w:szCs w:val="22"/>
        </w:rPr>
        <w:instrText xml:space="preserve"> ADDIN EN.CITE &lt;EndNote&gt;&lt;Cite&gt;&lt;Author&gt;Petticrew&lt;/Author&gt;&lt;Year&gt;2017&lt;/Year&gt;&lt;RecNum&gt;245&lt;/RecNum&gt;&lt;DisplayText&gt;(Petticrew et al., 2017)&lt;/DisplayText&gt;&lt;record&gt;&lt;rec-number&gt;245&lt;/rec-number&gt;&lt;foreign-keys&gt;&lt;key app="EN" db-id="wz0s5vxeow0299ew9xqvdsw7t0xf9w02z5wt" timestamp="1581359975"&gt;245&lt;/key&gt;&lt;/foreign-keys&gt;&lt;ref-type name="Journal Article"&gt;17&lt;/ref-type&gt;&lt;contributors&gt;&lt;authors&gt;&lt;author&gt;Petticrew, M.&lt;/author&gt;&lt;author&gt;Vittal Katikireddi, S.&lt;/author&gt;&lt;author&gt;Knai, C.&lt;/author&gt;&lt;author&gt;Cassidy, R.&lt;/author&gt;&lt;author&gt;Maani Hessari, N.&lt;/author&gt;&lt;author&gt;Thomas, J.&lt;/author&gt;&lt;author&gt;Weishaar, H.&lt;/author&gt;&lt;/authors&gt;&lt;/contributors&gt;&lt;titles&gt;&lt;title&gt;‘Nothing can be done until everything is done’: the use of complexity arguments by food, beverage, alcohol and gambling industries&lt;/title&gt;&lt;secondary-title&gt;Journal of Epidemiology and Community Health&lt;/secondary-title&gt;&lt;/titles&gt;&lt;periodical&gt;&lt;full-title&gt;Journal of Epidemiology and Community Health&lt;/full-title&gt;&lt;/periodical&gt;&lt;pages&gt;1078-1083&lt;/pages&gt;&lt;volume&gt;71&lt;/volume&gt;&lt;number&gt;11&lt;/number&gt;&lt;dates&gt;&lt;year&gt;2017&lt;/year&gt;&lt;/dates&gt;&lt;urls&gt;&lt;/urls&gt;&lt;/record&gt;&lt;/Cite&gt;&lt;/EndNote&gt;</w:instrText>
      </w:r>
      <w:r w:rsidR="002817C0" w:rsidRPr="00831B81">
        <w:rPr>
          <w:rFonts w:cstheme="minorHAnsi"/>
          <w:sz w:val="22"/>
          <w:szCs w:val="22"/>
        </w:rPr>
        <w:fldChar w:fldCharType="separate"/>
      </w:r>
      <w:r w:rsidR="002817C0" w:rsidRPr="00831B81">
        <w:rPr>
          <w:rFonts w:cstheme="minorHAnsi"/>
          <w:noProof/>
          <w:sz w:val="22"/>
          <w:szCs w:val="22"/>
        </w:rPr>
        <w:t>(Petticrew et al., 2017)</w:t>
      </w:r>
      <w:r w:rsidR="002817C0" w:rsidRPr="00831B81">
        <w:rPr>
          <w:rFonts w:cstheme="minorHAnsi"/>
          <w:sz w:val="22"/>
          <w:szCs w:val="22"/>
        </w:rPr>
        <w:fldChar w:fldCharType="end"/>
      </w:r>
      <w:r w:rsidR="001C67A6" w:rsidRPr="00831B81">
        <w:rPr>
          <w:rFonts w:cstheme="minorHAnsi"/>
          <w:sz w:val="22"/>
          <w:szCs w:val="22"/>
        </w:rPr>
        <w:t xml:space="preserve">.  </w:t>
      </w:r>
    </w:p>
    <w:p w14:paraId="4213795D" w14:textId="77777777" w:rsidR="00573C82" w:rsidRDefault="00573C82" w:rsidP="00AB73B6">
      <w:pPr>
        <w:pStyle w:val="CommentText"/>
        <w:spacing w:after="0" w:line="360" w:lineRule="auto"/>
        <w:contextualSpacing/>
        <w:rPr>
          <w:rFonts w:cstheme="minorHAnsi"/>
          <w:sz w:val="22"/>
          <w:szCs w:val="22"/>
        </w:rPr>
      </w:pPr>
    </w:p>
    <w:p w14:paraId="1E722DBC" w14:textId="0C9DEC93" w:rsidR="004E4FB3" w:rsidRPr="00EE2953" w:rsidRDefault="00744CAB" w:rsidP="004E4FB3">
      <w:pPr>
        <w:pStyle w:val="CommentText"/>
        <w:spacing w:after="0" w:line="360" w:lineRule="auto"/>
        <w:contextualSpacing/>
        <w:rPr>
          <w:color w:val="0070C0"/>
        </w:rPr>
      </w:pPr>
      <w:r w:rsidRPr="00831B81">
        <w:rPr>
          <w:rFonts w:cstheme="minorHAnsi"/>
          <w:sz w:val="22"/>
          <w:szCs w:val="22"/>
        </w:rPr>
        <w:t xml:space="preserve">Arguments from this playbook include claims that: certain public health issues are not severe enough to </w:t>
      </w:r>
      <w:r w:rsidRPr="00EE2953">
        <w:rPr>
          <w:rFonts w:cstheme="minorHAnsi"/>
          <w:sz w:val="22"/>
          <w:szCs w:val="22"/>
        </w:rPr>
        <w:t>warrant intervention; intervening in the market will not prompt behaviour change; proposed interventions will not be effective; the science or evidence underpinning proposed interventions is lacking or flawed; proposed interventions will have dire economic consequences</w:t>
      </w:r>
      <w:r w:rsidR="001D0140" w:rsidRPr="00EE2953">
        <w:rPr>
          <w:rFonts w:cstheme="minorHAnsi"/>
          <w:sz w:val="22"/>
          <w:szCs w:val="22"/>
        </w:rPr>
        <w:t xml:space="preserve">; </w:t>
      </w:r>
      <w:r w:rsidR="00831B81" w:rsidRPr="00EE2953">
        <w:rPr>
          <w:rFonts w:cstheme="minorHAnsi"/>
          <w:sz w:val="22"/>
          <w:szCs w:val="22"/>
        </w:rPr>
        <w:t xml:space="preserve">and </w:t>
      </w:r>
      <w:r w:rsidR="001D0140" w:rsidRPr="00EE2953">
        <w:rPr>
          <w:rFonts w:cstheme="minorHAnsi"/>
          <w:sz w:val="22"/>
          <w:szCs w:val="22"/>
        </w:rPr>
        <w:t xml:space="preserve">proposed interventions are potentially illegal and/or anti-competitive </w:t>
      </w:r>
      <w:r w:rsidR="001D0140" w:rsidRPr="00EE2953">
        <w:rPr>
          <w:rFonts w:cstheme="minorHAnsi"/>
          <w:sz w:val="22"/>
          <w:szCs w:val="22"/>
        </w:rPr>
        <w:fldChar w:fldCharType="begin"/>
      </w:r>
      <w:r w:rsidR="001D0140" w:rsidRPr="00EE2953">
        <w:rPr>
          <w:rFonts w:cstheme="minorHAnsi"/>
          <w:sz w:val="22"/>
          <w:szCs w:val="22"/>
        </w:rPr>
        <w:instrText xml:space="preserve"> ADDIN EN.CITE &lt;EndNote&gt;&lt;Cite&gt;&lt;Author&gt;Hilton&lt;/Author&gt;&lt;Year&gt;2019&lt;/Year&gt;&lt;RecNum&gt;301&lt;/RecNum&gt;&lt;DisplayText&gt;(Hilton et al., 2019)&lt;/DisplayText&gt;&lt;record&gt;&lt;rec-number&gt;301&lt;/rec-number&gt;&lt;foreign-keys&gt;&lt;key app="EN" db-id="wz0s5vxeow0299ew9xqvdsw7t0xf9w02z5wt" timestamp="1603377788"&gt;301&lt;/key&gt;&lt;/foreign-keys&gt;&lt;ref-type name="Journal Article"&gt;17&lt;/ref-type&gt;&lt;contributors&gt;&lt;authors&gt;&lt;author&gt;Hilton, S.&lt;/author&gt;&lt;author&gt;Buckton, C.H.&lt;/author&gt;&lt;author&gt;Patterson, C.&lt;/author&gt;&lt;author&gt;Katikireddi, S.V. &lt;/author&gt;&lt;author&gt;Lloyd-Williams, F.&lt;/author&gt;&lt;author&gt;Hyseni, L.&lt;/author&gt;&lt;author&gt;Elliott-Green, A.&lt;/author&gt;&lt;author&gt;Capewell, S. &lt;/author&gt;&lt;/authors&gt;&lt;/contributors&gt;&lt;titles&gt;&lt;title&gt;Following in the footsteps of tobacco and alcohol? Stakeholder discourse in UK newspaper coverage of the Soft Drinks Industry Levy. &lt;/title&gt;&lt;secondary-title&gt;Public Health Nutrition&lt;/secondary-title&gt;&lt;/titles&gt;&lt;periodical&gt;&lt;full-title&gt;Public Health Nutrition&lt;/full-title&gt;&lt;/periodical&gt;&lt;pages&gt;2317-2328&lt;/pages&gt;&lt;volume&gt;22&lt;/volume&gt;&lt;number&gt;12&lt;/number&gt;&lt;dates&gt;&lt;year&gt;2019&lt;/year&gt;&lt;/dates&gt;&lt;urls&gt;&lt;/urls&gt;&lt;/record&gt;&lt;/Cite&gt;&lt;/EndNote&gt;</w:instrText>
      </w:r>
      <w:r w:rsidR="001D0140" w:rsidRPr="00EE2953">
        <w:rPr>
          <w:rFonts w:cstheme="minorHAnsi"/>
          <w:sz w:val="22"/>
          <w:szCs w:val="22"/>
        </w:rPr>
        <w:fldChar w:fldCharType="separate"/>
      </w:r>
      <w:r w:rsidR="001D0140" w:rsidRPr="00EE2953">
        <w:rPr>
          <w:rFonts w:cstheme="minorHAnsi"/>
          <w:noProof/>
          <w:sz w:val="22"/>
          <w:szCs w:val="22"/>
        </w:rPr>
        <w:t>(Hilton et al., 2019)</w:t>
      </w:r>
      <w:r w:rsidR="001D0140" w:rsidRPr="00EE2953">
        <w:rPr>
          <w:rFonts w:cstheme="minorHAnsi"/>
          <w:sz w:val="22"/>
          <w:szCs w:val="22"/>
        </w:rPr>
        <w:fldChar w:fldCharType="end"/>
      </w:r>
      <w:r w:rsidR="001D0140" w:rsidRPr="00EE2953">
        <w:rPr>
          <w:rFonts w:cstheme="minorHAnsi"/>
          <w:sz w:val="22"/>
          <w:szCs w:val="22"/>
        </w:rPr>
        <w:t xml:space="preserve">.  </w:t>
      </w:r>
    </w:p>
    <w:p w14:paraId="40E8FB7E" w14:textId="7150C145" w:rsidR="00E37076" w:rsidRPr="00EE2953" w:rsidRDefault="00E37076" w:rsidP="00AB73B6">
      <w:pPr>
        <w:pStyle w:val="CommentText"/>
        <w:spacing w:after="0" w:line="360" w:lineRule="auto"/>
        <w:contextualSpacing/>
        <w:rPr>
          <w:rFonts w:cstheme="minorHAnsi"/>
          <w:sz w:val="22"/>
          <w:szCs w:val="22"/>
        </w:rPr>
      </w:pPr>
    </w:p>
    <w:p w14:paraId="1CBE77BD" w14:textId="5C8A285A" w:rsidR="00643F7F" w:rsidRPr="00EE2953" w:rsidRDefault="00643F7F" w:rsidP="00643F7F">
      <w:pPr>
        <w:pStyle w:val="CommentText"/>
        <w:spacing w:after="0" w:line="360" w:lineRule="auto"/>
        <w:contextualSpacing/>
        <w:rPr>
          <w:rFonts w:eastAsia="Times New Roman" w:cstheme="minorHAnsi"/>
          <w:color w:val="333333"/>
          <w:sz w:val="22"/>
          <w:szCs w:val="22"/>
          <w:lang w:eastAsia="en-GB"/>
        </w:rPr>
      </w:pPr>
      <w:r w:rsidRPr="00EE2953">
        <w:rPr>
          <w:sz w:val="22"/>
          <w:szCs w:val="22"/>
        </w:rPr>
        <w:t>By</w:t>
      </w:r>
      <w:r w:rsidR="006C002E" w:rsidRPr="00EE2953">
        <w:rPr>
          <w:sz w:val="22"/>
          <w:szCs w:val="22"/>
        </w:rPr>
        <w:t xml:space="preserve"> contrast, </w:t>
      </w:r>
      <w:r w:rsidR="009778C3" w:rsidRPr="00EE2953">
        <w:rPr>
          <w:rFonts w:cstheme="minorHAnsi"/>
          <w:sz w:val="22"/>
          <w:szCs w:val="22"/>
        </w:rPr>
        <w:t>p</w:t>
      </w:r>
      <w:r w:rsidR="003474CC" w:rsidRPr="00EE2953">
        <w:rPr>
          <w:rFonts w:cstheme="minorHAnsi"/>
          <w:sz w:val="22"/>
          <w:szCs w:val="22"/>
        </w:rPr>
        <w:t xml:space="preserve">roponents of public health interventions aimed at </w:t>
      </w:r>
      <w:r w:rsidR="003F3FA3" w:rsidRPr="00EE2953">
        <w:rPr>
          <w:rFonts w:cstheme="minorHAnsi"/>
          <w:sz w:val="22"/>
          <w:szCs w:val="22"/>
        </w:rPr>
        <w:t>unhealthy</w:t>
      </w:r>
      <w:r w:rsidR="003474CC" w:rsidRPr="00EE2953">
        <w:rPr>
          <w:rFonts w:cstheme="minorHAnsi"/>
          <w:sz w:val="22"/>
          <w:szCs w:val="22"/>
        </w:rPr>
        <w:t xml:space="preserve"> commodities </w:t>
      </w:r>
      <w:r w:rsidR="002C4448" w:rsidRPr="00EE2953">
        <w:rPr>
          <w:rFonts w:cstheme="minorHAnsi"/>
          <w:sz w:val="22"/>
          <w:szCs w:val="22"/>
        </w:rPr>
        <w:t xml:space="preserve">emphasise </w:t>
      </w:r>
      <w:r w:rsidR="003474CC" w:rsidRPr="00EE2953">
        <w:rPr>
          <w:rFonts w:cstheme="minorHAnsi"/>
          <w:sz w:val="22"/>
          <w:szCs w:val="22"/>
        </w:rPr>
        <w:t xml:space="preserve">health-related harms and risks </w:t>
      </w:r>
      <w:r w:rsidR="003474CC" w:rsidRPr="00EE2953">
        <w:rPr>
          <w:rFonts w:cstheme="minorHAnsi"/>
          <w:sz w:val="22"/>
          <w:szCs w:val="22"/>
        </w:rPr>
        <w:fldChar w:fldCharType="begin"/>
      </w:r>
      <w:r w:rsidR="003474CC" w:rsidRPr="00EE2953">
        <w:rPr>
          <w:rFonts w:cstheme="minorHAnsi"/>
          <w:sz w:val="22"/>
          <w:szCs w:val="22"/>
        </w:rPr>
        <w:instrText xml:space="preserve"> ADDIN EN.CITE &lt;EndNote&gt;&lt;Cite&gt;&lt;Author&gt;Weerasinghe&lt;/Author&gt;&lt;Year&gt;2020&lt;/Year&gt;&lt;RecNum&gt;383&lt;/RecNum&gt;&lt;DisplayText&gt;(Weerasinghe et al., 2020)&lt;/DisplayText&gt;&lt;record&gt;&lt;rec-number&gt;383&lt;/rec-number&gt;&lt;foreign-keys&gt;&lt;key app="EN" db-id="wz0s5vxeow0299ew9xqvdsw7t0xf9w02z5wt" timestamp="1612624091"&gt;383&lt;/key&gt;&lt;/foreign-keys&gt;&lt;ref-type name="Journal Article"&gt;17&lt;/ref-type&gt;&lt;contributors&gt;&lt;authors&gt;&lt;author&gt;Weerasinghe, A.&lt;/author&gt;&lt;author&gt;Schoueri-Mychasiw, N.&lt;/author&gt;&lt;author&gt;Vallance, K.&lt;/author&gt;&lt;author&gt;Stockwell, T.&lt;/author&gt;&lt;author&gt;Hammond, D.&lt;/author&gt;&lt;author&gt;McGavock, J.&lt;/author&gt;&lt;author&gt;Greenfield, T.K.&lt;/author&gt;&lt;author&gt;Paradis, C.&lt;/author&gt;&lt;author&gt;Hobin, E.&lt;/author&gt;&lt;/authors&gt;&lt;/contributors&gt;&lt;titles&gt;&lt;title&gt;Improving knowledge that alcohol can cause cancer is associated with consumer support for alcohol policies: Findings from a real-world alcohol labelling study&lt;/title&gt;&lt;secondary-title&gt;International Journal of Environmental Research and Public Health&lt;/secondary-title&gt;&lt;/titles&gt;&lt;periodical&gt;&lt;full-title&gt;International Journal of Environmental Research and Public Health&lt;/full-title&gt;&lt;/periodical&gt;&lt;volume&gt;17&lt;/volume&gt;&lt;number&gt;2&lt;/number&gt;&lt;section&gt;398&lt;/section&gt;&lt;dates&gt;&lt;year&gt;2020&lt;/year&gt;&lt;/dates&gt;&lt;urls&gt;&lt;/urls&gt;&lt;/record&gt;&lt;/Cite&gt;&lt;/EndNote&gt;</w:instrText>
      </w:r>
      <w:r w:rsidR="003474CC" w:rsidRPr="00EE2953">
        <w:rPr>
          <w:rFonts w:cstheme="minorHAnsi"/>
          <w:sz w:val="22"/>
          <w:szCs w:val="22"/>
        </w:rPr>
        <w:fldChar w:fldCharType="separate"/>
      </w:r>
      <w:r w:rsidR="003474CC" w:rsidRPr="00EE2953">
        <w:rPr>
          <w:rFonts w:cstheme="minorHAnsi"/>
          <w:noProof/>
          <w:sz w:val="22"/>
          <w:szCs w:val="22"/>
        </w:rPr>
        <w:t>(Weerasinghe et al., 2020)</w:t>
      </w:r>
      <w:r w:rsidR="003474CC" w:rsidRPr="00EE2953">
        <w:rPr>
          <w:rFonts w:cstheme="minorHAnsi"/>
          <w:sz w:val="22"/>
          <w:szCs w:val="22"/>
        </w:rPr>
        <w:fldChar w:fldCharType="end"/>
      </w:r>
      <w:r w:rsidRPr="00EE2953">
        <w:rPr>
          <w:rFonts w:cstheme="minorHAnsi"/>
          <w:sz w:val="22"/>
          <w:szCs w:val="22"/>
        </w:rPr>
        <w:t>.  A</w:t>
      </w:r>
      <w:r w:rsidR="00186F07" w:rsidRPr="00EE2953">
        <w:rPr>
          <w:rFonts w:cstheme="minorHAnsi"/>
          <w:sz w:val="22"/>
          <w:szCs w:val="22"/>
        </w:rPr>
        <w:t xml:space="preserve">dvocates </w:t>
      </w:r>
      <w:r w:rsidRPr="00EE2953">
        <w:rPr>
          <w:rFonts w:cstheme="minorHAnsi"/>
          <w:sz w:val="22"/>
          <w:szCs w:val="22"/>
        </w:rPr>
        <w:t xml:space="preserve">tend to </w:t>
      </w:r>
      <w:r w:rsidR="002C4448" w:rsidRPr="00EE2953">
        <w:rPr>
          <w:rFonts w:cstheme="minorHAnsi"/>
          <w:sz w:val="22"/>
          <w:szCs w:val="22"/>
        </w:rPr>
        <w:t>stress</w:t>
      </w:r>
      <w:r w:rsidRPr="00EE2953">
        <w:rPr>
          <w:rFonts w:eastAsia="Times New Roman" w:cstheme="minorHAnsi"/>
          <w:color w:val="333333"/>
          <w:sz w:val="22"/>
          <w:szCs w:val="22"/>
          <w:lang w:eastAsia="en-GB"/>
        </w:rPr>
        <w:t>:</w:t>
      </w:r>
      <w:r w:rsidR="003474CC" w:rsidRPr="00EE2953">
        <w:rPr>
          <w:rFonts w:eastAsia="Times New Roman" w:cstheme="minorHAnsi"/>
          <w:color w:val="333333"/>
          <w:sz w:val="22"/>
          <w:szCs w:val="22"/>
          <w:lang w:eastAsia="en-GB"/>
        </w:rPr>
        <w:t xml:space="preserve"> the social and political determinants of health</w:t>
      </w:r>
      <w:r w:rsidRPr="00EE2953">
        <w:rPr>
          <w:rFonts w:eastAsia="Times New Roman" w:cstheme="minorHAnsi"/>
          <w:color w:val="333333"/>
          <w:sz w:val="22"/>
          <w:szCs w:val="22"/>
          <w:lang w:eastAsia="en-GB"/>
        </w:rPr>
        <w:t>;</w:t>
      </w:r>
      <w:r w:rsidR="003474CC" w:rsidRPr="00EE2953">
        <w:rPr>
          <w:rFonts w:eastAsia="Times New Roman" w:cstheme="minorHAnsi"/>
          <w:color w:val="333333"/>
          <w:sz w:val="22"/>
          <w:szCs w:val="22"/>
          <w:lang w:eastAsia="en-GB"/>
        </w:rPr>
        <w:t xml:space="preserve"> the need for regulation and population-based interventions</w:t>
      </w:r>
      <w:r w:rsidRPr="00EE2953">
        <w:rPr>
          <w:rFonts w:eastAsia="Times New Roman" w:cstheme="minorHAnsi"/>
          <w:color w:val="333333"/>
          <w:sz w:val="22"/>
          <w:szCs w:val="22"/>
          <w:lang w:eastAsia="en-GB"/>
        </w:rPr>
        <w:t xml:space="preserve">; and </w:t>
      </w:r>
      <w:r w:rsidRPr="00EE2953">
        <w:rPr>
          <w:rFonts w:eastAsia="Times New Roman" w:cstheme="minorHAnsi"/>
          <w:color w:val="333333"/>
          <w:sz w:val="22"/>
          <w:szCs w:val="22"/>
          <w:lang w:eastAsia="en-GB"/>
        </w:rPr>
        <w:lastRenderedPageBreak/>
        <w:t xml:space="preserve">industry’s </w:t>
      </w:r>
      <w:r w:rsidR="003474CC" w:rsidRPr="00EE2953">
        <w:rPr>
          <w:rFonts w:eastAsia="Times New Roman" w:cstheme="minorHAnsi"/>
          <w:color w:val="333333"/>
          <w:sz w:val="22"/>
          <w:szCs w:val="22"/>
          <w:lang w:eastAsia="en-GB"/>
        </w:rPr>
        <w:t>focus on profits and economic interests ahead of any moral considerations</w:t>
      </w:r>
      <w:r w:rsidRPr="00EE2953">
        <w:rPr>
          <w:rFonts w:eastAsia="Times New Roman" w:cstheme="minorHAnsi"/>
          <w:color w:val="333333"/>
          <w:sz w:val="22"/>
          <w:szCs w:val="22"/>
          <w:lang w:eastAsia="en-GB"/>
        </w:rPr>
        <w:t xml:space="preserve"> </w:t>
      </w:r>
      <w:r w:rsidRPr="00EE2953">
        <w:rPr>
          <w:rFonts w:eastAsia="Times New Roman" w:cstheme="minorHAnsi"/>
          <w:color w:val="333333"/>
          <w:sz w:val="22"/>
          <w:szCs w:val="22"/>
          <w:lang w:eastAsia="en-GB"/>
        </w:rPr>
        <w:fldChar w:fldCharType="begin"/>
      </w:r>
      <w:r w:rsidRPr="00EE2953">
        <w:rPr>
          <w:rFonts w:eastAsia="Times New Roman" w:cstheme="minorHAnsi"/>
          <w:color w:val="333333"/>
          <w:sz w:val="22"/>
          <w:szCs w:val="22"/>
          <w:lang w:eastAsia="en-GB"/>
        </w:rPr>
        <w:instrText xml:space="preserve"> ADDIN EN.CITE &lt;EndNote&gt;&lt;Cite&gt;&lt;Author&gt;Wakefield&lt;/Author&gt;&lt;Year&gt;2003&lt;/Year&gt;&lt;RecNum&gt;384&lt;/RecNum&gt;&lt;DisplayText&gt;(Wakefield, Mcleod, &amp;amp; Smith, 2003)&lt;/DisplayText&gt;&lt;record&gt;&lt;rec-number&gt;384&lt;/rec-number&gt;&lt;foreign-keys&gt;&lt;key app="EN" db-id="wz0s5vxeow0299ew9xqvdsw7t0xf9w02z5wt" timestamp="1612624646"&gt;384&lt;/key&gt;&lt;/foreign-keys&gt;&lt;ref-type name="Journal Article"&gt;17&lt;/ref-type&gt;&lt;contributors&gt;&lt;authors&gt;&lt;author&gt;Wakefield, M.&lt;/author&gt;&lt;author&gt;Mcleod, K.&lt;/author&gt;&lt;author&gt;Smith, K.C.&lt;/author&gt;&lt;/authors&gt;&lt;/contributors&gt;&lt;titles&gt;&lt;title&gt;Individual versus corporate responsibility for smoking-related illness: Australian press coverage of the rolah McCabe trial&lt;/title&gt;&lt;secondary-title&gt;Health Promotion International&lt;/secondary-title&gt;&lt;/titles&gt;&lt;periodical&gt;&lt;full-title&gt;Health Promotion International&lt;/full-title&gt;&lt;/periodical&gt;&lt;pages&gt;297-305&lt;/pages&gt;&lt;volume&gt;18&lt;/volume&gt;&lt;number&gt;4&lt;/number&gt;&lt;dates&gt;&lt;year&gt;2003&lt;/year&gt;&lt;/dates&gt;&lt;urls&gt;&lt;/urls&gt;&lt;/record&gt;&lt;/Cite&gt;&lt;/EndNote&gt;</w:instrText>
      </w:r>
      <w:r w:rsidRPr="00EE2953">
        <w:rPr>
          <w:rFonts w:eastAsia="Times New Roman" w:cstheme="minorHAnsi"/>
          <w:color w:val="333333"/>
          <w:sz w:val="22"/>
          <w:szCs w:val="22"/>
          <w:lang w:eastAsia="en-GB"/>
        </w:rPr>
        <w:fldChar w:fldCharType="separate"/>
      </w:r>
      <w:r w:rsidRPr="00EE2953">
        <w:rPr>
          <w:rFonts w:eastAsia="Times New Roman" w:cstheme="minorHAnsi"/>
          <w:noProof/>
          <w:color w:val="333333"/>
          <w:sz w:val="22"/>
          <w:szCs w:val="22"/>
          <w:lang w:eastAsia="en-GB"/>
        </w:rPr>
        <w:t>(Wakefield, Mcleod, &amp; Smith, 2003)</w:t>
      </w:r>
      <w:r w:rsidRPr="00EE2953">
        <w:rPr>
          <w:rFonts w:eastAsia="Times New Roman" w:cstheme="minorHAnsi"/>
          <w:color w:val="333333"/>
          <w:sz w:val="22"/>
          <w:szCs w:val="22"/>
          <w:lang w:eastAsia="en-GB"/>
        </w:rPr>
        <w:fldChar w:fldCharType="end"/>
      </w:r>
      <w:r w:rsidRPr="00EE2953">
        <w:rPr>
          <w:rFonts w:eastAsia="Times New Roman" w:cstheme="minorHAnsi"/>
          <w:color w:val="333333"/>
          <w:sz w:val="22"/>
          <w:szCs w:val="22"/>
          <w:lang w:eastAsia="en-GB"/>
        </w:rPr>
        <w:t xml:space="preserve">.  Arguments for regulation </w:t>
      </w:r>
      <w:r w:rsidR="00186F07" w:rsidRPr="00EE2953">
        <w:rPr>
          <w:rFonts w:eastAsia="Times New Roman" w:cstheme="minorHAnsi"/>
          <w:color w:val="333333"/>
          <w:sz w:val="22"/>
          <w:szCs w:val="22"/>
          <w:lang w:eastAsia="en-GB"/>
        </w:rPr>
        <w:t>highlight</w:t>
      </w:r>
      <w:r w:rsidRPr="00EE2953">
        <w:rPr>
          <w:rFonts w:eastAsia="Times New Roman" w:cstheme="minorHAnsi"/>
          <w:color w:val="333333"/>
          <w:sz w:val="22"/>
          <w:szCs w:val="22"/>
          <w:lang w:eastAsia="en-GB"/>
        </w:rPr>
        <w:t xml:space="preserve"> the social environment </w:t>
      </w:r>
      <w:r w:rsidR="00AA57AB" w:rsidRPr="00EE2953">
        <w:rPr>
          <w:rFonts w:eastAsia="Times New Roman" w:cstheme="minorHAnsi"/>
          <w:color w:val="333333"/>
          <w:sz w:val="22"/>
          <w:szCs w:val="22"/>
          <w:lang w:eastAsia="en-GB"/>
        </w:rPr>
        <w:t xml:space="preserve">and position industry and its profit-driven priorities as a part of that environment that can and should be </w:t>
      </w:r>
      <w:r w:rsidR="00186F07" w:rsidRPr="00EE2953">
        <w:rPr>
          <w:rFonts w:eastAsia="Times New Roman" w:cstheme="minorHAnsi"/>
          <w:color w:val="333333"/>
          <w:sz w:val="22"/>
          <w:szCs w:val="22"/>
          <w:lang w:eastAsia="en-GB"/>
        </w:rPr>
        <w:t>modified</w:t>
      </w:r>
      <w:r w:rsidR="00AA57AB" w:rsidRPr="00EE2953">
        <w:rPr>
          <w:rFonts w:eastAsia="Times New Roman" w:cstheme="minorHAnsi"/>
          <w:color w:val="333333"/>
          <w:sz w:val="22"/>
          <w:szCs w:val="22"/>
          <w:lang w:eastAsia="en-GB"/>
        </w:rPr>
        <w:t xml:space="preserve"> </w:t>
      </w:r>
      <w:r w:rsidR="00AA57AB" w:rsidRPr="00EE2953">
        <w:rPr>
          <w:rFonts w:eastAsia="Times New Roman" w:cstheme="minorHAnsi"/>
          <w:color w:val="333333"/>
          <w:sz w:val="22"/>
          <w:szCs w:val="22"/>
          <w:lang w:eastAsia="en-GB"/>
        </w:rPr>
        <w:fldChar w:fldCharType="begin"/>
      </w:r>
      <w:r w:rsidR="00AA57AB" w:rsidRPr="00EE2953">
        <w:rPr>
          <w:rFonts w:eastAsia="Times New Roman" w:cstheme="minorHAnsi"/>
          <w:color w:val="333333"/>
          <w:sz w:val="22"/>
          <w:szCs w:val="22"/>
          <w:lang w:eastAsia="en-GB"/>
        </w:rPr>
        <w:instrText xml:space="preserve"> ADDIN EN.CITE &lt;EndNote&gt;&lt;Cite&gt;&lt;Author&gt;Weishaar&lt;/Author&gt;&lt;Year&gt;2016&lt;/Year&gt;&lt;RecNum&gt;381&lt;/RecNum&gt;&lt;DisplayText&gt;(Weishaar et al., 2016)&lt;/DisplayText&gt;&lt;record&gt;&lt;rec-number&gt;381&lt;/rec-number&gt;&lt;foreign-keys&gt;&lt;key app="EN" db-id="wz0s5vxeow0299ew9xqvdsw7t0xf9w02z5wt" timestamp="1612569834"&gt;381&lt;/key&gt;&lt;/foreign-keys&gt;&lt;ref-type name="Journal Article"&gt;17&lt;/ref-type&gt;&lt;contributors&gt;&lt;authors&gt;&lt;author&gt;Weishaar, H.&lt;/author&gt;&lt;author&gt;Dorfman, L.&lt;/author&gt;&lt;author&gt;Freudenberg, N.&lt;/author&gt;&lt;author&gt;Hawkins, B.&lt;/author&gt;&lt;author&gt;Smith, K.&lt;/author&gt;&lt;author&gt;Razum, O.&lt;/author&gt;&lt;author&gt;Hilton, S. &lt;/author&gt;&lt;/authors&gt;&lt;/contributors&gt;&lt;titles&gt;&lt;title&gt;Why media representations of corporations matter for public health policy: a scoping review&lt;/title&gt;&lt;secondary-title&gt;BMC Public Health&lt;/secondary-title&gt;&lt;/titles&gt;&lt;periodical&gt;&lt;full-title&gt;BMC Public Health&lt;/full-title&gt;&lt;/periodical&gt;&lt;volume&gt;16&lt;/volume&gt;&lt;number&gt;1&lt;/number&gt;&lt;section&gt;899&lt;/section&gt;&lt;dates&gt;&lt;year&gt;2016&lt;/year&gt;&lt;/dates&gt;&lt;urls&gt;&lt;/urls&gt;&lt;/record&gt;&lt;/Cite&gt;&lt;/EndNote&gt;</w:instrText>
      </w:r>
      <w:r w:rsidR="00AA57AB" w:rsidRPr="00EE2953">
        <w:rPr>
          <w:rFonts w:eastAsia="Times New Roman" w:cstheme="minorHAnsi"/>
          <w:color w:val="333333"/>
          <w:sz w:val="22"/>
          <w:szCs w:val="22"/>
          <w:lang w:eastAsia="en-GB"/>
        </w:rPr>
        <w:fldChar w:fldCharType="separate"/>
      </w:r>
      <w:r w:rsidR="00AA57AB" w:rsidRPr="00EE2953">
        <w:rPr>
          <w:rFonts w:eastAsia="Times New Roman" w:cstheme="minorHAnsi"/>
          <w:noProof/>
          <w:color w:val="333333"/>
          <w:sz w:val="22"/>
          <w:szCs w:val="22"/>
          <w:lang w:eastAsia="en-GB"/>
        </w:rPr>
        <w:t>(Weishaar et al., 2016)</w:t>
      </w:r>
      <w:r w:rsidR="00AA57AB" w:rsidRPr="00EE2953">
        <w:rPr>
          <w:rFonts w:eastAsia="Times New Roman" w:cstheme="minorHAnsi"/>
          <w:color w:val="333333"/>
          <w:sz w:val="22"/>
          <w:szCs w:val="22"/>
          <w:lang w:eastAsia="en-GB"/>
        </w:rPr>
        <w:fldChar w:fldCharType="end"/>
      </w:r>
      <w:r w:rsidR="003043AF" w:rsidRPr="00EE2953">
        <w:rPr>
          <w:rFonts w:eastAsia="Times New Roman" w:cstheme="minorHAnsi"/>
          <w:color w:val="333333"/>
          <w:sz w:val="22"/>
          <w:szCs w:val="22"/>
          <w:lang w:eastAsia="en-GB"/>
        </w:rPr>
        <w:t>.</w:t>
      </w:r>
      <w:r w:rsidR="003474CC" w:rsidRPr="00EE2953">
        <w:rPr>
          <w:rFonts w:eastAsia="Times New Roman" w:cstheme="minorHAnsi"/>
          <w:color w:val="333333"/>
          <w:sz w:val="22"/>
          <w:szCs w:val="22"/>
          <w:lang w:eastAsia="en-GB"/>
        </w:rPr>
        <w:t xml:space="preserve"> </w:t>
      </w:r>
    </w:p>
    <w:p w14:paraId="65709CCF" w14:textId="77777777" w:rsidR="000546A6" w:rsidRPr="00EE2953" w:rsidRDefault="000546A6" w:rsidP="00111879">
      <w:pPr>
        <w:pStyle w:val="CommentText"/>
        <w:spacing w:after="0" w:line="360" w:lineRule="auto"/>
        <w:contextualSpacing/>
        <w:rPr>
          <w:rFonts w:cstheme="minorHAnsi"/>
          <w:sz w:val="22"/>
          <w:szCs w:val="22"/>
        </w:rPr>
      </w:pPr>
    </w:p>
    <w:p w14:paraId="56ED4F2A" w14:textId="79638971" w:rsidR="00FA6E6B" w:rsidRPr="00EE2953" w:rsidRDefault="00EC4374" w:rsidP="009139D2">
      <w:pPr>
        <w:pStyle w:val="CommentText"/>
        <w:spacing w:after="0" w:line="360" w:lineRule="auto"/>
        <w:contextualSpacing/>
        <w:rPr>
          <w:rFonts w:eastAsia="Times New Roman" w:cstheme="minorHAnsi"/>
          <w:sz w:val="22"/>
          <w:szCs w:val="22"/>
          <w:lang w:eastAsia="en-GB"/>
        </w:rPr>
      </w:pPr>
      <w:r w:rsidRPr="00EE2953">
        <w:rPr>
          <w:rFonts w:cstheme="minorHAnsi"/>
          <w:sz w:val="22"/>
          <w:szCs w:val="22"/>
          <w:shd w:val="clear" w:color="auto" w:fill="FFFFFF"/>
        </w:rPr>
        <w:t xml:space="preserve">Research into </w:t>
      </w:r>
      <w:bookmarkStart w:id="3" w:name="_Hlk69412958"/>
      <w:r w:rsidRPr="00EE2953">
        <w:rPr>
          <w:rFonts w:cstheme="minorHAnsi"/>
          <w:sz w:val="22"/>
          <w:szCs w:val="22"/>
          <w:shd w:val="clear" w:color="auto" w:fill="FFFFFF"/>
        </w:rPr>
        <w:t xml:space="preserve">how public health policy debates </w:t>
      </w:r>
      <w:r w:rsidR="00BE3B20" w:rsidRPr="00EE2953">
        <w:rPr>
          <w:rFonts w:cstheme="minorHAnsi"/>
          <w:sz w:val="22"/>
          <w:szCs w:val="22"/>
          <w:shd w:val="clear" w:color="auto" w:fill="FFFFFF"/>
        </w:rPr>
        <w:t>are framed</w:t>
      </w:r>
      <w:r w:rsidRPr="00EE2953">
        <w:rPr>
          <w:rFonts w:cstheme="minorHAnsi"/>
          <w:sz w:val="22"/>
          <w:szCs w:val="22"/>
          <w:shd w:val="clear" w:color="auto" w:fill="FFFFFF"/>
        </w:rPr>
        <w:t xml:space="preserve"> </w:t>
      </w:r>
      <w:r w:rsidR="004E536D" w:rsidRPr="00EE2953">
        <w:rPr>
          <w:rFonts w:cstheme="minorHAnsi"/>
          <w:sz w:val="22"/>
          <w:szCs w:val="22"/>
          <w:shd w:val="clear" w:color="auto" w:fill="FFFFFF"/>
        </w:rPr>
        <w:t xml:space="preserve">in </w:t>
      </w:r>
      <w:r w:rsidRPr="00EE2953">
        <w:rPr>
          <w:rFonts w:cstheme="minorHAnsi"/>
          <w:sz w:val="22"/>
          <w:szCs w:val="22"/>
          <w:shd w:val="clear" w:color="auto" w:fill="FFFFFF"/>
        </w:rPr>
        <w:t>the media</w:t>
      </w:r>
      <w:bookmarkEnd w:id="3"/>
      <w:r w:rsidRPr="00EE2953">
        <w:rPr>
          <w:rFonts w:cstheme="minorHAnsi"/>
          <w:sz w:val="22"/>
          <w:szCs w:val="22"/>
          <w:shd w:val="clear" w:color="auto" w:fill="FFFFFF"/>
        </w:rPr>
        <w:t xml:space="preserve"> may help to inform media advocacy strategies </w:t>
      </w:r>
      <w:r w:rsidRPr="00EE2953">
        <w:rPr>
          <w:rFonts w:cstheme="minorHAnsi"/>
          <w:color w:val="333333"/>
          <w:sz w:val="22"/>
          <w:szCs w:val="22"/>
          <w:shd w:val="clear" w:color="auto" w:fill="FFFFFF"/>
        </w:rPr>
        <w:fldChar w:fldCharType="begin"/>
      </w:r>
      <w:r w:rsidRPr="00EE2953">
        <w:rPr>
          <w:rFonts w:cstheme="minorHAnsi"/>
          <w:color w:val="333333"/>
          <w:sz w:val="22"/>
          <w:szCs w:val="22"/>
          <w:shd w:val="clear" w:color="auto" w:fill="FFFFFF"/>
        </w:rPr>
        <w:instrText xml:space="preserve"> ADDIN EN.CITE &lt;EndNote&gt;&lt;Cite&gt;&lt;Author&gt;Katikireddi&lt;/Author&gt;&lt;Year&gt;2015&lt;/Year&gt;&lt;RecNum&gt;329&lt;/RecNum&gt;&lt;DisplayText&gt;(Katikireddi &amp;amp; Hilton, 2015)&lt;/DisplayText&gt;&lt;record&gt;&lt;rec-number&gt;329&lt;/rec-number&gt;&lt;foreign-keys&gt;&lt;key app="EN" db-id="wz0s5vxeow0299ew9xqvdsw7t0xf9w02z5wt" timestamp="1606318567"&gt;329&lt;/key&gt;&lt;/foreign-keys&gt;&lt;ref-type name="Journal Article"&gt;17&lt;/ref-type&gt;&lt;contributors&gt;&lt;authors&gt;&lt;author&gt;Katikireddi, S.V.&lt;/author&gt;&lt;author&gt;Hilton, S.&lt;/author&gt;&lt;/authors&gt;&lt;/contributors&gt;&lt;titles&gt;&lt;title&gt;How did policy actors use mass media to influence the Scottish alcohol minimum unit pricing debate? Comparative analysis of newspapers, evidence submissions and interviews&lt;/title&gt;&lt;secondary-title&gt;Drugs (Abingdon Engl)&lt;/secondary-title&gt;&lt;/titles&gt;&lt;periodical&gt;&lt;full-title&gt;Drugs (Abingdon Engl)&lt;/full-title&gt;&lt;/periodical&gt;&lt;pages&gt;125-34&lt;/pages&gt;&lt;volume&gt;22&lt;/volume&gt;&lt;dates&gt;&lt;year&gt;2015&lt;/year&gt;&lt;/dates&gt;&lt;urls&gt;&lt;/urls&gt;&lt;/record&gt;&lt;/Cite&gt;&lt;/EndNote&gt;</w:instrText>
      </w:r>
      <w:r w:rsidRPr="00EE2953">
        <w:rPr>
          <w:rFonts w:cstheme="minorHAnsi"/>
          <w:color w:val="333333"/>
          <w:sz w:val="22"/>
          <w:szCs w:val="22"/>
          <w:shd w:val="clear" w:color="auto" w:fill="FFFFFF"/>
        </w:rPr>
        <w:fldChar w:fldCharType="separate"/>
      </w:r>
      <w:r w:rsidRPr="00EE2953">
        <w:rPr>
          <w:rFonts w:cstheme="minorHAnsi"/>
          <w:noProof/>
          <w:color w:val="333333"/>
          <w:sz w:val="22"/>
          <w:szCs w:val="22"/>
          <w:shd w:val="clear" w:color="auto" w:fill="FFFFFF"/>
        </w:rPr>
        <w:t>(Katikireddi &amp; Hilton, 2015)</w:t>
      </w:r>
      <w:r w:rsidRPr="00EE2953">
        <w:rPr>
          <w:rFonts w:cstheme="minorHAnsi"/>
          <w:color w:val="333333"/>
          <w:sz w:val="22"/>
          <w:szCs w:val="22"/>
          <w:shd w:val="clear" w:color="auto" w:fill="FFFFFF"/>
        </w:rPr>
        <w:fldChar w:fldCharType="end"/>
      </w:r>
      <w:r w:rsidRPr="00EE2953">
        <w:rPr>
          <w:rFonts w:cstheme="minorHAnsi"/>
          <w:color w:val="333333"/>
          <w:sz w:val="22"/>
          <w:szCs w:val="22"/>
          <w:shd w:val="clear" w:color="auto" w:fill="FFFFFF"/>
        </w:rPr>
        <w:t>.</w:t>
      </w:r>
      <w:r w:rsidR="00AA57AB" w:rsidRPr="00EE2953">
        <w:rPr>
          <w:rFonts w:cstheme="minorHAnsi"/>
          <w:color w:val="333333"/>
          <w:sz w:val="22"/>
          <w:szCs w:val="22"/>
          <w:shd w:val="clear" w:color="auto" w:fill="FFFFFF"/>
        </w:rPr>
        <w:t xml:space="preserve">  </w:t>
      </w:r>
      <w:r w:rsidR="008F79C3" w:rsidRPr="00EE2953">
        <w:rPr>
          <w:rFonts w:eastAsia="Times New Roman" w:cstheme="minorHAnsi"/>
          <w:sz w:val="22"/>
          <w:szCs w:val="22"/>
          <w:lang w:eastAsia="en-GB"/>
        </w:rPr>
        <w:t xml:space="preserve">Given that news media </w:t>
      </w:r>
      <w:r w:rsidR="00572B49" w:rsidRPr="00EE2953">
        <w:rPr>
          <w:rFonts w:eastAsia="Times New Roman" w:cstheme="minorHAnsi"/>
          <w:sz w:val="22"/>
          <w:szCs w:val="22"/>
          <w:lang w:eastAsia="en-GB"/>
        </w:rPr>
        <w:t>ha</w:t>
      </w:r>
      <w:r w:rsidR="008F79C3" w:rsidRPr="00EE2953">
        <w:rPr>
          <w:rFonts w:eastAsia="Times New Roman" w:cstheme="minorHAnsi"/>
          <w:sz w:val="22"/>
          <w:szCs w:val="22"/>
          <w:lang w:eastAsia="en-GB"/>
        </w:rPr>
        <w:t>s a strong influence o</w:t>
      </w:r>
      <w:r w:rsidR="00572B49" w:rsidRPr="00EE2953">
        <w:rPr>
          <w:rFonts w:eastAsia="Times New Roman" w:cstheme="minorHAnsi"/>
          <w:sz w:val="22"/>
          <w:szCs w:val="22"/>
          <w:lang w:eastAsia="en-GB"/>
        </w:rPr>
        <w:t>n</w:t>
      </w:r>
      <w:r w:rsidR="008F79C3" w:rsidRPr="00EE2953">
        <w:rPr>
          <w:rFonts w:eastAsia="Times New Roman" w:cstheme="minorHAnsi"/>
          <w:sz w:val="22"/>
          <w:szCs w:val="22"/>
          <w:lang w:eastAsia="en-GB"/>
        </w:rPr>
        <w:t xml:space="preserve"> public debate and policy making, and </w:t>
      </w:r>
      <w:r w:rsidR="005B12D0" w:rsidRPr="00EE2953">
        <w:rPr>
          <w:rFonts w:eastAsia="Times New Roman" w:cstheme="minorHAnsi"/>
          <w:sz w:val="22"/>
          <w:szCs w:val="22"/>
          <w:lang w:eastAsia="en-GB"/>
        </w:rPr>
        <w:t>UCI</w:t>
      </w:r>
      <w:r w:rsidR="008F79C3" w:rsidRPr="00EE2953">
        <w:rPr>
          <w:rFonts w:eastAsia="Times New Roman" w:cstheme="minorHAnsi"/>
          <w:sz w:val="22"/>
          <w:szCs w:val="22"/>
          <w:lang w:eastAsia="en-GB"/>
        </w:rPr>
        <w:t xml:space="preserve">s have shown great adeptness at having their perspectives regularly included in news media coverage </w:t>
      </w:r>
      <w:r w:rsidR="008F79C3" w:rsidRPr="00EE2953">
        <w:rPr>
          <w:rFonts w:eastAsia="Times New Roman" w:cstheme="minorHAnsi"/>
          <w:sz w:val="22"/>
          <w:szCs w:val="22"/>
          <w:lang w:eastAsia="en-GB"/>
        </w:rPr>
        <w:fldChar w:fldCharType="begin"/>
      </w:r>
      <w:r w:rsidR="008F79C3" w:rsidRPr="00EE2953">
        <w:rPr>
          <w:rFonts w:eastAsia="Times New Roman" w:cstheme="minorHAnsi"/>
          <w:sz w:val="22"/>
          <w:szCs w:val="22"/>
          <w:lang w:eastAsia="en-GB"/>
        </w:rPr>
        <w:instrText xml:space="preserve"> ADDIN EN.CITE &lt;EndNote&gt;&lt;Cite&gt;&lt;Author&gt;Vallance&lt;/Author&gt;&lt;Year&gt;2020&lt;/Year&gt;&lt;RecNum&gt;389&lt;/RecNum&gt;&lt;DisplayText&gt;(Vallance et al., 2020)&lt;/DisplayText&gt;&lt;record&gt;&lt;rec-number&gt;389&lt;/rec-number&gt;&lt;foreign-keys&gt;&lt;key app="EN" db-id="wz0s5vxeow0299ew9xqvdsw7t0xf9w02z5wt" timestamp="1612629679"&gt;389&lt;/key&gt;&lt;/foreign-keys&gt;&lt;ref-type name="Journal Article"&gt;17&lt;/ref-type&gt;&lt;contributors&gt;&lt;authors&gt;&lt;author&gt;Vallance, K.&lt;/author&gt;&lt;author&gt;Vincent, A.&lt;/author&gt;&lt;author&gt;Schoueri-Mychasiw, N.&lt;/author&gt;&lt;author&gt;Stockwell, T.&lt;/author&gt;&lt;author&gt;Hammond, D.&lt;/author&gt;&lt;author&gt;Greenfield, T.K.&lt;/author&gt;&lt;author&gt;McGavock, J.&lt;/author&gt;&lt;author&gt;Hobin, E.&lt;/author&gt;&lt;/authors&gt;&lt;/contributors&gt;&lt;titles&gt;&lt;title&gt;News Media and the Influence of the Alcohol Industry: An Analysis of Media Coverage of Alcohol Warning Labels With a Cancer Message in Canada and Ireland&lt;/title&gt;&lt;secondary-title&gt;Journal of Studies on Alcohol and Drugs&lt;/secondary-title&gt;&lt;/titles&gt;&lt;periodical&gt;&lt;full-title&gt;Journal of Studies on Alcohol and Drugs&lt;/full-title&gt;&lt;/periodical&gt;&lt;pages&gt;273-283&lt;/pages&gt;&lt;volume&gt;81&lt;/volume&gt;&lt;number&gt;2&lt;/number&gt;&lt;dates&gt;&lt;year&gt;2020&lt;/year&gt;&lt;/dates&gt;&lt;urls&gt;&lt;/urls&gt;&lt;/record&gt;&lt;/Cite&gt;&lt;/EndNote&gt;</w:instrText>
      </w:r>
      <w:r w:rsidR="008F79C3" w:rsidRPr="00EE2953">
        <w:rPr>
          <w:rFonts w:eastAsia="Times New Roman" w:cstheme="minorHAnsi"/>
          <w:sz w:val="22"/>
          <w:szCs w:val="22"/>
          <w:lang w:eastAsia="en-GB"/>
        </w:rPr>
        <w:fldChar w:fldCharType="separate"/>
      </w:r>
      <w:r w:rsidR="008F79C3" w:rsidRPr="00EE2953">
        <w:rPr>
          <w:rFonts w:eastAsia="Times New Roman" w:cstheme="minorHAnsi"/>
          <w:noProof/>
          <w:sz w:val="22"/>
          <w:szCs w:val="22"/>
          <w:lang w:eastAsia="en-GB"/>
        </w:rPr>
        <w:t>(Vallance et al., 2020)</w:t>
      </w:r>
      <w:r w:rsidR="008F79C3" w:rsidRPr="00EE2953">
        <w:rPr>
          <w:rFonts w:eastAsia="Times New Roman" w:cstheme="minorHAnsi"/>
          <w:sz w:val="22"/>
          <w:szCs w:val="22"/>
          <w:lang w:eastAsia="en-GB"/>
        </w:rPr>
        <w:fldChar w:fldCharType="end"/>
      </w:r>
      <w:r w:rsidR="008F79C3" w:rsidRPr="00EE2953">
        <w:rPr>
          <w:rFonts w:eastAsia="Times New Roman" w:cstheme="minorHAnsi"/>
          <w:sz w:val="22"/>
          <w:szCs w:val="22"/>
          <w:lang w:eastAsia="en-GB"/>
        </w:rPr>
        <w:t>, news coverage can be understood as a contested space in which power relations and opposing interests are played out.</w:t>
      </w:r>
      <w:r w:rsidR="004F155C" w:rsidRPr="00EE2953">
        <w:rPr>
          <w:rFonts w:eastAsia="Times New Roman" w:cstheme="minorHAnsi"/>
          <w:sz w:val="22"/>
          <w:szCs w:val="22"/>
          <w:lang w:eastAsia="en-GB"/>
        </w:rPr>
        <w:t xml:space="preserve">  </w:t>
      </w:r>
    </w:p>
    <w:p w14:paraId="0823C595" w14:textId="77777777" w:rsidR="00FA6E6B" w:rsidRPr="00EE2953" w:rsidRDefault="00FA6E6B" w:rsidP="009139D2">
      <w:pPr>
        <w:pStyle w:val="CommentText"/>
        <w:spacing w:after="0" w:line="360" w:lineRule="auto"/>
        <w:contextualSpacing/>
        <w:rPr>
          <w:rFonts w:eastAsia="Times New Roman" w:cstheme="minorHAnsi"/>
          <w:sz w:val="22"/>
          <w:szCs w:val="22"/>
          <w:lang w:eastAsia="en-GB"/>
        </w:rPr>
      </w:pPr>
    </w:p>
    <w:p w14:paraId="19742CAE" w14:textId="46F807A3" w:rsidR="003A144E" w:rsidRPr="00EE2953" w:rsidRDefault="00F218C3" w:rsidP="009139D2">
      <w:pPr>
        <w:pStyle w:val="CommentText"/>
        <w:spacing w:after="0" w:line="360" w:lineRule="auto"/>
        <w:contextualSpacing/>
        <w:rPr>
          <w:rFonts w:cstheme="minorHAnsi"/>
          <w:color w:val="000000" w:themeColor="text1"/>
          <w:sz w:val="22"/>
          <w:szCs w:val="22"/>
          <w:shd w:val="clear" w:color="auto" w:fill="FFFFFF"/>
        </w:rPr>
      </w:pPr>
      <w:r w:rsidRPr="00EE2953">
        <w:rPr>
          <w:rFonts w:eastAsia="Times New Roman" w:cstheme="minorHAnsi"/>
          <w:sz w:val="22"/>
          <w:szCs w:val="22"/>
          <w:lang w:eastAsia="en-GB"/>
        </w:rPr>
        <w:t>Public acceptability of</w:t>
      </w:r>
      <w:r w:rsidR="003C1E28" w:rsidRPr="00EE2953">
        <w:rPr>
          <w:rFonts w:eastAsia="Times New Roman" w:cstheme="minorHAnsi"/>
          <w:sz w:val="22"/>
          <w:szCs w:val="22"/>
          <w:lang w:eastAsia="en-GB"/>
        </w:rPr>
        <w:t xml:space="preserve"> </w:t>
      </w:r>
      <w:r w:rsidRPr="00EE2953">
        <w:rPr>
          <w:rFonts w:eastAsia="Times New Roman" w:cstheme="minorHAnsi"/>
          <w:sz w:val="22"/>
          <w:szCs w:val="22"/>
          <w:lang w:eastAsia="en-GB"/>
        </w:rPr>
        <w:t>interventions</w:t>
      </w:r>
      <w:r w:rsidR="000133D1" w:rsidRPr="00EE2953">
        <w:rPr>
          <w:rFonts w:eastAsia="Times New Roman" w:cstheme="minorHAnsi"/>
          <w:sz w:val="22"/>
          <w:szCs w:val="22"/>
          <w:lang w:eastAsia="en-GB"/>
        </w:rPr>
        <w:t xml:space="preserve"> </w:t>
      </w:r>
      <w:r w:rsidR="003C1E28" w:rsidRPr="00EE2953">
        <w:rPr>
          <w:rFonts w:eastAsia="Times New Roman" w:cstheme="minorHAnsi"/>
          <w:sz w:val="22"/>
          <w:szCs w:val="22"/>
          <w:lang w:eastAsia="en-GB"/>
        </w:rPr>
        <w:t>are</w:t>
      </w:r>
      <w:r w:rsidR="000133D1" w:rsidRPr="00EE2953">
        <w:rPr>
          <w:rFonts w:eastAsia="Times New Roman" w:cstheme="minorHAnsi"/>
          <w:sz w:val="22"/>
          <w:szCs w:val="22"/>
          <w:lang w:eastAsia="en-GB"/>
        </w:rPr>
        <w:t xml:space="preserve"> influenced</w:t>
      </w:r>
      <w:r w:rsidR="00E118B5" w:rsidRPr="00EE2953">
        <w:rPr>
          <w:rFonts w:eastAsia="Times New Roman" w:cstheme="minorHAnsi"/>
          <w:sz w:val="22"/>
          <w:szCs w:val="22"/>
          <w:lang w:eastAsia="en-GB"/>
        </w:rPr>
        <w:t xml:space="preserve"> </w:t>
      </w:r>
      <w:r w:rsidR="000133D1" w:rsidRPr="00EE2953">
        <w:rPr>
          <w:rFonts w:eastAsia="Times New Roman" w:cstheme="minorHAnsi"/>
          <w:sz w:val="22"/>
          <w:szCs w:val="22"/>
          <w:lang w:eastAsia="en-GB"/>
        </w:rPr>
        <w:t>by</w:t>
      </w:r>
      <w:r w:rsidR="00C03C3B" w:rsidRPr="00EE2953">
        <w:rPr>
          <w:rFonts w:eastAsia="Times New Roman" w:cstheme="minorHAnsi"/>
          <w:sz w:val="22"/>
          <w:szCs w:val="22"/>
          <w:lang w:eastAsia="en-GB"/>
        </w:rPr>
        <w:t xml:space="preserve"> </w:t>
      </w:r>
      <w:r w:rsidR="00DE5290" w:rsidRPr="00EE2953">
        <w:rPr>
          <w:rFonts w:eastAsia="Times New Roman" w:cstheme="minorHAnsi"/>
          <w:sz w:val="22"/>
          <w:szCs w:val="22"/>
          <w:lang w:eastAsia="en-GB"/>
        </w:rPr>
        <w:t>a range of factors including</w:t>
      </w:r>
      <w:r w:rsidR="00F86A81" w:rsidRPr="00EE2953">
        <w:rPr>
          <w:rFonts w:eastAsia="Times New Roman" w:cstheme="minorHAnsi"/>
          <w:sz w:val="22"/>
          <w:szCs w:val="22"/>
          <w:lang w:eastAsia="en-GB"/>
        </w:rPr>
        <w:t xml:space="preserve"> </w:t>
      </w:r>
      <w:r w:rsidR="00332A39" w:rsidRPr="00EE2953">
        <w:rPr>
          <w:rFonts w:cstheme="minorHAnsi"/>
          <w:color w:val="000000" w:themeColor="text1"/>
          <w:sz w:val="22"/>
          <w:szCs w:val="22"/>
          <w:shd w:val="clear" w:color="auto" w:fill="FFFFFF"/>
        </w:rPr>
        <w:t>how th</w:t>
      </w:r>
      <w:r w:rsidR="00F86A81" w:rsidRPr="00EE2953">
        <w:rPr>
          <w:rFonts w:cstheme="minorHAnsi"/>
          <w:color w:val="000000" w:themeColor="text1"/>
          <w:sz w:val="22"/>
          <w:szCs w:val="22"/>
          <w:shd w:val="clear" w:color="auto" w:fill="FFFFFF"/>
        </w:rPr>
        <w:t>ey are</w:t>
      </w:r>
      <w:r w:rsidR="00332A39" w:rsidRPr="00EE2953">
        <w:rPr>
          <w:rFonts w:cstheme="minorHAnsi"/>
          <w:color w:val="000000" w:themeColor="text1"/>
          <w:sz w:val="22"/>
          <w:szCs w:val="22"/>
          <w:shd w:val="clear" w:color="auto" w:fill="FFFFFF"/>
        </w:rPr>
        <w:t xml:space="preserve"> felt to </w:t>
      </w:r>
      <w:r w:rsidR="00332A39" w:rsidRPr="00EE2953">
        <w:rPr>
          <w:rFonts w:eastAsia="Times New Roman" w:cstheme="minorHAnsi"/>
          <w:sz w:val="22"/>
          <w:szCs w:val="22"/>
          <w:lang w:eastAsia="en-GB"/>
        </w:rPr>
        <w:t xml:space="preserve">intrude on personal autonomy and the perceived importance of the public health problem being  targeted </w:t>
      </w:r>
      <w:r w:rsidR="00262981" w:rsidRPr="00EE2953">
        <w:rPr>
          <w:rFonts w:eastAsia="Times New Roman" w:cstheme="minorHAnsi"/>
          <w:sz w:val="22"/>
          <w:szCs w:val="22"/>
          <w:lang w:eastAsia="en-GB"/>
        </w:rPr>
        <w:t xml:space="preserve"> </w:t>
      </w:r>
      <w:r w:rsidR="0097738A" w:rsidRPr="00EE2953">
        <w:rPr>
          <w:rFonts w:cstheme="minorHAnsi"/>
          <w:color w:val="000000" w:themeColor="text1"/>
          <w:sz w:val="22"/>
          <w:szCs w:val="22"/>
          <w:shd w:val="clear" w:color="auto" w:fill="FFFFFF"/>
        </w:rPr>
        <w:fldChar w:fldCharType="begin"/>
      </w:r>
      <w:r w:rsidR="00B412F5" w:rsidRPr="00EE2953">
        <w:rPr>
          <w:rFonts w:cstheme="minorHAnsi"/>
          <w:color w:val="000000" w:themeColor="text1"/>
          <w:sz w:val="22"/>
          <w:szCs w:val="22"/>
          <w:shd w:val="clear" w:color="auto" w:fill="FFFFFF"/>
        </w:rPr>
        <w:instrText xml:space="preserve"> ADDIN EN.CITE &lt;EndNote&gt;&lt;Cite&gt;&lt;Author&gt;Diepeveen&lt;/Author&gt;&lt;Year&gt;2013&lt;/Year&gt;&lt;RecNum&gt;316&lt;/RecNum&gt;&lt;DisplayText&gt;(Adams, Mytton, White, &amp;amp; Monsivais, 2016; Diepeveen, Ling, Suhrcke, Roland, &amp;amp; Marteau, 2013)&lt;/DisplayText&gt;&lt;record&gt;&lt;rec-number&gt;316&lt;/rec-number&gt;&lt;foreign-keys&gt;&lt;key app="EN" db-id="2xerwtez52p9x8ep05ip59fgspsews0w00ew" timestamp="1595903849"&gt;316&lt;/key&gt;&lt;/foreign-keys&gt;&lt;ref-type name="Journal Article"&gt;17&lt;/ref-type&gt;&lt;contributors&gt;&lt;authors&gt;&lt;author&gt;Diepeveen, S.&lt;/author&gt;&lt;author&gt;Ling, T.&lt;/author&gt;&lt;author&gt;Suhrcke, M.&lt;/author&gt;&lt;author&gt;Roland, M.&lt;/author&gt;&lt;author&gt;Marteau, T.M.&lt;/author&gt;&lt;/authors&gt;&lt;/contributors&gt;&lt;titles&gt;&lt;title&gt;Public acceptability of government intervention to change health-related behaviours: a systematic review and narrative synthesis&lt;/title&gt;&lt;secondary-title&gt;BMC Public Health&lt;/secondary-title&gt;&lt;/titles&gt;&lt;periodical&gt;&lt;full-title&gt;BMC Public Health&lt;/full-title&gt;&lt;/periodical&gt;&lt;pages&gt;756&lt;/pages&gt;&lt;volume&gt;13&lt;/volume&gt;&lt;dates&gt;&lt;year&gt;2013&lt;/year&gt;&lt;/dates&gt;&lt;urls&gt;&lt;/urls&gt;&lt;/record&gt;&lt;/Cite&gt;&lt;Cite&gt;&lt;Author&gt;Adams&lt;/Author&gt;&lt;Year&gt;2016&lt;/Year&gt;&lt;RecNum&gt;330&lt;/RecNum&gt;&lt;record&gt;&lt;rec-number&gt;330&lt;/rec-number&gt;&lt;foreign-keys&gt;&lt;key app="EN" db-id="wz0s5vxeow0299ew9xqvdsw7t0xf9w02z5wt" timestamp="1606407547"&gt;330&lt;/key&gt;&lt;/foreign-keys&gt;&lt;ref-type name="Journal Article"&gt;17&lt;/ref-type&gt;&lt;contributors&gt;&lt;authors&gt;&lt;author&gt;Adams, J.&lt;/author&gt;&lt;author&gt;Mytton, O.&lt;/author&gt;&lt;author&gt;White, M.&lt;/author&gt;&lt;author&gt;Monsivais, P. &lt;/author&gt;&lt;/authors&gt;&lt;/contributors&gt;&lt;titles&gt;&lt;title&gt;Why Are Some Population Interventions for Diet and Obesity More Equitable and Effective Than Others? The Role of Individual Agency&lt;/title&gt;&lt;secondary-title&gt;PLoS Medicine&lt;/secondary-title&gt;&lt;/titles&gt;&lt;periodical&gt;&lt;full-title&gt;PLoS Medicine&lt;/full-title&gt;&lt;/periodical&gt;&lt;volume&gt;13&lt;/volume&gt;&lt;number&gt;5&lt;/number&gt;&lt;section&gt;e1002045&lt;/section&gt;&lt;dates&gt;&lt;year&gt;2016&lt;/year&gt;&lt;/dates&gt;&lt;urls&gt;&lt;/urls&gt;&lt;/record&gt;&lt;/Cite&gt;&lt;/EndNote&gt;</w:instrText>
      </w:r>
      <w:r w:rsidR="0097738A" w:rsidRPr="00EE2953">
        <w:rPr>
          <w:rFonts w:cstheme="minorHAnsi"/>
          <w:color w:val="000000" w:themeColor="text1"/>
          <w:sz w:val="22"/>
          <w:szCs w:val="22"/>
          <w:shd w:val="clear" w:color="auto" w:fill="FFFFFF"/>
        </w:rPr>
        <w:fldChar w:fldCharType="separate"/>
      </w:r>
      <w:r w:rsidR="00B412F5" w:rsidRPr="00EE2953">
        <w:rPr>
          <w:rFonts w:cstheme="minorHAnsi"/>
          <w:noProof/>
          <w:color w:val="000000" w:themeColor="text1"/>
          <w:sz w:val="22"/>
          <w:szCs w:val="22"/>
          <w:shd w:val="clear" w:color="auto" w:fill="FFFFFF"/>
        </w:rPr>
        <w:t>(Adams, Mytton, White, &amp; Monsivais, 2016; Diepeveen, Ling, Suhrcke, Roland, &amp; Marteau, 2013)</w:t>
      </w:r>
      <w:r w:rsidR="0097738A" w:rsidRPr="00EE2953">
        <w:rPr>
          <w:rFonts w:cstheme="minorHAnsi"/>
          <w:color w:val="000000" w:themeColor="text1"/>
          <w:sz w:val="22"/>
          <w:szCs w:val="22"/>
          <w:shd w:val="clear" w:color="auto" w:fill="FFFFFF"/>
        </w:rPr>
        <w:fldChar w:fldCharType="end"/>
      </w:r>
      <w:r w:rsidR="0015222B" w:rsidRPr="00EE2953">
        <w:rPr>
          <w:rFonts w:cstheme="minorHAnsi"/>
          <w:color w:val="000000" w:themeColor="text1"/>
          <w:sz w:val="22"/>
          <w:szCs w:val="22"/>
          <w:shd w:val="clear" w:color="auto" w:fill="FFFFFF"/>
        </w:rPr>
        <w:t xml:space="preserve">.  </w:t>
      </w:r>
      <w:r w:rsidR="00025033" w:rsidRPr="00EE2953">
        <w:rPr>
          <w:rFonts w:cstheme="minorHAnsi"/>
          <w:color w:val="000000" w:themeColor="text1"/>
          <w:sz w:val="22"/>
          <w:szCs w:val="22"/>
          <w:shd w:val="clear" w:color="auto" w:fill="FFFFFF"/>
        </w:rPr>
        <w:t>News</w:t>
      </w:r>
      <w:r w:rsidR="00EB4EBB" w:rsidRPr="00EE2953">
        <w:rPr>
          <w:rFonts w:cstheme="minorHAnsi"/>
          <w:color w:val="000000" w:themeColor="text1"/>
          <w:sz w:val="22"/>
          <w:szCs w:val="22"/>
          <w:shd w:val="clear" w:color="auto" w:fill="FFFFFF"/>
        </w:rPr>
        <w:t xml:space="preserve"> coverage</w:t>
      </w:r>
      <w:r w:rsidR="00025033" w:rsidRPr="00EE2953">
        <w:rPr>
          <w:rFonts w:cstheme="minorHAnsi"/>
          <w:color w:val="000000" w:themeColor="text1"/>
          <w:sz w:val="22"/>
          <w:szCs w:val="22"/>
          <w:shd w:val="clear" w:color="auto" w:fill="FFFFFF"/>
        </w:rPr>
        <w:t xml:space="preserve"> independently shape</w:t>
      </w:r>
      <w:r w:rsidR="00156838" w:rsidRPr="00EE2953">
        <w:rPr>
          <w:rFonts w:cstheme="minorHAnsi"/>
          <w:color w:val="000000" w:themeColor="text1"/>
          <w:sz w:val="22"/>
          <w:szCs w:val="22"/>
          <w:shd w:val="clear" w:color="auto" w:fill="FFFFFF"/>
        </w:rPr>
        <w:t>s</w:t>
      </w:r>
      <w:r w:rsidR="00025033" w:rsidRPr="00EE2953">
        <w:rPr>
          <w:rFonts w:cstheme="minorHAnsi"/>
          <w:color w:val="000000" w:themeColor="text1"/>
          <w:sz w:val="22"/>
          <w:szCs w:val="22"/>
          <w:shd w:val="clear" w:color="auto" w:fill="FFFFFF"/>
        </w:rPr>
        <w:t xml:space="preserve"> </w:t>
      </w:r>
      <w:r w:rsidR="009A43C7" w:rsidRPr="00EE2953">
        <w:rPr>
          <w:rFonts w:cstheme="minorHAnsi"/>
          <w:color w:val="000000" w:themeColor="text1"/>
          <w:sz w:val="22"/>
          <w:szCs w:val="22"/>
          <w:shd w:val="clear" w:color="auto" w:fill="FFFFFF"/>
        </w:rPr>
        <w:t xml:space="preserve">and frames </w:t>
      </w:r>
      <w:r w:rsidR="00025033" w:rsidRPr="00EE2953">
        <w:rPr>
          <w:rFonts w:cstheme="minorHAnsi"/>
          <w:color w:val="000000" w:themeColor="text1"/>
          <w:sz w:val="22"/>
          <w:szCs w:val="22"/>
          <w:shd w:val="clear" w:color="auto" w:fill="FFFFFF"/>
        </w:rPr>
        <w:t>public discourse</w:t>
      </w:r>
      <w:r w:rsidR="00156838" w:rsidRPr="00EE2953">
        <w:rPr>
          <w:rFonts w:cstheme="minorHAnsi"/>
          <w:color w:val="000000" w:themeColor="text1"/>
          <w:sz w:val="22"/>
          <w:szCs w:val="22"/>
          <w:shd w:val="clear" w:color="auto" w:fill="FFFFFF"/>
        </w:rPr>
        <w:t xml:space="preserve">s around </w:t>
      </w:r>
      <w:r w:rsidR="00831C79" w:rsidRPr="00EE2953">
        <w:rPr>
          <w:rFonts w:cstheme="minorHAnsi"/>
          <w:color w:val="000000" w:themeColor="text1"/>
          <w:sz w:val="22"/>
          <w:szCs w:val="22"/>
          <w:shd w:val="clear" w:color="auto" w:fill="FFFFFF"/>
        </w:rPr>
        <w:t>factors that</w:t>
      </w:r>
      <w:r w:rsidR="00AE1514" w:rsidRPr="00EE2953">
        <w:rPr>
          <w:rFonts w:cstheme="minorHAnsi"/>
          <w:color w:val="000000" w:themeColor="text1"/>
          <w:sz w:val="22"/>
          <w:szCs w:val="22"/>
          <w:shd w:val="clear" w:color="auto" w:fill="FFFFFF"/>
        </w:rPr>
        <w:t xml:space="preserve"> influence public </w:t>
      </w:r>
      <w:r w:rsidR="00156838" w:rsidRPr="00EE2953">
        <w:rPr>
          <w:rFonts w:cstheme="minorHAnsi"/>
          <w:color w:val="000000" w:themeColor="text1"/>
          <w:sz w:val="22"/>
          <w:szCs w:val="22"/>
          <w:shd w:val="clear" w:color="auto" w:fill="FFFFFF"/>
        </w:rPr>
        <w:t>support</w:t>
      </w:r>
      <w:r w:rsidR="00AE1514" w:rsidRPr="00EE2953">
        <w:rPr>
          <w:rFonts w:cstheme="minorHAnsi"/>
          <w:color w:val="000000" w:themeColor="text1"/>
          <w:sz w:val="22"/>
          <w:szCs w:val="22"/>
          <w:shd w:val="clear" w:color="auto" w:fill="FFFFFF"/>
        </w:rPr>
        <w:t xml:space="preserve"> of or opposition to public health interve</w:t>
      </w:r>
      <w:r w:rsidR="00AE697C" w:rsidRPr="00EE2953">
        <w:rPr>
          <w:rFonts w:cstheme="minorHAnsi"/>
          <w:color w:val="000000" w:themeColor="text1"/>
          <w:sz w:val="22"/>
          <w:szCs w:val="22"/>
          <w:shd w:val="clear" w:color="auto" w:fill="FFFFFF"/>
        </w:rPr>
        <w:t xml:space="preserve">ntions </w:t>
      </w:r>
      <w:r w:rsidR="0025507E" w:rsidRPr="00EE2953">
        <w:rPr>
          <w:rFonts w:cstheme="minorHAnsi"/>
          <w:color w:val="000000" w:themeColor="text1"/>
          <w:sz w:val="22"/>
          <w:szCs w:val="22"/>
          <w:shd w:val="clear" w:color="auto" w:fill="FFFFFF"/>
        </w:rPr>
        <w:fldChar w:fldCharType="begin"/>
      </w:r>
      <w:r w:rsidR="0025507E" w:rsidRPr="00EE2953">
        <w:rPr>
          <w:rFonts w:cstheme="minorHAnsi"/>
          <w:color w:val="000000" w:themeColor="text1"/>
          <w:sz w:val="22"/>
          <w:szCs w:val="22"/>
          <w:shd w:val="clear" w:color="auto" w:fill="FFFFFF"/>
        </w:rPr>
        <w:instrText xml:space="preserve"> ADDIN EN.CITE &lt;EndNote&gt;&lt;Cite&gt;&lt;Author&gt;Cameron Wild&lt;/Author&gt;&lt;Year&gt;2019&lt;/Year&gt;&lt;RecNum&gt;419&lt;/RecNum&gt;&lt;DisplayText&gt;(Cameron Wild et al., 2019)&lt;/DisplayText&gt;&lt;record&gt;&lt;rec-number&gt;419&lt;/rec-number&gt;&lt;foreign-keys&gt;&lt;key app="EN" db-id="wz0s5vxeow0299ew9xqvdsw7t0xf9w02z5wt" timestamp="1618417583"&gt;419&lt;/key&gt;&lt;/foreign-keys&gt;&lt;ref-type name="Journal Article"&gt;17&lt;/ref-type&gt;&lt;contributors&gt;&lt;authors&gt;&lt;author&gt;Cameron Wild, T.&lt;/author&gt;&lt;author&gt;Koziel, J.&lt;/author&gt;&lt;author&gt;Anderson-Baron, J.&lt;/author&gt;&lt;author&gt;Hathaway, J.&lt;/author&gt;&lt;author&gt;McCurdy, A.&lt;/author&gt;&lt;author&gt;Xu, X.&lt;/author&gt;&lt;author&gt;Asbridge, M.&lt;/author&gt;&lt;author&gt;Belle-Isle, L.&lt;/author&gt;&lt;author&gt;Hathaway, A.&lt;/author&gt;&lt;author&gt;MacPherson, D.&lt;/author&gt;&lt;author&gt;Hyshka, E.&lt;/author&gt;&lt;/authors&gt;&lt;/contributors&gt;&lt;titles&gt;&lt;title&gt;Media coverage of harm reduction, 2000-2016: A content analysis of tone, topics, and interventions in Canadian print news&lt;/title&gt;&lt;secondary-title&gt;Drug and Alcohol Dependence&lt;/secondary-title&gt;&lt;/titles&gt;&lt;periodical&gt;&lt;full-title&gt;Drug and Alcohol Dependence&lt;/full-title&gt;&lt;/periodical&gt;&lt;volume&gt;1&lt;/volume&gt;&lt;number&gt;205&lt;/number&gt;&lt;section&gt;107599&lt;/section&gt;&lt;dates&gt;&lt;year&gt;2019&lt;/year&gt;&lt;/dates&gt;&lt;urls&gt;&lt;/urls&gt;&lt;/record&gt;&lt;/Cite&gt;&lt;/EndNote&gt;</w:instrText>
      </w:r>
      <w:r w:rsidR="0025507E" w:rsidRPr="00EE2953">
        <w:rPr>
          <w:rFonts w:cstheme="minorHAnsi"/>
          <w:color w:val="000000" w:themeColor="text1"/>
          <w:sz w:val="22"/>
          <w:szCs w:val="22"/>
          <w:shd w:val="clear" w:color="auto" w:fill="FFFFFF"/>
        </w:rPr>
        <w:fldChar w:fldCharType="separate"/>
      </w:r>
      <w:r w:rsidR="0025507E" w:rsidRPr="00EE2953">
        <w:rPr>
          <w:rFonts w:cstheme="minorHAnsi"/>
          <w:noProof/>
          <w:color w:val="000000" w:themeColor="text1"/>
          <w:sz w:val="22"/>
          <w:szCs w:val="22"/>
          <w:shd w:val="clear" w:color="auto" w:fill="FFFFFF"/>
        </w:rPr>
        <w:t>(Cameron Wild et al., 2019)</w:t>
      </w:r>
      <w:r w:rsidR="0025507E" w:rsidRPr="00EE2953">
        <w:rPr>
          <w:rFonts w:cstheme="minorHAnsi"/>
          <w:color w:val="000000" w:themeColor="text1"/>
          <w:sz w:val="22"/>
          <w:szCs w:val="22"/>
          <w:shd w:val="clear" w:color="auto" w:fill="FFFFFF"/>
        </w:rPr>
        <w:fldChar w:fldCharType="end"/>
      </w:r>
      <w:r w:rsidR="0025507E" w:rsidRPr="00EE2953">
        <w:rPr>
          <w:rFonts w:cstheme="minorHAnsi"/>
          <w:color w:val="000000" w:themeColor="text1"/>
          <w:sz w:val="22"/>
          <w:szCs w:val="22"/>
          <w:shd w:val="clear" w:color="auto" w:fill="FFFFFF"/>
        </w:rPr>
        <w:t>.</w:t>
      </w:r>
      <w:r w:rsidR="00D07E13" w:rsidRPr="00EE2953">
        <w:rPr>
          <w:rFonts w:cstheme="minorHAnsi"/>
          <w:color w:val="000000" w:themeColor="text1"/>
          <w:sz w:val="22"/>
          <w:szCs w:val="22"/>
          <w:shd w:val="clear" w:color="auto" w:fill="FFFFFF"/>
        </w:rPr>
        <w:t xml:space="preserve">  </w:t>
      </w:r>
      <w:r w:rsidR="009A43C7" w:rsidRPr="00EE2953">
        <w:rPr>
          <w:rFonts w:cstheme="minorHAnsi"/>
          <w:color w:val="000000" w:themeColor="text1"/>
          <w:sz w:val="22"/>
          <w:szCs w:val="22"/>
          <w:shd w:val="clear" w:color="auto" w:fill="FFFFFF"/>
        </w:rPr>
        <w:t>The specific framing of issues influences whether</w:t>
      </w:r>
      <w:r w:rsidR="00D52861" w:rsidRPr="00EE2953">
        <w:rPr>
          <w:rFonts w:cstheme="minorHAnsi"/>
          <w:color w:val="000000" w:themeColor="text1"/>
          <w:sz w:val="22"/>
          <w:szCs w:val="22"/>
          <w:shd w:val="clear" w:color="auto" w:fill="FFFFFF"/>
        </w:rPr>
        <w:t xml:space="preserve"> or not they are identified as problems </w:t>
      </w:r>
      <w:r w:rsidR="00450290" w:rsidRPr="00EE2953">
        <w:rPr>
          <w:rFonts w:cstheme="minorHAnsi"/>
          <w:color w:val="000000" w:themeColor="text1"/>
          <w:sz w:val="22"/>
          <w:szCs w:val="22"/>
          <w:shd w:val="clear" w:color="auto" w:fill="FFFFFF"/>
        </w:rPr>
        <w:t>worthy of political action and</w:t>
      </w:r>
      <w:r w:rsidR="00B0494A" w:rsidRPr="00EE2953">
        <w:rPr>
          <w:rFonts w:cstheme="minorHAnsi"/>
          <w:color w:val="000000" w:themeColor="text1"/>
          <w:sz w:val="22"/>
          <w:szCs w:val="22"/>
          <w:shd w:val="clear" w:color="auto" w:fill="FFFFFF"/>
        </w:rPr>
        <w:t xml:space="preserve"> can </w:t>
      </w:r>
      <w:r w:rsidR="00BF1CE5" w:rsidRPr="00EE2953">
        <w:rPr>
          <w:rFonts w:cstheme="minorHAnsi"/>
          <w:color w:val="000000" w:themeColor="text1"/>
          <w:sz w:val="22"/>
          <w:szCs w:val="22"/>
          <w:shd w:val="clear" w:color="auto" w:fill="FFFFFF"/>
        </w:rPr>
        <w:t>help legitimise or preclude</w:t>
      </w:r>
      <w:r w:rsidR="00770BD7" w:rsidRPr="00EE2953">
        <w:rPr>
          <w:rFonts w:cstheme="minorHAnsi"/>
          <w:color w:val="000000" w:themeColor="text1"/>
          <w:sz w:val="22"/>
          <w:szCs w:val="22"/>
          <w:shd w:val="clear" w:color="auto" w:fill="FFFFFF"/>
        </w:rPr>
        <w:t xml:space="preserve"> </w:t>
      </w:r>
      <w:r w:rsidR="007A7C0B" w:rsidRPr="00EE2953">
        <w:rPr>
          <w:rFonts w:cstheme="minorHAnsi"/>
          <w:color w:val="000000" w:themeColor="text1"/>
          <w:sz w:val="22"/>
          <w:szCs w:val="22"/>
          <w:shd w:val="clear" w:color="auto" w:fill="FFFFFF"/>
        </w:rPr>
        <w:t>certain responses t</w:t>
      </w:r>
      <w:r w:rsidR="005819EC" w:rsidRPr="00EE2953">
        <w:rPr>
          <w:rFonts w:cstheme="minorHAnsi"/>
          <w:color w:val="000000" w:themeColor="text1"/>
          <w:sz w:val="22"/>
          <w:szCs w:val="22"/>
          <w:shd w:val="clear" w:color="auto" w:fill="FFFFFF"/>
        </w:rPr>
        <w:t xml:space="preserve">o perceived problems </w:t>
      </w:r>
      <w:r w:rsidR="00B80075" w:rsidRPr="00EE2953">
        <w:rPr>
          <w:rFonts w:cstheme="minorHAnsi"/>
          <w:color w:val="000000" w:themeColor="text1"/>
          <w:sz w:val="22"/>
          <w:szCs w:val="22"/>
          <w:shd w:val="clear" w:color="auto" w:fill="FFFFFF"/>
        </w:rPr>
        <w:fldChar w:fldCharType="begin"/>
      </w:r>
      <w:r w:rsidR="000D3034" w:rsidRPr="00EE2953">
        <w:rPr>
          <w:rFonts w:cstheme="minorHAnsi"/>
          <w:color w:val="000000" w:themeColor="text1"/>
          <w:sz w:val="22"/>
          <w:szCs w:val="22"/>
          <w:shd w:val="clear" w:color="auto" w:fill="FFFFFF"/>
        </w:rPr>
        <w:instrText xml:space="preserve"> ADDIN EN.CITE &lt;EndNote&gt;&lt;Cite&gt;&lt;Author&gt;Hawkins&lt;/Author&gt;&lt;Year&gt;2013&lt;/Year&gt;&lt;RecNum&gt;1133&lt;/RecNum&gt;&lt;DisplayText&gt;(Hawkins &amp;amp; Holden, 2013)&lt;/DisplayText&gt;&lt;record&gt;&lt;rec-number&gt;1133&lt;/rec-number&gt;&lt;foreign-keys&gt;&lt;key app="EN" db-id="vrd5x9e24rasx8e2asc5x0pw95tw20vx5a25" timestamp="1617018610"&gt;1133&lt;/key&gt;&lt;/foreign-keys&gt;&lt;ref-type name="Journal Article"&gt;17&lt;/ref-type&gt;&lt;contributors&gt;&lt;authors&gt;&lt;author&gt;Hawkins, B.&lt;/author&gt;&lt;author&gt;Holden, C.&lt;/author&gt;&lt;/authors&gt;&lt;/contributors&gt;&lt;titles&gt;&lt;title&gt;Framing the alcohol policy debate: industry actors and the regulation of the UK beverage alcohol market&lt;/title&gt;&lt;secondary-title&gt;Critical Policy Studies&lt;/secondary-title&gt;&lt;/titles&gt;&lt;periodical&gt;&lt;full-title&gt;Critical Policy Studies&lt;/full-title&gt;&lt;/periodical&gt;&lt;pages&gt;53-71&lt;/pages&gt;&lt;volume&gt;7&lt;/volume&gt;&lt;number&gt;1&lt;/number&gt;&lt;dates&gt;&lt;year&gt;2013&lt;/year&gt;&lt;/dates&gt;&lt;urls&gt;&lt;/urls&gt;&lt;/record&gt;&lt;/Cite&gt;&lt;/EndNote&gt;</w:instrText>
      </w:r>
      <w:r w:rsidR="00B80075" w:rsidRPr="00EE2953">
        <w:rPr>
          <w:rFonts w:cstheme="minorHAnsi"/>
          <w:color w:val="000000" w:themeColor="text1"/>
          <w:sz w:val="22"/>
          <w:szCs w:val="22"/>
          <w:shd w:val="clear" w:color="auto" w:fill="FFFFFF"/>
        </w:rPr>
        <w:fldChar w:fldCharType="separate"/>
      </w:r>
      <w:r w:rsidR="00B80075" w:rsidRPr="00EE2953">
        <w:rPr>
          <w:rFonts w:cstheme="minorHAnsi"/>
          <w:noProof/>
          <w:color w:val="000000" w:themeColor="text1"/>
          <w:sz w:val="22"/>
          <w:szCs w:val="22"/>
          <w:shd w:val="clear" w:color="auto" w:fill="FFFFFF"/>
        </w:rPr>
        <w:t>(Hawkins &amp; Holden, 2013)</w:t>
      </w:r>
      <w:r w:rsidR="00B80075" w:rsidRPr="00EE2953">
        <w:rPr>
          <w:rFonts w:cstheme="minorHAnsi"/>
          <w:color w:val="000000" w:themeColor="text1"/>
          <w:sz w:val="22"/>
          <w:szCs w:val="22"/>
          <w:shd w:val="clear" w:color="auto" w:fill="FFFFFF"/>
        </w:rPr>
        <w:fldChar w:fldCharType="end"/>
      </w:r>
      <w:r w:rsidR="002C71C7" w:rsidRPr="00EE2953">
        <w:rPr>
          <w:rFonts w:cstheme="minorHAnsi"/>
          <w:color w:val="000000" w:themeColor="text1"/>
          <w:sz w:val="22"/>
          <w:szCs w:val="22"/>
          <w:shd w:val="clear" w:color="auto" w:fill="FFFFFF"/>
        </w:rPr>
        <w:t xml:space="preserve">.  </w:t>
      </w:r>
      <w:r w:rsidR="00D07E13" w:rsidRPr="00EE2953">
        <w:rPr>
          <w:rFonts w:cstheme="minorHAnsi"/>
          <w:color w:val="000000" w:themeColor="text1"/>
          <w:sz w:val="22"/>
          <w:szCs w:val="22"/>
          <w:shd w:val="clear" w:color="auto" w:fill="FFFFFF"/>
        </w:rPr>
        <w:t xml:space="preserve">This paper aims to </w:t>
      </w:r>
      <w:r w:rsidR="00173FD6" w:rsidRPr="00EE2953">
        <w:rPr>
          <w:rFonts w:cstheme="minorHAnsi"/>
          <w:color w:val="000000" w:themeColor="text1"/>
          <w:sz w:val="22"/>
          <w:szCs w:val="22"/>
          <w:shd w:val="clear" w:color="auto" w:fill="FFFFFF"/>
        </w:rPr>
        <w:t>explore h</w:t>
      </w:r>
      <w:r w:rsidR="00B85266" w:rsidRPr="00EE2953">
        <w:rPr>
          <w:rFonts w:cstheme="minorHAnsi"/>
          <w:color w:val="000000" w:themeColor="text1"/>
          <w:sz w:val="22"/>
          <w:szCs w:val="22"/>
          <w:shd w:val="clear" w:color="auto" w:fill="FFFFFF"/>
        </w:rPr>
        <w:t xml:space="preserve">ow </w:t>
      </w:r>
      <w:r w:rsidR="00DB41C7" w:rsidRPr="00EE2953">
        <w:rPr>
          <w:rFonts w:cstheme="minorHAnsi"/>
          <w:color w:val="000000" w:themeColor="text1"/>
          <w:sz w:val="22"/>
          <w:szCs w:val="22"/>
          <w:shd w:val="clear" w:color="auto" w:fill="FFFFFF"/>
        </w:rPr>
        <w:t>the</w:t>
      </w:r>
      <w:r w:rsidR="006F6A20" w:rsidRPr="00EE2953">
        <w:rPr>
          <w:rFonts w:cstheme="minorHAnsi"/>
          <w:color w:val="000000" w:themeColor="text1"/>
          <w:sz w:val="22"/>
          <w:szCs w:val="22"/>
          <w:shd w:val="clear" w:color="auto" w:fill="FFFFFF"/>
        </w:rPr>
        <w:t xml:space="preserve"> TfL advertising</w:t>
      </w:r>
      <w:r w:rsidR="00F542F0" w:rsidRPr="00EE2953">
        <w:rPr>
          <w:rFonts w:cstheme="minorHAnsi"/>
          <w:color w:val="000000" w:themeColor="text1"/>
          <w:sz w:val="22"/>
          <w:szCs w:val="22"/>
          <w:shd w:val="clear" w:color="auto" w:fill="FFFFFF"/>
        </w:rPr>
        <w:t xml:space="preserve"> restrictions were</w:t>
      </w:r>
      <w:r w:rsidR="005E7916" w:rsidRPr="00EE2953">
        <w:rPr>
          <w:rFonts w:cstheme="minorHAnsi"/>
          <w:color w:val="000000" w:themeColor="text1"/>
          <w:sz w:val="22"/>
          <w:szCs w:val="22"/>
          <w:shd w:val="clear" w:color="auto" w:fill="FFFFFF"/>
        </w:rPr>
        <w:t xml:space="preserve"> covered in the press and how the</w:t>
      </w:r>
      <w:r w:rsidR="00322FBB" w:rsidRPr="00EE2953">
        <w:rPr>
          <w:rFonts w:cstheme="minorHAnsi"/>
          <w:color w:val="000000" w:themeColor="text1"/>
          <w:sz w:val="22"/>
          <w:szCs w:val="22"/>
          <w:shd w:val="clear" w:color="auto" w:fill="FFFFFF"/>
        </w:rPr>
        <w:t xml:space="preserve"> factors that</w:t>
      </w:r>
      <w:r w:rsidR="006E1C06" w:rsidRPr="00EE2953">
        <w:rPr>
          <w:rFonts w:cstheme="minorHAnsi"/>
          <w:color w:val="000000" w:themeColor="text1"/>
          <w:sz w:val="22"/>
          <w:szCs w:val="22"/>
          <w:shd w:val="clear" w:color="auto" w:fill="FFFFFF"/>
        </w:rPr>
        <w:t xml:space="preserve"> </w:t>
      </w:r>
      <w:r w:rsidR="00BE537E" w:rsidRPr="00EE2953">
        <w:rPr>
          <w:rFonts w:cstheme="minorHAnsi"/>
          <w:color w:val="000000" w:themeColor="text1"/>
          <w:sz w:val="22"/>
          <w:szCs w:val="22"/>
          <w:shd w:val="clear" w:color="auto" w:fill="FFFFFF"/>
        </w:rPr>
        <w:t xml:space="preserve">could influence public acceptability </w:t>
      </w:r>
      <w:r w:rsidR="00CD1BAA" w:rsidRPr="00EE2953">
        <w:rPr>
          <w:rFonts w:cstheme="minorHAnsi"/>
          <w:color w:val="000000" w:themeColor="text1"/>
          <w:sz w:val="22"/>
          <w:szCs w:val="22"/>
          <w:shd w:val="clear" w:color="auto" w:fill="FFFFFF"/>
        </w:rPr>
        <w:t>were</w:t>
      </w:r>
      <w:r w:rsidR="00BE537E" w:rsidRPr="00EE2953">
        <w:rPr>
          <w:rFonts w:cstheme="minorHAnsi"/>
          <w:color w:val="000000" w:themeColor="text1"/>
          <w:sz w:val="22"/>
          <w:szCs w:val="22"/>
          <w:shd w:val="clear" w:color="auto" w:fill="FFFFFF"/>
        </w:rPr>
        <w:t xml:space="preserve"> framed within</w:t>
      </w:r>
      <w:r w:rsidR="009E0A4F" w:rsidRPr="00EE2953">
        <w:rPr>
          <w:rFonts w:cstheme="minorHAnsi"/>
          <w:color w:val="000000" w:themeColor="text1"/>
          <w:sz w:val="22"/>
          <w:szCs w:val="22"/>
          <w:shd w:val="clear" w:color="auto" w:fill="FFFFFF"/>
        </w:rPr>
        <w:t xml:space="preserve"> </w:t>
      </w:r>
      <w:r w:rsidR="00CD1BAA" w:rsidRPr="00EE2953">
        <w:rPr>
          <w:rFonts w:cstheme="minorHAnsi"/>
          <w:color w:val="000000" w:themeColor="text1"/>
          <w:sz w:val="22"/>
          <w:szCs w:val="22"/>
          <w:shd w:val="clear" w:color="auto" w:fill="FFFFFF"/>
        </w:rPr>
        <w:t>that coverage</w:t>
      </w:r>
      <w:r w:rsidR="00F917B6" w:rsidRPr="00EE2953">
        <w:rPr>
          <w:rFonts w:eastAsia="Times New Roman" w:cstheme="minorHAnsi"/>
          <w:sz w:val="22"/>
          <w:szCs w:val="22"/>
          <w:lang w:eastAsia="en-GB"/>
        </w:rPr>
        <w:t>.  In doing so, it will address the following research questions</w:t>
      </w:r>
      <w:r w:rsidR="00D832D5" w:rsidRPr="00EE2953">
        <w:rPr>
          <w:rFonts w:eastAsia="Times New Roman" w:cstheme="minorHAnsi"/>
          <w:sz w:val="22"/>
          <w:szCs w:val="22"/>
          <w:lang w:eastAsia="en-GB"/>
        </w:rPr>
        <w:t>:</w:t>
      </w:r>
    </w:p>
    <w:p w14:paraId="29FF5D49" w14:textId="77777777" w:rsidR="00D832D5" w:rsidRPr="00EE2953" w:rsidRDefault="00D832D5" w:rsidP="009139D2">
      <w:pPr>
        <w:pStyle w:val="CommentText"/>
        <w:spacing w:after="0" w:line="360" w:lineRule="auto"/>
        <w:contextualSpacing/>
        <w:rPr>
          <w:rFonts w:eastAsia="Times New Roman" w:cstheme="minorHAnsi"/>
          <w:sz w:val="22"/>
          <w:szCs w:val="22"/>
          <w:lang w:eastAsia="en-GB"/>
        </w:rPr>
      </w:pPr>
    </w:p>
    <w:p w14:paraId="79C17FE2" w14:textId="0431A52C" w:rsidR="003828BE" w:rsidRPr="00EE2953" w:rsidRDefault="00B34255" w:rsidP="009139D2">
      <w:pPr>
        <w:pStyle w:val="CommentText"/>
        <w:spacing w:after="0" w:line="360" w:lineRule="auto"/>
        <w:contextualSpacing/>
        <w:rPr>
          <w:rFonts w:eastAsia="Times New Roman" w:cstheme="minorHAnsi"/>
          <w:sz w:val="22"/>
          <w:szCs w:val="22"/>
          <w:lang w:eastAsia="en-GB"/>
        </w:rPr>
      </w:pPr>
      <w:bookmarkStart w:id="4" w:name="_Hlk69331603"/>
      <w:r w:rsidRPr="00EE2953">
        <w:rPr>
          <w:rFonts w:eastAsia="Times New Roman" w:cstheme="minorHAnsi"/>
          <w:sz w:val="22"/>
          <w:szCs w:val="22"/>
          <w:lang w:eastAsia="en-GB"/>
        </w:rPr>
        <w:t xml:space="preserve">i) </w:t>
      </w:r>
      <w:r w:rsidR="00D56DBA" w:rsidRPr="00EE2953">
        <w:rPr>
          <w:rFonts w:eastAsia="Times New Roman" w:cstheme="minorHAnsi"/>
          <w:sz w:val="22"/>
          <w:szCs w:val="22"/>
          <w:lang w:eastAsia="en-GB"/>
        </w:rPr>
        <w:t xml:space="preserve">What </w:t>
      </w:r>
      <w:r w:rsidR="00D05CE2" w:rsidRPr="00EE2953">
        <w:rPr>
          <w:rFonts w:eastAsia="Times New Roman" w:cstheme="minorHAnsi"/>
          <w:sz w:val="22"/>
          <w:szCs w:val="22"/>
          <w:lang w:eastAsia="en-GB"/>
        </w:rPr>
        <w:t>were</w:t>
      </w:r>
      <w:r w:rsidR="00D56DBA" w:rsidRPr="00EE2953">
        <w:rPr>
          <w:rFonts w:eastAsia="Times New Roman" w:cstheme="minorHAnsi"/>
          <w:sz w:val="22"/>
          <w:szCs w:val="22"/>
          <w:lang w:eastAsia="en-GB"/>
        </w:rPr>
        <w:t xml:space="preserve"> the arguments made in </w:t>
      </w:r>
      <w:r w:rsidR="004014F0" w:rsidRPr="00EE2953">
        <w:rPr>
          <w:rFonts w:eastAsia="Times New Roman" w:cstheme="minorHAnsi"/>
          <w:sz w:val="22"/>
          <w:szCs w:val="22"/>
          <w:lang w:eastAsia="en-GB"/>
        </w:rPr>
        <w:t>favour of and against the</w:t>
      </w:r>
      <w:r w:rsidR="00070228" w:rsidRPr="00EE2953">
        <w:rPr>
          <w:rFonts w:eastAsia="Times New Roman" w:cstheme="minorHAnsi"/>
          <w:sz w:val="22"/>
          <w:szCs w:val="22"/>
          <w:lang w:eastAsia="en-GB"/>
        </w:rPr>
        <w:t xml:space="preserve"> </w:t>
      </w:r>
      <w:r w:rsidR="00D56DBA" w:rsidRPr="00EE2953">
        <w:rPr>
          <w:rFonts w:eastAsia="Times New Roman" w:cstheme="minorHAnsi"/>
          <w:sz w:val="22"/>
          <w:szCs w:val="22"/>
          <w:lang w:eastAsia="en-GB"/>
        </w:rPr>
        <w:t>TfL HFSS advertising restrictions</w:t>
      </w:r>
      <w:r w:rsidR="009A478A" w:rsidRPr="00EE2953">
        <w:rPr>
          <w:rFonts w:eastAsia="Times New Roman" w:cstheme="minorHAnsi"/>
          <w:sz w:val="22"/>
          <w:szCs w:val="22"/>
          <w:lang w:eastAsia="en-GB"/>
        </w:rPr>
        <w:t xml:space="preserve"> in </w:t>
      </w:r>
      <w:r w:rsidR="00D05CE2" w:rsidRPr="00EE2953">
        <w:rPr>
          <w:rFonts w:eastAsia="Times New Roman" w:cstheme="minorHAnsi"/>
          <w:sz w:val="22"/>
          <w:szCs w:val="22"/>
          <w:lang w:eastAsia="en-GB"/>
        </w:rPr>
        <w:t>UK newspapers and trade</w:t>
      </w:r>
      <w:r w:rsidR="00C31770" w:rsidRPr="00EE2953">
        <w:rPr>
          <w:rFonts w:eastAsia="Times New Roman" w:cstheme="minorHAnsi"/>
          <w:sz w:val="22"/>
          <w:szCs w:val="22"/>
          <w:lang w:eastAsia="en-GB"/>
        </w:rPr>
        <w:t xml:space="preserve"> </w:t>
      </w:r>
      <w:r w:rsidR="00D05CE2" w:rsidRPr="00EE2953">
        <w:rPr>
          <w:rFonts w:eastAsia="Times New Roman" w:cstheme="minorHAnsi"/>
          <w:sz w:val="22"/>
          <w:szCs w:val="22"/>
          <w:lang w:eastAsia="en-GB"/>
        </w:rPr>
        <w:t>press</w:t>
      </w:r>
      <w:r w:rsidR="00D56DBA" w:rsidRPr="00EE2953">
        <w:rPr>
          <w:rFonts w:eastAsia="Times New Roman" w:cstheme="minorHAnsi"/>
          <w:sz w:val="22"/>
          <w:szCs w:val="22"/>
          <w:lang w:eastAsia="en-GB"/>
        </w:rPr>
        <w:t>?</w:t>
      </w:r>
    </w:p>
    <w:p w14:paraId="3B9D3D80" w14:textId="044F6482" w:rsidR="00D56DBA" w:rsidRPr="00EE2953" w:rsidRDefault="00D56DBA" w:rsidP="009139D2">
      <w:pPr>
        <w:pStyle w:val="CommentText"/>
        <w:spacing w:after="0" w:line="360" w:lineRule="auto"/>
        <w:contextualSpacing/>
        <w:rPr>
          <w:rFonts w:eastAsia="Times New Roman" w:cstheme="minorHAnsi"/>
          <w:sz w:val="22"/>
          <w:szCs w:val="22"/>
          <w:lang w:eastAsia="en-GB"/>
        </w:rPr>
      </w:pPr>
      <w:r w:rsidRPr="00EE2953">
        <w:rPr>
          <w:rFonts w:eastAsia="Times New Roman" w:cstheme="minorHAnsi"/>
          <w:sz w:val="22"/>
          <w:szCs w:val="22"/>
          <w:lang w:eastAsia="en-GB"/>
        </w:rPr>
        <w:t xml:space="preserve">ii) </w:t>
      </w:r>
      <w:r w:rsidR="00001F62" w:rsidRPr="00EE2953">
        <w:rPr>
          <w:rFonts w:eastAsia="Times New Roman" w:cstheme="minorHAnsi"/>
          <w:sz w:val="22"/>
          <w:szCs w:val="22"/>
          <w:lang w:eastAsia="en-GB"/>
        </w:rPr>
        <w:t xml:space="preserve">How </w:t>
      </w:r>
      <w:r w:rsidR="00D05CE2" w:rsidRPr="00EE2953">
        <w:rPr>
          <w:rFonts w:eastAsia="Times New Roman" w:cstheme="minorHAnsi"/>
          <w:sz w:val="22"/>
          <w:szCs w:val="22"/>
          <w:lang w:eastAsia="en-GB"/>
        </w:rPr>
        <w:t>were</w:t>
      </w:r>
      <w:r w:rsidR="00001F62" w:rsidRPr="00EE2953">
        <w:rPr>
          <w:rFonts w:eastAsia="Times New Roman" w:cstheme="minorHAnsi"/>
          <w:sz w:val="22"/>
          <w:szCs w:val="22"/>
          <w:lang w:eastAsia="en-GB"/>
        </w:rPr>
        <w:t xml:space="preserve"> arguments against </w:t>
      </w:r>
      <w:r w:rsidR="00B76ED3" w:rsidRPr="00EE2953">
        <w:rPr>
          <w:rFonts w:eastAsia="Times New Roman" w:cstheme="minorHAnsi"/>
          <w:sz w:val="22"/>
          <w:szCs w:val="22"/>
          <w:lang w:eastAsia="en-GB"/>
        </w:rPr>
        <w:t>the restrictions</w:t>
      </w:r>
      <w:r w:rsidR="00D83E7C" w:rsidRPr="00EE2953">
        <w:rPr>
          <w:rFonts w:eastAsia="Times New Roman" w:cstheme="minorHAnsi"/>
          <w:sz w:val="22"/>
          <w:szCs w:val="22"/>
          <w:lang w:eastAsia="en-GB"/>
        </w:rPr>
        <w:t xml:space="preserve"> con</w:t>
      </w:r>
      <w:r w:rsidR="00F17F88" w:rsidRPr="00EE2953">
        <w:rPr>
          <w:rFonts w:eastAsia="Times New Roman" w:cstheme="minorHAnsi"/>
          <w:sz w:val="22"/>
          <w:szCs w:val="22"/>
          <w:lang w:eastAsia="en-GB"/>
        </w:rPr>
        <w:t>structed</w:t>
      </w:r>
      <w:r w:rsidR="00A622CB" w:rsidRPr="00EE2953">
        <w:rPr>
          <w:rFonts w:eastAsia="Times New Roman" w:cstheme="minorHAnsi"/>
          <w:sz w:val="22"/>
          <w:szCs w:val="22"/>
          <w:lang w:eastAsia="en-GB"/>
        </w:rPr>
        <w:t xml:space="preserve"> and </w:t>
      </w:r>
      <w:r w:rsidR="00787E50" w:rsidRPr="00EE2953">
        <w:rPr>
          <w:rFonts w:eastAsia="Times New Roman" w:cstheme="minorHAnsi"/>
          <w:sz w:val="22"/>
          <w:szCs w:val="22"/>
          <w:lang w:eastAsia="en-GB"/>
        </w:rPr>
        <w:t>framed?</w:t>
      </w:r>
    </w:p>
    <w:p w14:paraId="74CF7EF4" w14:textId="794AEE2A" w:rsidR="007414C7" w:rsidRPr="00EE2953" w:rsidRDefault="007414C7" w:rsidP="009139D2">
      <w:pPr>
        <w:pStyle w:val="CommentText"/>
        <w:spacing w:after="0" w:line="360" w:lineRule="auto"/>
        <w:contextualSpacing/>
        <w:rPr>
          <w:rFonts w:eastAsia="Times New Roman" w:cstheme="minorHAnsi"/>
          <w:sz w:val="22"/>
          <w:szCs w:val="22"/>
          <w:lang w:eastAsia="en-GB"/>
        </w:rPr>
      </w:pPr>
    </w:p>
    <w:p w14:paraId="21C52661" w14:textId="38739520" w:rsidR="00D832D5" w:rsidRPr="00EE2953" w:rsidRDefault="001F2347" w:rsidP="009139D2">
      <w:pPr>
        <w:pStyle w:val="CommentText"/>
        <w:spacing w:after="0" w:line="360" w:lineRule="auto"/>
        <w:contextualSpacing/>
        <w:rPr>
          <w:rFonts w:eastAsia="Times New Roman" w:cstheme="minorHAnsi"/>
          <w:sz w:val="22"/>
          <w:szCs w:val="22"/>
          <w:lang w:eastAsia="en-GB"/>
        </w:rPr>
      </w:pPr>
      <w:r w:rsidRPr="00EE2953">
        <w:rPr>
          <w:rFonts w:eastAsia="Times New Roman" w:cstheme="minorHAnsi"/>
          <w:sz w:val="22"/>
          <w:szCs w:val="22"/>
          <w:lang w:eastAsia="en-GB"/>
        </w:rPr>
        <w:t xml:space="preserve">Addressing these questions will provide </w:t>
      </w:r>
      <w:r w:rsidR="00A85064" w:rsidRPr="00EE2953">
        <w:rPr>
          <w:rFonts w:eastAsia="Times New Roman" w:cstheme="minorHAnsi"/>
          <w:sz w:val="22"/>
          <w:szCs w:val="22"/>
          <w:lang w:eastAsia="en-GB"/>
        </w:rPr>
        <w:t xml:space="preserve">insights as to the implications of these frames </w:t>
      </w:r>
      <w:bookmarkEnd w:id="4"/>
      <w:r w:rsidR="00D832D5" w:rsidRPr="00EE2953">
        <w:rPr>
          <w:rFonts w:eastAsia="Times New Roman" w:cstheme="minorHAnsi"/>
          <w:sz w:val="22"/>
          <w:szCs w:val="22"/>
          <w:lang w:eastAsia="en-GB"/>
        </w:rPr>
        <w:t xml:space="preserve">for </w:t>
      </w:r>
      <w:r w:rsidR="001C5DEE" w:rsidRPr="00EE2953">
        <w:rPr>
          <w:rFonts w:eastAsia="Times New Roman" w:cstheme="minorHAnsi"/>
          <w:sz w:val="22"/>
          <w:szCs w:val="22"/>
          <w:lang w:eastAsia="en-GB"/>
        </w:rPr>
        <w:t xml:space="preserve">the design and communication of </w:t>
      </w:r>
      <w:r w:rsidR="00D832D5" w:rsidRPr="00EE2953">
        <w:rPr>
          <w:rFonts w:eastAsia="Times New Roman" w:cstheme="minorHAnsi"/>
          <w:sz w:val="22"/>
          <w:szCs w:val="22"/>
          <w:lang w:eastAsia="en-GB"/>
        </w:rPr>
        <w:t xml:space="preserve">public health interventions </w:t>
      </w:r>
      <w:r w:rsidR="00E86B3F" w:rsidRPr="00EE2953">
        <w:rPr>
          <w:rFonts w:eastAsia="Times New Roman" w:cstheme="minorHAnsi"/>
          <w:sz w:val="22"/>
          <w:szCs w:val="22"/>
          <w:lang w:eastAsia="en-GB"/>
        </w:rPr>
        <w:t>around unhealthy commodities</w:t>
      </w:r>
    </w:p>
    <w:p w14:paraId="1E9C6C1F" w14:textId="77777777" w:rsidR="009778C3" w:rsidRPr="00EE2953" w:rsidRDefault="009778C3" w:rsidP="00EB3590">
      <w:pPr>
        <w:pStyle w:val="CommentText"/>
        <w:spacing w:after="0" w:line="360" w:lineRule="auto"/>
        <w:contextualSpacing/>
        <w:rPr>
          <w:b/>
          <w:i/>
          <w:sz w:val="22"/>
          <w:szCs w:val="22"/>
        </w:rPr>
      </w:pPr>
    </w:p>
    <w:p w14:paraId="35A151BF" w14:textId="536E2449" w:rsidR="00EC4374" w:rsidRPr="00EE2953" w:rsidRDefault="00EC4374" w:rsidP="00EB3590">
      <w:pPr>
        <w:pStyle w:val="CommentText"/>
        <w:spacing w:after="0" w:line="360" w:lineRule="auto"/>
        <w:contextualSpacing/>
        <w:rPr>
          <w:b/>
          <w:i/>
          <w:sz w:val="22"/>
          <w:szCs w:val="22"/>
        </w:rPr>
      </w:pPr>
      <w:bookmarkStart w:id="5" w:name="_Hlk69410786"/>
      <w:r w:rsidRPr="00EE2953">
        <w:rPr>
          <w:b/>
          <w:i/>
          <w:sz w:val="22"/>
          <w:szCs w:val="22"/>
        </w:rPr>
        <w:t>1.</w:t>
      </w:r>
      <w:r w:rsidR="00AE5DBD" w:rsidRPr="00EE2953">
        <w:rPr>
          <w:b/>
          <w:i/>
          <w:sz w:val="22"/>
          <w:szCs w:val="22"/>
        </w:rPr>
        <w:t>3</w:t>
      </w:r>
      <w:r w:rsidRPr="00EE2953">
        <w:rPr>
          <w:b/>
          <w:i/>
          <w:sz w:val="22"/>
          <w:szCs w:val="22"/>
        </w:rPr>
        <w:t xml:space="preserve"> Conceptual framework</w:t>
      </w:r>
    </w:p>
    <w:p w14:paraId="19ABF68E" w14:textId="234A5631" w:rsidR="000A38F8" w:rsidRPr="00EE2953" w:rsidRDefault="003E6395" w:rsidP="00EB3590">
      <w:pPr>
        <w:pStyle w:val="CommentText"/>
        <w:spacing w:after="0" w:line="360" w:lineRule="auto"/>
        <w:contextualSpacing/>
        <w:rPr>
          <w:sz w:val="22"/>
          <w:szCs w:val="22"/>
        </w:rPr>
      </w:pPr>
      <w:r w:rsidRPr="00EE2953">
        <w:rPr>
          <w:rFonts w:cstheme="minorHAnsi"/>
          <w:sz w:val="22"/>
          <w:szCs w:val="22"/>
        </w:rPr>
        <w:t xml:space="preserve">Media coverage of policy measures related to </w:t>
      </w:r>
      <w:r w:rsidR="00EF0F24" w:rsidRPr="00EE2953">
        <w:rPr>
          <w:rFonts w:cstheme="minorHAnsi"/>
          <w:sz w:val="22"/>
          <w:szCs w:val="22"/>
        </w:rPr>
        <w:t>unhealthy</w:t>
      </w:r>
      <w:r w:rsidRPr="00EE2953">
        <w:rPr>
          <w:rFonts w:cstheme="minorHAnsi"/>
          <w:sz w:val="22"/>
          <w:szCs w:val="22"/>
        </w:rPr>
        <w:t xml:space="preserve"> commodities</w:t>
      </w:r>
      <w:r w:rsidR="00572B49" w:rsidRPr="00EE2953">
        <w:rPr>
          <w:rFonts w:cstheme="minorHAnsi"/>
          <w:sz w:val="22"/>
          <w:szCs w:val="22"/>
        </w:rPr>
        <w:t>, and control of unhealthy commodity industries,</w:t>
      </w:r>
      <w:r w:rsidRPr="00EE2953">
        <w:rPr>
          <w:rFonts w:cstheme="minorHAnsi"/>
          <w:sz w:val="22"/>
          <w:szCs w:val="22"/>
        </w:rPr>
        <w:t xml:space="preserve"> can influence public debate and is often more aligned with the interests of </w:t>
      </w:r>
      <w:r w:rsidR="00572B49" w:rsidRPr="00EE2953">
        <w:rPr>
          <w:rFonts w:cstheme="minorHAnsi"/>
          <w:sz w:val="22"/>
          <w:szCs w:val="22"/>
        </w:rPr>
        <w:t xml:space="preserve">the relevant industries </w:t>
      </w:r>
      <w:r w:rsidRPr="00EE2953">
        <w:rPr>
          <w:rFonts w:cstheme="minorHAnsi"/>
          <w:sz w:val="22"/>
          <w:szCs w:val="22"/>
        </w:rPr>
        <w:t xml:space="preserve">than those of public health </w:t>
      </w:r>
      <w:r w:rsidRPr="00EE2953">
        <w:rPr>
          <w:rFonts w:cstheme="minorHAnsi"/>
          <w:sz w:val="22"/>
          <w:szCs w:val="22"/>
        </w:rPr>
        <w:fldChar w:fldCharType="begin"/>
      </w:r>
      <w:r w:rsidRPr="00EE2953">
        <w:rPr>
          <w:rFonts w:cstheme="minorHAnsi"/>
          <w:sz w:val="22"/>
          <w:szCs w:val="22"/>
        </w:rPr>
        <w:instrText xml:space="preserve"> ADDIN EN.CITE &lt;EndNote&gt;&lt;Cite&gt;&lt;Author&gt;Mercille&lt;/Author&gt;&lt;Year&gt;2017&lt;/Year&gt;&lt;RecNum&gt;382&lt;/RecNum&gt;&lt;DisplayText&gt;(Mercille, 2017)&lt;/DisplayText&gt;&lt;record&gt;&lt;rec-number&gt;382&lt;/rec-number&gt;&lt;foreign-keys&gt;&lt;key app="EN" db-id="wz0s5vxeow0299ew9xqvdsw7t0xf9w02z5wt" timestamp="1612620140"&gt;382&lt;/key&gt;&lt;/foreign-keys&gt;&lt;ref-type name="Journal Article"&gt;17&lt;/ref-type&gt;&lt;contributors&gt;&lt;authors&gt;&lt;author&gt;Mercille, J.&lt;/author&gt;&lt;/authors&gt;&lt;/contributors&gt;&lt;titles&gt;&lt;title&gt;Media coverage of alcohol issues: A critical political economy framework—A case study from Ireland&lt;/title&gt;&lt;secondary-title&gt;International Journal of Environmental Research and Public Health&lt;/secondary-title&gt;&lt;/titles&gt;&lt;periodical&gt;&lt;full-title&gt;International Journal of Environmental Research and Public Health&lt;/full-title&gt;&lt;/periodical&gt;&lt;volume&gt;14&lt;/volume&gt;&lt;number&gt;6&lt;/number&gt;&lt;section&gt;650&lt;/section&gt;&lt;dates&gt;&lt;year&gt;2017&lt;/year&gt;&lt;/dates&gt;&lt;urls&gt;&lt;/urls&gt;&lt;/record&gt;&lt;/Cite&gt;&lt;/EndNote&gt;</w:instrText>
      </w:r>
      <w:r w:rsidRPr="00EE2953">
        <w:rPr>
          <w:rFonts w:cstheme="minorHAnsi"/>
          <w:sz w:val="22"/>
          <w:szCs w:val="22"/>
        </w:rPr>
        <w:fldChar w:fldCharType="separate"/>
      </w:r>
      <w:r w:rsidRPr="00EE2953">
        <w:rPr>
          <w:rFonts w:cstheme="minorHAnsi"/>
          <w:noProof/>
          <w:sz w:val="22"/>
          <w:szCs w:val="22"/>
        </w:rPr>
        <w:t>(Mercille, 2017)</w:t>
      </w:r>
      <w:r w:rsidRPr="00EE2953">
        <w:rPr>
          <w:rFonts w:cstheme="minorHAnsi"/>
          <w:sz w:val="22"/>
          <w:szCs w:val="22"/>
        </w:rPr>
        <w:fldChar w:fldCharType="end"/>
      </w:r>
      <w:r w:rsidRPr="00EE2953">
        <w:rPr>
          <w:rFonts w:cstheme="minorHAnsi"/>
          <w:sz w:val="22"/>
          <w:szCs w:val="22"/>
        </w:rPr>
        <w:t>.</w:t>
      </w:r>
      <w:r w:rsidRPr="00EE2953">
        <w:rPr>
          <w:sz w:val="22"/>
          <w:szCs w:val="22"/>
        </w:rPr>
        <w:t xml:space="preserve">   Newsprint coverage of interventions to address obesity tend to favour accounts of individual responsibility for obesity </w:t>
      </w:r>
      <w:r w:rsidRPr="00EE2953">
        <w:rPr>
          <w:sz w:val="22"/>
          <w:szCs w:val="22"/>
        </w:rPr>
        <w:fldChar w:fldCharType="begin"/>
      </w:r>
      <w:r w:rsidR="000A1BC2" w:rsidRPr="00EE2953">
        <w:rPr>
          <w:sz w:val="22"/>
          <w:szCs w:val="22"/>
        </w:rPr>
        <w:instrText xml:space="preserve"> ADDIN EN.CITE &lt;EndNote&gt;&lt;Cite&gt;&lt;Author&gt;Ries&lt;/Author&gt;&lt;Year&gt;2011&lt;/Year&gt;&lt;RecNum&gt;296&lt;/RecNum&gt;&lt;DisplayText&gt;(Ries, Rachul, &amp;amp; Caulfied, 2011)&lt;/DisplayText&gt;&lt;record&gt;&lt;rec-number&gt;296&lt;/rec-number&gt;&lt;foreign-keys&gt;&lt;key app="EN" db-id="wz0s5vxeow0299ew9xqvdsw7t0xf9w02z5wt" timestamp="1602857422"&gt;296&lt;/key&gt;&lt;/foreign-keys&gt;&lt;ref-type name="Journal Article"&gt;17&lt;/ref-type&gt;&lt;contributors&gt;&lt;authors&gt;&lt;author&gt;Ries, N.M.,&lt;/author&gt;&lt;author&gt;Rachul, C.&lt;/author&gt;&lt;author&gt;Caulfied, T.&lt;/author&gt;&lt;/authors&gt;&lt;/contributors&gt;&lt;titles&gt;&lt;title&gt;Newspaper reporting on legislative and policy interventions to address obesity: United States, Canada, and the United Kingdom&lt;/title&gt;&lt;secondary-title&gt;Journal of Public Health Policy&lt;/secondary-title&gt;&lt;/titles&gt;&lt;periodical&gt;&lt;full-title&gt;Journal of Public Health Policy&lt;/full-title&gt;&lt;/periodical&gt;&lt;pages&gt;73-90&lt;/pages&gt;&lt;volume&gt;32&lt;/volume&gt;&lt;dates&gt;&lt;year&gt;2011&lt;/year&gt;&lt;/dates&gt;&lt;urls&gt;&lt;/urls&gt;&lt;/record&gt;&lt;/Cite&gt;&lt;/EndNote&gt;</w:instrText>
      </w:r>
      <w:r w:rsidRPr="00EE2953">
        <w:rPr>
          <w:sz w:val="22"/>
          <w:szCs w:val="22"/>
        </w:rPr>
        <w:fldChar w:fldCharType="separate"/>
      </w:r>
      <w:r w:rsidR="000A1BC2" w:rsidRPr="00EE2953">
        <w:rPr>
          <w:noProof/>
          <w:sz w:val="22"/>
          <w:szCs w:val="22"/>
        </w:rPr>
        <w:t xml:space="preserve">(Ries, </w:t>
      </w:r>
      <w:r w:rsidR="000A1BC2" w:rsidRPr="00EE2953">
        <w:rPr>
          <w:noProof/>
          <w:sz w:val="22"/>
          <w:szCs w:val="22"/>
        </w:rPr>
        <w:lastRenderedPageBreak/>
        <w:t>Rachul, &amp; Caulfied, 2011)</w:t>
      </w:r>
      <w:r w:rsidRPr="00EE2953">
        <w:rPr>
          <w:sz w:val="22"/>
          <w:szCs w:val="22"/>
        </w:rPr>
        <w:fldChar w:fldCharType="end"/>
      </w:r>
      <w:r w:rsidRPr="00EE2953">
        <w:rPr>
          <w:sz w:val="22"/>
          <w:szCs w:val="22"/>
        </w:rPr>
        <w:t>.</w:t>
      </w:r>
      <w:r w:rsidR="00FB3B1F" w:rsidRPr="00EE2953">
        <w:rPr>
          <w:sz w:val="22"/>
          <w:szCs w:val="22"/>
        </w:rPr>
        <w:t xml:space="preserve">  </w:t>
      </w:r>
      <w:r w:rsidR="000A38F8" w:rsidRPr="00EE2953">
        <w:rPr>
          <w:sz w:val="22"/>
          <w:szCs w:val="22"/>
        </w:rPr>
        <w:t xml:space="preserve">We </w:t>
      </w:r>
      <w:r w:rsidR="005403D0" w:rsidRPr="00EE2953">
        <w:rPr>
          <w:sz w:val="22"/>
          <w:szCs w:val="22"/>
        </w:rPr>
        <w:t xml:space="preserve">use </w:t>
      </w:r>
      <w:r w:rsidR="00EF0F24" w:rsidRPr="00EE2953">
        <w:rPr>
          <w:sz w:val="22"/>
          <w:szCs w:val="22"/>
        </w:rPr>
        <w:t>F</w:t>
      </w:r>
      <w:r w:rsidR="005404DD" w:rsidRPr="00EE2953">
        <w:rPr>
          <w:sz w:val="22"/>
          <w:szCs w:val="22"/>
        </w:rPr>
        <w:t>ra</w:t>
      </w:r>
      <w:r w:rsidR="00037EC6" w:rsidRPr="00EE2953">
        <w:rPr>
          <w:sz w:val="22"/>
          <w:szCs w:val="22"/>
        </w:rPr>
        <w:t xml:space="preserve">ming </w:t>
      </w:r>
      <w:r w:rsidR="00EF0F24" w:rsidRPr="00EE2953">
        <w:rPr>
          <w:sz w:val="22"/>
          <w:szCs w:val="22"/>
        </w:rPr>
        <w:t>T</w:t>
      </w:r>
      <w:r w:rsidR="00037EC6" w:rsidRPr="00EE2953">
        <w:rPr>
          <w:sz w:val="22"/>
          <w:szCs w:val="22"/>
        </w:rPr>
        <w:t>heory</w:t>
      </w:r>
      <w:r w:rsidR="001F1B9C" w:rsidRPr="00EE2953">
        <w:rPr>
          <w:sz w:val="22"/>
          <w:szCs w:val="22"/>
        </w:rPr>
        <w:t xml:space="preserve"> </w:t>
      </w:r>
      <w:r w:rsidR="000D3034" w:rsidRPr="00EE2953">
        <w:rPr>
          <w:sz w:val="22"/>
          <w:szCs w:val="22"/>
        </w:rPr>
        <w:fldChar w:fldCharType="begin"/>
      </w:r>
      <w:r w:rsidR="000D3034" w:rsidRPr="00EE2953">
        <w:rPr>
          <w:sz w:val="22"/>
          <w:szCs w:val="22"/>
        </w:rPr>
        <w:instrText xml:space="preserve"> ADDIN EN.CITE &lt;EndNote&gt;&lt;Cite&gt;&lt;Author&gt;Chong&lt;/Author&gt;&lt;Year&gt;2007&lt;/Year&gt;&lt;RecNum&gt;1135&lt;/RecNum&gt;&lt;DisplayText&gt;(Chong &amp;amp; Druckman, 2007)&lt;/DisplayText&gt;&lt;record&gt;&lt;rec-number&gt;1135&lt;/rec-number&gt;&lt;foreign-keys&gt;&lt;key app="EN" db-id="vrd5x9e24rasx8e2asc5x0pw95tw20vx5a25" timestamp="1617022545"&gt;1135&lt;/key&gt;&lt;/foreign-keys&gt;&lt;ref-type name="Journal Article"&gt;17&lt;/ref-type&gt;&lt;contributors&gt;&lt;authors&gt;&lt;author&gt;Chong, D.&lt;/author&gt;&lt;author&gt;Druckman, J.N.&lt;/author&gt;&lt;/authors&gt;&lt;/contributors&gt;&lt;titles&gt;&lt;title&gt;Framing Theory&lt;/title&gt;&lt;secondary-title&gt;Annual Review of Political Science&lt;/secondary-title&gt;&lt;/titles&gt;&lt;periodical&gt;&lt;full-title&gt;Annual Review of Political Science&lt;/full-title&gt;&lt;/periodical&gt;&lt;volume&gt;10&lt;/volume&gt;&lt;number&gt;103-126&lt;/number&gt;&lt;dates&gt;&lt;year&gt;2007&lt;/year&gt;&lt;/dates&gt;&lt;urls&gt;&lt;/urls&gt;&lt;/record&gt;&lt;/Cite&gt;&lt;/EndNote&gt;</w:instrText>
      </w:r>
      <w:r w:rsidR="000D3034" w:rsidRPr="00EE2953">
        <w:rPr>
          <w:sz w:val="22"/>
          <w:szCs w:val="22"/>
        </w:rPr>
        <w:fldChar w:fldCharType="separate"/>
      </w:r>
      <w:r w:rsidR="000D3034" w:rsidRPr="00EE2953">
        <w:rPr>
          <w:noProof/>
          <w:sz w:val="22"/>
          <w:szCs w:val="22"/>
        </w:rPr>
        <w:t>(Chong &amp; Druckman, 2007)</w:t>
      </w:r>
      <w:r w:rsidR="000D3034" w:rsidRPr="00EE2953">
        <w:rPr>
          <w:sz w:val="22"/>
          <w:szCs w:val="22"/>
        </w:rPr>
        <w:fldChar w:fldCharType="end"/>
      </w:r>
      <w:r w:rsidR="000D3034" w:rsidRPr="00EE2953">
        <w:rPr>
          <w:sz w:val="22"/>
          <w:szCs w:val="22"/>
        </w:rPr>
        <w:t xml:space="preserve"> </w:t>
      </w:r>
      <w:r w:rsidR="001F1B9C" w:rsidRPr="00EE2953">
        <w:rPr>
          <w:sz w:val="22"/>
          <w:szCs w:val="22"/>
        </w:rPr>
        <w:t>to explore</w:t>
      </w:r>
      <w:r w:rsidR="009E4DDE" w:rsidRPr="00EE2953">
        <w:rPr>
          <w:sz w:val="22"/>
          <w:szCs w:val="22"/>
        </w:rPr>
        <w:t xml:space="preserve"> </w:t>
      </w:r>
      <w:r w:rsidR="00FF5307" w:rsidRPr="00EE2953">
        <w:rPr>
          <w:sz w:val="22"/>
          <w:szCs w:val="22"/>
        </w:rPr>
        <w:t>the mechanisms through</w:t>
      </w:r>
      <w:r w:rsidR="00875767" w:rsidRPr="00EE2953">
        <w:rPr>
          <w:sz w:val="22"/>
          <w:szCs w:val="22"/>
        </w:rPr>
        <w:t xml:space="preserve"> which</w:t>
      </w:r>
      <w:r w:rsidR="004B31F8" w:rsidRPr="00EE2953">
        <w:rPr>
          <w:sz w:val="22"/>
          <w:szCs w:val="22"/>
        </w:rPr>
        <w:t xml:space="preserve"> media coverage of interve</w:t>
      </w:r>
      <w:r w:rsidR="00660D01" w:rsidRPr="00EE2953">
        <w:rPr>
          <w:sz w:val="22"/>
          <w:szCs w:val="22"/>
        </w:rPr>
        <w:t>ntions affecting UCIs are</w:t>
      </w:r>
      <w:r w:rsidR="00577403" w:rsidRPr="00EE2953">
        <w:rPr>
          <w:sz w:val="22"/>
          <w:szCs w:val="22"/>
        </w:rPr>
        <w:t xml:space="preserve"> </w:t>
      </w:r>
      <w:r w:rsidR="00660D01" w:rsidRPr="00EE2953">
        <w:rPr>
          <w:sz w:val="22"/>
          <w:szCs w:val="22"/>
        </w:rPr>
        <w:t xml:space="preserve">aligned with </w:t>
      </w:r>
      <w:r w:rsidR="00692EE5" w:rsidRPr="00EE2953">
        <w:rPr>
          <w:sz w:val="22"/>
          <w:szCs w:val="22"/>
        </w:rPr>
        <w:t>industry interests</w:t>
      </w:r>
      <w:r w:rsidR="005F37CB" w:rsidRPr="00EE2953">
        <w:rPr>
          <w:sz w:val="22"/>
          <w:szCs w:val="22"/>
        </w:rPr>
        <w:t xml:space="preserve"> and Critical Discourse Anal</w:t>
      </w:r>
      <w:r w:rsidR="00E90F38" w:rsidRPr="00EE2953">
        <w:rPr>
          <w:sz w:val="22"/>
          <w:szCs w:val="22"/>
        </w:rPr>
        <w:t xml:space="preserve">ysis (CDA) to </w:t>
      </w:r>
      <w:r w:rsidR="00216E9E" w:rsidRPr="00EE2953">
        <w:rPr>
          <w:sz w:val="22"/>
          <w:szCs w:val="22"/>
        </w:rPr>
        <w:t xml:space="preserve">examine </w:t>
      </w:r>
      <w:r w:rsidR="006665F1" w:rsidRPr="00EE2953">
        <w:rPr>
          <w:sz w:val="22"/>
          <w:szCs w:val="22"/>
        </w:rPr>
        <w:t>how this</w:t>
      </w:r>
      <w:r w:rsidR="00AC4A7B" w:rsidRPr="00EE2953">
        <w:rPr>
          <w:sz w:val="22"/>
          <w:szCs w:val="22"/>
        </w:rPr>
        <w:t xml:space="preserve"> alignment is achieved</w:t>
      </w:r>
      <w:r w:rsidR="000E3FE3" w:rsidRPr="00EE2953">
        <w:rPr>
          <w:sz w:val="22"/>
          <w:szCs w:val="22"/>
        </w:rPr>
        <w:t xml:space="preserve"> and the key strategies used.</w:t>
      </w:r>
    </w:p>
    <w:p w14:paraId="0F91D507" w14:textId="77777777" w:rsidR="00C23BDE" w:rsidRPr="00EE2953" w:rsidRDefault="00C23BDE" w:rsidP="00A2632B">
      <w:pPr>
        <w:pStyle w:val="CommentText"/>
        <w:spacing w:after="0" w:line="360" w:lineRule="auto"/>
        <w:contextualSpacing/>
        <w:rPr>
          <w:sz w:val="22"/>
          <w:szCs w:val="22"/>
        </w:rPr>
      </w:pPr>
    </w:p>
    <w:p w14:paraId="19F92374" w14:textId="79FCCC62" w:rsidR="00C23BDE" w:rsidRPr="00EE2953" w:rsidRDefault="00474C5E" w:rsidP="00A2632B">
      <w:pPr>
        <w:pStyle w:val="CommentText"/>
        <w:spacing w:after="0" w:line="360" w:lineRule="auto"/>
        <w:contextualSpacing/>
        <w:rPr>
          <w:sz w:val="22"/>
          <w:szCs w:val="22"/>
        </w:rPr>
      </w:pPr>
      <w:r w:rsidRPr="00EE2953">
        <w:rPr>
          <w:sz w:val="22"/>
          <w:szCs w:val="22"/>
        </w:rPr>
        <w:t>How</w:t>
      </w:r>
      <w:r w:rsidR="006A2F70" w:rsidRPr="00EE2953">
        <w:rPr>
          <w:sz w:val="22"/>
          <w:szCs w:val="22"/>
        </w:rPr>
        <w:t xml:space="preserve"> a topic is presented to audiences,</w:t>
      </w:r>
      <w:r w:rsidR="00213A4A" w:rsidRPr="00EE2953">
        <w:rPr>
          <w:sz w:val="22"/>
          <w:szCs w:val="22"/>
        </w:rPr>
        <w:t xml:space="preserve"> </w:t>
      </w:r>
      <w:r w:rsidR="00624DBF" w:rsidRPr="00EE2953">
        <w:rPr>
          <w:sz w:val="22"/>
          <w:szCs w:val="22"/>
        </w:rPr>
        <w:t>the frame</w:t>
      </w:r>
      <w:r w:rsidR="00213A4A" w:rsidRPr="00EE2953">
        <w:rPr>
          <w:sz w:val="22"/>
          <w:szCs w:val="22"/>
        </w:rPr>
        <w:t xml:space="preserve">, </w:t>
      </w:r>
      <w:r w:rsidR="00BB2ABE" w:rsidRPr="00EE2953">
        <w:rPr>
          <w:sz w:val="22"/>
          <w:szCs w:val="22"/>
        </w:rPr>
        <w:t>influences how th</w:t>
      </w:r>
      <w:r w:rsidR="005D2869" w:rsidRPr="00EE2953">
        <w:rPr>
          <w:sz w:val="22"/>
          <w:szCs w:val="22"/>
        </w:rPr>
        <w:t>ose</w:t>
      </w:r>
      <w:r w:rsidR="00BB2ABE" w:rsidRPr="00EE2953">
        <w:rPr>
          <w:sz w:val="22"/>
          <w:szCs w:val="22"/>
        </w:rPr>
        <w:t xml:space="preserve"> audience</w:t>
      </w:r>
      <w:r w:rsidR="005D2869" w:rsidRPr="00EE2953">
        <w:rPr>
          <w:sz w:val="22"/>
          <w:szCs w:val="22"/>
        </w:rPr>
        <w:t>s</w:t>
      </w:r>
      <w:r w:rsidR="00BB2ABE" w:rsidRPr="00EE2953">
        <w:rPr>
          <w:sz w:val="22"/>
          <w:szCs w:val="22"/>
        </w:rPr>
        <w:t xml:space="preserve"> process that information</w:t>
      </w:r>
      <w:r w:rsidR="006F18CF" w:rsidRPr="00EE2953">
        <w:rPr>
          <w:sz w:val="22"/>
          <w:szCs w:val="22"/>
        </w:rPr>
        <w:t xml:space="preserve">.  Frames help to consistently structure </w:t>
      </w:r>
      <w:r w:rsidR="00342583" w:rsidRPr="00EE2953">
        <w:rPr>
          <w:sz w:val="22"/>
          <w:szCs w:val="22"/>
        </w:rPr>
        <w:t>meanings and arguments</w:t>
      </w:r>
      <w:r w:rsidR="00780E44" w:rsidRPr="00EE2953">
        <w:rPr>
          <w:sz w:val="22"/>
          <w:szCs w:val="22"/>
        </w:rPr>
        <w:t xml:space="preserve"> </w:t>
      </w:r>
      <w:r w:rsidR="00780E44" w:rsidRPr="00EE2953">
        <w:rPr>
          <w:sz w:val="22"/>
          <w:szCs w:val="22"/>
        </w:rPr>
        <w:fldChar w:fldCharType="begin"/>
      </w:r>
      <w:r w:rsidR="00780E44" w:rsidRPr="00EE2953">
        <w:rPr>
          <w:sz w:val="22"/>
          <w:szCs w:val="22"/>
        </w:rPr>
        <w:instrText xml:space="preserve"> ADDIN EN.CITE &lt;EndNote&gt;&lt;Cite&gt;&lt;Author&gt;Schön&lt;/Author&gt;&lt;Year&gt;1996&lt;/Year&gt;&lt;RecNum&gt;1134&lt;/RecNum&gt;&lt;DisplayText&gt;(Schön &amp;amp; Rein, 1996)&lt;/DisplayText&gt;&lt;record&gt;&lt;rec-number&gt;1134&lt;/rec-number&gt;&lt;foreign-keys&gt;&lt;key app="EN" db-id="vrd5x9e24rasx8e2asc5x0pw95tw20vx5a25" timestamp="1617020921"&gt;1134&lt;/key&gt;&lt;/foreign-keys&gt;&lt;ref-type name="Journal Article"&gt;17&lt;/ref-type&gt;&lt;contributors&gt;&lt;authors&gt;&lt;author&gt;Schön, D. &lt;/author&gt;&lt;author&gt;Rein, M.&lt;/author&gt;&lt;/authors&gt;&lt;/contributors&gt;&lt;titles&gt;&lt;title&gt;Frame-critical policy analysis and frame-reflective policy practice. &lt;/title&gt;&lt;secondary-title&gt;Knowledge and Policy&lt;/secondary-title&gt;&lt;/titles&gt;&lt;periodical&gt;&lt;full-title&gt;Knowledge and Policy&lt;/full-title&gt;&lt;/periodical&gt;&lt;pages&gt;85-103&lt;/pages&gt;&lt;volume&gt;9&lt;/volume&gt;&lt;number&gt;1&lt;/number&gt;&lt;dates&gt;&lt;year&gt;1996&lt;/year&gt;&lt;/dates&gt;&lt;urls&gt;&lt;/urls&gt;&lt;/record&gt;&lt;/Cite&gt;&lt;/EndNote&gt;</w:instrText>
      </w:r>
      <w:r w:rsidR="00780E44" w:rsidRPr="00EE2953">
        <w:rPr>
          <w:sz w:val="22"/>
          <w:szCs w:val="22"/>
        </w:rPr>
        <w:fldChar w:fldCharType="separate"/>
      </w:r>
      <w:r w:rsidR="00780E44" w:rsidRPr="00EE2953">
        <w:rPr>
          <w:noProof/>
          <w:sz w:val="22"/>
          <w:szCs w:val="22"/>
        </w:rPr>
        <w:t>(Schön &amp; Rein, 1996)</w:t>
      </w:r>
      <w:r w:rsidR="00780E44" w:rsidRPr="00EE2953">
        <w:rPr>
          <w:sz w:val="22"/>
          <w:szCs w:val="22"/>
        </w:rPr>
        <w:fldChar w:fldCharType="end"/>
      </w:r>
      <w:r w:rsidR="00342583" w:rsidRPr="00EE2953">
        <w:rPr>
          <w:sz w:val="22"/>
          <w:szCs w:val="22"/>
        </w:rPr>
        <w:t xml:space="preserve">.  </w:t>
      </w:r>
      <w:r w:rsidR="00D22684" w:rsidRPr="00EE2953">
        <w:rPr>
          <w:sz w:val="22"/>
          <w:szCs w:val="22"/>
        </w:rPr>
        <w:t xml:space="preserve">Framing theory </w:t>
      </w:r>
      <w:r w:rsidR="004D260D" w:rsidRPr="00EE2953">
        <w:rPr>
          <w:sz w:val="22"/>
          <w:szCs w:val="22"/>
        </w:rPr>
        <w:t xml:space="preserve">offers insights into </w:t>
      </w:r>
      <w:r w:rsidR="00DB0E16" w:rsidRPr="00EE2953">
        <w:rPr>
          <w:sz w:val="22"/>
          <w:szCs w:val="22"/>
        </w:rPr>
        <w:t xml:space="preserve">how policy problems and solutions are conceptualised </w:t>
      </w:r>
      <w:r w:rsidR="007758BF" w:rsidRPr="00EE2953">
        <w:rPr>
          <w:sz w:val="22"/>
          <w:szCs w:val="22"/>
        </w:rPr>
        <w:fldChar w:fldCharType="begin"/>
      </w:r>
      <w:r w:rsidR="000D3034" w:rsidRPr="00EE2953">
        <w:rPr>
          <w:sz w:val="22"/>
          <w:szCs w:val="22"/>
        </w:rPr>
        <w:instrText xml:space="preserve"> ADDIN EN.CITE &lt;EndNote&gt;&lt;Cite&gt;&lt;Author&gt;Hawkins&lt;/Author&gt;&lt;Year&gt;2013&lt;/Year&gt;&lt;RecNum&gt;1133&lt;/RecNum&gt;&lt;DisplayText&gt;(Hawkins &amp;amp; Holden, 2013)&lt;/DisplayText&gt;&lt;record&gt;&lt;rec-number&gt;1133&lt;/rec-number&gt;&lt;foreign-keys&gt;&lt;key app="EN" db-id="vrd5x9e24rasx8e2asc5x0pw95tw20vx5a25" timestamp="1617018610"&gt;1133&lt;/key&gt;&lt;/foreign-keys&gt;&lt;ref-type name="Journal Article"&gt;17&lt;/ref-type&gt;&lt;contributors&gt;&lt;authors&gt;&lt;author&gt;Hawkins, B.&lt;/author&gt;&lt;author&gt;Holden, C.&lt;/author&gt;&lt;/authors&gt;&lt;/contributors&gt;&lt;titles&gt;&lt;title&gt;Framing the alcohol policy debate: industry actors and the regulation of the UK beverage alcohol market&lt;/title&gt;&lt;secondary-title&gt;Critical Policy Studies&lt;/secondary-title&gt;&lt;/titles&gt;&lt;periodical&gt;&lt;full-title&gt;Critical Policy Studies&lt;/full-title&gt;&lt;/periodical&gt;&lt;pages&gt;53-71&lt;/pages&gt;&lt;volume&gt;7&lt;/volume&gt;&lt;number&gt;1&lt;/number&gt;&lt;dates&gt;&lt;year&gt;2013&lt;/year&gt;&lt;/dates&gt;&lt;urls&gt;&lt;/urls&gt;&lt;/record&gt;&lt;/Cite&gt;&lt;/EndNote&gt;</w:instrText>
      </w:r>
      <w:r w:rsidR="007758BF" w:rsidRPr="00EE2953">
        <w:rPr>
          <w:sz w:val="22"/>
          <w:szCs w:val="22"/>
        </w:rPr>
        <w:fldChar w:fldCharType="separate"/>
      </w:r>
      <w:r w:rsidR="007758BF" w:rsidRPr="00EE2953">
        <w:rPr>
          <w:noProof/>
          <w:sz w:val="22"/>
          <w:szCs w:val="22"/>
        </w:rPr>
        <w:t>(Hawkins &amp; Holden, 2013)</w:t>
      </w:r>
      <w:r w:rsidR="007758BF" w:rsidRPr="00EE2953">
        <w:rPr>
          <w:sz w:val="22"/>
          <w:szCs w:val="22"/>
        </w:rPr>
        <w:fldChar w:fldCharType="end"/>
      </w:r>
      <w:r w:rsidR="002565A5" w:rsidRPr="00EE2953">
        <w:rPr>
          <w:sz w:val="22"/>
          <w:szCs w:val="22"/>
        </w:rPr>
        <w:t xml:space="preserve">.  </w:t>
      </w:r>
      <w:r w:rsidR="007B5ABC" w:rsidRPr="00EE2953">
        <w:rPr>
          <w:sz w:val="22"/>
          <w:szCs w:val="22"/>
        </w:rPr>
        <w:t>The main premise of framing theory is that a topic can be viewed from a range of perspective</w:t>
      </w:r>
      <w:r w:rsidR="00CF333C" w:rsidRPr="00EE2953">
        <w:rPr>
          <w:sz w:val="22"/>
          <w:szCs w:val="22"/>
        </w:rPr>
        <w:t xml:space="preserve">s </w:t>
      </w:r>
      <w:r w:rsidR="00812070" w:rsidRPr="00EE2953">
        <w:rPr>
          <w:sz w:val="22"/>
          <w:szCs w:val="22"/>
        </w:rPr>
        <w:t xml:space="preserve">which have implications for </w:t>
      </w:r>
      <w:r w:rsidR="005E21E5" w:rsidRPr="00EE2953">
        <w:rPr>
          <w:sz w:val="22"/>
          <w:szCs w:val="22"/>
        </w:rPr>
        <w:t xml:space="preserve">values and interpretations </w:t>
      </w:r>
      <w:r w:rsidR="00FF5993" w:rsidRPr="00EE2953">
        <w:rPr>
          <w:sz w:val="22"/>
          <w:szCs w:val="22"/>
        </w:rPr>
        <w:fldChar w:fldCharType="begin"/>
      </w:r>
      <w:r w:rsidR="00FF5993" w:rsidRPr="00EE2953">
        <w:rPr>
          <w:sz w:val="22"/>
          <w:szCs w:val="22"/>
        </w:rPr>
        <w:instrText xml:space="preserve"> ADDIN EN.CITE &lt;EndNote&gt;&lt;Cite&gt;&lt;Author&gt;Chong&lt;/Author&gt;&lt;Year&gt;2007&lt;/Year&gt;&lt;RecNum&gt;1135&lt;/RecNum&gt;&lt;DisplayText&gt;(Chong &amp;amp; Druckman, 2007)&lt;/DisplayText&gt;&lt;record&gt;&lt;rec-number&gt;1135&lt;/rec-number&gt;&lt;foreign-keys&gt;&lt;key app="EN" db-id="vrd5x9e24rasx8e2asc5x0pw95tw20vx5a25" timestamp="1617022545"&gt;1135&lt;/key&gt;&lt;/foreign-keys&gt;&lt;ref-type name="Journal Article"&gt;17&lt;/ref-type&gt;&lt;contributors&gt;&lt;authors&gt;&lt;author&gt;Chong, D.&lt;/author&gt;&lt;author&gt;Druckman, J.N.&lt;/author&gt;&lt;/authors&gt;&lt;/contributors&gt;&lt;titles&gt;&lt;title&gt;Framing Theory&lt;/title&gt;&lt;secondary-title&gt;Annual Review of Political Science&lt;/secondary-title&gt;&lt;/titles&gt;&lt;periodical&gt;&lt;full-title&gt;Annual Review of Political Science&lt;/full-title&gt;&lt;/periodical&gt;&lt;volume&gt;10&lt;/volume&gt;&lt;number&gt;103-126&lt;/number&gt;&lt;dates&gt;&lt;year&gt;2007&lt;/year&gt;&lt;/dates&gt;&lt;urls&gt;&lt;/urls&gt;&lt;/record&gt;&lt;/Cite&gt;&lt;/EndNote&gt;</w:instrText>
      </w:r>
      <w:r w:rsidR="00FF5993" w:rsidRPr="00EE2953">
        <w:rPr>
          <w:sz w:val="22"/>
          <w:szCs w:val="22"/>
        </w:rPr>
        <w:fldChar w:fldCharType="separate"/>
      </w:r>
      <w:r w:rsidR="00FF5993" w:rsidRPr="00EE2953">
        <w:rPr>
          <w:noProof/>
          <w:sz w:val="22"/>
          <w:szCs w:val="22"/>
        </w:rPr>
        <w:t>(Chong &amp; Druckman, 2007)</w:t>
      </w:r>
      <w:r w:rsidR="00FF5993" w:rsidRPr="00EE2953">
        <w:rPr>
          <w:sz w:val="22"/>
          <w:szCs w:val="22"/>
        </w:rPr>
        <w:fldChar w:fldCharType="end"/>
      </w:r>
      <w:r w:rsidR="00ED26C9" w:rsidRPr="00EE2953">
        <w:rPr>
          <w:sz w:val="22"/>
          <w:szCs w:val="22"/>
        </w:rPr>
        <w:t>.</w:t>
      </w:r>
      <w:r w:rsidR="00F50CD3" w:rsidRPr="00EE2953">
        <w:rPr>
          <w:sz w:val="22"/>
          <w:szCs w:val="22"/>
        </w:rPr>
        <w:t xml:space="preserve">  </w:t>
      </w:r>
      <w:r w:rsidR="008C0BC9" w:rsidRPr="00EE2953">
        <w:rPr>
          <w:sz w:val="22"/>
          <w:szCs w:val="22"/>
        </w:rPr>
        <w:t xml:space="preserve">The public participates in the framing of issues via the media.  They develop their own interpretation of media messages and discuss the issues reported by making use of the resources available to them (including those from the media) </w:t>
      </w:r>
      <w:r w:rsidR="008C0BC9" w:rsidRPr="00EE2953">
        <w:rPr>
          <w:sz w:val="22"/>
          <w:szCs w:val="22"/>
        </w:rPr>
        <w:fldChar w:fldCharType="begin"/>
      </w:r>
      <w:r w:rsidR="008C0BC9" w:rsidRPr="00EE2953">
        <w:rPr>
          <w:sz w:val="22"/>
          <w:szCs w:val="22"/>
        </w:rPr>
        <w:instrText xml:space="preserve"> ADDIN EN.CITE &lt;EndNote&gt;&lt;Cite&gt;&lt;Author&gt;Pan&lt;/Author&gt;&lt;Year&gt;2005&lt;/Year&gt;&lt;RecNum&gt;421&lt;/RecNum&gt;&lt;DisplayText&gt;(Pan &amp;amp; Kosicki, 2005)&lt;/DisplayText&gt;&lt;record&gt;&lt;rec-number&gt;421&lt;/rec-number&gt;&lt;foreign-keys&gt;&lt;key app="EN" db-id="wz0s5vxeow0299ew9xqvdsw7t0xf9w02z5wt" timestamp="1618513496"&gt;421&lt;/key&gt;&lt;/foreign-keys&gt;&lt;ref-type name="Book Section"&gt;5&lt;/ref-type&gt;&lt;contributors&gt;&lt;authors&gt;&lt;author&gt;Pan, Z.&lt;/author&gt;&lt;author&gt;Kosicki, G.&lt;/author&gt;&lt;/authors&gt;&lt;secondary-authors&gt;&lt;author&gt;Dunwoody, S.&lt;/author&gt;&lt;author&gt;Backer, L.&lt;/author&gt;&lt;author&gt;McLeod, D.&lt;/author&gt;&lt;author&gt;Kosicki, G. &lt;/author&gt;&lt;/secondary-authors&gt;&lt;/contributors&gt;&lt;titles&gt;&lt;title&gt;Framing and the understanding of citizenship&lt;/title&gt;&lt;secondary-title&gt;The evolution of key mass communication concepts&lt;/secondary-title&gt;&lt;/titles&gt;&lt;dates&gt;&lt;year&gt;2005&lt;/year&gt;&lt;/dates&gt;&lt;pub-location&gt;Cresskill&lt;/pub-location&gt;&lt;publisher&gt;Hampton Press&lt;/publisher&gt;&lt;urls&gt;&lt;/urls&gt;&lt;/record&gt;&lt;/Cite&gt;&lt;/EndNote&gt;</w:instrText>
      </w:r>
      <w:r w:rsidR="008C0BC9" w:rsidRPr="00EE2953">
        <w:rPr>
          <w:sz w:val="22"/>
          <w:szCs w:val="22"/>
        </w:rPr>
        <w:fldChar w:fldCharType="separate"/>
      </w:r>
      <w:r w:rsidR="008C0BC9" w:rsidRPr="00EE2953">
        <w:rPr>
          <w:noProof/>
          <w:sz w:val="22"/>
          <w:szCs w:val="22"/>
        </w:rPr>
        <w:t>(Pan &amp; Kosicki, 2005)</w:t>
      </w:r>
      <w:r w:rsidR="008C0BC9" w:rsidRPr="00EE2953">
        <w:rPr>
          <w:sz w:val="22"/>
          <w:szCs w:val="22"/>
        </w:rPr>
        <w:fldChar w:fldCharType="end"/>
      </w:r>
      <w:r w:rsidR="008C0BC9" w:rsidRPr="00EE2953">
        <w:rPr>
          <w:sz w:val="22"/>
          <w:szCs w:val="22"/>
        </w:rPr>
        <w:t xml:space="preserve">.  </w:t>
      </w:r>
      <w:r w:rsidR="00F50CD3" w:rsidRPr="00EE2953">
        <w:rPr>
          <w:sz w:val="22"/>
          <w:szCs w:val="22"/>
        </w:rPr>
        <w:t xml:space="preserve">By identifying </w:t>
      </w:r>
      <w:r w:rsidR="00B278D8" w:rsidRPr="00EE2953">
        <w:rPr>
          <w:sz w:val="22"/>
          <w:szCs w:val="22"/>
        </w:rPr>
        <w:t xml:space="preserve">and understanding </w:t>
      </w:r>
      <w:r w:rsidR="00F50CD3" w:rsidRPr="00EE2953">
        <w:rPr>
          <w:sz w:val="22"/>
          <w:szCs w:val="22"/>
        </w:rPr>
        <w:t>the dominant framings of public</w:t>
      </w:r>
      <w:r w:rsidR="00B278D8" w:rsidRPr="00EE2953">
        <w:rPr>
          <w:sz w:val="22"/>
          <w:szCs w:val="22"/>
        </w:rPr>
        <w:t xml:space="preserve"> health issues, framing theory can </w:t>
      </w:r>
      <w:r w:rsidR="00E669BC" w:rsidRPr="00EE2953">
        <w:rPr>
          <w:sz w:val="22"/>
          <w:szCs w:val="22"/>
        </w:rPr>
        <w:t>help make those debates comprehensible and</w:t>
      </w:r>
      <w:r w:rsidR="002621D7" w:rsidRPr="00EE2953">
        <w:rPr>
          <w:sz w:val="22"/>
          <w:szCs w:val="22"/>
        </w:rPr>
        <w:t xml:space="preserve"> illuminates the processes through which specific responses and interventions emerge </w:t>
      </w:r>
      <w:r w:rsidR="00435EBE" w:rsidRPr="00EE2953">
        <w:rPr>
          <w:sz w:val="22"/>
          <w:szCs w:val="22"/>
        </w:rPr>
        <w:fldChar w:fldCharType="begin"/>
      </w:r>
      <w:r w:rsidR="000D3034" w:rsidRPr="00EE2953">
        <w:rPr>
          <w:sz w:val="22"/>
          <w:szCs w:val="22"/>
        </w:rPr>
        <w:instrText xml:space="preserve"> ADDIN EN.CITE &lt;EndNote&gt;&lt;Cite&gt;&lt;Author&gt;Hawkins&lt;/Author&gt;&lt;Year&gt;2013&lt;/Year&gt;&lt;RecNum&gt;1133&lt;/RecNum&gt;&lt;DisplayText&gt;(Hawkins &amp;amp; Holden, 2013)&lt;/DisplayText&gt;&lt;record&gt;&lt;rec-number&gt;1133&lt;/rec-number&gt;&lt;foreign-keys&gt;&lt;key app="EN" db-id="vrd5x9e24rasx8e2asc5x0pw95tw20vx5a25" timestamp="1617018610"&gt;1133&lt;/key&gt;&lt;/foreign-keys&gt;&lt;ref-type name="Journal Article"&gt;17&lt;/ref-type&gt;&lt;contributors&gt;&lt;authors&gt;&lt;author&gt;Hawkins, B.&lt;/author&gt;&lt;author&gt;Holden, C.&lt;/author&gt;&lt;/authors&gt;&lt;/contributors&gt;&lt;titles&gt;&lt;title&gt;Framing the alcohol policy debate: industry actors and the regulation of the UK beverage alcohol market&lt;/title&gt;&lt;secondary-title&gt;Critical Policy Studies&lt;/secondary-title&gt;&lt;/titles&gt;&lt;periodical&gt;&lt;full-title&gt;Critical Policy Studies&lt;/full-title&gt;&lt;/periodical&gt;&lt;pages&gt;53-71&lt;/pages&gt;&lt;volume&gt;7&lt;/volume&gt;&lt;number&gt;1&lt;/number&gt;&lt;dates&gt;&lt;year&gt;2013&lt;/year&gt;&lt;/dates&gt;&lt;urls&gt;&lt;/urls&gt;&lt;/record&gt;&lt;/Cite&gt;&lt;/EndNote&gt;</w:instrText>
      </w:r>
      <w:r w:rsidR="00435EBE" w:rsidRPr="00EE2953">
        <w:rPr>
          <w:sz w:val="22"/>
          <w:szCs w:val="22"/>
        </w:rPr>
        <w:fldChar w:fldCharType="separate"/>
      </w:r>
      <w:r w:rsidR="00435EBE" w:rsidRPr="00EE2953">
        <w:rPr>
          <w:noProof/>
          <w:sz w:val="22"/>
          <w:szCs w:val="22"/>
        </w:rPr>
        <w:t>(Hawkins &amp; Holden, 2013)</w:t>
      </w:r>
      <w:r w:rsidR="00435EBE" w:rsidRPr="00EE2953">
        <w:rPr>
          <w:sz w:val="22"/>
          <w:szCs w:val="22"/>
        </w:rPr>
        <w:fldChar w:fldCharType="end"/>
      </w:r>
      <w:r w:rsidR="001A765B" w:rsidRPr="00EE2953">
        <w:rPr>
          <w:sz w:val="22"/>
          <w:szCs w:val="22"/>
        </w:rPr>
        <w:t>.</w:t>
      </w:r>
      <w:r w:rsidR="008C0BC9" w:rsidRPr="00EE2953">
        <w:rPr>
          <w:sz w:val="22"/>
          <w:szCs w:val="22"/>
        </w:rPr>
        <w:t xml:space="preserve">  </w:t>
      </w:r>
      <w:r w:rsidR="001A765B" w:rsidRPr="00EE2953">
        <w:rPr>
          <w:sz w:val="22"/>
          <w:szCs w:val="22"/>
        </w:rPr>
        <w:t xml:space="preserve"> </w:t>
      </w:r>
    </w:p>
    <w:p w14:paraId="0A3077EE" w14:textId="4755F79E" w:rsidR="006B145C" w:rsidRPr="00EE2953" w:rsidRDefault="006B145C" w:rsidP="00A2632B">
      <w:pPr>
        <w:pStyle w:val="CommentText"/>
        <w:spacing w:after="0" w:line="360" w:lineRule="auto"/>
        <w:contextualSpacing/>
        <w:rPr>
          <w:sz w:val="22"/>
          <w:szCs w:val="22"/>
        </w:rPr>
      </w:pPr>
    </w:p>
    <w:p w14:paraId="500073CC" w14:textId="1E31845D" w:rsidR="006B145C" w:rsidRPr="00EE2953" w:rsidRDefault="00A2632B" w:rsidP="006B145C">
      <w:pPr>
        <w:pStyle w:val="CommentText"/>
        <w:spacing w:after="0" w:line="360" w:lineRule="auto"/>
        <w:contextualSpacing/>
        <w:rPr>
          <w:strike/>
          <w:sz w:val="22"/>
          <w:szCs w:val="22"/>
        </w:rPr>
      </w:pPr>
      <w:r w:rsidRPr="00EE2953">
        <w:rPr>
          <w:sz w:val="22"/>
          <w:szCs w:val="22"/>
        </w:rPr>
        <w:t xml:space="preserve">This </w:t>
      </w:r>
      <w:r w:rsidR="00EF0F24" w:rsidRPr="00EE2953">
        <w:rPr>
          <w:sz w:val="22"/>
          <w:szCs w:val="22"/>
        </w:rPr>
        <w:t xml:space="preserve">conceptual </w:t>
      </w:r>
      <w:r w:rsidR="00572B49" w:rsidRPr="00EE2953">
        <w:rPr>
          <w:sz w:val="22"/>
          <w:szCs w:val="22"/>
        </w:rPr>
        <w:t xml:space="preserve">framework </w:t>
      </w:r>
      <w:r w:rsidR="00EF0F24" w:rsidRPr="00EE2953">
        <w:rPr>
          <w:rFonts w:eastAsia="Times New Roman"/>
          <w:sz w:val="22"/>
          <w:szCs w:val="22"/>
        </w:rPr>
        <w:t xml:space="preserve">(framing theory) </w:t>
      </w:r>
      <w:r w:rsidRPr="00EE2953">
        <w:rPr>
          <w:rFonts w:eastAsia="Times New Roman"/>
          <w:sz w:val="22"/>
          <w:szCs w:val="22"/>
        </w:rPr>
        <w:t>informed the application of CDA</w:t>
      </w:r>
      <w:r w:rsidR="002675D7" w:rsidRPr="00EE2953">
        <w:rPr>
          <w:rFonts w:eastAsia="Times New Roman"/>
          <w:sz w:val="22"/>
          <w:szCs w:val="22"/>
        </w:rPr>
        <w:t xml:space="preserve">, which </w:t>
      </w:r>
      <w:r w:rsidR="002675D7" w:rsidRPr="00EE2953">
        <w:rPr>
          <w:rFonts w:eastAsia="Times New Roman" w:cstheme="minorHAnsi"/>
          <w:sz w:val="22"/>
          <w:szCs w:val="22"/>
          <w:lang w:eastAsia="en-GB"/>
        </w:rPr>
        <w:t xml:space="preserve">systematically investigates hidden power relations and ideologies embedded in discourse and examines the social and material consequences of discourse </w:t>
      </w:r>
      <w:r w:rsidR="002675D7" w:rsidRPr="00EE2953">
        <w:rPr>
          <w:rFonts w:eastAsia="Times New Roman" w:cstheme="minorHAnsi"/>
          <w:sz w:val="22"/>
          <w:szCs w:val="22"/>
          <w:lang w:eastAsia="en-GB"/>
        </w:rPr>
        <w:fldChar w:fldCharType="begin"/>
      </w:r>
      <w:r w:rsidR="002675D7" w:rsidRPr="00EE2953">
        <w:rPr>
          <w:rFonts w:eastAsia="Times New Roman" w:cstheme="minorHAnsi"/>
          <w:sz w:val="22"/>
          <w:szCs w:val="22"/>
          <w:lang w:eastAsia="en-GB"/>
        </w:rPr>
        <w:instrText xml:space="preserve"> ADDIN EN.CITE &lt;EndNote&gt;&lt;Cite&gt;&lt;Author&gt;Johnson&lt;/Author&gt;&lt;Year&gt;2020&lt;/Year&gt;&lt;RecNum&gt;388&lt;/RecNum&gt;&lt;DisplayText&gt;(Johnson &amp;amp; McLean, 2020)&lt;/DisplayText&gt;&lt;record&gt;&lt;rec-number&gt;388&lt;/rec-number&gt;&lt;foreign-keys&gt;&lt;key app="EN" db-id="wz0s5vxeow0299ew9xqvdsw7t0xf9w02z5wt" timestamp="1612628604"&gt;388&lt;/key&gt;&lt;/foreign-keys&gt;&lt;ref-type name="Book Section"&gt;5&lt;/ref-type&gt;&lt;contributors&gt;&lt;authors&gt;&lt;author&gt;Johnson, M.N.P.&lt;/author&gt;&lt;author&gt;McLean, E.&lt;/author&gt;&lt;/authors&gt;&lt;secondary-authors&gt;&lt;author&gt;Kobayashi, A.&lt;/author&gt;&lt;/secondary-authors&gt;&lt;/contributors&gt;&lt;titles&gt;&lt;title&gt;Critical Discourse Analysis&lt;/title&gt;&lt;secondary-title&gt;International Encyclopedia of Human Geography&lt;/secondary-title&gt;&lt;/titles&gt;&lt;edition&gt;Second&lt;/edition&gt;&lt;dates&gt;&lt;year&gt;2020&lt;/year&gt;&lt;/dates&gt;&lt;pub-location&gt;Kingston&lt;/pub-location&gt;&lt;publisher&gt;Elsevier&lt;/publisher&gt;&lt;urls&gt;&lt;/urls&gt;&lt;/record&gt;&lt;/Cite&gt;&lt;/EndNote&gt;</w:instrText>
      </w:r>
      <w:r w:rsidR="002675D7" w:rsidRPr="00EE2953">
        <w:rPr>
          <w:rFonts w:eastAsia="Times New Roman" w:cstheme="minorHAnsi"/>
          <w:sz w:val="22"/>
          <w:szCs w:val="22"/>
          <w:lang w:eastAsia="en-GB"/>
        </w:rPr>
        <w:fldChar w:fldCharType="separate"/>
      </w:r>
      <w:r w:rsidR="002675D7" w:rsidRPr="00EE2953">
        <w:rPr>
          <w:rFonts w:eastAsia="Times New Roman" w:cstheme="minorHAnsi"/>
          <w:noProof/>
          <w:sz w:val="22"/>
          <w:szCs w:val="22"/>
          <w:lang w:eastAsia="en-GB"/>
        </w:rPr>
        <w:t>(Johnson &amp; McLean, 2020)</w:t>
      </w:r>
      <w:r w:rsidR="002675D7" w:rsidRPr="00EE2953">
        <w:rPr>
          <w:rFonts w:eastAsia="Times New Roman" w:cstheme="minorHAnsi"/>
          <w:sz w:val="22"/>
          <w:szCs w:val="22"/>
          <w:lang w:eastAsia="en-GB"/>
        </w:rPr>
        <w:fldChar w:fldCharType="end"/>
      </w:r>
      <w:r w:rsidR="002675D7" w:rsidRPr="00EE2953">
        <w:rPr>
          <w:rFonts w:eastAsia="Times New Roman" w:cstheme="minorHAnsi"/>
          <w:sz w:val="22"/>
          <w:szCs w:val="22"/>
          <w:lang w:eastAsia="en-GB"/>
        </w:rPr>
        <w:t xml:space="preserve">.  </w:t>
      </w:r>
      <w:r w:rsidR="005F515F" w:rsidRPr="00EE2953">
        <w:rPr>
          <w:rFonts w:cstheme="minorHAnsi"/>
          <w:sz w:val="22"/>
          <w:szCs w:val="22"/>
        </w:rPr>
        <w:t xml:space="preserve">CDA is concerned with exploring how ideology, power and stake are reproduced in language and is, therefore, well suited to an examination of media </w:t>
      </w:r>
      <w:r w:rsidR="00E64592" w:rsidRPr="00EE2953">
        <w:rPr>
          <w:rFonts w:cstheme="minorHAnsi"/>
          <w:sz w:val="22"/>
          <w:szCs w:val="22"/>
        </w:rPr>
        <w:t>fram</w:t>
      </w:r>
      <w:r w:rsidR="00E40A69" w:rsidRPr="00EE2953">
        <w:rPr>
          <w:rFonts w:cstheme="minorHAnsi"/>
          <w:sz w:val="22"/>
          <w:szCs w:val="22"/>
        </w:rPr>
        <w:t>es</w:t>
      </w:r>
      <w:r w:rsidR="005F515F" w:rsidRPr="00EE2953">
        <w:rPr>
          <w:rFonts w:cstheme="minorHAnsi"/>
          <w:sz w:val="22"/>
          <w:szCs w:val="22"/>
        </w:rPr>
        <w:t xml:space="preserve"> that encompass ideologies of the market, individual agency, and socio-structural inequalities </w:t>
      </w:r>
      <w:r w:rsidR="005F515F" w:rsidRPr="00EE2953">
        <w:rPr>
          <w:rFonts w:cstheme="minorHAnsi"/>
          <w:sz w:val="22"/>
          <w:szCs w:val="22"/>
        </w:rPr>
        <w:fldChar w:fldCharType="begin"/>
      </w:r>
      <w:r w:rsidR="005F515F" w:rsidRPr="00EE2953">
        <w:rPr>
          <w:rFonts w:cstheme="minorHAnsi"/>
          <w:sz w:val="22"/>
          <w:szCs w:val="22"/>
        </w:rPr>
        <w:instrText xml:space="preserve"> ADDIN EN.CITE &lt;EndNote&gt;&lt;Cite&gt;&lt;Author&gt;Sriwimon&lt;/Author&gt;&lt;Year&gt;2017&lt;/Year&gt;&lt;RecNum&gt;387&lt;/RecNum&gt;&lt;DisplayText&gt;(Sriwimon &amp;amp; Jimarkon Zilli, 2017)&lt;/DisplayText&gt;&lt;record&gt;&lt;rec-number&gt;387&lt;/rec-number&gt;&lt;foreign-keys&gt;&lt;key app="EN" db-id="wz0s5vxeow0299ew9xqvdsw7t0xf9w02z5wt" timestamp="1612628216"&gt;387&lt;/key&gt;&lt;/foreign-keys&gt;&lt;ref-type name="Journal Article"&gt;17&lt;/ref-type&gt;&lt;contributors&gt;&lt;authors&gt;&lt;author&gt;Sriwimon, L.&lt;/author&gt;&lt;author&gt;Jimarkon Zilli, P.&lt;/author&gt;&lt;/authors&gt;&lt;/contributors&gt;&lt;titles&gt;&lt;title&gt;Applying Critical Discourse Analysis as a conceptual framework for investigating gender stereotypes in political media discourse&lt;/title&gt;&lt;secondary-title&gt;Kasetsart Journal of Social Sciences&lt;/secondary-title&gt;&lt;/titles&gt;&lt;periodical&gt;&lt;full-title&gt;Kasetsart Journal of Social Sciences&lt;/full-title&gt;&lt;/periodical&gt;&lt;pages&gt;136-142&lt;/pages&gt;&lt;volume&gt;38&lt;/volume&gt;&lt;number&gt;2&lt;/number&gt;&lt;dates&gt;&lt;year&gt;2017&lt;/year&gt;&lt;/dates&gt;&lt;urls&gt;&lt;/urls&gt;&lt;/record&gt;&lt;/Cite&gt;&lt;/EndNote&gt;</w:instrText>
      </w:r>
      <w:r w:rsidR="005F515F" w:rsidRPr="00EE2953">
        <w:rPr>
          <w:rFonts w:cstheme="minorHAnsi"/>
          <w:sz w:val="22"/>
          <w:szCs w:val="22"/>
        </w:rPr>
        <w:fldChar w:fldCharType="separate"/>
      </w:r>
      <w:r w:rsidR="005F515F" w:rsidRPr="00EE2953">
        <w:rPr>
          <w:rFonts w:cstheme="minorHAnsi"/>
          <w:noProof/>
          <w:sz w:val="22"/>
          <w:szCs w:val="22"/>
        </w:rPr>
        <w:t>(Sriwimon &amp; Jimarkon Zilli, 2017)</w:t>
      </w:r>
      <w:r w:rsidR="005F515F" w:rsidRPr="00EE2953">
        <w:rPr>
          <w:rFonts w:cstheme="minorHAnsi"/>
          <w:sz w:val="22"/>
          <w:szCs w:val="22"/>
        </w:rPr>
        <w:fldChar w:fldCharType="end"/>
      </w:r>
      <w:r w:rsidR="005F515F" w:rsidRPr="00EE2953">
        <w:rPr>
          <w:rFonts w:cstheme="minorHAnsi"/>
          <w:sz w:val="22"/>
          <w:szCs w:val="22"/>
        </w:rPr>
        <w:t xml:space="preserve">.  </w:t>
      </w:r>
      <w:r w:rsidR="00595E8E" w:rsidRPr="00EE2953">
        <w:rPr>
          <w:rFonts w:cstheme="minorHAnsi"/>
          <w:sz w:val="22"/>
          <w:szCs w:val="22"/>
        </w:rPr>
        <w:t>Efforts to</w:t>
      </w:r>
      <w:r w:rsidR="00666CEE" w:rsidRPr="00EE2953">
        <w:rPr>
          <w:rFonts w:cstheme="minorHAnsi"/>
          <w:sz w:val="22"/>
          <w:szCs w:val="22"/>
        </w:rPr>
        <w:t xml:space="preserve"> frame particular issues and policies are political acts</w:t>
      </w:r>
      <w:r w:rsidR="00C1638B" w:rsidRPr="00EE2953">
        <w:rPr>
          <w:rFonts w:cstheme="minorHAnsi"/>
          <w:sz w:val="22"/>
          <w:szCs w:val="22"/>
        </w:rPr>
        <w:t xml:space="preserve"> </w:t>
      </w:r>
      <w:r w:rsidR="006702F8" w:rsidRPr="00EE2953">
        <w:rPr>
          <w:rFonts w:cstheme="minorHAnsi"/>
          <w:sz w:val="22"/>
          <w:szCs w:val="22"/>
        </w:rPr>
        <w:fldChar w:fldCharType="begin"/>
      </w:r>
      <w:r w:rsidR="000D3034" w:rsidRPr="00EE2953">
        <w:rPr>
          <w:rFonts w:cstheme="minorHAnsi"/>
          <w:sz w:val="22"/>
          <w:szCs w:val="22"/>
        </w:rPr>
        <w:instrText xml:space="preserve"> ADDIN EN.CITE &lt;EndNote&gt;&lt;Cite&gt;&lt;Author&gt;Hawkins&lt;/Author&gt;&lt;Year&gt;2013&lt;/Year&gt;&lt;RecNum&gt;1133&lt;/RecNum&gt;&lt;DisplayText&gt;(Hawkins &amp;amp; Holden, 2013)&lt;/DisplayText&gt;&lt;record&gt;&lt;rec-number&gt;1133&lt;/rec-number&gt;&lt;foreign-keys&gt;&lt;key app="EN" db-id="vrd5x9e24rasx8e2asc5x0pw95tw20vx5a25" timestamp="1617018610"&gt;1133&lt;/key&gt;&lt;/foreign-keys&gt;&lt;ref-type name="Journal Article"&gt;17&lt;/ref-type&gt;&lt;contributors&gt;&lt;authors&gt;&lt;author&gt;Hawkins, B.&lt;/author&gt;&lt;author&gt;Holden, C.&lt;/author&gt;&lt;/authors&gt;&lt;/contributors&gt;&lt;titles&gt;&lt;title&gt;Framing the alcohol policy debate: industry actors and the regulation of the UK beverage alcohol market&lt;/title&gt;&lt;secondary-title&gt;Critical Policy Studies&lt;/secondary-title&gt;&lt;/titles&gt;&lt;periodical&gt;&lt;full-title&gt;Critical Policy Studies&lt;/full-title&gt;&lt;/periodical&gt;&lt;pages&gt;53-71&lt;/pages&gt;&lt;volume&gt;7&lt;/volume&gt;&lt;number&gt;1&lt;/number&gt;&lt;dates&gt;&lt;year&gt;2013&lt;/year&gt;&lt;/dates&gt;&lt;urls&gt;&lt;/urls&gt;&lt;/record&gt;&lt;/Cite&gt;&lt;/EndNote&gt;</w:instrText>
      </w:r>
      <w:r w:rsidR="006702F8" w:rsidRPr="00EE2953">
        <w:rPr>
          <w:rFonts w:cstheme="minorHAnsi"/>
          <w:sz w:val="22"/>
          <w:szCs w:val="22"/>
        </w:rPr>
        <w:fldChar w:fldCharType="separate"/>
      </w:r>
      <w:r w:rsidR="006702F8" w:rsidRPr="00EE2953">
        <w:rPr>
          <w:rFonts w:cstheme="minorHAnsi"/>
          <w:noProof/>
          <w:sz w:val="22"/>
          <w:szCs w:val="22"/>
        </w:rPr>
        <w:t>(Hawkins &amp; Holden, 2013)</w:t>
      </w:r>
      <w:r w:rsidR="006702F8" w:rsidRPr="00EE2953">
        <w:rPr>
          <w:rFonts w:cstheme="minorHAnsi"/>
          <w:sz w:val="22"/>
          <w:szCs w:val="22"/>
        </w:rPr>
        <w:fldChar w:fldCharType="end"/>
      </w:r>
      <w:r w:rsidR="006702F8" w:rsidRPr="00EE2953">
        <w:rPr>
          <w:rFonts w:cstheme="minorHAnsi"/>
          <w:sz w:val="22"/>
          <w:szCs w:val="22"/>
        </w:rPr>
        <w:t xml:space="preserve"> </w:t>
      </w:r>
      <w:r w:rsidR="00C1638B" w:rsidRPr="00EE2953">
        <w:rPr>
          <w:rFonts w:cstheme="minorHAnsi"/>
          <w:sz w:val="22"/>
          <w:szCs w:val="22"/>
        </w:rPr>
        <w:t xml:space="preserve">and, as such, are </w:t>
      </w:r>
      <w:r w:rsidR="0082741E" w:rsidRPr="00EE2953">
        <w:rPr>
          <w:rFonts w:cstheme="minorHAnsi"/>
          <w:sz w:val="22"/>
          <w:szCs w:val="22"/>
        </w:rPr>
        <w:t>rooted</w:t>
      </w:r>
      <w:r w:rsidR="00C4480A" w:rsidRPr="00EE2953">
        <w:rPr>
          <w:rFonts w:cstheme="minorHAnsi"/>
          <w:sz w:val="22"/>
          <w:szCs w:val="22"/>
        </w:rPr>
        <w:t xml:space="preserve"> in</w:t>
      </w:r>
      <w:r w:rsidR="00C1638B" w:rsidRPr="00EE2953">
        <w:rPr>
          <w:rFonts w:cstheme="minorHAnsi"/>
          <w:sz w:val="22"/>
          <w:szCs w:val="22"/>
        </w:rPr>
        <w:t xml:space="preserve"> </w:t>
      </w:r>
      <w:r w:rsidR="00C4480A" w:rsidRPr="00EE2953">
        <w:rPr>
          <w:rFonts w:cstheme="minorHAnsi"/>
          <w:sz w:val="22"/>
          <w:szCs w:val="22"/>
        </w:rPr>
        <w:t xml:space="preserve"> </w:t>
      </w:r>
      <w:r w:rsidR="00AD4F75" w:rsidRPr="00EE2953">
        <w:rPr>
          <w:rFonts w:cstheme="minorHAnsi"/>
          <w:sz w:val="22"/>
          <w:szCs w:val="22"/>
        </w:rPr>
        <w:t xml:space="preserve">power relations and </w:t>
      </w:r>
      <w:r w:rsidR="008C0BC9" w:rsidRPr="00EE2953">
        <w:rPr>
          <w:rFonts w:cstheme="minorHAnsi"/>
          <w:sz w:val="22"/>
          <w:szCs w:val="22"/>
        </w:rPr>
        <w:t>competing interests.</w:t>
      </w:r>
      <w:r w:rsidR="006B145C" w:rsidRPr="00EE2953">
        <w:rPr>
          <w:sz w:val="22"/>
          <w:szCs w:val="22"/>
        </w:rPr>
        <w:t xml:space="preserve"> In this paper, we used framing theory to describe how the media focuses attention on particular issues around the advertising restrictions and places them within a specific field of meaning for the public.  </w:t>
      </w:r>
    </w:p>
    <w:bookmarkEnd w:id="5"/>
    <w:p w14:paraId="3C6730C7" w14:textId="77777777" w:rsidR="006B145C" w:rsidRPr="00EE2953" w:rsidRDefault="006B145C" w:rsidP="006B145C">
      <w:pPr>
        <w:pStyle w:val="CommentText"/>
        <w:spacing w:after="0" w:line="360" w:lineRule="auto"/>
        <w:contextualSpacing/>
        <w:rPr>
          <w:sz w:val="22"/>
          <w:szCs w:val="22"/>
        </w:rPr>
      </w:pPr>
    </w:p>
    <w:p w14:paraId="16962357" w14:textId="4CF2A919" w:rsidR="00F92755" w:rsidRPr="00EE2953" w:rsidRDefault="00B71184" w:rsidP="00EB0510">
      <w:pPr>
        <w:spacing w:after="0" w:line="360" w:lineRule="auto"/>
      </w:pPr>
      <w:r w:rsidRPr="00EE2953">
        <w:rPr>
          <w:b/>
          <w:bCs/>
        </w:rPr>
        <w:t xml:space="preserve">2. </w:t>
      </w:r>
      <w:r w:rsidR="0042004A" w:rsidRPr="00EE2953">
        <w:rPr>
          <w:b/>
          <w:bCs/>
        </w:rPr>
        <w:t>Methods</w:t>
      </w:r>
    </w:p>
    <w:p w14:paraId="769C4F9C" w14:textId="11BB153A" w:rsidR="00B16AB4" w:rsidRPr="00EE2953" w:rsidRDefault="00C951D2" w:rsidP="000D3920">
      <w:pPr>
        <w:spacing w:after="0" w:line="360" w:lineRule="auto"/>
        <w:rPr>
          <w:rFonts w:cstheme="minorHAnsi"/>
        </w:rPr>
      </w:pPr>
      <w:r w:rsidRPr="00EE2953">
        <w:rPr>
          <w:rFonts w:eastAsia="Times New Roman"/>
          <w:color w:val="C45911" w:themeColor="accent2" w:themeShade="BF"/>
        </w:rPr>
        <w:br/>
      </w:r>
      <w:r w:rsidR="00B71184" w:rsidRPr="00EE2953">
        <w:rPr>
          <w:rFonts w:cstheme="minorHAnsi"/>
          <w:b/>
          <w:i/>
        </w:rPr>
        <w:t xml:space="preserve">2.1 </w:t>
      </w:r>
      <w:r w:rsidR="002406AC" w:rsidRPr="00EE2953">
        <w:rPr>
          <w:rFonts w:cstheme="minorHAnsi"/>
          <w:b/>
          <w:i/>
        </w:rPr>
        <w:t>Procedure</w:t>
      </w:r>
    </w:p>
    <w:p w14:paraId="3BDB7B85" w14:textId="1A1BB811" w:rsidR="00EF52A3" w:rsidRPr="00EE2953" w:rsidRDefault="007E3218" w:rsidP="000D3920">
      <w:pPr>
        <w:spacing w:after="0" w:line="360" w:lineRule="auto"/>
      </w:pPr>
      <w:r w:rsidRPr="00EE2953">
        <w:rPr>
          <w:rFonts w:cstheme="minorHAnsi"/>
        </w:rPr>
        <w:t xml:space="preserve">We conducted a </w:t>
      </w:r>
      <w:r w:rsidR="002E3EF4" w:rsidRPr="00EE2953">
        <w:rPr>
          <w:rFonts w:cstheme="minorHAnsi"/>
        </w:rPr>
        <w:t>qualitative</w:t>
      </w:r>
      <w:r w:rsidR="002E2E35" w:rsidRPr="00EE2953">
        <w:rPr>
          <w:rFonts w:cstheme="minorHAnsi"/>
        </w:rPr>
        <w:t xml:space="preserve"> </w:t>
      </w:r>
      <w:r w:rsidR="00E21A2C" w:rsidRPr="00EE2953">
        <w:rPr>
          <w:rFonts w:cstheme="minorHAnsi"/>
        </w:rPr>
        <w:t xml:space="preserve">thematic </w:t>
      </w:r>
      <w:r w:rsidR="00BA4103" w:rsidRPr="00EE2953">
        <w:rPr>
          <w:rFonts w:cstheme="minorHAnsi"/>
        </w:rPr>
        <w:t>c</w:t>
      </w:r>
      <w:r w:rsidR="00EF52A3" w:rsidRPr="00EE2953">
        <w:rPr>
          <w:rFonts w:cstheme="minorHAnsi"/>
        </w:rPr>
        <w:t xml:space="preserve">ontent </w:t>
      </w:r>
      <w:r w:rsidR="00BA4103" w:rsidRPr="00EE2953">
        <w:rPr>
          <w:rFonts w:cstheme="minorHAnsi"/>
        </w:rPr>
        <w:t>a</w:t>
      </w:r>
      <w:r w:rsidR="00EF52A3" w:rsidRPr="00EE2953">
        <w:rPr>
          <w:rFonts w:cstheme="minorHAnsi"/>
        </w:rPr>
        <w:t xml:space="preserve">nalysis </w:t>
      </w:r>
      <w:r w:rsidR="00DB6787" w:rsidRPr="00EE2953">
        <w:rPr>
          <w:rFonts w:cstheme="minorHAnsi"/>
        </w:rPr>
        <w:fldChar w:fldCharType="begin"/>
      </w:r>
      <w:r w:rsidR="00C00B26" w:rsidRPr="00EE2953">
        <w:rPr>
          <w:rFonts w:cstheme="minorHAnsi"/>
        </w:rPr>
        <w:instrText xml:space="preserve"> ADDIN EN.CITE &lt;EndNote&gt;&lt;Cite&gt;&lt;Author&gt;Roberts&lt;/Author&gt;&lt;Year&gt;2007&lt;/Year&gt;&lt;RecNum&gt;291&lt;/RecNum&gt;&lt;DisplayText&gt;(Roberts, 2007)&lt;/DisplayText&gt;&lt;record&gt;&lt;rec-number&gt;291&lt;/rec-number&gt;&lt;foreign-keys&gt;&lt;key app="EN" db-id="wz0s5vxeow0299ew9xqvdsw7t0xf9w02z5wt" timestamp="1602343815"&gt;291&lt;/key&gt;&lt;/foreign-keys&gt;&lt;ref-type name="Journal Article"&gt;17&lt;/ref-type&gt;&lt;contributors&gt;&lt;authors&gt;&lt;author&gt;Roberts, M., Pettigrew, S.&lt;/author&gt;&lt;/authors&gt;&lt;/contributors&gt;&lt;titles&gt;&lt;title&gt;A thematic content analysis of children&amp;apos;s food advertising&lt;/title&gt;&lt;secondary-title&gt;International Journal of Advertising&lt;/secondary-title&gt;&lt;/titles&gt;&lt;periodical&gt;&lt;full-title&gt;International Journal of Advertising&lt;/full-title&gt;&lt;/periodical&gt;&lt;pages&gt;357-367&lt;/pages&gt;&lt;volume&gt;26&lt;/volume&gt;&lt;number&gt;3&lt;/number&gt;&lt;dates&gt;&lt;year&gt;2007&lt;/year&gt;&lt;/dates&gt;&lt;urls&gt;&lt;/urls&gt;&lt;/record&gt;&lt;/Cite&gt;&lt;/EndNote&gt;</w:instrText>
      </w:r>
      <w:r w:rsidR="00DB6787" w:rsidRPr="00EE2953">
        <w:rPr>
          <w:rFonts w:cstheme="minorHAnsi"/>
        </w:rPr>
        <w:fldChar w:fldCharType="separate"/>
      </w:r>
      <w:r w:rsidR="00C00B26" w:rsidRPr="00EE2953">
        <w:rPr>
          <w:rFonts w:cstheme="minorHAnsi"/>
          <w:noProof/>
        </w:rPr>
        <w:t>(Roberts, 2007)</w:t>
      </w:r>
      <w:r w:rsidR="00DB6787" w:rsidRPr="00EE2953">
        <w:rPr>
          <w:rFonts w:cstheme="minorHAnsi"/>
        </w:rPr>
        <w:fldChar w:fldCharType="end"/>
      </w:r>
      <w:r w:rsidR="003932AF" w:rsidRPr="00EE2953">
        <w:rPr>
          <w:rFonts w:cstheme="minorHAnsi"/>
        </w:rPr>
        <w:t xml:space="preserve"> </w:t>
      </w:r>
      <w:r w:rsidRPr="00EE2953">
        <w:rPr>
          <w:rFonts w:cstheme="minorHAnsi"/>
        </w:rPr>
        <w:t>o</w:t>
      </w:r>
      <w:r w:rsidR="006E2575" w:rsidRPr="00EE2953">
        <w:rPr>
          <w:rFonts w:cstheme="minorHAnsi"/>
        </w:rPr>
        <w:t xml:space="preserve">f </w:t>
      </w:r>
      <w:r w:rsidR="00DF1314" w:rsidRPr="00EE2953">
        <w:rPr>
          <w:rFonts w:cstheme="minorHAnsi"/>
        </w:rPr>
        <w:t xml:space="preserve">all </w:t>
      </w:r>
      <w:r w:rsidR="006E2575" w:rsidRPr="00EE2953">
        <w:rPr>
          <w:rFonts w:cstheme="minorHAnsi"/>
        </w:rPr>
        <w:t xml:space="preserve">media coverage </w:t>
      </w:r>
      <w:r w:rsidR="004F27C3" w:rsidRPr="00EE2953">
        <w:rPr>
          <w:rFonts w:cstheme="minorHAnsi"/>
        </w:rPr>
        <w:t xml:space="preserve">in UK newspapers and trade press in the period </w:t>
      </w:r>
      <w:r w:rsidR="004777DF" w:rsidRPr="00EE2953">
        <w:rPr>
          <w:rFonts w:cstheme="minorHAnsi"/>
        </w:rPr>
        <w:t xml:space="preserve">surrounding </w:t>
      </w:r>
      <w:r w:rsidR="006E2575" w:rsidRPr="00EE2953">
        <w:rPr>
          <w:rFonts w:cstheme="minorHAnsi"/>
        </w:rPr>
        <w:t xml:space="preserve">the </w:t>
      </w:r>
      <w:r w:rsidR="004F27C3" w:rsidRPr="00EE2953">
        <w:rPr>
          <w:rFonts w:cstheme="minorHAnsi"/>
        </w:rPr>
        <w:t xml:space="preserve">TfL advertising </w:t>
      </w:r>
      <w:r w:rsidR="006E2575" w:rsidRPr="00EE2953">
        <w:rPr>
          <w:rFonts w:cstheme="minorHAnsi"/>
        </w:rPr>
        <w:t>ban</w:t>
      </w:r>
      <w:r w:rsidR="003E665C" w:rsidRPr="00EE2953">
        <w:rPr>
          <w:rFonts w:cstheme="minorHAnsi"/>
        </w:rPr>
        <w:t xml:space="preserve"> in order to </w:t>
      </w:r>
      <w:r w:rsidR="00C07C88" w:rsidRPr="00EE2953">
        <w:rPr>
          <w:rFonts w:cstheme="minorHAnsi"/>
        </w:rPr>
        <w:t xml:space="preserve">identify </w:t>
      </w:r>
      <w:r w:rsidR="00C07C88" w:rsidRPr="00EE2953">
        <w:rPr>
          <w:rFonts w:cstheme="minorHAnsi"/>
        </w:rPr>
        <w:lastRenderedPageBreak/>
        <w:t xml:space="preserve">and categorise arguments </w:t>
      </w:r>
      <w:r w:rsidR="00C443EF" w:rsidRPr="00EE2953">
        <w:rPr>
          <w:rFonts w:cstheme="minorHAnsi"/>
        </w:rPr>
        <w:t xml:space="preserve">for </w:t>
      </w:r>
      <w:r w:rsidR="00F76092" w:rsidRPr="00EE2953">
        <w:rPr>
          <w:rFonts w:cstheme="minorHAnsi"/>
        </w:rPr>
        <w:t xml:space="preserve">and against </w:t>
      </w:r>
      <w:r w:rsidR="00C07C88" w:rsidRPr="00EE2953">
        <w:rPr>
          <w:rFonts w:cstheme="minorHAnsi"/>
        </w:rPr>
        <w:t>it</w:t>
      </w:r>
      <w:r w:rsidR="00963BCF" w:rsidRPr="00EE2953">
        <w:rPr>
          <w:rFonts w:cstheme="minorHAnsi"/>
        </w:rPr>
        <w:t xml:space="preserve">, followed by </w:t>
      </w:r>
      <w:r w:rsidR="006B3D3D" w:rsidRPr="00EE2953">
        <w:rPr>
          <w:rFonts w:cstheme="minorHAnsi"/>
        </w:rPr>
        <w:t xml:space="preserve">a </w:t>
      </w:r>
      <w:r w:rsidR="004F27C3" w:rsidRPr="00EE2953">
        <w:rPr>
          <w:rFonts w:cstheme="minorHAnsi"/>
        </w:rPr>
        <w:t xml:space="preserve">document analysis </w:t>
      </w:r>
      <w:r w:rsidR="00B07393" w:rsidRPr="00EE2953">
        <w:rPr>
          <w:rFonts w:cstheme="minorHAnsi"/>
        </w:rPr>
        <w:fldChar w:fldCharType="begin"/>
      </w:r>
      <w:r w:rsidR="00C00B26" w:rsidRPr="00EE2953">
        <w:rPr>
          <w:rFonts w:cstheme="minorHAnsi"/>
        </w:rPr>
        <w:instrText xml:space="preserve"> ADDIN EN.CITE &lt;EndNote&gt;&lt;Cite&gt;&lt;Author&gt;MacKenzie&lt;/Author&gt;&lt;Year&gt;2017&lt;/Year&gt;&lt;RecNum&gt;290&lt;/RecNum&gt;&lt;DisplayText&gt;(MacKenzie &amp;amp; Holden, 2017)&lt;/DisplayText&gt;&lt;record&gt;&lt;rec-number&gt;290&lt;/rec-number&gt;&lt;foreign-keys&gt;&lt;key app="EN" db-id="wz0s5vxeow0299ew9xqvdsw7t0xf9w02z5wt" timestamp="1602343489"&gt;290&lt;/key&gt;&lt;/foreign-keys&gt;&lt;ref-type name="Book Section"&gt;5&lt;/ref-type&gt;&lt;contributors&gt;&lt;authors&gt;&lt;author&gt;MacKenzie, R.&lt;/author&gt;&lt;author&gt;Holden, C.&lt;/author&gt;&lt;/authors&gt;&lt;secondary-authors&gt;&lt;author&gt;Lee, K., Hawkins, B.&lt;/author&gt;&lt;/secondary-authors&gt;&lt;/contributors&gt;&lt;titles&gt;&lt;title&gt;Analysing Corporate Documents&lt;/title&gt;&lt;secondary-title&gt;Researching Corporations and Global Health Governance: an interdisciplinary guide&lt;/secondary-title&gt;&lt;/titles&gt;&lt;dates&gt;&lt;year&gt;2017&lt;/year&gt;&lt;/dates&gt;&lt;pub-location&gt;London&lt;/pub-location&gt;&lt;publisher&gt;Rowman and Littlefield&lt;/publisher&gt;&lt;urls&gt;&lt;/urls&gt;&lt;/record&gt;&lt;/Cite&gt;&lt;/EndNote&gt;</w:instrText>
      </w:r>
      <w:r w:rsidR="00B07393" w:rsidRPr="00EE2953">
        <w:rPr>
          <w:rFonts w:cstheme="minorHAnsi"/>
        </w:rPr>
        <w:fldChar w:fldCharType="separate"/>
      </w:r>
      <w:r w:rsidR="00C00B26" w:rsidRPr="00EE2953">
        <w:rPr>
          <w:rFonts w:cstheme="minorHAnsi"/>
          <w:noProof/>
        </w:rPr>
        <w:t>(MacKenzie &amp; Holden, 2017)</w:t>
      </w:r>
      <w:r w:rsidR="00B07393" w:rsidRPr="00EE2953">
        <w:rPr>
          <w:rFonts w:cstheme="minorHAnsi"/>
        </w:rPr>
        <w:fldChar w:fldCharType="end"/>
      </w:r>
      <w:r w:rsidR="0036469A" w:rsidRPr="00EE2953">
        <w:rPr>
          <w:rFonts w:cstheme="minorHAnsi"/>
        </w:rPr>
        <w:t xml:space="preserve"> </w:t>
      </w:r>
      <w:r w:rsidR="002E2E35" w:rsidRPr="00EE2953">
        <w:rPr>
          <w:rFonts w:cstheme="minorHAnsi"/>
        </w:rPr>
        <w:t xml:space="preserve">focusing only on </w:t>
      </w:r>
      <w:r w:rsidR="002E3EF4" w:rsidRPr="00EE2953">
        <w:rPr>
          <w:rFonts w:cstheme="minorHAnsi"/>
        </w:rPr>
        <w:t>coverage</w:t>
      </w:r>
      <w:r w:rsidR="000C1D55" w:rsidRPr="00EE2953">
        <w:rPr>
          <w:rFonts w:cstheme="minorHAnsi"/>
        </w:rPr>
        <w:t xml:space="preserve"> opposing the ban</w:t>
      </w:r>
      <w:r w:rsidR="00B03CDD" w:rsidRPr="00EE2953">
        <w:rPr>
          <w:rFonts w:cstheme="minorHAnsi"/>
        </w:rPr>
        <w:t xml:space="preserve"> in order to deconstruct the arguments</w:t>
      </w:r>
      <w:r w:rsidR="008B2EDF" w:rsidRPr="00EE2953">
        <w:rPr>
          <w:rFonts w:cstheme="minorHAnsi"/>
        </w:rPr>
        <w:t xml:space="preserve"> made</w:t>
      </w:r>
      <w:r w:rsidR="00DE79A1" w:rsidRPr="00EE2953">
        <w:rPr>
          <w:rFonts w:cstheme="minorHAnsi"/>
        </w:rPr>
        <w:t xml:space="preserve">. </w:t>
      </w:r>
    </w:p>
    <w:p w14:paraId="54D08C1A" w14:textId="77777777" w:rsidR="00C45317" w:rsidRPr="00EE2953" w:rsidRDefault="00C45317" w:rsidP="00C45317">
      <w:pPr>
        <w:rPr>
          <w:rFonts w:eastAsia="Times New Roman"/>
        </w:rPr>
      </w:pPr>
    </w:p>
    <w:p w14:paraId="7561249C" w14:textId="1ECBFE62" w:rsidR="00F92755" w:rsidRPr="00EE2953" w:rsidRDefault="00B71184" w:rsidP="000D3920">
      <w:pPr>
        <w:spacing w:after="0" w:line="360" w:lineRule="auto"/>
        <w:rPr>
          <w:b/>
          <w:i/>
        </w:rPr>
      </w:pPr>
      <w:r w:rsidRPr="00EE2953">
        <w:rPr>
          <w:b/>
          <w:i/>
        </w:rPr>
        <w:t xml:space="preserve">2.2 </w:t>
      </w:r>
      <w:r w:rsidR="00E21A2C" w:rsidRPr="00EE2953">
        <w:rPr>
          <w:b/>
          <w:i/>
        </w:rPr>
        <w:t>S</w:t>
      </w:r>
      <w:r w:rsidR="00F92755" w:rsidRPr="00EE2953">
        <w:rPr>
          <w:b/>
          <w:i/>
        </w:rPr>
        <w:t>earch criteria</w:t>
      </w:r>
      <w:r w:rsidR="009B55ED" w:rsidRPr="00EE2953">
        <w:rPr>
          <w:b/>
          <w:i/>
        </w:rPr>
        <w:t xml:space="preserve"> </w:t>
      </w:r>
    </w:p>
    <w:p w14:paraId="00C0A8BD" w14:textId="5757B595" w:rsidR="00104023" w:rsidRPr="00EE2953" w:rsidRDefault="00A15801" w:rsidP="00104023">
      <w:pPr>
        <w:pStyle w:val="PlainText"/>
        <w:spacing w:line="360" w:lineRule="auto"/>
        <w:contextualSpacing/>
        <w:rPr>
          <w:b/>
        </w:rPr>
      </w:pPr>
      <w:r w:rsidRPr="00EE2953">
        <w:t xml:space="preserve">We </w:t>
      </w:r>
      <w:r w:rsidR="00E21A2C" w:rsidRPr="00EE2953">
        <w:t xml:space="preserve">searched </w:t>
      </w:r>
      <w:r w:rsidR="009D2D31" w:rsidRPr="00EE2953">
        <w:t>English-</w:t>
      </w:r>
      <w:r w:rsidR="006C0D7B" w:rsidRPr="00EE2953">
        <w:t xml:space="preserve">language </w:t>
      </w:r>
      <w:r w:rsidR="009D2D31" w:rsidRPr="00EE2953">
        <w:t>written</w:t>
      </w:r>
      <w:r w:rsidR="004F27C3" w:rsidRPr="00EE2953">
        <w:t>,</w:t>
      </w:r>
      <w:r w:rsidRPr="00EE2953">
        <w:t xml:space="preserve"> </w:t>
      </w:r>
      <w:r w:rsidR="00A04D0C" w:rsidRPr="00EE2953">
        <w:t xml:space="preserve">printed and </w:t>
      </w:r>
      <w:r w:rsidRPr="00EE2953">
        <w:t>online newspapers</w:t>
      </w:r>
      <w:r w:rsidR="00593226" w:rsidRPr="00EE2953">
        <w:t>,</w:t>
      </w:r>
      <w:r w:rsidR="00745486" w:rsidRPr="00EE2953">
        <w:t xml:space="preserve"> and trade p</w:t>
      </w:r>
      <w:r w:rsidR="00E21A2C" w:rsidRPr="00EE2953">
        <w:t>ublications</w:t>
      </w:r>
      <w:r w:rsidR="00963BCF" w:rsidRPr="00EE2953">
        <w:t xml:space="preserve"> that</w:t>
      </w:r>
      <w:r w:rsidR="00D61B33" w:rsidRPr="00EE2953">
        <w:t xml:space="preserve"> </w:t>
      </w:r>
      <w:r w:rsidR="009D2D31" w:rsidRPr="00EE2953">
        <w:t>were</w:t>
      </w:r>
      <w:r w:rsidRPr="00EE2953">
        <w:t xml:space="preserve"> </w:t>
      </w:r>
      <w:r w:rsidR="00B51D92" w:rsidRPr="00EE2953">
        <w:t xml:space="preserve">distributed </w:t>
      </w:r>
      <w:r w:rsidRPr="00EE2953">
        <w:t>in the UK</w:t>
      </w:r>
      <w:r w:rsidR="00B51D92" w:rsidRPr="00EE2953">
        <w:t xml:space="preserve"> or published on a UK</w:t>
      </w:r>
      <w:r w:rsidR="00D11712" w:rsidRPr="00EE2953">
        <w:t>-</w:t>
      </w:r>
      <w:r w:rsidR="00B51D92" w:rsidRPr="00EE2953">
        <w:t xml:space="preserve">specific </w:t>
      </w:r>
      <w:r w:rsidR="006C2A4F" w:rsidRPr="00EE2953">
        <w:t>web</w:t>
      </w:r>
      <w:r w:rsidR="00B51D92" w:rsidRPr="00EE2953">
        <w:t>site</w:t>
      </w:r>
      <w:r w:rsidRPr="00EE2953">
        <w:t>.</w:t>
      </w:r>
      <w:r w:rsidR="002B542C" w:rsidRPr="00EE2953">
        <w:t xml:space="preserve"> </w:t>
      </w:r>
      <w:r w:rsidRPr="00EE2953">
        <w:t xml:space="preserve"> </w:t>
      </w:r>
      <w:bookmarkStart w:id="6" w:name="_Hlk63559697"/>
      <w:r w:rsidR="002E3EF4" w:rsidRPr="00EE2953">
        <w:t>The</w:t>
      </w:r>
      <w:r w:rsidR="006C2A4F" w:rsidRPr="00EE2953">
        <w:t xml:space="preserve"> search </w:t>
      </w:r>
      <w:r w:rsidR="00995608" w:rsidRPr="00EE2953">
        <w:rPr>
          <w:rFonts w:cstheme="minorHAnsi"/>
        </w:rPr>
        <w:t xml:space="preserve">period </w:t>
      </w:r>
      <w:r w:rsidR="002E3EF4" w:rsidRPr="00EE2953">
        <w:rPr>
          <w:rFonts w:cstheme="minorHAnsi"/>
        </w:rPr>
        <w:t>of</w:t>
      </w:r>
      <w:r w:rsidR="00995608" w:rsidRPr="00EE2953">
        <w:rPr>
          <w:rFonts w:cstheme="minorHAnsi"/>
        </w:rPr>
        <w:t xml:space="preserve"> 1</w:t>
      </w:r>
      <w:r w:rsidR="00745486" w:rsidRPr="00EE2953">
        <w:rPr>
          <w:rFonts w:cstheme="minorHAnsi"/>
          <w:vertAlign w:val="superscript"/>
        </w:rPr>
        <w:t>st</w:t>
      </w:r>
      <w:r w:rsidR="00745486" w:rsidRPr="00EE2953">
        <w:rPr>
          <w:rFonts w:cstheme="minorHAnsi"/>
        </w:rPr>
        <w:t xml:space="preserve"> </w:t>
      </w:r>
      <w:r w:rsidR="00995608" w:rsidRPr="00EE2953">
        <w:rPr>
          <w:rFonts w:cstheme="minorHAnsi"/>
        </w:rPr>
        <w:t>March 2018 to 31</w:t>
      </w:r>
      <w:r w:rsidR="00BB147E" w:rsidRPr="00EE2953">
        <w:rPr>
          <w:rFonts w:cstheme="minorHAnsi"/>
          <w:vertAlign w:val="superscript"/>
        </w:rPr>
        <w:t>st</w:t>
      </w:r>
      <w:r w:rsidR="00BB147E" w:rsidRPr="00EE2953">
        <w:rPr>
          <w:rFonts w:cstheme="minorHAnsi"/>
        </w:rPr>
        <w:t xml:space="preserve"> </w:t>
      </w:r>
      <w:r w:rsidR="00995608" w:rsidRPr="00EE2953">
        <w:rPr>
          <w:rFonts w:cstheme="minorHAnsi"/>
        </w:rPr>
        <w:t xml:space="preserve">May 2019 </w:t>
      </w:r>
      <w:bookmarkEnd w:id="6"/>
      <w:r w:rsidR="00995608" w:rsidRPr="00EE2953">
        <w:rPr>
          <w:rFonts w:cstheme="minorHAnsi"/>
        </w:rPr>
        <w:t xml:space="preserve">was chosen to include coverage </w:t>
      </w:r>
      <w:r w:rsidR="00CA4DA7" w:rsidRPr="00EE2953">
        <w:rPr>
          <w:rFonts w:cstheme="minorHAnsi"/>
        </w:rPr>
        <w:t>driven</w:t>
      </w:r>
      <w:r w:rsidR="00995608" w:rsidRPr="00EE2953">
        <w:rPr>
          <w:rFonts w:cstheme="minorHAnsi"/>
        </w:rPr>
        <w:t xml:space="preserve"> by: (i) the launch of </w:t>
      </w:r>
      <w:r w:rsidRPr="00EE2953">
        <w:rPr>
          <w:rFonts w:cstheme="minorHAnsi"/>
        </w:rPr>
        <w:t>the</w:t>
      </w:r>
      <w:r w:rsidR="00995608" w:rsidRPr="00EE2953">
        <w:rPr>
          <w:rFonts w:cstheme="minorHAnsi"/>
        </w:rPr>
        <w:t xml:space="preserve"> public consultation on the ban </w:t>
      </w:r>
      <w:r w:rsidR="000021BA" w:rsidRPr="00EE2953">
        <w:rPr>
          <w:rFonts w:cstheme="minorHAnsi"/>
        </w:rPr>
        <w:t>in May 2018</w:t>
      </w:r>
      <w:r w:rsidR="00995608" w:rsidRPr="00EE2953">
        <w:rPr>
          <w:rFonts w:cstheme="minorHAnsi"/>
        </w:rPr>
        <w:t xml:space="preserve">; (ii) the </w:t>
      </w:r>
      <w:r w:rsidR="00DF1314" w:rsidRPr="00EE2953">
        <w:rPr>
          <w:rFonts w:cstheme="minorHAnsi"/>
        </w:rPr>
        <w:t xml:space="preserve">confirmation </w:t>
      </w:r>
      <w:r w:rsidR="00995608" w:rsidRPr="00EE2953">
        <w:rPr>
          <w:rFonts w:cstheme="minorHAnsi"/>
        </w:rPr>
        <w:t xml:space="preserve">of the ban in November 2018; and (iii) the implementation of the ban </w:t>
      </w:r>
      <w:r w:rsidR="000021BA" w:rsidRPr="00EE2953">
        <w:rPr>
          <w:rFonts w:cstheme="minorHAnsi"/>
        </w:rPr>
        <w:t xml:space="preserve">in </w:t>
      </w:r>
      <w:r w:rsidR="00995608" w:rsidRPr="00EE2953">
        <w:rPr>
          <w:rFonts w:cstheme="minorHAnsi"/>
        </w:rPr>
        <w:t>February 2019.</w:t>
      </w:r>
      <w:r w:rsidR="00252F11" w:rsidRPr="00EE2953">
        <w:rPr>
          <w:rFonts w:cstheme="minorHAnsi"/>
        </w:rPr>
        <w:t xml:space="preserve"> </w:t>
      </w:r>
      <w:r w:rsidR="00B92BB4" w:rsidRPr="00EE2953">
        <w:rPr>
          <w:rFonts w:cstheme="minorHAnsi"/>
        </w:rPr>
        <w:t xml:space="preserve"> </w:t>
      </w:r>
      <w:r w:rsidR="00D55A85" w:rsidRPr="00EE2953">
        <w:t xml:space="preserve">The </w:t>
      </w:r>
      <w:r w:rsidR="004F27C3" w:rsidRPr="00EE2953">
        <w:t xml:space="preserve">Factiva </w:t>
      </w:r>
      <w:r w:rsidR="00D55A85" w:rsidRPr="00EE2953">
        <w:t xml:space="preserve">database </w:t>
      </w:r>
      <w:r w:rsidR="00D55A85" w:rsidRPr="00EE2953">
        <w:rPr>
          <w:rFonts w:cstheme="minorHAnsi"/>
        </w:rPr>
        <w:t>(</w:t>
      </w:r>
      <w:hyperlink r:id="rId12" w:history="1">
        <w:r w:rsidR="004F27C3" w:rsidRPr="00EE2953">
          <w:rPr>
            <w:rStyle w:val="Hyperlink"/>
            <w:rFonts w:cstheme="minorHAnsi"/>
          </w:rPr>
          <w:t>https://professional.dowjones.com/factiva/</w:t>
        </w:r>
      </w:hyperlink>
      <w:r w:rsidR="00D55A85" w:rsidRPr="00EE2953">
        <w:rPr>
          <w:rFonts w:cstheme="minorHAnsi"/>
        </w:rPr>
        <w:t xml:space="preserve">) </w:t>
      </w:r>
      <w:r w:rsidRPr="00EE2953">
        <w:rPr>
          <w:rFonts w:cstheme="minorHAnsi"/>
        </w:rPr>
        <w:t xml:space="preserve">was searched for all articles published </w:t>
      </w:r>
      <w:r w:rsidR="002E3EF4" w:rsidRPr="00EE2953">
        <w:rPr>
          <w:rFonts w:cstheme="minorHAnsi"/>
        </w:rPr>
        <w:t>during</w:t>
      </w:r>
      <w:r w:rsidR="00AE27AB" w:rsidRPr="00EE2953">
        <w:rPr>
          <w:rFonts w:cstheme="minorHAnsi"/>
        </w:rPr>
        <w:t xml:space="preserve"> this period</w:t>
      </w:r>
      <w:r w:rsidRPr="00EE2953">
        <w:rPr>
          <w:rFonts w:cstheme="minorHAnsi"/>
        </w:rPr>
        <w:t>.</w:t>
      </w:r>
      <w:r w:rsidR="002B542C" w:rsidRPr="00EE2953">
        <w:rPr>
          <w:rFonts w:cstheme="minorHAnsi"/>
        </w:rPr>
        <w:t xml:space="preserve">  This database aggregates </w:t>
      </w:r>
      <w:r w:rsidR="005013D5" w:rsidRPr="00EE2953">
        <w:rPr>
          <w:rFonts w:cstheme="minorHAnsi"/>
        </w:rPr>
        <w:t xml:space="preserve">content from both licensed and free sources, including newspapers, journals, and more than 600 continuously updated newswires.  </w:t>
      </w:r>
      <w:r w:rsidRPr="00EE2953">
        <w:rPr>
          <w:rFonts w:cstheme="minorHAnsi"/>
        </w:rPr>
        <w:t xml:space="preserve">To identify relevant articles, a search string was developed as follows: ("Transport for London" or </w:t>
      </w:r>
      <w:r w:rsidR="00466CA5" w:rsidRPr="00EE2953">
        <w:rPr>
          <w:rFonts w:cstheme="minorHAnsi"/>
        </w:rPr>
        <w:t>“</w:t>
      </w:r>
      <w:r w:rsidRPr="00EE2953">
        <w:rPr>
          <w:rFonts w:cstheme="minorHAnsi"/>
        </w:rPr>
        <w:t>TfL</w:t>
      </w:r>
      <w:r w:rsidR="00466CA5" w:rsidRPr="00EE2953">
        <w:rPr>
          <w:rFonts w:cstheme="minorHAnsi"/>
        </w:rPr>
        <w:t>”</w:t>
      </w:r>
      <w:r w:rsidRPr="00EE2953">
        <w:rPr>
          <w:rFonts w:cstheme="minorHAnsi"/>
        </w:rPr>
        <w:t xml:space="preserve"> or "Mayor of London" or "Khan") and </w:t>
      </w:r>
      <w:r w:rsidR="001544B7" w:rsidRPr="00EE2953">
        <w:rPr>
          <w:rFonts w:cstheme="minorHAnsi"/>
        </w:rPr>
        <w:t>(</w:t>
      </w:r>
      <w:r w:rsidRPr="00EE2953">
        <w:rPr>
          <w:rFonts w:cstheme="minorHAnsi"/>
        </w:rPr>
        <w:t>ban</w:t>
      </w:r>
      <w:r w:rsidR="001544B7" w:rsidRPr="00EE2953">
        <w:rPr>
          <w:rFonts w:cstheme="minorHAnsi"/>
        </w:rPr>
        <w:t>)</w:t>
      </w:r>
      <w:r w:rsidRPr="00EE2953">
        <w:rPr>
          <w:rFonts w:cstheme="minorHAnsi"/>
        </w:rPr>
        <w:t xml:space="preserve"> and (advert*or ads) and (junk or HFSS) and (food* or beverage or drink*)</w:t>
      </w:r>
      <w:r w:rsidR="00C81395" w:rsidRPr="00EE2953">
        <w:rPr>
          <w:rFonts w:cstheme="minorHAnsi"/>
        </w:rPr>
        <w:t>.</w:t>
      </w:r>
      <w:r w:rsidR="002D06A9" w:rsidRPr="00EE2953">
        <w:rPr>
          <w:rFonts w:cstheme="minorHAnsi"/>
        </w:rPr>
        <w:t xml:space="preserve">  The search terms where</w:t>
      </w:r>
      <w:r w:rsidR="002D06A9" w:rsidRPr="006D13B1">
        <w:rPr>
          <w:rFonts w:cstheme="minorHAnsi"/>
        </w:rPr>
        <w:t xml:space="preserve"> applied to the whole text (not just the headlines).</w:t>
      </w:r>
      <w:r w:rsidR="005B68A5" w:rsidRPr="006D13B1">
        <w:rPr>
          <w:rFonts w:cstheme="minorHAnsi"/>
        </w:rPr>
        <w:t xml:space="preserve"> </w:t>
      </w:r>
      <w:r w:rsidR="002D06A9" w:rsidRPr="006D13B1">
        <w:rPr>
          <w:rFonts w:cstheme="minorHAnsi"/>
        </w:rPr>
        <w:t xml:space="preserve"> </w:t>
      </w:r>
      <w:r w:rsidR="00C81395" w:rsidRPr="006D13B1">
        <w:rPr>
          <w:rFonts w:cstheme="minorHAnsi"/>
        </w:rPr>
        <w:t>T</w:t>
      </w:r>
      <w:r w:rsidR="004F27C3" w:rsidRPr="006D13B1">
        <w:rPr>
          <w:rFonts w:cstheme="minorHAnsi"/>
        </w:rPr>
        <w:t>o support triangulation, t</w:t>
      </w:r>
      <w:r w:rsidR="00C81395" w:rsidRPr="006D13B1">
        <w:rPr>
          <w:rFonts w:cstheme="minorHAnsi"/>
        </w:rPr>
        <w:t xml:space="preserve">he </w:t>
      </w:r>
      <w:r w:rsidR="00186AE8" w:rsidRPr="006D13B1">
        <w:rPr>
          <w:rFonts w:cstheme="minorHAnsi"/>
        </w:rPr>
        <w:t xml:space="preserve">database </w:t>
      </w:r>
      <w:r w:rsidR="006C2A4F" w:rsidRPr="006D13B1">
        <w:rPr>
          <w:rFonts w:cstheme="minorHAnsi"/>
        </w:rPr>
        <w:t>search</w:t>
      </w:r>
      <w:r w:rsidR="00A47B8D" w:rsidRPr="006D13B1">
        <w:rPr>
          <w:rFonts w:cstheme="minorHAnsi"/>
        </w:rPr>
        <w:t xml:space="preserve"> </w:t>
      </w:r>
      <w:r w:rsidR="00C81395" w:rsidRPr="006D13B1">
        <w:rPr>
          <w:rFonts w:cstheme="minorHAnsi"/>
        </w:rPr>
        <w:t xml:space="preserve">was </w:t>
      </w:r>
      <w:r w:rsidR="00C81395" w:rsidRPr="00EE2953">
        <w:rPr>
          <w:rFonts w:cstheme="minorHAnsi"/>
        </w:rPr>
        <w:t>comple</w:t>
      </w:r>
      <w:r w:rsidR="006C2A4F" w:rsidRPr="00EE2953">
        <w:rPr>
          <w:rFonts w:cstheme="minorHAnsi"/>
        </w:rPr>
        <w:t>mented</w:t>
      </w:r>
      <w:r w:rsidR="00C81395" w:rsidRPr="00EE2953">
        <w:rPr>
          <w:rFonts w:cstheme="minorHAnsi"/>
        </w:rPr>
        <w:t xml:space="preserve"> </w:t>
      </w:r>
      <w:r w:rsidR="00E31A7E" w:rsidRPr="00EE2953">
        <w:rPr>
          <w:rFonts w:cstheme="minorHAnsi"/>
        </w:rPr>
        <w:t xml:space="preserve">by </w:t>
      </w:r>
      <w:r w:rsidR="006C2A4F" w:rsidRPr="00EE2953">
        <w:rPr>
          <w:rFonts w:cstheme="minorHAnsi"/>
        </w:rPr>
        <w:t>a</w:t>
      </w:r>
      <w:r w:rsidR="00C81395" w:rsidRPr="00EE2953">
        <w:rPr>
          <w:rFonts w:cstheme="minorHAnsi"/>
        </w:rPr>
        <w:t xml:space="preserve"> more targeted manual search on</w:t>
      </w:r>
      <w:r w:rsidR="000946AC" w:rsidRPr="00EE2953">
        <w:rPr>
          <w:rFonts w:cstheme="minorHAnsi"/>
        </w:rPr>
        <w:t>:</w:t>
      </w:r>
      <w:r w:rsidR="00C81395" w:rsidRPr="00EE2953">
        <w:rPr>
          <w:rFonts w:cstheme="minorHAnsi"/>
        </w:rPr>
        <w:t xml:space="preserve"> </w:t>
      </w:r>
      <w:r w:rsidR="003B1916" w:rsidRPr="00EE2953">
        <w:rPr>
          <w:rFonts w:cstheme="minorHAnsi"/>
        </w:rPr>
        <w:t>G</w:t>
      </w:r>
      <w:r w:rsidR="002016B6" w:rsidRPr="00EE2953">
        <w:rPr>
          <w:rFonts w:cstheme="minorHAnsi"/>
        </w:rPr>
        <w:t xml:space="preserve">oogle </w:t>
      </w:r>
      <w:r w:rsidR="003B1916" w:rsidRPr="00EE2953">
        <w:rPr>
          <w:rFonts w:cstheme="minorHAnsi"/>
        </w:rPr>
        <w:t>N</w:t>
      </w:r>
      <w:r w:rsidR="002016B6" w:rsidRPr="00EE2953">
        <w:rPr>
          <w:rFonts w:cstheme="minorHAnsi"/>
        </w:rPr>
        <w:t>ews</w:t>
      </w:r>
      <w:r w:rsidR="000946AC" w:rsidRPr="00EE2953">
        <w:rPr>
          <w:rFonts w:cstheme="minorHAnsi"/>
        </w:rPr>
        <w:t>;</w:t>
      </w:r>
      <w:r w:rsidR="006C2A4F" w:rsidRPr="00EE2953">
        <w:rPr>
          <w:rFonts w:cstheme="minorHAnsi"/>
        </w:rPr>
        <w:t xml:space="preserve"> </w:t>
      </w:r>
      <w:r w:rsidR="00B02344" w:rsidRPr="00EE2953">
        <w:rPr>
          <w:rFonts w:cstheme="minorHAnsi"/>
        </w:rPr>
        <w:t>U</w:t>
      </w:r>
      <w:r w:rsidR="00915B69" w:rsidRPr="00EE2953">
        <w:rPr>
          <w:rFonts w:cstheme="minorHAnsi"/>
        </w:rPr>
        <w:t>K-</w:t>
      </w:r>
      <w:r w:rsidR="006C2A4F" w:rsidRPr="00EE2953">
        <w:rPr>
          <w:rFonts w:cstheme="minorHAnsi"/>
        </w:rPr>
        <w:t>specific</w:t>
      </w:r>
      <w:r w:rsidR="00DC3B4C" w:rsidRPr="00EE2953">
        <w:rPr>
          <w:rFonts w:cstheme="minorHAnsi"/>
        </w:rPr>
        <w:t xml:space="preserve"> </w:t>
      </w:r>
      <w:r w:rsidR="00C81395" w:rsidRPr="00EE2953">
        <w:rPr>
          <w:rFonts w:cstheme="minorHAnsi"/>
        </w:rPr>
        <w:t>newspaper</w:t>
      </w:r>
      <w:r w:rsidR="00DC3B4C" w:rsidRPr="00EE2953">
        <w:rPr>
          <w:rFonts w:cstheme="minorHAnsi"/>
        </w:rPr>
        <w:t>s</w:t>
      </w:r>
      <w:r w:rsidR="00347C3C" w:rsidRPr="00EE2953">
        <w:rPr>
          <w:rFonts w:cstheme="minorHAnsi"/>
        </w:rPr>
        <w:t xml:space="preserve"> and </w:t>
      </w:r>
      <w:r w:rsidR="00AA37A0" w:rsidRPr="00EE2953">
        <w:rPr>
          <w:rFonts w:cstheme="minorHAnsi"/>
        </w:rPr>
        <w:t>UK-specific</w:t>
      </w:r>
      <w:r w:rsidR="00681149" w:rsidRPr="00EE2953">
        <w:rPr>
          <w:rFonts w:cstheme="minorHAnsi"/>
        </w:rPr>
        <w:t xml:space="preserve"> editions</w:t>
      </w:r>
      <w:r w:rsidR="00CE296C" w:rsidRPr="00EE2953">
        <w:rPr>
          <w:rFonts w:cstheme="minorHAnsi"/>
        </w:rPr>
        <w:t xml:space="preserve"> of </w:t>
      </w:r>
      <w:r w:rsidR="00274714" w:rsidRPr="00EE2953">
        <w:rPr>
          <w:rFonts w:cstheme="minorHAnsi"/>
        </w:rPr>
        <w:t>newspaper</w:t>
      </w:r>
      <w:r w:rsidR="00CE296C" w:rsidRPr="00EE2953">
        <w:rPr>
          <w:rFonts w:cstheme="minorHAnsi"/>
        </w:rPr>
        <w:t>s</w:t>
      </w:r>
      <w:r w:rsidR="006C2A4F" w:rsidRPr="00EE2953">
        <w:rPr>
          <w:rFonts w:cstheme="minorHAnsi"/>
          <w:color w:val="FF0000"/>
        </w:rPr>
        <w:t xml:space="preserve"> </w:t>
      </w:r>
      <w:r w:rsidR="00771FA3" w:rsidRPr="00EE2953">
        <w:rPr>
          <w:rFonts w:cstheme="minorHAnsi"/>
        </w:rPr>
        <w:t>(</w:t>
      </w:r>
      <w:r w:rsidR="00343FE2" w:rsidRPr="00EE2953">
        <w:rPr>
          <w:rFonts w:cstheme="minorHAnsi"/>
        </w:rPr>
        <w:t>Metro, Spiked, Huffington Post, Breitbart,</w:t>
      </w:r>
      <w:r w:rsidR="00E8638E" w:rsidRPr="00EE2953">
        <w:rPr>
          <w:rFonts w:cstheme="minorHAnsi"/>
        </w:rPr>
        <w:t xml:space="preserve"> The Spectator, iNews</w:t>
      </w:r>
      <w:r w:rsidR="00771FA3" w:rsidRPr="00EE2953">
        <w:rPr>
          <w:rFonts w:cstheme="minorHAnsi"/>
        </w:rPr>
        <w:t>)</w:t>
      </w:r>
      <w:r w:rsidR="000946AC" w:rsidRPr="00EE2953">
        <w:rPr>
          <w:rFonts w:cstheme="minorHAnsi"/>
        </w:rPr>
        <w:t>;</w:t>
      </w:r>
      <w:r w:rsidR="00771FA3" w:rsidRPr="00EE2953">
        <w:rPr>
          <w:rFonts w:cstheme="minorHAnsi"/>
        </w:rPr>
        <w:t xml:space="preserve"> </w:t>
      </w:r>
      <w:r w:rsidR="006C2A4F" w:rsidRPr="00EE2953">
        <w:rPr>
          <w:rFonts w:cstheme="minorHAnsi"/>
        </w:rPr>
        <w:t xml:space="preserve">trade </w:t>
      </w:r>
      <w:r w:rsidR="00771FA3" w:rsidRPr="00EE2953">
        <w:rPr>
          <w:rFonts w:cstheme="minorHAnsi"/>
        </w:rPr>
        <w:t>press (</w:t>
      </w:r>
      <w:r w:rsidR="00343FE2" w:rsidRPr="00EE2953">
        <w:rPr>
          <w:rFonts w:cstheme="minorHAnsi"/>
        </w:rPr>
        <w:t xml:space="preserve">Campaign Live, The Drum, </w:t>
      </w:r>
      <w:r w:rsidR="00E8638E" w:rsidRPr="00EE2953">
        <w:rPr>
          <w:rFonts w:cstheme="minorHAnsi"/>
        </w:rPr>
        <w:t xml:space="preserve">Farmers Guardian, Eater London, </w:t>
      </w:r>
      <w:r w:rsidR="00E21A2C" w:rsidRPr="00EE2953">
        <w:rPr>
          <w:rFonts w:cstheme="minorHAnsi"/>
        </w:rPr>
        <w:t xml:space="preserve">and </w:t>
      </w:r>
      <w:r w:rsidR="00E8638E" w:rsidRPr="00EE2953">
        <w:rPr>
          <w:rFonts w:cstheme="minorHAnsi"/>
        </w:rPr>
        <w:t>The Caterer</w:t>
      </w:r>
      <w:r w:rsidR="00771FA3" w:rsidRPr="00EE2953">
        <w:rPr>
          <w:rFonts w:cstheme="minorHAnsi"/>
        </w:rPr>
        <w:t>)</w:t>
      </w:r>
      <w:r w:rsidR="000946AC" w:rsidRPr="00EE2953">
        <w:rPr>
          <w:rFonts w:cstheme="minorHAnsi"/>
        </w:rPr>
        <w:t>;</w:t>
      </w:r>
      <w:r w:rsidR="00F63810" w:rsidRPr="00EE2953">
        <w:rPr>
          <w:rFonts w:cstheme="minorHAnsi"/>
        </w:rPr>
        <w:t xml:space="preserve"> and news</w:t>
      </w:r>
      <w:r w:rsidR="00771FA3" w:rsidRPr="00EE2953">
        <w:rPr>
          <w:rFonts w:cstheme="minorHAnsi"/>
        </w:rPr>
        <w:t xml:space="preserve"> </w:t>
      </w:r>
      <w:r w:rsidR="006C2A4F" w:rsidRPr="00EE2953">
        <w:rPr>
          <w:rFonts w:cstheme="minorHAnsi"/>
        </w:rPr>
        <w:t>websites</w:t>
      </w:r>
      <w:r w:rsidR="00C81395" w:rsidRPr="00EE2953">
        <w:rPr>
          <w:rFonts w:cstheme="minorHAnsi"/>
        </w:rPr>
        <w:t xml:space="preserve"> </w:t>
      </w:r>
      <w:r w:rsidR="006C2A4F" w:rsidRPr="00EE2953">
        <w:rPr>
          <w:rFonts w:cstheme="minorHAnsi"/>
        </w:rPr>
        <w:t>a</w:t>
      </w:r>
      <w:r w:rsidR="00C81395" w:rsidRPr="00EE2953">
        <w:rPr>
          <w:rFonts w:cstheme="minorHAnsi"/>
        </w:rPr>
        <w:t>bsent from</w:t>
      </w:r>
      <w:r w:rsidR="006C2A4F" w:rsidRPr="00EE2953">
        <w:rPr>
          <w:rFonts w:cstheme="minorHAnsi"/>
        </w:rPr>
        <w:t xml:space="preserve"> </w:t>
      </w:r>
      <w:r w:rsidR="00C81395" w:rsidRPr="00EE2953">
        <w:rPr>
          <w:rFonts w:cstheme="minorHAnsi"/>
        </w:rPr>
        <w:t>Factiva.</w:t>
      </w:r>
      <w:r w:rsidR="00682F7A" w:rsidRPr="00EE2953">
        <w:rPr>
          <w:rFonts w:cstheme="minorHAnsi"/>
        </w:rPr>
        <w:t xml:space="preserve">  </w:t>
      </w:r>
      <w:bookmarkStart w:id="7" w:name="_Hlk69565206"/>
      <w:r w:rsidR="00104023" w:rsidRPr="00EE2953">
        <w:t>The particular metadata extracted were: publication date; publication name; headline; journalist’s name (if given).  These were extracted so that we could: ensure that the date of publication fell within our search period; accurately quote the publication name in our results; and ascertain whether the whole article was about the ban or a reference to the ban was made when reporting on something else.</w:t>
      </w:r>
      <w:bookmarkEnd w:id="7"/>
    </w:p>
    <w:p w14:paraId="44AE5F66" w14:textId="52EDB329" w:rsidR="00C81395" w:rsidRPr="00EE2953" w:rsidRDefault="00C81395" w:rsidP="00104023">
      <w:pPr>
        <w:tabs>
          <w:tab w:val="left" w:pos="9026"/>
        </w:tabs>
        <w:spacing w:after="0" w:line="360" w:lineRule="auto"/>
        <w:contextualSpacing/>
        <w:rPr>
          <w:rFonts w:cstheme="minorHAnsi"/>
        </w:rPr>
      </w:pPr>
    </w:p>
    <w:p w14:paraId="6DA4F208" w14:textId="00D8F7A6" w:rsidR="00A15801" w:rsidRPr="00EE2953" w:rsidRDefault="00A15801" w:rsidP="000D3920">
      <w:pPr>
        <w:spacing w:after="0" w:line="360" w:lineRule="auto"/>
        <w:rPr>
          <w:rFonts w:cstheme="minorHAnsi"/>
        </w:rPr>
      </w:pPr>
    </w:p>
    <w:p w14:paraId="1050E90F" w14:textId="41A38645" w:rsidR="00747A05" w:rsidRPr="00EE2953" w:rsidRDefault="00A95923" w:rsidP="000D3920">
      <w:pPr>
        <w:spacing w:after="0" w:line="360" w:lineRule="auto"/>
        <w:rPr>
          <w:b/>
          <w:i/>
        </w:rPr>
      </w:pPr>
      <w:r w:rsidRPr="00EE2953">
        <w:rPr>
          <w:b/>
          <w:i/>
        </w:rPr>
        <w:t xml:space="preserve">2.3 </w:t>
      </w:r>
      <w:r w:rsidR="00FF391A" w:rsidRPr="00EE2953">
        <w:rPr>
          <w:b/>
          <w:i/>
        </w:rPr>
        <w:t>Article selection</w:t>
      </w:r>
    </w:p>
    <w:p w14:paraId="34AD5F16" w14:textId="0B3C0A5E" w:rsidR="00940350" w:rsidRPr="00EE2953" w:rsidRDefault="00646738" w:rsidP="000D3920">
      <w:pPr>
        <w:spacing w:after="0" w:line="360" w:lineRule="auto"/>
        <w:rPr>
          <w:rFonts w:cstheme="minorHAnsi"/>
        </w:rPr>
      </w:pPr>
      <w:r w:rsidRPr="00EE2953">
        <w:rPr>
          <w:rFonts w:cstheme="minorHAnsi"/>
        </w:rPr>
        <w:t>The search elicited a total of 3</w:t>
      </w:r>
      <w:r w:rsidR="004D3624" w:rsidRPr="00EE2953">
        <w:rPr>
          <w:rFonts w:cstheme="minorHAnsi"/>
        </w:rPr>
        <w:t>4</w:t>
      </w:r>
      <w:r w:rsidRPr="00EE2953">
        <w:rPr>
          <w:rFonts w:cstheme="minorHAnsi"/>
        </w:rPr>
        <w:t>3 articles</w:t>
      </w:r>
      <w:r w:rsidR="00FF391A" w:rsidRPr="00EE2953">
        <w:rPr>
          <w:rFonts w:cstheme="minorHAnsi"/>
        </w:rPr>
        <w:t>, which were reviewed independently by t</w:t>
      </w:r>
      <w:r w:rsidR="00A110BA" w:rsidRPr="00EE2953">
        <w:rPr>
          <w:rFonts w:cstheme="minorHAnsi"/>
        </w:rPr>
        <w:t>wo researchers</w:t>
      </w:r>
      <w:r w:rsidR="00331E42" w:rsidRPr="00EE2953">
        <w:rPr>
          <w:rFonts w:cstheme="minorHAnsi"/>
        </w:rPr>
        <w:t xml:space="preserve"> </w:t>
      </w:r>
      <w:r w:rsidR="006C43F4" w:rsidRPr="00EE2953">
        <w:rPr>
          <w:rFonts w:cstheme="minorHAnsi"/>
        </w:rPr>
        <w:t>(</w:t>
      </w:r>
      <w:r w:rsidR="00E8638E" w:rsidRPr="00EE2953">
        <w:rPr>
          <w:rFonts w:cstheme="minorHAnsi"/>
        </w:rPr>
        <w:t>CC</w:t>
      </w:r>
      <w:r w:rsidR="00A110BA" w:rsidRPr="00EE2953">
        <w:rPr>
          <w:rFonts w:cstheme="minorHAnsi"/>
        </w:rPr>
        <w:t xml:space="preserve"> and VE</w:t>
      </w:r>
      <w:r w:rsidR="006C43F4" w:rsidRPr="00EE2953">
        <w:rPr>
          <w:rFonts w:cstheme="minorHAnsi"/>
        </w:rPr>
        <w:t xml:space="preserve">) </w:t>
      </w:r>
      <w:r w:rsidR="00FF391A" w:rsidRPr="00EE2953">
        <w:rPr>
          <w:rFonts w:cstheme="minorHAnsi"/>
        </w:rPr>
        <w:t>for relevance.</w:t>
      </w:r>
      <w:r w:rsidR="00E8638E" w:rsidRPr="00EE2953">
        <w:rPr>
          <w:rFonts w:cstheme="minorHAnsi"/>
        </w:rPr>
        <w:t xml:space="preserve"> </w:t>
      </w:r>
      <w:r w:rsidR="00FF6E82" w:rsidRPr="00EE2953">
        <w:rPr>
          <w:rFonts w:cstheme="minorHAnsi"/>
        </w:rPr>
        <w:t xml:space="preserve"> Articles were excluded if they</w:t>
      </w:r>
      <w:r w:rsidR="002016B6" w:rsidRPr="00EE2953">
        <w:rPr>
          <w:rFonts w:cstheme="minorHAnsi"/>
        </w:rPr>
        <w:t xml:space="preserve"> </w:t>
      </w:r>
      <w:r w:rsidR="00FF6E82" w:rsidRPr="00EE2953">
        <w:rPr>
          <w:rFonts w:cstheme="minorHAnsi"/>
        </w:rPr>
        <w:t xml:space="preserve">did </w:t>
      </w:r>
      <w:r w:rsidR="003B1916" w:rsidRPr="00EE2953">
        <w:rPr>
          <w:rFonts w:cstheme="minorHAnsi"/>
        </w:rPr>
        <w:t xml:space="preserve">not </w:t>
      </w:r>
      <w:r w:rsidR="00213745" w:rsidRPr="00EE2953">
        <w:rPr>
          <w:rFonts w:cstheme="minorHAnsi"/>
        </w:rPr>
        <w:t>explicitly</w:t>
      </w:r>
      <w:r w:rsidR="00523930" w:rsidRPr="00EE2953">
        <w:rPr>
          <w:rFonts w:cstheme="minorHAnsi"/>
        </w:rPr>
        <w:t xml:space="preserve"> </w:t>
      </w:r>
      <w:r w:rsidR="00A47B8D" w:rsidRPr="00EE2953">
        <w:rPr>
          <w:rFonts w:cstheme="minorHAnsi"/>
        </w:rPr>
        <w:t xml:space="preserve">mention </w:t>
      </w:r>
      <w:r w:rsidR="00FF6E82" w:rsidRPr="00EE2953">
        <w:rPr>
          <w:rFonts w:cstheme="minorHAnsi"/>
        </w:rPr>
        <w:t xml:space="preserve">the </w:t>
      </w:r>
      <w:r w:rsidR="006C0D7B" w:rsidRPr="00EE2953">
        <w:rPr>
          <w:rFonts w:cstheme="minorHAnsi"/>
        </w:rPr>
        <w:t>ban</w:t>
      </w:r>
      <w:r w:rsidR="00A47B8D" w:rsidRPr="00EE2953">
        <w:rPr>
          <w:rFonts w:cstheme="minorHAnsi"/>
        </w:rPr>
        <w:t xml:space="preserve">. Articles published in </w:t>
      </w:r>
      <w:r w:rsidR="00FF6E82" w:rsidRPr="00EE2953">
        <w:rPr>
          <w:rFonts w:cstheme="minorHAnsi"/>
        </w:rPr>
        <w:t>non-news sections, including letters and opinion pages</w:t>
      </w:r>
      <w:r w:rsidR="00331E42" w:rsidRPr="00EE2953">
        <w:rPr>
          <w:rFonts w:cstheme="minorHAnsi"/>
        </w:rPr>
        <w:t>,</w:t>
      </w:r>
      <w:r w:rsidR="00A47B8D" w:rsidRPr="00EE2953">
        <w:rPr>
          <w:rFonts w:cstheme="minorHAnsi"/>
        </w:rPr>
        <w:t xml:space="preserve"> were retained only if they</w:t>
      </w:r>
      <w:r w:rsidR="00E8638E" w:rsidRPr="00EE2953">
        <w:rPr>
          <w:rFonts w:cstheme="minorHAnsi"/>
        </w:rPr>
        <w:t xml:space="preserve"> reported on or referenced </w:t>
      </w:r>
      <w:r w:rsidR="00FF6E82" w:rsidRPr="00EE2953">
        <w:rPr>
          <w:rFonts w:cstheme="minorHAnsi"/>
        </w:rPr>
        <w:t xml:space="preserve">the views of </w:t>
      </w:r>
      <w:r w:rsidR="000575D6" w:rsidRPr="00EE2953">
        <w:rPr>
          <w:rFonts w:cstheme="minorHAnsi"/>
        </w:rPr>
        <w:t xml:space="preserve">prominent </w:t>
      </w:r>
      <w:r w:rsidR="00FF6E82" w:rsidRPr="00EE2953">
        <w:rPr>
          <w:rFonts w:cstheme="minorHAnsi"/>
        </w:rPr>
        <w:t>stakeholders</w:t>
      </w:r>
      <w:r w:rsidR="000575D6" w:rsidRPr="00EE2953">
        <w:rPr>
          <w:rFonts w:cstheme="minorHAnsi"/>
        </w:rPr>
        <w:t xml:space="preserve"> and commentators</w:t>
      </w:r>
      <w:r w:rsidR="00A47B8D" w:rsidRPr="00EE2953">
        <w:rPr>
          <w:rFonts w:cstheme="minorHAnsi"/>
        </w:rPr>
        <w:t xml:space="preserve"> (including celebrities</w:t>
      </w:r>
      <w:r w:rsidR="000575D6" w:rsidRPr="00EE2953">
        <w:rPr>
          <w:rFonts w:cstheme="minorHAnsi"/>
        </w:rPr>
        <w:t>,</w:t>
      </w:r>
      <w:r w:rsidR="00A47B8D" w:rsidRPr="00EE2953">
        <w:rPr>
          <w:rFonts w:cstheme="minorHAnsi"/>
        </w:rPr>
        <w:t xml:space="preserve"> </w:t>
      </w:r>
      <w:r w:rsidR="000575D6" w:rsidRPr="00EE2953">
        <w:rPr>
          <w:rFonts w:cstheme="minorHAnsi"/>
        </w:rPr>
        <w:t xml:space="preserve">high-profile </w:t>
      </w:r>
      <w:r w:rsidR="00331E42" w:rsidRPr="00EE2953">
        <w:rPr>
          <w:rFonts w:cstheme="minorHAnsi"/>
        </w:rPr>
        <w:t xml:space="preserve">commercial </w:t>
      </w:r>
      <w:r w:rsidR="000575D6" w:rsidRPr="00EE2953">
        <w:rPr>
          <w:rFonts w:cstheme="minorHAnsi"/>
        </w:rPr>
        <w:t xml:space="preserve">spokespeople, and </w:t>
      </w:r>
      <w:r w:rsidR="00A47B8D" w:rsidRPr="00EE2953">
        <w:rPr>
          <w:rFonts w:cstheme="minorHAnsi"/>
        </w:rPr>
        <w:t>public sector</w:t>
      </w:r>
      <w:r w:rsidR="000575D6" w:rsidRPr="00EE2953">
        <w:rPr>
          <w:rFonts w:cstheme="minorHAnsi"/>
        </w:rPr>
        <w:t xml:space="preserve"> leaders</w:t>
      </w:r>
      <w:r w:rsidR="00A47B8D" w:rsidRPr="00EE2953">
        <w:rPr>
          <w:rFonts w:cstheme="minorHAnsi"/>
        </w:rPr>
        <w:t>)</w:t>
      </w:r>
      <w:r w:rsidR="00FF6E82" w:rsidRPr="00EE2953">
        <w:rPr>
          <w:rFonts w:cstheme="minorHAnsi"/>
        </w:rPr>
        <w:t>.</w:t>
      </w:r>
      <w:r w:rsidR="00A47B8D" w:rsidRPr="00EE2953">
        <w:rPr>
          <w:rFonts w:cstheme="minorHAnsi"/>
        </w:rPr>
        <w:t xml:space="preserve"> </w:t>
      </w:r>
      <w:r w:rsidR="000575D6" w:rsidRPr="00EE2953">
        <w:rPr>
          <w:rFonts w:cstheme="minorHAnsi"/>
        </w:rPr>
        <w:t xml:space="preserve"> </w:t>
      </w:r>
      <w:r w:rsidR="00FF391A" w:rsidRPr="00EE2953">
        <w:t xml:space="preserve">Where </w:t>
      </w:r>
      <w:r w:rsidR="00D07368" w:rsidRPr="00EE2953">
        <w:t>discrepancies</w:t>
      </w:r>
      <w:r w:rsidR="00FF391A" w:rsidRPr="00EE2953">
        <w:t xml:space="preserve"> </w:t>
      </w:r>
      <w:r w:rsidR="00A47B8D" w:rsidRPr="00EE2953">
        <w:t>between</w:t>
      </w:r>
      <w:r w:rsidR="00FF391A" w:rsidRPr="00EE2953">
        <w:t xml:space="preserve"> the reviewers </w:t>
      </w:r>
      <w:r w:rsidR="003D3683" w:rsidRPr="00EE2953">
        <w:t xml:space="preserve">about whether to include an article </w:t>
      </w:r>
      <w:r w:rsidR="00A47B8D" w:rsidRPr="00EE2953">
        <w:t>occurred</w:t>
      </w:r>
      <w:r w:rsidR="00FF391A" w:rsidRPr="00EE2953">
        <w:t xml:space="preserve">, </w:t>
      </w:r>
      <w:r w:rsidR="00E745D6" w:rsidRPr="00EE2953">
        <w:t xml:space="preserve">articles were </w:t>
      </w:r>
      <w:r w:rsidR="000575D6" w:rsidRPr="00EE2953">
        <w:t xml:space="preserve">discussed with the </w:t>
      </w:r>
      <w:r w:rsidR="00FF391A" w:rsidRPr="00EE2953">
        <w:t>wider group</w:t>
      </w:r>
      <w:r w:rsidR="00213745" w:rsidRPr="00EE2953">
        <w:t xml:space="preserve"> of researchers</w:t>
      </w:r>
      <w:r w:rsidR="00FF391A" w:rsidRPr="00EE2953">
        <w:t xml:space="preserve"> and </w:t>
      </w:r>
      <w:r w:rsidR="003D3683" w:rsidRPr="00EE2953">
        <w:t xml:space="preserve">consensus </w:t>
      </w:r>
      <w:r w:rsidR="00FF391A" w:rsidRPr="00EE2953">
        <w:t xml:space="preserve">was </w:t>
      </w:r>
      <w:r w:rsidR="004F27C3" w:rsidRPr="00EE2953">
        <w:t>reached</w:t>
      </w:r>
      <w:r w:rsidR="00FF391A" w:rsidRPr="00EE2953">
        <w:t xml:space="preserve">. </w:t>
      </w:r>
      <w:r w:rsidR="000575D6" w:rsidRPr="00EE2953">
        <w:t xml:space="preserve"> </w:t>
      </w:r>
      <w:r w:rsidR="00FF391A" w:rsidRPr="00EE2953">
        <w:rPr>
          <w:rFonts w:cstheme="minorHAnsi"/>
        </w:rPr>
        <w:t xml:space="preserve">A total of </w:t>
      </w:r>
      <w:r w:rsidR="003B1916" w:rsidRPr="00EE2953">
        <w:rPr>
          <w:rFonts w:cstheme="minorHAnsi"/>
        </w:rPr>
        <w:t>221 articles</w:t>
      </w:r>
      <w:r w:rsidR="00FF391A" w:rsidRPr="00EE2953">
        <w:rPr>
          <w:rFonts w:cstheme="minorHAnsi"/>
        </w:rPr>
        <w:t xml:space="preserve"> were retained</w:t>
      </w:r>
      <w:r w:rsidR="003143C8" w:rsidRPr="00EE2953">
        <w:rPr>
          <w:rFonts w:cstheme="minorHAnsi"/>
        </w:rPr>
        <w:t>, f</w:t>
      </w:r>
      <w:r w:rsidR="00D2515B" w:rsidRPr="00EE2953">
        <w:rPr>
          <w:rFonts w:cstheme="minorHAnsi"/>
        </w:rPr>
        <w:t>r</w:t>
      </w:r>
      <w:r w:rsidR="003143C8" w:rsidRPr="00EE2953">
        <w:rPr>
          <w:rFonts w:cstheme="minorHAnsi"/>
        </w:rPr>
        <w:t>o</w:t>
      </w:r>
      <w:r w:rsidR="00D2515B" w:rsidRPr="00EE2953">
        <w:rPr>
          <w:rFonts w:cstheme="minorHAnsi"/>
        </w:rPr>
        <w:t>m</w:t>
      </w:r>
      <w:r w:rsidR="003143C8" w:rsidRPr="00EE2953">
        <w:rPr>
          <w:rFonts w:cstheme="minorHAnsi"/>
        </w:rPr>
        <w:t xml:space="preserve"> which </w:t>
      </w:r>
      <w:r w:rsidR="0082280F" w:rsidRPr="00EE2953">
        <w:t>the following</w:t>
      </w:r>
      <w:r w:rsidR="00B92BB4" w:rsidRPr="00EE2953">
        <w:t xml:space="preserve"> metadata</w:t>
      </w:r>
      <w:r w:rsidR="000E7414" w:rsidRPr="00EE2953">
        <w:t xml:space="preserve"> were</w:t>
      </w:r>
      <w:r w:rsidR="003143C8" w:rsidRPr="00EE2953">
        <w:t xml:space="preserve"> </w:t>
      </w:r>
      <w:r w:rsidR="00534618" w:rsidRPr="00EE2953">
        <w:t>extracted</w:t>
      </w:r>
      <w:r w:rsidR="0082280F" w:rsidRPr="00EE2953">
        <w:t xml:space="preserve">: </w:t>
      </w:r>
      <w:bookmarkStart w:id="8" w:name="_Hlk63528447"/>
      <w:r w:rsidR="00F022AB" w:rsidRPr="00EE2953">
        <w:t xml:space="preserve">publication </w:t>
      </w:r>
      <w:r w:rsidR="0082280F" w:rsidRPr="00EE2953">
        <w:t xml:space="preserve">date; </w:t>
      </w:r>
      <w:r w:rsidR="00D2515B" w:rsidRPr="00EE2953">
        <w:t>publication name</w:t>
      </w:r>
      <w:r w:rsidR="0082280F" w:rsidRPr="00EE2953">
        <w:t>; headline;</w:t>
      </w:r>
      <w:r w:rsidR="0056176E" w:rsidRPr="00EE2953">
        <w:t xml:space="preserve"> </w:t>
      </w:r>
      <w:r w:rsidR="0082280F" w:rsidRPr="00EE2953">
        <w:lastRenderedPageBreak/>
        <w:t xml:space="preserve">journalist’s name </w:t>
      </w:r>
      <w:r w:rsidR="0056176E" w:rsidRPr="00EE2953">
        <w:t>(if given)</w:t>
      </w:r>
      <w:r w:rsidR="0082280F" w:rsidRPr="00EE2953">
        <w:t>.</w:t>
      </w:r>
      <w:bookmarkEnd w:id="8"/>
      <w:r w:rsidR="0082280F" w:rsidRPr="00EE2953">
        <w:t xml:space="preserve"> </w:t>
      </w:r>
      <w:r w:rsidR="00594F06" w:rsidRPr="00EE2953">
        <w:t xml:space="preserve"> </w:t>
      </w:r>
      <w:r w:rsidR="0082280F" w:rsidRPr="00EE2953">
        <w:t>A</w:t>
      </w:r>
      <w:r w:rsidR="00940350" w:rsidRPr="00EE2953">
        <w:rPr>
          <w:rFonts w:cstheme="minorHAnsi"/>
        </w:rPr>
        <w:t xml:space="preserve">mong </w:t>
      </w:r>
      <w:r w:rsidR="0082280F" w:rsidRPr="00EE2953">
        <w:rPr>
          <w:rFonts w:cstheme="minorHAnsi"/>
        </w:rPr>
        <w:t xml:space="preserve">the 221 articles meeting the inclusion criteria, </w:t>
      </w:r>
      <w:r w:rsidR="00E37BA8" w:rsidRPr="00EE2953">
        <w:rPr>
          <w:rFonts w:cstheme="minorHAnsi"/>
        </w:rPr>
        <w:t>69</w:t>
      </w:r>
      <w:r w:rsidR="00940350" w:rsidRPr="00EE2953">
        <w:rPr>
          <w:rFonts w:cstheme="minorHAnsi"/>
        </w:rPr>
        <w:t xml:space="preserve"> were </w:t>
      </w:r>
      <w:r w:rsidR="000B11C9" w:rsidRPr="00EE2953">
        <w:rPr>
          <w:rFonts w:cstheme="minorHAnsi"/>
        </w:rPr>
        <w:t>syndicated</w:t>
      </w:r>
      <w:r w:rsidR="00940350" w:rsidRPr="00EE2953">
        <w:rPr>
          <w:rFonts w:cstheme="minorHAnsi"/>
        </w:rPr>
        <w:t xml:space="preserve"> (i.e. similar article </w:t>
      </w:r>
      <w:r w:rsidR="00A47B8D" w:rsidRPr="00EE2953">
        <w:rPr>
          <w:rFonts w:cstheme="minorHAnsi"/>
        </w:rPr>
        <w:t xml:space="preserve">published </w:t>
      </w:r>
      <w:r w:rsidR="00940350" w:rsidRPr="00EE2953">
        <w:rPr>
          <w:rFonts w:cstheme="minorHAnsi"/>
        </w:rPr>
        <w:t xml:space="preserve">in a different </w:t>
      </w:r>
      <w:r w:rsidR="00A47B8D" w:rsidRPr="00EE2953">
        <w:rPr>
          <w:rFonts w:cstheme="minorHAnsi"/>
        </w:rPr>
        <w:t>geographic</w:t>
      </w:r>
      <w:r w:rsidR="00940350" w:rsidRPr="00EE2953">
        <w:rPr>
          <w:rFonts w:cstheme="minorHAnsi"/>
        </w:rPr>
        <w:t xml:space="preserve"> zone or sister </w:t>
      </w:r>
      <w:r w:rsidR="006C0D7B" w:rsidRPr="00EE2953">
        <w:rPr>
          <w:rFonts w:cstheme="minorHAnsi"/>
        </w:rPr>
        <w:t>publication</w:t>
      </w:r>
      <w:r w:rsidR="00A47B8D" w:rsidRPr="00EE2953">
        <w:rPr>
          <w:rFonts w:cstheme="minorHAnsi"/>
        </w:rPr>
        <w:t>)</w:t>
      </w:r>
      <w:r w:rsidR="00FF391A" w:rsidRPr="00EE2953">
        <w:rPr>
          <w:rFonts w:cstheme="minorHAnsi"/>
        </w:rPr>
        <w:t>.</w:t>
      </w:r>
      <w:r w:rsidR="00D2515B" w:rsidRPr="00EE2953">
        <w:rPr>
          <w:rFonts w:cstheme="minorHAnsi"/>
        </w:rPr>
        <w:t xml:space="preserve">  In these instances</w:t>
      </w:r>
      <w:r w:rsidR="004525FE" w:rsidRPr="00EE2953">
        <w:rPr>
          <w:rFonts w:cstheme="minorHAnsi"/>
        </w:rPr>
        <w:t>,</w:t>
      </w:r>
      <w:r w:rsidR="00D2515B" w:rsidRPr="00EE2953">
        <w:rPr>
          <w:rFonts w:cstheme="minorHAnsi"/>
        </w:rPr>
        <w:t xml:space="preserve"> we always selected the longest version of the article and excluded its shorte</w:t>
      </w:r>
      <w:r w:rsidR="00E745D6" w:rsidRPr="00EE2953">
        <w:rPr>
          <w:rFonts w:cstheme="minorHAnsi"/>
        </w:rPr>
        <w:t>r</w:t>
      </w:r>
      <w:r w:rsidR="00D2515B" w:rsidRPr="00EE2953">
        <w:rPr>
          <w:rFonts w:cstheme="minorHAnsi"/>
        </w:rPr>
        <w:t>, syndicated variations.</w:t>
      </w:r>
      <w:r w:rsidR="006F5240" w:rsidRPr="00EE2953">
        <w:rPr>
          <w:rFonts w:cstheme="minorHAnsi"/>
        </w:rPr>
        <w:t xml:space="preserve">  </w:t>
      </w:r>
      <w:r w:rsidR="002E3EF4" w:rsidRPr="00EE2953">
        <w:rPr>
          <w:rFonts w:cstheme="minorHAnsi"/>
        </w:rPr>
        <w:t>A final</w:t>
      </w:r>
      <w:r w:rsidR="00486211" w:rsidRPr="00EE2953">
        <w:rPr>
          <w:rFonts w:cstheme="minorHAnsi"/>
        </w:rPr>
        <w:t xml:space="preserve"> sample of </w:t>
      </w:r>
      <w:r w:rsidR="00B90CA6" w:rsidRPr="00EE2953">
        <w:rPr>
          <w:rFonts w:cstheme="minorHAnsi"/>
        </w:rPr>
        <w:t xml:space="preserve">152 articles </w:t>
      </w:r>
      <w:r w:rsidR="005934DC" w:rsidRPr="00EE2953">
        <w:rPr>
          <w:rFonts w:cstheme="minorHAnsi"/>
        </w:rPr>
        <w:t>was analysed</w:t>
      </w:r>
      <w:r w:rsidR="00A2601B" w:rsidRPr="00EE2953">
        <w:rPr>
          <w:rFonts w:cstheme="minorHAnsi"/>
        </w:rPr>
        <w:t xml:space="preserve"> (see appendix 1</w:t>
      </w:r>
      <w:r w:rsidR="00011386" w:rsidRPr="00EE2953">
        <w:rPr>
          <w:rFonts w:cstheme="minorHAnsi"/>
        </w:rPr>
        <w:t>)</w:t>
      </w:r>
      <w:r w:rsidR="00B90CA6" w:rsidRPr="00EE2953">
        <w:rPr>
          <w:rFonts w:cstheme="minorHAnsi"/>
        </w:rPr>
        <w:t>.</w:t>
      </w:r>
    </w:p>
    <w:p w14:paraId="0EB168BF" w14:textId="0CBCBD3B" w:rsidR="00940350" w:rsidRPr="00EE2953" w:rsidRDefault="00940350" w:rsidP="000D3920">
      <w:pPr>
        <w:spacing w:after="0" w:line="360" w:lineRule="auto"/>
        <w:rPr>
          <w:rFonts w:cstheme="minorHAnsi"/>
        </w:rPr>
      </w:pPr>
    </w:p>
    <w:p w14:paraId="2FC2F002" w14:textId="53DCE71B" w:rsidR="00486211" w:rsidRPr="00EE2953" w:rsidRDefault="00A95923" w:rsidP="00486211">
      <w:pPr>
        <w:spacing w:line="360" w:lineRule="auto"/>
        <w:rPr>
          <w:b/>
          <w:i/>
        </w:rPr>
      </w:pPr>
      <w:r w:rsidRPr="00EE2953">
        <w:rPr>
          <w:b/>
          <w:i/>
        </w:rPr>
        <w:t xml:space="preserve">2.4 </w:t>
      </w:r>
      <w:r w:rsidR="00486211" w:rsidRPr="00EE2953">
        <w:rPr>
          <w:b/>
          <w:i/>
        </w:rPr>
        <w:t>Analysis</w:t>
      </w:r>
    </w:p>
    <w:p w14:paraId="1FC6213B" w14:textId="238D77B9" w:rsidR="00BE7997" w:rsidRPr="00EE2953" w:rsidRDefault="00BE7997" w:rsidP="008C2068">
      <w:pPr>
        <w:spacing w:after="0" w:line="240" w:lineRule="auto"/>
        <w:contextualSpacing/>
        <w:rPr>
          <w:rFonts w:eastAsia="Times New Roman"/>
          <w:b/>
          <w:i/>
        </w:rPr>
      </w:pPr>
      <w:r w:rsidRPr="00EE2953">
        <w:rPr>
          <w:rFonts w:eastAsia="Times New Roman"/>
          <w:b/>
          <w:i/>
        </w:rPr>
        <w:t>2.4.1 Overview</w:t>
      </w:r>
    </w:p>
    <w:p w14:paraId="0536AD9B" w14:textId="77777777" w:rsidR="00BE7997" w:rsidRPr="00EE2953" w:rsidRDefault="00BE7997" w:rsidP="008C2068">
      <w:pPr>
        <w:spacing w:after="0" w:line="240" w:lineRule="auto"/>
        <w:contextualSpacing/>
        <w:rPr>
          <w:rFonts w:eastAsia="Times New Roman"/>
          <w:b/>
          <w:i/>
        </w:rPr>
      </w:pPr>
    </w:p>
    <w:p w14:paraId="52317DD8" w14:textId="57D4A8C0" w:rsidR="00D70A16" w:rsidRPr="00EE2953" w:rsidRDefault="00553372" w:rsidP="00AA1643">
      <w:pPr>
        <w:spacing w:after="0" w:line="360" w:lineRule="auto"/>
        <w:contextualSpacing/>
        <w:rPr>
          <w:rFonts w:eastAsia="Times New Roman"/>
        </w:rPr>
      </w:pPr>
      <w:r w:rsidRPr="00EE2953">
        <w:rPr>
          <w:rFonts w:eastAsia="Times New Roman"/>
        </w:rPr>
        <w:t>The analysis was conducted in two stages.  Firstly, a</w:t>
      </w:r>
      <w:r w:rsidR="008C2068" w:rsidRPr="00EE2953">
        <w:rPr>
          <w:rFonts w:eastAsia="Times New Roman"/>
        </w:rPr>
        <w:t xml:space="preserve"> thematic content analysis was used to identify and categorise arguments for and against the restrictions.  </w:t>
      </w:r>
      <w:r w:rsidR="00D70A16" w:rsidRPr="00EE2953">
        <w:rPr>
          <w:rFonts w:eastAsia="Times New Roman"/>
        </w:rPr>
        <w:t xml:space="preserve">Secondly, </w:t>
      </w:r>
      <w:r w:rsidR="008C2068" w:rsidRPr="00EE2953">
        <w:rPr>
          <w:rFonts w:eastAsia="Times New Roman"/>
        </w:rPr>
        <w:t>a further document analysis, informed by CDA</w:t>
      </w:r>
      <w:r w:rsidR="006F705A" w:rsidRPr="00EE2953">
        <w:rPr>
          <w:rFonts w:eastAsia="Times New Roman"/>
        </w:rPr>
        <w:t xml:space="preserve"> and Framing Theory</w:t>
      </w:r>
      <w:r w:rsidR="008C2068" w:rsidRPr="00EE2953">
        <w:rPr>
          <w:rFonts w:eastAsia="Times New Roman"/>
        </w:rPr>
        <w:t xml:space="preserve"> principles,  was applied solely to arguments against the restrictions.  </w:t>
      </w:r>
      <w:r w:rsidR="006D7C2D" w:rsidRPr="00EE2953">
        <w:rPr>
          <w:rFonts w:eastAsia="Times New Roman"/>
        </w:rPr>
        <w:t xml:space="preserve">Our approach is outlined </w:t>
      </w:r>
      <w:r w:rsidR="00393CFD" w:rsidRPr="00EE2953">
        <w:rPr>
          <w:rFonts w:eastAsia="Times New Roman"/>
        </w:rPr>
        <w:t>below</w:t>
      </w:r>
      <w:r w:rsidR="006D7C2D" w:rsidRPr="00EE2953">
        <w:rPr>
          <w:rFonts w:eastAsia="Times New Roman"/>
        </w:rPr>
        <w:t>.</w:t>
      </w:r>
    </w:p>
    <w:p w14:paraId="7AAB0FE3" w14:textId="77777777" w:rsidR="00D70A16" w:rsidRPr="00EE2953" w:rsidRDefault="00D70A16" w:rsidP="008C2068">
      <w:pPr>
        <w:spacing w:after="0" w:line="240" w:lineRule="auto"/>
        <w:contextualSpacing/>
        <w:rPr>
          <w:rFonts w:eastAsia="Times New Roman"/>
        </w:rPr>
      </w:pPr>
    </w:p>
    <w:p w14:paraId="2EECCF91" w14:textId="77777777" w:rsidR="00D70A16" w:rsidRPr="00EE2953" w:rsidRDefault="00D70A16" w:rsidP="008C2068">
      <w:pPr>
        <w:spacing w:after="0" w:line="240" w:lineRule="auto"/>
        <w:contextualSpacing/>
        <w:rPr>
          <w:rFonts w:eastAsia="Times New Roman"/>
        </w:rPr>
      </w:pPr>
    </w:p>
    <w:p w14:paraId="31FD4A54" w14:textId="6C495F65" w:rsidR="00255DD4" w:rsidRPr="00EE2953" w:rsidRDefault="00D2664E" w:rsidP="005C416C">
      <w:pPr>
        <w:spacing w:after="0" w:line="360" w:lineRule="auto"/>
        <w:contextualSpacing/>
        <w:rPr>
          <w:b/>
          <w:i/>
        </w:rPr>
      </w:pPr>
      <w:r w:rsidRPr="00EE2953">
        <w:rPr>
          <w:b/>
          <w:i/>
        </w:rPr>
        <w:t>2.4</w:t>
      </w:r>
      <w:r w:rsidR="00306A6D" w:rsidRPr="00EE2953">
        <w:rPr>
          <w:b/>
          <w:i/>
        </w:rPr>
        <w:t xml:space="preserve">.2 </w:t>
      </w:r>
      <w:r w:rsidR="00DC46D2" w:rsidRPr="00EE2953">
        <w:rPr>
          <w:b/>
          <w:i/>
        </w:rPr>
        <w:t>Qualitative</w:t>
      </w:r>
      <w:r w:rsidR="00306A6D" w:rsidRPr="00EE2953">
        <w:rPr>
          <w:b/>
          <w:i/>
        </w:rPr>
        <w:t xml:space="preserve"> </w:t>
      </w:r>
      <w:r w:rsidR="00DC46D2" w:rsidRPr="00EE2953">
        <w:rPr>
          <w:b/>
          <w:i/>
        </w:rPr>
        <w:t xml:space="preserve">thematic </w:t>
      </w:r>
      <w:r w:rsidR="00306A6D" w:rsidRPr="00EE2953">
        <w:rPr>
          <w:b/>
          <w:i/>
        </w:rPr>
        <w:t>content analysis</w:t>
      </w:r>
    </w:p>
    <w:p w14:paraId="2CAC6FD5" w14:textId="355FE112" w:rsidR="000F7A72" w:rsidRPr="00EE2953" w:rsidRDefault="002E3EF4" w:rsidP="005C416C">
      <w:pPr>
        <w:spacing w:after="0" w:line="360" w:lineRule="auto"/>
        <w:contextualSpacing/>
      </w:pPr>
      <w:r w:rsidRPr="00EE2953">
        <w:t>A</w:t>
      </w:r>
      <w:r w:rsidR="00A110BA" w:rsidRPr="00EE2953">
        <w:t xml:space="preserve">rticles were uploaded to NVivo 12 and initially subject to a thematic content analysis </w:t>
      </w:r>
      <w:r w:rsidR="00A110BA" w:rsidRPr="00EE2953">
        <w:fldChar w:fldCharType="begin"/>
      </w:r>
      <w:r w:rsidR="00C00B26" w:rsidRPr="00EE2953">
        <w:instrText xml:space="preserve"> ADDIN EN.CITE &lt;EndNote&gt;&lt;Cite&gt;&lt;Author&gt;Hsieh&lt;/Author&gt;&lt;Year&gt;2005&lt;/Year&gt;&lt;RecNum&gt;303&lt;/RecNum&gt;&lt;DisplayText&gt;(Hsieh &amp;amp; Shannon, 2005)&lt;/DisplayText&gt;&lt;record&gt;&lt;rec-number&gt;303&lt;/rec-number&gt;&lt;foreign-keys&gt;&lt;key app="EN" db-id="2xerwtez52p9x8ep05ip59fgspsews0w00ew" timestamp="1595691984"&gt;303&lt;/key&gt;&lt;/foreign-keys&gt;&lt;ref-type name="Journal Article"&gt;17&lt;/ref-type&gt;&lt;contributors&gt;&lt;authors&gt;&lt;author&gt;Hsieh, H.F.&lt;/author&gt;&lt;author&gt;Shannon, S.E.&lt;/author&gt;&lt;/authors&gt;&lt;/contributors&gt;&lt;titles&gt;&lt;title&gt;Three approaches to qualitative content analysis&lt;/title&gt;&lt;secondary-title&gt;Qualitative Health Research&lt;/secondary-title&gt;&lt;/titles&gt;&lt;periodical&gt;&lt;full-title&gt;Qualitative Health Research&lt;/full-title&gt;&lt;/periodical&gt;&lt;pages&gt;1277-88&lt;/pages&gt;&lt;volume&gt;15&lt;/volume&gt;&lt;dates&gt;&lt;year&gt;2005&lt;/year&gt;&lt;/dates&gt;&lt;urls&gt;&lt;/urls&gt;&lt;/record&gt;&lt;/Cite&gt;&lt;/EndNote&gt;</w:instrText>
      </w:r>
      <w:r w:rsidR="00A110BA" w:rsidRPr="00EE2953">
        <w:fldChar w:fldCharType="separate"/>
      </w:r>
      <w:r w:rsidR="00C00B26" w:rsidRPr="00EE2953">
        <w:rPr>
          <w:noProof/>
        </w:rPr>
        <w:t>(Hsieh &amp; Shannon, 2005)</w:t>
      </w:r>
      <w:r w:rsidR="00A110BA" w:rsidRPr="00EE2953">
        <w:fldChar w:fldCharType="end"/>
      </w:r>
      <w:r w:rsidR="00A110BA" w:rsidRPr="00EE2953">
        <w:t xml:space="preserve">. </w:t>
      </w:r>
      <w:r w:rsidR="00486211" w:rsidRPr="00EE2953">
        <w:t xml:space="preserve"> First, a coding framework was developed by </w:t>
      </w:r>
      <w:r w:rsidR="00486211" w:rsidRPr="00EE2953">
        <w:rPr>
          <w:rFonts w:cstheme="minorHAnsi"/>
        </w:rPr>
        <w:t>four researchers (</w:t>
      </w:r>
      <w:r w:rsidR="00740B46" w:rsidRPr="00EE2953">
        <w:rPr>
          <w:rFonts w:cstheme="minorHAnsi"/>
        </w:rPr>
        <w:t>CC, CT, VE, and SC</w:t>
      </w:r>
      <w:r w:rsidR="00486211" w:rsidRPr="00EE2953">
        <w:rPr>
          <w:rFonts w:cstheme="minorHAnsi"/>
        </w:rPr>
        <w:t>) after they</w:t>
      </w:r>
      <w:r w:rsidR="00486211" w:rsidRPr="00EE2953">
        <w:t xml:space="preserve"> read and compared their views on a </w:t>
      </w:r>
      <w:r w:rsidR="00740B46" w:rsidRPr="00EE2953">
        <w:t>random sub</w:t>
      </w:r>
      <w:r w:rsidR="00486211" w:rsidRPr="00EE2953">
        <w:t>sample of 15 articles.</w:t>
      </w:r>
      <w:r w:rsidR="00486211" w:rsidRPr="00EE2953">
        <w:rPr>
          <w:rFonts w:cstheme="minorHAnsi"/>
        </w:rPr>
        <w:t xml:space="preserve"> </w:t>
      </w:r>
      <w:r w:rsidR="00740B46" w:rsidRPr="00EE2953">
        <w:rPr>
          <w:rFonts w:cstheme="minorHAnsi"/>
        </w:rPr>
        <w:t xml:space="preserve"> </w:t>
      </w:r>
      <w:r w:rsidR="00486211" w:rsidRPr="00EE2953">
        <w:rPr>
          <w:rFonts w:cstheme="minorHAnsi"/>
        </w:rPr>
        <w:t xml:space="preserve">Second, </w:t>
      </w:r>
      <w:r w:rsidR="000C1D55" w:rsidRPr="00EE2953">
        <w:t>independent review and c</w:t>
      </w:r>
      <w:r w:rsidRPr="00EE2953">
        <w:t>oding</w:t>
      </w:r>
      <w:r w:rsidR="000C1D55" w:rsidRPr="00EE2953">
        <w:t xml:space="preserve"> of the remaining 137 articles</w:t>
      </w:r>
      <w:r w:rsidRPr="00EE2953">
        <w:t xml:space="preserve"> was</w:t>
      </w:r>
      <w:r w:rsidR="00486211" w:rsidRPr="00EE2953">
        <w:t xml:space="preserve"> split equally between the four researchers</w:t>
      </w:r>
      <w:r w:rsidR="000C1D55" w:rsidRPr="00EE2953">
        <w:t>. Codes were refined iteratively, where needed, during analysis</w:t>
      </w:r>
      <w:r w:rsidR="00486211" w:rsidRPr="00EE2953">
        <w:t>.</w:t>
      </w:r>
      <w:r w:rsidR="00EF110C" w:rsidRPr="00EE2953">
        <w:t xml:space="preserve">  </w:t>
      </w:r>
      <w:r w:rsidR="005C498A" w:rsidRPr="00EE2953">
        <w:t xml:space="preserve">The goal </w:t>
      </w:r>
      <w:r w:rsidR="009A12EA" w:rsidRPr="00EE2953">
        <w:t>of the</w:t>
      </w:r>
      <w:r w:rsidR="00825DA5" w:rsidRPr="00EE2953">
        <w:t xml:space="preserve"> </w:t>
      </w:r>
      <w:r w:rsidR="002F6CB0" w:rsidRPr="00EE2953">
        <w:t>analysis was to identify and categorise</w:t>
      </w:r>
      <w:r w:rsidR="00796433" w:rsidRPr="00EE2953">
        <w:t xml:space="preserve"> all instances of a particular phenomenon</w:t>
      </w:r>
      <w:r w:rsidR="00825DA5" w:rsidRPr="00EE2953">
        <w:t xml:space="preserve"> </w:t>
      </w:r>
      <w:r w:rsidR="00796433" w:rsidRPr="00EE2953">
        <w:fldChar w:fldCharType="begin"/>
      </w:r>
      <w:r w:rsidR="00796433" w:rsidRPr="00EE2953">
        <w:instrText xml:space="preserve"> ADDIN EN.CITE &lt;EndNote&gt;&lt;Cite&gt;&lt;Author&gt;Hsieh&lt;/Author&gt;&lt;Year&gt;2005&lt;/Year&gt;&lt;RecNum&gt;303&lt;/RecNum&gt;&lt;DisplayText&gt;(Hsieh &amp;amp; Shannon, 2005)&lt;/DisplayText&gt;&lt;record&gt;&lt;rec-number&gt;303&lt;/rec-number&gt;&lt;foreign-keys&gt;&lt;key app="EN" db-id="2xerwtez52p9x8ep05ip59fgspsews0w00ew" timestamp="1595691984"&gt;303&lt;/key&gt;&lt;/foreign-keys&gt;&lt;ref-type name="Journal Article"&gt;17&lt;/ref-type&gt;&lt;contributors&gt;&lt;authors&gt;&lt;author&gt;Hsieh, H.F.&lt;/author&gt;&lt;author&gt;Shannon, S.E.&lt;/author&gt;&lt;/authors&gt;&lt;/contributors&gt;&lt;titles&gt;&lt;title&gt;Three approaches to qualitative content analysis&lt;/title&gt;&lt;secondary-title&gt;Qualitative Health Research&lt;/secondary-title&gt;&lt;/titles&gt;&lt;periodical&gt;&lt;full-title&gt;Qualitative Health Research&lt;/full-title&gt;&lt;/periodical&gt;&lt;pages&gt;1277-88&lt;/pages&gt;&lt;volume&gt;15&lt;/volume&gt;&lt;dates&gt;&lt;year&gt;2005&lt;/year&gt;&lt;/dates&gt;&lt;urls&gt;&lt;/urls&gt;&lt;/record&gt;&lt;/Cite&gt;&lt;/EndNote&gt;</w:instrText>
      </w:r>
      <w:r w:rsidR="00796433" w:rsidRPr="00EE2953">
        <w:fldChar w:fldCharType="separate"/>
      </w:r>
      <w:r w:rsidR="00796433" w:rsidRPr="00EE2953">
        <w:rPr>
          <w:noProof/>
        </w:rPr>
        <w:t>(Hsieh &amp; Shannon, 2005)</w:t>
      </w:r>
      <w:r w:rsidR="00796433" w:rsidRPr="00EE2953">
        <w:fldChar w:fldCharType="end"/>
      </w:r>
      <w:r w:rsidR="00796433" w:rsidRPr="00EE2953">
        <w:t>, in this case ar</w:t>
      </w:r>
      <w:r w:rsidR="00027B9E" w:rsidRPr="00EE2953">
        <w:t>guments for and against the restrictions</w:t>
      </w:r>
      <w:r w:rsidR="00CA1057" w:rsidRPr="00EE2953">
        <w:t xml:space="preserve"> (see appendix 2 for details of the codes and themes).</w:t>
      </w:r>
    </w:p>
    <w:p w14:paraId="629322AE" w14:textId="65EF5B85" w:rsidR="005C416C" w:rsidRPr="00EE2953" w:rsidRDefault="005C416C" w:rsidP="005C416C">
      <w:pPr>
        <w:spacing w:after="0" w:line="360" w:lineRule="auto"/>
        <w:contextualSpacing/>
      </w:pPr>
    </w:p>
    <w:p w14:paraId="23B83B9B" w14:textId="7913559A" w:rsidR="003F3FA3" w:rsidRPr="00EE2953" w:rsidRDefault="00306A6D" w:rsidP="003F3FA3">
      <w:pPr>
        <w:spacing w:after="0" w:line="360" w:lineRule="auto"/>
        <w:contextualSpacing/>
        <w:rPr>
          <w:b/>
          <w:i/>
        </w:rPr>
      </w:pPr>
      <w:r w:rsidRPr="00EE2953">
        <w:rPr>
          <w:b/>
          <w:i/>
        </w:rPr>
        <w:t xml:space="preserve">2.4.3 </w:t>
      </w:r>
      <w:r w:rsidR="00AA1643" w:rsidRPr="00EE2953">
        <w:rPr>
          <w:b/>
          <w:i/>
        </w:rPr>
        <w:t>Document analysis</w:t>
      </w:r>
    </w:p>
    <w:p w14:paraId="4971CADB" w14:textId="44119AFA" w:rsidR="00C81308" w:rsidRPr="00EE2953" w:rsidRDefault="00A42844" w:rsidP="00B74236">
      <w:pPr>
        <w:spacing w:after="0" w:line="360" w:lineRule="auto"/>
        <w:contextualSpacing/>
      </w:pPr>
      <w:r w:rsidRPr="00EE2953">
        <w:t xml:space="preserve">The second stage of the analysis focused solely on arguments </w:t>
      </w:r>
      <w:r w:rsidRPr="00EE2953">
        <w:rPr>
          <w:i/>
        </w:rPr>
        <w:t xml:space="preserve">against </w:t>
      </w:r>
      <w:r w:rsidRPr="00EE2953">
        <w:t xml:space="preserve">the ban identified in the initial thematic content analysis.  </w:t>
      </w:r>
      <w:r w:rsidR="002870FE" w:rsidRPr="00EE2953">
        <w:t>In order to achieve this, w</w:t>
      </w:r>
      <w:r w:rsidR="00486211" w:rsidRPr="00EE2953">
        <w:t xml:space="preserve">e conducted a </w:t>
      </w:r>
      <w:r w:rsidRPr="00EE2953">
        <w:t xml:space="preserve">further </w:t>
      </w:r>
      <w:r w:rsidR="00BE49DF" w:rsidRPr="00EE2953">
        <w:t xml:space="preserve">document analysis </w:t>
      </w:r>
      <w:r w:rsidR="002870FE" w:rsidRPr="00EE2953">
        <w:t xml:space="preserve">informed by CDA principles, </w:t>
      </w:r>
      <w:r w:rsidR="00486211" w:rsidRPr="00EE2953">
        <w:t>which focused on power relations, stake</w:t>
      </w:r>
      <w:r w:rsidR="00D25FE7" w:rsidRPr="00EE2953">
        <w:t xml:space="preserve"> (interest)</w:t>
      </w:r>
      <w:r w:rsidR="00486211" w:rsidRPr="00EE2953">
        <w:t xml:space="preserve">, and influence </w:t>
      </w:r>
      <w:r w:rsidR="00486211" w:rsidRPr="00EE2953">
        <w:fldChar w:fldCharType="begin"/>
      </w:r>
      <w:r w:rsidR="00C00B26" w:rsidRPr="00EE2953">
        <w:instrText xml:space="preserve"> ADDIN EN.CITE &lt;EndNote&gt;&lt;Cite&gt;&lt;Author&gt;Fairclough&lt;/Author&gt;&lt;Year&gt;2012&lt;/Year&gt;&lt;RecNum&gt;178&lt;/RecNum&gt;&lt;DisplayText&gt;(I. Fairclough &amp;amp; Fairclough, 2012; N. Fairclough, 2001)&lt;/DisplayText&gt;&lt;record&gt;&lt;rec-number&gt;178&lt;/rec-number&gt;&lt;foreign-keys&gt;&lt;key app="EN" db-id="wz0s5vxeow0299ew9xqvdsw7t0xf9w02z5wt" timestamp="0"&gt;178&lt;/key&gt;&lt;/foreign-keys&gt;&lt;ref-type name="Book"&gt;6&lt;/ref-type&gt;&lt;contributors&gt;&lt;authors&gt;&lt;author&gt;Fairclough, I.&lt;/author&gt;&lt;author&gt;Fairclough, N.&lt;/author&gt;&lt;/authors&gt;&lt;/contributors&gt;&lt;titles&gt;&lt;title&gt;Political Discourse Analysis&lt;/title&gt;&lt;/titles&gt;&lt;dates&gt;&lt;year&gt;2012&lt;/year&gt;&lt;/dates&gt;&lt;pub-location&gt;London&lt;/pub-location&gt;&lt;publisher&gt;Routledge&lt;/publisher&gt;&lt;urls&gt;&lt;/urls&gt;&lt;/record&gt;&lt;/Cite&gt;&lt;Cite&gt;&lt;Author&gt;Fairclough&lt;/Author&gt;&lt;Year&gt;2001&lt;/Year&gt;&lt;RecNum&gt;33&lt;/RecNum&gt;&lt;record&gt;&lt;rec-number&gt;33&lt;/rec-number&gt;&lt;foreign-keys&gt;&lt;key app="EN" db-id="wz0s5vxeow0299ew9xqvdsw7t0xf9w02z5wt" timestamp="0"&gt;33&lt;/key&gt;&lt;/foreign-keys&gt;&lt;ref-type name="Book Section"&gt;5&lt;/ref-type&gt;&lt;contributors&gt;&lt;authors&gt;&lt;author&gt;Fairclough, N.&lt;/author&gt;&lt;/authors&gt;&lt;secondary-authors&gt;&lt;author&gt;Wetherell, M.&lt;/author&gt;&lt;author&gt;Taylor, S.&lt;/author&gt;&lt;author&gt;Yates, S.J.&lt;/author&gt;&lt;/secondary-authors&gt;&lt;/contributors&gt;&lt;titles&gt;&lt;title&gt;The Discourse of New Labour: Critical Discourse Analysis&lt;/title&gt;&lt;secondary-title&gt;Discourse as Data: a guide for analysis&lt;/secondary-title&gt;&lt;/titles&gt;&lt;dates&gt;&lt;year&gt;2001&lt;/year&gt;&lt;/dates&gt;&lt;pub-location&gt;London&lt;/pub-location&gt;&lt;publisher&gt;Sage and The Open University&lt;/publisher&gt;&lt;urls&gt;&lt;/urls&gt;&lt;/record&gt;&lt;/Cite&gt;&lt;/EndNote&gt;</w:instrText>
      </w:r>
      <w:r w:rsidR="00486211" w:rsidRPr="00EE2953">
        <w:fldChar w:fldCharType="separate"/>
      </w:r>
      <w:r w:rsidR="00C00B26" w:rsidRPr="00EE2953">
        <w:rPr>
          <w:noProof/>
        </w:rPr>
        <w:t>(I. Fairclough &amp; Fairclough, 2012; N. Fairclough, 2001)</w:t>
      </w:r>
      <w:r w:rsidR="00486211" w:rsidRPr="00EE2953">
        <w:fldChar w:fldCharType="end"/>
      </w:r>
      <w:r w:rsidR="00486211" w:rsidRPr="00EE2953">
        <w:t xml:space="preserve">.  </w:t>
      </w:r>
      <w:bookmarkStart w:id="9" w:name="_Hlk63533984"/>
      <w:r w:rsidR="002870FE" w:rsidRPr="00EE2953">
        <w:t xml:space="preserve">The document analysis sought to </w:t>
      </w:r>
      <w:r w:rsidR="002870FE" w:rsidRPr="00EE2953">
        <w:rPr>
          <w:rFonts w:cstheme="minorHAnsi"/>
        </w:rPr>
        <w:t xml:space="preserve"> examine the ways in which concepts and arguments were constructed and how they were reproduced through discourse</w:t>
      </w:r>
      <w:r w:rsidR="00C81308" w:rsidRPr="00EE2953">
        <w:rPr>
          <w:rFonts w:cstheme="minorHAnsi"/>
        </w:rPr>
        <w:t xml:space="preserve">.  </w:t>
      </w:r>
      <w:bookmarkStart w:id="10" w:name="_Hlk63534033"/>
      <w:bookmarkEnd w:id="9"/>
      <w:r w:rsidR="00C81308" w:rsidRPr="00EE2953">
        <w:rPr>
          <w:rStyle w:val="apple-converted-space"/>
          <w:rFonts w:cstheme="minorHAnsi"/>
        </w:rPr>
        <w:t xml:space="preserve">As such, the discourse (i.e. the arguments presented) is examined in the data set as a whole; how it creates an effect, rather than a more interpretive or thematic approach which explicitly highlights and contrasts different perspectives </w:t>
      </w:r>
      <w:bookmarkEnd w:id="10"/>
      <w:r w:rsidR="002870FE" w:rsidRPr="00EE2953">
        <w:rPr>
          <w:rFonts w:cstheme="minorHAnsi"/>
        </w:rPr>
        <w:fldChar w:fldCharType="begin"/>
      </w:r>
      <w:r w:rsidR="002870FE" w:rsidRPr="00EE2953">
        <w:rPr>
          <w:rFonts w:cstheme="minorHAnsi"/>
        </w:rPr>
        <w:instrText xml:space="preserve"> ADDIN EN.CITE &lt;EndNote&gt;&lt;Cite&gt;&lt;Author&gt;Savona&lt;/Author&gt;&lt;Year&gt;2020&lt;/Year&gt;&lt;RecNum&gt;390&lt;/RecNum&gt;&lt;DisplayText&gt;(Savona, Thompson, Smith, &amp;amp; Cummins, 2020)&lt;/DisplayText&gt;&lt;record&gt;&lt;rec-number&gt;390&lt;/rec-number&gt;&lt;foreign-keys&gt;&lt;key app="EN" db-id="wz0s5vxeow0299ew9xqvdsw7t0xf9w02z5wt" timestamp="1612639495"&gt;390&lt;/key&gt;&lt;/foreign-keys&gt;&lt;ref-type name="Journal Article"&gt;17&lt;/ref-type&gt;&lt;contributors&gt;&lt;authors&gt;&lt;author&gt;Savona, N.&lt;/author&gt;&lt;author&gt;Thompson, C.&lt;/author&gt;&lt;author&gt;Smith, D.&lt;/author&gt;&lt;author&gt;Cummins, S.&lt;/author&gt;&lt;/authors&gt;&lt;/contributors&gt;&lt;titles&gt;&lt;title&gt;‘Complexity’ as a rhetorical smokescreen for UK public health inaction on diet&lt;/title&gt;&lt;secondary-title&gt;Critical Public Health&lt;/secondary-title&gt;&lt;/titles&gt;&lt;periodical&gt;&lt;full-title&gt;Critical Public Health&lt;/full-title&gt;&lt;/periodical&gt;&lt;pages&gt;1-11&lt;/pages&gt;&lt;number&gt;April 2020&lt;/number&gt;&lt;dates&gt;&lt;year&gt;2020&lt;/year&gt;&lt;/dates&gt;&lt;urls&gt;&lt;/urls&gt;&lt;/record&gt;&lt;/Cite&gt;&lt;/EndNote&gt;</w:instrText>
      </w:r>
      <w:r w:rsidR="002870FE" w:rsidRPr="00EE2953">
        <w:rPr>
          <w:rFonts w:cstheme="minorHAnsi"/>
        </w:rPr>
        <w:fldChar w:fldCharType="separate"/>
      </w:r>
      <w:r w:rsidR="002870FE" w:rsidRPr="00EE2953">
        <w:rPr>
          <w:rFonts w:cstheme="minorHAnsi"/>
          <w:noProof/>
        </w:rPr>
        <w:t>(Savona, Thompson, Smith, &amp; Cummins, 2020)</w:t>
      </w:r>
      <w:r w:rsidR="002870FE" w:rsidRPr="00EE2953">
        <w:rPr>
          <w:rFonts w:cstheme="minorHAnsi"/>
        </w:rPr>
        <w:fldChar w:fldCharType="end"/>
      </w:r>
      <w:r w:rsidR="00C81308" w:rsidRPr="00EE2953">
        <w:rPr>
          <w:rFonts w:cstheme="minorHAnsi"/>
        </w:rPr>
        <w:t xml:space="preserve">.  We focused solely on arguments against the ban here because these are the subject of the ‘research problem’ we sought to address: </w:t>
      </w:r>
      <w:bookmarkStart w:id="11" w:name="_Hlk63534289"/>
      <w:r w:rsidR="00255A11" w:rsidRPr="00EE2953">
        <w:rPr>
          <w:rFonts w:cstheme="minorHAnsi"/>
        </w:rPr>
        <w:t xml:space="preserve">media coverage of interventions affecting </w:t>
      </w:r>
      <w:r w:rsidR="00B366C4" w:rsidRPr="00EE2953">
        <w:rPr>
          <w:rFonts w:cstheme="minorHAnsi"/>
        </w:rPr>
        <w:t>U</w:t>
      </w:r>
      <w:r w:rsidR="00255A11" w:rsidRPr="00EE2953">
        <w:rPr>
          <w:rFonts w:cstheme="minorHAnsi"/>
        </w:rPr>
        <w:t xml:space="preserve">CIs are often </w:t>
      </w:r>
      <w:r w:rsidR="00255A11" w:rsidRPr="00EE2953">
        <w:rPr>
          <w:rFonts w:cstheme="minorHAnsi"/>
        </w:rPr>
        <w:lastRenderedPageBreak/>
        <w:t xml:space="preserve">more aligned with the interests of industry than those of public health can influence public debate and understanding the pro-industry arguments deployed in these debates is key to anticipating and countering them </w:t>
      </w:r>
      <w:bookmarkEnd w:id="11"/>
      <w:r w:rsidR="00C81308" w:rsidRPr="00EE2953">
        <w:rPr>
          <w:rFonts w:cstheme="minorHAnsi"/>
        </w:rPr>
        <w:fldChar w:fldCharType="begin"/>
      </w:r>
      <w:r w:rsidR="00C81308" w:rsidRPr="00EE2953">
        <w:rPr>
          <w:rFonts w:cstheme="minorHAnsi"/>
        </w:rPr>
        <w:instrText xml:space="preserve"> ADDIN EN.CITE &lt;EndNote&gt;&lt;Cite&gt;&lt;Author&gt;Mercille&lt;/Author&gt;&lt;Year&gt;2017&lt;/Year&gt;&lt;RecNum&gt;382&lt;/RecNum&gt;&lt;DisplayText&gt;(Mercille, 2017)&lt;/DisplayText&gt;&lt;record&gt;&lt;rec-number&gt;382&lt;/rec-number&gt;&lt;foreign-keys&gt;&lt;key app="EN" db-id="wz0s5vxeow0299ew9xqvdsw7t0xf9w02z5wt" timestamp="1612620140"&gt;382&lt;/key&gt;&lt;/foreign-keys&gt;&lt;ref-type name="Journal Article"&gt;17&lt;/ref-type&gt;&lt;contributors&gt;&lt;authors&gt;&lt;author&gt;Mercille, J.&lt;/author&gt;&lt;/authors&gt;&lt;/contributors&gt;&lt;titles&gt;&lt;title&gt;Media coverage of alcohol issues: A critical political economy framework—A case study from Ireland&lt;/title&gt;&lt;secondary-title&gt;International Journal of Environmental Research and Public Health&lt;/secondary-title&gt;&lt;/titles&gt;&lt;periodical&gt;&lt;full-title&gt;International Journal of Environmental Research and Public Health&lt;/full-title&gt;&lt;/periodical&gt;&lt;volume&gt;14&lt;/volume&gt;&lt;number&gt;6&lt;/number&gt;&lt;section&gt;650&lt;/section&gt;&lt;dates&gt;&lt;year&gt;2017&lt;/year&gt;&lt;/dates&gt;&lt;urls&gt;&lt;/urls&gt;&lt;/record&gt;&lt;/Cite&gt;&lt;/EndNote&gt;</w:instrText>
      </w:r>
      <w:r w:rsidR="00C81308" w:rsidRPr="00EE2953">
        <w:rPr>
          <w:rFonts w:cstheme="minorHAnsi"/>
        </w:rPr>
        <w:fldChar w:fldCharType="separate"/>
      </w:r>
      <w:r w:rsidR="00C81308" w:rsidRPr="00EE2953">
        <w:rPr>
          <w:rFonts w:cstheme="minorHAnsi"/>
          <w:noProof/>
        </w:rPr>
        <w:t>(Mercille, 2017)</w:t>
      </w:r>
      <w:r w:rsidR="00C81308" w:rsidRPr="00EE2953">
        <w:rPr>
          <w:rFonts w:cstheme="minorHAnsi"/>
        </w:rPr>
        <w:fldChar w:fldCharType="end"/>
      </w:r>
      <w:r w:rsidR="00C81308" w:rsidRPr="00EE2953">
        <w:rPr>
          <w:rFonts w:cstheme="minorHAnsi"/>
        </w:rPr>
        <w:t>.</w:t>
      </w:r>
      <w:r w:rsidR="00C81308" w:rsidRPr="00EE2953">
        <w:t xml:space="preserve">  </w:t>
      </w:r>
    </w:p>
    <w:p w14:paraId="4B5D57F9" w14:textId="77777777" w:rsidR="002870FE" w:rsidRPr="00EE2953" w:rsidRDefault="002870FE" w:rsidP="00B74236">
      <w:pPr>
        <w:spacing w:after="0" w:line="360" w:lineRule="auto"/>
        <w:contextualSpacing/>
        <w:rPr>
          <w:rFonts w:cstheme="minorHAnsi"/>
        </w:rPr>
      </w:pPr>
    </w:p>
    <w:p w14:paraId="2C4512B0" w14:textId="68533A98" w:rsidR="00255A11" w:rsidRPr="00EE2953" w:rsidRDefault="00255A11" w:rsidP="00B74236">
      <w:pPr>
        <w:spacing w:after="0" w:line="360" w:lineRule="auto"/>
        <w:contextualSpacing/>
        <w:rPr>
          <w:rFonts w:cstheme="minorHAnsi"/>
        </w:rPr>
      </w:pPr>
      <w:r w:rsidRPr="00EE2953">
        <w:rPr>
          <w:rFonts w:cstheme="minorHAnsi"/>
        </w:rPr>
        <w:t>The document analysis of arguments against the ban was informed by our conceptual framework (</w:t>
      </w:r>
      <w:r w:rsidR="0007712D" w:rsidRPr="00EE2953">
        <w:rPr>
          <w:rFonts w:cstheme="minorHAnsi"/>
        </w:rPr>
        <w:t xml:space="preserve">Framing Theory - </w:t>
      </w:r>
      <w:r w:rsidRPr="00EE2953">
        <w:rPr>
          <w:rFonts w:cstheme="minorHAnsi"/>
        </w:rPr>
        <w:t xml:space="preserve">see section 1.3) and, thereby, CDA approaches to discourse </w:t>
      </w:r>
      <w:r w:rsidRPr="00EE2953">
        <w:rPr>
          <w:rFonts w:cstheme="minorHAnsi"/>
        </w:rPr>
        <w:fldChar w:fldCharType="begin"/>
      </w:r>
      <w:r w:rsidRPr="00EE2953">
        <w:rPr>
          <w:rFonts w:cstheme="minorHAnsi"/>
        </w:rPr>
        <w:instrText xml:space="preserve"> ADDIN EN.CITE &lt;EndNote&gt;&lt;Cite&gt;&lt;Author&gt;Carabine&lt;/Author&gt;&lt;Year&gt;2001&lt;/Year&gt;&lt;RecNum&gt;185&lt;/RecNum&gt;&lt;DisplayText&gt;(Carabine, 2001)&lt;/DisplayText&gt;&lt;record&gt;&lt;rec-number&gt;185&lt;/rec-number&gt;&lt;foreign-keys&gt;&lt;key app="EN" db-id="a0rdswzvnvp0roewxf55pavh0f0zdefftevz" timestamp="1457107431"&gt;185&lt;/key&gt;&lt;/foreign-keys&gt;&lt;ref-type name="Book Section"&gt;5&lt;/ref-type&gt;&lt;contributors&gt;&lt;authors&gt;&lt;author&gt;Carabine, J.&lt;/author&gt;&lt;/authors&gt;&lt;secondary-authors&gt;&lt;author&gt;Wetherall, M.&lt;/author&gt;&lt;author&gt;Taylor, S.&lt;/author&gt;&lt;/secondary-authors&gt;&lt;/contributors&gt;&lt;titles&gt;&lt;title&gt;Unmarried motherhood 1830-1990: A genealogical analysis&lt;/title&gt;&lt;secondary-title&gt;Discourse as data: A guide for analysis &lt;/secondary-title&gt;&lt;/titles&gt;&lt;pages&gt;267-310&lt;/pages&gt;&lt;dates&gt;&lt;year&gt;2001&lt;/year&gt;&lt;/dates&gt;&lt;pub-location&gt;London&lt;/pub-location&gt;&lt;publisher&gt;Sage&lt;/publisher&gt;&lt;urls&gt;&lt;/urls&gt;&lt;/record&gt;&lt;/Cite&gt;&lt;/EndNote&gt;</w:instrText>
      </w:r>
      <w:r w:rsidRPr="00EE2953">
        <w:rPr>
          <w:rFonts w:cstheme="minorHAnsi"/>
        </w:rPr>
        <w:fldChar w:fldCharType="separate"/>
      </w:r>
      <w:r w:rsidRPr="00EE2953">
        <w:rPr>
          <w:rFonts w:cstheme="minorHAnsi"/>
          <w:noProof/>
        </w:rPr>
        <w:t>(Carabine, 2001)</w:t>
      </w:r>
      <w:r w:rsidRPr="00EE2953">
        <w:rPr>
          <w:rFonts w:cstheme="minorHAnsi"/>
        </w:rPr>
        <w:fldChar w:fldCharType="end"/>
      </w:r>
      <w:r w:rsidR="00B74236" w:rsidRPr="00EE2953">
        <w:rPr>
          <w:rFonts w:cstheme="minorHAnsi"/>
        </w:rPr>
        <w:t xml:space="preserve"> which are underpinned by the following analytic steps:</w:t>
      </w:r>
    </w:p>
    <w:p w14:paraId="60C303F2" w14:textId="77777777" w:rsidR="00B74236" w:rsidRPr="00EE2953" w:rsidRDefault="00B74236" w:rsidP="00B74236">
      <w:pPr>
        <w:spacing w:after="0" w:line="360" w:lineRule="auto"/>
        <w:contextualSpacing/>
        <w:rPr>
          <w:rFonts w:cstheme="minorHAnsi"/>
        </w:rPr>
      </w:pPr>
    </w:p>
    <w:p w14:paraId="4B0D93BE" w14:textId="71CB1F1F" w:rsidR="002870FE" w:rsidRPr="00EE2953" w:rsidRDefault="002870FE" w:rsidP="00B74236">
      <w:pPr>
        <w:pStyle w:val="ListParagraph"/>
        <w:numPr>
          <w:ilvl w:val="0"/>
          <w:numId w:val="29"/>
        </w:numPr>
        <w:spacing w:after="0" w:line="360" w:lineRule="auto"/>
        <w:rPr>
          <w:rFonts w:cstheme="minorHAnsi"/>
        </w:rPr>
      </w:pPr>
      <w:r w:rsidRPr="00EE2953">
        <w:rPr>
          <w:rFonts w:cstheme="minorHAnsi"/>
          <w:lang w:bidi="x-none"/>
        </w:rPr>
        <w:t>identify the discursive strategies used</w:t>
      </w:r>
      <w:r w:rsidR="00851CC1" w:rsidRPr="00EE2953">
        <w:rPr>
          <w:rFonts w:cstheme="minorHAnsi"/>
          <w:lang w:bidi="x-none"/>
        </w:rPr>
        <w:t xml:space="preserve"> (highlighting claims that are made to appear ‘true’ or ‘common sense’ to the reader)</w:t>
      </w:r>
    </w:p>
    <w:p w14:paraId="62E9B8D0" w14:textId="1C03850D" w:rsidR="002870FE" w:rsidRPr="00EE2953" w:rsidRDefault="002870FE" w:rsidP="00B74236">
      <w:pPr>
        <w:pStyle w:val="ListParagraph"/>
        <w:numPr>
          <w:ilvl w:val="0"/>
          <w:numId w:val="29"/>
        </w:numPr>
        <w:spacing w:after="0" w:line="360" w:lineRule="auto"/>
        <w:rPr>
          <w:rFonts w:cstheme="minorHAnsi"/>
        </w:rPr>
      </w:pPr>
      <w:r w:rsidRPr="00EE2953">
        <w:rPr>
          <w:rFonts w:cstheme="minorHAnsi"/>
          <w:lang w:bidi="x-none"/>
        </w:rPr>
        <w:t>ask how they work to persuade and create effects of ‘truth’?</w:t>
      </w:r>
      <w:r w:rsidR="00851CC1" w:rsidRPr="00EE2953">
        <w:rPr>
          <w:rFonts w:cstheme="minorHAnsi"/>
          <w:lang w:bidi="x-none"/>
        </w:rPr>
        <w:t xml:space="preserve"> </w:t>
      </w:r>
    </w:p>
    <w:p w14:paraId="3B63E6C5" w14:textId="7F4911E8" w:rsidR="002870FE" w:rsidRPr="00EE2953" w:rsidRDefault="002870FE" w:rsidP="00B74236">
      <w:pPr>
        <w:pStyle w:val="ListParagraph"/>
        <w:numPr>
          <w:ilvl w:val="0"/>
          <w:numId w:val="29"/>
        </w:numPr>
        <w:spacing w:after="0" w:line="360" w:lineRule="auto"/>
        <w:rPr>
          <w:rFonts w:cstheme="minorHAnsi"/>
        </w:rPr>
      </w:pPr>
      <w:r w:rsidRPr="00EE2953">
        <w:rPr>
          <w:rFonts w:cstheme="minorHAnsi"/>
          <w:lang w:bidi="x-none"/>
        </w:rPr>
        <w:t>look for ‘rupture and resilience’, complexity and counter-discourses</w:t>
      </w:r>
      <w:r w:rsidR="00851CC1" w:rsidRPr="00EE2953">
        <w:rPr>
          <w:rFonts w:cstheme="minorHAnsi"/>
          <w:lang w:bidi="x-none"/>
        </w:rPr>
        <w:t xml:space="preserve"> (identifying contradictions and inconsistencies within those discursive strategies, thereby destabilising the associated effects of ‘truth’)</w:t>
      </w:r>
    </w:p>
    <w:p w14:paraId="0298D9EE" w14:textId="7692A429" w:rsidR="002870FE" w:rsidRPr="00EE2953" w:rsidRDefault="002870FE" w:rsidP="00B74236">
      <w:pPr>
        <w:pStyle w:val="ListParagraph"/>
        <w:numPr>
          <w:ilvl w:val="0"/>
          <w:numId w:val="29"/>
        </w:numPr>
        <w:spacing w:after="0" w:line="360" w:lineRule="auto"/>
        <w:rPr>
          <w:rFonts w:cstheme="minorHAnsi"/>
          <w:lang w:bidi="x-none"/>
        </w:rPr>
      </w:pPr>
      <w:bookmarkStart w:id="12" w:name="_Hlk69575748"/>
      <w:r w:rsidRPr="00EE2953">
        <w:rPr>
          <w:rFonts w:cstheme="minorHAnsi"/>
          <w:lang w:bidi="x-none"/>
        </w:rPr>
        <w:t>look for the absences and silences</w:t>
      </w:r>
      <w:r w:rsidR="00851CC1" w:rsidRPr="00EE2953">
        <w:rPr>
          <w:rFonts w:cstheme="minorHAnsi"/>
          <w:lang w:bidi="x-none"/>
        </w:rPr>
        <w:t xml:space="preserve"> (identifying: relevant aspects of issues being discussed that are not mentioned; and debates that are not engaged with) </w:t>
      </w:r>
    </w:p>
    <w:bookmarkEnd w:id="12"/>
    <w:p w14:paraId="70412FF5" w14:textId="6C0AEA77" w:rsidR="002870FE" w:rsidRPr="00EE2953" w:rsidRDefault="00EB63A5" w:rsidP="00B74236">
      <w:pPr>
        <w:pStyle w:val="ListParagraph"/>
        <w:numPr>
          <w:ilvl w:val="0"/>
          <w:numId w:val="29"/>
        </w:numPr>
        <w:spacing w:after="0" w:line="360" w:lineRule="auto"/>
        <w:rPr>
          <w:rFonts w:cstheme="minorHAnsi"/>
          <w:lang w:bidi="x-none"/>
        </w:rPr>
      </w:pPr>
      <w:r w:rsidRPr="00EE2953">
        <w:rPr>
          <w:rFonts w:cstheme="minorHAnsi"/>
          <w:lang w:bidi="x-none"/>
        </w:rPr>
        <w:t>I</w:t>
      </w:r>
      <w:r w:rsidR="002870FE" w:rsidRPr="00EE2953">
        <w:rPr>
          <w:rFonts w:cstheme="minorHAnsi"/>
          <w:lang w:bidi="x-none"/>
        </w:rPr>
        <w:t xml:space="preserve">dentify key </w:t>
      </w:r>
      <w:r w:rsidRPr="00EE2953">
        <w:rPr>
          <w:rFonts w:cstheme="minorHAnsi"/>
          <w:lang w:bidi="x-none"/>
        </w:rPr>
        <w:t xml:space="preserve">strategies – both for </w:t>
      </w:r>
      <w:r w:rsidR="002870FE" w:rsidRPr="00EE2953">
        <w:rPr>
          <w:rFonts w:cstheme="minorHAnsi"/>
          <w:lang w:bidi="x-none"/>
        </w:rPr>
        <w:t>organisation and interpretation</w:t>
      </w:r>
      <w:r w:rsidR="00851CC1" w:rsidRPr="00EE2953">
        <w:rPr>
          <w:rFonts w:cstheme="minorHAnsi"/>
          <w:lang w:bidi="x-none"/>
        </w:rPr>
        <w:t xml:space="preserve"> (attempting t</w:t>
      </w:r>
      <w:r w:rsidR="003F3FA3" w:rsidRPr="00EE2953">
        <w:rPr>
          <w:rFonts w:cstheme="minorHAnsi"/>
          <w:lang w:bidi="x-none"/>
        </w:rPr>
        <w:t>o</w:t>
      </w:r>
      <w:r w:rsidR="00851CC1" w:rsidRPr="00EE2953">
        <w:rPr>
          <w:rFonts w:cstheme="minorHAnsi"/>
          <w:lang w:bidi="x-none"/>
        </w:rPr>
        <w:t xml:space="preserve"> characterise the overall </w:t>
      </w:r>
      <w:r w:rsidR="009C4FF3" w:rsidRPr="00EE2953">
        <w:rPr>
          <w:rFonts w:cstheme="minorHAnsi"/>
          <w:lang w:bidi="x-none"/>
        </w:rPr>
        <w:t xml:space="preserve">rhetorical </w:t>
      </w:r>
      <w:r w:rsidR="00851CC1" w:rsidRPr="00EE2953">
        <w:rPr>
          <w:rFonts w:cstheme="minorHAnsi"/>
          <w:lang w:bidi="x-none"/>
        </w:rPr>
        <w:t xml:space="preserve">approach taken </w:t>
      </w:r>
      <w:r w:rsidR="009C4FF3" w:rsidRPr="00EE2953">
        <w:rPr>
          <w:rFonts w:cstheme="minorHAnsi"/>
          <w:lang w:bidi="x-none"/>
        </w:rPr>
        <w:t>in a text or groups of texts as laid out in steps 1-4)</w:t>
      </w:r>
      <w:r w:rsidR="002870FE" w:rsidRPr="00EE2953">
        <w:rPr>
          <w:rFonts w:cstheme="minorHAnsi"/>
          <w:lang w:bidi="x-none"/>
        </w:rPr>
        <w:t xml:space="preserve"> </w:t>
      </w:r>
      <w:r w:rsidR="00B74236" w:rsidRPr="00EE2953">
        <w:rPr>
          <w:rFonts w:cstheme="minorHAnsi"/>
          <w:lang w:bidi="x-none"/>
        </w:rPr>
        <w:t xml:space="preserve"> </w:t>
      </w:r>
      <w:r w:rsidR="00B74236" w:rsidRPr="00EE2953">
        <w:rPr>
          <w:rFonts w:cstheme="minorHAnsi"/>
          <w:lang w:bidi="x-none"/>
        </w:rPr>
        <w:fldChar w:fldCharType="begin"/>
      </w:r>
      <w:r w:rsidR="00B74236" w:rsidRPr="00EE2953">
        <w:rPr>
          <w:rFonts w:cstheme="minorHAnsi"/>
          <w:lang w:bidi="x-none"/>
        </w:rPr>
        <w:instrText xml:space="preserve"> ADDIN EN.CITE &lt;EndNote&gt;&lt;Cite&gt;&lt;Author&gt;Savona&lt;/Author&gt;&lt;Year&gt;2020&lt;/Year&gt;&lt;RecNum&gt;390&lt;/RecNum&gt;&lt;DisplayText&gt;(Savona et al., 2020)&lt;/DisplayText&gt;&lt;record&gt;&lt;rec-number&gt;390&lt;/rec-number&gt;&lt;foreign-keys&gt;&lt;key app="EN" db-id="wz0s5vxeow0299ew9xqvdsw7t0xf9w02z5wt" timestamp="1612639495"&gt;390&lt;/key&gt;&lt;/foreign-keys&gt;&lt;ref-type name="Journal Article"&gt;17&lt;/ref-type&gt;&lt;contributors&gt;&lt;authors&gt;&lt;author&gt;Savona, N.&lt;/author&gt;&lt;author&gt;Thompson, C.&lt;/author&gt;&lt;author&gt;Smith, D.&lt;/author&gt;&lt;author&gt;Cummins, S.&lt;/author&gt;&lt;/authors&gt;&lt;/contributors&gt;&lt;titles&gt;&lt;title&gt;‘Complexity’ as a rhetorical smokescreen for UK public health inaction on diet&lt;/title&gt;&lt;secondary-title&gt;Critical Public Health&lt;/secondary-title&gt;&lt;/titles&gt;&lt;periodical&gt;&lt;full-title&gt;Critical Public Health&lt;/full-title&gt;&lt;/periodical&gt;&lt;pages&gt;1-11&lt;/pages&gt;&lt;number&gt;April 2020&lt;/number&gt;&lt;dates&gt;&lt;year&gt;2020&lt;/year&gt;&lt;/dates&gt;&lt;urls&gt;&lt;/urls&gt;&lt;/record&gt;&lt;/Cite&gt;&lt;/EndNote&gt;</w:instrText>
      </w:r>
      <w:r w:rsidR="00B74236" w:rsidRPr="00EE2953">
        <w:rPr>
          <w:rFonts w:cstheme="minorHAnsi"/>
          <w:lang w:bidi="x-none"/>
        </w:rPr>
        <w:fldChar w:fldCharType="separate"/>
      </w:r>
      <w:r w:rsidR="00B74236" w:rsidRPr="00EE2953">
        <w:rPr>
          <w:rFonts w:cstheme="minorHAnsi"/>
          <w:noProof/>
          <w:lang w:bidi="x-none"/>
        </w:rPr>
        <w:t>(Savona et al., 2020)</w:t>
      </w:r>
      <w:r w:rsidR="00B74236" w:rsidRPr="00EE2953">
        <w:rPr>
          <w:rFonts w:cstheme="minorHAnsi"/>
          <w:lang w:bidi="x-none"/>
        </w:rPr>
        <w:fldChar w:fldCharType="end"/>
      </w:r>
    </w:p>
    <w:p w14:paraId="5DDA6931" w14:textId="77777777" w:rsidR="00B74236" w:rsidRPr="00EE2953" w:rsidRDefault="00B74236" w:rsidP="00B74236">
      <w:pPr>
        <w:spacing w:after="0" w:line="360" w:lineRule="auto"/>
        <w:contextualSpacing/>
        <w:rPr>
          <w:rFonts w:cstheme="minorHAnsi"/>
          <w:lang w:bidi="x-none"/>
        </w:rPr>
      </w:pPr>
    </w:p>
    <w:p w14:paraId="4CE343F7" w14:textId="46E291A0" w:rsidR="00B74236" w:rsidRPr="00EE2953" w:rsidRDefault="00B74236" w:rsidP="00B74236">
      <w:pPr>
        <w:spacing w:after="0" w:line="360" w:lineRule="auto"/>
        <w:contextualSpacing/>
        <w:rPr>
          <w:rFonts w:cstheme="minorHAnsi"/>
          <w:lang w:bidi="x-none"/>
        </w:rPr>
      </w:pPr>
      <w:r w:rsidRPr="00EE2953">
        <w:rPr>
          <w:rFonts w:cstheme="minorHAnsi"/>
          <w:lang w:bidi="x-none"/>
        </w:rPr>
        <w:t xml:space="preserve">This analytic approach allowed us to explore how </w:t>
      </w:r>
      <w:r w:rsidR="00E86146" w:rsidRPr="00EE2953">
        <w:rPr>
          <w:rFonts w:cstheme="minorHAnsi"/>
          <w:lang w:bidi="x-none"/>
        </w:rPr>
        <w:t>media frames</w:t>
      </w:r>
      <w:r w:rsidRPr="00EE2953">
        <w:rPr>
          <w:rFonts w:cstheme="minorHAnsi"/>
          <w:lang w:bidi="x-none"/>
        </w:rPr>
        <w:t xml:space="preserve"> were rhetorically constructed and justified.</w:t>
      </w:r>
    </w:p>
    <w:p w14:paraId="730F3B91" w14:textId="77777777" w:rsidR="00943BF8" w:rsidRPr="00EE2953" w:rsidRDefault="00943BF8" w:rsidP="00AD7F76">
      <w:pPr>
        <w:keepNext/>
        <w:keepLines/>
        <w:spacing w:after="0" w:line="360" w:lineRule="auto"/>
        <w:rPr>
          <w:rFonts w:cstheme="minorHAnsi"/>
          <w:b/>
        </w:rPr>
      </w:pPr>
    </w:p>
    <w:p w14:paraId="7E86316A" w14:textId="519F9B22" w:rsidR="00AA0419" w:rsidRPr="00EE2953" w:rsidRDefault="00A95923" w:rsidP="00AD7F76">
      <w:pPr>
        <w:keepNext/>
        <w:keepLines/>
        <w:spacing w:after="0" w:line="360" w:lineRule="auto"/>
        <w:rPr>
          <w:rFonts w:cstheme="minorHAnsi"/>
          <w:b/>
        </w:rPr>
      </w:pPr>
      <w:r w:rsidRPr="00EE2953">
        <w:rPr>
          <w:rFonts w:cstheme="minorHAnsi"/>
          <w:b/>
        </w:rPr>
        <w:t xml:space="preserve">3. </w:t>
      </w:r>
      <w:r w:rsidR="00BE40BD" w:rsidRPr="00EE2953">
        <w:rPr>
          <w:rFonts w:cstheme="minorHAnsi"/>
          <w:b/>
        </w:rPr>
        <w:t>Results</w:t>
      </w:r>
    </w:p>
    <w:p w14:paraId="29366055" w14:textId="3A2C8D04" w:rsidR="008801EF" w:rsidRPr="00EE2953" w:rsidRDefault="00A95923" w:rsidP="00AD7F76">
      <w:pPr>
        <w:keepNext/>
        <w:keepLines/>
        <w:spacing w:after="0" w:line="360" w:lineRule="auto"/>
        <w:contextualSpacing/>
        <w:rPr>
          <w:b/>
          <w:i/>
        </w:rPr>
      </w:pPr>
      <w:r w:rsidRPr="00EE2953">
        <w:rPr>
          <w:b/>
          <w:i/>
        </w:rPr>
        <w:t xml:space="preserve">3.1 </w:t>
      </w:r>
      <w:r w:rsidR="008801EF" w:rsidRPr="00EE2953">
        <w:rPr>
          <w:b/>
          <w:i/>
        </w:rPr>
        <w:t>Data</w:t>
      </w:r>
    </w:p>
    <w:p w14:paraId="2597B0DD" w14:textId="414088C4" w:rsidR="008801EF" w:rsidRPr="00F9642B" w:rsidRDefault="008801EF" w:rsidP="008801EF">
      <w:pPr>
        <w:spacing w:after="0" w:line="360" w:lineRule="auto"/>
        <w:contextualSpacing/>
        <w:rPr>
          <w:b/>
          <w:i/>
        </w:rPr>
      </w:pPr>
      <w:r w:rsidRPr="00EE2953">
        <w:rPr>
          <w:rFonts w:cstheme="minorHAnsi"/>
        </w:rPr>
        <w:t>The</w:t>
      </w:r>
      <w:r w:rsidRPr="00EE2953">
        <w:rPr>
          <w:b/>
          <w:i/>
        </w:rPr>
        <w:t xml:space="preserve"> </w:t>
      </w:r>
      <w:r w:rsidRPr="00EE2953">
        <w:rPr>
          <w:rFonts w:cstheme="minorHAnsi"/>
        </w:rPr>
        <w:t>152 included articles were from 72 online or print newspapers and trade press publications</w:t>
      </w:r>
      <w:r w:rsidR="004877F3" w:rsidRPr="00EE2953">
        <w:rPr>
          <w:rFonts w:cstheme="minorHAnsi"/>
        </w:rPr>
        <w:t xml:space="preserve"> (see </w:t>
      </w:r>
      <w:r w:rsidR="00D50CBB" w:rsidRPr="00EE2953">
        <w:rPr>
          <w:rFonts w:cstheme="minorHAnsi"/>
        </w:rPr>
        <w:t>appendix</w:t>
      </w:r>
      <w:r w:rsidR="004877F3" w:rsidRPr="00EE2953">
        <w:rPr>
          <w:rFonts w:cstheme="minorHAnsi"/>
        </w:rPr>
        <w:t xml:space="preserve"> 1)</w:t>
      </w:r>
      <w:r w:rsidRPr="00EE2953">
        <w:rPr>
          <w:rFonts w:cstheme="minorHAnsi"/>
        </w:rPr>
        <w:t>.  Of these, 60% were published in national media</w:t>
      </w:r>
      <w:r w:rsidRPr="00F9642B">
        <w:rPr>
          <w:rFonts w:cstheme="minorHAnsi"/>
        </w:rPr>
        <w:t xml:space="preserve"> and 40% in the local press</w:t>
      </w:r>
      <w:r w:rsidR="00213A30">
        <w:rPr>
          <w:rFonts w:cstheme="minorHAnsi"/>
        </w:rPr>
        <w:t xml:space="preserve"> (both London and other regions)</w:t>
      </w:r>
      <w:r w:rsidRPr="00F9642B">
        <w:rPr>
          <w:rFonts w:cstheme="minorHAnsi"/>
        </w:rPr>
        <w:t xml:space="preserve">. </w:t>
      </w:r>
      <w:r w:rsidRPr="00F9642B">
        <w:rPr>
          <w:rFonts w:cstheme="minorHAnsi"/>
          <w:bCs/>
        </w:rPr>
        <w:t xml:space="preserve">Figure </w:t>
      </w:r>
      <w:r w:rsidR="009B5233">
        <w:rPr>
          <w:rFonts w:cstheme="minorHAnsi"/>
          <w:bCs/>
        </w:rPr>
        <w:t>1</w:t>
      </w:r>
      <w:r w:rsidRPr="00F9642B">
        <w:rPr>
          <w:rFonts w:cstheme="minorHAnsi"/>
        </w:rPr>
        <w:t xml:space="preserve"> shows the number of articles over time and demonstrates peaks in the volume of coverage around launch of the public consultation (May 2018), announcement of the ban (November 2018), and its implementation (February 2019).</w:t>
      </w:r>
    </w:p>
    <w:p w14:paraId="4768C3B5" w14:textId="77777777" w:rsidR="008801EF" w:rsidRPr="00F9642B" w:rsidRDefault="008801EF" w:rsidP="008801EF">
      <w:pPr>
        <w:spacing w:after="0" w:line="360" w:lineRule="auto"/>
        <w:rPr>
          <w:rFonts w:cstheme="minorHAnsi"/>
        </w:rPr>
      </w:pPr>
    </w:p>
    <w:p w14:paraId="1928E427" w14:textId="77777777" w:rsidR="008801EF" w:rsidRPr="00F9642B" w:rsidRDefault="008801EF" w:rsidP="008801EF">
      <w:pPr>
        <w:autoSpaceDE w:val="0"/>
        <w:autoSpaceDN w:val="0"/>
        <w:adjustRightInd w:val="0"/>
        <w:spacing w:after="0" w:line="240" w:lineRule="auto"/>
        <w:jc w:val="center"/>
        <w:rPr>
          <w:rFonts w:ascii="Times New Roman" w:hAnsi="Times New Roman" w:cs="Times New Roman"/>
          <w:b/>
          <w:color w:val="ED7D31" w:themeColor="accent2"/>
          <w:sz w:val="24"/>
          <w:szCs w:val="24"/>
        </w:rPr>
      </w:pPr>
      <w:r w:rsidRPr="00F9642B">
        <w:rPr>
          <w:rFonts w:cstheme="minorHAnsi"/>
          <w:b/>
          <w:noProof/>
          <w:color w:val="ED7D31" w:themeColor="accent2"/>
          <w:lang w:eastAsia="en-GB"/>
        </w:rPr>
        <w:lastRenderedPageBreak/>
        <mc:AlternateContent>
          <mc:Choice Requires="wpg">
            <w:drawing>
              <wp:anchor distT="0" distB="0" distL="114300" distR="114300" simplePos="0" relativeHeight="251688960" behindDoc="0" locked="0" layoutInCell="1" allowOverlap="1" wp14:anchorId="778F5619" wp14:editId="50E6E84E">
                <wp:simplePos x="0" y="0"/>
                <wp:positionH relativeFrom="column">
                  <wp:posOffset>3889564</wp:posOffset>
                </wp:positionH>
                <wp:positionV relativeFrom="paragraph">
                  <wp:posOffset>174625</wp:posOffset>
                </wp:positionV>
                <wp:extent cx="1295827" cy="466725"/>
                <wp:effectExtent l="0" t="0" r="0" b="0"/>
                <wp:wrapNone/>
                <wp:docPr id="28" name="Group 28"/>
                <wp:cNvGraphicFramePr/>
                <a:graphic xmlns:a="http://schemas.openxmlformats.org/drawingml/2006/main">
                  <a:graphicData uri="http://schemas.microsoft.com/office/word/2010/wordprocessingGroup">
                    <wpg:wgp>
                      <wpg:cNvGrpSpPr/>
                      <wpg:grpSpPr>
                        <a:xfrm>
                          <a:off x="0" y="0"/>
                          <a:ext cx="1295827" cy="466725"/>
                          <a:chOff x="0" y="0"/>
                          <a:chExt cx="1295827" cy="466725"/>
                        </a:xfrm>
                      </wpg:grpSpPr>
                      <wps:wsp>
                        <wps:cNvPr id="29" name="Rectangle 29"/>
                        <wps:cNvSpPr/>
                        <wps:spPr>
                          <a:xfrm>
                            <a:off x="0" y="47767"/>
                            <a:ext cx="104775" cy="133350"/>
                          </a:xfrm>
                          <a:prstGeom prst="rect">
                            <a:avLst/>
                          </a:prstGeom>
                          <a:solidFill>
                            <a:srgbClr val="E7E6E6">
                              <a:lumMod val="1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266131"/>
                            <a:ext cx="104775" cy="133350"/>
                          </a:xfrm>
                          <a:prstGeom prst="rect">
                            <a:avLst/>
                          </a:prstGeom>
                          <a:solidFill>
                            <a:srgbClr val="E7E6E6">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43302" y="0"/>
                            <a:ext cx="1152525" cy="466725"/>
                          </a:xfrm>
                          <a:prstGeom prst="rect">
                            <a:avLst/>
                          </a:prstGeom>
                          <a:noFill/>
                          <a:ln w="12700" cap="flat" cmpd="sng" algn="ctr">
                            <a:solidFill>
                              <a:sysClr val="windowText" lastClr="000000">
                                <a:alpha val="0"/>
                              </a:sysClr>
                            </a:solidFill>
                            <a:prstDash val="solid"/>
                            <a:miter lim="800000"/>
                          </a:ln>
                          <a:effectLst/>
                        </wps:spPr>
                        <wps:txbx>
                          <w:txbxContent>
                            <w:p w14:paraId="36E1B168" w14:textId="77777777" w:rsidR="005D4D62" w:rsidRDefault="005D4D62" w:rsidP="008801EF">
                              <w:pPr>
                                <w:rPr>
                                  <w:color w:val="000000" w:themeColor="text1"/>
                                  <w:sz w:val="16"/>
                                  <w:szCs w:val="16"/>
                                </w:rPr>
                              </w:pPr>
                              <w:r>
                                <w:rPr>
                                  <w:color w:val="000000" w:themeColor="text1"/>
                                  <w:sz w:val="16"/>
                                  <w:szCs w:val="16"/>
                                </w:rPr>
                                <w:t>Local publications</w:t>
                              </w:r>
                            </w:p>
                            <w:p w14:paraId="0B5FC025" w14:textId="77777777" w:rsidR="005D4D62" w:rsidRPr="00426B12" w:rsidRDefault="005D4D62" w:rsidP="008801EF">
                              <w:pPr>
                                <w:rPr>
                                  <w:color w:val="000000" w:themeColor="text1"/>
                                  <w:sz w:val="16"/>
                                  <w:szCs w:val="16"/>
                                </w:rPr>
                              </w:pPr>
                              <w:r>
                                <w:rPr>
                                  <w:color w:val="000000" w:themeColor="text1"/>
                                  <w:sz w:val="16"/>
                                  <w:szCs w:val="16"/>
                                </w:rPr>
                                <w:t>Nation</w:t>
                              </w:r>
                              <w:r w:rsidRPr="00426B12">
                                <w:rPr>
                                  <w:color w:val="000000" w:themeColor="text1"/>
                                  <w:sz w:val="16"/>
                                  <w:szCs w:val="16"/>
                                </w:rPr>
                                <w:t xml:space="preserve">al </w:t>
                              </w:r>
                              <w:r>
                                <w:rPr>
                                  <w:color w:val="000000" w:themeColor="text1"/>
                                  <w:sz w:val="16"/>
                                  <w:szCs w:val="16"/>
                                </w:rPr>
                                <w:t>publications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8F5619" id="Group 28" o:spid="_x0000_s1026" style="position:absolute;left:0;text-align:left;margin-left:306.25pt;margin-top:13.75pt;width:102.05pt;height:36.75pt;z-index:251688960" coordsize="12958,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">
                <v:rect id="Rectangle 29" o:spid="_x0000_s1027" style="position:absolute;top:477;width:1047;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" fillcolor="#181717" stroked="f" strokeweight="1pt"/>
                <v:rect id="Rectangle 30" o:spid="_x0000_s1028" style="position:absolute;top:2661;width:1047;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" fillcolor="#afabab" stroked="f" strokeweight="1pt"/>
                <v:rect id="Rectangle 31" o:spid="_x0000_s1029" style="position:absolute;left:1433;width:1152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" filled="f" strokecolor="windowText" strokeweight="1pt">
                  <v:stroke opacity="0"/>
                  <v:textbox>
                    <w:txbxContent>
                      <w:p w14:paraId="36E1B168" w14:textId="77777777" w:rsidR="005D4D62" w:rsidRDefault="005D4D62" w:rsidP="008801EF">
                        <w:pPr>
                          <w:rPr>
                            <w:color w:val="000000" w:themeColor="text1"/>
                            <w:sz w:val="16"/>
                            <w:szCs w:val="16"/>
                          </w:rPr>
                        </w:pPr>
                        <w:r>
                          <w:rPr>
                            <w:color w:val="000000" w:themeColor="text1"/>
                            <w:sz w:val="16"/>
                            <w:szCs w:val="16"/>
                          </w:rPr>
                          <w:t>Local publications</w:t>
                        </w:r>
                      </w:p>
                      <w:p w14:paraId="0B5FC025" w14:textId="77777777" w:rsidR="005D4D62" w:rsidRPr="00426B12" w:rsidRDefault="005D4D62" w:rsidP="008801EF">
                        <w:pPr>
                          <w:rPr>
                            <w:color w:val="000000" w:themeColor="text1"/>
                            <w:sz w:val="16"/>
                            <w:szCs w:val="16"/>
                          </w:rPr>
                        </w:pPr>
                        <w:r>
                          <w:rPr>
                            <w:color w:val="000000" w:themeColor="text1"/>
                            <w:sz w:val="16"/>
                            <w:szCs w:val="16"/>
                          </w:rPr>
                          <w:t>Nation</w:t>
                        </w:r>
                        <w:r w:rsidRPr="00426B12">
                          <w:rPr>
                            <w:color w:val="000000" w:themeColor="text1"/>
                            <w:sz w:val="16"/>
                            <w:szCs w:val="16"/>
                          </w:rPr>
                          <w:t xml:space="preserve">al </w:t>
                        </w:r>
                        <w:r>
                          <w:rPr>
                            <w:color w:val="000000" w:themeColor="text1"/>
                            <w:sz w:val="16"/>
                            <w:szCs w:val="16"/>
                          </w:rPr>
                          <w:t>publications</w:t>
                        </w:r>
                      </w:p>
                    </w:txbxContent>
                  </v:textbox>
                </v:rect>
              </v:group>
            </w:pict>
          </mc:Fallback>
        </mc:AlternateContent>
      </w:r>
      <w:r w:rsidRPr="00F9642B">
        <w:rPr>
          <w:rFonts w:cstheme="minorHAnsi"/>
          <w:b/>
          <w:noProof/>
          <w:color w:val="ED7D31" w:themeColor="accent2"/>
          <w:lang w:eastAsia="en-GB"/>
        </w:rPr>
        <mc:AlternateContent>
          <mc:Choice Requires="wps">
            <w:drawing>
              <wp:anchor distT="0" distB="0" distL="114300" distR="114300" simplePos="0" relativeHeight="251681792" behindDoc="0" locked="0" layoutInCell="1" allowOverlap="1" wp14:anchorId="456ACF7A" wp14:editId="2DA65EAD">
                <wp:simplePos x="0" y="0"/>
                <wp:positionH relativeFrom="column">
                  <wp:posOffset>1442085</wp:posOffset>
                </wp:positionH>
                <wp:positionV relativeFrom="paragraph">
                  <wp:posOffset>2407446</wp:posOffset>
                </wp:positionV>
                <wp:extent cx="0" cy="100330"/>
                <wp:effectExtent l="0" t="0" r="19050" b="13970"/>
                <wp:wrapNone/>
                <wp:docPr id="32" name="Straight Connector 32"/>
                <wp:cNvGraphicFramePr/>
                <a:graphic xmlns:a="http://schemas.openxmlformats.org/drawingml/2006/main">
                  <a:graphicData uri="http://schemas.microsoft.com/office/word/2010/wordprocessingShape">
                    <wps:wsp>
                      <wps:cNvCnPr/>
                      <wps:spPr>
                        <a:xfrm>
                          <a:off x="0" y="0"/>
                          <a:ext cx="0" cy="100330"/>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2C31B3B4" id="Straight Connector 3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3.55pt,189.55pt" to="113.5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" strokecolor="windowText" strokeweight="2pt">
                <v:stroke joinstyle="miter"/>
              </v:line>
            </w:pict>
          </mc:Fallback>
        </mc:AlternateContent>
      </w:r>
      <w:r w:rsidRPr="00F9642B">
        <w:rPr>
          <w:rFonts w:cstheme="minorHAnsi"/>
          <w:b/>
          <w:noProof/>
          <w:color w:val="ED7D31" w:themeColor="accent2"/>
          <w:lang w:eastAsia="en-GB"/>
        </w:rPr>
        <mc:AlternateContent>
          <mc:Choice Requires="wps">
            <w:drawing>
              <wp:anchor distT="0" distB="0" distL="114300" distR="114300" simplePos="0" relativeHeight="251685888" behindDoc="0" locked="0" layoutInCell="1" allowOverlap="1" wp14:anchorId="628AE724" wp14:editId="05D2372F">
                <wp:simplePos x="0" y="0"/>
                <wp:positionH relativeFrom="column">
                  <wp:posOffset>4198620</wp:posOffset>
                </wp:positionH>
                <wp:positionV relativeFrom="paragraph">
                  <wp:posOffset>2408555</wp:posOffset>
                </wp:positionV>
                <wp:extent cx="0" cy="100330"/>
                <wp:effectExtent l="0" t="0" r="19050" b="13970"/>
                <wp:wrapNone/>
                <wp:docPr id="33" name="Straight Connector 33"/>
                <wp:cNvGraphicFramePr/>
                <a:graphic xmlns:a="http://schemas.openxmlformats.org/drawingml/2006/main">
                  <a:graphicData uri="http://schemas.microsoft.com/office/word/2010/wordprocessingShape">
                    <wps:wsp>
                      <wps:cNvCnPr/>
                      <wps:spPr>
                        <a:xfrm>
                          <a:off x="0" y="0"/>
                          <a:ext cx="0" cy="100330"/>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5D72B339" id="Straight Connector 3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0.6pt,189.65pt" to="330.6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" strokecolor="windowText" strokeweight="2pt">
                <v:stroke joinstyle="miter"/>
              </v:line>
            </w:pict>
          </mc:Fallback>
        </mc:AlternateContent>
      </w:r>
      <w:r w:rsidRPr="00F9642B">
        <w:rPr>
          <w:rFonts w:cstheme="minorHAnsi"/>
          <w:b/>
          <w:noProof/>
          <w:color w:val="ED7D31" w:themeColor="accent2"/>
          <w:lang w:eastAsia="en-GB"/>
        </w:rPr>
        <mc:AlternateContent>
          <mc:Choice Requires="wps">
            <w:drawing>
              <wp:anchor distT="0" distB="0" distL="114300" distR="114300" simplePos="0" relativeHeight="251683840" behindDoc="0" locked="0" layoutInCell="1" allowOverlap="1" wp14:anchorId="6C9BB726" wp14:editId="2CCE2C09">
                <wp:simplePos x="0" y="0"/>
                <wp:positionH relativeFrom="column">
                  <wp:posOffset>3244850</wp:posOffset>
                </wp:positionH>
                <wp:positionV relativeFrom="paragraph">
                  <wp:posOffset>2406650</wp:posOffset>
                </wp:positionV>
                <wp:extent cx="0" cy="100330"/>
                <wp:effectExtent l="0" t="0" r="19050" b="13970"/>
                <wp:wrapNone/>
                <wp:docPr id="34" name="Straight Connector 34"/>
                <wp:cNvGraphicFramePr/>
                <a:graphic xmlns:a="http://schemas.openxmlformats.org/drawingml/2006/main">
                  <a:graphicData uri="http://schemas.microsoft.com/office/word/2010/wordprocessingShape">
                    <wps:wsp>
                      <wps:cNvCnPr/>
                      <wps:spPr>
                        <a:xfrm>
                          <a:off x="0" y="0"/>
                          <a:ext cx="0" cy="100330"/>
                        </a:xfrm>
                        <a:prstGeom prst="line">
                          <a:avLst/>
                        </a:prstGeom>
                        <a:noFill/>
                        <a:ln w="25400" cap="flat" cmpd="sng" algn="ctr">
                          <a:solidFill>
                            <a:sysClr val="windowText" lastClr="000000"/>
                          </a:solidFill>
                          <a:prstDash val="solid"/>
                          <a:miter lim="800000"/>
                        </a:ln>
                        <a:effectLst/>
                      </wps:spPr>
                      <wps:bodyPr/>
                    </wps:wsp>
                  </a:graphicData>
                </a:graphic>
              </wp:anchor>
            </w:drawing>
          </mc:Choice>
          <mc:Fallback>
            <w:pict>
              <v:line w14:anchorId="630E47D4" id="Straight Connector 3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55.5pt,189.5pt" to="255.5pt,1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" strokecolor="windowText" strokeweight="2pt">
                <v:stroke joinstyle="miter"/>
              </v:line>
            </w:pict>
          </mc:Fallback>
        </mc:AlternateContent>
      </w:r>
      <w:r w:rsidRPr="00F9642B">
        <w:rPr>
          <w:rFonts w:cstheme="minorHAnsi"/>
          <w:b/>
          <w:noProof/>
          <w:color w:val="ED7D31" w:themeColor="accent2"/>
          <w:lang w:eastAsia="en-GB"/>
        </w:rPr>
        <mc:AlternateContent>
          <mc:Choice Requires="wps">
            <w:drawing>
              <wp:anchor distT="0" distB="0" distL="114300" distR="114300" simplePos="0" relativeHeight="251687936" behindDoc="0" locked="0" layoutInCell="1" allowOverlap="1" wp14:anchorId="7C7C193A" wp14:editId="3FE0BC9B">
                <wp:simplePos x="0" y="0"/>
                <wp:positionH relativeFrom="column">
                  <wp:posOffset>704850</wp:posOffset>
                </wp:positionH>
                <wp:positionV relativeFrom="paragraph">
                  <wp:posOffset>2456180</wp:posOffset>
                </wp:positionV>
                <wp:extent cx="440055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44005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1653459" id="Straight Connector 3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5.5pt,193.4pt" to="402pt,1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" strokecolor="windowText" strokeweight="1pt">
                <v:stroke joinstyle="miter"/>
              </v:line>
            </w:pict>
          </mc:Fallback>
        </mc:AlternateContent>
      </w:r>
      <w:r w:rsidRPr="00F9642B">
        <w:t xml:space="preserve"> </w:t>
      </w:r>
      <w:r w:rsidRPr="00F9642B">
        <w:rPr>
          <w:noProof/>
          <w:lang w:eastAsia="en-GB"/>
        </w:rPr>
        <w:drawing>
          <wp:inline distT="0" distB="0" distL="0" distR="0" wp14:anchorId="2BB06DF0" wp14:editId="0BBBC15E">
            <wp:extent cx="4988560" cy="2457450"/>
            <wp:effectExtent l="0" t="0" r="2540" b="0"/>
            <wp:docPr id="39" name="Chart 39">
              <a:extLst xmlns:a="http://schemas.openxmlformats.org/drawingml/2006/main">
                <a:ext uri="{FF2B5EF4-FFF2-40B4-BE49-F238E27FC236}">
                  <a16:creationId xmlns:a16="http://schemas.microsoft.com/office/drawing/2014/main" id="{F57C6451-4FD1-407E-9945-2735EA72CC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C56723" w14:textId="77777777" w:rsidR="008801EF" w:rsidRPr="00F9642B" w:rsidRDefault="008801EF" w:rsidP="008801EF">
      <w:pPr>
        <w:spacing w:after="0" w:line="360" w:lineRule="auto"/>
        <w:rPr>
          <w:rFonts w:cstheme="minorHAnsi"/>
          <w:b/>
          <w:color w:val="ED7D31" w:themeColor="accent2"/>
        </w:rPr>
      </w:pPr>
      <w:r w:rsidRPr="00F9642B">
        <w:rPr>
          <w:rFonts w:cstheme="minorHAnsi"/>
          <w:b/>
          <w:noProof/>
          <w:color w:val="ED7D31" w:themeColor="accent2"/>
          <w:lang w:eastAsia="en-GB"/>
        </w:rPr>
        <mc:AlternateContent>
          <mc:Choice Requires="wps">
            <w:drawing>
              <wp:anchor distT="0" distB="0" distL="114300" distR="114300" simplePos="0" relativeHeight="251686912" behindDoc="0" locked="0" layoutInCell="1" allowOverlap="1" wp14:anchorId="17423498" wp14:editId="61E871A6">
                <wp:simplePos x="0" y="0"/>
                <wp:positionH relativeFrom="column">
                  <wp:posOffset>3780790</wp:posOffset>
                </wp:positionH>
                <wp:positionV relativeFrom="paragraph">
                  <wp:posOffset>43815</wp:posOffset>
                </wp:positionV>
                <wp:extent cx="866775" cy="344170"/>
                <wp:effectExtent l="0" t="0" r="0" b="0"/>
                <wp:wrapNone/>
                <wp:docPr id="36" name="Rectangle 36"/>
                <wp:cNvGraphicFramePr/>
                <a:graphic xmlns:a="http://schemas.openxmlformats.org/drawingml/2006/main">
                  <a:graphicData uri="http://schemas.microsoft.com/office/word/2010/wordprocessingShape">
                    <wps:wsp>
                      <wps:cNvSpPr/>
                      <wps:spPr>
                        <a:xfrm>
                          <a:off x="0" y="0"/>
                          <a:ext cx="866775" cy="344170"/>
                        </a:xfrm>
                        <a:prstGeom prst="rect">
                          <a:avLst/>
                        </a:prstGeom>
                        <a:noFill/>
                        <a:ln w="12700" cap="flat" cmpd="sng" algn="ctr">
                          <a:noFill/>
                          <a:prstDash val="solid"/>
                          <a:miter lim="800000"/>
                        </a:ln>
                        <a:effectLst/>
                      </wps:spPr>
                      <wps:txbx>
                        <w:txbxContent>
                          <w:p w14:paraId="06CF7994" w14:textId="77777777" w:rsidR="005D4D62" w:rsidRPr="00585671" w:rsidRDefault="005D4D62" w:rsidP="008801EF">
                            <w:pPr>
                              <w:jc w:val="center"/>
                              <w:rPr>
                                <w:rFonts w:ascii="Arial" w:hAnsi="Arial" w:cs="Arial"/>
                                <w:b/>
                                <w:color w:val="000000" w:themeColor="text1"/>
                                <w:sz w:val="14"/>
                                <w:szCs w:val="14"/>
                              </w:rPr>
                            </w:pPr>
                            <w:r w:rsidRPr="00585671">
                              <w:rPr>
                                <w:rFonts w:ascii="Arial" w:hAnsi="Arial" w:cs="Arial"/>
                                <w:b/>
                                <w:color w:val="000000" w:themeColor="text1"/>
                                <w:sz w:val="14"/>
                                <w:szCs w:val="14"/>
                              </w:rPr>
                              <w:t>Implementation of the 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23498" id="Rectangle 36" o:spid="_x0000_s1030" style="position:absolute;margin-left:297.7pt;margin-top:3.45pt;width:68.25pt;height:2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" filled="f" stroked="f" strokeweight="1pt">
                <v:textbox>
                  <w:txbxContent>
                    <w:p w14:paraId="06CF7994" w14:textId="77777777" w:rsidR="005D4D62" w:rsidRPr="00585671" w:rsidRDefault="005D4D62" w:rsidP="008801EF">
                      <w:pPr>
                        <w:jc w:val="center"/>
                        <w:rPr>
                          <w:rFonts w:ascii="Arial" w:hAnsi="Arial" w:cs="Arial"/>
                          <w:b/>
                          <w:color w:val="000000" w:themeColor="text1"/>
                          <w:sz w:val="14"/>
                          <w:szCs w:val="14"/>
                        </w:rPr>
                      </w:pPr>
                      <w:r w:rsidRPr="00585671">
                        <w:rPr>
                          <w:rFonts w:ascii="Arial" w:hAnsi="Arial" w:cs="Arial"/>
                          <w:b/>
                          <w:color w:val="000000" w:themeColor="text1"/>
                          <w:sz w:val="14"/>
                          <w:szCs w:val="14"/>
                        </w:rPr>
                        <w:t>Implementation of the ban</w:t>
                      </w:r>
                    </w:p>
                  </w:txbxContent>
                </v:textbox>
              </v:rect>
            </w:pict>
          </mc:Fallback>
        </mc:AlternateContent>
      </w:r>
      <w:r w:rsidRPr="00F9642B">
        <w:rPr>
          <w:rFonts w:cstheme="minorHAnsi"/>
          <w:b/>
          <w:noProof/>
          <w:color w:val="ED7D31" w:themeColor="accent2"/>
          <w:lang w:eastAsia="en-GB"/>
        </w:rPr>
        <mc:AlternateContent>
          <mc:Choice Requires="wps">
            <w:drawing>
              <wp:anchor distT="0" distB="0" distL="114300" distR="114300" simplePos="0" relativeHeight="251684864" behindDoc="0" locked="0" layoutInCell="1" allowOverlap="1" wp14:anchorId="2D5CE39E" wp14:editId="5F94F6F8">
                <wp:simplePos x="0" y="0"/>
                <wp:positionH relativeFrom="margin">
                  <wp:posOffset>2825750</wp:posOffset>
                </wp:positionH>
                <wp:positionV relativeFrom="paragraph">
                  <wp:posOffset>44450</wp:posOffset>
                </wp:positionV>
                <wp:extent cx="860425" cy="344170"/>
                <wp:effectExtent l="0" t="0" r="0" b="0"/>
                <wp:wrapNone/>
                <wp:docPr id="37" name="Rectangle 37"/>
                <wp:cNvGraphicFramePr/>
                <a:graphic xmlns:a="http://schemas.openxmlformats.org/drawingml/2006/main">
                  <a:graphicData uri="http://schemas.microsoft.com/office/word/2010/wordprocessingShape">
                    <wps:wsp>
                      <wps:cNvSpPr/>
                      <wps:spPr>
                        <a:xfrm>
                          <a:off x="0" y="0"/>
                          <a:ext cx="860425" cy="344170"/>
                        </a:xfrm>
                        <a:prstGeom prst="rect">
                          <a:avLst/>
                        </a:prstGeom>
                        <a:noFill/>
                        <a:ln w="12700" cap="flat" cmpd="sng" algn="ctr">
                          <a:noFill/>
                          <a:prstDash val="solid"/>
                          <a:miter lim="800000"/>
                        </a:ln>
                        <a:effectLst/>
                      </wps:spPr>
                      <wps:txbx>
                        <w:txbxContent>
                          <w:p w14:paraId="7148CFD9" w14:textId="77777777" w:rsidR="005D4D62" w:rsidRPr="00585671" w:rsidRDefault="005D4D62" w:rsidP="008801EF">
                            <w:pPr>
                              <w:jc w:val="center"/>
                              <w:rPr>
                                <w:rFonts w:ascii="Arial" w:hAnsi="Arial" w:cs="Arial"/>
                                <w:b/>
                                <w:color w:val="000000" w:themeColor="text1"/>
                                <w:sz w:val="14"/>
                                <w:szCs w:val="14"/>
                              </w:rPr>
                            </w:pPr>
                            <w:r w:rsidRPr="00585671">
                              <w:rPr>
                                <w:rFonts w:ascii="Arial" w:hAnsi="Arial" w:cs="Arial"/>
                                <w:b/>
                                <w:color w:val="000000" w:themeColor="text1"/>
                                <w:sz w:val="14"/>
                                <w:szCs w:val="14"/>
                              </w:rPr>
                              <w:t>Announcement of the 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CE39E" id="Rectangle 37" o:spid="_x0000_s1031" style="position:absolute;margin-left:222.5pt;margin-top:3.5pt;width:67.75pt;height:27.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" filled="f" stroked="f" strokeweight="1pt">
                <v:textbox>
                  <w:txbxContent>
                    <w:p w14:paraId="7148CFD9" w14:textId="77777777" w:rsidR="005D4D62" w:rsidRPr="00585671" w:rsidRDefault="005D4D62" w:rsidP="008801EF">
                      <w:pPr>
                        <w:jc w:val="center"/>
                        <w:rPr>
                          <w:rFonts w:ascii="Arial" w:hAnsi="Arial" w:cs="Arial"/>
                          <w:b/>
                          <w:color w:val="000000" w:themeColor="text1"/>
                          <w:sz w:val="14"/>
                          <w:szCs w:val="14"/>
                        </w:rPr>
                      </w:pPr>
                      <w:r w:rsidRPr="00585671">
                        <w:rPr>
                          <w:rFonts w:ascii="Arial" w:hAnsi="Arial" w:cs="Arial"/>
                          <w:b/>
                          <w:color w:val="000000" w:themeColor="text1"/>
                          <w:sz w:val="14"/>
                          <w:szCs w:val="14"/>
                        </w:rPr>
                        <w:t>Announcement of the ban</w:t>
                      </w:r>
                    </w:p>
                  </w:txbxContent>
                </v:textbox>
                <w10:wrap anchorx="margin"/>
              </v:rect>
            </w:pict>
          </mc:Fallback>
        </mc:AlternateContent>
      </w:r>
      <w:r w:rsidRPr="00F9642B">
        <w:rPr>
          <w:rFonts w:cstheme="minorHAnsi"/>
          <w:b/>
          <w:noProof/>
          <w:color w:val="ED7D31" w:themeColor="accent2"/>
          <w:lang w:eastAsia="en-GB"/>
        </w:rPr>
        <mc:AlternateContent>
          <mc:Choice Requires="wps">
            <w:drawing>
              <wp:anchor distT="0" distB="0" distL="114300" distR="114300" simplePos="0" relativeHeight="251682816" behindDoc="0" locked="0" layoutInCell="1" allowOverlap="1" wp14:anchorId="70D36860" wp14:editId="7958145F">
                <wp:simplePos x="0" y="0"/>
                <wp:positionH relativeFrom="column">
                  <wp:posOffset>828675</wp:posOffset>
                </wp:positionH>
                <wp:positionV relativeFrom="paragraph">
                  <wp:posOffset>20320</wp:posOffset>
                </wp:positionV>
                <wp:extent cx="1264285" cy="428625"/>
                <wp:effectExtent l="0" t="0" r="0" b="0"/>
                <wp:wrapNone/>
                <wp:docPr id="38" name="Rectangle 38"/>
                <wp:cNvGraphicFramePr/>
                <a:graphic xmlns:a="http://schemas.openxmlformats.org/drawingml/2006/main">
                  <a:graphicData uri="http://schemas.microsoft.com/office/word/2010/wordprocessingShape">
                    <wps:wsp>
                      <wps:cNvSpPr/>
                      <wps:spPr>
                        <a:xfrm>
                          <a:off x="0" y="0"/>
                          <a:ext cx="1264285" cy="428625"/>
                        </a:xfrm>
                        <a:prstGeom prst="rect">
                          <a:avLst/>
                        </a:prstGeom>
                        <a:noFill/>
                        <a:ln w="12700" cap="flat" cmpd="sng" algn="ctr">
                          <a:noFill/>
                          <a:prstDash val="solid"/>
                          <a:miter lim="800000"/>
                        </a:ln>
                        <a:effectLst/>
                      </wps:spPr>
                      <wps:txbx>
                        <w:txbxContent>
                          <w:p w14:paraId="5CD7EB1B" w14:textId="77777777" w:rsidR="005D4D62" w:rsidRPr="00585671" w:rsidRDefault="005D4D62" w:rsidP="008801EF">
                            <w:pPr>
                              <w:jc w:val="center"/>
                              <w:rPr>
                                <w:rFonts w:ascii="Arial" w:hAnsi="Arial" w:cs="Arial"/>
                                <w:b/>
                                <w:color w:val="000000" w:themeColor="text1"/>
                                <w:sz w:val="14"/>
                                <w:szCs w:val="14"/>
                              </w:rPr>
                            </w:pPr>
                            <w:r w:rsidRPr="00585671">
                              <w:rPr>
                                <w:rFonts w:ascii="Arial" w:hAnsi="Arial" w:cs="Arial"/>
                                <w:b/>
                                <w:color w:val="000000" w:themeColor="text1"/>
                                <w:sz w:val="14"/>
                                <w:szCs w:val="14"/>
                              </w:rPr>
                              <w:t>Launch of the public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36860" id="Rectangle 38" o:spid="_x0000_s1032" style="position:absolute;margin-left:65.25pt;margin-top:1.6pt;width:99.5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" filled="f" stroked="f" strokeweight="1pt">
                <v:textbox>
                  <w:txbxContent>
                    <w:p w14:paraId="5CD7EB1B" w14:textId="77777777" w:rsidR="005D4D62" w:rsidRPr="00585671" w:rsidRDefault="005D4D62" w:rsidP="008801EF">
                      <w:pPr>
                        <w:jc w:val="center"/>
                        <w:rPr>
                          <w:rFonts w:ascii="Arial" w:hAnsi="Arial" w:cs="Arial"/>
                          <w:b/>
                          <w:color w:val="000000" w:themeColor="text1"/>
                          <w:sz w:val="14"/>
                          <w:szCs w:val="14"/>
                        </w:rPr>
                      </w:pPr>
                      <w:r w:rsidRPr="00585671">
                        <w:rPr>
                          <w:rFonts w:ascii="Arial" w:hAnsi="Arial" w:cs="Arial"/>
                          <w:b/>
                          <w:color w:val="000000" w:themeColor="text1"/>
                          <w:sz w:val="14"/>
                          <w:szCs w:val="14"/>
                        </w:rPr>
                        <w:t>Launch of the public consultation</w:t>
                      </w:r>
                    </w:p>
                  </w:txbxContent>
                </v:textbox>
              </v:rect>
            </w:pict>
          </mc:Fallback>
        </mc:AlternateContent>
      </w:r>
    </w:p>
    <w:p w14:paraId="30E1A58E" w14:textId="77777777" w:rsidR="009778C3" w:rsidRDefault="009778C3" w:rsidP="009778C3">
      <w:pPr>
        <w:spacing w:after="0" w:line="360" w:lineRule="auto"/>
        <w:rPr>
          <w:rFonts w:cstheme="minorHAnsi"/>
          <w:b/>
          <w:color w:val="ED7D31" w:themeColor="accent2"/>
        </w:rPr>
      </w:pPr>
    </w:p>
    <w:p w14:paraId="2105D37E" w14:textId="08FEC53F" w:rsidR="008801EF" w:rsidRPr="00EE2953" w:rsidRDefault="008801EF" w:rsidP="00EE2953">
      <w:pPr>
        <w:spacing w:after="0" w:line="360" w:lineRule="auto"/>
        <w:rPr>
          <w:rFonts w:cstheme="minorHAnsi"/>
          <w:b/>
        </w:rPr>
      </w:pPr>
      <w:r w:rsidRPr="00F9642B">
        <w:rPr>
          <w:rFonts w:cstheme="minorHAnsi"/>
          <w:b/>
        </w:rPr>
        <w:t xml:space="preserve">Figure </w:t>
      </w:r>
      <w:r w:rsidR="009B5233" w:rsidRPr="00EE2953">
        <w:rPr>
          <w:rFonts w:cstheme="minorHAnsi"/>
          <w:b/>
        </w:rPr>
        <w:t>1</w:t>
      </w:r>
      <w:r w:rsidRPr="00EE2953">
        <w:rPr>
          <w:rFonts w:cstheme="minorHAnsi"/>
          <w:b/>
        </w:rPr>
        <w:t xml:space="preserve"> </w:t>
      </w:r>
      <w:r w:rsidRPr="00EE2953">
        <w:rPr>
          <w:rFonts w:cstheme="minorHAnsi"/>
        </w:rPr>
        <w:t>Coverage of the ban between March 2018 and May 2019</w:t>
      </w:r>
    </w:p>
    <w:p w14:paraId="290C5669" w14:textId="595BAFDE" w:rsidR="008801EF" w:rsidRPr="00EE2953" w:rsidRDefault="008801EF" w:rsidP="00EE2953">
      <w:pPr>
        <w:spacing w:after="0" w:line="360" w:lineRule="auto"/>
        <w:rPr>
          <w:rFonts w:cstheme="minorHAnsi"/>
          <w:b/>
        </w:rPr>
      </w:pPr>
    </w:p>
    <w:p w14:paraId="734C9F24" w14:textId="4850B1BE" w:rsidR="00E10117" w:rsidRPr="00EE2953" w:rsidRDefault="00E10117" w:rsidP="00EE2953">
      <w:pPr>
        <w:spacing w:after="0" w:line="360" w:lineRule="auto"/>
        <w:contextualSpacing/>
        <w:rPr>
          <w:rFonts w:eastAsia="Times New Roman"/>
        </w:rPr>
      </w:pPr>
      <w:r w:rsidRPr="00EE2953">
        <w:rPr>
          <w:rFonts w:eastAsia="Times New Roman"/>
        </w:rPr>
        <w:t xml:space="preserve">In the </w:t>
      </w:r>
      <w:r w:rsidR="00116739" w:rsidRPr="00EE2953">
        <w:rPr>
          <w:rFonts w:eastAsia="Times New Roman"/>
        </w:rPr>
        <w:t xml:space="preserve">subsections that follow, </w:t>
      </w:r>
      <w:r w:rsidRPr="00EE2953">
        <w:rPr>
          <w:rFonts w:eastAsia="Times New Roman"/>
        </w:rPr>
        <w:t xml:space="preserve">we first present the arguments made for the </w:t>
      </w:r>
      <w:r w:rsidR="0059541B" w:rsidRPr="00EE2953">
        <w:rPr>
          <w:rFonts w:eastAsia="Times New Roman"/>
        </w:rPr>
        <w:t xml:space="preserve">ban </w:t>
      </w:r>
      <w:r w:rsidRPr="00EE2953">
        <w:rPr>
          <w:rFonts w:eastAsia="Times New Roman"/>
        </w:rPr>
        <w:t>(which were identified using thematic content analysis)</w:t>
      </w:r>
      <w:r w:rsidR="0059541B" w:rsidRPr="00EE2953">
        <w:rPr>
          <w:rFonts w:eastAsia="Times New Roman"/>
        </w:rPr>
        <w:t xml:space="preserve">, </w:t>
      </w:r>
      <w:r w:rsidRPr="00EE2953">
        <w:rPr>
          <w:rFonts w:eastAsia="Times New Roman"/>
        </w:rPr>
        <w:t>then the arguments made against the ban (</w:t>
      </w:r>
      <w:r w:rsidR="0059541B" w:rsidRPr="00EE2953">
        <w:rPr>
          <w:rFonts w:eastAsia="Times New Roman"/>
        </w:rPr>
        <w:t xml:space="preserve">also </w:t>
      </w:r>
      <w:r w:rsidRPr="00EE2953">
        <w:rPr>
          <w:rFonts w:eastAsia="Times New Roman"/>
        </w:rPr>
        <w:t>identified using thematic content analysis</w:t>
      </w:r>
      <w:r w:rsidR="0059541B" w:rsidRPr="00EE2953">
        <w:rPr>
          <w:rFonts w:eastAsia="Times New Roman"/>
        </w:rPr>
        <w:t xml:space="preserve">) which are </w:t>
      </w:r>
      <w:r w:rsidRPr="00EE2953">
        <w:rPr>
          <w:rFonts w:eastAsia="Times New Roman"/>
        </w:rPr>
        <w:t xml:space="preserve">explored in greater detail </w:t>
      </w:r>
      <w:r w:rsidR="0059541B" w:rsidRPr="00EE2953">
        <w:rPr>
          <w:rFonts w:eastAsia="Times New Roman"/>
        </w:rPr>
        <w:t>(</w:t>
      </w:r>
      <w:r w:rsidRPr="00EE2953">
        <w:rPr>
          <w:rFonts w:eastAsia="Times New Roman"/>
        </w:rPr>
        <w:t>using a document analysis).</w:t>
      </w:r>
      <w:r w:rsidR="00AD1952" w:rsidRPr="00EE2953">
        <w:rPr>
          <w:rFonts w:eastAsia="Times New Roman"/>
        </w:rPr>
        <w:t xml:space="preserve">  See appendix two</w:t>
      </w:r>
      <w:r w:rsidR="00CF03DC" w:rsidRPr="00EE2953">
        <w:rPr>
          <w:rFonts w:eastAsia="Times New Roman"/>
        </w:rPr>
        <w:t xml:space="preserve"> for a breakdown of codes, themes and arguments.</w:t>
      </w:r>
    </w:p>
    <w:p w14:paraId="2D76BA8E" w14:textId="3EDFAA6F" w:rsidR="008801EF" w:rsidRPr="00EE2953" w:rsidRDefault="008801EF" w:rsidP="00EE2953">
      <w:pPr>
        <w:spacing w:after="0" w:line="360" w:lineRule="auto"/>
        <w:rPr>
          <w:rFonts w:cstheme="minorHAnsi"/>
          <w:b/>
        </w:rPr>
      </w:pPr>
    </w:p>
    <w:p w14:paraId="259A3DCA" w14:textId="01FAED6D" w:rsidR="008801EF" w:rsidRPr="00EE2953" w:rsidRDefault="00A95923" w:rsidP="00EE2953">
      <w:pPr>
        <w:spacing w:after="0" w:line="360" w:lineRule="auto"/>
        <w:rPr>
          <w:rFonts w:cstheme="minorHAnsi"/>
          <w:b/>
          <w:i/>
        </w:rPr>
      </w:pPr>
      <w:r w:rsidRPr="00EE2953">
        <w:rPr>
          <w:rFonts w:cstheme="minorHAnsi"/>
          <w:b/>
          <w:i/>
        </w:rPr>
        <w:t xml:space="preserve">3.2 </w:t>
      </w:r>
      <w:r w:rsidR="00E17F07" w:rsidRPr="00EE2953">
        <w:rPr>
          <w:rFonts w:cstheme="minorHAnsi"/>
          <w:b/>
          <w:i/>
        </w:rPr>
        <w:t xml:space="preserve">Arguments </w:t>
      </w:r>
      <w:r w:rsidR="0052149E" w:rsidRPr="00EE2953">
        <w:rPr>
          <w:rFonts w:cstheme="minorHAnsi"/>
          <w:b/>
          <w:i/>
        </w:rPr>
        <w:t xml:space="preserve">for </w:t>
      </w:r>
      <w:r w:rsidR="00E17F07" w:rsidRPr="00EE2953">
        <w:rPr>
          <w:rFonts w:cstheme="minorHAnsi"/>
          <w:b/>
          <w:i/>
        </w:rPr>
        <w:t>the ban</w:t>
      </w:r>
    </w:p>
    <w:p w14:paraId="387FB581" w14:textId="36F82018" w:rsidR="00984E41" w:rsidRPr="00EE2953" w:rsidRDefault="002C4448" w:rsidP="00EE2953">
      <w:pPr>
        <w:spacing w:after="0" w:line="360" w:lineRule="auto"/>
      </w:pPr>
      <w:r w:rsidRPr="00EE2953">
        <w:t>A</w:t>
      </w:r>
      <w:r w:rsidR="00014101" w:rsidRPr="00EE2953">
        <w:t>r</w:t>
      </w:r>
      <w:r w:rsidR="00AA3D64" w:rsidRPr="00EE2953">
        <w:t xml:space="preserve">guments in favour of the ban were based on </w:t>
      </w:r>
      <w:r w:rsidR="00E1595D" w:rsidRPr="00EE2953">
        <w:t xml:space="preserve">three broad </w:t>
      </w:r>
      <w:r w:rsidRPr="00EE2953">
        <w:t>assertions</w:t>
      </w:r>
      <w:r w:rsidR="00483437" w:rsidRPr="00EE2953">
        <w:t xml:space="preserve">: </w:t>
      </w:r>
      <w:r w:rsidR="000C4103" w:rsidRPr="00EE2953">
        <w:t>the need to address health and social inequalities</w:t>
      </w:r>
      <w:r w:rsidR="00483437" w:rsidRPr="00EE2953">
        <w:t>;</w:t>
      </w:r>
      <w:r w:rsidR="001D22EF" w:rsidRPr="00EE2953">
        <w:t xml:space="preserve"> childhood obesity a</w:t>
      </w:r>
      <w:r w:rsidR="00483437" w:rsidRPr="00EE2953">
        <w:t>s</w:t>
      </w:r>
      <w:r w:rsidR="001D22EF" w:rsidRPr="00EE2953">
        <w:t xml:space="preserve"> a public health cris</w:t>
      </w:r>
      <w:r w:rsidR="00483437" w:rsidRPr="00EE2953">
        <w:t>i</w:t>
      </w:r>
      <w:r w:rsidR="001D22EF" w:rsidRPr="00EE2953">
        <w:t xml:space="preserve">s, and </w:t>
      </w:r>
      <w:r w:rsidR="00906168" w:rsidRPr="00EE2953">
        <w:t>the economic burden obesity places on health services.</w:t>
      </w:r>
      <w:r w:rsidR="00483437" w:rsidRPr="00EE2953">
        <w:t xml:space="preserve">  </w:t>
      </w:r>
      <w:r w:rsidR="002324E6" w:rsidRPr="00EE2953">
        <w:t xml:space="preserve">Support for the ban was more prevalent in </w:t>
      </w:r>
      <w:r w:rsidR="00213A30" w:rsidRPr="00EE2953">
        <w:t xml:space="preserve">local </w:t>
      </w:r>
      <w:r w:rsidR="006E0C12" w:rsidRPr="00EE2953">
        <w:t>(including London and other regions)</w:t>
      </w:r>
      <w:r w:rsidR="002324E6" w:rsidRPr="00EE2953">
        <w:t xml:space="preserve"> than national </w:t>
      </w:r>
      <w:r w:rsidR="0059541B" w:rsidRPr="00EE2953">
        <w:t>publications</w:t>
      </w:r>
      <w:r w:rsidR="002324E6" w:rsidRPr="00EE2953">
        <w:t xml:space="preserve">.  </w:t>
      </w:r>
      <w:r w:rsidR="00A81586" w:rsidRPr="00EE2953">
        <w:t>Local</w:t>
      </w:r>
      <w:r w:rsidR="002324E6" w:rsidRPr="00EE2953">
        <w:t xml:space="preserve"> publications were more likely to </w:t>
      </w:r>
      <w:r w:rsidR="007778B9" w:rsidRPr="00EE2953">
        <w:t>present</w:t>
      </w:r>
      <w:r w:rsidR="002324E6" w:rsidRPr="00EE2953">
        <w:t xml:space="preserve"> </w:t>
      </w:r>
      <w:r w:rsidR="00C879B8" w:rsidRPr="00EE2953">
        <w:t xml:space="preserve">arguments that depicted </w:t>
      </w:r>
      <w:r w:rsidR="002324E6" w:rsidRPr="00EE2953">
        <w:t xml:space="preserve">the ban, and by association the Mayor and the Mayor’s office, </w:t>
      </w:r>
      <w:r w:rsidR="00C879B8" w:rsidRPr="00EE2953">
        <w:t>in a positive light</w:t>
      </w:r>
      <w:r w:rsidR="00943BF8" w:rsidRPr="00EE2953">
        <w:t xml:space="preserve">.  Childhood obesity is long-standing public health problem for local </w:t>
      </w:r>
      <w:r w:rsidR="0059541B" w:rsidRPr="00EE2953">
        <w:t xml:space="preserve">government </w:t>
      </w:r>
      <w:r w:rsidR="00943BF8" w:rsidRPr="00EE2953">
        <w:t>in the</w:t>
      </w:r>
      <w:r w:rsidR="0074238D" w:rsidRPr="00EE2953">
        <w:t xml:space="preserve"> UK </w:t>
      </w:r>
      <w:r w:rsidR="0074238D" w:rsidRPr="00EE2953">
        <w:fldChar w:fldCharType="begin"/>
      </w:r>
      <w:r w:rsidR="0074238D" w:rsidRPr="00EE2953">
        <w:instrText xml:space="preserve"> ADDIN EN.CITE &lt;EndNote&gt;&lt;Cite&gt;&lt;Author&gt;Public Health England&lt;/Author&gt;&lt;Year&gt;2020&lt;/Year&gt;&lt;RecNum&gt;391&lt;/RecNum&gt;&lt;DisplayText&gt;(Public Health England, 2020)&lt;/DisplayText&gt;&lt;record&gt;&lt;rec-number&gt;391&lt;/rec-number&gt;&lt;foreign-keys&gt;&lt;key app="EN" db-id="wz0s5vxeow0299ew9xqvdsw7t0xf9w02z5wt" timestamp="1612659867"&gt;391&lt;/key&gt;&lt;/foreign-keys&gt;&lt;ref-type name="Report"&gt;27&lt;/ref-type&gt;&lt;contributors&gt;&lt;authors&gt;&lt;author&gt;Public Health England,&lt;/author&gt;&lt;/authors&gt;&lt;tertiary-authors&gt;&lt;author&gt;Crown copyright&lt;/author&gt;&lt;/tertiary-authors&gt;&lt;/contributors&gt;&lt;titles&gt;&lt;title&gt;Executive summary: learning from local authorities with downward trends in childhood obesity&lt;/title&gt;&lt;secondary-title&gt;Research and analysis&lt;/secondary-title&gt;&lt;/titles&gt;&lt;dates&gt;&lt;year&gt;2020&lt;/year&gt;&lt;/dates&gt;&lt;publisher&gt;PHE&lt;/publisher&gt;&lt;urls&gt;&lt;related-urls&gt;&lt;url&gt;https://www.gov.uk/government/publications/national-child-measurement-programme-childhood-obesity/executive-summary-learning-from-local-authorities-with-downward-trends-in-childhood-obesity#fn:1&lt;/url&gt;&lt;/related-urls&gt;&lt;/urls&gt;&lt;/record&gt;&lt;/Cite&gt;&lt;/EndNote&gt;</w:instrText>
      </w:r>
      <w:r w:rsidR="0074238D" w:rsidRPr="00EE2953">
        <w:fldChar w:fldCharType="separate"/>
      </w:r>
      <w:r w:rsidR="0074238D" w:rsidRPr="00EE2953">
        <w:rPr>
          <w:noProof/>
        </w:rPr>
        <w:t>(Public Health England, 2020)</w:t>
      </w:r>
      <w:r w:rsidR="0074238D" w:rsidRPr="00EE2953">
        <w:fldChar w:fldCharType="end"/>
      </w:r>
      <w:r w:rsidR="0074238D" w:rsidRPr="00EE2953">
        <w:t xml:space="preserve"> and the UK Government is committed to a range of local-level measures to tackle it </w:t>
      </w:r>
      <w:r w:rsidR="0074238D" w:rsidRPr="00EE2953">
        <w:fldChar w:fldCharType="begin"/>
      </w:r>
      <w:r w:rsidR="00C879B8" w:rsidRPr="00EE2953">
        <w:instrText xml:space="preserve"> ADDIN EN.CITE &lt;EndNote&gt;&lt;Cite&gt;&lt;Author&gt;Cabinet Office&lt;/Author&gt;&lt;Year&gt;2017&lt;/Year&gt;&lt;RecNum&gt;392&lt;/RecNum&gt;&lt;DisplayText&gt;(Cabinet Office, Department of Health and Social Care, &amp;amp; HM Treasury, 2017)&lt;/DisplayText&gt;&lt;record&gt;&lt;rec-number&gt;392&lt;/rec-number&gt;&lt;foreign-keys&gt;&lt;key app="EN" db-id="wz0s5vxeow0299ew9xqvdsw7t0xf9w02z5wt" timestamp="1612660352"&gt;392&lt;/key&gt;&lt;/foreign-keys&gt;&lt;ref-type name="Report"&gt;27&lt;/ref-type&gt;&lt;contributors&gt;&lt;authors&gt;&lt;author&gt;Cabinet Office,&lt;/author&gt;&lt;author&gt;Department of Health and Social Care,&lt;/author&gt;&lt;author&gt;HM Treasury,&lt;/author&gt;&lt;/authors&gt;&lt;tertiary-authors&gt;&lt;author&gt;Crown copyright&lt;/author&gt;&lt;/tertiary-authors&gt;&lt;/contributors&gt;&lt;titles&gt;&lt;title&gt;Childhood obesity: a plan for action&lt;/title&gt;&lt;secondary-title&gt;Guidance&lt;/secondary-title&gt;&lt;/titles&gt;&lt;dates&gt;&lt;year&gt;2017&lt;/year&gt;&lt;/dates&gt;&lt;urls&gt;&lt;related-urls&gt;&lt;url&gt;https://www.gov.uk/government/publications/childhood-obesity-a-plan-for-action/childhood-obesity-a-plan-for-action#fn:10&lt;/url&gt;&lt;/related-urls&gt;&lt;/urls&gt;&lt;/record&gt;&lt;/Cite&gt;&lt;/EndNote&gt;</w:instrText>
      </w:r>
      <w:r w:rsidR="0074238D" w:rsidRPr="00EE2953">
        <w:fldChar w:fldCharType="separate"/>
      </w:r>
      <w:r w:rsidR="00C879B8" w:rsidRPr="00EE2953">
        <w:rPr>
          <w:noProof/>
        </w:rPr>
        <w:t>(Cabinet Office, Department of Health and Social Care, &amp; HM Treasury, 2017)</w:t>
      </w:r>
      <w:r w:rsidR="0074238D" w:rsidRPr="00EE2953">
        <w:fldChar w:fldCharType="end"/>
      </w:r>
      <w:r w:rsidR="00C879B8" w:rsidRPr="00EE2953">
        <w:t xml:space="preserve">.  The Mayor championing a </w:t>
      </w:r>
      <w:r w:rsidR="0059541B" w:rsidRPr="00EE2953">
        <w:t xml:space="preserve">local </w:t>
      </w:r>
      <w:r w:rsidR="00C879B8" w:rsidRPr="00EE2953">
        <w:t>intervention to reduce childhood obesity was framed as a responsible and even moral undertaking.  F</w:t>
      </w:r>
      <w:r w:rsidR="00707B7C" w:rsidRPr="00EE2953">
        <w:t>or example</w:t>
      </w:r>
      <w:r w:rsidR="009828EE" w:rsidRPr="00EE2953">
        <w:t>:</w:t>
      </w:r>
    </w:p>
    <w:p w14:paraId="6DE8AEAC" w14:textId="77777777" w:rsidR="00984E41" w:rsidRPr="00EE2953" w:rsidRDefault="00984E41" w:rsidP="00EE2953">
      <w:pPr>
        <w:spacing w:after="0" w:line="360" w:lineRule="auto"/>
      </w:pPr>
    </w:p>
    <w:p w14:paraId="099F2B86" w14:textId="66D19C8D" w:rsidR="00984E41" w:rsidRPr="00EE2953" w:rsidRDefault="00984E41" w:rsidP="00EE2953">
      <w:pPr>
        <w:spacing w:after="0" w:line="240" w:lineRule="auto"/>
        <w:ind w:left="851" w:right="804"/>
      </w:pPr>
      <w:r w:rsidRPr="00EE2953">
        <w:rPr>
          <w:i/>
        </w:rPr>
        <w:t>The proposals, unveiled by London Mayor Sadiq Khan, would also extend to the capital's buses and bus shelters, as well as the London Overground</w:t>
      </w:r>
      <w:r w:rsidR="0059541B" w:rsidRPr="00EE2953">
        <w:rPr>
          <w:i/>
        </w:rPr>
        <w:t xml:space="preserve"> [trains]</w:t>
      </w:r>
      <w:r w:rsidRPr="00EE2953">
        <w:rPr>
          <w:i/>
        </w:rPr>
        <w:t xml:space="preserve">. Mr Khan said "bold steps" were needed to "do right" by young people, and to minimise the strain being placed on an under-pressure health service.  </w:t>
      </w:r>
      <w:r w:rsidRPr="00EE2953">
        <w:t>(Birmingham Mail)</w:t>
      </w:r>
    </w:p>
    <w:p w14:paraId="0320926F" w14:textId="77777777" w:rsidR="00A348FF" w:rsidRPr="00EE2953" w:rsidRDefault="00A348FF" w:rsidP="00EE2953">
      <w:pPr>
        <w:spacing w:after="0" w:line="360" w:lineRule="auto"/>
      </w:pPr>
    </w:p>
    <w:p w14:paraId="08091D43" w14:textId="549796E6" w:rsidR="00E622CC" w:rsidRPr="00EE2953" w:rsidRDefault="00C879B8" w:rsidP="00EE2953">
      <w:pPr>
        <w:spacing w:after="0" w:line="360" w:lineRule="auto"/>
      </w:pPr>
      <w:r w:rsidRPr="00EE2953">
        <w:lastRenderedPageBreak/>
        <w:t>In light of these ‘bold steps’, depictions of the Mayor as a trail blaze</w:t>
      </w:r>
      <w:r w:rsidR="0059541B" w:rsidRPr="00EE2953">
        <w:t>r</w:t>
      </w:r>
      <w:r w:rsidRPr="00EE2953">
        <w:t xml:space="preserve"> and the </w:t>
      </w:r>
      <w:r w:rsidR="0059541B" w:rsidRPr="00EE2953">
        <w:t xml:space="preserve">ban </w:t>
      </w:r>
      <w:r w:rsidRPr="00EE2953">
        <w:t xml:space="preserve">as progressive were based on </w:t>
      </w:r>
      <w:r w:rsidR="001544B7" w:rsidRPr="00EE2953">
        <w:t xml:space="preserve">either </w:t>
      </w:r>
      <w:r w:rsidRPr="00EE2953">
        <w:t>assertions that</w:t>
      </w:r>
      <w:r w:rsidR="001544B7" w:rsidRPr="00EE2953">
        <w:t xml:space="preserve"> other </w:t>
      </w:r>
      <w:r w:rsidR="0059541B" w:rsidRPr="00EE2953">
        <w:t xml:space="preserve">localities </w:t>
      </w:r>
      <w:r w:rsidR="001544B7" w:rsidRPr="00EE2953">
        <w:t>were adopting, or</w:t>
      </w:r>
      <w:r w:rsidR="00A97876" w:rsidRPr="00EE2953">
        <w:t xml:space="preserve"> considering adopting, similar policies</w:t>
      </w:r>
      <w:r w:rsidR="00091F31" w:rsidRPr="00EE2953">
        <w:t xml:space="preserve"> following the TfL example,</w:t>
      </w:r>
      <w:r w:rsidR="00A97876" w:rsidRPr="00EE2953">
        <w:t xml:space="preserve"> and</w:t>
      </w:r>
      <w:r w:rsidR="00B30C71" w:rsidRPr="00EE2953">
        <w:t xml:space="preserve"> by </w:t>
      </w:r>
      <w:r w:rsidR="00E617CA" w:rsidRPr="00EE2953">
        <w:t>contextualising t</w:t>
      </w:r>
      <w:r w:rsidR="00B30C71" w:rsidRPr="00EE2953">
        <w:t xml:space="preserve">he ban as </w:t>
      </w:r>
      <w:r w:rsidR="003D1DDA" w:rsidRPr="00EE2953">
        <w:t>part of a movement or trend in public health</w:t>
      </w:r>
      <w:r w:rsidRPr="00EE2953">
        <w:t xml:space="preserve">.  TfL and the Mayor were this positioned as leading the way with the </w:t>
      </w:r>
      <w:r w:rsidR="0059541B" w:rsidRPr="00EE2953">
        <w:t xml:space="preserve">ban </w:t>
      </w:r>
      <w:r w:rsidRPr="00EE2953">
        <w:t xml:space="preserve">and making it possible and acceptable for </w:t>
      </w:r>
      <w:r w:rsidR="0059541B" w:rsidRPr="00EE2953">
        <w:t xml:space="preserve">other </w:t>
      </w:r>
      <w:r w:rsidRPr="00EE2953">
        <w:t>localities to implement similar measures.</w:t>
      </w:r>
    </w:p>
    <w:p w14:paraId="370D6286" w14:textId="77777777" w:rsidR="00DD6FCC" w:rsidRPr="00EE2953" w:rsidRDefault="00DD6FCC" w:rsidP="00EE2953">
      <w:pPr>
        <w:spacing w:after="0" w:line="360" w:lineRule="auto"/>
      </w:pPr>
    </w:p>
    <w:p w14:paraId="6A944B97" w14:textId="1739F520" w:rsidR="00661D54" w:rsidRPr="00EE2953" w:rsidRDefault="00661D54" w:rsidP="00EE2953">
      <w:pPr>
        <w:spacing w:before="100" w:beforeAutospacing="1" w:after="100" w:afterAutospacing="1" w:line="240" w:lineRule="auto"/>
        <w:ind w:left="851" w:right="804"/>
        <w:contextualSpacing/>
        <w:rPr>
          <w:rFonts w:cstheme="minorHAnsi"/>
        </w:rPr>
      </w:pPr>
      <w:r w:rsidRPr="00EE2953">
        <w:rPr>
          <w:rFonts w:eastAsia="Times New Roman" w:cstheme="minorHAnsi"/>
          <w:i/>
          <w:lang w:eastAsia="en-GB"/>
        </w:rPr>
        <w:t>Local authorities should be given greater powers to make it easier for them to</w:t>
      </w:r>
      <w:r w:rsidR="006E0C12" w:rsidRPr="00EE2953">
        <w:rPr>
          <w:rFonts w:eastAsia="Times New Roman" w:cstheme="minorHAnsi"/>
          <w:i/>
          <w:lang w:eastAsia="en-GB"/>
        </w:rPr>
        <w:t xml:space="preserve"> i</w:t>
      </w:r>
      <w:r w:rsidRPr="00EE2953">
        <w:rPr>
          <w:rFonts w:eastAsia="Times New Roman" w:cstheme="minorHAnsi"/>
          <w:i/>
          <w:lang w:eastAsia="en-GB"/>
        </w:rPr>
        <w:t>mpose</w:t>
      </w:r>
      <w:r w:rsidR="006E0C12" w:rsidRPr="00EE2953">
        <w:rPr>
          <w:rFonts w:eastAsia="Times New Roman" w:cstheme="minorHAnsi"/>
          <w:i/>
          <w:lang w:eastAsia="en-GB"/>
        </w:rPr>
        <w:t xml:space="preserve"> r</w:t>
      </w:r>
      <w:r w:rsidRPr="00EE2953">
        <w:rPr>
          <w:rFonts w:eastAsia="Times New Roman" w:cstheme="minorHAnsi"/>
          <w:i/>
          <w:lang w:eastAsia="en-GB"/>
        </w:rPr>
        <w:t>estrictions on </w:t>
      </w:r>
      <w:hyperlink r:id="rId14" w:history="1">
        <w:r w:rsidRPr="00EE2953">
          <w:rPr>
            <w:rFonts w:eastAsia="Times New Roman" w:cstheme="minorHAnsi"/>
            <w:i/>
            <w:lang w:eastAsia="en-GB"/>
          </w:rPr>
          <w:t>junk food advertising</w:t>
        </w:r>
      </w:hyperlink>
      <w:r w:rsidRPr="00EE2953">
        <w:rPr>
          <w:rFonts w:eastAsia="Times New Roman" w:cstheme="minorHAnsi"/>
          <w:i/>
          <w:lang w:eastAsia="en-GB"/>
        </w:rPr>
        <w:t> in their areas, a report has recommended</w:t>
      </w:r>
      <w:r w:rsidR="003D1DDA" w:rsidRPr="00EE2953">
        <w:rPr>
          <w:rFonts w:eastAsia="Times New Roman" w:cstheme="minorHAnsi"/>
          <w:i/>
          <w:lang w:eastAsia="en-GB"/>
        </w:rPr>
        <w:t xml:space="preserve"> … … </w:t>
      </w:r>
      <w:r w:rsidRPr="00EE2953">
        <w:rPr>
          <w:rFonts w:eastAsia="Times New Roman" w:cstheme="minorHAnsi"/>
          <w:i/>
          <w:lang w:eastAsia="en-GB"/>
        </w:rPr>
        <w:t>The report from the health campaign groups Sustain and Food Active hailed the </w:t>
      </w:r>
      <w:r w:rsidR="000D370A" w:rsidRPr="00EE2953">
        <w:rPr>
          <w:rFonts w:eastAsia="Times New Roman" w:cstheme="minorHAnsi"/>
          <w:i/>
          <w:lang w:eastAsia="en-GB"/>
        </w:rPr>
        <w:t>“belt and</w:t>
      </w:r>
      <w:r w:rsidR="00C1534D" w:rsidRPr="00EE2953">
        <w:rPr>
          <w:rFonts w:eastAsia="Times New Roman" w:cstheme="minorHAnsi"/>
          <w:i/>
          <w:lang w:eastAsia="en-GB"/>
        </w:rPr>
        <w:t xml:space="preserve"> </w:t>
      </w:r>
      <w:r w:rsidR="000B64AD" w:rsidRPr="00EE2953">
        <w:rPr>
          <w:rFonts w:eastAsia="Times New Roman" w:cstheme="minorHAnsi"/>
          <w:i/>
          <w:lang w:eastAsia="en-GB"/>
        </w:rPr>
        <w:t>b</w:t>
      </w:r>
      <w:r w:rsidR="000D370A" w:rsidRPr="00EE2953">
        <w:rPr>
          <w:rFonts w:eastAsia="Times New Roman" w:cstheme="minorHAnsi"/>
          <w:i/>
          <w:lang w:eastAsia="en-GB"/>
        </w:rPr>
        <w:t>races”</w:t>
      </w:r>
      <w:r w:rsidR="00DD6FCC" w:rsidRPr="00EE2953">
        <w:rPr>
          <w:rFonts w:eastAsia="Times New Roman" w:cstheme="minorHAnsi"/>
          <w:i/>
          <w:lang w:eastAsia="en-GB"/>
        </w:rPr>
        <w:t xml:space="preserve"> ban</w:t>
      </w:r>
      <w:r w:rsidRPr="00EE2953">
        <w:rPr>
          <w:rFonts w:eastAsia="Times New Roman" w:cstheme="minorHAnsi"/>
          <w:i/>
          <w:lang w:eastAsia="en-GB"/>
        </w:rPr>
        <w:t> on junk food adverts on London Underground,</w:t>
      </w:r>
      <w:r w:rsidR="006E0C12" w:rsidRPr="00EE2953">
        <w:rPr>
          <w:rFonts w:eastAsia="Times New Roman" w:cstheme="minorHAnsi"/>
          <w:i/>
          <w:lang w:eastAsia="en-GB"/>
        </w:rPr>
        <w:t xml:space="preserve"> </w:t>
      </w:r>
      <w:r w:rsidRPr="00EE2953">
        <w:rPr>
          <w:rFonts w:eastAsia="Times New Roman" w:cstheme="minorHAnsi"/>
          <w:i/>
          <w:lang w:eastAsia="en-GB"/>
        </w:rPr>
        <w:t>rail, tram and bus services</w:t>
      </w:r>
      <w:r w:rsidR="000B64AD" w:rsidRPr="00EE2953">
        <w:rPr>
          <w:rFonts w:eastAsia="Times New Roman" w:cstheme="minorHAnsi"/>
          <w:i/>
          <w:lang w:eastAsia="en-GB"/>
        </w:rPr>
        <w:t xml:space="preserve"> </w:t>
      </w:r>
      <w:r w:rsidRPr="00EE2953">
        <w:rPr>
          <w:rFonts w:eastAsia="Times New Roman" w:cstheme="minorHAnsi"/>
          <w:i/>
          <w:lang w:eastAsia="en-GB"/>
        </w:rPr>
        <w:t>introduced by the city’s mayor, Sadiq Khan</w:t>
      </w:r>
      <w:r w:rsidR="003D1DDA" w:rsidRPr="00EE2953">
        <w:rPr>
          <w:rFonts w:eastAsia="Times New Roman" w:cstheme="minorHAnsi"/>
          <w:i/>
          <w:lang w:eastAsia="en-GB"/>
        </w:rPr>
        <w:t xml:space="preserve"> … … </w:t>
      </w:r>
      <w:r w:rsidRPr="00EE2953">
        <w:rPr>
          <w:rFonts w:eastAsia="Times New Roman" w:cstheme="minorHAnsi"/>
          <w:i/>
          <w:lang w:eastAsia="en-GB"/>
        </w:rPr>
        <w:t>At a workshop on Wednesday, public health policy experts from the mayor’s office will discuss the implications of the move with other</w:t>
      </w:r>
      <w:r w:rsidR="000B64AD" w:rsidRPr="00EE2953">
        <w:rPr>
          <w:rFonts w:eastAsia="Times New Roman" w:cstheme="minorHAnsi"/>
          <w:i/>
          <w:lang w:eastAsia="en-GB"/>
        </w:rPr>
        <w:t xml:space="preserve"> </w:t>
      </w:r>
      <w:r w:rsidRPr="00EE2953">
        <w:rPr>
          <w:rFonts w:eastAsia="Times New Roman" w:cstheme="minorHAnsi"/>
          <w:i/>
          <w:lang w:eastAsia="en-GB"/>
        </w:rPr>
        <w:t>local</w:t>
      </w:r>
      <w:r w:rsidR="003D1DDA" w:rsidRPr="00EE2953">
        <w:rPr>
          <w:rFonts w:eastAsia="Times New Roman" w:cstheme="minorHAnsi"/>
          <w:i/>
          <w:lang w:eastAsia="en-GB"/>
        </w:rPr>
        <w:t xml:space="preserve"> </w:t>
      </w:r>
      <w:r w:rsidRPr="00EE2953">
        <w:rPr>
          <w:rFonts w:eastAsia="Times New Roman" w:cstheme="minorHAnsi"/>
          <w:i/>
          <w:lang w:eastAsia="en-GB"/>
        </w:rPr>
        <w:t>authorities, in the anticipation that other areas of the UK will follow London’s lead</w:t>
      </w:r>
      <w:r w:rsidR="003D1DDA" w:rsidRPr="00EE2953">
        <w:rPr>
          <w:rFonts w:eastAsia="Times New Roman" w:cstheme="minorHAnsi"/>
          <w:i/>
          <w:lang w:eastAsia="en-GB"/>
        </w:rPr>
        <w:t xml:space="preserve"> … …</w:t>
      </w:r>
      <w:r w:rsidRPr="00EE2953">
        <w:rPr>
          <w:rFonts w:eastAsia="Times New Roman" w:cstheme="minorHAnsi"/>
          <w:i/>
          <w:lang w:eastAsia="en-GB"/>
        </w:rPr>
        <w:t>. The </w:t>
      </w:r>
      <w:hyperlink r:id="rId15" w:history="1">
        <w:r w:rsidRPr="00EE2953">
          <w:rPr>
            <w:rFonts w:eastAsia="Times New Roman" w:cstheme="minorHAnsi"/>
            <w:i/>
            <w:lang w:eastAsia="en-GB"/>
          </w:rPr>
          <w:t>London </w:t>
        </w:r>
      </w:hyperlink>
      <w:hyperlink r:id="rId16" w:history="1">
        <w:r w:rsidRPr="00EE2953">
          <w:rPr>
            <w:rFonts w:eastAsia="Times New Roman" w:cstheme="minorHAnsi"/>
            <w:i/>
            <w:lang w:eastAsia="en-GB"/>
          </w:rPr>
          <w:t>borough of Haringey </w:t>
        </w:r>
      </w:hyperlink>
      <w:r w:rsidRPr="00EE2953">
        <w:rPr>
          <w:rFonts w:eastAsia="Times New Roman" w:cstheme="minorHAnsi"/>
          <w:i/>
          <w:lang w:eastAsia="en-GB"/>
        </w:rPr>
        <w:t>and Edinburgh are both due to follow suit.</w:t>
      </w:r>
      <w:r w:rsidR="00A348FF" w:rsidRPr="00EE2953">
        <w:rPr>
          <w:rFonts w:eastAsia="Times New Roman" w:cstheme="minorHAnsi"/>
          <w:i/>
          <w:lang w:eastAsia="en-GB"/>
        </w:rPr>
        <w:t xml:space="preserve">  </w:t>
      </w:r>
      <w:r w:rsidR="002224BA" w:rsidRPr="00EE2953">
        <w:rPr>
          <w:rFonts w:cstheme="minorHAnsi"/>
        </w:rPr>
        <w:t>(</w:t>
      </w:r>
      <w:r w:rsidR="00DD6FCC" w:rsidRPr="00EE2953">
        <w:rPr>
          <w:rFonts w:cstheme="minorHAnsi"/>
        </w:rPr>
        <w:t>The Guardian</w:t>
      </w:r>
      <w:r w:rsidR="002224BA" w:rsidRPr="00EE2953">
        <w:rPr>
          <w:rFonts w:cstheme="minorHAnsi"/>
        </w:rPr>
        <w:t>)</w:t>
      </w:r>
    </w:p>
    <w:p w14:paraId="7117A005" w14:textId="77777777" w:rsidR="00661D54" w:rsidRPr="00EE2953" w:rsidRDefault="00661D54" w:rsidP="00EE2953">
      <w:pPr>
        <w:spacing w:after="0" w:line="360" w:lineRule="auto"/>
      </w:pPr>
    </w:p>
    <w:p w14:paraId="596C385C" w14:textId="412BE4BB" w:rsidR="002324E6" w:rsidRPr="00EE2953" w:rsidRDefault="002324E6" w:rsidP="00EE2953">
      <w:pPr>
        <w:spacing w:after="0" w:line="360" w:lineRule="auto"/>
      </w:pPr>
      <w:r w:rsidRPr="00EE2953">
        <w:t>This</w:t>
      </w:r>
      <w:r w:rsidR="00403ECC" w:rsidRPr="00EE2953">
        <w:t xml:space="preserve"> was</w:t>
      </w:r>
      <w:r w:rsidRPr="00EE2953">
        <w:t xml:space="preserve"> nearly always linked to statistics on </w:t>
      </w:r>
      <w:r w:rsidR="0059541B" w:rsidRPr="00EE2953">
        <w:t xml:space="preserve">local </w:t>
      </w:r>
      <w:r w:rsidRPr="00EE2953">
        <w:t xml:space="preserve">health inequalities.  </w:t>
      </w:r>
      <w:r w:rsidR="00530FD7" w:rsidRPr="00EE2953">
        <w:t xml:space="preserve">Arguments for the ban were based almost exclusively on childhood </w:t>
      </w:r>
      <w:r w:rsidR="00BF036F" w:rsidRPr="00EE2953">
        <w:t xml:space="preserve">obesity as </w:t>
      </w:r>
      <w:r w:rsidR="00D77972" w:rsidRPr="00EE2953">
        <w:t xml:space="preserve">a </w:t>
      </w:r>
      <w:r w:rsidR="00BF036F" w:rsidRPr="00EE2953">
        <w:t>public health issue.</w:t>
      </w:r>
    </w:p>
    <w:p w14:paraId="58211BB7" w14:textId="77777777" w:rsidR="00403ECC" w:rsidRPr="00EE2953" w:rsidRDefault="00403ECC" w:rsidP="00EE2953">
      <w:pPr>
        <w:spacing w:after="0" w:line="360" w:lineRule="auto"/>
      </w:pPr>
    </w:p>
    <w:p w14:paraId="33AD8EEB" w14:textId="41567D97" w:rsidR="002324E6" w:rsidRPr="00EE2953" w:rsidRDefault="002324E6" w:rsidP="00EE2953">
      <w:pPr>
        <w:spacing w:after="0" w:line="240" w:lineRule="auto"/>
        <w:ind w:left="851" w:right="804"/>
        <w:contextualSpacing/>
      </w:pPr>
      <w:r w:rsidRPr="00EE2953">
        <w:rPr>
          <w:i/>
        </w:rPr>
        <w:t>Justine Roberts, founder of Mumsnet, said parents would be grateful for measures that</w:t>
      </w:r>
      <w:r w:rsidR="000B64AD" w:rsidRPr="00EE2953">
        <w:rPr>
          <w:i/>
        </w:rPr>
        <w:t xml:space="preserve"> </w:t>
      </w:r>
      <w:r w:rsidRPr="00EE2953">
        <w:rPr>
          <w:i/>
        </w:rPr>
        <w:t>reduce “pester power”</w:t>
      </w:r>
      <w:r w:rsidR="002F189E" w:rsidRPr="00EE2953">
        <w:rPr>
          <w:i/>
        </w:rPr>
        <w:t xml:space="preserve"> … …</w:t>
      </w:r>
      <w:r w:rsidRPr="00EE2953">
        <w:rPr>
          <w:i/>
        </w:rPr>
        <w:t xml:space="preserve">   London has one of the highest child overweight and obesity rates in Europe, with 38.6</w:t>
      </w:r>
      <w:r w:rsidR="00F130D1" w:rsidRPr="00EE2953">
        <w:rPr>
          <w:i/>
        </w:rPr>
        <w:t>%</w:t>
      </w:r>
      <w:r w:rsidRPr="00EE2953">
        <w:rPr>
          <w:i/>
        </w:rPr>
        <w:t xml:space="preserve"> of children aged 10 and 11 across the capital overweight or obese.  East London boroughs in particular have struggled to take on the problem.   Shockingly, 44.3</w:t>
      </w:r>
      <w:r w:rsidR="00F130D1" w:rsidRPr="00EE2953">
        <w:rPr>
          <w:i/>
        </w:rPr>
        <w:t>%</w:t>
      </w:r>
      <w:r w:rsidRPr="00EE2953">
        <w:rPr>
          <w:i/>
        </w:rPr>
        <w:t xml:space="preserve"> of Year 6 pupils in Barking and Dagenham are classed as overweight or obese – the joint worst record</w:t>
      </w:r>
      <w:r w:rsidR="00870435" w:rsidRPr="00EE2953">
        <w:rPr>
          <w:i/>
        </w:rPr>
        <w:t xml:space="preserve"> </w:t>
      </w:r>
      <w:r w:rsidRPr="00EE2953">
        <w:rPr>
          <w:i/>
        </w:rPr>
        <w:t xml:space="preserve">in London.  </w:t>
      </w:r>
      <w:r w:rsidRPr="00EE2953">
        <w:t>(Barking and Dagenham Post)</w:t>
      </w:r>
    </w:p>
    <w:p w14:paraId="2E1CD0BD" w14:textId="77777777" w:rsidR="00B366C4" w:rsidRPr="00EE2953" w:rsidRDefault="00B366C4" w:rsidP="00EE2953">
      <w:pPr>
        <w:spacing w:after="0" w:line="240" w:lineRule="auto"/>
        <w:ind w:left="851" w:right="804"/>
        <w:contextualSpacing/>
      </w:pPr>
    </w:p>
    <w:p w14:paraId="4B2AC2BC" w14:textId="5E990FCF" w:rsidR="00990594" w:rsidRPr="00F9642B" w:rsidRDefault="00990594" w:rsidP="00EE2953">
      <w:pPr>
        <w:spacing w:after="0" w:line="360" w:lineRule="auto"/>
        <w:contextualSpacing/>
      </w:pPr>
      <w:r w:rsidRPr="00EE2953">
        <w:t>Arguments for the ban stressed the moral imperative to</w:t>
      </w:r>
      <w:r w:rsidR="003F4067" w:rsidRPr="00EE2953">
        <w:t xml:space="preserve"> tackle childhood obesity and, typically, directly quoted Mayor Khan himself</w:t>
      </w:r>
      <w:r w:rsidR="00775218" w:rsidRPr="00EE2953">
        <w:t xml:space="preserve"> </w:t>
      </w:r>
      <w:r w:rsidR="00ED1CA6" w:rsidRPr="00EE2953">
        <w:t>(as in the earlier</w:t>
      </w:r>
      <w:r w:rsidR="008A762A" w:rsidRPr="00EE2953">
        <w:t xml:space="preserve"> extract from </w:t>
      </w:r>
      <w:r w:rsidR="00ED1CA6" w:rsidRPr="00EE2953">
        <w:t>Birmingham Mail</w:t>
      </w:r>
      <w:r w:rsidR="008A762A" w:rsidRPr="00EE2953">
        <w:t xml:space="preserve">) </w:t>
      </w:r>
      <w:r w:rsidR="006F090E" w:rsidRPr="00EE2953">
        <w:t>and</w:t>
      </w:r>
      <w:r w:rsidR="006D7E52" w:rsidRPr="00EE2953">
        <w:t xml:space="preserve"> </w:t>
      </w:r>
      <w:r w:rsidR="006F090E" w:rsidRPr="00EE2953">
        <w:t xml:space="preserve">celebrities </w:t>
      </w:r>
      <w:r w:rsidR="00497B6C" w:rsidRPr="00EE2953">
        <w:t xml:space="preserve">or other </w:t>
      </w:r>
      <w:r w:rsidR="006F090E" w:rsidRPr="00EE2953">
        <w:t xml:space="preserve">key public health figures </w:t>
      </w:r>
      <w:r w:rsidR="006E1B35" w:rsidRPr="00EE2953">
        <w:t xml:space="preserve">who were </w:t>
      </w:r>
      <w:r w:rsidR="006F090E" w:rsidRPr="00EE2953">
        <w:t xml:space="preserve">supportive </w:t>
      </w:r>
      <w:r w:rsidR="006E1B35" w:rsidRPr="00EE2953">
        <w:t>of the ban.</w:t>
      </w:r>
    </w:p>
    <w:p w14:paraId="4552506B" w14:textId="77777777" w:rsidR="007666A8" w:rsidRPr="00901906" w:rsidRDefault="007666A8" w:rsidP="00EE2953"/>
    <w:p w14:paraId="5A06E6FB" w14:textId="2F4E4BF9" w:rsidR="007666A8" w:rsidRPr="00F9642B" w:rsidRDefault="007666A8" w:rsidP="00870435">
      <w:pPr>
        <w:spacing w:after="0" w:line="240" w:lineRule="auto"/>
        <w:ind w:left="851" w:right="804"/>
        <w:contextualSpacing/>
        <w:rPr>
          <w:rFonts w:eastAsia="Times New Roman" w:cstheme="minorHAnsi"/>
          <w:color w:val="222222"/>
          <w:lang w:eastAsia="en-GB"/>
        </w:rPr>
      </w:pPr>
      <w:r w:rsidRPr="00F9642B">
        <w:rPr>
          <w:rFonts w:cstheme="minorHAnsi"/>
          <w:i/>
          <w:iCs/>
          <w:color w:val="222222"/>
          <w:shd w:val="clear" w:color="auto" w:fill="FFFFFF"/>
        </w:rPr>
        <w:t xml:space="preserve">Mr Oliver </w:t>
      </w:r>
      <w:r w:rsidR="007C012A" w:rsidRPr="007C012A">
        <w:rPr>
          <w:rFonts w:eastAsiaTheme="minorHAnsi" w:cstheme="minorHAnsi"/>
          <w:color w:val="222222"/>
          <w:shd w:val="clear" w:color="auto" w:fill="FFFFFF"/>
        </w:rPr>
        <w:t xml:space="preserve">[celebrity chef and restauranteur Jamie Oliver] </w:t>
      </w:r>
      <w:r w:rsidRPr="00F9642B">
        <w:rPr>
          <w:rFonts w:cstheme="minorHAnsi"/>
          <w:i/>
          <w:iCs/>
          <w:color w:val="222222"/>
          <w:shd w:val="clear" w:color="auto" w:fill="FFFFFF"/>
        </w:rPr>
        <w:t xml:space="preserve">took another swipe at the prime </w:t>
      </w:r>
      <w:r w:rsidR="00870435">
        <w:rPr>
          <w:rFonts w:cstheme="minorHAnsi"/>
          <w:i/>
          <w:iCs/>
          <w:color w:val="222222"/>
          <w:shd w:val="clear" w:color="auto" w:fill="FFFFFF"/>
        </w:rPr>
        <w:t>m</w:t>
      </w:r>
      <w:r w:rsidRPr="00F9642B">
        <w:rPr>
          <w:rFonts w:cstheme="minorHAnsi"/>
          <w:i/>
          <w:iCs/>
          <w:color w:val="222222"/>
          <w:shd w:val="clear" w:color="auto" w:fill="FFFFFF"/>
        </w:rPr>
        <w:t>inister as he praised Mr Khan for “a massive and bold step forward for child health”</w:t>
      </w:r>
      <w:r w:rsidR="00435786" w:rsidRPr="00F9642B">
        <w:rPr>
          <w:rFonts w:cstheme="minorHAnsi"/>
          <w:i/>
          <w:iCs/>
          <w:color w:val="222222"/>
          <w:shd w:val="clear" w:color="auto" w:fill="FFFFFF"/>
        </w:rPr>
        <w:t xml:space="preserve"> … ….</w:t>
      </w:r>
      <w:r w:rsidR="00870435">
        <w:rPr>
          <w:rFonts w:cstheme="minorHAnsi"/>
          <w:i/>
          <w:iCs/>
          <w:color w:val="222222"/>
          <w:shd w:val="clear" w:color="auto" w:fill="FFFFFF"/>
        </w:rPr>
        <w:t xml:space="preserve"> A</w:t>
      </w:r>
      <w:r w:rsidR="00925A12" w:rsidRPr="00F9642B">
        <w:rPr>
          <w:rFonts w:eastAsia="Times New Roman" w:cstheme="minorHAnsi"/>
          <w:i/>
          <w:iCs/>
          <w:color w:val="222222"/>
          <w:lang w:eastAsia="en-GB"/>
        </w:rPr>
        <w:t>nd Dame Sally Davies, the chief medical officer, said: “The evidence is clear that, although it is not a silver bullet, restricting the amount of junk food adverts children are exposed to will help reduce obesity.”</w:t>
      </w:r>
      <w:r w:rsidR="00435786" w:rsidRPr="00F9642B">
        <w:rPr>
          <w:rFonts w:eastAsia="Times New Roman" w:cstheme="minorHAnsi"/>
          <w:color w:val="222222"/>
          <w:lang w:eastAsia="en-GB"/>
        </w:rPr>
        <w:t xml:space="preserve"> </w:t>
      </w:r>
      <w:r w:rsidR="00ED1CA6" w:rsidRPr="00F9642B">
        <w:t xml:space="preserve"> (The Independent)</w:t>
      </w:r>
    </w:p>
    <w:p w14:paraId="5B036BD3" w14:textId="77777777" w:rsidR="007666A8" w:rsidRPr="00901906" w:rsidRDefault="007666A8" w:rsidP="00901906"/>
    <w:p w14:paraId="6BBA4AC5" w14:textId="621199EF" w:rsidR="008801EF" w:rsidRPr="00F9642B" w:rsidRDefault="00A95923" w:rsidP="00901906">
      <w:pPr>
        <w:rPr>
          <w:rFonts w:cstheme="minorHAnsi"/>
          <w:b/>
          <w:i/>
        </w:rPr>
      </w:pPr>
      <w:r w:rsidRPr="00F9642B">
        <w:rPr>
          <w:rFonts w:cstheme="minorHAnsi"/>
          <w:b/>
          <w:i/>
        </w:rPr>
        <w:t xml:space="preserve">3.3 </w:t>
      </w:r>
      <w:r w:rsidR="008A762A" w:rsidRPr="00F9642B">
        <w:rPr>
          <w:rFonts w:cstheme="minorHAnsi"/>
          <w:b/>
          <w:i/>
        </w:rPr>
        <w:t>A</w:t>
      </w:r>
      <w:r w:rsidR="0052149E" w:rsidRPr="00F9642B">
        <w:rPr>
          <w:rFonts w:cstheme="minorHAnsi"/>
          <w:b/>
          <w:i/>
        </w:rPr>
        <w:t>rguments against the ban</w:t>
      </w:r>
    </w:p>
    <w:p w14:paraId="0826DD9B" w14:textId="432DA2C2" w:rsidR="004602C5" w:rsidRPr="00F9642B" w:rsidRDefault="003B4EF9" w:rsidP="000D3920">
      <w:pPr>
        <w:spacing w:after="0" w:line="360" w:lineRule="auto"/>
        <w:rPr>
          <w:rFonts w:cstheme="minorHAnsi"/>
        </w:rPr>
      </w:pPr>
      <w:r>
        <w:rPr>
          <w:rFonts w:cstheme="minorHAnsi"/>
        </w:rPr>
        <w:t>A</w:t>
      </w:r>
      <w:r w:rsidR="00AA0419" w:rsidRPr="00F9642B">
        <w:rPr>
          <w:rFonts w:cstheme="minorHAnsi"/>
        </w:rPr>
        <w:t xml:space="preserve">rguments against the ban </w:t>
      </w:r>
      <w:r w:rsidR="00105AF5" w:rsidRPr="00F9642B">
        <w:rPr>
          <w:rFonts w:cstheme="minorHAnsi"/>
        </w:rPr>
        <w:t>converged</w:t>
      </w:r>
      <w:r w:rsidR="00AA0419" w:rsidRPr="00F9642B">
        <w:rPr>
          <w:rFonts w:cstheme="minorHAnsi"/>
        </w:rPr>
        <w:t xml:space="preserve"> on two central claims: that childhood obesity was not </w:t>
      </w:r>
      <w:r w:rsidR="0059541B">
        <w:rPr>
          <w:rFonts w:cstheme="minorHAnsi"/>
        </w:rPr>
        <w:t>an</w:t>
      </w:r>
      <w:r w:rsidR="0059541B" w:rsidRPr="00F9642B">
        <w:rPr>
          <w:rFonts w:cstheme="minorHAnsi"/>
        </w:rPr>
        <w:t xml:space="preserve"> </w:t>
      </w:r>
      <w:r w:rsidR="00AA0419" w:rsidRPr="00F9642B">
        <w:rPr>
          <w:rFonts w:cstheme="minorHAnsi"/>
        </w:rPr>
        <w:t>‘</w:t>
      </w:r>
      <w:r w:rsidR="00D57798" w:rsidRPr="00F9642B">
        <w:rPr>
          <w:rFonts w:cstheme="minorHAnsi"/>
        </w:rPr>
        <w:t>appropriate</w:t>
      </w:r>
      <w:r w:rsidR="00AA0419" w:rsidRPr="00F9642B">
        <w:rPr>
          <w:rFonts w:cstheme="minorHAnsi"/>
        </w:rPr>
        <w:t xml:space="preserve">’ problem </w:t>
      </w:r>
      <w:r w:rsidR="004602C5" w:rsidRPr="00F9642B">
        <w:rPr>
          <w:rFonts w:cstheme="minorHAnsi"/>
        </w:rPr>
        <w:t xml:space="preserve">for TfL </w:t>
      </w:r>
      <w:r w:rsidR="00ED7A42">
        <w:rPr>
          <w:rFonts w:cstheme="minorHAnsi"/>
        </w:rPr>
        <w:t xml:space="preserve">and the Mayor </w:t>
      </w:r>
      <w:r w:rsidR="004602C5" w:rsidRPr="00F9642B">
        <w:rPr>
          <w:rFonts w:cstheme="minorHAnsi"/>
        </w:rPr>
        <w:t xml:space="preserve">to try </w:t>
      </w:r>
      <w:r w:rsidR="005934DC" w:rsidRPr="00F9642B">
        <w:rPr>
          <w:rFonts w:cstheme="minorHAnsi"/>
        </w:rPr>
        <w:t xml:space="preserve">to </w:t>
      </w:r>
      <w:r w:rsidR="004602C5" w:rsidRPr="00F9642B">
        <w:rPr>
          <w:rFonts w:cstheme="minorHAnsi"/>
        </w:rPr>
        <w:t>tackle</w:t>
      </w:r>
      <w:r w:rsidR="00E15B94" w:rsidRPr="00F9642B">
        <w:rPr>
          <w:rFonts w:cstheme="minorHAnsi"/>
        </w:rPr>
        <w:t xml:space="preserve">, </w:t>
      </w:r>
      <w:r w:rsidR="004602C5" w:rsidRPr="00F9642B">
        <w:rPr>
          <w:rFonts w:cstheme="minorHAnsi"/>
        </w:rPr>
        <w:t xml:space="preserve">and that an advertising ban was </w:t>
      </w:r>
      <w:r w:rsidR="00CF2929" w:rsidRPr="00F9642B">
        <w:rPr>
          <w:rFonts w:cstheme="minorHAnsi"/>
        </w:rPr>
        <w:t xml:space="preserve">an </w:t>
      </w:r>
      <w:r w:rsidR="00CF2929" w:rsidRPr="00F9642B">
        <w:rPr>
          <w:rFonts w:cstheme="minorHAnsi"/>
        </w:rPr>
        <w:lastRenderedPageBreak/>
        <w:t xml:space="preserve">ineffective </w:t>
      </w:r>
      <w:r w:rsidR="004602C5" w:rsidRPr="00F9642B">
        <w:rPr>
          <w:rFonts w:cstheme="minorHAnsi"/>
        </w:rPr>
        <w:t xml:space="preserve">way to address childhood obesity.  </w:t>
      </w:r>
      <w:r w:rsidR="001746F7" w:rsidRPr="00F9642B">
        <w:rPr>
          <w:rFonts w:cstheme="minorHAnsi"/>
        </w:rPr>
        <w:t xml:space="preserve">The </w:t>
      </w:r>
      <w:r w:rsidR="00C1534D" w:rsidRPr="00F9642B">
        <w:rPr>
          <w:rFonts w:cstheme="minorHAnsi"/>
        </w:rPr>
        <w:t>d</w:t>
      </w:r>
      <w:r w:rsidR="001746F7" w:rsidRPr="00F9642B">
        <w:rPr>
          <w:rFonts w:cstheme="minorHAnsi"/>
        </w:rPr>
        <w:t>ocument</w:t>
      </w:r>
      <w:r w:rsidR="00212B03" w:rsidRPr="00F9642B">
        <w:rPr>
          <w:rFonts w:cstheme="minorHAnsi"/>
        </w:rPr>
        <w:t xml:space="preserve"> analysis identified three main discursive approaches used to attempt to justify these claims:</w:t>
      </w:r>
    </w:p>
    <w:p w14:paraId="6DE5F281" w14:textId="02438648" w:rsidR="00426B12" w:rsidRPr="00F9642B" w:rsidRDefault="004602C5" w:rsidP="00497B6C">
      <w:pPr>
        <w:pStyle w:val="ListParagraph"/>
        <w:numPr>
          <w:ilvl w:val="0"/>
          <w:numId w:val="25"/>
        </w:numPr>
        <w:spacing w:after="0" w:line="360" w:lineRule="auto"/>
        <w:ind w:left="709" w:hanging="349"/>
        <w:rPr>
          <w:rFonts w:cstheme="minorHAnsi"/>
        </w:rPr>
      </w:pPr>
      <w:r w:rsidRPr="00F9642B">
        <w:rPr>
          <w:rFonts w:cstheme="minorHAnsi"/>
        </w:rPr>
        <w:t xml:space="preserve">Identifying more ‘important’ </w:t>
      </w:r>
      <w:r w:rsidR="006B05A1" w:rsidRPr="00F9642B">
        <w:rPr>
          <w:rFonts w:cstheme="minorHAnsi"/>
        </w:rPr>
        <w:t>or alternative priorities for action</w:t>
      </w:r>
    </w:p>
    <w:p w14:paraId="45118D94" w14:textId="115DF401" w:rsidR="006B05A1" w:rsidRPr="00F9642B" w:rsidRDefault="006B05A1" w:rsidP="00497B6C">
      <w:pPr>
        <w:pStyle w:val="ListParagraph"/>
        <w:numPr>
          <w:ilvl w:val="0"/>
          <w:numId w:val="25"/>
        </w:numPr>
        <w:spacing w:after="0" w:line="360" w:lineRule="auto"/>
        <w:ind w:left="709" w:hanging="349"/>
        <w:rPr>
          <w:rFonts w:cstheme="minorHAnsi"/>
        </w:rPr>
      </w:pPr>
      <w:r w:rsidRPr="00F9642B">
        <w:rPr>
          <w:rFonts w:cstheme="minorHAnsi"/>
        </w:rPr>
        <w:t>Casting doubt on the evidence and science behind the ban and its implementation</w:t>
      </w:r>
    </w:p>
    <w:p w14:paraId="79D3FF4C" w14:textId="4EE65855" w:rsidR="006B05A1" w:rsidRPr="00F9642B" w:rsidRDefault="006B05A1" w:rsidP="00497B6C">
      <w:pPr>
        <w:pStyle w:val="ListParagraph"/>
        <w:numPr>
          <w:ilvl w:val="0"/>
          <w:numId w:val="25"/>
        </w:numPr>
        <w:spacing w:after="0" w:line="360" w:lineRule="auto"/>
        <w:ind w:left="709" w:hanging="349"/>
        <w:rPr>
          <w:rFonts w:cstheme="minorHAnsi"/>
        </w:rPr>
      </w:pPr>
      <w:r w:rsidRPr="00F9642B">
        <w:rPr>
          <w:rFonts w:cstheme="minorHAnsi"/>
        </w:rPr>
        <w:t>Highlighting the potential costs of the ban</w:t>
      </w:r>
    </w:p>
    <w:p w14:paraId="3D419B12" w14:textId="18E6D430" w:rsidR="006B05A1" w:rsidRPr="00F9642B" w:rsidRDefault="006B05A1" w:rsidP="000D3920">
      <w:pPr>
        <w:spacing w:after="0" w:line="360" w:lineRule="auto"/>
        <w:contextualSpacing/>
        <w:rPr>
          <w:rFonts w:cstheme="minorHAnsi"/>
        </w:rPr>
      </w:pPr>
    </w:p>
    <w:p w14:paraId="6813CA50" w14:textId="182A1152" w:rsidR="00DD4E43" w:rsidRPr="00F9642B" w:rsidRDefault="00A95923" w:rsidP="004602C5">
      <w:pPr>
        <w:rPr>
          <w:b/>
          <w:i/>
          <w:iCs/>
        </w:rPr>
      </w:pPr>
      <w:r w:rsidRPr="00F9642B">
        <w:rPr>
          <w:b/>
          <w:i/>
          <w:iCs/>
        </w:rPr>
        <w:t xml:space="preserve">3.3.1 </w:t>
      </w:r>
      <w:r w:rsidR="009B6BD6" w:rsidRPr="00F9642B">
        <w:rPr>
          <w:b/>
          <w:i/>
          <w:iCs/>
        </w:rPr>
        <w:t>Challenging childhood obesity as a p</w:t>
      </w:r>
      <w:r w:rsidR="00DD4E43" w:rsidRPr="00F9642B">
        <w:rPr>
          <w:b/>
          <w:i/>
          <w:iCs/>
        </w:rPr>
        <w:t>olicy priori</w:t>
      </w:r>
      <w:r w:rsidR="009B6BD6" w:rsidRPr="00F9642B">
        <w:rPr>
          <w:b/>
          <w:i/>
          <w:iCs/>
        </w:rPr>
        <w:t>ty</w:t>
      </w:r>
    </w:p>
    <w:p w14:paraId="1BCE4119" w14:textId="3BE4C15F" w:rsidR="004602C5" w:rsidRPr="00EE2953" w:rsidRDefault="00686A30" w:rsidP="004602C5">
      <w:pPr>
        <w:spacing w:after="0" w:line="360" w:lineRule="auto"/>
      </w:pPr>
      <w:r w:rsidRPr="00F9642B">
        <w:t xml:space="preserve">TfL and the Mayor were extensively criticised for focusing on childhood obesity at the expense of what were described as more </w:t>
      </w:r>
      <w:r w:rsidRPr="00EE2953">
        <w:t>pressing issues, such as air pollution</w:t>
      </w:r>
      <w:r w:rsidR="00285F44" w:rsidRPr="00EE2953">
        <w:t xml:space="preserve"> (the only public health issue for which the Mayor has any statutory responsibility)</w:t>
      </w:r>
      <w:r w:rsidRPr="00EE2953">
        <w:t>, smoking, alcohol consumption</w:t>
      </w:r>
      <w:r w:rsidR="00285F44" w:rsidRPr="00EE2953">
        <w:t xml:space="preserve">, </w:t>
      </w:r>
      <w:r w:rsidR="0039364E" w:rsidRPr="00EE2953">
        <w:t xml:space="preserve">body image, </w:t>
      </w:r>
      <w:r w:rsidR="00285F44" w:rsidRPr="00EE2953">
        <w:t xml:space="preserve">gambling, and law and order.  </w:t>
      </w:r>
      <w:r w:rsidR="00A215AC" w:rsidRPr="00EE2953">
        <w:t xml:space="preserve">By </w:t>
      </w:r>
      <w:r w:rsidR="00266A22" w:rsidRPr="00EE2953">
        <w:t>highlighting</w:t>
      </w:r>
      <w:r w:rsidR="00DD29DC" w:rsidRPr="00EE2953">
        <w:t xml:space="preserve"> </w:t>
      </w:r>
      <w:r w:rsidR="00A215AC" w:rsidRPr="00EE2953">
        <w:t xml:space="preserve">these </w:t>
      </w:r>
      <w:r w:rsidR="00DD29DC" w:rsidRPr="00EE2953">
        <w:t xml:space="preserve">potential </w:t>
      </w:r>
      <w:r w:rsidR="00A215AC" w:rsidRPr="00EE2953">
        <w:t>alternative</w:t>
      </w:r>
      <w:r w:rsidR="002224BA" w:rsidRPr="00EE2953">
        <w:t>s</w:t>
      </w:r>
      <w:r w:rsidR="00A215AC" w:rsidRPr="00EE2953">
        <w:t xml:space="preserve">, commentators </w:t>
      </w:r>
      <w:r w:rsidR="003B0354" w:rsidRPr="00EE2953">
        <w:t xml:space="preserve">framed </w:t>
      </w:r>
      <w:r w:rsidR="00A215AC" w:rsidRPr="00EE2953">
        <w:t xml:space="preserve">the ban as ill-advised </w:t>
      </w:r>
      <w:r w:rsidR="006A251A" w:rsidRPr="00EE2953">
        <w:t>and irrelevant</w:t>
      </w:r>
      <w:r w:rsidR="00963F79" w:rsidRPr="00EE2953">
        <w:t xml:space="preserve"> and the Mayor, by association, as</w:t>
      </w:r>
      <w:r w:rsidR="00C00EBE" w:rsidRPr="00EE2953">
        <w:t xml:space="preserve"> </w:t>
      </w:r>
      <w:r w:rsidR="00963F79" w:rsidRPr="00EE2953">
        <w:t>out</w:t>
      </w:r>
      <w:r w:rsidR="00C1534D" w:rsidRPr="00EE2953">
        <w:t>-</w:t>
      </w:r>
      <w:r w:rsidR="00963F79" w:rsidRPr="00EE2953">
        <w:t>of</w:t>
      </w:r>
      <w:r w:rsidR="00C1534D" w:rsidRPr="00EE2953">
        <w:t>-</w:t>
      </w:r>
      <w:r w:rsidR="00963F79" w:rsidRPr="00EE2953">
        <w:t>touch</w:t>
      </w:r>
      <w:r w:rsidR="00162CD5" w:rsidRPr="00EE2953">
        <w:t xml:space="preserve"> with the problems faced by Londoners.</w:t>
      </w:r>
      <w:r w:rsidR="0099106A" w:rsidRPr="00EE2953">
        <w:t xml:space="preserve">  </w:t>
      </w:r>
      <w:r w:rsidR="00B401A8" w:rsidRPr="00EE2953">
        <w:t>T</w:t>
      </w:r>
      <w:r w:rsidR="004602C5" w:rsidRPr="00EE2953">
        <w:t xml:space="preserve">he most prominent and widely cited alternative </w:t>
      </w:r>
      <w:r w:rsidR="00A215AC" w:rsidRPr="00EE2953">
        <w:rPr>
          <w:i/>
        </w:rPr>
        <w:t xml:space="preserve">“pressing </w:t>
      </w:r>
      <w:r w:rsidR="004602C5" w:rsidRPr="00EE2953">
        <w:rPr>
          <w:i/>
        </w:rPr>
        <w:t>priority</w:t>
      </w:r>
      <w:r w:rsidR="00A215AC" w:rsidRPr="00EE2953">
        <w:rPr>
          <w:i/>
        </w:rPr>
        <w:t>”</w:t>
      </w:r>
      <w:r w:rsidR="00A215AC" w:rsidRPr="00EE2953">
        <w:t xml:space="preserve"> (Breitbart)</w:t>
      </w:r>
      <w:r w:rsidR="004602C5" w:rsidRPr="00EE2953">
        <w:t xml:space="preserve"> was that of youth violence and knife crime.  </w:t>
      </w:r>
    </w:p>
    <w:p w14:paraId="52A41B19" w14:textId="77777777" w:rsidR="004602C5" w:rsidRPr="00EE2953" w:rsidRDefault="004602C5" w:rsidP="004602C5">
      <w:pPr>
        <w:spacing w:after="0" w:line="360" w:lineRule="auto"/>
      </w:pPr>
    </w:p>
    <w:p w14:paraId="224E80B2" w14:textId="1B74E77A" w:rsidR="004602C5" w:rsidRPr="00EE2953" w:rsidRDefault="00A215AC" w:rsidP="0099106A">
      <w:pPr>
        <w:widowControl w:val="0"/>
        <w:autoSpaceDE w:val="0"/>
        <w:autoSpaceDN w:val="0"/>
        <w:adjustRightInd w:val="0"/>
        <w:spacing w:after="0" w:line="240" w:lineRule="auto"/>
        <w:ind w:left="851" w:right="804"/>
        <w:rPr>
          <w:rFonts w:cstheme="minorHAnsi"/>
          <w:i/>
        </w:rPr>
      </w:pPr>
      <w:r w:rsidRPr="00EE2953">
        <w:rPr>
          <w:rFonts w:cstheme="minorHAnsi"/>
          <w:i/>
        </w:rPr>
        <w:t>O</w:t>
      </w:r>
      <w:r w:rsidR="004602C5" w:rsidRPr="00EE2953">
        <w:rPr>
          <w:rFonts w:cstheme="minorHAnsi"/>
          <w:i/>
        </w:rPr>
        <w:t xml:space="preserve">ther viewers were outraged that Sadiq's interview was focused on junk food ads, rather than the shocking knife crime rates in the capital city.  One critic tweeted: "Sadiq Khan’s interview </w:t>
      </w:r>
      <w:r w:rsidR="0039364E" w:rsidRPr="00EE2953">
        <w:rPr>
          <w:rFonts w:cstheme="minorHAnsi"/>
          <w:i/>
        </w:rPr>
        <w:t xml:space="preserve">…. </w:t>
      </w:r>
      <w:r w:rsidR="004602C5" w:rsidRPr="00EE2953">
        <w:rPr>
          <w:rFonts w:cstheme="minorHAnsi"/>
          <w:i/>
        </w:rPr>
        <w:t xml:space="preserve">about banning fast food adverts is not worthy as the main talking point of the interview. What about telling the nation what you plan to do to combat knife crime? </w:t>
      </w:r>
      <w:r w:rsidR="003B4EF9" w:rsidRPr="00EE2953">
        <w:rPr>
          <w:rFonts w:cstheme="minorHAnsi"/>
          <w:i/>
        </w:rPr>
        <w:t>… … I</w:t>
      </w:r>
      <w:r w:rsidR="004602C5" w:rsidRPr="00EE2953">
        <w:rPr>
          <w:rFonts w:cstheme="minorHAnsi"/>
          <w:i/>
        </w:rPr>
        <w:t xml:space="preserve"> think that is more important than fast food?" </w:t>
      </w:r>
      <w:r w:rsidR="0099106A" w:rsidRPr="00EE2953">
        <w:rPr>
          <w:rFonts w:cstheme="minorHAnsi"/>
          <w:i/>
        </w:rPr>
        <w:t xml:space="preserve"> </w:t>
      </w:r>
      <w:r w:rsidR="004602C5" w:rsidRPr="00EE2953">
        <w:rPr>
          <w:rFonts w:cstheme="minorHAnsi"/>
        </w:rPr>
        <w:t>(Daily Star)</w:t>
      </w:r>
    </w:p>
    <w:p w14:paraId="1E1DE39E" w14:textId="7BB1F458" w:rsidR="00786069" w:rsidRPr="00EE2953" w:rsidRDefault="00786069" w:rsidP="00901906">
      <w:pPr>
        <w:spacing w:after="0" w:line="360" w:lineRule="auto"/>
      </w:pPr>
    </w:p>
    <w:p w14:paraId="7F31529D" w14:textId="2D78AB98" w:rsidR="00131F61" w:rsidRPr="00EE2953" w:rsidRDefault="006A251A" w:rsidP="000A2C33">
      <w:pPr>
        <w:widowControl w:val="0"/>
        <w:autoSpaceDE w:val="0"/>
        <w:autoSpaceDN w:val="0"/>
        <w:adjustRightInd w:val="0"/>
        <w:spacing w:after="0" w:line="360" w:lineRule="auto"/>
        <w:ind w:right="-46"/>
        <w:contextualSpacing/>
        <w:rPr>
          <w:rFonts w:cstheme="minorHAnsi"/>
        </w:rPr>
      </w:pPr>
      <w:r w:rsidRPr="00EE2953">
        <w:rPr>
          <w:rFonts w:cstheme="minorHAnsi"/>
        </w:rPr>
        <w:t xml:space="preserve">In referencing violent crime and presenting </w:t>
      </w:r>
      <w:r w:rsidR="00062811" w:rsidRPr="00EE2953">
        <w:rPr>
          <w:rFonts w:cstheme="minorHAnsi"/>
        </w:rPr>
        <w:t xml:space="preserve">these issues </w:t>
      </w:r>
      <w:r w:rsidRPr="00EE2953">
        <w:rPr>
          <w:rFonts w:cstheme="minorHAnsi"/>
        </w:rPr>
        <w:t xml:space="preserve">as </w:t>
      </w:r>
      <w:r w:rsidR="00D762C5" w:rsidRPr="00EE2953">
        <w:rPr>
          <w:rFonts w:cstheme="minorHAnsi"/>
        </w:rPr>
        <w:t xml:space="preserve">a </w:t>
      </w:r>
      <w:r w:rsidR="00266A22" w:rsidRPr="00EE2953">
        <w:rPr>
          <w:rFonts w:cstheme="minorHAnsi"/>
        </w:rPr>
        <w:t xml:space="preserve">binary </w:t>
      </w:r>
      <w:r w:rsidRPr="00EE2953">
        <w:rPr>
          <w:rFonts w:cstheme="minorHAnsi"/>
        </w:rPr>
        <w:t>policy choice, the</w:t>
      </w:r>
      <w:r w:rsidR="002A4E9E" w:rsidRPr="00EE2953">
        <w:rPr>
          <w:rFonts w:cstheme="minorHAnsi"/>
        </w:rPr>
        <w:t>y are pitted against each other</w:t>
      </w:r>
      <w:r w:rsidR="006D105C" w:rsidRPr="00EE2953">
        <w:rPr>
          <w:rFonts w:cstheme="minorHAnsi"/>
        </w:rPr>
        <w:t xml:space="preserve"> with knife crime </w:t>
      </w:r>
      <w:r w:rsidR="004A0EE9" w:rsidRPr="00EE2953">
        <w:rPr>
          <w:rFonts w:cstheme="minorHAnsi"/>
        </w:rPr>
        <w:t xml:space="preserve">presented </w:t>
      </w:r>
      <w:r w:rsidR="006D105C" w:rsidRPr="00EE2953">
        <w:rPr>
          <w:rFonts w:cstheme="minorHAnsi"/>
        </w:rPr>
        <w:t xml:space="preserve">as more </w:t>
      </w:r>
      <w:r w:rsidR="0038113E" w:rsidRPr="00EE2953">
        <w:rPr>
          <w:rFonts w:cstheme="minorHAnsi"/>
        </w:rPr>
        <w:t xml:space="preserve">urgent and the relative importance of childhood obesity downplayed.  </w:t>
      </w:r>
      <w:r w:rsidR="00136E98" w:rsidRPr="00EE2953">
        <w:rPr>
          <w:rFonts w:cstheme="minorHAnsi"/>
        </w:rPr>
        <w:t>Th</w:t>
      </w:r>
      <w:r w:rsidR="00B366C4" w:rsidRPr="00EE2953">
        <w:rPr>
          <w:rFonts w:cstheme="minorHAnsi"/>
        </w:rPr>
        <w:t>is promotes</w:t>
      </w:r>
      <w:r w:rsidR="000B57EE" w:rsidRPr="00EE2953">
        <w:rPr>
          <w:rFonts w:cstheme="minorHAnsi"/>
        </w:rPr>
        <w:t xml:space="preserve"> </w:t>
      </w:r>
      <w:r w:rsidR="001822A5" w:rsidRPr="00EE2953">
        <w:rPr>
          <w:rFonts w:cstheme="minorHAnsi"/>
        </w:rPr>
        <w:t>the idea of a</w:t>
      </w:r>
      <w:r w:rsidR="004A0EE9" w:rsidRPr="00EE2953">
        <w:rPr>
          <w:rFonts w:cstheme="minorHAnsi"/>
        </w:rPr>
        <w:t xml:space="preserve"> </w:t>
      </w:r>
      <w:r w:rsidR="000B57EE" w:rsidRPr="00EE2953">
        <w:rPr>
          <w:rFonts w:cstheme="minorHAnsi"/>
        </w:rPr>
        <w:t>false dichotomy</w:t>
      </w:r>
      <w:r w:rsidR="00B366C4" w:rsidRPr="00EE2953">
        <w:rPr>
          <w:rFonts w:cstheme="minorHAnsi"/>
        </w:rPr>
        <w:t xml:space="preserve"> where</w:t>
      </w:r>
      <w:r w:rsidR="00136E98" w:rsidRPr="00EE2953">
        <w:rPr>
          <w:rFonts w:cstheme="minorHAnsi"/>
        </w:rPr>
        <w:t xml:space="preserve"> only one issue can be dealt with a</w:t>
      </w:r>
      <w:r w:rsidR="00DD119B" w:rsidRPr="00EE2953">
        <w:rPr>
          <w:rFonts w:cstheme="minorHAnsi"/>
        </w:rPr>
        <w:t>ny</w:t>
      </w:r>
      <w:r w:rsidR="00136E98" w:rsidRPr="00EE2953">
        <w:rPr>
          <w:rFonts w:cstheme="minorHAnsi"/>
        </w:rPr>
        <w:t xml:space="preserve"> </w:t>
      </w:r>
      <w:r w:rsidR="001822A5" w:rsidRPr="00EE2953">
        <w:rPr>
          <w:rFonts w:cstheme="minorHAnsi"/>
        </w:rPr>
        <w:t xml:space="preserve">given </w:t>
      </w:r>
      <w:r w:rsidR="00136E98" w:rsidRPr="00EE2953">
        <w:rPr>
          <w:rFonts w:cstheme="minorHAnsi"/>
        </w:rPr>
        <w:t>time</w:t>
      </w:r>
      <w:r w:rsidR="00A775DB" w:rsidRPr="00EE2953">
        <w:rPr>
          <w:rFonts w:cstheme="minorHAnsi"/>
        </w:rPr>
        <w:t>.</w:t>
      </w:r>
    </w:p>
    <w:p w14:paraId="1E74BF08" w14:textId="7FD149AE" w:rsidR="00387BFE" w:rsidRPr="00EE2953" w:rsidRDefault="00387BFE" w:rsidP="006A251A">
      <w:pPr>
        <w:widowControl w:val="0"/>
        <w:autoSpaceDE w:val="0"/>
        <w:autoSpaceDN w:val="0"/>
        <w:adjustRightInd w:val="0"/>
        <w:spacing w:after="0" w:line="360" w:lineRule="auto"/>
        <w:ind w:right="1514"/>
        <w:contextualSpacing/>
        <w:rPr>
          <w:rFonts w:cstheme="minorHAnsi"/>
        </w:rPr>
      </w:pPr>
    </w:p>
    <w:p w14:paraId="1B0485C2" w14:textId="0E253EB0" w:rsidR="00387BFE" w:rsidRPr="00EE2953" w:rsidRDefault="00387BFE" w:rsidP="000A2C33">
      <w:pPr>
        <w:widowControl w:val="0"/>
        <w:autoSpaceDE w:val="0"/>
        <w:autoSpaceDN w:val="0"/>
        <w:adjustRightInd w:val="0"/>
        <w:spacing w:after="0" w:line="360" w:lineRule="auto"/>
        <w:ind w:right="-46"/>
        <w:contextualSpacing/>
        <w:rPr>
          <w:rFonts w:cstheme="minorHAnsi"/>
        </w:rPr>
      </w:pPr>
      <w:r w:rsidRPr="00EE2953">
        <w:rPr>
          <w:rFonts w:cstheme="minorHAnsi"/>
        </w:rPr>
        <w:t xml:space="preserve">The </w:t>
      </w:r>
      <w:r w:rsidR="00771765" w:rsidRPr="00EE2953">
        <w:rPr>
          <w:rFonts w:cstheme="minorHAnsi"/>
        </w:rPr>
        <w:t>portrayal</w:t>
      </w:r>
      <w:r w:rsidRPr="00EE2953">
        <w:rPr>
          <w:rFonts w:cstheme="minorHAnsi"/>
        </w:rPr>
        <w:t xml:space="preserve"> of childhood obesity as the ‘wrong’ policy priority </w:t>
      </w:r>
      <w:r w:rsidR="00A9620D" w:rsidRPr="00EE2953">
        <w:rPr>
          <w:rFonts w:cstheme="minorHAnsi"/>
        </w:rPr>
        <w:t>is</w:t>
      </w:r>
      <w:r w:rsidRPr="00EE2953">
        <w:rPr>
          <w:rFonts w:cstheme="minorHAnsi"/>
        </w:rPr>
        <w:t xml:space="preserve"> presented alongside </w:t>
      </w:r>
      <w:r w:rsidRPr="00EE2953">
        <w:rPr>
          <w:rFonts w:cstheme="minorHAnsi"/>
          <w:i/>
          <w:iCs/>
        </w:rPr>
        <w:t>ad hominem</w:t>
      </w:r>
      <w:r w:rsidRPr="00EE2953">
        <w:rPr>
          <w:rFonts w:cstheme="minorHAnsi"/>
        </w:rPr>
        <w:t xml:space="preserve"> attacks on the Mayor</w:t>
      </w:r>
      <w:r w:rsidR="00E04CCE" w:rsidRPr="00EE2953">
        <w:rPr>
          <w:rFonts w:cstheme="minorHAnsi"/>
        </w:rPr>
        <w:t xml:space="preserve"> himself and as a synecdoche for City Hall in general</w:t>
      </w:r>
      <w:r w:rsidR="00020F24" w:rsidRPr="00EE2953">
        <w:rPr>
          <w:rFonts w:cstheme="minorHAnsi"/>
        </w:rPr>
        <w:t xml:space="preserve">, </w:t>
      </w:r>
      <w:r w:rsidR="002264B0" w:rsidRPr="00EE2953">
        <w:rPr>
          <w:rFonts w:cstheme="minorHAnsi"/>
        </w:rPr>
        <w:t xml:space="preserve">emphasising </w:t>
      </w:r>
      <w:r w:rsidRPr="00EE2953">
        <w:rPr>
          <w:rFonts w:cstheme="minorHAnsi"/>
        </w:rPr>
        <w:t>his championing of the ban</w:t>
      </w:r>
      <w:r w:rsidR="000A2C33" w:rsidRPr="00EE2953">
        <w:rPr>
          <w:rFonts w:cstheme="minorHAnsi"/>
        </w:rPr>
        <w:t xml:space="preserve"> and criticising him for not purs</w:t>
      </w:r>
      <w:r w:rsidR="00A9620D" w:rsidRPr="00EE2953">
        <w:rPr>
          <w:rFonts w:cstheme="minorHAnsi"/>
        </w:rPr>
        <w:t>u</w:t>
      </w:r>
      <w:r w:rsidR="000A2C33" w:rsidRPr="00EE2953">
        <w:rPr>
          <w:rFonts w:cstheme="minorHAnsi"/>
        </w:rPr>
        <w:t xml:space="preserve">ing more </w:t>
      </w:r>
      <w:r w:rsidR="00A9620D" w:rsidRPr="00EE2953">
        <w:rPr>
          <w:rFonts w:cstheme="minorHAnsi"/>
        </w:rPr>
        <w:t>important</w:t>
      </w:r>
      <w:r w:rsidR="000A2C33" w:rsidRPr="00EE2953">
        <w:rPr>
          <w:rFonts w:cstheme="minorHAnsi"/>
        </w:rPr>
        <w:t xml:space="preserve"> problems. </w:t>
      </w:r>
    </w:p>
    <w:p w14:paraId="4B01EA7E" w14:textId="77777777" w:rsidR="006A251A" w:rsidRPr="00EE2953" w:rsidRDefault="006A251A" w:rsidP="00786069">
      <w:pPr>
        <w:widowControl w:val="0"/>
        <w:autoSpaceDE w:val="0"/>
        <w:autoSpaceDN w:val="0"/>
        <w:adjustRightInd w:val="0"/>
        <w:spacing w:after="0" w:line="240" w:lineRule="auto"/>
        <w:ind w:right="1513"/>
        <w:rPr>
          <w:rFonts w:cstheme="minorHAnsi"/>
        </w:rPr>
      </w:pPr>
    </w:p>
    <w:p w14:paraId="1E76F08D" w14:textId="02C405A7" w:rsidR="004602C5" w:rsidRPr="00EE2953" w:rsidRDefault="004602C5" w:rsidP="00B87349">
      <w:pPr>
        <w:ind w:left="851" w:right="805"/>
        <w:contextualSpacing/>
        <w:rPr>
          <w:rFonts w:cstheme="minorHAnsi"/>
        </w:rPr>
      </w:pPr>
      <w:r w:rsidRPr="00EE2953">
        <w:rPr>
          <w:rFonts w:cstheme="minorHAnsi"/>
          <w:i/>
        </w:rPr>
        <w:t xml:space="preserve">The Mayor of London was recently criticised for his 'hypocritical' ad </w:t>
      </w:r>
      <w:r w:rsidR="00514543" w:rsidRPr="00EE2953">
        <w:rPr>
          <w:rFonts w:cstheme="minorHAnsi"/>
          <w:i/>
        </w:rPr>
        <w:t>p</w:t>
      </w:r>
      <w:r w:rsidRPr="00EE2953">
        <w:rPr>
          <w:rFonts w:cstheme="minorHAnsi"/>
          <w:i/>
        </w:rPr>
        <w:t>oli</w:t>
      </w:r>
      <w:r w:rsidR="00AF4A4C" w:rsidRPr="00EE2953">
        <w:rPr>
          <w:rFonts w:cstheme="minorHAnsi"/>
          <w:i/>
        </w:rPr>
        <w:t xml:space="preserve">cies. </w:t>
      </w:r>
      <w:r w:rsidRPr="00EE2953">
        <w:rPr>
          <w:rFonts w:cstheme="minorHAnsi"/>
          <w:i/>
        </w:rPr>
        <w:t>Previously, Sadiq Khan has banned advertisements for junk food</w:t>
      </w:r>
      <w:r w:rsidR="00AF4A4C" w:rsidRPr="00EE2953">
        <w:rPr>
          <w:rFonts w:cstheme="minorHAnsi"/>
          <w:i/>
        </w:rPr>
        <w:t xml:space="preserve"> </w:t>
      </w:r>
      <w:r w:rsidRPr="00EE2953">
        <w:rPr>
          <w:rFonts w:cstheme="minorHAnsi"/>
          <w:i/>
        </w:rPr>
        <w:t>on the Tube</w:t>
      </w:r>
      <w:r w:rsidR="00AF4A4C" w:rsidRPr="00EE2953">
        <w:rPr>
          <w:rFonts w:cstheme="minorHAnsi"/>
          <w:i/>
        </w:rPr>
        <w:t xml:space="preserve">. </w:t>
      </w:r>
      <w:r w:rsidRPr="00EE2953">
        <w:rPr>
          <w:rFonts w:cstheme="minorHAnsi"/>
          <w:i/>
        </w:rPr>
        <w:t>Gambling advertisements however appear to have been allowed to double</w:t>
      </w:r>
      <w:r w:rsidR="00AF4A4C" w:rsidRPr="00EE2953">
        <w:rPr>
          <w:rFonts w:cstheme="minorHAnsi"/>
        </w:rPr>
        <w:t>.</w:t>
      </w:r>
      <w:r w:rsidR="00A348FF" w:rsidRPr="00EE2953">
        <w:rPr>
          <w:rFonts w:cstheme="minorHAnsi"/>
        </w:rPr>
        <w:t xml:space="preserve">  </w:t>
      </w:r>
      <w:r w:rsidRPr="00EE2953">
        <w:rPr>
          <w:rFonts w:cstheme="minorHAnsi"/>
        </w:rPr>
        <w:t>(</w:t>
      </w:r>
      <w:r w:rsidR="008817E0" w:rsidRPr="00EE2953">
        <w:rPr>
          <w:rFonts w:cstheme="minorHAnsi"/>
        </w:rPr>
        <w:t>T</w:t>
      </w:r>
      <w:r w:rsidRPr="00EE2953">
        <w:rPr>
          <w:rFonts w:cstheme="minorHAnsi"/>
        </w:rPr>
        <w:t>he Daily Mail)</w:t>
      </w:r>
    </w:p>
    <w:p w14:paraId="756AB09B" w14:textId="77777777" w:rsidR="00DB37E1" w:rsidRPr="00EE2953" w:rsidRDefault="00DB37E1" w:rsidP="00863D63">
      <w:pPr>
        <w:rPr>
          <w:rFonts w:ascii="Segoe UI" w:hAnsi="Segoe UI" w:cs="Segoe UI"/>
          <w:sz w:val="20"/>
          <w:szCs w:val="20"/>
        </w:rPr>
      </w:pPr>
    </w:p>
    <w:p w14:paraId="1B49648C" w14:textId="384DBDE5" w:rsidR="00DB37E1" w:rsidRPr="00EE2953" w:rsidRDefault="00DB37E1" w:rsidP="00CF4AA5">
      <w:pPr>
        <w:spacing w:after="0" w:line="360" w:lineRule="auto"/>
        <w:contextualSpacing/>
      </w:pPr>
      <w:r w:rsidRPr="00EE2953">
        <w:t>This has the rhetorical effect of positioning the Mayor</w:t>
      </w:r>
      <w:r w:rsidR="006A0DE2" w:rsidRPr="00EE2953">
        <w:t xml:space="preserve"> and City Hall</w:t>
      </w:r>
      <w:r w:rsidRPr="00EE2953">
        <w:t xml:space="preserve"> in a double-bind, where there is no </w:t>
      </w:r>
      <w:r w:rsidR="00F22EFF" w:rsidRPr="00EE2953">
        <w:t xml:space="preserve">correct </w:t>
      </w:r>
      <w:r w:rsidRPr="00EE2953">
        <w:t xml:space="preserve">course of action.  He </w:t>
      </w:r>
      <w:r w:rsidR="00A9620D" w:rsidRPr="00EE2953">
        <w:t xml:space="preserve">is </w:t>
      </w:r>
      <w:r w:rsidR="00CF4AA5" w:rsidRPr="00EE2953">
        <w:t xml:space="preserve">described as </w:t>
      </w:r>
      <w:r w:rsidRPr="00EE2953">
        <w:t>going t</w:t>
      </w:r>
      <w:r w:rsidR="00C3562E" w:rsidRPr="00EE2953">
        <w:t>o</w:t>
      </w:r>
      <w:r w:rsidRPr="00EE2953">
        <w:t xml:space="preserve">o far by trying to address childhood obesity </w:t>
      </w:r>
      <w:r w:rsidRPr="00EE2953">
        <w:lastRenderedPageBreak/>
        <w:t xml:space="preserve">via </w:t>
      </w:r>
      <w:r w:rsidR="00A9620D" w:rsidRPr="00EE2953">
        <w:t>the</w:t>
      </w:r>
      <w:r w:rsidRPr="00EE2953">
        <w:t xml:space="preserve"> advertising ban.  At the same time, </w:t>
      </w:r>
      <w:r w:rsidR="00A9620D" w:rsidRPr="00EE2953">
        <w:t>it is also implied that he is a</w:t>
      </w:r>
      <w:r w:rsidRPr="00EE2953">
        <w:t xml:space="preserve"> hypocrite</w:t>
      </w:r>
      <w:r w:rsidR="00514543" w:rsidRPr="00EE2953">
        <w:t xml:space="preserve"> for</w:t>
      </w:r>
      <w:r w:rsidRPr="00EE2953">
        <w:t xml:space="preserve"> not going far enough by allowing advert</w:t>
      </w:r>
      <w:r w:rsidR="002264B0" w:rsidRPr="00EE2953">
        <w:t>isement</w:t>
      </w:r>
      <w:r w:rsidRPr="00EE2953">
        <w:t>s for gambling</w:t>
      </w:r>
      <w:r w:rsidR="007C05FF" w:rsidRPr="00EE2953">
        <w:t xml:space="preserve">, </w:t>
      </w:r>
      <w:r w:rsidRPr="00EE2953">
        <w:t xml:space="preserve">which are required </w:t>
      </w:r>
      <w:r w:rsidRPr="00EE2953">
        <w:rPr>
          <w:i/>
        </w:rPr>
        <w:t>not</w:t>
      </w:r>
      <w:r w:rsidRPr="00EE2953">
        <w:t xml:space="preserve"> to be appeal</w:t>
      </w:r>
      <w:r w:rsidR="00A9620D" w:rsidRPr="00EE2953">
        <w:t>ing</w:t>
      </w:r>
      <w:r w:rsidRPr="00EE2953">
        <w:t xml:space="preserve"> to children</w:t>
      </w:r>
      <w:r w:rsidR="006E037F" w:rsidRPr="00EE2953">
        <w:t xml:space="preserve"> </w:t>
      </w:r>
      <w:r w:rsidR="00363F84" w:rsidRPr="00EE2953">
        <w:fldChar w:fldCharType="begin"/>
      </w:r>
      <w:r w:rsidR="00452582" w:rsidRPr="00EE2953">
        <w:instrText xml:space="preserve"> ADDIN EN.CITE &lt;EndNote&gt;&lt;Cite&gt;&lt;Author&gt;Committee of Advertising Practice&lt;/Author&gt;&lt;Year&gt;2019&lt;/Year&gt;&lt;RecNum&gt;292&lt;/RecNum&gt;&lt;DisplayText&gt;(Committee of Advertising Practice, 2019)&lt;/DisplayText&gt;&lt;record&gt;&lt;rec-number&gt;292&lt;/rec-number&gt;&lt;foreign-keys&gt;&lt;key app="EN" db-id="wz0s5vxeow0299ew9xqvdsw7t0xf9w02z5wt" timestamp="1602350414"&gt;292&lt;/key&gt;&lt;/foreign-keys&gt;&lt;ref-type name="Report"&gt;27&lt;/ref-type&gt;&lt;contributors&gt;&lt;authors&gt;&lt;author&gt;Committee of Advertising Practice,&lt;/author&gt;&lt;/authors&gt;&lt;/contributors&gt;&lt;titles&gt;&lt;title&gt;Regulatory statement: gambling advertising guidance.  Protecting children and young people&lt;/title&gt;&lt;/titles&gt;&lt;dates&gt;&lt;year&gt;2019&lt;/year&gt;&lt;/dates&gt;&lt;pub-location&gt;London&lt;/pub-location&gt;&lt;publisher&gt;CAP&lt;/publisher&gt;&lt;urls&gt;&lt;/urls&gt;&lt;/record&gt;&lt;/Cite&gt;&lt;/EndNote&gt;</w:instrText>
      </w:r>
      <w:r w:rsidR="00363F84" w:rsidRPr="00EE2953">
        <w:fldChar w:fldCharType="separate"/>
      </w:r>
      <w:r w:rsidR="00452582" w:rsidRPr="00EE2953">
        <w:rPr>
          <w:noProof/>
        </w:rPr>
        <w:t>(Committee of Advertising Practice, 2019)</w:t>
      </w:r>
      <w:r w:rsidR="00363F84" w:rsidRPr="00EE2953">
        <w:fldChar w:fldCharType="end"/>
      </w:r>
      <w:r w:rsidR="007C05FF" w:rsidRPr="00EE2953">
        <w:t>,</w:t>
      </w:r>
      <w:r w:rsidRPr="00EE2953">
        <w:t xml:space="preserve"> to double</w:t>
      </w:r>
      <w:r w:rsidR="00AA5EE5" w:rsidRPr="00EE2953">
        <w:t xml:space="preserve"> on public transport</w:t>
      </w:r>
      <w:r w:rsidR="00C3562E" w:rsidRPr="00EE2953">
        <w:t>.</w:t>
      </w:r>
    </w:p>
    <w:p w14:paraId="2D279438" w14:textId="77777777" w:rsidR="00DB37E1" w:rsidRPr="00EE2953" w:rsidRDefault="00DB37E1" w:rsidP="00863D63"/>
    <w:p w14:paraId="49648A48" w14:textId="54F73272" w:rsidR="00863D63" w:rsidRPr="00EE2953" w:rsidRDefault="00A95923" w:rsidP="00863D63">
      <w:pPr>
        <w:rPr>
          <w:b/>
          <w:i/>
        </w:rPr>
      </w:pPr>
      <w:r w:rsidRPr="00EE2953">
        <w:rPr>
          <w:b/>
          <w:i/>
        </w:rPr>
        <w:t xml:space="preserve">3.3.2 </w:t>
      </w:r>
      <w:r w:rsidR="009B6BD6" w:rsidRPr="00EE2953">
        <w:rPr>
          <w:b/>
          <w:i/>
        </w:rPr>
        <w:t>Questioning the scientific evidence</w:t>
      </w:r>
    </w:p>
    <w:p w14:paraId="7A6C6A01" w14:textId="75FB03CD" w:rsidR="005F33B9" w:rsidRPr="00EE2953" w:rsidRDefault="001315E5" w:rsidP="00EF7B08">
      <w:pPr>
        <w:spacing w:after="0" w:line="360" w:lineRule="auto"/>
      </w:pPr>
      <w:r w:rsidRPr="00EE2953">
        <w:t xml:space="preserve">Undermining the </w:t>
      </w:r>
      <w:r w:rsidR="00C1534D" w:rsidRPr="00EE2953">
        <w:t xml:space="preserve">scientific </w:t>
      </w:r>
      <w:r w:rsidRPr="00EE2953">
        <w:t>evidence w</w:t>
      </w:r>
      <w:r w:rsidR="009B6BD6" w:rsidRPr="00EE2953">
        <w:t>as</w:t>
      </w:r>
      <w:r w:rsidRPr="00EE2953">
        <w:t xml:space="preserve"> used </w:t>
      </w:r>
      <w:r w:rsidR="00F76A8F" w:rsidRPr="00EE2953">
        <w:t xml:space="preserve">as a way of </w:t>
      </w:r>
      <w:r w:rsidRPr="00EE2953">
        <w:t>challeng</w:t>
      </w:r>
      <w:r w:rsidR="00F76A8F" w:rsidRPr="00EE2953">
        <w:t>ing</w:t>
      </w:r>
      <w:r w:rsidRPr="00EE2953">
        <w:t xml:space="preserve"> </w:t>
      </w:r>
      <w:r w:rsidR="00562E95" w:rsidRPr="00EE2953">
        <w:t xml:space="preserve">both </w:t>
      </w:r>
      <w:r w:rsidRPr="00EE2953">
        <w:t xml:space="preserve">the validity </w:t>
      </w:r>
      <w:r w:rsidR="00903D33" w:rsidRPr="00EE2953">
        <w:t>and</w:t>
      </w:r>
      <w:r w:rsidRPr="00EE2953">
        <w:t xml:space="preserve"> authenticity of childhood obesity as a legitimate problem and the </w:t>
      </w:r>
      <w:r w:rsidR="00CF2929" w:rsidRPr="00EE2953">
        <w:t>effectiveness</w:t>
      </w:r>
      <w:r w:rsidRPr="00EE2953">
        <w:t xml:space="preserve"> of the ban as a</w:t>
      </w:r>
      <w:r w:rsidR="00903D33" w:rsidRPr="00EE2953">
        <w:t xml:space="preserve"> solution</w:t>
      </w:r>
      <w:r w:rsidR="005F33B9" w:rsidRPr="00EE2953">
        <w:t>.</w:t>
      </w:r>
      <w:r w:rsidR="00365B03" w:rsidRPr="00EE2953">
        <w:t xml:space="preserve">  The extract below</w:t>
      </w:r>
      <w:r w:rsidR="00562E95" w:rsidRPr="00EE2953">
        <w:t xml:space="preserve"> </w:t>
      </w:r>
      <w:r w:rsidR="003A4022" w:rsidRPr="00EE2953">
        <w:t>is an exemplar of this</w:t>
      </w:r>
      <w:r w:rsidR="003B4EF9" w:rsidRPr="00EE2953">
        <w:t>.</w:t>
      </w:r>
    </w:p>
    <w:p w14:paraId="3F3D9508" w14:textId="77777777" w:rsidR="00562E95" w:rsidRPr="00EE2953" w:rsidRDefault="00562E95" w:rsidP="00EF7B08">
      <w:pPr>
        <w:spacing w:after="0" w:line="360" w:lineRule="auto"/>
      </w:pPr>
    </w:p>
    <w:p w14:paraId="0D6E7BB1" w14:textId="3D48EDC9" w:rsidR="005F33B9" w:rsidRPr="00EE2953" w:rsidRDefault="005F33B9" w:rsidP="00B87349">
      <w:pPr>
        <w:ind w:left="851" w:right="805"/>
        <w:contextualSpacing/>
        <w:rPr>
          <w:rFonts w:cstheme="minorHAnsi"/>
          <w:i/>
        </w:rPr>
      </w:pPr>
      <w:r w:rsidRPr="00EE2953">
        <w:rPr>
          <w:rFonts w:cstheme="minorHAnsi"/>
          <w:i/>
        </w:rPr>
        <w:t>Supporters of the ban point to our supposed childhood obesity crisis as justification for such recklessness</w:t>
      </w:r>
      <w:r w:rsidR="004972ED" w:rsidRPr="00EE2953">
        <w:rPr>
          <w:rFonts w:cstheme="minorHAnsi"/>
          <w:i/>
        </w:rPr>
        <w:t>,</w:t>
      </w:r>
      <w:r w:rsidRPr="00EE2953">
        <w:rPr>
          <w:rFonts w:cstheme="minorHAnsi"/>
          <w:i/>
        </w:rPr>
        <w:t xml:space="preserve"> but there is no solid evidence to show that a similar ban in Amsterdam has had any effect on their children's waistlines.</w:t>
      </w:r>
      <w:r w:rsidR="00A348FF" w:rsidRPr="00EE2953">
        <w:rPr>
          <w:rFonts w:cstheme="minorHAnsi"/>
          <w:i/>
        </w:rPr>
        <w:t xml:space="preserve">  </w:t>
      </w:r>
      <w:r w:rsidRPr="00EE2953">
        <w:rPr>
          <w:rFonts w:cstheme="minorHAnsi"/>
        </w:rPr>
        <w:t>(London Evening Standard)</w:t>
      </w:r>
    </w:p>
    <w:p w14:paraId="525222E9" w14:textId="77777777" w:rsidR="00365B03" w:rsidRPr="00EE2953" w:rsidRDefault="00365B03" w:rsidP="005F33B9">
      <w:pPr>
        <w:spacing w:after="0" w:line="360" w:lineRule="auto"/>
        <w:rPr>
          <w:rFonts w:cstheme="minorHAnsi"/>
        </w:rPr>
      </w:pPr>
    </w:p>
    <w:p w14:paraId="42AAFAD7" w14:textId="37F04FB4" w:rsidR="00D91324" w:rsidRDefault="004A3240" w:rsidP="003B4EF9">
      <w:pPr>
        <w:spacing w:after="0" w:line="360" w:lineRule="auto"/>
        <w:rPr>
          <w:rFonts w:cstheme="minorHAnsi"/>
          <w:i/>
        </w:rPr>
      </w:pPr>
      <w:r w:rsidRPr="00EE2953">
        <w:rPr>
          <w:rFonts w:cstheme="minorHAnsi"/>
        </w:rPr>
        <w:t>N</w:t>
      </w:r>
      <w:r w:rsidR="00242B54" w:rsidRPr="00EE2953">
        <w:rPr>
          <w:rFonts w:cstheme="minorHAnsi"/>
        </w:rPr>
        <w:t>arratives around</w:t>
      </w:r>
      <w:r w:rsidR="00903D33" w:rsidRPr="00EE2953">
        <w:rPr>
          <w:rFonts w:cstheme="minorHAnsi"/>
        </w:rPr>
        <w:t xml:space="preserve"> the (lack of) </w:t>
      </w:r>
      <w:r w:rsidR="00242B54" w:rsidRPr="00EE2953">
        <w:rPr>
          <w:rFonts w:cstheme="minorHAnsi"/>
        </w:rPr>
        <w:t>evidence implicitly overstate the purpose and scope of the ban</w:t>
      </w:r>
      <w:r w:rsidR="00073A4A" w:rsidRPr="00EE2953">
        <w:rPr>
          <w:rFonts w:cstheme="minorHAnsi"/>
        </w:rPr>
        <w:t xml:space="preserve"> and ignore the fact</w:t>
      </w:r>
      <w:r w:rsidR="00AA0E87" w:rsidRPr="00EE2953">
        <w:rPr>
          <w:rFonts w:cstheme="minorHAnsi"/>
        </w:rPr>
        <w:t xml:space="preserve"> that most</w:t>
      </w:r>
      <w:r w:rsidRPr="00EE2953">
        <w:t xml:space="preserve"> </w:t>
      </w:r>
      <w:r w:rsidR="007C012A" w:rsidRPr="00EE2953">
        <w:t xml:space="preserve">public health </w:t>
      </w:r>
      <w:r w:rsidRPr="00EE2953">
        <w:t xml:space="preserve">interventions only work for a proportion of people </w:t>
      </w:r>
      <w:r w:rsidR="009867F1" w:rsidRPr="00EE2953">
        <w:t>exposed to them</w:t>
      </w:r>
      <w:r w:rsidR="001E77CA" w:rsidRPr="00EE2953">
        <w:t xml:space="preserve"> and so must be part of a package of solutions</w:t>
      </w:r>
      <w:r w:rsidR="009867F1" w:rsidRPr="00EE2953">
        <w:t xml:space="preserve">.  </w:t>
      </w:r>
      <w:r w:rsidR="002E5143" w:rsidRPr="00EE2953">
        <w:t xml:space="preserve">Where arguments in favour of the ban contextualised </w:t>
      </w:r>
      <w:r w:rsidR="00F22EFF" w:rsidRPr="00EE2953">
        <w:t xml:space="preserve">it </w:t>
      </w:r>
      <w:r w:rsidR="002E5143" w:rsidRPr="00EE2953">
        <w:t>as part of a wider</w:t>
      </w:r>
      <w:r w:rsidR="007C012A" w:rsidRPr="00EE2953">
        <w:t xml:space="preserve"> movement</w:t>
      </w:r>
      <w:r w:rsidR="003B4EF9" w:rsidRPr="00EE2953">
        <w:t>,</w:t>
      </w:r>
      <w:r w:rsidR="00387F56" w:rsidRPr="00EE2953">
        <w:t xml:space="preserve"> arguments</w:t>
      </w:r>
      <w:r w:rsidR="00387F56" w:rsidRPr="00F9642B">
        <w:t xml:space="preserve"> against the ban</w:t>
      </w:r>
      <w:r w:rsidR="009E369F" w:rsidRPr="00F9642B">
        <w:t xml:space="preserve"> considered </w:t>
      </w:r>
      <w:r w:rsidR="00562E95" w:rsidRPr="00F9642B">
        <w:t xml:space="preserve">it </w:t>
      </w:r>
      <w:r w:rsidR="009E369F" w:rsidRPr="00F9642B">
        <w:t>in isolation and, in doing so, judg</w:t>
      </w:r>
      <w:r w:rsidR="00562E95" w:rsidRPr="00F9642B">
        <w:t>ed</w:t>
      </w:r>
      <w:r w:rsidR="009E369F" w:rsidRPr="00F9642B">
        <w:t xml:space="preserve"> i</w:t>
      </w:r>
      <w:r w:rsidR="00562E95" w:rsidRPr="00F9642B">
        <w:t>t</w:t>
      </w:r>
      <w:r w:rsidR="009E369F" w:rsidRPr="00F9642B">
        <w:t xml:space="preserve"> </w:t>
      </w:r>
      <w:r w:rsidR="00021BAE">
        <w:t xml:space="preserve">to be </w:t>
      </w:r>
      <w:r w:rsidR="009E369F" w:rsidRPr="00F9642B">
        <w:t>inadequate</w:t>
      </w:r>
      <w:r w:rsidR="003B4EF9">
        <w:t>.</w:t>
      </w:r>
    </w:p>
    <w:p w14:paraId="3BAABC21" w14:textId="77777777" w:rsidR="003B4EF9" w:rsidRPr="00F9642B" w:rsidRDefault="003B4EF9" w:rsidP="003B4EF9">
      <w:pPr>
        <w:spacing w:after="0" w:line="360" w:lineRule="auto"/>
        <w:rPr>
          <w:rFonts w:cstheme="minorHAnsi"/>
          <w:i/>
        </w:rPr>
      </w:pPr>
    </w:p>
    <w:p w14:paraId="5A621EED" w14:textId="71CD2A02" w:rsidR="003B0354" w:rsidRDefault="009867F1" w:rsidP="003B0354">
      <w:pPr>
        <w:widowControl w:val="0"/>
        <w:autoSpaceDE w:val="0"/>
        <w:autoSpaceDN w:val="0"/>
        <w:adjustRightInd w:val="0"/>
        <w:spacing w:after="0" w:line="240" w:lineRule="auto"/>
        <w:ind w:left="851" w:right="804"/>
        <w:rPr>
          <w:rFonts w:cstheme="minorHAnsi"/>
        </w:rPr>
      </w:pPr>
      <w:r w:rsidRPr="00F9642B">
        <w:rPr>
          <w:rFonts w:cstheme="minorHAnsi"/>
          <w:i/>
        </w:rPr>
        <w:t>Stephen Woodford, chief executive of the Advertising Association, argued there was "no clear evidence" that the ban would solve the problem. He said: "We all want to see rates of childhood obesity dropping but believe there are far better ways to achieve this goal</w:t>
      </w:r>
      <w:r w:rsidR="00B87349">
        <w:rPr>
          <w:rFonts w:cstheme="minorHAnsi"/>
          <w:i/>
        </w:rPr>
        <w:t xml:space="preserve">. </w:t>
      </w:r>
      <w:r w:rsidR="00C41BCC">
        <w:rPr>
          <w:rFonts w:cstheme="minorHAnsi"/>
          <w:i/>
        </w:rPr>
        <w:t xml:space="preserve"> </w:t>
      </w:r>
      <w:r w:rsidRPr="00F9642B">
        <w:rPr>
          <w:rFonts w:cstheme="minorHAnsi"/>
        </w:rPr>
        <w:t>(The Drum)</w:t>
      </w:r>
      <w:r w:rsidR="00C41BCC">
        <w:rPr>
          <w:rFonts w:cstheme="minorHAnsi"/>
        </w:rPr>
        <w:t>.</w:t>
      </w:r>
    </w:p>
    <w:p w14:paraId="66D17813" w14:textId="77777777" w:rsidR="004972ED" w:rsidRDefault="004972ED" w:rsidP="003B0354">
      <w:pPr>
        <w:widowControl w:val="0"/>
        <w:autoSpaceDE w:val="0"/>
        <w:autoSpaceDN w:val="0"/>
        <w:adjustRightInd w:val="0"/>
        <w:spacing w:after="0" w:line="240" w:lineRule="auto"/>
        <w:ind w:left="851" w:right="804"/>
        <w:rPr>
          <w:rFonts w:cstheme="minorHAnsi"/>
        </w:rPr>
      </w:pPr>
    </w:p>
    <w:p w14:paraId="40D249EA" w14:textId="06D5FD46" w:rsidR="00A34494" w:rsidRPr="00F9642B" w:rsidRDefault="00903D33" w:rsidP="003B0354">
      <w:pPr>
        <w:widowControl w:val="0"/>
        <w:autoSpaceDE w:val="0"/>
        <w:autoSpaceDN w:val="0"/>
        <w:adjustRightInd w:val="0"/>
        <w:spacing w:after="0" w:line="360" w:lineRule="auto"/>
        <w:ind w:right="805"/>
        <w:rPr>
          <w:rFonts w:cstheme="minorHAnsi"/>
        </w:rPr>
      </w:pPr>
      <w:r w:rsidRPr="00F9642B">
        <w:rPr>
          <w:rFonts w:cstheme="minorHAnsi"/>
        </w:rPr>
        <w:t xml:space="preserve">This kind of </w:t>
      </w:r>
      <w:r w:rsidR="00EB7D19">
        <w:rPr>
          <w:rFonts w:cstheme="minorHAnsi"/>
        </w:rPr>
        <w:t>dev</w:t>
      </w:r>
      <w:r w:rsidR="00C41BCC">
        <w:rPr>
          <w:rFonts w:cstheme="minorHAnsi"/>
        </w:rPr>
        <w:t>ice is known as a</w:t>
      </w:r>
      <w:r w:rsidR="00460932" w:rsidRPr="00F9642B">
        <w:rPr>
          <w:rFonts w:cstheme="minorHAnsi"/>
        </w:rPr>
        <w:t xml:space="preserve"> </w:t>
      </w:r>
      <w:r w:rsidR="00E72833" w:rsidRPr="00C41BCC">
        <w:rPr>
          <w:rFonts w:cstheme="minorHAnsi"/>
          <w:i/>
        </w:rPr>
        <w:t>nirvana fallacy</w:t>
      </w:r>
      <w:r w:rsidR="00E72833" w:rsidRPr="00F9642B">
        <w:rPr>
          <w:rFonts w:cstheme="minorHAnsi"/>
        </w:rPr>
        <w:t xml:space="preserve">, </w:t>
      </w:r>
      <w:r w:rsidR="00562E95" w:rsidRPr="00F9642B">
        <w:rPr>
          <w:rFonts w:cstheme="minorHAnsi"/>
        </w:rPr>
        <w:t xml:space="preserve">comparing the ban with </w:t>
      </w:r>
      <w:r w:rsidR="00AC1D2C" w:rsidRPr="00F9642B">
        <w:rPr>
          <w:rFonts w:cstheme="minorHAnsi"/>
        </w:rPr>
        <w:t xml:space="preserve">unspecified </w:t>
      </w:r>
      <w:r w:rsidR="00AA2E9E" w:rsidRPr="00F9642B">
        <w:rPr>
          <w:rFonts w:cstheme="minorHAnsi"/>
        </w:rPr>
        <w:t xml:space="preserve">and </w:t>
      </w:r>
      <w:r w:rsidR="002264B0" w:rsidRPr="00F9642B">
        <w:rPr>
          <w:rFonts w:cstheme="minorHAnsi"/>
        </w:rPr>
        <w:t xml:space="preserve">idealised </w:t>
      </w:r>
      <w:r w:rsidR="00562E95" w:rsidRPr="00F9642B">
        <w:rPr>
          <w:rFonts w:cstheme="minorHAnsi"/>
        </w:rPr>
        <w:t>alternative</w:t>
      </w:r>
      <w:r w:rsidR="00F22EFF" w:rsidRPr="00F9642B">
        <w:rPr>
          <w:rFonts w:cstheme="minorHAnsi"/>
        </w:rPr>
        <w:t>s</w:t>
      </w:r>
      <w:r w:rsidR="00562E95" w:rsidRPr="00F9642B">
        <w:rPr>
          <w:rFonts w:cstheme="minorHAnsi"/>
        </w:rPr>
        <w:t xml:space="preserve"> and</w:t>
      </w:r>
      <w:r w:rsidR="00695E00" w:rsidRPr="00F9642B">
        <w:rPr>
          <w:rFonts w:cstheme="minorHAnsi"/>
        </w:rPr>
        <w:t xml:space="preserve"> </w:t>
      </w:r>
      <w:r w:rsidR="00F22EFF" w:rsidRPr="00F9642B">
        <w:rPr>
          <w:rFonts w:cstheme="minorHAnsi"/>
        </w:rPr>
        <w:t xml:space="preserve">implying </w:t>
      </w:r>
      <w:r w:rsidR="00695E00" w:rsidRPr="00F9642B">
        <w:rPr>
          <w:rFonts w:cstheme="minorHAnsi"/>
        </w:rPr>
        <w:t>th</w:t>
      </w:r>
      <w:r w:rsidR="00562E95" w:rsidRPr="00F9642B">
        <w:rPr>
          <w:rFonts w:cstheme="minorHAnsi"/>
        </w:rPr>
        <w:t>at a</w:t>
      </w:r>
      <w:r w:rsidR="00D85A74" w:rsidRPr="00F9642B">
        <w:rPr>
          <w:rFonts w:cstheme="minorHAnsi"/>
        </w:rPr>
        <w:t xml:space="preserve"> guaranteed </w:t>
      </w:r>
      <w:r w:rsidR="00AA2E9E" w:rsidRPr="00F9642B">
        <w:rPr>
          <w:rFonts w:cstheme="minorHAnsi"/>
        </w:rPr>
        <w:t>solution</w:t>
      </w:r>
      <w:r w:rsidR="00267CA9" w:rsidRPr="00F9642B">
        <w:rPr>
          <w:rFonts w:cstheme="minorHAnsi"/>
        </w:rPr>
        <w:t xml:space="preserve"> to the problem of childhood obesity</w:t>
      </w:r>
      <w:r w:rsidR="00562E95" w:rsidRPr="00F9642B">
        <w:rPr>
          <w:rFonts w:cstheme="minorHAnsi"/>
        </w:rPr>
        <w:t xml:space="preserve"> is possible</w:t>
      </w:r>
      <w:r w:rsidR="00D91324" w:rsidRPr="00F9642B">
        <w:rPr>
          <w:rFonts w:cstheme="minorHAnsi"/>
        </w:rPr>
        <w:t>.  P</w:t>
      </w:r>
      <w:r w:rsidR="00460932" w:rsidRPr="00F9642B">
        <w:rPr>
          <w:rFonts w:cstheme="minorHAnsi"/>
        </w:rPr>
        <w:t xml:space="preserve">otentially more suitable </w:t>
      </w:r>
      <w:r w:rsidR="00CF2929" w:rsidRPr="00F9642B">
        <w:rPr>
          <w:rFonts w:cstheme="minorHAnsi"/>
        </w:rPr>
        <w:t xml:space="preserve">and effective </w:t>
      </w:r>
      <w:r w:rsidR="00460932" w:rsidRPr="00F9642B">
        <w:rPr>
          <w:rFonts w:cstheme="minorHAnsi"/>
        </w:rPr>
        <w:t xml:space="preserve">ways of addressing the problem are alluded to – but </w:t>
      </w:r>
      <w:r w:rsidR="00A34494" w:rsidRPr="00F9642B">
        <w:rPr>
          <w:rFonts w:cstheme="minorHAnsi"/>
        </w:rPr>
        <w:t xml:space="preserve">rarely </w:t>
      </w:r>
      <w:r w:rsidR="007175C7" w:rsidRPr="00F9642B">
        <w:rPr>
          <w:rFonts w:cstheme="minorHAnsi"/>
        </w:rPr>
        <w:t>specified</w:t>
      </w:r>
      <w:r w:rsidR="00D1526E" w:rsidRPr="00F9642B">
        <w:rPr>
          <w:rFonts w:cstheme="minorHAnsi"/>
        </w:rPr>
        <w:t>.</w:t>
      </w:r>
      <w:r w:rsidR="00A34494" w:rsidRPr="00F9642B">
        <w:rPr>
          <w:rFonts w:cstheme="minorHAnsi"/>
        </w:rPr>
        <w:t xml:space="preserve">  </w:t>
      </w:r>
    </w:p>
    <w:p w14:paraId="3E41D5FD" w14:textId="60A4A4DC" w:rsidR="00A34494" w:rsidRPr="00F9642B" w:rsidRDefault="00A34494" w:rsidP="00365B03">
      <w:pPr>
        <w:spacing w:after="0" w:line="360" w:lineRule="auto"/>
        <w:ind w:right="-45"/>
        <w:rPr>
          <w:rFonts w:cstheme="minorHAnsi"/>
        </w:rPr>
      </w:pPr>
    </w:p>
    <w:p w14:paraId="15D67ECB" w14:textId="098CD7F9" w:rsidR="00005CF7" w:rsidRPr="00F9642B" w:rsidRDefault="00542526" w:rsidP="00B7328C">
      <w:pPr>
        <w:spacing w:after="0" w:line="360" w:lineRule="auto"/>
      </w:pPr>
      <w:r w:rsidRPr="00F9642B">
        <w:t>In terms of</w:t>
      </w:r>
      <w:r w:rsidR="007175C7" w:rsidRPr="00F9642B">
        <w:t xml:space="preserve"> </w:t>
      </w:r>
      <w:r w:rsidR="009B6BD6" w:rsidRPr="00F9642B">
        <w:t xml:space="preserve">the science underpinning the </w:t>
      </w:r>
      <w:r w:rsidR="007175C7" w:rsidRPr="00F9642B">
        <w:t>implementation</w:t>
      </w:r>
      <w:r w:rsidR="009B6BD6" w:rsidRPr="00F9642B">
        <w:t xml:space="preserve"> of the policy</w:t>
      </w:r>
      <w:r w:rsidRPr="00F9642B">
        <w:t xml:space="preserve">, the use of the NPM </w:t>
      </w:r>
      <w:r w:rsidR="009B6BD6" w:rsidRPr="00F9642B">
        <w:t xml:space="preserve">as the evidence-based tool </w:t>
      </w:r>
      <w:r w:rsidRPr="00F9642B">
        <w:t>to identify HFSS</w:t>
      </w:r>
      <w:r w:rsidR="009B6BD6" w:rsidRPr="00F9642B">
        <w:t xml:space="preserve"> products</w:t>
      </w:r>
      <w:r w:rsidRPr="00F9642B">
        <w:t xml:space="preserve"> is similarly </w:t>
      </w:r>
      <w:r w:rsidR="00CD27D0" w:rsidRPr="00F9642B">
        <w:t xml:space="preserve">represented </w:t>
      </w:r>
      <w:r w:rsidRPr="00F9642B">
        <w:t xml:space="preserve">as </w:t>
      </w:r>
      <w:r w:rsidR="009B6BD6" w:rsidRPr="00F9642B">
        <w:t>problematic</w:t>
      </w:r>
      <w:r w:rsidRPr="00F9642B">
        <w:t xml:space="preserve">.  </w:t>
      </w:r>
      <w:r w:rsidR="007E5428">
        <w:t>I</w:t>
      </w:r>
      <w:r w:rsidRPr="00F9642B">
        <w:t>nstances whe</w:t>
      </w:r>
      <w:r w:rsidR="00A9510B" w:rsidRPr="00F9642B">
        <w:t>re</w:t>
      </w:r>
      <w:r w:rsidRPr="00F9642B">
        <w:t xml:space="preserve"> the NPM ‘doesn’t work’</w:t>
      </w:r>
      <w:r w:rsidR="00A9510B" w:rsidRPr="00F9642B">
        <w:t xml:space="preserve"> are </w:t>
      </w:r>
      <w:r w:rsidR="007E5428">
        <w:t xml:space="preserve">highlighted and </w:t>
      </w:r>
      <w:r w:rsidR="00A9510B" w:rsidRPr="00F9642B">
        <w:t>used as devices to argue against the policy</w:t>
      </w:r>
      <w:r w:rsidR="00005CF7" w:rsidRPr="00F9642B">
        <w:t xml:space="preserve">.  </w:t>
      </w:r>
    </w:p>
    <w:p w14:paraId="67B2FF3D" w14:textId="77777777" w:rsidR="000212B5" w:rsidRPr="00F9642B" w:rsidRDefault="000212B5" w:rsidP="00B7328C">
      <w:pPr>
        <w:spacing w:after="0" w:line="360" w:lineRule="auto"/>
      </w:pPr>
    </w:p>
    <w:p w14:paraId="2BD9771E" w14:textId="5EC3529C" w:rsidR="000212B5" w:rsidRPr="00F9642B" w:rsidRDefault="00106877" w:rsidP="00106877">
      <w:pPr>
        <w:pStyle w:val="Normal0"/>
        <w:ind w:left="851" w:right="804"/>
        <w:rPr>
          <w:rFonts w:asciiTheme="minorHAnsi" w:hAnsiTheme="minorHAnsi" w:cstheme="minorHAnsi"/>
          <w:i/>
          <w:sz w:val="22"/>
          <w:szCs w:val="22"/>
        </w:rPr>
      </w:pPr>
      <w:r>
        <w:rPr>
          <w:rFonts w:asciiTheme="minorHAnsi" w:hAnsiTheme="minorHAnsi" w:cstheme="minorHAnsi"/>
          <w:i/>
          <w:sz w:val="22"/>
          <w:szCs w:val="22"/>
        </w:rPr>
        <w:t>[the] …</w:t>
      </w:r>
      <w:r w:rsidR="000212B5" w:rsidRPr="00F9642B">
        <w:rPr>
          <w:rFonts w:asciiTheme="minorHAnsi" w:hAnsiTheme="minorHAnsi" w:cstheme="minorHAnsi"/>
          <w:i/>
          <w:sz w:val="22"/>
          <w:szCs w:val="22"/>
        </w:rPr>
        <w:t xml:space="preserve"> marketing manager of Farmdrop, said: "[…] It's nonsense to score</w:t>
      </w:r>
      <w:r w:rsidR="00A93820">
        <w:rPr>
          <w:rFonts w:asciiTheme="minorHAnsi" w:hAnsiTheme="minorHAnsi" w:cstheme="minorHAnsi"/>
          <w:i/>
          <w:sz w:val="22"/>
          <w:szCs w:val="22"/>
        </w:rPr>
        <w:t xml:space="preserve"> </w:t>
      </w:r>
      <w:r w:rsidR="00021BAE">
        <w:rPr>
          <w:rFonts w:asciiTheme="minorHAnsi" w:hAnsiTheme="minorHAnsi" w:cstheme="minorHAnsi"/>
          <w:i/>
          <w:sz w:val="22"/>
          <w:szCs w:val="22"/>
        </w:rPr>
        <w:t>[jam, butter and bacon]</w:t>
      </w:r>
      <w:r>
        <w:rPr>
          <w:rFonts w:asciiTheme="minorHAnsi" w:hAnsiTheme="minorHAnsi" w:cstheme="minorHAnsi"/>
          <w:i/>
          <w:sz w:val="22"/>
          <w:szCs w:val="22"/>
        </w:rPr>
        <w:t xml:space="preserve"> </w:t>
      </w:r>
      <w:r w:rsidR="000212B5" w:rsidRPr="00F9642B">
        <w:rPr>
          <w:rFonts w:asciiTheme="minorHAnsi" w:hAnsiTheme="minorHAnsi" w:cstheme="minorHAnsi"/>
          <w:i/>
          <w:sz w:val="22"/>
          <w:szCs w:val="22"/>
        </w:rPr>
        <w:t xml:space="preserve">product in its raw form. You eat them with other products. It's the basics of cooking." </w:t>
      </w:r>
      <w:r w:rsidR="00B87349">
        <w:rPr>
          <w:rFonts w:asciiTheme="minorHAnsi" w:hAnsiTheme="minorHAnsi" w:cstheme="minorHAnsi"/>
          <w:i/>
          <w:sz w:val="22"/>
          <w:szCs w:val="22"/>
        </w:rPr>
        <w:t xml:space="preserve"> </w:t>
      </w:r>
      <w:r w:rsidR="000212B5" w:rsidRPr="00F9642B">
        <w:rPr>
          <w:rFonts w:asciiTheme="minorHAnsi" w:hAnsiTheme="minorHAnsi" w:cstheme="minorHAnsi"/>
          <w:sz w:val="22"/>
          <w:szCs w:val="22"/>
        </w:rPr>
        <w:t>(London Evening Standard)</w:t>
      </w:r>
    </w:p>
    <w:p w14:paraId="669FA126" w14:textId="77777777" w:rsidR="00005CF7" w:rsidRPr="00F9642B" w:rsidRDefault="00005CF7" w:rsidP="00B7328C">
      <w:pPr>
        <w:spacing w:after="0" w:line="360" w:lineRule="auto"/>
      </w:pPr>
    </w:p>
    <w:p w14:paraId="3A4FEC33" w14:textId="18939748" w:rsidR="00DE6F47" w:rsidRPr="00F9642B" w:rsidRDefault="000212B5" w:rsidP="00F55069">
      <w:pPr>
        <w:spacing w:after="0" w:line="360" w:lineRule="auto"/>
      </w:pPr>
      <w:r w:rsidRPr="00F9642B">
        <w:lastRenderedPageBreak/>
        <w:t>The quote above is commenting on</w:t>
      </w:r>
      <w:r w:rsidR="00C048EC" w:rsidRPr="00F9642B">
        <w:t xml:space="preserve"> images </w:t>
      </w:r>
      <w:r w:rsidRPr="00F9642B">
        <w:t>of jam, butter and bacon</w:t>
      </w:r>
      <w:r w:rsidR="00C048EC" w:rsidRPr="00F9642B">
        <w:t xml:space="preserve"> (in an advertisement for Farmdrop) being deemed non-compliant by TfL and its application of the NPM.  </w:t>
      </w:r>
      <w:r w:rsidR="003B4EF9">
        <w:t>F</w:t>
      </w:r>
      <w:r w:rsidR="00163BB5" w:rsidRPr="00F9642B">
        <w:t xml:space="preserve">ocusing on </w:t>
      </w:r>
      <w:r w:rsidR="00F55069" w:rsidRPr="00F9642B">
        <w:t xml:space="preserve">specific foods that were banned </w:t>
      </w:r>
      <w:r w:rsidR="00B87349">
        <w:t>–</w:t>
      </w:r>
      <w:r w:rsidR="00C048EC" w:rsidRPr="00F9642B">
        <w:t xml:space="preserve"> </w:t>
      </w:r>
      <w:r w:rsidR="00D762C5" w:rsidRPr="00F9642B">
        <w:t xml:space="preserve">or not </w:t>
      </w:r>
      <w:r w:rsidR="00C048EC" w:rsidRPr="00F9642B">
        <w:t xml:space="preserve">banned </w:t>
      </w:r>
      <w:r w:rsidR="00B87349">
        <w:t>–</w:t>
      </w:r>
      <w:r w:rsidR="00C048EC" w:rsidRPr="00F9642B">
        <w:t xml:space="preserve"> </w:t>
      </w:r>
      <w:r w:rsidR="00F55069" w:rsidRPr="00F9642B">
        <w:t>w</w:t>
      </w:r>
      <w:r w:rsidR="00163BB5" w:rsidRPr="00F9642B">
        <w:t>as</w:t>
      </w:r>
      <w:r w:rsidR="00F55069" w:rsidRPr="00F9642B">
        <w:t xml:space="preserve"> the most </w:t>
      </w:r>
      <w:r w:rsidR="00163BB5" w:rsidRPr="00F9642B">
        <w:t>widely</w:t>
      </w:r>
      <w:r w:rsidR="00F55069" w:rsidRPr="00F9642B">
        <w:t xml:space="preserve"> </w:t>
      </w:r>
      <w:r w:rsidR="007175C7" w:rsidRPr="00F9642B">
        <w:t xml:space="preserve">reported </w:t>
      </w:r>
      <w:r w:rsidR="00F55069" w:rsidRPr="00F9642B">
        <w:t xml:space="preserve">aspect of the policy.  </w:t>
      </w:r>
      <w:r w:rsidR="00DE6F47" w:rsidRPr="00F9642B">
        <w:t>In some cases, HFSS foods were described affectionately as traditional and the banning of them as inappropriate and unfair.</w:t>
      </w:r>
    </w:p>
    <w:p w14:paraId="5ADB12B5" w14:textId="77777777" w:rsidR="00DE6F47" w:rsidRPr="00F9642B" w:rsidRDefault="00DE6F47" w:rsidP="00F55069">
      <w:pPr>
        <w:spacing w:after="0" w:line="360" w:lineRule="auto"/>
      </w:pPr>
    </w:p>
    <w:p w14:paraId="5787CD46" w14:textId="0608F116" w:rsidR="00DE6F47" w:rsidRPr="00F9642B" w:rsidRDefault="00DE6F47" w:rsidP="00106877">
      <w:pPr>
        <w:autoSpaceDE w:val="0"/>
        <w:autoSpaceDN w:val="0"/>
        <w:adjustRightInd w:val="0"/>
        <w:spacing w:after="0" w:line="240" w:lineRule="auto"/>
        <w:ind w:left="851" w:right="804"/>
        <w:rPr>
          <w:rFonts w:cstheme="minorHAnsi"/>
          <w:i/>
        </w:rPr>
      </w:pPr>
      <w:r w:rsidRPr="00F9642B">
        <w:rPr>
          <w:rFonts w:cstheme="minorHAnsi"/>
          <w:i/>
        </w:rPr>
        <w:t xml:space="preserve">In practice, the legislation will apply to all </w:t>
      </w:r>
      <w:r w:rsidRPr="00F9642B">
        <w:rPr>
          <w:rFonts w:cstheme="minorHAnsi"/>
          <w:bCs/>
          <w:i/>
        </w:rPr>
        <w:t xml:space="preserve">food </w:t>
      </w:r>
      <w:r w:rsidRPr="00F9642B">
        <w:rPr>
          <w:rFonts w:cstheme="minorHAnsi"/>
          <w:i/>
        </w:rPr>
        <w:t xml:space="preserve">or </w:t>
      </w:r>
      <w:r w:rsidRPr="00F9642B">
        <w:rPr>
          <w:rFonts w:cstheme="minorHAnsi"/>
          <w:bCs/>
          <w:i/>
        </w:rPr>
        <w:t>drink c</w:t>
      </w:r>
      <w:r w:rsidRPr="00F9642B">
        <w:rPr>
          <w:rFonts w:cstheme="minorHAnsi"/>
          <w:i/>
        </w:rPr>
        <w:t>onsidered to be high in fat, salt or sugar (</w:t>
      </w:r>
      <w:r w:rsidRPr="00F9642B">
        <w:rPr>
          <w:rFonts w:cstheme="minorHAnsi"/>
          <w:bCs/>
          <w:i/>
        </w:rPr>
        <w:t>HFSS</w:t>
      </w:r>
      <w:r w:rsidRPr="00F9642B">
        <w:rPr>
          <w:rFonts w:cstheme="minorHAnsi"/>
          <w:i/>
        </w:rPr>
        <w:t xml:space="preserve">) — and that includes the kind of </w:t>
      </w:r>
      <w:r w:rsidRPr="00F9642B">
        <w:rPr>
          <w:rFonts w:cstheme="minorHAnsi"/>
          <w:bCs/>
          <w:i/>
        </w:rPr>
        <w:t xml:space="preserve">food </w:t>
      </w:r>
      <w:r w:rsidRPr="00F9642B">
        <w:rPr>
          <w:rFonts w:cstheme="minorHAnsi"/>
          <w:i/>
        </w:rPr>
        <w:t>your grandmother would have approved of, such as butter and jam</w:t>
      </w:r>
      <w:r w:rsidR="00A348FF" w:rsidRPr="00F9642B">
        <w:rPr>
          <w:rFonts w:cstheme="minorHAnsi"/>
          <w:i/>
        </w:rPr>
        <w:t xml:space="preserve"> </w:t>
      </w:r>
      <w:r w:rsidRPr="00F9642B">
        <w:rPr>
          <w:rFonts w:cstheme="minorHAnsi"/>
          <w:i/>
        </w:rPr>
        <w:t xml:space="preserve"> </w:t>
      </w:r>
      <w:r w:rsidRPr="00901906">
        <w:rPr>
          <w:rFonts w:cstheme="minorHAnsi"/>
        </w:rPr>
        <w:t>(The Sun)</w:t>
      </w:r>
    </w:p>
    <w:p w14:paraId="57215D2C" w14:textId="19E2674B" w:rsidR="00B32A36" w:rsidRPr="00F9642B" w:rsidRDefault="00B32A36" w:rsidP="00901906">
      <w:pPr>
        <w:spacing w:after="0" w:line="360" w:lineRule="auto"/>
      </w:pPr>
    </w:p>
    <w:p w14:paraId="670958A3" w14:textId="1D57D86F" w:rsidR="00A841CE" w:rsidRDefault="00A841CE" w:rsidP="00A841CE">
      <w:pPr>
        <w:spacing w:after="0" w:line="360" w:lineRule="auto"/>
        <w:rPr>
          <w:rFonts w:cstheme="minorHAnsi"/>
          <w:bCs/>
          <w:iCs/>
        </w:rPr>
      </w:pPr>
      <w:r w:rsidRPr="00F9642B">
        <w:rPr>
          <w:rFonts w:cstheme="minorHAnsi"/>
          <w:bCs/>
          <w:iCs/>
        </w:rPr>
        <w:t xml:space="preserve">In fact, the policy did have a process </w:t>
      </w:r>
      <w:r w:rsidRPr="004B239E">
        <w:rPr>
          <w:rFonts w:cstheme="minorHAnsi"/>
          <w:bCs/>
          <w:iCs/>
        </w:rPr>
        <w:t>to deal with condiments and cooking ingredients (like ketchup, mayon</w:t>
      </w:r>
      <w:r>
        <w:rPr>
          <w:rFonts w:cstheme="minorHAnsi"/>
          <w:bCs/>
          <w:iCs/>
        </w:rPr>
        <w:t>n</w:t>
      </w:r>
      <w:r w:rsidRPr="004B239E">
        <w:rPr>
          <w:rFonts w:cstheme="minorHAnsi"/>
          <w:bCs/>
          <w:iCs/>
        </w:rPr>
        <w:t xml:space="preserve">aise and vegetable oil).  Companies and brands could apply for an exception to the policy if they could demonstrate that their product does </w:t>
      </w:r>
      <w:r w:rsidRPr="00F9642B">
        <w:rPr>
          <w:rFonts w:cstheme="minorHAnsi"/>
          <w:bCs/>
          <w:iCs/>
        </w:rPr>
        <w:t>not contribute to childhood obesity</w:t>
      </w:r>
      <w:r>
        <w:rPr>
          <w:rFonts w:cstheme="minorHAnsi"/>
          <w:bCs/>
          <w:iCs/>
        </w:rPr>
        <w:t xml:space="preserve"> </w:t>
      </w:r>
      <w:r w:rsidRPr="00F9642B">
        <w:rPr>
          <w:rFonts w:cstheme="minorHAnsi"/>
          <w:bCs/>
          <w:iCs/>
        </w:rPr>
        <w:fldChar w:fldCharType="begin"/>
      </w:r>
      <w:r w:rsidR="00C00B26">
        <w:rPr>
          <w:rFonts w:cstheme="minorHAnsi"/>
          <w:bCs/>
          <w:iCs/>
        </w:rPr>
        <w:instrText xml:space="preserve"> ADDIN EN.CITE &lt;EndNote&gt;&lt;Cite&gt;&lt;Author&gt;Exterion Media&lt;/Author&gt;&lt;Year&gt;2018&lt;/Year&gt;&lt;RecNum&gt;324&lt;/RecNum&gt;&lt;DisplayText&gt;(Exterion Media, 2018)&lt;/DisplayText&gt;&lt;record&gt;&lt;rec-number&gt;324&lt;/rec-number&gt;&lt;foreign-keys&gt;&lt;key app="EN" db-id="2xerwtez52p9x8ep05ip59fgspsews0w00ew" timestamp="1602952053"&gt;324&lt;/key&gt;&lt;/foreign-keys&gt;&lt;ref-type name="Report"&gt;27&lt;/ref-type&gt;&lt;contributors&gt;&lt;authors&gt;&lt;author&gt;Exterion Media,&lt;/author&gt;&lt;/authors&gt;&lt;/contributors&gt;&lt;titles&gt;&lt;title&gt;An Exterion Media guide to the TfL HFSS policy for Out-of-Home Advertising&lt;/title&gt;&lt;/titles&gt;&lt;dates&gt;&lt;year&gt;2018&lt;/year&gt;&lt;/dates&gt;&lt;pub-location&gt;London&lt;/pub-location&gt;&lt;publisher&gt;Exterion Media and Transport for London&lt;/publisher&gt;&lt;urls&gt;&lt;related-urls&gt;&lt;url&gt;https://outdoor.global.com/~/media/files/uk/brochures/hfss-brochure-exterion-media.pdf&lt;/url&gt;&lt;/related-urls&gt;&lt;/urls&gt;&lt;/record&gt;&lt;/Cite&gt;&lt;/EndNote&gt;</w:instrText>
      </w:r>
      <w:r w:rsidRPr="00F9642B">
        <w:rPr>
          <w:rFonts w:cstheme="minorHAnsi"/>
          <w:bCs/>
          <w:iCs/>
        </w:rPr>
        <w:fldChar w:fldCharType="separate"/>
      </w:r>
      <w:r w:rsidR="00C00B26">
        <w:rPr>
          <w:rFonts w:cstheme="minorHAnsi"/>
          <w:bCs/>
          <w:iCs/>
          <w:noProof/>
        </w:rPr>
        <w:t>(Exterion Media, 2018)</w:t>
      </w:r>
      <w:r w:rsidRPr="00F9642B">
        <w:rPr>
          <w:rFonts w:cstheme="minorHAnsi"/>
          <w:bCs/>
          <w:iCs/>
        </w:rPr>
        <w:fldChar w:fldCharType="end"/>
      </w:r>
      <w:r>
        <w:rPr>
          <w:rFonts w:cstheme="minorHAnsi"/>
          <w:bCs/>
          <w:iCs/>
        </w:rPr>
        <w:t xml:space="preserve"> (see table 1).  </w:t>
      </w:r>
      <w:r w:rsidRPr="00F9642B">
        <w:rPr>
          <w:rFonts w:cstheme="minorHAnsi"/>
          <w:bCs/>
          <w:iCs/>
        </w:rPr>
        <w:t>However, the exception process was not widely reported.</w:t>
      </w:r>
    </w:p>
    <w:p w14:paraId="31A643CA" w14:textId="77777777" w:rsidR="00AD5FCB" w:rsidRPr="00F9642B" w:rsidRDefault="00AD5FCB" w:rsidP="00A841CE">
      <w:pPr>
        <w:spacing w:after="0" w:line="360" w:lineRule="auto"/>
        <w:rPr>
          <w:rFonts w:cstheme="minorHAnsi"/>
          <w:bCs/>
          <w:iCs/>
        </w:rPr>
      </w:pPr>
    </w:p>
    <w:p w14:paraId="3635AF75" w14:textId="46CDF71C" w:rsidR="00F55069" w:rsidRPr="00F9642B" w:rsidRDefault="00F55069" w:rsidP="00F55069">
      <w:pPr>
        <w:spacing w:after="0" w:line="360" w:lineRule="auto"/>
        <w:contextualSpacing/>
      </w:pPr>
      <w:r w:rsidRPr="00F9642B">
        <w:t>Criticism</w:t>
      </w:r>
      <w:r w:rsidR="00335AD4" w:rsidRPr="00F9642B">
        <w:t>s</w:t>
      </w:r>
      <w:r w:rsidRPr="00F9642B">
        <w:t xml:space="preserve"> of banning ‘good’ ingredients</w:t>
      </w:r>
      <w:r w:rsidR="00044315" w:rsidRPr="00F9642B">
        <w:t xml:space="preserve"> like these</w:t>
      </w:r>
      <w:r w:rsidRPr="00F9642B">
        <w:t xml:space="preserve"> were juxtaposed against the failure </w:t>
      </w:r>
      <w:r w:rsidR="007175C7" w:rsidRPr="00F9642B">
        <w:t>of the NPM</w:t>
      </w:r>
      <w:r w:rsidRPr="00F9642B">
        <w:t xml:space="preserve"> </w:t>
      </w:r>
      <w:r w:rsidR="00163BB5" w:rsidRPr="00F9642B">
        <w:t xml:space="preserve">to </w:t>
      </w:r>
      <w:r w:rsidR="007175C7" w:rsidRPr="00F9642B">
        <w:t>restrict the advertisement of what is popularly considered to be</w:t>
      </w:r>
      <w:r w:rsidRPr="00F9642B">
        <w:t xml:space="preserve"> ‘junk food’</w:t>
      </w:r>
      <w:r w:rsidR="00C048EC" w:rsidRPr="00F9642B">
        <w:t>,</w:t>
      </w:r>
      <w:r w:rsidRPr="00F9642B">
        <w:t xml:space="preserve"> such as fried chicken or specific</w:t>
      </w:r>
      <w:r w:rsidR="007175C7" w:rsidRPr="00F9642B">
        <w:t xml:space="preserve"> fast-food</w:t>
      </w:r>
      <w:r w:rsidRPr="00F9642B">
        <w:t xml:space="preserve"> brands.  </w:t>
      </w:r>
    </w:p>
    <w:p w14:paraId="669BB2D7" w14:textId="77777777" w:rsidR="007175C7" w:rsidRPr="00F9642B" w:rsidRDefault="007175C7" w:rsidP="00F55069">
      <w:pPr>
        <w:spacing w:after="0" w:line="360" w:lineRule="auto"/>
      </w:pPr>
    </w:p>
    <w:p w14:paraId="4498FA10" w14:textId="46BCCF35" w:rsidR="00F55069" w:rsidRPr="00F9642B" w:rsidRDefault="00F55069" w:rsidP="00106877">
      <w:pPr>
        <w:pStyle w:val="Normal0"/>
        <w:ind w:left="851" w:right="804"/>
        <w:rPr>
          <w:rFonts w:asciiTheme="minorHAnsi" w:hAnsiTheme="minorHAnsi" w:cstheme="minorHAnsi"/>
          <w:i/>
          <w:sz w:val="22"/>
          <w:szCs w:val="22"/>
        </w:rPr>
      </w:pPr>
      <w:r w:rsidRPr="00F9642B">
        <w:rPr>
          <w:rFonts w:asciiTheme="minorHAnsi" w:hAnsiTheme="minorHAnsi" w:cs="Segoe UI"/>
          <w:i/>
          <w:sz w:val="22"/>
          <w:szCs w:val="22"/>
        </w:rPr>
        <w:t xml:space="preserve">And the points-based system [NPM] is product, not brand based, which means that McDonald’s can’t promote a Big Mac and fries but can </w:t>
      </w:r>
      <w:r w:rsidR="00335955" w:rsidRPr="00F9642B">
        <w:rPr>
          <w:rFonts w:asciiTheme="minorHAnsi" w:hAnsiTheme="minorHAnsi" w:cs="Segoe UI"/>
          <w:i/>
          <w:sz w:val="22"/>
          <w:szCs w:val="22"/>
        </w:rPr>
        <w:t xml:space="preserve">[promote] </w:t>
      </w:r>
      <w:r w:rsidRPr="00F9642B">
        <w:rPr>
          <w:rFonts w:asciiTheme="minorHAnsi" w:hAnsiTheme="minorHAnsi" w:cs="Segoe UI"/>
          <w:i/>
          <w:sz w:val="22"/>
          <w:szCs w:val="22"/>
        </w:rPr>
        <w:t>its salads. But how many people associate McDonald’s with salads? Isn’t the likelihood that a family travelling on a London bus will glaze over the image of the salad and just see McDonald’s famous golden arches, next to which is a sign directing them to the nearest McDonald</w:t>
      </w:r>
      <w:r w:rsidR="00163BB5" w:rsidRPr="00F9642B">
        <w:rPr>
          <w:rFonts w:asciiTheme="minorHAnsi" w:hAnsiTheme="minorHAnsi" w:cs="Segoe UI"/>
          <w:i/>
          <w:sz w:val="22"/>
          <w:szCs w:val="22"/>
        </w:rPr>
        <w:t>’</w:t>
      </w:r>
      <w:r w:rsidRPr="00F9642B">
        <w:rPr>
          <w:rFonts w:asciiTheme="minorHAnsi" w:hAnsiTheme="minorHAnsi" w:cs="Segoe UI"/>
          <w:i/>
          <w:sz w:val="22"/>
          <w:szCs w:val="22"/>
        </w:rPr>
        <w:t xml:space="preserve">s, where they will go to eat Big Macs? </w:t>
      </w:r>
      <w:r w:rsidR="00A348FF" w:rsidRPr="00F9642B">
        <w:rPr>
          <w:rFonts w:asciiTheme="minorHAnsi" w:hAnsiTheme="minorHAnsi" w:cs="Segoe UI"/>
          <w:i/>
          <w:sz w:val="22"/>
          <w:szCs w:val="22"/>
        </w:rPr>
        <w:t xml:space="preserve">  </w:t>
      </w:r>
      <w:r w:rsidRPr="00F9642B">
        <w:rPr>
          <w:rFonts w:asciiTheme="minorHAnsi" w:hAnsiTheme="minorHAnsi" w:cstheme="minorHAnsi"/>
          <w:sz w:val="22"/>
          <w:szCs w:val="22"/>
        </w:rPr>
        <w:t>(The Drum)</w:t>
      </w:r>
    </w:p>
    <w:p w14:paraId="64B1F546" w14:textId="77777777" w:rsidR="00F55069" w:rsidRPr="00F9642B" w:rsidRDefault="00F55069" w:rsidP="00435253">
      <w:pPr>
        <w:pStyle w:val="CommentText"/>
      </w:pPr>
    </w:p>
    <w:p w14:paraId="02ECAA6E" w14:textId="45652F56" w:rsidR="00E44F33" w:rsidRPr="00F9642B" w:rsidRDefault="00A95923" w:rsidP="00901906">
      <w:pPr>
        <w:keepNext/>
        <w:keepLines/>
        <w:spacing w:after="0" w:line="360" w:lineRule="auto"/>
        <w:rPr>
          <w:rFonts w:cstheme="minorHAnsi"/>
          <w:b/>
          <w:i/>
        </w:rPr>
      </w:pPr>
      <w:r w:rsidRPr="00F9642B">
        <w:rPr>
          <w:rFonts w:cstheme="minorHAnsi"/>
          <w:b/>
          <w:i/>
        </w:rPr>
        <w:t xml:space="preserve">3.3.3 </w:t>
      </w:r>
      <w:r w:rsidR="00E44F33" w:rsidRPr="00F9642B">
        <w:rPr>
          <w:rFonts w:cstheme="minorHAnsi"/>
          <w:b/>
          <w:i/>
        </w:rPr>
        <w:t>Costs and</w:t>
      </w:r>
      <w:r w:rsidR="001D1A3C" w:rsidRPr="00F9642B">
        <w:rPr>
          <w:rFonts w:cstheme="minorHAnsi"/>
          <w:b/>
          <w:i/>
        </w:rPr>
        <w:t xml:space="preserve"> unintended</w:t>
      </w:r>
      <w:r w:rsidR="00E44F33" w:rsidRPr="00F9642B">
        <w:rPr>
          <w:rFonts w:cstheme="minorHAnsi"/>
          <w:b/>
          <w:i/>
        </w:rPr>
        <w:t xml:space="preserve"> consequences of the </w:t>
      </w:r>
      <w:r w:rsidR="00021BAE">
        <w:rPr>
          <w:rFonts w:cstheme="minorHAnsi"/>
          <w:b/>
          <w:i/>
        </w:rPr>
        <w:t>ban</w:t>
      </w:r>
    </w:p>
    <w:p w14:paraId="09DFA83B" w14:textId="76F975C5" w:rsidR="00802E60" w:rsidRPr="00F9642B" w:rsidRDefault="000B2945" w:rsidP="00F8149C">
      <w:pPr>
        <w:pStyle w:val="CommentText"/>
        <w:spacing w:after="0" w:line="360" w:lineRule="auto"/>
        <w:contextualSpacing/>
        <w:rPr>
          <w:rFonts w:cstheme="minorHAnsi"/>
        </w:rPr>
      </w:pPr>
      <w:r w:rsidRPr="00F9642B">
        <w:rPr>
          <w:sz w:val="22"/>
          <w:szCs w:val="22"/>
        </w:rPr>
        <w:t>I</w:t>
      </w:r>
      <w:r w:rsidR="0040625C" w:rsidRPr="00F9642B">
        <w:rPr>
          <w:sz w:val="22"/>
          <w:szCs w:val="22"/>
        </w:rPr>
        <w:t>t was claimed that th</w:t>
      </w:r>
      <w:r w:rsidR="0040625C" w:rsidRPr="00F9642B">
        <w:rPr>
          <w:rFonts w:cstheme="minorHAnsi"/>
          <w:sz w:val="22"/>
          <w:szCs w:val="22"/>
        </w:rPr>
        <w:t xml:space="preserve">e ban would substantially reduce the TfL budget through loss of advertising revenue, with potential repercussions for commuters </w:t>
      </w:r>
      <w:r w:rsidR="001D1A3C" w:rsidRPr="00F9642B">
        <w:rPr>
          <w:rFonts w:cstheme="minorHAnsi"/>
          <w:sz w:val="22"/>
          <w:szCs w:val="22"/>
        </w:rPr>
        <w:t>including</w:t>
      </w:r>
      <w:r w:rsidR="0040625C" w:rsidRPr="00F9642B">
        <w:rPr>
          <w:rFonts w:cstheme="minorHAnsi"/>
          <w:sz w:val="22"/>
          <w:szCs w:val="22"/>
        </w:rPr>
        <w:t xml:space="preserve"> fare increases and </w:t>
      </w:r>
      <w:r w:rsidR="001D1A3C" w:rsidRPr="00F9642B">
        <w:rPr>
          <w:rFonts w:cstheme="minorHAnsi"/>
          <w:sz w:val="22"/>
          <w:szCs w:val="22"/>
        </w:rPr>
        <w:t xml:space="preserve">a </w:t>
      </w:r>
      <w:r w:rsidR="00D67318" w:rsidRPr="00F9642B">
        <w:rPr>
          <w:rFonts w:cstheme="minorHAnsi"/>
          <w:sz w:val="22"/>
          <w:szCs w:val="22"/>
        </w:rPr>
        <w:t>deterioration</w:t>
      </w:r>
      <w:r w:rsidR="00C54D73" w:rsidRPr="00F9642B">
        <w:rPr>
          <w:rFonts w:cstheme="minorHAnsi"/>
          <w:sz w:val="22"/>
          <w:szCs w:val="22"/>
        </w:rPr>
        <w:t xml:space="preserve"> in the </w:t>
      </w:r>
      <w:r w:rsidR="0040625C" w:rsidRPr="00F9642B">
        <w:rPr>
          <w:rFonts w:cstheme="minorHAnsi"/>
          <w:sz w:val="22"/>
          <w:szCs w:val="22"/>
        </w:rPr>
        <w:t>quality of</w:t>
      </w:r>
      <w:r w:rsidR="00C54D73" w:rsidRPr="00F9642B">
        <w:rPr>
          <w:rFonts w:cstheme="minorHAnsi"/>
          <w:sz w:val="22"/>
          <w:szCs w:val="22"/>
        </w:rPr>
        <w:t xml:space="preserve"> transport</w:t>
      </w:r>
      <w:r w:rsidR="0040625C" w:rsidRPr="00F9642B">
        <w:rPr>
          <w:rFonts w:cstheme="minorHAnsi"/>
          <w:sz w:val="22"/>
          <w:szCs w:val="22"/>
        </w:rPr>
        <w:t xml:space="preserve"> services.  </w:t>
      </w:r>
    </w:p>
    <w:p w14:paraId="64FE3FC1" w14:textId="77777777" w:rsidR="00F07FA4" w:rsidRPr="00901906" w:rsidRDefault="00F07FA4" w:rsidP="00901906">
      <w:pPr>
        <w:pStyle w:val="CommentText"/>
        <w:spacing w:after="0" w:line="360" w:lineRule="auto"/>
        <w:contextualSpacing/>
        <w:rPr>
          <w:sz w:val="22"/>
          <w:szCs w:val="22"/>
        </w:rPr>
      </w:pPr>
    </w:p>
    <w:p w14:paraId="4581E9B6" w14:textId="77777777" w:rsidR="003B4EF9" w:rsidRDefault="00F07FA4" w:rsidP="00901906">
      <w:pPr>
        <w:widowControl w:val="0"/>
        <w:autoSpaceDE w:val="0"/>
        <w:autoSpaceDN w:val="0"/>
        <w:adjustRightInd w:val="0"/>
        <w:spacing w:after="0" w:line="240" w:lineRule="auto"/>
        <w:ind w:left="993" w:right="804"/>
        <w:rPr>
          <w:rFonts w:cstheme="minorHAnsi"/>
          <w:i/>
        </w:rPr>
      </w:pPr>
      <w:r w:rsidRPr="00F9642B">
        <w:rPr>
          <w:rFonts w:cstheme="minorHAnsi"/>
          <w:i/>
        </w:rPr>
        <w:t>Khan’s plan is not just an idiotic idea but it will cost T</w:t>
      </w:r>
      <w:r w:rsidR="0045397A" w:rsidRPr="00F9642B">
        <w:rPr>
          <w:rFonts w:cstheme="minorHAnsi"/>
          <w:i/>
        </w:rPr>
        <w:t>F</w:t>
      </w:r>
      <w:r w:rsidRPr="00F9642B">
        <w:rPr>
          <w:rFonts w:cstheme="minorHAnsi"/>
          <w:i/>
        </w:rPr>
        <w:t xml:space="preserve">L </w:t>
      </w:r>
      <w:r w:rsidRPr="00F9642B">
        <w:rPr>
          <w:rFonts w:cstheme="minorHAnsi"/>
        </w:rPr>
        <w:t>(</w:t>
      </w:r>
      <w:r w:rsidRPr="00F9642B">
        <w:rPr>
          <w:rFonts w:cstheme="minorHAnsi"/>
          <w:i/>
        </w:rPr>
        <w:t>sic</w:t>
      </w:r>
      <w:r w:rsidRPr="00F9642B">
        <w:rPr>
          <w:rFonts w:cstheme="minorHAnsi"/>
        </w:rPr>
        <w:t>)</w:t>
      </w:r>
      <w:r w:rsidRPr="00F9642B">
        <w:rPr>
          <w:rFonts w:cstheme="minorHAnsi"/>
          <w:i/>
        </w:rPr>
        <w:t xml:space="preserve"> millions in lost revenue. TFL </w:t>
      </w:r>
      <w:r w:rsidRPr="00F9642B">
        <w:rPr>
          <w:rFonts w:cstheme="minorHAnsi"/>
        </w:rPr>
        <w:t>(</w:t>
      </w:r>
      <w:r w:rsidRPr="00F9642B">
        <w:rPr>
          <w:rFonts w:cstheme="minorHAnsi"/>
          <w:i/>
        </w:rPr>
        <w:t>sic</w:t>
      </w:r>
      <w:r w:rsidRPr="00F9642B">
        <w:rPr>
          <w:rFonts w:cstheme="minorHAnsi"/>
        </w:rPr>
        <w:t>)</w:t>
      </w:r>
      <w:r w:rsidRPr="00F9642B">
        <w:rPr>
          <w:rFonts w:cstheme="minorHAnsi"/>
          <w:i/>
        </w:rPr>
        <w:t xml:space="preserve"> needs more money. The system is running on a shoestring … </w:t>
      </w:r>
    </w:p>
    <w:p w14:paraId="796850EB" w14:textId="11174A16" w:rsidR="00F07FA4" w:rsidRPr="00F9642B" w:rsidRDefault="00F07FA4" w:rsidP="00901906">
      <w:pPr>
        <w:widowControl w:val="0"/>
        <w:autoSpaceDE w:val="0"/>
        <w:autoSpaceDN w:val="0"/>
        <w:adjustRightInd w:val="0"/>
        <w:spacing w:after="0" w:line="240" w:lineRule="auto"/>
        <w:ind w:left="993" w:right="804"/>
        <w:rPr>
          <w:rFonts w:cstheme="minorHAnsi"/>
          <w:i/>
        </w:rPr>
      </w:pPr>
      <w:r w:rsidRPr="00F9642B">
        <w:rPr>
          <w:rFonts w:cstheme="minorHAnsi"/>
          <w:i/>
        </w:rPr>
        <w:t xml:space="preserve">A fast food ban simply won’t help.” </w:t>
      </w:r>
      <w:r w:rsidRPr="00901906">
        <w:rPr>
          <w:rFonts w:cstheme="minorHAnsi"/>
        </w:rPr>
        <w:t>(Huffington Post)</w:t>
      </w:r>
    </w:p>
    <w:p w14:paraId="25EAA010" w14:textId="3A416263" w:rsidR="00406763" w:rsidRPr="00901906" w:rsidRDefault="00406763" w:rsidP="00901906">
      <w:pPr>
        <w:pStyle w:val="CommentText"/>
        <w:spacing w:after="0" w:line="360" w:lineRule="auto"/>
        <w:contextualSpacing/>
        <w:rPr>
          <w:sz w:val="22"/>
          <w:szCs w:val="22"/>
        </w:rPr>
      </w:pPr>
    </w:p>
    <w:p w14:paraId="24136C9A" w14:textId="3ABF9588" w:rsidR="00406763" w:rsidRPr="00F9642B" w:rsidRDefault="00DD4E43" w:rsidP="00901906">
      <w:pPr>
        <w:pStyle w:val="CommentText"/>
        <w:spacing w:after="0" w:line="360" w:lineRule="auto"/>
        <w:contextualSpacing/>
        <w:rPr>
          <w:rFonts w:cstheme="minorHAnsi"/>
          <w:sz w:val="22"/>
          <w:szCs w:val="22"/>
        </w:rPr>
      </w:pPr>
      <w:r w:rsidRPr="00B87349">
        <w:rPr>
          <w:sz w:val="22"/>
          <w:szCs w:val="22"/>
        </w:rPr>
        <w:t>Such</w:t>
      </w:r>
      <w:r w:rsidR="00691FF2" w:rsidRPr="00B87349">
        <w:rPr>
          <w:sz w:val="22"/>
          <w:szCs w:val="22"/>
        </w:rPr>
        <w:t xml:space="preserve"> claims were </w:t>
      </w:r>
      <w:r w:rsidR="00A15214" w:rsidRPr="00B87349">
        <w:rPr>
          <w:sz w:val="22"/>
          <w:szCs w:val="22"/>
        </w:rPr>
        <w:t xml:space="preserve">used </w:t>
      </w:r>
      <w:r w:rsidR="00305354" w:rsidRPr="00B87349">
        <w:rPr>
          <w:sz w:val="22"/>
          <w:szCs w:val="22"/>
        </w:rPr>
        <w:t xml:space="preserve">as part of an overall framing of </w:t>
      </w:r>
      <w:r w:rsidR="006E11D7" w:rsidRPr="00B87349">
        <w:rPr>
          <w:sz w:val="22"/>
          <w:szCs w:val="22"/>
        </w:rPr>
        <w:t xml:space="preserve">TfL as </w:t>
      </w:r>
      <w:r w:rsidR="00305354" w:rsidRPr="00B87349">
        <w:rPr>
          <w:sz w:val="22"/>
          <w:szCs w:val="22"/>
        </w:rPr>
        <w:t>a</w:t>
      </w:r>
      <w:r w:rsidR="00D67318" w:rsidRPr="00B87349">
        <w:rPr>
          <w:sz w:val="22"/>
          <w:szCs w:val="22"/>
        </w:rPr>
        <w:t>n</w:t>
      </w:r>
      <w:r w:rsidR="00305354" w:rsidRPr="00B87349">
        <w:rPr>
          <w:sz w:val="22"/>
          <w:szCs w:val="22"/>
        </w:rPr>
        <w:t xml:space="preserve"> </w:t>
      </w:r>
      <w:r w:rsidR="007C0858" w:rsidRPr="00B87349">
        <w:rPr>
          <w:sz w:val="22"/>
          <w:szCs w:val="22"/>
        </w:rPr>
        <w:t>under</w:t>
      </w:r>
      <w:r w:rsidR="00305354" w:rsidRPr="00B87349">
        <w:rPr>
          <w:sz w:val="22"/>
          <w:szCs w:val="22"/>
        </w:rPr>
        <w:t>-funded and struggling public</w:t>
      </w:r>
      <w:r w:rsidR="00305354" w:rsidRPr="00F9642B">
        <w:rPr>
          <w:rFonts w:cstheme="minorHAnsi"/>
          <w:sz w:val="22"/>
          <w:szCs w:val="22"/>
        </w:rPr>
        <w:t xml:space="preserve"> </w:t>
      </w:r>
      <w:r w:rsidRPr="00F9642B">
        <w:rPr>
          <w:rFonts w:cstheme="minorHAnsi"/>
          <w:sz w:val="22"/>
          <w:szCs w:val="22"/>
        </w:rPr>
        <w:t>service</w:t>
      </w:r>
      <w:r w:rsidR="00305354" w:rsidRPr="00F9642B">
        <w:rPr>
          <w:rFonts w:cstheme="minorHAnsi"/>
          <w:sz w:val="22"/>
          <w:szCs w:val="22"/>
        </w:rPr>
        <w:t xml:space="preserve"> being actively made worse </w:t>
      </w:r>
      <w:r w:rsidR="00060F13" w:rsidRPr="00F9642B">
        <w:rPr>
          <w:rFonts w:cstheme="minorHAnsi"/>
          <w:sz w:val="22"/>
          <w:szCs w:val="22"/>
        </w:rPr>
        <w:t xml:space="preserve">as </w:t>
      </w:r>
      <w:r w:rsidRPr="00F9642B">
        <w:rPr>
          <w:rFonts w:cstheme="minorHAnsi"/>
          <w:sz w:val="22"/>
          <w:szCs w:val="22"/>
        </w:rPr>
        <w:t>the</w:t>
      </w:r>
      <w:r w:rsidR="00060F13" w:rsidRPr="00F9642B">
        <w:rPr>
          <w:rFonts w:cstheme="minorHAnsi"/>
          <w:sz w:val="22"/>
          <w:szCs w:val="22"/>
        </w:rPr>
        <w:t xml:space="preserve"> result of </w:t>
      </w:r>
      <w:r w:rsidR="009366F2" w:rsidRPr="00F9642B">
        <w:rPr>
          <w:rFonts w:cstheme="minorHAnsi"/>
          <w:sz w:val="22"/>
          <w:szCs w:val="22"/>
        </w:rPr>
        <w:t>an</w:t>
      </w:r>
      <w:r w:rsidR="00060F13" w:rsidRPr="00F9642B">
        <w:rPr>
          <w:rFonts w:cstheme="minorHAnsi"/>
          <w:sz w:val="22"/>
          <w:szCs w:val="22"/>
        </w:rPr>
        <w:t xml:space="preserve"> ill-advised </w:t>
      </w:r>
      <w:r w:rsidR="009366F2" w:rsidRPr="00F9642B">
        <w:rPr>
          <w:rFonts w:cstheme="minorHAnsi"/>
          <w:sz w:val="22"/>
          <w:szCs w:val="22"/>
        </w:rPr>
        <w:t>policy</w:t>
      </w:r>
      <w:r w:rsidR="004D6BA0" w:rsidRPr="00F9642B">
        <w:rPr>
          <w:rFonts w:cstheme="minorHAnsi"/>
          <w:sz w:val="22"/>
          <w:szCs w:val="22"/>
        </w:rPr>
        <w:t>.</w:t>
      </w:r>
    </w:p>
    <w:p w14:paraId="6D0A1CBC" w14:textId="77777777" w:rsidR="00DD4E43" w:rsidRPr="00F9642B" w:rsidRDefault="00DD4E43" w:rsidP="00F07FA4">
      <w:pPr>
        <w:pStyle w:val="Normal0"/>
        <w:spacing w:line="360" w:lineRule="auto"/>
        <w:ind w:right="-46"/>
        <w:rPr>
          <w:rFonts w:asciiTheme="minorHAnsi" w:hAnsiTheme="minorHAnsi" w:cstheme="minorHAnsi"/>
          <w:sz w:val="22"/>
          <w:szCs w:val="22"/>
        </w:rPr>
      </w:pPr>
    </w:p>
    <w:p w14:paraId="183A05AC" w14:textId="609B90C8" w:rsidR="00406763" w:rsidRPr="00F9642B" w:rsidRDefault="00406763" w:rsidP="00901906">
      <w:pPr>
        <w:widowControl w:val="0"/>
        <w:autoSpaceDE w:val="0"/>
        <w:autoSpaceDN w:val="0"/>
        <w:adjustRightInd w:val="0"/>
        <w:spacing w:after="0" w:line="240" w:lineRule="auto"/>
        <w:ind w:left="993" w:right="804"/>
        <w:rPr>
          <w:rFonts w:cstheme="minorHAnsi"/>
          <w:i/>
        </w:rPr>
      </w:pPr>
      <w:r w:rsidRPr="00F9642B">
        <w:rPr>
          <w:rFonts w:cstheme="minorHAnsi"/>
          <w:i/>
        </w:rPr>
        <w:lastRenderedPageBreak/>
        <w:t xml:space="preserve">Conservative critics in City Hall said the ban would cost a cash-strapped Transport for London (TfL) £13m a year and could mean there will be less money for infrastructure upgrades. Polling carried out by YouGov in November found that 62 per cent of Londoners would not support the ban if it meant an increase in fares. </w:t>
      </w:r>
      <w:r w:rsidR="00B87349">
        <w:rPr>
          <w:rFonts w:cstheme="minorHAnsi"/>
          <w:i/>
        </w:rPr>
        <w:t xml:space="preserve"> </w:t>
      </w:r>
      <w:r w:rsidRPr="00B87349">
        <w:rPr>
          <w:rFonts w:cstheme="minorHAnsi"/>
        </w:rPr>
        <w:t>(City AM)</w:t>
      </w:r>
    </w:p>
    <w:p w14:paraId="3430A83D" w14:textId="77777777" w:rsidR="00406763" w:rsidRPr="00901906" w:rsidRDefault="00406763" w:rsidP="00901906">
      <w:pPr>
        <w:spacing w:after="0" w:line="360" w:lineRule="auto"/>
        <w:rPr>
          <w:rFonts w:cstheme="minorHAnsi"/>
        </w:rPr>
      </w:pPr>
    </w:p>
    <w:p w14:paraId="671305ED" w14:textId="603BD192" w:rsidR="00F07FA4" w:rsidRPr="00F9642B" w:rsidRDefault="00436749" w:rsidP="00132BE9">
      <w:pPr>
        <w:spacing w:after="0" w:line="360" w:lineRule="auto"/>
      </w:pPr>
      <w:r w:rsidRPr="00F9642B">
        <w:rPr>
          <w:rFonts w:cstheme="minorHAnsi"/>
        </w:rPr>
        <w:t xml:space="preserve">These arguments were used to </w:t>
      </w:r>
      <w:r w:rsidR="003B0354">
        <w:rPr>
          <w:rFonts w:cstheme="minorHAnsi"/>
        </w:rPr>
        <w:t>frame</w:t>
      </w:r>
      <w:r w:rsidRPr="00F9642B">
        <w:rPr>
          <w:rFonts w:cstheme="minorHAnsi"/>
        </w:rPr>
        <w:t xml:space="preserve"> the </w:t>
      </w:r>
      <w:r w:rsidR="009366F2" w:rsidRPr="00F9642B">
        <w:rPr>
          <w:rFonts w:cstheme="minorHAnsi"/>
        </w:rPr>
        <w:t>policy</w:t>
      </w:r>
      <w:r w:rsidR="007C0858" w:rsidRPr="00F9642B">
        <w:rPr>
          <w:rFonts w:cstheme="minorHAnsi"/>
        </w:rPr>
        <w:t>,</w:t>
      </w:r>
      <w:r w:rsidRPr="00F9642B">
        <w:rPr>
          <w:rFonts w:cstheme="minorHAnsi"/>
        </w:rPr>
        <w:t xml:space="preserve"> and the Mayor</w:t>
      </w:r>
      <w:r w:rsidR="00EB44FA" w:rsidRPr="00F9642B">
        <w:rPr>
          <w:rFonts w:cstheme="minorHAnsi"/>
        </w:rPr>
        <w:t xml:space="preserve"> himself, </w:t>
      </w:r>
      <w:r w:rsidR="00C741C8" w:rsidRPr="00F9642B">
        <w:rPr>
          <w:rFonts w:cstheme="minorHAnsi"/>
        </w:rPr>
        <w:t xml:space="preserve">often </w:t>
      </w:r>
      <w:r w:rsidR="00EB44FA" w:rsidRPr="00F9642B">
        <w:rPr>
          <w:rFonts w:cstheme="minorHAnsi"/>
        </w:rPr>
        <w:t xml:space="preserve">via </w:t>
      </w:r>
      <w:r w:rsidR="00EB44FA" w:rsidRPr="007C012A">
        <w:rPr>
          <w:rFonts w:cstheme="minorHAnsi"/>
          <w:i/>
          <w:iCs/>
        </w:rPr>
        <w:t>ad hominem</w:t>
      </w:r>
      <w:r w:rsidR="00EB44FA" w:rsidRPr="00F9642B">
        <w:rPr>
          <w:rFonts w:cstheme="minorHAnsi"/>
        </w:rPr>
        <w:t xml:space="preserve"> attacks,</w:t>
      </w:r>
      <w:r w:rsidRPr="00F9642B">
        <w:rPr>
          <w:rFonts w:cstheme="minorHAnsi"/>
        </w:rPr>
        <w:t xml:space="preserve"> as anti-business</w:t>
      </w:r>
      <w:r w:rsidR="00282795" w:rsidRPr="00F9642B">
        <w:rPr>
          <w:rFonts w:cstheme="minorHAnsi"/>
        </w:rPr>
        <w:t xml:space="preserve"> – with the ultimate victims being</w:t>
      </w:r>
      <w:r w:rsidR="00AF3851" w:rsidRPr="00F9642B">
        <w:rPr>
          <w:rFonts w:cstheme="minorHAnsi"/>
        </w:rPr>
        <w:t xml:space="preserve"> commuters and </w:t>
      </w:r>
      <w:r w:rsidR="007D04B0" w:rsidRPr="00F9642B">
        <w:rPr>
          <w:rFonts w:cstheme="minorHAnsi"/>
        </w:rPr>
        <w:t>Londoners</w:t>
      </w:r>
      <w:r w:rsidR="00282795" w:rsidRPr="00F9642B">
        <w:rPr>
          <w:rFonts w:cstheme="minorHAnsi"/>
        </w:rPr>
        <w:t xml:space="preserve">.  </w:t>
      </w:r>
      <w:r w:rsidR="00FB5E75" w:rsidRPr="00F9642B">
        <w:rPr>
          <w:rFonts w:cstheme="minorHAnsi"/>
        </w:rPr>
        <w:t xml:space="preserve">Although fare increases in relation to the ban were never mentioned by the Mayor’s office or TfL, </w:t>
      </w:r>
      <w:r w:rsidR="00523B49" w:rsidRPr="00F9642B">
        <w:rPr>
          <w:rFonts w:cstheme="minorHAnsi"/>
        </w:rPr>
        <w:t>speculation about them was used to</w:t>
      </w:r>
      <w:r w:rsidR="00077DB8" w:rsidRPr="00F9642B">
        <w:rPr>
          <w:rFonts w:cstheme="minorHAnsi"/>
        </w:rPr>
        <w:t xml:space="preserve"> evoke distrust and negative connotations about the ban.</w:t>
      </w:r>
      <w:r w:rsidR="002F189E">
        <w:rPr>
          <w:rFonts w:cstheme="minorHAnsi"/>
        </w:rPr>
        <w:t xml:space="preserve">  </w:t>
      </w:r>
      <w:r w:rsidR="00E10B53">
        <w:rPr>
          <w:rFonts w:cstheme="minorHAnsi"/>
        </w:rPr>
        <w:t>Critics</w:t>
      </w:r>
      <w:r w:rsidR="002D0BD1" w:rsidRPr="00F9642B">
        <w:rPr>
          <w:rFonts w:cstheme="minorHAnsi"/>
        </w:rPr>
        <w:t xml:space="preserve"> </w:t>
      </w:r>
      <w:r w:rsidR="00021EB6" w:rsidRPr="00F9642B">
        <w:rPr>
          <w:rFonts w:cstheme="minorHAnsi"/>
        </w:rPr>
        <w:t>predict</w:t>
      </w:r>
      <w:r w:rsidR="002F189E">
        <w:rPr>
          <w:rFonts w:cstheme="minorHAnsi"/>
        </w:rPr>
        <w:t>ed</w:t>
      </w:r>
      <w:r w:rsidR="00021EB6" w:rsidRPr="00F9642B">
        <w:rPr>
          <w:rFonts w:cstheme="minorHAnsi"/>
        </w:rPr>
        <w:t xml:space="preserve"> </w:t>
      </w:r>
      <w:r w:rsidR="002C6A1B" w:rsidRPr="00F9642B">
        <w:rPr>
          <w:rFonts w:cstheme="minorHAnsi"/>
        </w:rPr>
        <w:t>job losses</w:t>
      </w:r>
      <w:r w:rsidR="003F673C" w:rsidRPr="00F9642B">
        <w:rPr>
          <w:rFonts w:cstheme="minorHAnsi"/>
        </w:rPr>
        <w:t xml:space="preserve"> and</w:t>
      </w:r>
      <w:r w:rsidR="00783188" w:rsidRPr="00F9642B">
        <w:rPr>
          <w:rFonts w:cstheme="minorHAnsi"/>
        </w:rPr>
        <w:t xml:space="preserve"> speculat</w:t>
      </w:r>
      <w:r w:rsidR="002F189E">
        <w:rPr>
          <w:rFonts w:cstheme="minorHAnsi"/>
        </w:rPr>
        <w:t>ed</w:t>
      </w:r>
      <w:r w:rsidR="00783188" w:rsidRPr="00F9642B">
        <w:rPr>
          <w:rFonts w:cstheme="minorHAnsi"/>
        </w:rPr>
        <w:t xml:space="preserve"> on </w:t>
      </w:r>
      <w:r w:rsidR="002A4335" w:rsidRPr="00F9642B">
        <w:rPr>
          <w:rFonts w:cstheme="minorHAnsi"/>
        </w:rPr>
        <w:t xml:space="preserve">the potential </w:t>
      </w:r>
      <w:r w:rsidR="00396D05" w:rsidRPr="00F9642B">
        <w:rPr>
          <w:rFonts w:cstheme="minorHAnsi"/>
        </w:rPr>
        <w:t xml:space="preserve">for concurrent </w:t>
      </w:r>
      <w:r w:rsidR="002A4335" w:rsidRPr="00F9642B">
        <w:rPr>
          <w:rFonts w:cstheme="minorHAnsi"/>
        </w:rPr>
        <w:t>negative</w:t>
      </w:r>
      <w:r w:rsidR="007C0858" w:rsidRPr="00F9642B">
        <w:rPr>
          <w:rFonts w:cstheme="minorHAnsi"/>
        </w:rPr>
        <w:t xml:space="preserve"> </w:t>
      </w:r>
      <w:r w:rsidR="002A4335" w:rsidRPr="00F9642B">
        <w:rPr>
          <w:rFonts w:cstheme="minorHAnsi"/>
        </w:rPr>
        <w:t>economic impact</w:t>
      </w:r>
      <w:r w:rsidR="00396D05" w:rsidRPr="00F9642B">
        <w:rPr>
          <w:rFonts w:cstheme="minorHAnsi"/>
        </w:rPr>
        <w:t>s</w:t>
      </w:r>
      <w:r w:rsidR="002A4335" w:rsidRPr="00F9642B">
        <w:rPr>
          <w:rFonts w:cstheme="minorHAnsi"/>
        </w:rPr>
        <w:t xml:space="preserve"> of Bre</w:t>
      </w:r>
      <w:r w:rsidR="001628BE" w:rsidRPr="00F9642B">
        <w:rPr>
          <w:rFonts w:cstheme="minorHAnsi"/>
        </w:rPr>
        <w:t>xit</w:t>
      </w:r>
      <w:r w:rsidR="002F189E">
        <w:rPr>
          <w:rFonts w:cstheme="minorHAnsi"/>
        </w:rPr>
        <w:t xml:space="preserve">, thereby </w:t>
      </w:r>
      <w:r w:rsidR="00D94D03" w:rsidRPr="00F9642B">
        <w:rPr>
          <w:rFonts w:cstheme="minorHAnsi"/>
        </w:rPr>
        <w:t>cata</w:t>
      </w:r>
      <w:r w:rsidR="00D94D03" w:rsidRPr="00F9642B">
        <w:t>strophi</w:t>
      </w:r>
      <w:r w:rsidR="003F3FA3">
        <w:t>s</w:t>
      </w:r>
      <w:r w:rsidR="00D94D03" w:rsidRPr="00F9642B">
        <w:t>ing</w:t>
      </w:r>
      <w:r w:rsidR="00132BE9" w:rsidRPr="00F9642B">
        <w:t xml:space="preserve"> the possible economic impact of the ban and </w:t>
      </w:r>
      <w:r w:rsidR="002F189E">
        <w:t xml:space="preserve">employing </w:t>
      </w:r>
      <w:r w:rsidR="00AF4076" w:rsidRPr="00F9642B">
        <w:t xml:space="preserve"> a</w:t>
      </w:r>
      <w:r w:rsidR="00D94D03" w:rsidRPr="00F9642B">
        <w:t xml:space="preserve"> </w:t>
      </w:r>
      <w:r w:rsidR="00AF4076" w:rsidRPr="00F9642B">
        <w:t>‘</w:t>
      </w:r>
      <w:r w:rsidR="00D94D03" w:rsidRPr="00F9642B">
        <w:t>slippery slope’ fallacy</w:t>
      </w:r>
      <w:r w:rsidR="002F189E">
        <w:t xml:space="preserve">: </w:t>
      </w:r>
      <w:r w:rsidR="00167536" w:rsidRPr="00F9642B">
        <w:t>positioning the ban a</w:t>
      </w:r>
      <w:r w:rsidR="007C012A">
        <w:t>s</w:t>
      </w:r>
      <w:r w:rsidR="00167536" w:rsidRPr="00F9642B">
        <w:t xml:space="preserve"> part of a suite of looming problems</w:t>
      </w:r>
      <w:r w:rsidR="00CE7D5C" w:rsidRPr="00F9642B">
        <w:t>.</w:t>
      </w:r>
    </w:p>
    <w:p w14:paraId="270AECDE" w14:textId="77777777" w:rsidR="00CE7D5C" w:rsidRPr="00F9642B" w:rsidRDefault="00CE7D5C" w:rsidP="00132BE9">
      <w:pPr>
        <w:spacing w:after="0" w:line="360" w:lineRule="auto"/>
        <w:rPr>
          <w:rFonts w:cstheme="minorHAnsi"/>
        </w:rPr>
      </w:pPr>
    </w:p>
    <w:p w14:paraId="6C92E63D" w14:textId="5504AB41" w:rsidR="00CD04C1" w:rsidRDefault="00CD04C1" w:rsidP="00901906">
      <w:pPr>
        <w:pStyle w:val="Normal0"/>
        <w:ind w:left="993" w:right="804"/>
        <w:rPr>
          <w:rFonts w:asciiTheme="minorHAnsi" w:hAnsiTheme="minorHAnsi" w:cstheme="minorHAnsi"/>
          <w:sz w:val="22"/>
          <w:szCs w:val="22"/>
        </w:rPr>
      </w:pPr>
      <w:r w:rsidRPr="00F9642B">
        <w:rPr>
          <w:rFonts w:asciiTheme="minorHAnsi" w:hAnsiTheme="minorHAnsi" w:cstheme="minorHAnsi"/>
          <w:i/>
          <w:sz w:val="22"/>
          <w:szCs w:val="22"/>
        </w:rPr>
        <w:t>The result is that his</w:t>
      </w:r>
      <w:r w:rsidR="007C0858" w:rsidRPr="00F9642B">
        <w:rPr>
          <w:rFonts w:asciiTheme="minorHAnsi" w:hAnsiTheme="minorHAnsi" w:cstheme="minorHAnsi"/>
          <w:i/>
          <w:sz w:val="22"/>
          <w:szCs w:val="22"/>
        </w:rPr>
        <w:t xml:space="preserve"> [Sadiq Khan’s]</w:t>
      </w:r>
      <w:r w:rsidRPr="00F9642B">
        <w:rPr>
          <w:rFonts w:asciiTheme="minorHAnsi" w:hAnsiTheme="minorHAnsi" w:cstheme="minorHAnsi"/>
          <w:i/>
          <w:sz w:val="22"/>
          <w:szCs w:val="22"/>
        </w:rPr>
        <w:t xml:space="preserve"> policy is likely to come into force in March next year, at exactly the same time as the Brexit impacts will hit, cutting industry (and TfL) revenues still further and potentially leading to job losses in London.</w:t>
      </w:r>
      <w:r w:rsidR="00782F66" w:rsidRPr="00F9642B">
        <w:rPr>
          <w:rFonts w:asciiTheme="minorHAnsi" w:hAnsiTheme="minorHAnsi" w:cstheme="minorHAnsi"/>
          <w:i/>
          <w:sz w:val="22"/>
          <w:szCs w:val="22"/>
        </w:rPr>
        <w:t xml:space="preserve"> </w:t>
      </w:r>
      <w:r w:rsidR="001628BE" w:rsidRPr="00F9642B">
        <w:rPr>
          <w:rFonts w:asciiTheme="minorHAnsi" w:hAnsiTheme="minorHAnsi" w:cstheme="minorHAnsi"/>
          <w:i/>
          <w:sz w:val="22"/>
          <w:szCs w:val="22"/>
        </w:rPr>
        <w:t xml:space="preserve">     </w:t>
      </w:r>
      <w:r w:rsidR="00782F66" w:rsidRPr="00F9642B">
        <w:rPr>
          <w:rFonts w:asciiTheme="minorHAnsi" w:hAnsiTheme="minorHAnsi" w:cstheme="minorHAnsi"/>
          <w:sz w:val="22"/>
          <w:szCs w:val="22"/>
        </w:rPr>
        <w:t>(City AM)</w:t>
      </w:r>
    </w:p>
    <w:p w14:paraId="5969FB18" w14:textId="3FF3EF1B" w:rsidR="00EC55C2" w:rsidRDefault="00EC55C2" w:rsidP="00966D73">
      <w:pPr>
        <w:widowControl w:val="0"/>
        <w:autoSpaceDE w:val="0"/>
        <w:autoSpaceDN w:val="0"/>
        <w:adjustRightInd w:val="0"/>
        <w:spacing w:after="0" w:line="360" w:lineRule="auto"/>
        <w:ind w:right="1938"/>
        <w:contextualSpacing/>
        <w:rPr>
          <w:rFonts w:cstheme="minorHAnsi"/>
          <w:b/>
        </w:rPr>
      </w:pPr>
    </w:p>
    <w:p w14:paraId="0C28C59D" w14:textId="77777777" w:rsidR="003B0354" w:rsidRDefault="003B0354" w:rsidP="00966D73">
      <w:pPr>
        <w:widowControl w:val="0"/>
        <w:autoSpaceDE w:val="0"/>
        <w:autoSpaceDN w:val="0"/>
        <w:adjustRightInd w:val="0"/>
        <w:spacing w:after="0" w:line="360" w:lineRule="auto"/>
        <w:ind w:right="1938"/>
        <w:contextualSpacing/>
        <w:rPr>
          <w:rFonts w:cstheme="minorHAnsi"/>
          <w:b/>
        </w:rPr>
      </w:pPr>
    </w:p>
    <w:p w14:paraId="4636AA11" w14:textId="13C1EADA" w:rsidR="007C0074" w:rsidRPr="002C15AF" w:rsidRDefault="004452DD" w:rsidP="00901906">
      <w:pPr>
        <w:keepNext/>
        <w:keepLines/>
        <w:widowControl w:val="0"/>
        <w:autoSpaceDE w:val="0"/>
        <w:autoSpaceDN w:val="0"/>
        <w:adjustRightInd w:val="0"/>
        <w:spacing w:after="0" w:line="360" w:lineRule="auto"/>
        <w:ind w:right="1938"/>
        <w:contextualSpacing/>
        <w:rPr>
          <w:rFonts w:cstheme="minorHAnsi"/>
          <w:b/>
        </w:rPr>
      </w:pPr>
      <w:r w:rsidRPr="002C15AF">
        <w:rPr>
          <w:rFonts w:cstheme="minorHAnsi"/>
          <w:b/>
        </w:rPr>
        <w:t>Discussion</w:t>
      </w:r>
      <w:r w:rsidR="002406AC" w:rsidRPr="002C15AF">
        <w:rPr>
          <w:rFonts w:cstheme="minorHAnsi"/>
          <w:b/>
        </w:rPr>
        <w:t xml:space="preserve"> </w:t>
      </w:r>
    </w:p>
    <w:p w14:paraId="7F8F1019" w14:textId="3737EB4D" w:rsidR="00A91A72" w:rsidRPr="002C15AF" w:rsidRDefault="00F26B94" w:rsidP="00901906">
      <w:pPr>
        <w:keepNext/>
        <w:keepLines/>
        <w:spacing w:after="0" w:line="360" w:lineRule="auto"/>
        <w:contextualSpacing/>
        <w:rPr>
          <w:rFonts w:cstheme="minorHAnsi"/>
          <w:b/>
          <w:i/>
          <w:color w:val="000000" w:themeColor="text1"/>
        </w:rPr>
      </w:pPr>
      <w:r w:rsidRPr="002C15AF">
        <w:rPr>
          <w:rFonts w:cstheme="minorHAnsi"/>
          <w:b/>
          <w:i/>
          <w:color w:val="000000" w:themeColor="text1"/>
        </w:rPr>
        <w:t>4.</w:t>
      </w:r>
      <w:r w:rsidR="00A91A72" w:rsidRPr="002C15AF">
        <w:rPr>
          <w:rFonts w:cstheme="minorHAnsi"/>
          <w:b/>
          <w:i/>
          <w:color w:val="000000" w:themeColor="text1"/>
        </w:rPr>
        <w:t>1 Summary of ma</w:t>
      </w:r>
      <w:r w:rsidR="006D3D90" w:rsidRPr="002C15AF">
        <w:rPr>
          <w:rFonts w:cstheme="minorHAnsi"/>
          <w:b/>
          <w:i/>
          <w:color w:val="000000" w:themeColor="text1"/>
        </w:rPr>
        <w:t>i</w:t>
      </w:r>
      <w:r w:rsidR="00A91A72" w:rsidRPr="002C15AF">
        <w:rPr>
          <w:rFonts w:cstheme="minorHAnsi"/>
          <w:b/>
          <w:i/>
          <w:color w:val="000000" w:themeColor="text1"/>
        </w:rPr>
        <w:t>n findings</w:t>
      </w:r>
    </w:p>
    <w:p w14:paraId="67965DF9" w14:textId="4E5BE3C4" w:rsidR="00551A86" w:rsidRPr="002C15AF" w:rsidRDefault="00FF197A" w:rsidP="00551A86">
      <w:pPr>
        <w:pStyle w:val="CommentText"/>
        <w:spacing w:after="0" w:line="360" w:lineRule="auto"/>
        <w:contextualSpacing/>
        <w:rPr>
          <w:rFonts w:eastAsia="Times New Roman" w:cstheme="minorHAnsi"/>
          <w:sz w:val="22"/>
          <w:szCs w:val="22"/>
          <w:lang w:eastAsia="en-GB"/>
        </w:rPr>
      </w:pPr>
      <w:r w:rsidRPr="002C15AF">
        <w:rPr>
          <w:rFonts w:cstheme="minorHAnsi"/>
          <w:sz w:val="22"/>
          <w:szCs w:val="22"/>
        </w:rPr>
        <w:t>In this paper we identified the arguments made in favour of and against the TfL</w:t>
      </w:r>
      <w:r w:rsidR="001A554C" w:rsidRPr="002C15AF">
        <w:rPr>
          <w:rFonts w:cstheme="minorHAnsi"/>
          <w:sz w:val="22"/>
          <w:szCs w:val="22"/>
        </w:rPr>
        <w:t xml:space="preserve"> advertising restrictions in UK newspapers and trade press</w:t>
      </w:r>
      <w:r w:rsidR="00A14760" w:rsidRPr="002C15AF">
        <w:rPr>
          <w:rFonts w:cstheme="minorHAnsi"/>
          <w:sz w:val="22"/>
          <w:szCs w:val="22"/>
        </w:rPr>
        <w:t xml:space="preserve"> and explored </w:t>
      </w:r>
      <w:r w:rsidR="00294B5A" w:rsidRPr="002C15AF">
        <w:rPr>
          <w:rFonts w:cstheme="minorHAnsi"/>
          <w:sz w:val="22"/>
          <w:szCs w:val="22"/>
        </w:rPr>
        <w:t>how arguments against the re</w:t>
      </w:r>
      <w:r w:rsidR="002025AC" w:rsidRPr="002C15AF">
        <w:rPr>
          <w:rFonts w:cstheme="minorHAnsi"/>
          <w:sz w:val="22"/>
          <w:szCs w:val="22"/>
        </w:rPr>
        <w:t>s</w:t>
      </w:r>
      <w:r w:rsidR="00294B5A" w:rsidRPr="002C15AF">
        <w:rPr>
          <w:rFonts w:cstheme="minorHAnsi"/>
          <w:sz w:val="22"/>
          <w:szCs w:val="22"/>
        </w:rPr>
        <w:t>tr</w:t>
      </w:r>
      <w:r w:rsidR="002025AC" w:rsidRPr="002C15AF">
        <w:rPr>
          <w:rFonts w:cstheme="minorHAnsi"/>
          <w:sz w:val="22"/>
          <w:szCs w:val="22"/>
        </w:rPr>
        <w:t>i</w:t>
      </w:r>
      <w:r w:rsidR="00294B5A" w:rsidRPr="002C15AF">
        <w:rPr>
          <w:rFonts w:cstheme="minorHAnsi"/>
          <w:sz w:val="22"/>
          <w:szCs w:val="22"/>
        </w:rPr>
        <w:t>ctions were constructed and framed</w:t>
      </w:r>
      <w:r w:rsidR="00B21844" w:rsidRPr="002C15AF">
        <w:rPr>
          <w:rFonts w:cstheme="minorHAnsi"/>
          <w:sz w:val="22"/>
          <w:szCs w:val="22"/>
        </w:rPr>
        <w:t xml:space="preserve">.  </w:t>
      </w:r>
      <w:r w:rsidR="00942277" w:rsidRPr="002C15AF">
        <w:rPr>
          <w:sz w:val="22"/>
          <w:szCs w:val="22"/>
        </w:rPr>
        <w:t>We use</w:t>
      </w:r>
      <w:r w:rsidR="00E802D3" w:rsidRPr="002C15AF">
        <w:rPr>
          <w:sz w:val="22"/>
          <w:szCs w:val="22"/>
        </w:rPr>
        <w:t>d</w:t>
      </w:r>
      <w:r w:rsidR="00942277" w:rsidRPr="002C15AF">
        <w:rPr>
          <w:sz w:val="22"/>
          <w:szCs w:val="22"/>
        </w:rPr>
        <w:t xml:space="preserve"> Framing Theory </w:t>
      </w:r>
      <w:r w:rsidR="00942277" w:rsidRPr="002C15AF">
        <w:rPr>
          <w:sz w:val="22"/>
          <w:szCs w:val="22"/>
        </w:rPr>
        <w:fldChar w:fldCharType="begin"/>
      </w:r>
      <w:r w:rsidR="00942277" w:rsidRPr="002C15AF">
        <w:rPr>
          <w:sz w:val="22"/>
          <w:szCs w:val="22"/>
        </w:rPr>
        <w:instrText xml:space="preserve"> ADDIN EN.CITE &lt;EndNote&gt;&lt;Cite&gt;&lt;Author&gt;Chong&lt;/Author&gt;&lt;Year&gt;2007&lt;/Year&gt;&lt;RecNum&gt;1135&lt;/RecNum&gt;&lt;DisplayText&gt;(Chong &amp;amp; Druckman, 2007)&lt;/DisplayText&gt;&lt;record&gt;&lt;rec-number&gt;1135&lt;/rec-number&gt;&lt;foreign-keys&gt;&lt;key app="EN" db-id="vrd5x9e24rasx8e2asc5x0pw95tw20vx5a25" timestamp="1617022545"&gt;1135&lt;/key&gt;&lt;/foreign-keys&gt;&lt;ref-type name="Journal Article"&gt;17&lt;/ref-type&gt;&lt;contributors&gt;&lt;authors&gt;&lt;author&gt;Chong, D.&lt;/author&gt;&lt;author&gt;Druckman, J.N.&lt;/author&gt;&lt;/authors&gt;&lt;/contributors&gt;&lt;titles&gt;&lt;title&gt;Framing Theory&lt;/title&gt;&lt;secondary-title&gt;Annual Review of Political Science&lt;/secondary-title&gt;&lt;/titles&gt;&lt;periodical&gt;&lt;full-title&gt;Annual Review of Political Science&lt;/full-title&gt;&lt;/periodical&gt;&lt;volume&gt;10&lt;/volume&gt;&lt;number&gt;103-126&lt;/number&gt;&lt;dates&gt;&lt;year&gt;2007&lt;/year&gt;&lt;/dates&gt;&lt;urls&gt;&lt;/urls&gt;&lt;/record&gt;&lt;/Cite&gt;&lt;/EndNote&gt;</w:instrText>
      </w:r>
      <w:r w:rsidR="00942277" w:rsidRPr="002C15AF">
        <w:rPr>
          <w:sz w:val="22"/>
          <w:szCs w:val="22"/>
        </w:rPr>
        <w:fldChar w:fldCharType="separate"/>
      </w:r>
      <w:r w:rsidR="00942277" w:rsidRPr="002C15AF">
        <w:rPr>
          <w:noProof/>
          <w:sz w:val="22"/>
          <w:szCs w:val="22"/>
        </w:rPr>
        <w:t>(Chong &amp; Druckman, 2007)</w:t>
      </w:r>
      <w:r w:rsidR="00942277" w:rsidRPr="002C15AF">
        <w:rPr>
          <w:sz w:val="22"/>
          <w:szCs w:val="22"/>
        </w:rPr>
        <w:fldChar w:fldCharType="end"/>
      </w:r>
      <w:r w:rsidR="00942277" w:rsidRPr="002C15AF">
        <w:rPr>
          <w:sz w:val="22"/>
          <w:szCs w:val="22"/>
        </w:rPr>
        <w:t xml:space="preserve"> to explore the mechanisms through which media coverage of interventions affecting UCIs are aligned with industry.</w:t>
      </w:r>
      <w:r w:rsidR="009D54EF" w:rsidRPr="002C15AF">
        <w:rPr>
          <w:sz w:val="22"/>
          <w:szCs w:val="22"/>
        </w:rPr>
        <w:t xml:space="preserve">  </w:t>
      </w:r>
      <w:r w:rsidR="00BD6F79" w:rsidRPr="002C15AF">
        <w:rPr>
          <w:sz w:val="22"/>
          <w:szCs w:val="22"/>
        </w:rPr>
        <w:t>Arguments in favour of the ba</w:t>
      </w:r>
      <w:r w:rsidR="00B22100" w:rsidRPr="002C15AF">
        <w:rPr>
          <w:sz w:val="22"/>
          <w:szCs w:val="22"/>
        </w:rPr>
        <w:t xml:space="preserve">n centred around </w:t>
      </w:r>
      <w:r w:rsidR="00EC78CF" w:rsidRPr="002C15AF">
        <w:rPr>
          <w:sz w:val="22"/>
          <w:szCs w:val="22"/>
        </w:rPr>
        <w:t>health inequalities and the</w:t>
      </w:r>
      <w:r w:rsidR="00B22100" w:rsidRPr="002C15AF">
        <w:rPr>
          <w:sz w:val="22"/>
          <w:szCs w:val="22"/>
        </w:rPr>
        <w:t xml:space="preserve"> structural drivers of </w:t>
      </w:r>
      <w:r w:rsidR="00EC78CF" w:rsidRPr="002C15AF">
        <w:rPr>
          <w:sz w:val="22"/>
          <w:szCs w:val="22"/>
        </w:rPr>
        <w:t>childhood obesity</w:t>
      </w:r>
      <w:r w:rsidR="007C2F1B" w:rsidRPr="002C15AF">
        <w:rPr>
          <w:sz w:val="22"/>
          <w:szCs w:val="22"/>
        </w:rPr>
        <w:t>.</w:t>
      </w:r>
      <w:r w:rsidR="00AF1199" w:rsidRPr="002C15AF">
        <w:rPr>
          <w:sz w:val="22"/>
          <w:szCs w:val="22"/>
        </w:rPr>
        <w:t xml:space="preserve"> </w:t>
      </w:r>
      <w:r w:rsidR="00EC78CF" w:rsidRPr="002C15AF">
        <w:rPr>
          <w:sz w:val="22"/>
          <w:szCs w:val="22"/>
        </w:rPr>
        <w:t xml:space="preserve"> </w:t>
      </w:r>
      <w:r w:rsidR="001A02AE" w:rsidRPr="002C15AF">
        <w:rPr>
          <w:sz w:val="22"/>
          <w:szCs w:val="22"/>
        </w:rPr>
        <w:t>A</w:t>
      </w:r>
      <w:r w:rsidR="00736D3B" w:rsidRPr="002C15AF">
        <w:rPr>
          <w:sz w:val="22"/>
          <w:szCs w:val="22"/>
        </w:rPr>
        <w:t xml:space="preserve">rguments against </w:t>
      </w:r>
      <w:r w:rsidR="007C2F1B" w:rsidRPr="002C15AF">
        <w:rPr>
          <w:sz w:val="22"/>
          <w:szCs w:val="22"/>
        </w:rPr>
        <w:t>the ban</w:t>
      </w:r>
      <w:r w:rsidR="00F2237A" w:rsidRPr="002C15AF">
        <w:rPr>
          <w:sz w:val="22"/>
          <w:szCs w:val="22"/>
        </w:rPr>
        <w:t xml:space="preserve"> </w:t>
      </w:r>
      <w:r w:rsidR="00715E0A" w:rsidRPr="002C15AF">
        <w:rPr>
          <w:sz w:val="22"/>
          <w:szCs w:val="22"/>
        </w:rPr>
        <w:t>were based on two central claims: that childhood obesity was not an appropriate policy priority</w:t>
      </w:r>
      <w:r w:rsidR="004B3241" w:rsidRPr="002C15AF">
        <w:rPr>
          <w:sz w:val="22"/>
          <w:szCs w:val="22"/>
        </w:rPr>
        <w:t xml:space="preserve">; and that </w:t>
      </w:r>
      <w:r w:rsidR="0024023D" w:rsidRPr="002C15AF">
        <w:rPr>
          <w:sz w:val="22"/>
          <w:szCs w:val="22"/>
        </w:rPr>
        <w:t xml:space="preserve">restricting advertising was not an appropriate way of </w:t>
      </w:r>
      <w:r w:rsidR="00B8681F" w:rsidRPr="002C15AF">
        <w:rPr>
          <w:sz w:val="22"/>
          <w:szCs w:val="22"/>
        </w:rPr>
        <w:t>addressing childhood obesity.  These claims were justified by</w:t>
      </w:r>
      <w:r w:rsidR="005904AA" w:rsidRPr="002C15AF">
        <w:rPr>
          <w:sz w:val="22"/>
          <w:szCs w:val="22"/>
        </w:rPr>
        <w:t xml:space="preserve"> identifying alternative policy priorities, </w:t>
      </w:r>
      <w:r w:rsidR="007D1649" w:rsidRPr="002C15AF">
        <w:rPr>
          <w:sz w:val="22"/>
          <w:szCs w:val="22"/>
        </w:rPr>
        <w:t>casting doubt on the science underpinning the ban,</w:t>
      </w:r>
      <w:r w:rsidR="00BD2990" w:rsidRPr="002C15AF">
        <w:rPr>
          <w:sz w:val="22"/>
          <w:szCs w:val="22"/>
        </w:rPr>
        <w:t xml:space="preserve"> and speculating about </w:t>
      </w:r>
      <w:r w:rsidR="007D0454" w:rsidRPr="002C15AF">
        <w:rPr>
          <w:sz w:val="22"/>
          <w:szCs w:val="22"/>
        </w:rPr>
        <w:t>the potential economic costs</w:t>
      </w:r>
      <w:r w:rsidR="00810E04" w:rsidRPr="002C15AF">
        <w:rPr>
          <w:sz w:val="22"/>
          <w:szCs w:val="22"/>
        </w:rPr>
        <w:t>.  In doing so, m</w:t>
      </w:r>
      <w:r w:rsidR="005E2C36" w:rsidRPr="002C15AF">
        <w:rPr>
          <w:color w:val="000000" w:themeColor="text1"/>
          <w:sz w:val="22"/>
          <w:szCs w:val="22"/>
        </w:rPr>
        <w:t xml:space="preserve">edia </w:t>
      </w:r>
      <w:r w:rsidR="003B0354" w:rsidRPr="002C15AF">
        <w:rPr>
          <w:color w:val="000000" w:themeColor="text1"/>
          <w:sz w:val="22"/>
          <w:szCs w:val="22"/>
        </w:rPr>
        <w:t>frames</w:t>
      </w:r>
      <w:r w:rsidR="005E2C36" w:rsidRPr="002C15AF">
        <w:rPr>
          <w:color w:val="000000" w:themeColor="text1"/>
          <w:sz w:val="22"/>
          <w:szCs w:val="22"/>
        </w:rPr>
        <w:t xml:space="preserve"> opposing the ban drew on </w:t>
      </w:r>
      <w:r w:rsidR="00E40A69" w:rsidRPr="002C15AF">
        <w:rPr>
          <w:color w:val="000000" w:themeColor="text1"/>
          <w:sz w:val="22"/>
          <w:szCs w:val="22"/>
        </w:rPr>
        <w:t>frames</w:t>
      </w:r>
      <w:r w:rsidR="00427CCC" w:rsidRPr="002C15AF">
        <w:rPr>
          <w:color w:val="000000" w:themeColor="text1"/>
          <w:sz w:val="22"/>
          <w:szCs w:val="22"/>
        </w:rPr>
        <w:t xml:space="preserve"> used by </w:t>
      </w:r>
      <w:r w:rsidR="001A02AE" w:rsidRPr="002C15AF">
        <w:rPr>
          <w:color w:val="000000" w:themeColor="text1"/>
          <w:sz w:val="22"/>
          <w:szCs w:val="22"/>
        </w:rPr>
        <w:t>the unhealthy commodity industries more widely</w:t>
      </w:r>
      <w:r w:rsidR="005E2C36" w:rsidRPr="002C15AF">
        <w:rPr>
          <w:color w:val="000000" w:themeColor="text1"/>
          <w:sz w:val="22"/>
          <w:szCs w:val="22"/>
        </w:rPr>
        <w:t xml:space="preserve"> and took an implicitly (and sometime</w:t>
      </w:r>
      <w:r w:rsidR="001A02AE" w:rsidRPr="002C15AF">
        <w:rPr>
          <w:color w:val="000000" w:themeColor="text1"/>
          <w:sz w:val="22"/>
          <w:szCs w:val="22"/>
        </w:rPr>
        <w:t>s</w:t>
      </w:r>
      <w:r w:rsidR="005E2C36" w:rsidRPr="002C15AF">
        <w:rPr>
          <w:color w:val="000000" w:themeColor="text1"/>
          <w:sz w:val="22"/>
          <w:szCs w:val="22"/>
        </w:rPr>
        <w:t xml:space="preserve"> explicitly) pro</w:t>
      </w:r>
      <w:r w:rsidR="002F189E" w:rsidRPr="002C15AF">
        <w:rPr>
          <w:color w:val="000000" w:themeColor="text1"/>
          <w:sz w:val="22"/>
          <w:szCs w:val="22"/>
        </w:rPr>
        <w:t>-</w:t>
      </w:r>
      <w:r w:rsidR="005E2C36" w:rsidRPr="002C15AF">
        <w:rPr>
          <w:color w:val="000000" w:themeColor="text1"/>
          <w:sz w:val="22"/>
          <w:szCs w:val="22"/>
        </w:rPr>
        <w:t xml:space="preserve">industry stance.  </w:t>
      </w:r>
      <w:r w:rsidR="00E56BF8" w:rsidRPr="002C15AF">
        <w:rPr>
          <w:rFonts w:eastAsia="Times New Roman" w:cstheme="minorHAnsi"/>
          <w:sz w:val="22"/>
          <w:szCs w:val="22"/>
          <w:lang w:eastAsia="en-GB"/>
        </w:rPr>
        <w:t>I</w:t>
      </w:r>
      <w:r w:rsidR="00CB1A2A" w:rsidRPr="002C15AF">
        <w:rPr>
          <w:rFonts w:eastAsia="Times New Roman" w:cstheme="minorHAnsi"/>
          <w:sz w:val="22"/>
          <w:szCs w:val="22"/>
          <w:lang w:eastAsia="en-GB"/>
        </w:rPr>
        <w:t xml:space="preserve">n the sections below we explore the implications and insights </w:t>
      </w:r>
      <w:r w:rsidR="00551A86" w:rsidRPr="002C15AF">
        <w:rPr>
          <w:rFonts w:eastAsia="Times New Roman" w:cstheme="minorHAnsi"/>
          <w:sz w:val="22"/>
          <w:szCs w:val="22"/>
          <w:lang w:eastAsia="en-GB"/>
        </w:rPr>
        <w:t>of these frames for the design and communication of public health interventions around unhealthy commodities</w:t>
      </w:r>
    </w:p>
    <w:p w14:paraId="363DAEEB" w14:textId="77777777" w:rsidR="001D28EA" w:rsidRPr="002C15AF" w:rsidRDefault="001D28EA" w:rsidP="00551A86">
      <w:pPr>
        <w:pStyle w:val="CommentText"/>
        <w:spacing w:after="0" w:line="360" w:lineRule="auto"/>
        <w:contextualSpacing/>
        <w:rPr>
          <w:sz w:val="22"/>
          <w:szCs w:val="22"/>
        </w:rPr>
      </w:pPr>
    </w:p>
    <w:p w14:paraId="39312D36" w14:textId="5A582651" w:rsidR="003E4712" w:rsidRPr="002C15AF" w:rsidRDefault="003E4712" w:rsidP="003E4712">
      <w:pPr>
        <w:pStyle w:val="CommentText"/>
        <w:spacing w:after="0" w:line="360" w:lineRule="auto"/>
        <w:contextualSpacing/>
        <w:rPr>
          <w:rFonts w:cstheme="minorHAnsi"/>
          <w:b/>
          <w:i/>
          <w:sz w:val="22"/>
          <w:szCs w:val="22"/>
        </w:rPr>
      </w:pPr>
      <w:r w:rsidRPr="002C15AF">
        <w:rPr>
          <w:rFonts w:cstheme="minorHAnsi"/>
          <w:b/>
          <w:i/>
          <w:sz w:val="22"/>
          <w:szCs w:val="22"/>
        </w:rPr>
        <w:lastRenderedPageBreak/>
        <w:t xml:space="preserve">4.2 Drawing </w:t>
      </w:r>
      <w:r w:rsidR="00D0125D" w:rsidRPr="002C15AF">
        <w:rPr>
          <w:rFonts w:cstheme="minorHAnsi"/>
          <w:b/>
          <w:i/>
          <w:sz w:val="22"/>
          <w:szCs w:val="22"/>
        </w:rPr>
        <w:t>from</w:t>
      </w:r>
      <w:r w:rsidRPr="002C15AF">
        <w:rPr>
          <w:rFonts w:cstheme="minorHAnsi"/>
          <w:b/>
          <w:i/>
          <w:sz w:val="22"/>
          <w:szCs w:val="22"/>
        </w:rPr>
        <w:t xml:space="preserve"> the </w:t>
      </w:r>
      <w:r w:rsidR="00D0125D" w:rsidRPr="002C15AF">
        <w:rPr>
          <w:rFonts w:cstheme="minorHAnsi"/>
          <w:b/>
          <w:i/>
          <w:sz w:val="22"/>
          <w:szCs w:val="22"/>
        </w:rPr>
        <w:t>unhealthy</w:t>
      </w:r>
      <w:r w:rsidRPr="002C15AF">
        <w:rPr>
          <w:rFonts w:cstheme="minorHAnsi"/>
          <w:b/>
          <w:i/>
          <w:sz w:val="22"/>
          <w:szCs w:val="22"/>
        </w:rPr>
        <w:t xml:space="preserve"> commodity industries’ playbook</w:t>
      </w:r>
    </w:p>
    <w:p w14:paraId="1F1180D9" w14:textId="0F08A948" w:rsidR="003E4712" w:rsidRPr="002C15AF" w:rsidRDefault="003E4712" w:rsidP="003E4712">
      <w:pPr>
        <w:spacing w:after="0" w:line="360" w:lineRule="auto"/>
        <w:contextualSpacing/>
      </w:pPr>
      <w:r w:rsidRPr="002C15AF">
        <w:rPr>
          <w:rFonts w:cstheme="minorHAnsi"/>
        </w:rPr>
        <w:t>Identifying and pushing for alternative policy priorities (in this case, priorities other than childhood obesity – such as knife crime) is a strategy long used by both the food</w:t>
      </w:r>
      <w:r w:rsidR="00D0125D" w:rsidRPr="002C15AF">
        <w:rPr>
          <w:rFonts w:cstheme="minorHAnsi"/>
        </w:rPr>
        <w:t>,</w:t>
      </w:r>
      <w:r w:rsidRPr="002C15AF">
        <w:rPr>
          <w:rFonts w:cstheme="minorHAnsi"/>
        </w:rPr>
        <w:t xml:space="preserve"> tobacco and alcohol industries </w:t>
      </w:r>
      <w:r w:rsidRPr="002C15AF">
        <w:rPr>
          <w:rFonts w:cstheme="minorHAnsi"/>
        </w:rPr>
        <w:fldChar w:fldCharType="begin"/>
      </w:r>
      <w:r w:rsidRPr="002C15AF">
        <w:rPr>
          <w:rFonts w:cstheme="minorHAnsi"/>
        </w:rPr>
        <w:instrText xml:space="preserve"> ADDIN EN.CITE &lt;EndNote&gt;&lt;Cite&gt;&lt;Author&gt;Brownell&lt;/Author&gt;&lt;Year&gt;2009&lt;/Year&gt;&lt;RecNum&gt;248&lt;/RecNum&gt;&lt;DisplayText&gt;(Bero, 2003; Brownell &amp;amp; Warner, 2009)&lt;/DisplayText&gt;&lt;record&gt;&lt;rec-number&gt;248&lt;/rec-number&gt;&lt;foreign-keys&gt;&lt;key app="EN" db-id="wz0s5vxeow0299ew9xqvdsw7t0xf9w02z5wt" timestamp="1581366401"&gt;248&lt;/key&gt;&lt;/foreign-keys&gt;&lt;ref-type name="Journal Article"&gt;17&lt;/ref-type&gt;&lt;contributors&gt;&lt;authors&gt;&lt;author&gt;Brownell, K.D.&lt;/author&gt;&lt;author&gt;Warner, K.E.&lt;/author&gt;&lt;/authors&gt;&lt;/contributors&gt;&lt;titles&gt;&lt;title&gt;The Perils of Ignoring History: Big Tobacco Played Dirty and Millions Died. How Similar Is Big Food?&lt;/title&gt;&lt;secondary-title&gt;The Milbank Quarterly&lt;/secondary-title&gt;&lt;/titles&gt;&lt;periodical&gt;&lt;full-title&gt;The Milbank Quarterly&lt;/full-title&gt;&lt;/periodical&gt;&lt;pages&gt;259-294&lt;/pages&gt;&lt;volume&gt;87&lt;/volume&gt;&lt;number&gt;1&lt;/number&gt;&lt;dates&gt;&lt;year&gt;2009&lt;/year&gt;&lt;/dates&gt;&lt;urls&gt;&lt;/urls&gt;&lt;/record&gt;&lt;/Cite&gt;&lt;Cite&gt;&lt;Author&gt;Bero&lt;/Author&gt;&lt;Year&gt;2003&lt;/Year&gt;&lt;RecNum&gt;306&lt;/RecNum&gt;&lt;record&gt;&lt;rec-number&gt;306&lt;/rec-number&gt;&lt;foreign-keys&gt;&lt;key app="EN" db-id="2xerwtez52p9x8ep05ip59fgspsews0w00ew" timestamp="1595870799"&gt;306&lt;/key&gt;&lt;/foreign-keys&gt;&lt;ref-type name="Journal Article"&gt;17&lt;/ref-type&gt;&lt;contributors&gt;&lt;authors&gt;&lt;author&gt;Bero, L.&lt;/author&gt;&lt;/authors&gt;&lt;/contributors&gt;&lt;titles&gt;&lt;title&gt;Implications of the Tobacco Industry Documents for Public Health and Policy&lt;/title&gt;&lt;secondary-title&gt;Annual Review of Public Health&lt;/secondary-title&gt;&lt;/titles&gt;&lt;periodical&gt;&lt;full-title&gt;Annual Review of Public Health&lt;/full-title&gt;&lt;/periodical&gt;&lt;pages&gt;267-288&lt;/pages&gt;&lt;volume&gt;24&lt;/volume&gt;&lt;dates&gt;&lt;year&gt;2003&lt;/year&gt;&lt;/dates&gt;&lt;urls&gt;&lt;/urls&gt;&lt;/record&gt;&lt;/Cite&gt;&lt;/EndNote&gt;</w:instrText>
      </w:r>
      <w:r w:rsidRPr="002C15AF">
        <w:rPr>
          <w:rFonts w:cstheme="minorHAnsi"/>
        </w:rPr>
        <w:fldChar w:fldCharType="separate"/>
      </w:r>
      <w:r w:rsidRPr="002C15AF">
        <w:rPr>
          <w:rFonts w:cstheme="minorHAnsi"/>
          <w:noProof/>
        </w:rPr>
        <w:t>(Bero, 2003; Brownell &amp; Warner, 2009)</w:t>
      </w:r>
      <w:r w:rsidRPr="002C15AF">
        <w:rPr>
          <w:rFonts w:cstheme="minorHAnsi"/>
        </w:rPr>
        <w:fldChar w:fldCharType="end"/>
      </w:r>
      <w:r w:rsidRPr="002C15AF">
        <w:rPr>
          <w:rFonts w:cstheme="minorHAnsi"/>
        </w:rPr>
        <w:t xml:space="preserve">.  Claims that the intervention will not work and demands for better, but unspecified, evidence and solutions are a parallel to those used by the tobacco </w:t>
      </w:r>
      <w:r w:rsidRPr="002C15AF">
        <w:rPr>
          <w:rFonts w:cstheme="minorHAnsi"/>
        </w:rPr>
        <w:fldChar w:fldCharType="begin"/>
      </w:r>
      <w:r w:rsidRPr="002C15AF">
        <w:rPr>
          <w:rFonts w:cstheme="minorHAnsi"/>
        </w:rPr>
        <w:instrText xml:space="preserve"> ADDIN EN.CITE &lt;EndNote&gt;&lt;Cite&gt;&lt;Author&gt;Ulucanlar&lt;/Author&gt;&lt;Year&gt;2014&lt;/Year&gt;&lt;RecNum&gt;298&lt;/RecNum&gt;&lt;DisplayText&gt;(Ulucanlar, Fooks, Hatchard, &amp;amp; Gilmore, 2014)&lt;/DisplayText&gt;&lt;record&gt;&lt;rec-number&gt;298&lt;/rec-number&gt;&lt;foreign-keys&gt;&lt;key app="EN" db-id="wz0s5vxeow0299ew9xqvdsw7t0xf9w02z5wt" timestamp="1603208598"&gt;298&lt;/key&gt;&lt;/foreign-keys&gt;&lt;ref-type name="Journal Article"&gt;17&lt;/ref-type&gt;&lt;contributors&gt;&lt;authors&gt;&lt;author&gt;Ulucanlar, S.&lt;/author&gt;&lt;author&gt;Fooks, G.J. &lt;/author&gt;&lt;author&gt;Hatchard, J.L. &lt;/author&gt;&lt;author&gt;Gilmore, A.B. &lt;/author&gt;&lt;/authors&gt;&lt;/contributors&gt;&lt;titles&gt;&lt;title&gt;Representation and Misrepresentation of Scientific Evidence in Contemporary Tobacco Regulation: A Review of Tobacco Industry Submissions to the UK Government Consultation on Standardised Packaging&lt;/title&gt;&lt;secondary-title&gt;PLoS Medicine&lt;/secondary-title&gt;&lt;/titles&gt;&lt;periodical&gt;&lt;full-title&gt;PLoS Medicine&lt;/full-title&gt;&lt;/periodical&gt;&lt;volume&gt;11&lt;/volume&gt;&lt;number&gt;3&lt;/number&gt;&lt;section&gt;e1001629&lt;/section&gt;&lt;dates&gt;&lt;year&gt;2014&lt;/year&gt;&lt;/dates&gt;&lt;urls&gt;&lt;/urls&gt;&lt;/record&gt;&lt;/Cite&gt;&lt;/EndNote&gt;</w:instrText>
      </w:r>
      <w:r w:rsidRPr="002C15AF">
        <w:rPr>
          <w:rFonts w:cstheme="minorHAnsi"/>
        </w:rPr>
        <w:fldChar w:fldCharType="separate"/>
      </w:r>
      <w:r w:rsidRPr="002C15AF">
        <w:rPr>
          <w:rFonts w:cstheme="minorHAnsi"/>
          <w:noProof/>
        </w:rPr>
        <w:t>(Ulucanlar, Fooks, Hatchard, &amp; Gilmore, 2014)</w:t>
      </w:r>
      <w:r w:rsidRPr="002C15AF">
        <w:rPr>
          <w:rFonts w:cstheme="minorHAnsi"/>
        </w:rPr>
        <w:fldChar w:fldCharType="end"/>
      </w:r>
      <w:r w:rsidRPr="002C15AF">
        <w:rPr>
          <w:rFonts w:cstheme="minorHAnsi"/>
        </w:rPr>
        <w:t xml:space="preserve"> and alcohol </w:t>
      </w:r>
      <w:r w:rsidRPr="002C15AF">
        <w:rPr>
          <w:rFonts w:cstheme="minorHAnsi"/>
        </w:rPr>
        <w:fldChar w:fldCharType="begin"/>
      </w:r>
      <w:r w:rsidRPr="002C15AF">
        <w:rPr>
          <w:rFonts w:cstheme="minorHAnsi"/>
        </w:rPr>
        <w:instrText xml:space="preserve"> ADDIN EN.CITE &lt;EndNote&gt;&lt;Cite&gt;&lt;Author&gt;Hilton S&lt;/Author&gt;&lt;Year&gt;2014&lt;/Year&gt;&lt;RecNum&gt;299&lt;/RecNum&gt;&lt;DisplayText&gt;(Hawkins, Holden, &amp;amp; McCambridge, 2012; Hilton S, 2014)&lt;/DisplayText&gt;&lt;record&gt;&lt;rec-number&gt;299&lt;/rec-number&gt;&lt;foreign-keys&gt;&lt;key app="EN" db-id="wz0s5vxeow0299ew9xqvdsw7t0xf9w02z5wt" timestamp="1603208880"&gt;299&lt;/key&gt;&lt;/foreign-keys&gt;&lt;ref-type name="Journal Article"&gt;17&lt;/ref-type&gt;&lt;contributors&gt;&lt;authors&gt;&lt;author&gt;Hilton S, Wood K, Patterson C, Katikireddi SV. &lt;/author&gt;&lt;/authors&gt;&lt;/contributors&gt;&lt;titles&gt;&lt;title&gt;Implications for alcohol minimum unit pricing advocacy: what can we learn for public health from UK newsprint coverage of key claim-makers in the policy debate?&lt;/title&gt;&lt;secondary-title&gt;Social Science and Medicine &lt;/secondary-title&gt;&lt;/titles&gt;&lt;periodical&gt;&lt;full-title&gt;Social Science and Medicine&lt;/full-title&gt;&lt;/periodical&gt;&lt;pages&gt;157-164&lt;/pages&gt;&lt;volume&gt;102&lt;/volume&gt;&lt;number&gt;100&lt;/number&gt;&lt;dates&gt;&lt;year&gt;2014&lt;/year&gt;&lt;/dates&gt;&lt;urls&gt;&lt;/urls&gt;&lt;/record&gt;&lt;/Cite&gt;&lt;Cite&gt;&lt;Author&gt;Hawkins&lt;/Author&gt;&lt;Year&gt;2012&lt;/Year&gt;&lt;RecNum&gt;309&lt;/RecNum&gt;&lt;record&gt;&lt;rec-number&gt;309&lt;/rec-number&gt;&lt;foreign-keys&gt;&lt;key app="EN" db-id="2xerwtez52p9x8ep05ip59fgspsews0w00ew" timestamp="1595893530"&gt;309&lt;/key&gt;&lt;/foreign-keys&gt;&lt;ref-type name="Journal Article"&gt;17&lt;/ref-type&gt;&lt;contributors&gt;&lt;authors&gt;&lt;author&gt;Hawkins, B.&lt;/author&gt;&lt;author&gt;Holden, C.&lt;/author&gt;&lt;author&gt;McCambridge, J.&lt;/author&gt;&lt;/authors&gt;&lt;/contributors&gt;&lt;titles&gt;&lt;title&gt;Alcohol industry influence on UK alcohol policy: a new research agenda for public health&lt;/title&gt;&lt;secondary-title&gt;Critical Public Health&lt;/secondary-title&gt;&lt;/titles&gt;&lt;periodical&gt;&lt;full-title&gt;Critical Public Health&lt;/full-title&gt;&lt;/periodical&gt;&lt;pages&gt;297-305&lt;/pages&gt;&lt;volume&gt;22&lt;/volume&gt;&lt;number&gt;3&lt;/number&gt;&lt;dates&gt;&lt;year&gt;2012&lt;/year&gt;&lt;/dates&gt;&lt;urls&gt;&lt;/urls&gt;&lt;/record&gt;&lt;/Cite&gt;&lt;/EndNote&gt;</w:instrText>
      </w:r>
      <w:r w:rsidRPr="002C15AF">
        <w:rPr>
          <w:rFonts w:cstheme="minorHAnsi"/>
        </w:rPr>
        <w:fldChar w:fldCharType="separate"/>
      </w:r>
      <w:r w:rsidRPr="002C15AF">
        <w:rPr>
          <w:rFonts w:cstheme="minorHAnsi"/>
          <w:noProof/>
        </w:rPr>
        <w:t>(Hawkins, Holden, &amp; McCambridge, 2012; Hilton S, 2014)</w:t>
      </w:r>
      <w:r w:rsidRPr="002C15AF">
        <w:rPr>
          <w:rFonts w:cstheme="minorHAnsi"/>
        </w:rPr>
        <w:fldChar w:fldCharType="end"/>
      </w:r>
      <w:r w:rsidRPr="002C15AF">
        <w:rPr>
          <w:rFonts w:cstheme="minorHAnsi"/>
        </w:rPr>
        <w:t xml:space="preserve"> industries.</w:t>
      </w:r>
      <w:r w:rsidR="002F189E" w:rsidRPr="002C15AF">
        <w:rPr>
          <w:rFonts w:cstheme="minorHAnsi"/>
        </w:rPr>
        <w:t xml:space="preserve">  </w:t>
      </w:r>
      <w:r w:rsidRPr="002C15AF">
        <w:rPr>
          <w:rFonts w:cstheme="minorHAnsi"/>
        </w:rPr>
        <w:t xml:space="preserve">Dire predictions of the economic damage of interventions is a commonly used strategy </w:t>
      </w:r>
      <w:r w:rsidRPr="002C15AF">
        <w:rPr>
          <w:rFonts w:cstheme="minorHAnsi"/>
        </w:rPr>
        <w:fldChar w:fldCharType="begin"/>
      </w:r>
      <w:r w:rsidRPr="002C15AF">
        <w:rPr>
          <w:rFonts w:cstheme="minorHAnsi"/>
        </w:rPr>
        <w:instrText xml:space="preserve"> ADDIN EN.CITE &lt;EndNote&gt;&lt;Cite&gt;&lt;Author&gt;Bhattacharya&lt;/Author&gt;&lt;Year&gt;2017&lt;/Year&gt;&lt;RecNum&gt;300&lt;/RecNum&gt;&lt;DisplayText&gt;(Bhattacharya, 2017)&lt;/DisplayText&gt;&lt;record&gt;&lt;rec-number&gt;300&lt;/rec-number&gt;&lt;foreign-keys&gt;&lt;key app="EN" db-id="wz0s5vxeow0299ew9xqvdsw7t0xf9w02z5wt" timestamp="1603209451"&gt;300&lt;/key&gt;&lt;/foreign-keys&gt;&lt;ref-type name="Blog"&gt;56&lt;/ref-type&gt;&lt;contributors&gt;&lt;authors&gt;&lt;author&gt;Bhattacharya, A.&lt;/author&gt;&lt;/authors&gt;&lt;secondary-authors&gt;&lt;author&gt;LSE BPP, &lt;/author&gt;&lt;/secondary-authors&gt;&lt;/contributors&gt;&lt;titles&gt;&lt;title&gt;Why we don&amp;apos;t need the alcohol industry for a strong economy&lt;/title&gt;&lt;secondary-title&gt;Why we don&amp;apos;t need the alcohol industry for a strong economy&lt;/secondary-title&gt;&lt;/titles&gt;&lt;dates&gt;&lt;year&gt;2017&lt;/year&gt;&lt;/dates&gt;&lt;publisher&gt;LSE&lt;/publisher&gt;&lt;urls&gt;&lt;related-urls&gt;&lt;url&gt;https://blogs.lse.ac.uk/politicsandpolicy/why-we-dont-need-the-alcohol-industry-for-a-strong-economy/.&lt;/url&gt;&lt;/related-urls&gt;&lt;/urls&gt;&lt;/record&gt;&lt;/Cite&gt;&lt;/EndNote&gt;</w:instrText>
      </w:r>
      <w:r w:rsidRPr="002C15AF">
        <w:rPr>
          <w:rFonts w:cstheme="minorHAnsi"/>
        </w:rPr>
        <w:fldChar w:fldCharType="separate"/>
      </w:r>
      <w:r w:rsidRPr="002C15AF">
        <w:rPr>
          <w:rFonts w:cstheme="minorHAnsi"/>
          <w:noProof/>
        </w:rPr>
        <w:t>(Bhattacharya, 2017)</w:t>
      </w:r>
      <w:r w:rsidRPr="002C15AF">
        <w:rPr>
          <w:rFonts w:cstheme="minorHAnsi"/>
        </w:rPr>
        <w:fldChar w:fldCharType="end"/>
      </w:r>
      <w:r w:rsidRPr="002C15AF">
        <w:rPr>
          <w:rFonts w:cstheme="minorHAnsi"/>
        </w:rPr>
        <w:t xml:space="preserve"> in order to argue for a ‘go slow’ approach to regulation </w:t>
      </w:r>
      <w:r w:rsidRPr="002C15AF">
        <w:rPr>
          <w:rFonts w:cstheme="minorHAnsi"/>
        </w:rPr>
        <w:fldChar w:fldCharType="begin"/>
      </w:r>
      <w:r w:rsidRPr="002C15AF">
        <w:rPr>
          <w:rFonts w:cstheme="minorHAnsi"/>
        </w:rPr>
        <w:instrText xml:space="preserve"> ADDIN EN.CITE &lt;EndNote&gt;&lt;Cite&gt;&lt;Author&gt;Warner&lt;/Author&gt;&lt;Year&gt;2000&lt;/Year&gt;&lt;RecNum&gt;311&lt;/RecNum&gt;&lt;DisplayText&gt;(Warner, 2000)&lt;/DisplayText&gt;&lt;record&gt;&lt;rec-number&gt;311&lt;/rec-number&gt;&lt;foreign-keys&gt;&lt;key app="EN" db-id="2xerwtez52p9x8ep05ip59fgspsews0w00ew" timestamp="1595894918"&gt;311&lt;/key&gt;&lt;/foreign-keys&gt;&lt;ref-type name="Journal Article"&gt;17&lt;/ref-type&gt;&lt;contributors&gt;&lt;authors&gt;&lt;author&gt;Warner, K.E.&lt;/author&gt;&lt;/authors&gt;&lt;/contributors&gt;&lt;titles&gt;&lt;title&gt;The economics of tobacco: myths and realities&lt;/title&gt;&lt;secondary-title&gt;Tobacco Control&lt;/secondary-title&gt;&lt;/titles&gt;&lt;periodical&gt;&lt;full-title&gt;Tobacco Control&lt;/full-title&gt;&lt;/periodical&gt;&lt;pages&gt;78-89&lt;/pages&gt;&lt;volume&gt;9&lt;/volume&gt;&lt;dates&gt;&lt;year&gt;2000&lt;/year&gt;&lt;/dates&gt;&lt;urls&gt;&lt;/urls&gt;&lt;/record&gt;&lt;/Cite&gt;&lt;/EndNote&gt;</w:instrText>
      </w:r>
      <w:r w:rsidRPr="002C15AF">
        <w:rPr>
          <w:rFonts w:cstheme="minorHAnsi"/>
        </w:rPr>
        <w:fldChar w:fldCharType="separate"/>
      </w:r>
      <w:r w:rsidRPr="002C15AF">
        <w:rPr>
          <w:rFonts w:cstheme="minorHAnsi"/>
          <w:noProof/>
        </w:rPr>
        <w:t>(Warner, 2000)</w:t>
      </w:r>
      <w:r w:rsidRPr="002C15AF">
        <w:rPr>
          <w:rFonts w:cstheme="minorHAnsi"/>
        </w:rPr>
        <w:fldChar w:fldCharType="end"/>
      </w:r>
      <w:r w:rsidRPr="002C15AF">
        <w:rPr>
          <w:rFonts w:cstheme="minorHAnsi"/>
        </w:rPr>
        <w:t>.  However, m</w:t>
      </w:r>
      <w:r w:rsidRPr="002C15AF">
        <w:t xml:space="preserve">ost public health interventions, in the longer term, are substantially cost saving and result in less pressure on services </w:t>
      </w:r>
      <w:r w:rsidRPr="002C15AF">
        <w:fldChar w:fldCharType="begin"/>
      </w:r>
      <w:r w:rsidRPr="002C15AF">
        <w:instrText xml:space="preserve"> ADDIN EN.CITE &lt;EndNote&gt;&lt;Cite&gt;&lt;Author&gt;Masters&lt;/Author&gt;&lt;Year&gt;2017&lt;/Year&gt;&lt;RecNum&gt;302&lt;/RecNum&gt;&lt;DisplayText&gt;(Masters, Anwar, Collins, Cookson, &amp;amp; Capewell, 2017)&lt;/DisplayText&gt;&lt;record&gt;&lt;rec-number&gt;302&lt;/rec-number&gt;&lt;foreign-keys&gt;&lt;key app="EN" db-id="wz0s5vxeow0299ew9xqvdsw7t0xf9w02z5wt" timestamp="1603463992"&gt;302&lt;/key&gt;&lt;/foreign-keys&gt;&lt;ref-type name="Journal Article"&gt;17&lt;/ref-type&gt;&lt;contributors&gt;&lt;authors&gt;&lt;author&gt;Masters, R.&lt;/author&gt;&lt;author&gt;Anwar, E.&lt;/author&gt;&lt;author&gt;Collins, B.&lt;/author&gt;&lt;author&gt;Cookson, R.&lt;/author&gt;&lt;author&gt;Capewell, S.&lt;/author&gt;&lt;/authors&gt;&lt;/contributors&gt;&lt;titles&gt;&lt;title&gt;Return on investment of public health interventions: a systematic review&lt;/title&gt;&lt;secondary-title&gt;Journal of Epidemiology and Community Health&lt;/secondary-title&gt;&lt;/titles&gt;&lt;periodical&gt;&lt;full-title&gt;Journal of Epidemiology and Community Health&lt;/full-title&gt;&lt;/periodical&gt;&lt;pages&gt;827-834&lt;/pages&gt;&lt;volume&gt;71&lt;/volume&gt;&lt;dates&gt;&lt;year&gt;2017&lt;/year&gt;&lt;/dates&gt;&lt;urls&gt;&lt;/urls&gt;&lt;/record&gt;&lt;/Cite&gt;&lt;/EndNote&gt;</w:instrText>
      </w:r>
      <w:r w:rsidRPr="002C15AF">
        <w:fldChar w:fldCharType="separate"/>
      </w:r>
      <w:r w:rsidRPr="002C15AF">
        <w:rPr>
          <w:noProof/>
        </w:rPr>
        <w:t>(Masters, Anwar, Collins, Cookson, &amp; Capewell, 2017)</w:t>
      </w:r>
      <w:r w:rsidRPr="002C15AF">
        <w:fldChar w:fldCharType="end"/>
      </w:r>
      <w:r w:rsidRPr="002C15AF">
        <w:t xml:space="preserve">.  Added to which, public health interventions that target industry tend not to result in long-term negative impacts for industry </w:t>
      </w:r>
      <w:r w:rsidRPr="002C15AF">
        <w:fldChar w:fldCharType="begin"/>
      </w:r>
      <w:r w:rsidRPr="002C15AF">
        <w:instrText xml:space="preserve"> ADDIN EN.CITE &lt;EndNote&gt;&lt;Cite&gt;&lt;Author&gt;Law&lt;/Author&gt;&lt;Year&gt;2020&lt;/Year&gt;&lt;RecNum&gt;333&lt;/RecNum&gt;&lt;DisplayText&gt;(Larcker, Ormazabala, &amp;amp; Taylor, 2011; Law et al., 2020)&lt;/DisplayText&gt;&lt;record&gt;&lt;rec-number&gt;333&lt;/rec-number&gt;&lt;foreign-keys&gt;&lt;key app="EN" db-id="wz0s5vxeow0299ew9xqvdsw7t0xf9w02z5wt" timestamp="1606412111"&gt;333&lt;/key&gt;&lt;/foreign-keys&gt;&lt;ref-type name="Journal Article"&gt;17&lt;/ref-type&gt;&lt;contributors&gt;&lt;authors&gt;&lt;author&gt;Law, C.&lt;/author&gt;&lt;author&gt;Cornelsen, L.&lt;/author&gt;&lt;author&gt;Adams, J.&lt;/author&gt;&lt;author&gt;Penney, T.&lt;/author&gt;&lt;author&gt;Rutter, H.&lt;/author&gt;&lt;author&gt;White, M.&lt;/author&gt;&lt;author&gt;Smith, R.&lt;/author&gt;&lt;/authors&gt;&lt;/contributors&gt;&lt;titles&gt;&lt;title&gt;An analysis of the stock market reaction to the announcements of the UK Soft Drinks Industry Levy&lt;/title&gt;&lt;secondary-title&gt;Economics &amp;amp; Human Biology&lt;/secondary-title&gt;&lt;/titles&gt;&lt;periodical&gt;&lt;full-title&gt;Economics &amp;amp; Human Biology&lt;/full-title&gt;&lt;/periodical&gt;&lt;volume&gt;38&lt;/volume&gt;&lt;section&gt;100834&lt;/section&gt;&lt;dates&gt;&lt;year&gt;2020&lt;/year&gt;&lt;/dates&gt;&lt;urls&gt;&lt;/urls&gt;&lt;/record&gt;&lt;/Cite&gt;&lt;Cite&gt;&lt;Author&gt;Larcker&lt;/Author&gt;&lt;Year&gt;2011&lt;/Year&gt;&lt;RecNum&gt;334&lt;/RecNum&gt;&lt;record&gt;&lt;rec-number&gt;334&lt;/rec-number&gt;&lt;foreign-keys&gt;&lt;key app="EN" db-id="wz0s5vxeow0299ew9xqvdsw7t0xf9w02z5wt" timestamp="1606412379"&gt;334&lt;/key&gt;&lt;/foreign-keys&gt;&lt;ref-type name="Journal Article"&gt;17&lt;/ref-type&gt;&lt;contributors&gt;&lt;authors&gt;&lt;author&gt;Larcker, D.F.&lt;/author&gt;&lt;author&gt;Ormazabala, G.&lt;/author&gt;&lt;author&gt;Taylor, D.L.&lt;/author&gt;&lt;/authors&gt;&lt;/contributors&gt;&lt;titles&gt;&lt;title&gt;The market reaction to corporate governance regulation&lt;/title&gt;&lt;secondary-title&gt;Journal of Financial Economics&lt;/secondary-title&gt;&lt;/titles&gt;&lt;periodical&gt;&lt;full-title&gt;Journal of Financial Economics&lt;/full-title&gt;&lt;/periodical&gt;&lt;pages&gt;431-448&lt;/pages&gt;&lt;volume&gt;101&lt;/volume&gt;&lt;number&gt;2&lt;/number&gt;&lt;dates&gt;&lt;year&gt;2011&lt;/year&gt;&lt;/dates&gt;&lt;urls&gt;&lt;/urls&gt;&lt;/record&gt;&lt;/Cite&gt;&lt;/EndNote&gt;</w:instrText>
      </w:r>
      <w:r w:rsidRPr="002C15AF">
        <w:fldChar w:fldCharType="separate"/>
      </w:r>
      <w:r w:rsidRPr="002C15AF">
        <w:rPr>
          <w:noProof/>
        </w:rPr>
        <w:t>(Larcker, Ormazabala, &amp; Taylor, 2011; Law et al., 2020)</w:t>
      </w:r>
      <w:r w:rsidRPr="002C15AF">
        <w:fldChar w:fldCharType="end"/>
      </w:r>
      <w:r w:rsidRPr="002C15AF">
        <w:t>.</w:t>
      </w:r>
    </w:p>
    <w:p w14:paraId="2C1E7C60" w14:textId="66F988AD" w:rsidR="003E4712" w:rsidRPr="002C15AF" w:rsidRDefault="003E4712" w:rsidP="00C407EB">
      <w:pPr>
        <w:spacing w:after="0" w:line="360" w:lineRule="auto"/>
        <w:contextualSpacing/>
        <w:rPr>
          <w:rFonts w:cstheme="minorHAnsi"/>
          <w:b/>
          <w:i/>
          <w:color w:val="000000" w:themeColor="text1"/>
        </w:rPr>
      </w:pPr>
    </w:p>
    <w:p w14:paraId="74BCE045" w14:textId="1AA11ADA" w:rsidR="003E4712" w:rsidRPr="002C15AF" w:rsidRDefault="003E4712" w:rsidP="003E4712">
      <w:pPr>
        <w:spacing w:after="0" w:line="360" w:lineRule="auto"/>
        <w:contextualSpacing/>
      </w:pPr>
      <w:r w:rsidRPr="002C15AF">
        <w:rPr>
          <w:color w:val="000000" w:themeColor="text1"/>
        </w:rPr>
        <w:t xml:space="preserve">What is notably absent from the </w:t>
      </w:r>
      <w:r w:rsidR="002F189E" w:rsidRPr="002C15AF">
        <w:rPr>
          <w:color w:val="000000" w:themeColor="text1"/>
        </w:rPr>
        <w:t xml:space="preserve">arguments </w:t>
      </w:r>
      <w:r w:rsidR="00D0125D" w:rsidRPr="002C15AF">
        <w:rPr>
          <w:color w:val="000000" w:themeColor="text1"/>
        </w:rPr>
        <w:t xml:space="preserve">used </w:t>
      </w:r>
      <w:r w:rsidR="002F189E" w:rsidRPr="002C15AF">
        <w:rPr>
          <w:color w:val="000000" w:themeColor="text1"/>
        </w:rPr>
        <w:t xml:space="preserve">against the </w:t>
      </w:r>
      <w:r w:rsidR="00C164EC" w:rsidRPr="002C15AF">
        <w:rPr>
          <w:color w:val="000000" w:themeColor="text1"/>
        </w:rPr>
        <w:t xml:space="preserve">ban </w:t>
      </w:r>
      <w:r w:rsidR="00D0125D" w:rsidRPr="002C15AF">
        <w:rPr>
          <w:color w:val="000000" w:themeColor="text1"/>
        </w:rPr>
        <w:t xml:space="preserve">is </w:t>
      </w:r>
      <w:r w:rsidRPr="002C15AF">
        <w:rPr>
          <w:color w:val="000000" w:themeColor="text1"/>
        </w:rPr>
        <w:t>an acknowledgement of the finer details of the policy, including both the role of the exceptions process</w:t>
      </w:r>
      <w:r w:rsidR="0067057F" w:rsidRPr="002C15AF">
        <w:rPr>
          <w:color w:val="000000" w:themeColor="text1"/>
        </w:rPr>
        <w:t xml:space="preserve"> </w:t>
      </w:r>
      <w:r w:rsidRPr="002C15AF">
        <w:rPr>
          <w:color w:val="000000" w:themeColor="text1"/>
        </w:rPr>
        <w:t xml:space="preserve"> (see Table 1) and technical information on the NPM.  </w:t>
      </w:r>
      <w:r w:rsidR="004A11C2" w:rsidRPr="002C15AF">
        <w:rPr>
          <w:color w:val="000000" w:themeColor="text1"/>
        </w:rPr>
        <w:t>This is a relevant aspect of the policy that is neither mentioned nor discussed in texts opposing the restriction</w:t>
      </w:r>
      <w:r w:rsidR="00D0125D" w:rsidRPr="002C15AF">
        <w:rPr>
          <w:color w:val="000000" w:themeColor="text1"/>
        </w:rPr>
        <w:t xml:space="preserve"> – in effect a</w:t>
      </w:r>
      <w:r w:rsidR="004A11C2" w:rsidRPr="002C15AF">
        <w:rPr>
          <w:color w:val="000000" w:themeColor="text1"/>
        </w:rPr>
        <w:t xml:space="preserve"> rhetorical silence </w:t>
      </w:r>
      <w:r w:rsidR="004A11C2" w:rsidRPr="002C15AF">
        <w:rPr>
          <w:color w:val="000000" w:themeColor="text1"/>
        </w:rPr>
        <w:fldChar w:fldCharType="begin"/>
      </w:r>
      <w:r w:rsidR="004A11C2" w:rsidRPr="002C15AF">
        <w:rPr>
          <w:color w:val="000000" w:themeColor="text1"/>
        </w:rPr>
        <w:instrText xml:space="preserve"> ADDIN EN.CITE &lt;EndNote&gt;&lt;Cite&gt;&lt;Author&gt;Savona&lt;/Author&gt;&lt;Year&gt;2020&lt;/Year&gt;&lt;RecNum&gt;390&lt;/RecNum&gt;&lt;DisplayText&gt;(Savona et al., 2020)&lt;/DisplayText&gt;&lt;record&gt;&lt;rec-number&gt;390&lt;/rec-number&gt;&lt;foreign-keys&gt;&lt;key app="EN" db-id="wz0s5vxeow0299ew9xqvdsw7t0xf9w02z5wt" timestamp="1612639495"&gt;390&lt;/key&gt;&lt;/foreign-keys&gt;&lt;ref-type name="Journal Article"&gt;17&lt;/ref-type&gt;&lt;contributors&gt;&lt;authors&gt;&lt;author&gt;Savona, N.&lt;/author&gt;&lt;author&gt;Thompson, C.&lt;/author&gt;&lt;author&gt;Smith, D.&lt;/author&gt;&lt;author&gt;Cummins, S.&lt;/author&gt;&lt;/authors&gt;&lt;/contributors&gt;&lt;titles&gt;&lt;title&gt;‘Complexity’ as a rhetorical smokescreen for UK public health inaction on diet&lt;/title&gt;&lt;secondary-title&gt;Critical Public Health&lt;/secondary-title&gt;&lt;/titles&gt;&lt;periodical&gt;&lt;full-title&gt;Critical Public Health&lt;/full-title&gt;&lt;/periodical&gt;&lt;pages&gt;1-11&lt;/pages&gt;&lt;number&gt;April 2020&lt;/number&gt;&lt;dates&gt;&lt;year&gt;2020&lt;/year&gt;&lt;/dates&gt;&lt;urls&gt;&lt;/urls&gt;&lt;/record&gt;&lt;/Cite&gt;&lt;/EndNote&gt;</w:instrText>
      </w:r>
      <w:r w:rsidR="004A11C2" w:rsidRPr="002C15AF">
        <w:rPr>
          <w:color w:val="000000" w:themeColor="text1"/>
        </w:rPr>
        <w:fldChar w:fldCharType="separate"/>
      </w:r>
      <w:r w:rsidR="004A11C2" w:rsidRPr="002C15AF">
        <w:rPr>
          <w:noProof/>
          <w:color w:val="000000" w:themeColor="text1"/>
        </w:rPr>
        <w:t>(Savona et al., 2020)</w:t>
      </w:r>
      <w:r w:rsidR="004A11C2" w:rsidRPr="002C15AF">
        <w:rPr>
          <w:color w:val="000000" w:themeColor="text1"/>
        </w:rPr>
        <w:fldChar w:fldCharType="end"/>
      </w:r>
      <w:r w:rsidR="004A11C2" w:rsidRPr="002C15AF">
        <w:rPr>
          <w:color w:val="000000" w:themeColor="text1"/>
        </w:rPr>
        <w:t xml:space="preserve">.   </w:t>
      </w:r>
      <w:r w:rsidR="00D0125D" w:rsidRPr="002C15AF">
        <w:rPr>
          <w:color w:val="000000" w:themeColor="text1"/>
        </w:rPr>
        <w:t xml:space="preserve">The use of </w:t>
      </w:r>
      <w:r w:rsidRPr="002C15AF">
        <w:t>tools, such as the NPM, underpinning interventions cannot be a panacea.  They are works in progress that need to be updated</w:t>
      </w:r>
      <w:r w:rsidR="00D0125D" w:rsidRPr="002C15AF">
        <w:t>, adapted</w:t>
      </w:r>
      <w:r w:rsidRPr="002C15AF">
        <w:t xml:space="preserve"> and modified for specific uses and contexts.  Well-designed interventions have processes to accommodate this (i.e. the exceptions process).</w:t>
      </w:r>
      <w:r w:rsidR="004A11C2" w:rsidRPr="002C15AF">
        <w:t xml:space="preserve">  A further silence, by omission, is the lack of acknowledgement that </w:t>
      </w:r>
      <w:r w:rsidRPr="002C15AF">
        <w:rPr>
          <w:rFonts w:cstheme="minorHAnsi"/>
        </w:rPr>
        <w:t>most</w:t>
      </w:r>
      <w:r w:rsidRPr="002C15AF">
        <w:t xml:space="preserve"> public health interventions only work for a proportion of people exposed to them</w:t>
      </w:r>
      <w:r w:rsidR="004A11C2" w:rsidRPr="002C15AF">
        <w:t xml:space="preserve">.  This </w:t>
      </w:r>
      <w:r w:rsidR="00E81235" w:rsidRPr="002C15AF">
        <w:t xml:space="preserve">implicitly </w:t>
      </w:r>
      <w:r w:rsidR="00C164EC" w:rsidRPr="002C15AF">
        <w:t xml:space="preserve">allows </w:t>
      </w:r>
      <w:r w:rsidR="00E81235" w:rsidRPr="002C15AF">
        <w:t xml:space="preserve">the purpose and scope of the restrictions </w:t>
      </w:r>
      <w:r w:rsidR="00C164EC" w:rsidRPr="002C15AF">
        <w:t xml:space="preserve">to be overstated </w:t>
      </w:r>
      <w:r w:rsidR="00E81235" w:rsidRPr="002C15AF">
        <w:t xml:space="preserve">and </w:t>
      </w:r>
      <w:r w:rsidR="004A11C2" w:rsidRPr="002C15AF">
        <w:t>facilitates a framing of the</w:t>
      </w:r>
      <w:r w:rsidR="00E81235" w:rsidRPr="002C15AF">
        <w:t>m</w:t>
      </w:r>
      <w:r w:rsidR="004A11C2" w:rsidRPr="002C15AF">
        <w:t xml:space="preserve"> as inadequate</w:t>
      </w:r>
      <w:r w:rsidR="00C164EC" w:rsidRPr="002C15AF">
        <w:t xml:space="preserve"> to achieve the overstated aims</w:t>
      </w:r>
      <w:r w:rsidR="00E81235" w:rsidRPr="002C15AF">
        <w:t>.</w:t>
      </w:r>
    </w:p>
    <w:p w14:paraId="75BF9E88" w14:textId="77777777" w:rsidR="004A11C2" w:rsidRPr="002C15AF" w:rsidRDefault="004A11C2" w:rsidP="003E4712">
      <w:pPr>
        <w:spacing w:after="0" w:line="360" w:lineRule="auto"/>
        <w:contextualSpacing/>
      </w:pPr>
    </w:p>
    <w:p w14:paraId="70E7C76C" w14:textId="37696B80" w:rsidR="00F26B94" w:rsidRPr="002C15AF" w:rsidRDefault="00F26B94" w:rsidP="00C407EB">
      <w:pPr>
        <w:spacing w:after="0" w:line="360" w:lineRule="auto"/>
        <w:contextualSpacing/>
        <w:rPr>
          <w:rFonts w:cstheme="minorHAnsi"/>
          <w:b/>
          <w:i/>
          <w:color w:val="000000" w:themeColor="text1"/>
        </w:rPr>
      </w:pPr>
      <w:r w:rsidRPr="002C15AF">
        <w:rPr>
          <w:rFonts w:cstheme="minorHAnsi"/>
          <w:b/>
          <w:i/>
          <w:color w:val="000000" w:themeColor="text1"/>
        </w:rPr>
        <w:t>4.</w:t>
      </w:r>
      <w:r w:rsidR="003E4712" w:rsidRPr="002C15AF">
        <w:rPr>
          <w:rFonts w:cstheme="minorHAnsi"/>
          <w:b/>
          <w:i/>
          <w:color w:val="000000" w:themeColor="text1"/>
        </w:rPr>
        <w:t>3</w:t>
      </w:r>
      <w:r w:rsidRPr="002C15AF">
        <w:rPr>
          <w:rFonts w:cstheme="minorHAnsi"/>
          <w:b/>
          <w:i/>
          <w:color w:val="000000" w:themeColor="text1"/>
        </w:rPr>
        <w:t xml:space="preserve"> Strengths and limitations</w:t>
      </w:r>
    </w:p>
    <w:p w14:paraId="264FD13B" w14:textId="083550B9" w:rsidR="002E5A25" w:rsidRPr="002C15AF" w:rsidRDefault="00A67B51" w:rsidP="00C407EB">
      <w:pPr>
        <w:pStyle w:val="CommentText"/>
        <w:spacing w:after="0" w:line="360" w:lineRule="auto"/>
        <w:contextualSpacing/>
        <w:rPr>
          <w:rFonts w:cstheme="minorHAnsi"/>
          <w:sz w:val="22"/>
          <w:szCs w:val="22"/>
        </w:rPr>
      </w:pPr>
      <w:r w:rsidRPr="002C15AF">
        <w:rPr>
          <w:rFonts w:cstheme="minorHAnsi"/>
          <w:sz w:val="22"/>
          <w:szCs w:val="22"/>
        </w:rPr>
        <w:t xml:space="preserve">This paper adds to the evidence base on media </w:t>
      </w:r>
      <w:r w:rsidR="00E81235" w:rsidRPr="002C15AF">
        <w:rPr>
          <w:rFonts w:cstheme="minorHAnsi"/>
          <w:sz w:val="22"/>
          <w:szCs w:val="22"/>
        </w:rPr>
        <w:t>framing of</w:t>
      </w:r>
      <w:r w:rsidRPr="002C15AF">
        <w:rPr>
          <w:rFonts w:cstheme="minorHAnsi"/>
          <w:sz w:val="22"/>
          <w:szCs w:val="22"/>
        </w:rPr>
        <w:t xml:space="preserve"> dietary public health interventions.  </w:t>
      </w:r>
      <w:r w:rsidR="00B87349" w:rsidRPr="002C15AF">
        <w:rPr>
          <w:rFonts w:cstheme="minorHAnsi"/>
          <w:sz w:val="22"/>
          <w:szCs w:val="22"/>
        </w:rPr>
        <w:t>As far as we are aware, i</w:t>
      </w:r>
      <w:r w:rsidRPr="002C15AF">
        <w:rPr>
          <w:rFonts w:cstheme="minorHAnsi"/>
          <w:sz w:val="22"/>
          <w:szCs w:val="22"/>
        </w:rPr>
        <w:t>t i</w:t>
      </w:r>
      <w:r w:rsidRPr="002C15AF">
        <w:rPr>
          <w:sz w:val="22"/>
          <w:szCs w:val="22"/>
        </w:rPr>
        <w:t>s the first analysis of its kind</w:t>
      </w:r>
      <w:r w:rsidR="00B87349" w:rsidRPr="002C15AF">
        <w:rPr>
          <w:sz w:val="22"/>
          <w:szCs w:val="22"/>
        </w:rPr>
        <w:t xml:space="preserve"> </w:t>
      </w:r>
      <w:r w:rsidRPr="002C15AF">
        <w:rPr>
          <w:sz w:val="22"/>
          <w:szCs w:val="22"/>
        </w:rPr>
        <w:t xml:space="preserve">on the regulation of unhealthy food advertisements on public transport.  </w:t>
      </w:r>
      <w:r w:rsidR="00F54ECD" w:rsidRPr="002C15AF">
        <w:rPr>
          <w:rFonts w:cstheme="minorHAnsi"/>
          <w:sz w:val="22"/>
          <w:szCs w:val="22"/>
        </w:rPr>
        <w:t xml:space="preserve">We included all relevant articles in our analysis, rather than just a sample, and have explored how media coverage draws on </w:t>
      </w:r>
      <w:r w:rsidR="00E40A69" w:rsidRPr="002C15AF">
        <w:rPr>
          <w:rFonts w:cstheme="minorHAnsi"/>
          <w:sz w:val="22"/>
          <w:szCs w:val="22"/>
        </w:rPr>
        <w:t>frames</w:t>
      </w:r>
      <w:r w:rsidR="00F54ECD" w:rsidRPr="002C15AF">
        <w:rPr>
          <w:rFonts w:cstheme="minorHAnsi"/>
          <w:sz w:val="22"/>
          <w:szCs w:val="22"/>
        </w:rPr>
        <w:t xml:space="preserve"> used by </w:t>
      </w:r>
      <w:r w:rsidR="00D0125D" w:rsidRPr="002C15AF">
        <w:rPr>
          <w:rFonts w:cstheme="minorHAnsi"/>
          <w:sz w:val="22"/>
          <w:szCs w:val="22"/>
        </w:rPr>
        <w:t>U</w:t>
      </w:r>
      <w:r w:rsidR="00D97DA5" w:rsidRPr="002C15AF">
        <w:rPr>
          <w:rFonts w:cstheme="minorHAnsi"/>
          <w:sz w:val="22"/>
          <w:szCs w:val="22"/>
        </w:rPr>
        <w:t>CIs</w:t>
      </w:r>
      <w:r w:rsidR="009778C3" w:rsidRPr="002C15AF">
        <w:rPr>
          <w:rFonts w:cstheme="minorHAnsi"/>
          <w:sz w:val="22"/>
          <w:szCs w:val="22"/>
        </w:rPr>
        <w:t xml:space="preserve"> </w:t>
      </w:r>
      <w:r w:rsidR="00F54ECD" w:rsidRPr="002C15AF">
        <w:rPr>
          <w:rFonts w:cstheme="minorHAnsi"/>
          <w:sz w:val="22"/>
          <w:szCs w:val="22"/>
        </w:rPr>
        <w:t xml:space="preserve">and how they might be rebutted.  </w:t>
      </w:r>
    </w:p>
    <w:p w14:paraId="0BE72CF5" w14:textId="5C2E8FE3" w:rsidR="007F44D2" w:rsidRPr="002C15AF" w:rsidRDefault="007F44D2" w:rsidP="00C407EB">
      <w:pPr>
        <w:pStyle w:val="CommentText"/>
        <w:spacing w:after="0" w:line="360" w:lineRule="auto"/>
        <w:contextualSpacing/>
        <w:rPr>
          <w:rFonts w:cstheme="minorHAnsi"/>
          <w:sz w:val="22"/>
          <w:szCs w:val="22"/>
        </w:rPr>
      </w:pPr>
    </w:p>
    <w:p w14:paraId="0152D8F3" w14:textId="135B6995" w:rsidR="007F44D2" w:rsidRPr="002C15AF" w:rsidRDefault="007F44D2" w:rsidP="001413C3">
      <w:pPr>
        <w:pStyle w:val="CommentText"/>
        <w:spacing w:after="0" w:line="360" w:lineRule="auto"/>
        <w:contextualSpacing/>
        <w:rPr>
          <w:rFonts w:cstheme="minorHAnsi"/>
          <w:sz w:val="22"/>
          <w:szCs w:val="22"/>
        </w:rPr>
      </w:pPr>
      <w:r w:rsidRPr="002C15AF">
        <w:rPr>
          <w:rFonts w:cstheme="minorHAnsi"/>
          <w:sz w:val="22"/>
          <w:szCs w:val="22"/>
        </w:rPr>
        <w:t>The search period of 1</w:t>
      </w:r>
      <w:r w:rsidRPr="002C15AF">
        <w:rPr>
          <w:rFonts w:cstheme="minorHAnsi"/>
          <w:sz w:val="22"/>
          <w:szCs w:val="22"/>
          <w:vertAlign w:val="superscript"/>
        </w:rPr>
        <w:t>st</w:t>
      </w:r>
      <w:r w:rsidRPr="002C15AF">
        <w:rPr>
          <w:rFonts w:cstheme="minorHAnsi"/>
          <w:sz w:val="22"/>
          <w:szCs w:val="22"/>
        </w:rPr>
        <w:t xml:space="preserve"> March 2018 to 31</w:t>
      </w:r>
      <w:r w:rsidRPr="002C15AF">
        <w:rPr>
          <w:rFonts w:cstheme="minorHAnsi"/>
          <w:sz w:val="22"/>
          <w:szCs w:val="22"/>
          <w:vertAlign w:val="superscript"/>
        </w:rPr>
        <w:t>st</w:t>
      </w:r>
      <w:r w:rsidRPr="002C15AF">
        <w:rPr>
          <w:rFonts w:cstheme="minorHAnsi"/>
          <w:sz w:val="22"/>
          <w:szCs w:val="22"/>
        </w:rPr>
        <w:t xml:space="preserve"> May 2019 stopped short of </w:t>
      </w:r>
      <w:r w:rsidR="00D97DA5" w:rsidRPr="002C15AF">
        <w:rPr>
          <w:rFonts w:cstheme="minorHAnsi"/>
          <w:sz w:val="22"/>
          <w:szCs w:val="22"/>
        </w:rPr>
        <w:t xml:space="preserve">the </w:t>
      </w:r>
      <w:r w:rsidRPr="002C15AF">
        <w:rPr>
          <w:rFonts w:cstheme="minorHAnsi"/>
          <w:sz w:val="22"/>
          <w:szCs w:val="22"/>
        </w:rPr>
        <w:t>updated guidance to advertisers issued by TfL in June 2019.  While this represented a refinement</w:t>
      </w:r>
      <w:r w:rsidR="00D97DA5" w:rsidRPr="002C15AF">
        <w:rPr>
          <w:rFonts w:cstheme="minorHAnsi"/>
          <w:sz w:val="22"/>
          <w:szCs w:val="22"/>
        </w:rPr>
        <w:t xml:space="preserve"> of</w:t>
      </w:r>
      <w:r w:rsidRPr="002C15AF">
        <w:rPr>
          <w:rFonts w:cstheme="minorHAnsi"/>
          <w:sz w:val="22"/>
          <w:szCs w:val="22"/>
        </w:rPr>
        <w:t xml:space="preserve">, rather than change </w:t>
      </w:r>
      <w:r w:rsidRPr="002C15AF">
        <w:rPr>
          <w:rFonts w:cstheme="minorHAnsi"/>
          <w:sz w:val="22"/>
          <w:szCs w:val="22"/>
        </w:rPr>
        <w:lastRenderedPageBreak/>
        <w:t xml:space="preserve">to, the restrictions, it </w:t>
      </w:r>
      <w:r w:rsidR="00D97DA5" w:rsidRPr="002C15AF">
        <w:rPr>
          <w:rFonts w:cstheme="minorHAnsi"/>
          <w:sz w:val="22"/>
          <w:szCs w:val="22"/>
        </w:rPr>
        <w:t>is possible</w:t>
      </w:r>
      <w:r w:rsidR="009778C3" w:rsidRPr="002C15AF">
        <w:rPr>
          <w:rFonts w:cstheme="minorHAnsi"/>
          <w:sz w:val="22"/>
          <w:szCs w:val="22"/>
        </w:rPr>
        <w:t xml:space="preserve"> </w:t>
      </w:r>
      <w:r w:rsidRPr="002C15AF">
        <w:rPr>
          <w:rFonts w:cstheme="minorHAnsi"/>
          <w:sz w:val="22"/>
          <w:szCs w:val="22"/>
        </w:rPr>
        <w:t>that examining news coverage over this period</w:t>
      </w:r>
      <w:r w:rsidR="001413C3" w:rsidRPr="002C15AF">
        <w:rPr>
          <w:rFonts w:cstheme="minorHAnsi"/>
          <w:sz w:val="22"/>
          <w:szCs w:val="22"/>
        </w:rPr>
        <w:t xml:space="preserve"> would have</w:t>
      </w:r>
      <w:r w:rsidR="00D97DA5" w:rsidRPr="002C15AF">
        <w:rPr>
          <w:rFonts w:cstheme="minorHAnsi"/>
          <w:sz w:val="22"/>
          <w:szCs w:val="22"/>
        </w:rPr>
        <w:t xml:space="preserve"> indicated</w:t>
      </w:r>
      <w:r w:rsidR="001413C3" w:rsidRPr="002C15AF">
        <w:rPr>
          <w:rFonts w:cstheme="minorHAnsi"/>
          <w:sz w:val="22"/>
          <w:szCs w:val="22"/>
        </w:rPr>
        <w:t xml:space="preserve"> that media coverage in the preceding period informed the updated guidance.</w:t>
      </w:r>
    </w:p>
    <w:p w14:paraId="61E7C257" w14:textId="51008055" w:rsidR="007F44D2" w:rsidRPr="002C15AF" w:rsidRDefault="007F44D2" w:rsidP="00C407EB">
      <w:pPr>
        <w:pStyle w:val="CommentText"/>
        <w:spacing w:after="0" w:line="360" w:lineRule="auto"/>
        <w:contextualSpacing/>
        <w:rPr>
          <w:rFonts w:cstheme="minorHAnsi"/>
        </w:rPr>
      </w:pPr>
    </w:p>
    <w:p w14:paraId="18DF2CE0" w14:textId="51597898" w:rsidR="002E5A25" w:rsidRPr="002C15AF" w:rsidRDefault="00F26B94" w:rsidP="00C407EB">
      <w:pPr>
        <w:pStyle w:val="CommentText"/>
        <w:spacing w:after="0" w:line="360" w:lineRule="auto"/>
        <w:contextualSpacing/>
        <w:rPr>
          <w:rFonts w:cstheme="minorHAnsi"/>
          <w:sz w:val="22"/>
          <w:szCs w:val="22"/>
        </w:rPr>
      </w:pPr>
      <w:r w:rsidRPr="002C15AF">
        <w:rPr>
          <w:rFonts w:cstheme="minorHAnsi"/>
          <w:sz w:val="22"/>
          <w:szCs w:val="22"/>
        </w:rPr>
        <w:t>The subject of analysis is news and trade press articles.  The internal processes and conflicts over reporting health-related issues and the politics of editorial decisions in prominent London-based publications were likely relevant to how the ban was portrayed, but not something we explored.  Additionally, we did not have the scope here to explore the differences in coverage between local papers in more deprived areas and those in local papers for the (wealthier and business centred) City of London.</w:t>
      </w:r>
      <w:r w:rsidR="00D97DA5" w:rsidRPr="002C15AF">
        <w:rPr>
          <w:rFonts w:cstheme="minorHAnsi"/>
          <w:sz w:val="22"/>
          <w:szCs w:val="22"/>
        </w:rPr>
        <w:t xml:space="preserve">  T</w:t>
      </w:r>
      <w:r w:rsidR="002E5A25" w:rsidRPr="002C15AF">
        <w:rPr>
          <w:rFonts w:cstheme="minorHAnsi"/>
          <w:sz w:val="22"/>
          <w:szCs w:val="22"/>
        </w:rPr>
        <w:t xml:space="preserve">he focus of the analysis and the paper was on arguments against </w:t>
      </w:r>
      <w:r w:rsidR="00D97DA5" w:rsidRPr="002C15AF">
        <w:rPr>
          <w:rFonts w:cstheme="minorHAnsi"/>
          <w:sz w:val="22"/>
          <w:szCs w:val="22"/>
        </w:rPr>
        <w:t xml:space="preserve">the ban.  </w:t>
      </w:r>
      <w:r w:rsidR="002E5A25" w:rsidRPr="002C15AF">
        <w:rPr>
          <w:rFonts w:cstheme="minorHAnsi"/>
          <w:sz w:val="22"/>
          <w:szCs w:val="22"/>
        </w:rPr>
        <w:t xml:space="preserve"> A valuable addition to findings presented in this paper would be a further analysis mapping the actors involved and quoted in the news coverage</w:t>
      </w:r>
      <w:r w:rsidR="007F44D2" w:rsidRPr="002C15AF">
        <w:rPr>
          <w:rFonts w:cstheme="minorHAnsi"/>
          <w:sz w:val="22"/>
          <w:szCs w:val="22"/>
        </w:rPr>
        <w:t xml:space="preserve"> presenting arguments against the ban.</w:t>
      </w:r>
      <w:r w:rsidR="002E5A25" w:rsidRPr="002C15AF">
        <w:rPr>
          <w:rFonts w:cstheme="minorHAnsi"/>
          <w:sz w:val="22"/>
          <w:szCs w:val="22"/>
        </w:rPr>
        <w:t xml:space="preserve"> </w:t>
      </w:r>
    </w:p>
    <w:p w14:paraId="7B3661DD" w14:textId="57EF0A3F" w:rsidR="00EB1FAA" w:rsidRPr="002C15AF" w:rsidRDefault="00EB1FAA" w:rsidP="00C407EB">
      <w:pPr>
        <w:pStyle w:val="CommentText"/>
        <w:spacing w:after="0" w:line="360" w:lineRule="auto"/>
        <w:contextualSpacing/>
        <w:rPr>
          <w:rFonts w:cstheme="minorHAnsi"/>
          <w:sz w:val="22"/>
          <w:szCs w:val="22"/>
        </w:rPr>
      </w:pPr>
    </w:p>
    <w:p w14:paraId="223DE383" w14:textId="0FE17208" w:rsidR="005E2C36" w:rsidRPr="002C15AF" w:rsidRDefault="005E2C36" w:rsidP="00901906">
      <w:pPr>
        <w:pStyle w:val="CommentText"/>
        <w:spacing w:after="0" w:line="360" w:lineRule="auto"/>
        <w:contextualSpacing/>
        <w:rPr>
          <w:rFonts w:cstheme="minorHAnsi"/>
          <w:b/>
          <w:i/>
          <w:sz w:val="22"/>
          <w:szCs w:val="22"/>
        </w:rPr>
      </w:pPr>
      <w:r w:rsidRPr="002C15AF">
        <w:rPr>
          <w:rFonts w:cstheme="minorHAnsi"/>
          <w:b/>
          <w:i/>
          <w:sz w:val="22"/>
          <w:szCs w:val="22"/>
        </w:rPr>
        <w:t xml:space="preserve">4.4 Implications for policy and practice </w:t>
      </w:r>
      <w:r w:rsidR="00901906" w:rsidRPr="002C15AF">
        <w:rPr>
          <w:rFonts w:cstheme="minorHAnsi"/>
          <w:b/>
          <w:i/>
          <w:sz w:val="22"/>
          <w:szCs w:val="22"/>
        </w:rPr>
        <w:t>–</w:t>
      </w:r>
      <w:r w:rsidRPr="002C15AF">
        <w:rPr>
          <w:rFonts w:cstheme="minorHAnsi"/>
          <w:b/>
          <w:i/>
          <w:sz w:val="22"/>
          <w:szCs w:val="22"/>
        </w:rPr>
        <w:t xml:space="preserve"> </w:t>
      </w:r>
      <w:r w:rsidR="00D0125D" w:rsidRPr="002C15AF">
        <w:rPr>
          <w:rFonts w:cstheme="minorHAnsi"/>
          <w:b/>
          <w:i/>
          <w:sz w:val="22"/>
          <w:szCs w:val="22"/>
        </w:rPr>
        <w:t>p</w:t>
      </w:r>
      <w:r w:rsidRPr="002C15AF">
        <w:rPr>
          <w:rFonts w:cstheme="minorHAnsi"/>
          <w:b/>
          <w:i/>
          <w:sz w:val="22"/>
          <w:szCs w:val="22"/>
        </w:rPr>
        <w:t xml:space="preserve">re-empting </w:t>
      </w:r>
      <w:r w:rsidR="009B283D" w:rsidRPr="002C15AF">
        <w:rPr>
          <w:rFonts w:cstheme="minorHAnsi"/>
          <w:b/>
          <w:i/>
          <w:sz w:val="22"/>
          <w:szCs w:val="22"/>
        </w:rPr>
        <w:t xml:space="preserve">and countering </w:t>
      </w:r>
      <w:r w:rsidRPr="002C15AF">
        <w:rPr>
          <w:rFonts w:cstheme="minorHAnsi"/>
          <w:b/>
          <w:i/>
          <w:sz w:val="22"/>
          <w:szCs w:val="22"/>
        </w:rPr>
        <w:t>opposition</w:t>
      </w:r>
    </w:p>
    <w:p w14:paraId="0B0E36E4" w14:textId="77777777" w:rsidR="006B3301" w:rsidRPr="002C15AF" w:rsidRDefault="00BC30E8" w:rsidP="006B3301">
      <w:pPr>
        <w:spacing w:line="360" w:lineRule="auto"/>
        <w:contextualSpacing/>
        <w:rPr>
          <w:rFonts w:cstheme="minorHAnsi"/>
          <w:color w:val="000000"/>
          <w:shd w:val="clear" w:color="auto" w:fill="FFFFFF"/>
        </w:rPr>
      </w:pPr>
      <w:r w:rsidRPr="002C15AF">
        <w:rPr>
          <w:rFonts w:cstheme="minorHAnsi"/>
        </w:rPr>
        <w:t xml:space="preserve">The </w:t>
      </w:r>
      <w:r w:rsidR="006B3301" w:rsidRPr="002C15AF">
        <w:rPr>
          <w:rFonts w:cstheme="minorHAnsi"/>
        </w:rPr>
        <w:t>restrictions were</w:t>
      </w:r>
      <w:r w:rsidRPr="002C15AF">
        <w:rPr>
          <w:rFonts w:cstheme="minorHAnsi"/>
        </w:rPr>
        <w:t xml:space="preserve"> extensively and vigorously criticised</w:t>
      </w:r>
      <w:r w:rsidR="00B663E7" w:rsidRPr="002C15AF">
        <w:rPr>
          <w:rFonts w:cstheme="minorHAnsi"/>
        </w:rPr>
        <w:t>.</w:t>
      </w:r>
      <w:r w:rsidR="00932CD0" w:rsidRPr="002C15AF">
        <w:rPr>
          <w:rFonts w:cstheme="minorHAnsi"/>
        </w:rPr>
        <w:t xml:space="preserve">  </w:t>
      </w:r>
      <w:r w:rsidR="008812D3" w:rsidRPr="002C15AF">
        <w:rPr>
          <w:rFonts w:cstheme="minorHAnsi"/>
          <w:color w:val="000000" w:themeColor="text1"/>
        </w:rPr>
        <w:t>Such criticism can</w:t>
      </w:r>
      <w:r w:rsidR="004C45AD" w:rsidRPr="002C15AF">
        <w:rPr>
          <w:rFonts w:cstheme="minorHAnsi"/>
          <w:color w:val="000000" w:themeColor="text1"/>
        </w:rPr>
        <w:t xml:space="preserve">, </w:t>
      </w:r>
      <w:r w:rsidR="007D73BE" w:rsidRPr="002C15AF">
        <w:rPr>
          <w:rFonts w:cstheme="minorHAnsi"/>
          <w:color w:val="000000" w:themeColor="text1"/>
        </w:rPr>
        <w:t>and is indeed intended to,</w:t>
      </w:r>
      <w:r w:rsidR="008812D3" w:rsidRPr="002C15AF">
        <w:rPr>
          <w:rFonts w:cstheme="minorHAnsi"/>
          <w:color w:val="000000" w:themeColor="text1"/>
        </w:rPr>
        <w:t xml:space="preserve"> impact negatively on public perceptions and subsequently on public acceptability, which may result in a reduced impact for th</w:t>
      </w:r>
      <w:r w:rsidR="00F0457F" w:rsidRPr="002C15AF">
        <w:rPr>
          <w:rFonts w:cstheme="minorHAnsi"/>
          <w:color w:val="000000" w:themeColor="text1"/>
        </w:rPr>
        <w:t xml:space="preserve">e </w:t>
      </w:r>
      <w:r w:rsidR="008812D3" w:rsidRPr="002C15AF">
        <w:rPr>
          <w:rFonts w:cstheme="minorHAnsi"/>
          <w:color w:val="000000" w:themeColor="text1"/>
        </w:rPr>
        <w:t xml:space="preserve">intervention </w:t>
      </w:r>
      <w:r w:rsidR="008812D3" w:rsidRPr="002C15AF">
        <w:rPr>
          <w:rFonts w:cstheme="minorHAnsi"/>
          <w:color w:val="000000" w:themeColor="text1"/>
        </w:rPr>
        <w:fldChar w:fldCharType="begin"/>
      </w:r>
      <w:r w:rsidR="00C00B26" w:rsidRPr="002C15AF">
        <w:rPr>
          <w:rFonts w:cstheme="minorHAnsi"/>
          <w:color w:val="000000" w:themeColor="text1"/>
        </w:rPr>
        <w:instrText xml:space="preserve"> ADDIN EN.CITE &lt;EndNote&gt;&lt;Cite&gt;&lt;Author&gt;Petticrew&lt;/Author&gt;&lt;Year&gt;2017&lt;/Year&gt;&lt;RecNum&gt;245&lt;/RecNum&gt;&lt;DisplayText&gt;(Petticrew et al., 2017)&lt;/DisplayText&gt;&lt;record&gt;&lt;rec-number&gt;245&lt;/rec-number&gt;&lt;foreign-keys&gt;&lt;key app="EN" db-id="wz0s5vxeow0299ew9xqvdsw7t0xf9w02z5wt" timestamp="1581359975"&gt;245&lt;/key&gt;&lt;/foreign-keys&gt;&lt;ref-type name="Journal Article"&gt;17&lt;/ref-type&gt;&lt;contributors&gt;&lt;authors&gt;&lt;author&gt;Petticrew, M.&lt;/author&gt;&lt;author&gt;Vittal Katikireddi, S.&lt;/author&gt;&lt;author&gt;Knai, C.&lt;/author&gt;&lt;author&gt;Cassidy, R.&lt;/author&gt;&lt;author&gt;Maani Hessari, N.&lt;/author&gt;&lt;author&gt;Thomas, J.&lt;/author&gt;&lt;author&gt;Weishaar, H.&lt;/author&gt;&lt;/authors&gt;&lt;/contributors&gt;&lt;titles&gt;&lt;title&gt;‘Nothing can be done until everything is done’: the use of complexity arguments by food, beverage, alcohol and gambling industries&lt;/title&gt;&lt;secondary-title&gt;Journal of Epidemiology and Community Health&lt;/secondary-title&gt;&lt;/titles&gt;&lt;periodical&gt;&lt;full-title&gt;Journal of Epidemiology and Community Health&lt;/full-title&gt;&lt;/periodical&gt;&lt;pages&gt;1078-1083&lt;/pages&gt;&lt;volume&gt;71&lt;/volume&gt;&lt;number&gt;11&lt;/number&gt;&lt;dates&gt;&lt;year&gt;2017&lt;/year&gt;&lt;/dates&gt;&lt;urls&gt;&lt;/urls&gt;&lt;/record&gt;&lt;/Cite&gt;&lt;/EndNote&gt;</w:instrText>
      </w:r>
      <w:r w:rsidR="008812D3" w:rsidRPr="002C15AF">
        <w:rPr>
          <w:rFonts w:cstheme="minorHAnsi"/>
          <w:color w:val="000000" w:themeColor="text1"/>
        </w:rPr>
        <w:fldChar w:fldCharType="separate"/>
      </w:r>
      <w:r w:rsidR="00C00B26" w:rsidRPr="002C15AF">
        <w:rPr>
          <w:rFonts w:cstheme="minorHAnsi"/>
          <w:noProof/>
          <w:color w:val="000000" w:themeColor="text1"/>
        </w:rPr>
        <w:t>(Petticrew et al., 2017)</w:t>
      </w:r>
      <w:r w:rsidR="008812D3" w:rsidRPr="002C15AF">
        <w:rPr>
          <w:rFonts w:cstheme="minorHAnsi"/>
          <w:color w:val="000000" w:themeColor="text1"/>
        </w:rPr>
        <w:fldChar w:fldCharType="end"/>
      </w:r>
      <w:r w:rsidR="008812D3" w:rsidRPr="002C15AF">
        <w:rPr>
          <w:rFonts w:cstheme="minorHAnsi"/>
          <w:color w:val="000000" w:themeColor="text1"/>
        </w:rPr>
        <w:t>.</w:t>
      </w:r>
      <w:r w:rsidR="00DB3864" w:rsidRPr="002C15AF">
        <w:rPr>
          <w:rFonts w:cstheme="minorHAnsi"/>
          <w:color w:val="000000" w:themeColor="text1"/>
        </w:rPr>
        <w:t xml:space="preserve">  </w:t>
      </w:r>
      <w:r w:rsidR="00BA5EA8" w:rsidRPr="002C15AF">
        <w:rPr>
          <w:rFonts w:cstheme="minorHAnsi"/>
          <w:color w:val="000000"/>
          <w:shd w:val="clear" w:color="auto" w:fill="FFFFFF"/>
        </w:rPr>
        <w:t>Public acceptance of a specific policy solution is often a prerequisite for decision-makers to implement an evidence-based health policy</w:t>
      </w:r>
      <w:r w:rsidR="00975C0C" w:rsidRPr="002C15AF">
        <w:rPr>
          <w:rFonts w:cstheme="minorHAnsi"/>
          <w:color w:val="000000"/>
          <w:shd w:val="clear" w:color="auto" w:fill="FFFFFF"/>
        </w:rPr>
        <w:t xml:space="preserve">.  </w:t>
      </w:r>
      <w:r w:rsidR="007C012A" w:rsidRPr="002C15AF">
        <w:rPr>
          <w:rFonts w:cstheme="minorHAnsi"/>
          <w:color w:val="000000"/>
          <w:shd w:val="clear" w:color="auto" w:fill="FFFFFF"/>
        </w:rPr>
        <w:t>M</w:t>
      </w:r>
      <w:r w:rsidR="00BA5EA8" w:rsidRPr="002C15AF">
        <w:rPr>
          <w:rFonts w:cstheme="minorHAnsi"/>
          <w:color w:val="000000"/>
          <w:shd w:val="clear" w:color="auto" w:fill="FFFFFF"/>
        </w:rPr>
        <w:t xml:space="preserve">edia </w:t>
      </w:r>
      <w:r w:rsidR="006B3301" w:rsidRPr="002C15AF">
        <w:rPr>
          <w:rFonts w:cstheme="minorHAnsi"/>
          <w:color w:val="000000"/>
          <w:shd w:val="clear" w:color="auto" w:fill="FFFFFF"/>
        </w:rPr>
        <w:t>framing</w:t>
      </w:r>
      <w:r w:rsidR="00975C0C" w:rsidRPr="002C15AF">
        <w:rPr>
          <w:rFonts w:cstheme="minorHAnsi"/>
          <w:color w:val="000000"/>
          <w:shd w:val="clear" w:color="auto" w:fill="FFFFFF"/>
        </w:rPr>
        <w:t xml:space="preserve"> of health </w:t>
      </w:r>
      <w:r w:rsidR="00BA5EA8" w:rsidRPr="002C15AF">
        <w:rPr>
          <w:rFonts w:cstheme="minorHAnsi"/>
          <w:color w:val="000000"/>
          <w:shd w:val="clear" w:color="auto" w:fill="FFFFFF"/>
        </w:rPr>
        <w:t>problems and solutions can play a key role in determining that acceptability</w:t>
      </w:r>
      <w:r w:rsidR="007C012A" w:rsidRPr="002C15AF">
        <w:rPr>
          <w:rFonts w:cstheme="minorHAnsi"/>
          <w:color w:val="000000"/>
          <w:shd w:val="clear" w:color="auto" w:fill="FFFFFF"/>
        </w:rPr>
        <w:t xml:space="preserve"> and hence policy implementation</w:t>
      </w:r>
      <w:r w:rsidR="005C7170" w:rsidRPr="002C15AF">
        <w:rPr>
          <w:rFonts w:cstheme="minorHAnsi"/>
          <w:color w:val="000000"/>
          <w:shd w:val="clear" w:color="auto" w:fill="FFFFFF"/>
        </w:rPr>
        <w:t xml:space="preserve"> </w:t>
      </w:r>
      <w:r w:rsidR="00554180" w:rsidRPr="002C15AF">
        <w:rPr>
          <w:rFonts w:cstheme="minorHAnsi"/>
          <w:color w:val="000000"/>
          <w:shd w:val="clear" w:color="auto" w:fill="FFFFFF"/>
        </w:rPr>
        <w:fldChar w:fldCharType="begin"/>
      </w:r>
      <w:r w:rsidR="00C00B26" w:rsidRPr="002C15AF">
        <w:rPr>
          <w:rFonts w:cstheme="minorHAnsi"/>
          <w:color w:val="000000"/>
          <w:shd w:val="clear" w:color="auto" w:fill="FFFFFF"/>
        </w:rPr>
        <w:instrText xml:space="preserve"> ADDIN EN.CITE &lt;EndNote&gt;&lt;Cite&gt;&lt;Author&gt;Hilton&lt;/Author&gt;&lt;Year&gt;2019&lt;/Year&gt;&lt;RecNum&gt;301&lt;/RecNum&gt;&lt;DisplayText&gt;(Hilton et al., 2019)&lt;/DisplayText&gt;&lt;record&gt;&lt;rec-number&gt;301&lt;/rec-number&gt;&lt;foreign-keys&gt;&lt;key app="EN" db-id="wz0s5vxeow0299ew9xqvdsw7t0xf9w02z5wt" timestamp="1603377788"&gt;301&lt;/key&gt;&lt;/foreign-keys&gt;&lt;ref-type name="Journal Article"&gt;17&lt;/ref-type&gt;&lt;contributors&gt;&lt;authors&gt;&lt;author&gt;Hilton, S.&lt;/author&gt;&lt;author&gt;Buckton, C.H.&lt;/author&gt;&lt;author&gt;Patterson, C.&lt;/author&gt;&lt;author&gt;Katikireddi, S.V. &lt;/author&gt;&lt;author&gt;Lloyd-Williams, F.&lt;/author&gt;&lt;author&gt;Hyseni, L.&lt;/author&gt;&lt;author&gt;Elliott-Green, A.&lt;/author&gt;&lt;author&gt;Capewell, S. &lt;/author&gt;&lt;/authors&gt;&lt;/contributors&gt;&lt;titles&gt;&lt;title&gt;Following in the footsteps of tobacco and alcohol? Stakeholder discourse in UK newspaper coverage of the Soft Drinks Industry Levy. &lt;/title&gt;&lt;secondary-title&gt;Public Health Nutrition&lt;/secondary-title&gt;&lt;/titles&gt;&lt;periodical&gt;&lt;full-title&gt;Public Health Nutrition&lt;/full-title&gt;&lt;/periodical&gt;&lt;pages&gt;2317-2328&lt;/pages&gt;&lt;volume&gt;22&lt;/volume&gt;&lt;number&gt;12&lt;/number&gt;&lt;dates&gt;&lt;year&gt;2019&lt;/year&gt;&lt;/dates&gt;&lt;urls&gt;&lt;/urls&gt;&lt;/record&gt;&lt;/Cite&gt;&lt;/EndNote&gt;</w:instrText>
      </w:r>
      <w:r w:rsidR="00554180" w:rsidRPr="002C15AF">
        <w:rPr>
          <w:rFonts w:cstheme="minorHAnsi"/>
          <w:color w:val="000000"/>
          <w:shd w:val="clear" w:color="auto" w:fill="FFFFFF"/>
        </w:rPr>
        <w:fldChar w:fldCharType="separate"/>
      </w:r>
      <w:r w:rsidR="00C00B26" w:rsidRPr="002C15AF">
        <w:rPr>
          <w:rFonts w:cstheme="minorHAnsi"/>
          <w:noProof/>
          <w:color w:val="000000"/>
          <w:shd w:val="clear" w:color="auto" w:fill="FFFFFF"/>
        </w:rPr>
        <w:t>(Hilton et al., 2019)</w:t>
      </w:r>
      <w:r w:rsidR="00554180" w:rsidRPr="002C15AF">
        <w:rPr>
          <w:rFonts w:cstheme="minorHAnsi"/>
          <w:color w:val="000000"/>
          <w:shd w:val="clear" w:color="auto" w:fill="FFFFFF"/>
        </w:rPr>
        <w:fldChar w:fldCharType="end"/>
      </w:r>
      <w:r w:rsidR="00BA5EA8" w:rsidRPr="002C15AF">
        <w:rPr>
          <w:rFonts w:cstheme="minorHAnsi"/>
          <w:color w:val="000000"/>
          <w:shd w:val="clear" w:color="auto" w:fill="FFFFFF"/>
        </w:rPr>
        <w:t>.</w:t>
      </w:r>
      <w:r w:rsidR="005C57D6" w:rsidRPr="002C15AF">
        <w:rPr>
          <w:rFonts w:cstheme="minorHAnsi"/>
          <w:color w:val="000000"/>
          <w:shd w:val="clear" w:color="auto" w:fill="FFFFFF"/>
        </w:rPr>
        <w:t xml:space="preserve">  </w:t>
      </w:r>
    </w:p>
    <w:p w14:paraId="0E9AFB5F" w14:textId="77777777" w:rsidR="006B3301" w:rsidRPr="002C15AF" w:rsidRDefault="006B3301" w:rsidP="006B3301">
      <w:pPr>
        <w:spacing w:line="360" w:lineRule="auto"/>
        <w:contextualSpacing/>
        <w:rPr>
          <w:rFonts w:cstheme="minorHAnsi"/>
          <w:color w:val="000000"/>
          <w:shd w:val="clear" w:color="auto" w:fill="FFFFFF"/>
        </w:rPr>
      </w:pPr>
    </w:p>
    <w:p w14:paraId="5973E921" w14:textId="1D2CAE67" w:rsidR="00527B4B" w:rsidRDefault="00AC60AE" w:rsidP="006B3301">
      <w:pPr>
        <w:spacing w:line="360" w:lineRule="auto"/>
        <w:contextualSpacing/>
      </w:pPr>
      <w:r w:rsidRPr="002C15AF">
        <w:rPr>
          <w:rFonts w:cstheme="minorHAnsi"/>
          <w:color w:val="000000" w:themeColor="text1"/>
          <w:shd w:val="clear" w:color="auto" w:fill="FFFFFF"/>
        </w:rPr>
        <w:t xml:space="preserve">The stability of public attitudes towards public health interventions is little studied </w:t>
      </w:r>
      <w:r w:rsidRPr="002C15AF">
        <w:rPr>
          <w:rFonts w:cstheme="minorHAnsi"/>
          <w:color w:val="000000" w:themeColor="text1"/>
          <w:shd w:val="clear" w:color="auto" w:fill="FFFFFF"/>
        </w:rPr>
        <w:fldChar w:fldCharType="begin"/>
      </w:r>
      <w:r w:rsidR="0097738A" w:rsidRPr="002C15AF">
        <w:rPr>
          <w:rFonts w:cstheme="minorHAnsi"/>
          <w:color w:val="000000" w:themeColor="text1"/>
          <w:shd w:val="clear" w:color="auto" w:fill="FFFFFF"/>
        </w:rPr>
        <w:instrText xml:space="preserve"> ADDIN EN.CITE &lt;EndNote&gt;&lt;Cite&gt;&lt;Author&gt;Diepeveen&lt;/Author&gt;&lt;Year&gt;2013&lt;/Year&gt;&lt;RecNum&gt;316&lt;/RecNum&gt;&lt;DisplayText&gt;(Diepeveen et al., 2013)&lt;/DisplayText&gt;&lt;record&gt;&lt;rec-number&gt;316&lt;/rec-number&gt;&lt;foreign-keys&gt;&lt;key app="EN" db-id="2xerwtez52p9x8ep05ip59fgspsews0w00ew" timestamp="1595903849"&gt;316&lt;/key&gt;&lt;/foreign-keys&gt;&lt;ref-type name="Journal Article"&gt;17&lt;/ref-type&gt;&lt;contributors&gt;&lt;authors&gt;&lt;author&gt;Diepeveen, S.&lt;/author&gt;&lt;author&gt;Ling, T.&lt;/author&gt;&lt;author&gt;Suhrcke, M.&lt;/author&gt;&lt;author&gt;Roland, M.&lt;/author&gt;&lt;author&gt;Marteau, T.M.&lt;/author&gt;&lt;/authors&gt;&lt;/contributors&gt;&lt;titles&gt;&lt;title&gt;Public acceptability of government intervention to change health-related behaviours: a systematic review and narrative synthesis&lt;/title&gt;&lt;secondary-title&gt;BMC Public Health&lt;/secondary-title&gt;&lt;/titles&gt;&lt;periodical&gt;&lt;full-title&gt;BMC Public Health&lt;/full-title&gt;&lt;/periodical&gt;&lt;pages&gt;756&lt;/pages&gt;&lt;volume&gt;13&lt;/volume&gt;&lt;dates&gt;&lt;year&gt;2013&lt;/year&gt;&lt;/dates&gt;&lt;urls&gt;&lt;/urls&gt;&lt;/record&gt;&lt;/Cite&gt;&lt;/EndNote&gt;</w:instrText>
      </w:r>
      <w:r w:rsidRPr="002C15AF">
        <w:rPr>
          <w:rFonts w:cstheme="minorHAnsi"/>
          <w:color w:val="000000" w:themeColor="text1"/>
          <w:shd w:val="clear" w:color="auto" w:fill="FFFFFF"/>
        </w:rPr>
        <w:fldChar w:fldCharType="separate"/>
      </w:r>
      <w:r w:rsidR="0097738A" w:rsidRPr="002C15AF">
        <w:rPr>
          <w:rFonts w:cstheme="minorHAnsi"/>
          <w:noProof/>
          <w:color w:val="000000" w:themeColor="text1"/>
          <w:shd w:val="clear" w:color="auto" w:fill="FFFFFF"/>
        </w:rPr>
        <w:t>(Diepeveen et al., 2013)</w:t>
      </w:r>
      <w:r w:rsidRPr="002C15AF">
        <w:rPr>
          <w:rFonts w:cstheme="minorHAnsi"/>
          <w:color w:val="000000" w:themeColor="text1"/>
          <w:shd w:val="clear" w:color="auto" w:fill="FFFFFF"/>
        </w:rPr>
        <w:fldChar w:fldCharType="end"/>
      </w:r>
      <w:r w:rsidRPr="002C15AF">
        <w:rPr>
          <w:rFonts w:cstheme="minorHAnsi"/>
          <w:color w:val="000000" w:themeColor="text1"/>
          <w:shd w:val="clear" w:color="auto" w:fill="FFFFFF"/>
        </w:rPr>
        <w:t xml:space="preserve"> and c</w:t>
      </w:r>
      <w:r w:rsidRPr="002C15AF">
        <w:rPr>
          <w:rFonts w:cstheme="minorHAnsi"/>
          <w:color w:val="000000" w:themeColor="text1"/>
        </w:rPr>
        <w:t xml:space="preserve">areful consideration is required to anticipate and address aspects of interventions that may be easy targets for criticism </w:t>
      </w:r>
      <w:r w:rsidRPr="002C15AF">
        <w:rPr>
          <w:rFonts w:cstheme="minorHAnsi"/>
        </w:rPr>
        <w:fldChar w:fldCharType="begin"/>
      </w:r>
      <w:r w:rsidR="00C00B26" w:rsidRPr="002C15AF">
        <w:rPr>
          <w:rFonts w:cstheme="minorHAnsi"/>
        </w:rPr>
        <w:instrText xml:space="preserve"> ADDIN EN.CITE &lt;EndNote&gt;&lt;Cite&gt;&lt;Author&gt;Willmott&lt;/Author&gt;&lt;Year&gt;2015&lt;/Year&gt;&lt;RecNum&gt;314&lt;/RecNum&gt;&lt;DisplayText&gt;(Willmott, Womack, Hollingworth, &amp;amp; Campbell, 2015)&lt;/DisplayText&gt;&lt;record&gt;&lt;rec-number&gt;314&lt;/rec-number&gt;&lt;foreign-keys&gt;&lt;key app="EN" db-id="2xerwtez52p9x8ep05ip59fgspsews0w00ew" timestamp="1595902188"&gt;314&lt;/key&gt;&lt;/foreign-keys&gt;&lt;ref-type name="Journal Article"&gt;17&lt;/ref-type&gt;&lt;contributors&gt;&lt;authors&gt;&lt;author&gt;Willmott, M.&lt;/author&gt;&lt;author&gt;Womack, J.&lt;/author&gt;&lt;author&gt;Hollingworth, W.&lt;/author&gt;&lt;author&gt;Campbell, R.&lt;/author&gt;&lt;/authors&gt;&lt;/contributors&gt;&lt;titles&gt;&lt;title&gt;Making the case for investment in public health: experiences of Directors of Public Health in English local government&lt;/title&gt;&lt;secondary-title&gt;Journal of Public Health&lt;/secondary-title&gt;&lt;/titles&gt;&lt;periodical&gt;&lt;full-title&gt;Journal of Public Health&lt;/full-title&gt;&lt;/periodical&gt;&lt;pages&gt;237-242&lt;/pages&gt;&lt;volume&gt;38&lt;/volume&gt;&lt;dates&gt;&lt;year&gt;2015&lt;/year&gt;&lt;/dates&gt;&lt;urls&gt;&lt;/urls&gt;&lt;/record&gt;&lt;/Cite&gt;&lt;/EndNote&gt;</w:instrText>
      </w:r>
      <w:r w:rsidRPr="002C15AF">
        <w:rPr>
          <w:rFonts w:cstheme="minorHAnsi"/>
        </w:rPr>
        <w:fldChar w:fldCharType="separate"/>
      </w:r>
      <w:r w:rsidR="00C00B26" w:rsidRPr="002C15AF">
        <w:rPr>
          <w:rFonts w:cstheme="minorHAnsi"/>
          <w:noProof/>
        </w:rPr>
        <w:t>(Willmott, Womack, Hollingworth, &amp; Campbell, 2015)</w:t>
      </w:r>
      <w:r w:rsidRPr="002C15AF">
        <w:rPr>
          <w:rFonts w:cstheme="minorHAnsi"/>
        </w:rPr>
        <w:fldChar w:fldCharType="end"/>
      </w:r>
      <w:r w:rsidRPr="002C15AF">
        <w:rPr>
          <w:rFonts w:cstheme="minorHAnsi"/>
        </w:rPr>
        <w:t xml:space="preserve">.  </w:t>
      </w:r>
      <w:r w:rsidR="007C108C" w:rsidRPr="002C15AF">
        <w:rPr>
          <w:rFonts w:cstheme="minorHAnsi"/>
        </w:rPr>
        <w:t>Hilton et al (2019) stress that public</w:t>
      </w:r>
      <w:r w:rsidR="007C108C" w:rsidRPr="005540FE">
        <w:rPr>
          <w:rFonts w:cstheme="minorHAnsi"/>
        </w:rPr>
        <w:t xml:space="preserve"> health advocates need to clearly and consistently identify the multiple outcomes of proposed intervention</w:t>
      </w:r>
      <w:r w:rsidR="00D97DA5">
        <w:rPr>
          <w:rFonts w:cstheme="minorHAnsi"/>
        </w:rPr>
        <w:t>s</w:t>
      </w:r>
      <w:r w:rsidR="007C108C" w:rsidRPr="005540FE">
        <w:rPr>
          <w:rFonts w:cstheme="minorHAnsi"/>
        </w:rPr>
        <w:t xml:space="preserve">. </w:t>
      </w:r>
      <w:r w:rsidR="00D97DA5">
        <w:rPr>
          <w:rFonts w:cstheme="minorHAnsi"/>
        </w:rPr>
        <w:t xml:space="preserve"> </w:t>
      </w:r>
      <w:r w:rsidR="007C108C" w:rsidRPr="005540FE">
        <w:rPr>
          <w:rFonts w:cstheme="minorHAnsi"/>
        </w:rPr>
        <w:t>For the TfL advertising restrictions this includes lessening advertising of HFSS products and, at the same time, increasing space for advertising of healthier foods and encouraging brands to reformulate and produce healthier versions of their products</w:t>
      </w:r>
      <w:r w:rsidR="008051D6" w:rsidRPr="00A044A7">
        <w:rPr>
          <w:rFonts w:cstheme="minorHAnsi"/>
        </w:rPr>
        <w:t xml:space="preserve">.  </w:t>
      </w:r>
      <w:r w:rsidR="00C6054F">
        <w:rPr>
          <w:rFonts w:cstheme="minorHAnsi"/>
        </w:rPr>
        <w:t>Currently,</w:t>
      </w:r>
      <w:r w:rsidR="002E06C6">
        <w:rPr>
          <w:rFonts w:cstheme="minorHAnsi"/>
        </w:rPr>
        <w:t xml:space="preserve"> there is not a strong evidence base on how to count</w:t>
      </w:r>
      <w:r w:rsidR="0020610C">
        <w:rPr>
          <w:rFonts w:cstheme="minorHAnsi"/>
        </w:rPr>
        <w:t>er industry frames.  The findings of this</w:t>
      </w:r>
      <w:r w:rsidR="00202C65">
        <w:rPr>
          <w:rFonts w:cstheme="minorHAnsi"/>
        </w:rPr>
        <w:t xml:space="preserve"> study offer some insights</w:t>
      </w:r>
      <w:r w:rsidR="0060405D">
        <w:rPr>
          <w:rFonts w:cstheme="minorHAnsi"/>
        </w:rPr>
        <w:t xml:space="preserve"> as to how public health interventions may be</w:t>
      </w:r>
      <w:r w:rsidR="000A48F4">
        <w:rPr>
          <w:rFonts w:cstheme="minorHAnsi"/>
        </w:rPr>
        <w:t xml:space="preserve"> opposed and how these oppositions could be negated.  </w:t>
      </w:r>
      <w:r w:rsidR="00D97DA5">
        <w:rPr>
          <w:rFonts w:cstheme="minorHAnsi"/>
        </w:rPr>
        <w:t>P</w:t>
      </w:r>
      <w:r w:rsidR="008051D6" w:rsidRPr="005540FE">
        <w:rPr>
          <w:rFonts w:cstheme="minorHAnsi"/>
        </w:rPr>
        <w:t>ublic health advocates should anticipate the strategic simplification (in this case the nirvana fallacy of comparing the ban with idealised and unspecified alternatives) and counter this by focusing on the health</w:t>
      </w:r>
      <w:r w:rsidR="00D97DA5">
        <w:rPr>
          <w:rFonts w:cstheme="minorHAnsi"/>
        </w:rPr>
        <w:t>-</w:t>
      </w:r>
      <w:r w:rsidR="008051D6" w:rsidRPr="005540FE">
        <w:rPr>
          <w:rFonts w:cstheme="minorHAnsi"/>
        </w:rPr>
        <w:t>harming effects of the problem that the intervention is addressing</w:t>
      </w:r>
      <w:r w:rsidR="009725E6" w:rsidRPr="00A044A7">
        <w:rPr>
          <w:rFonts w:cstheme="minorHAnsi"/>
        </w:rPr>
        <w:t xml:space="preserve"> </w:t>
      </w:r>
      <w:r w:rsidR="0092430A" w:rsidRPr="00A044A7">
        <w:rPr>
          <w:rFonts w:cstheme="minorHAnsi"/>
        </w:rPr>
        <w:fldChar w:fldCharType="begin"/>
      </w:r>
      <w:r w:rsidR="00C00B26">
        <w:rPr>
          <w:rFonts w:cstheme="minorHAnsi"/>
        </w:rPr>
        <w:instrText xml:space="preserve"> ADDIN EN.CITE &lt;EndNote&gt;&lt;Cite&gt;&lt;Author&gt;Hilton&lt;/Author&gt;&lt;Year&gt;2019&lt;/Year&gt;&lt;RecNum&gt;301&lt;/RecNum&gt;&lt;DisplayText&gt;(Hilton et al., 2019)&lt;/DisplayText&gt;&lt;record&gt;&lt;rec-number&gt;301&lt;/rec-number&gt;&lt;foreign-keys&gt;&lt;key app="EN" db-id="wz0s5vxeow0299ew9xqvdsw7t0xf9w02z5wt" timestamp="1603377788"&gt;301&lt;/key&gt;&lt;/foreign-keys&gt;&lt;ref-type name="Journal Article"&gt;17&lt;/ref-type&gt;&lt;contributors&gt;&lt;authors&gt;&lt;author&gt;Hilton, S.&lt;/author&gt;&lt;author&gt;Buckton, C.H.&lt;/author&gt;&lt;author&gt;Patterson, C.&lt;/author&gt;&lt;author&gt;Katikireddi, S.V. &lt;/author&gt;&lt;author&gt;Lloyd-Williams, F.&lt;/author&gt;&lt;author&gt;Hyseni, L.&lt;/author&gt;&lt;author&gt;Elliott-Green, A.&lt;/author&gt;&lt;author&gt;Capewell, S. &lt;/author&gt;&lt;/authors&gt;&lt;/contributors&gt;&lt;titles&gt;&lt;title&gt;Following in the footsteps of tobacco and alcohol? Stakeholder discourse in UK newspaper coverage of the Soft Drinks Industry Levy. &lt;/title&gt;&lt;secondary-title&gt;Public Health Nutrition&lt;/secondary-title&gt;&lt;/titles&gt;&lt;periodical&gt;&lt;full-title&gt;Public Health Nutrition&lt;/full-title&gt;&lt;/periodical&gt;&lt;pages&gt;2317-2328&lt;/pages&gt;&lt;volume&gt;22&lt;/volume&gt;&lt;number&gt;12&lt;/number&gt;&lt;dates&gt;&lt;year&gt;2019&lt;/year&gt;&lt;/dates&gt;&lt;urls&gt;&lt;/urls&gt;&lt;/record&gt;&lt;/Cite&gt;&lt;/EndNote&gt;</w:instrText>
      </w:r>
      <w:r w:rsidR="0092430A" w:rsidRPr="00A044A7">
        <w:rPr>
          <w:rFonts w:cstheme="minorHAnsi"/>
        </w:rPr>
        <w:fldChar w:fldCharType="separate"/>
      </w:r>
      <w:r w:rsidR="00C00B26">
        <w:rPr>
          <w:rFonts w:cstheme="minorHAnsi"/>
          <w:noProof/>
        </w:rPr>
        <w:t>(Hilton et al., 2019)</w:t>
      </w:r>
      <w:r w:rsidR="0092430A" w:rsidRPr="00A044A7">
        <w:rPr>
          <w:rFonts w:cstheme="minorHAnsi"/>
        </w:rPr>
        <w:fldChar w:fldCharType="end"/>
      </w:r>
      <w:r w:rsidR="005E1E11" w:rsidRPr="00A044A7">
        <w:rPr>
          <w:rFonts w:cstheme="minorHAnsi"/>
        </w:rPr>
        <w:t>.</w:t>
      </w:r>
      <w:r w:rsidR="00D97DA5">
        <w:rPr>
          <w:rFonts w:cstheme="minorHAnsi"/>
        </w:rPr>
        <w:t xml:space="preserve">  </w:t>
      </w:r>
      <w:r w:rsidR="00CA731B" w:rsidRPr="00F9642B">
        <w:rPr>
          <w:rFonts w:cstheme="minorHAnsi"/>
          <w:color w:val="000000" w:themeColor="text1"/>
        </w:rPr>
        <w:t>Arguments</w:t>
      </w:r>
      <w:r w:rsidR="006B3301">
        <w:rPr>
          <w:rFonts w:cstheme="minorHAnsi"/>
          <w:color w:val="000000" w:themeColor="text1"/>
        </w:rPr>
        <w:t xml:space="preserve"> in support of the restrictions</w:t>
      </w:r>
      <w:r w:rsidR="00CA731B" w:rsidRPr="00F9642B">
        <w:rPr>
          <w:rFonts w:cstheme="minorHAnsi"/>
          <w:color w:val="000000" w:themeColor="text1"/>
        </w:rPr>
        <w:t xml:space="preserve"> did</w:t>
      </w:r>
      <w:r w:rsidR="00A13247" w:rsidRPr="00F9642B">
        <w:rPr>
          <w:rFonts w:cstheme="minorHAnsi"/>
          <w:color w:val="000000" w:themeColor="text1"/>
        </w:rPr>
        <w:t xml:space="preserve"> incorporate </w:t>
      </w:r>
      <w:r w:rsidR="002E3DEC" w:rsidRPr="00F9642B">
        <w:rPr>
          <w:rFonts w:cstheme="minorHAnsi"/>
          <w:color w:val="000000" w:themeColor="text1"/>
        </w:rPr>
        <w:t xml:space="preserve">some of these </w:t>
      </w:r>
      <w:r w:rsidR="00DA7E23" w:rsidRPr="00F9642B">
        <w:rPr>
          <w:rFonts w:cstheme="minorHAnsi"/>
          <w:color w:val="000000" w:themeColor="text1"/>
        </w:rPr>
        <w:t>aspects – stressing the harms of childhood obesity</w:t>
      </w:r>
      <w:r w:rsidR="005F6425" w:rsidRPr="00F9642B">
        <w:rPr>
          <w:rFonts w:cstheme="minorHAnsi"/>
          <w:color w:val="000000" w:themeColor="text1"/>
        </w:rPr>
        <w:t xml:space="preserve"> and presenting the ban as part of a suite</w:t>
      </w:r>
      <w:r w:rsidR="00F27D11" w:rsidRPr="00F9642B">
        <w:rPr>
          <w:rFonts w:cstheme="minorHAnsi"/>
          <w:color w:val="000000" w:themeColor="text1"/>
        </w:rPr>
        <w:t xml:space="preserve"> of measures.</w:t>
      </w:r>
      <w:r w:rsidR="00A667B7" w:rsidRPr="00F9642B">
        <w:rPr>
          <w:rFonts w:cstheme="minorHAnsi"/>
          <w:color w:val="000000" w:themeColor="text1"/>
        </w:rPr>
        <w:t xml:space="preserve"> </w:t>
      </w:r>
      <w:r w:rsidR="009556F5" w:rsidRPr="00F9642B">
        <w:rPr>
          <w:rFonts w:cstheme="minorHAnsi"/>
        </w:rPr>
        <w:t xml:space="preserve">For policymakers, child health, and particularly addressing childhood obesity, is a </w:t>
      </w:r>
      <w:r w:rsidR="009556F5" w:rsidRPr="00F9642B">
        <w:rPr>
          <w:rFonts w:cstheme="minorHAnsi"/>
        </w:rPr>
        <w:lastRenderedPageBreak/>
        <w:t xml:space="preserve">powerful justification for action </w:t>
      </w:r>
      <w:r w:rsidR="009556F5" w:rsidRPr="00F9642B">
        <w:rPr>
          <w:rFonts w:cstheme="minorHAnsi"/>
        </w:rPr>
        <w:fldChar w:fldCharType="begin"/>
      </w:r>
      <w:r w:rsidR="00C00B26">
        <w:rPr>
          <w:rFonts w:cstheme="minorHAnsi"/>
        </w:rPr>
        <w:instrText xml:space="preserve"> ADDIN EN.CITE &lt;EndNote&gt;&lt;Cite&gt;&lt;Author&gt;Keeble&lt;/Author&gt;&lt;Year&gt;2020&lt;/Year&gt;&lt;RecNum&gt;313&lt;/RecNum&gt;&lt;DisplayText&gt;(Keeble et al., 2020)&lt;/DisplayText&gt;&lt;record&gt;&lt;rec-number&gt;313&lt;/rec-number&gt;&lt;foreign-keys&gt;&lt;key app="EN" db-id="2xerwtez52p9x8ep05ip59fgspsews0w00ew" timestamp="1595899411"&gt;313&lt;/key&gt;&lt;/foreign-keys&gt;&lt;ref-type name="Journal Article"&gt;17&lt;/ref-type&gt;&lt;contributors&gt;&lt;authors&gt;&lt;author&gt;Keeble, M.&lt;/author&gt;&lt;author&gt;Burgoine, T.&lt;/author&gt;&lt;author&gt;White, M.&lt;/author&gt;&lt;author&gt;Summerbell, C.&lt;/author&gt;&lt;author&gt;Cummins, S.&lt;/author&gt;&lt;author&gt;Adams, J.&lt;/author&gt;&lt;/authors&gt;&lt;/contributors&gt;&lt;titles&gt;&lt;title&gt;Planning and Public Health professionals’ experiences of using the planning system to regulate hot food takeaway outlets in England: A qualitative study&lt;/title&gt;&lt;secondary-title&gt;Health and Place&lt;/secondary-title&gt;&lt;/titles&gt;&lt;periodical&gt;&lt;full-title&gt;Health and Place&lt;/full-title&gt;&lt;/periodical&gt;&lt;volume&gt;In Press&lt;/volume&gt;&lt;dates&gt;&lt;year&gt;2020&lt;/year&gt;&lt;/dates&gt;&lt;urls&gt;&lt;/urls&gt;&lt;/record&gt;&lt;/Cite&gt;&lt;/EndNote&gt;</w:instrText>
      </w:r>
      <w:r w:rsidR="009556F5" w:rsidRPr="00F9642B">
        <w:rPr>
          <w:rFonts w:cstheme="minorHAnsi"/>
        </w:rPr>
        <w:fldChar w:fldCharType="separate"/>
      </w:r>
      <w:r w:rsidR="00C00B26">
        <w:rPr>
          <w:rFonts w:cstheme="minorHAnsi"/>
          <w:noProof/>
        </w:rPr>
        <w:t>(Keeble et al., 2020)</w:t>
      </w:r>
      <w:r w:rsidR="009556F5" w:rsidRPr="00F9642B">
        <w:rPr>
          <w:rFonts w:cstheme="minorHAnsi"/>
        </w:rPr>
        <w:fldChar w:fldCharType="end"/>
      </w:r>
      <w:r w:rsidR="009556F5" w:rsidRPr="00F9642B">
        <w:rPr>
          <w:rFonts w:cstheme="minorHAnsi"/>
        </w:rPr>
        <w:t xml:space="preserve">.  </w:t>
      </w:r>
      <w:r w:rsidR="009556F5" w:rsidRPr="00F9642B">
        <w:t>Statutory regulation could help to achieve a reduction in exposure to HFSS advertising  and subsequently improve the health of children</w:t>
      </w:r>
      <w:r w:rsidR="00891D91">
        <w:t xml:space="preserve"> </w:t>
      </w:r>
      <w:r w:rsidR="00DC5B8F">
        <w:fldChar w:fldCharType="begin"/>
      </w:r>
      <w:r w:rsidR="00C00B26">
        <w:instrText xml:space="preserve"> ADDIN EN.CITE &lt;EndNote&gt;&lt;Cite&gt;&lt;Author&gt;Mytton&lt;/Author&gt;&lt;Year&gt;2020&lt;/Year&gt;&lt;RecNum&gt;331&lt;/RecNum&gt;&lt;DisplayText&gt;(Mytton et al., 2020)&lt;/DisplayText&gt;&lt;record&gt;&lt;rec-number&gt;331&lt;/rec-number&gt;&lt;foreign-keys&gt;&lt;key app="EN" db-id="wz0s5vxeow0299ew9xqvdsw7t0xf9w02z5wt" timestamp="1606408739"&gt;331&lt;/key&gt;&lt;/foreign-keys&gt;&lt;ref-type name="Journal Article"&gt;17&lt;/ref-type&gt;&lt;contributors&gt;&lt;authors&gt;&lt;author&gt;Mytton, O.T.&lt;/author&gt;&lt;author&gt;Boyland, E. &lt;/author&gt;&lt;author&gt;Adams, J. &lt;/author&gt;&lt;author&gt;Collins, B. &lt;/author&gt;&lt;author&gt;O’Connell, M.&lt;/author&gt;&lt;author&gt;Russell, S.J.&lt;/author&gt;&lt;author&gt;Smith, K.&lt;/author&gt;&lt;author&gt;Stroud, R.&lt;/author&gt;&lt;author&gt;Viner, R.M.&lt;/author&gt;&lt;author&gt;Cobiac, L.J.&lt;/author&gt;&lt;/authors&gt;&lt;/contributors&gt;&lt;titles&gt;&lt;title&gt;The potential health impact of restricting less-healthy food and beverage advertising on UK television between 05.30 and 21.00 hours: A modelling study&lt;/title&gt;&lt;secondary-title&gt;PLoS Medicine&lt;/secondary-title&gt;&lt;/titles&gt;&lt;periodical&gt;&lt;full-title&gt;PLoS Medicine&lt;/full-title&gt;&lt;/periodical&gt;&lt;volume&gt;17&lt;/volume&gt;&lt;number&gt;10&lt;/number&gt;&lt;section&gt;e1003212&lt;/section&gt;&lt;dates&gt;&lt;year&gt;2020&lt;/year&gt;&lt;/dates&gt;&lt;urls&gt;&lt;/urls&gt;&lt;/record&gt;&lt;/Cite&gt;&lt;/EndNote&gt;</w:instrText>
      </w:r>
      <w:r w:rsidR="00DC5B8F">
        <w:fldChar w:fldCharType="separate"/>
      </w:r>
      <w:r w:rsidR="00C00B26">
        <w:rPr>
          <w:noProof/>
        </w:rPr>
        <w:t>(Mytton et al., 2020)</w:t>
      </w:r>
      <w:r w:rsidR="00DC5B8F">
        <w:fldChar w:fldCharType="end"/>
      </w:r>
      <w:r w:rsidR="009556F5" w:rsidRPr="00F9642B">
        <w:t xml:space="preserve">.  </w:t>
      </w:r>
    </w:p>
    <w:p w14:paraId="505DAEB0" w14:textId="65E0F802" w:rsidR="009B283D" w:rsidRDefault="009B283D" w:rsidP="008B0272">
      <w:pPr>
        <w:spacing w:after="0" w:line="360" w:lineRule="auto"/>
        <w:contextualSpacing/>
      </w:pPr>
    </w:p>
    <w:p w14:paraId="47E9D41B" w14:textId="6AF6602D" w:rsidR="00285206" w:rsidRPr="00DC5B8F" w:rsidRDefault="00963424" w:rsidP="008B0272">
      <w:pPr>
        <w:spacing w:after="0" w:line="360" w:lineRule="auto"/>
        <w:contextualSpacing/>
      </w:pPr>
      <w:r>
        <w:rPr>
          <w:rFonts w:cstheme="minorHAnsi"/>
          <w:color w:val="000000" w:themeColor="text1"/>
        </w:rPr>
        <w:t xml:space="preserve">More </w:t>
      </w:r>
      <w:r w:rsidRPr="00963424">
        <w:rPr>
          <w:rFonts w:cstheme="minorHAnsi"/>
          <w:color w:val="000000" w:themeColor="text1"/>
        </w:rPr>
        <w:t xml:space="preserve">neo-liberal approaches to governance that position public health issues, including obesity, largely in terms of lifestyle risk and individual responsibility can overshadow and undermine arguments for structural change and regulation in the wider public interest </w:t>
      </w:r>
      <w:r w:rsidRPr="00963424">
        <w:rPr>
          <w:rFonts w:cstheme="minorHAnsi"/>
          <w:color w:val="000000" w:themeColor="text1"/>
        </w:rPr>
        <w:fldChar w:fldCharType="begin"/>
      </w:r>
      <w:r w:rsidR="000D3034">
        <w:rPr>
          <w:rFonts w:cstheme="minorHAnsi"/>
          <w:color w:val="000000" w:themeColor="text1"/>
        </w:rPr>
        <w:instrText xml:space="preserve"> ADDIN EN.CITE &lt;EndNote&gt;&lt;Cite&gt;&lt;Author&gt;Henderson&lt;/Author&gt;&lt;Year&gt;2009&lt;/Year&gt;&lt;RecNum&gt;297&lt;/RecNum&gt;&lt;DisplayText&gt;(Henderson, Coveney, Ward, &amp;amp; Taylor, 2009)&lt;/DisplayText&gt;&lt;record&gt;&lt;rec-number&gt;297&lt;/rec-number&gt;&lt;foreign-keys&gt;&lt;key app="EN" db-id="wz0s5vxeow0299ew9xqvdsw7t0xf9w02z5wt" timestamp="1602858830"&gt;297&lt;/key&gt;&lt;/foreign-keys&gt;&lt;ref-type name="Journal Article"&gt;17&lt;/ref-type&gt;&lt;contributors&gt;&lt;authors&gt;&lt;author&gt;Henderson, J.&lt;/author&gt;&lt;author&gt;Coveney, J.&lt;/author&gt;&lt;author&gt;Ward, P.&lt;/author&gt;&lt;author&gt;Taylor, A.&lt;/author&gt;&lt;/authors&gt;&lt;/contributors&gt;&lt;titles&gt;&lt;title&gt;Governing childhood obesity: Framing regulation of fast food advertising in the Australian print media&lt;/title&gt;&lt;secondary-title&gt;Social Science and Medicine&lt;/secondary-title&gt;&lt;/titles&gt;&lt;periodical&gt;&lt;full-title&gt;Social Science and Medicine&lt;/full-title&gt;&lt;/periodical&gt;&lt;pages&gt;1402-1408&lt;/pages&gt;&lt;volume&gt;69&lt;/volume&gt;&lt;dates&gt;&lt;year&gt;2009&lt;/year&gt;&lt;/dates&gt;&lt;urls&gt;&lt;/urls&gt;&lt;/record&gt;&lt;/Cite&gt;&lt;/EndNote&gt;</w:instrText>
      </w:r>
      <w:r w:rsidRPr="00963424">
        <w:rPr>
          <w:rFonts w:cstheme="minorHAnsi"/>
          <w:color w:val="000000" w:themeColor="text1"/>
        </w:rPr>
        <w:fldChar w:fldCharType="separate"/>
      </w:r>
      <w:r w:rsidR="000D3034">
        <w:rPr>
          <w:rFonts w:cstheme="minorHAnsi"/>
          <w:noProof/>
          <w:color w:val="000000" w:themeColor="text1"/>
        </w:rPr>
        <w:t>(Henderson, Coveney, Ward, &amp; Taylor, 2009)</w:t>
      </w:r>
      <w:r w:rsidRPr="00963424">
        <w:rPr>
          <w:rFonts w:cstheme="minorHAnsi"/>
          <w:color w:val="000000" w:themeColor="text1"/>
        </w:rPr>
        <w:fldChar w:fldCharType="end"/>
      </w:r>
      <w:r w:rsidRPr="00963424">
        <w:rPr>
          <w:rFonts w:cstheme="minorHAnsi"/>
          <w:color w:val="000000" w:themeColor="text1"/>
        </w:rPr>
        <w:t xml:space="preserve">.  </w:t>
      </w:r>
      <w:r w:rsidR="00367CAF">
        <w:rPr>
          <w:rFonts w:cstheme="minorHAnsi"/>
          <w:color w:val="000000" w:themeColor="text1"/>
        </w:rPr>
        <w:t>Population interventions</w:t>
      </w:r>
      <w:r w:rsidR="00FD3FAE">
        <w:rPr>
          <w:rFonts w:cstheme="minorHAnsi"/>
          <w:color w:val="000000" w:themeColor="text1"/>
        </w:rPr>
        <w:t xml:space="preserve"> that po</w:t>
      </w:r>
      <w:r w:rsidR="00F9034E">
        <w:rPr>
          <w:rFonts w:cstheme="minorHAnsi"/>
          <w:color w:val="000000" w:themeColor="text1"/>
        </w:rPr>
        <w:t xml:space="preserve">sition public </w:t>
      </w:r>
      <w:r w:rsidR="00F9034E" w:rsidRPr="00432660">
        <w:rPr>
          <w:rFonts w:cstheme="minorHAnsi"/>
          <w:color w:val="000000" w:themeColor="text1"/>
        </w:rPr>
        <w:t>health issues in terms of individual responsibility tend to require that individuals use a high level of agency to benefit.</w:t>
      </w:r>
      <w:r w:rsidR="00066309" w:rsidRPr="00432660">
        <w:rPr>
          <w:rFonts w:cstheme="minorHAnsi"/>
          <w:color w:val="000000" w:themeColor="text1"/>
        </w:rPr>
        <w:t xml:space="preserve">  </w:t>
      </w:r>
      <w:r w:rsidR="00F16882" w:rsidRPr="00432660">
        <w:rPr>
          <w:rFonts w:cstheme="minorHAnsi"/>
          <w:color w:val="000000" w:themeColor="text1"/>
        </w:rPr>
        <w:t>By contrast, p</w:t>
      </w:r>
      <w:r w:rsidR="00066309" w:rsidRPr="00432660">
        <w:rPr>
          <w:rFonts w:cstheme="minorHAnsi"/>
          <w:color w:val="000000" w:themeColor="text1"/>
        </w:rPr>
        <w:t>opulation interventions that require individuals to use a low level of agency</w:t>
      </w:r>
      <w:r w:rsidR="00314BF9" w:rsidRPr="00432660">
        <w:rPr>
          <w:rFonts w:cstheme="minorHAnsi"/>
          <w:color w:val="000000" w:themeColor="text1"/>
        </w:rPr>
        <w:t xml:space="preserve"> to benefit</w:t>
      </w:r>
      <w:r w:rsidR="00C40897" w:rsidRPr="00432660">
        <w:rPr>
          <w:rFonts w:cstheme="minorHAnsi"/>
          <w:color w:val="000000" w:themeColor="text1"/>
        </w:rPr>
        <w:t>, like the TfL</w:t>
      </w:r>
      <w:r w:rsidR="00314BF9" w:rsidRPr="00432660">
        <w:rPr>
          <w:rFonts w:cstheme="minorHAnsi"/>
          <w:color w:val="000000" w:themeColor="text1"/>
        </w:rPr>
        <w:t xml:space="preserve"> advertising </w:t>
      </w:r>
      <w:r w:rsidR="006B3301">
        <w:rPr>
          <w:rFonts w:cstheme="minorHAnsi"/>
          <w:color w:val="000000" w:themeColor="text1"/>
        </w:rPr>
        <w:t>restrictions,</w:t>
      </w:r>
      <w:r w:rsidR="00314BF9" w:rsidRPr="00432660">
        <w:rPr>
          <w:rFonts w:cstheme="minorHAnsi"/>
          <w:color w:val="000000" w:themeColor="text1"/>
        </w:rPr>
        <w:t xml:space="preserve"> </w:t>
      </w:r>
      <w:r w:rsidR="00A60337" w:rsidRPr="00432660">
        <w:rPr>
          <w:rFonts w:cstheme="minorHAnsi"/>
          <w:color w:val="000000" w:themeColor="text1"/>
        </w:rPr>
        <w:t xml:space="preserve">are more equitable and likely to be more effective.  </w:t>
      </w:r>
      <w:r w:rsidR="00246478" w:rsidRPr="00432660">
        <w:rPr>
          <w:rFonts w:cstheme="minorHAnsi"/>
          <w:color w:val="202020"/>
          <w:shd w:val="clear" w:color="auto" w:fill="FFFFFF"/>
        </w:rPr>
        <w:t>The amount of agency individuals must use to benefit from an intervention is a fundamental determinant of how, and for whom, it will work</w:t>
      </w:r>
      <w:r w:rsidR="0019506E" w:rsidRPr="00432660">
        <w:rPr>
          <w:rFonts w:cstheme="minorHAnsi"/>
          <w:color w:val="202020"/>
          <w:shd w:val="clear" w:color="auto" w:fill="FFFFFF"/>
        </w:rPr>
        <w:t>. High-agency population interventions may reinforce socioeconomic inequalities</w:t>
      </w:r>
      <w:r w:rsidR="005D36A0" w:rsidRPr="00432660">
        <w:rPr>
          <w:rFonts w:cstheme="minorHAnsi"/>
          <w:color w:val="202020"/>
          <w:shd w:val="clear" w:color="auto" w:fill="FFFFFF"/>
        </w:rPr>
        <w:t>, while low-agency interventions</w:t>
      </w:r>
      <w:r w:rsidR="00432660" w:rsidRPr="00432660">
        <w:rPr>
          <w:rFonts w:cstheme="minorHAnsi"/>
          <w:color w:val="202020"/>
          <w:shd w:val="clear" w:color="auto" w:fill="FFFFFF"/>
        </w:rPr>
        <w:t xml:space="preserve"> are </w:t>
      </w:r>
      <w:r w:rsidR="00901906" w:rsidRPr="00432660">
        <w:rPr>
          <w:rFonts w:cstheme="minorHAnsi"/>
          <w:color w:val="202020"/>
          <w:shd w:val="clear" w:color="auto" w:fill="FFFFFF"/>
        </w:rPr>
        <w:t>mo</w:t>
      </w:r>
      <w:r w:rsidR="00901906">
        <w:rPr>
          <w:rFonts w:cstheme="minorHAnsi"/>
          <w:color w:val="202020"/>
          <w:shd w:val="clear" w:color="auto" w:fill="FFFFFF"/>
        </w:rPr>
        <w:t>re</w:t>
      </w:r>
      <w:r w:rsidR="00901906" w:rsidRPr="00432660">
        <w:rPr>
          <w:rFonts w:cstheme="minorHAnsi"/>
          <w:color w:val="202020"/>
          <w:shd w:val="clear" w:color="auto" w:fill="FFFFFF"/>
        </w:rPr>
        <w:t xml:space="preserve"> </w:t>
      </w:r>
      <w:r w:rsidR="00432660" w:rsidRPr="00432660">
        <w:rPr>
          <w:rFonts w:cstheme="minorHAnsi"/>
          <w:color w:val="202020"/>
          <w:shd w:val="clear" w:color="auto" w:fill="FFFFFF"/>
        </w:rPr>
        <w:t>likely to achieve the twin public health aims of preventing disease and minimising inequalities</w:t>
      </w:r>
      <w:r w:rsidR="00432660">
        <w:rPr>
          <w:rFonts w:cstheme="minorHAnsi"/>
          <w:color w:val="202020"/>
          <w:shd w:val="clear" w:color="auto" w:fill="FFFFFF"/>
        </w:rPr>
        <w:t xml:space="preserve"> </w:t>
      </w:r>
      <w:r w:rsidR="000F0673">
        <w:rPr>
          <w:rFonts w:cstheme="minorHAnsi"/>
          <w:color w:val="202020"/>
          <w:shd w:val="clear" w:color="auto" w:fill="FFFFFF"/>
        </w:rPr>
        <w:fldChar w:fldCharType="begin"/>
      </w:r>
      <w:r w:rsidR="00C5495E">
        <w:rPr>
          <w:rFonts w:cstheme="minorHAnsi"/>
          <w:color w:val="202020"/>
          <w:shd w:val="clear" w:color="auto" w:fill="FFFFFF"/>
        </w:rPr>
        <w:instrText xml:space="preserve"> ADDIN EN.CITE &lt;EndNote&gt;&lt;Cite&gt;&lt;Author&gt;Adams&lt;/Author&gt;&lt;Year&gt;2016&lt;/Year&gt;&lt;RecNum&gt;330&lt;/RecNum&gt;&lt;DisplayText&gt;(Adams et al., 2016)&lt;/DisplayText&gt;&lt;record&gt;&lt;rec-number&gt;330&lt;/rec-number&gt;&lt;foreign-keys&gt;&lt;key app="EN" db-id="wz0s5vxeow0299ew9xqvdsw7t0xf9w02z5wt" timestamp="1606407547"&gt;330&lt;/key&gt;&lt;/foreign-keys&gt;&lt;ref-type name="Journal Article"&gt;17&lt;/ref-type&gt;&lt;contributors&gt;&lt;authors&gt;&lt;author&gt;Adams, J.&lt;/author&gt;&lt;author&gt;Mytton, O.&lt;/author&gt;&lt;author&gt;White, M.&lt;/author&gt;&lt;author&gt;Monsivais, P. &lt;/author&gt;&lt;/authors&gt;&lt;/contributors&gt;&lt;titles&gt;&lt;title&gt;Why Are Some Population Interventions for Diet and Obesity More Equitable and Effective Than Others? The Role of Individual Agency&lt;/title&gt;&lt;secondary-title&gt;PLoS Medicine&lt;/secondary-title&gt;&lt;/titles&gt;&lt;periodical&gt;&lt;full-title&gt;PLoS Medicine&lt;/full-title&gt;&lt;/periodical&gt;&lt;volume&gt;13&lt;/volume&gt;&lt;number&gt;5&lt;/number&gt;&lt;section&gt;e1002045&lt;/section&gt;&lt;dates&gt;&lt;year&gt;2016&lt;/year&gt;&lt;/dates&gt;&lt;urls&gt;&lt;/urls&gt;&lt;/record&gt;&lt;/Cite&gt;&lt;/EndNote&gt;</w:instrText>
      </w:r>
      <w:r w:rsidR="000F0673">
        <w:rPr>
          <w:rFonts w:cstheme="minorHAnsi"/>
          <w:color w:val="202020"/>
          <w:shd w:val="clear" w:color="auto" w:fill="FFFFFF"/>
        </w:rPr>
        <w:fldChar w:fldCharType="separate"/>
      </w:r>
      <w:r w:rsidR="00C5495E">
        <w:rPr>
          <w:rFonts w:cstheme="minorHAnsi"/>
          <w:noProof/>
          <w:color w:val="202020"/>
          <w:shd w:val="clear" w:color="auto" w:fill="FFFFFF"/>
        </w:rPr>
        <w:t>(Adams et al., 2016)</w:t>
      </w:r>
      <w:r w:rsidR="000F0673">
        <w:rPr>
          <w:rFonts w:cstheme="minorHAnsi"/>
          <w:color w:val="202020"/>
          <w:shd w:val="clear" w:color="auto" w:fill="FFFFFF"/>
        </w:rPr>
        <w:fldChar w:fldCharType="end"/>
      </w:r>
      <w:r w:rsidR="000F0673">
        <w:rPr>
          <w:rFonts w:cstheme="minorHAnsi"/>
          <w:color w:val="202020"/>
          <w:shd w:val="clear" w:color="auto" w:fill="FFFFFF"/>
        </w:rPr>
        <w:t>.</w:t>
      </w:r>
    </w:p>
    <w:p w14:paraId="5E3959A0" w14:textId="77777777" w:rsidR="00285206" w:rsidRDefault="00285206" w:rsidP="008B0272">
      <w:pPr>
        <w:spacing w:after="0" w:line="360" w:lineRule="auto"/>
        <w:contextualSpacing/>
        <w:rPr>
          <w:rFonts w:cstheme="minorHAnsi"/>
          <w:color w:val="000000" w:themeColor="text1"/>
        </w:rPr>
      </w:pPr>
    </w:p>
    <w:p w14:paraId="522EE6EF" w14:textId="2042911E" w:rsidR="002406AC" w:rsidRPr="00F9642B" w:rsidRDefault="002406AC" w:rsidP="00C25418">
      <w:pPr>
        <w:spacing w:line="360" w:lineRule="auto"/>
        <w:rPr>
          <w:b/>
        </w:rPr>
      </w:pPr>
      <w:r w:rsidRPr="00F9642B">
        <w:rPr>
          <w:b/>
        </w:rPr>
        <w:t>Authors’ contributions</w:t>
      </w:r>
    </w:p>
    <w:p w14:paraId="458E6051" w14:textId="13CF1695" w:rsidR="002406AC" w:rsidRDefault="00B401A8" w:rsidP="00C25418">
      <w:pPr>
        <w:spacing w:line="360" w:lineRule="auto"/>
      </w:pPr>
      <w:r w:rsidRPr="00F9642B">
        <w:t xml:space="preserve">All of the authors </w:t>
      </w:r>
      <w:r w:rsidR="000B1EDB">
        <w:t>made sub</w:t>
      </w:r>
      <w:r w:rsidR="008222DB">
        <w:t>stantial contri</w:t>
      </w:r>
      <w:r w:rsidR="003956E9">
        <w:t>butions to the design of the study and the analysis and interpretation of the findings</w:t>
      </w:r>
      <w:r w:rsidR="00231451">
        <w:t xml:space="preserve">.  All authors </w:t>
      </w:r>
      <w:r w:rsidRPr="00F9642B">
        <w:t xml:space="preserve">contributed to the development of the research questions.  CC led the </w:t>
      </w:r>
      <w:r w:rsidR="00472FE4" w:rsidRPr="00F9642B">
        <w:t>article</w:t>
      </w:r>
      <w:r w:rsidRPr="00F9642B">
        <w:t xml:space="preserve"> search, assisted by VE.  SC and CT </w:t>
      </w:r>
      <w:r w:rsidR="00472FE4" w:rsidRPr="00F9642B">
        <w:t>contributed to wider discussions to resolve discrep</w:t>
      </w:r>
      <w:r w:rsidR="00F92FE3" w:rsidRPr="00F9642B">
        <w:t>a</w:t>
      </w:r>
      <w:r w:rsidR="00472FE4" w:rsidRPr="00F9642B">
        <w:t xml:space="preserve">ncies over article selection. CC, CT, VE and SC conducted the thematic content analysis.  CT led the </w:t>
      </w:r>
      <w:r w:rsidR="005758DA" w:rsidRPr="00F9642B">
        <w:t xml:space="preserve">document analysis </w:t>
      </w:r>
      <w:r w:rsidR="00472FE4" w:rsidRPr="00F9642B">
        <w:t xml:space="preserve">with contributions from all the authors.  </w:t>
      </w:r>
      <w:r w:rsidR="00901906">
        <w:t xml:space="preserve">CT drafted the manuscript. </w:t>
      </w:r>
      <w:r w:rsidR="00472FE4" w:rsidRPr="00F9642B">
        <w:t>All authors re</w:t>
      </w:r>
      <w:r w:rsidR="00231451">
        <w:t>viewed</w:t>
      </w:r>
      <w:r w:rsidR="00472FE4" w:rsidRPr="00F9642B">
        <w:t xml:space="preserve"> </w:t>
      </w:r>
      <w:r w:rsidR="000E2DA2">
        <w:t>successive drafts</w:t>
      </w:r>
      <w:r w:rsidR="00231451">
        <w:t xml:space="preserve">, </w:t>
      </w:r>
      <w:r w:rsidR="000E2DA2">
        <w:t xml:space="preserve">provided substantive intellectual input, </w:t>
      </w:r>
      <w:r w:rsidR="00472FE4" w:rsidRPr="00F9642B">
        <w:t>and approved the final manuscript.</w:t>
      </w:r>
    </w:p>
    <w:p w14:paraId="467E2292" w14:textId="7FCF6190" w:rsidR="008443EB" w:rsidRDefault="008443EB" w:rsidP="00C25418">
      <w:pPr>
        <w:spacing w:line="360" w:lineRule="auto"/>
      </w:pPr>
    </w:p>
    <w:p w14:paraId="5A20A813" w14:textId="69C62475" w:rsidR="006128CB" w:rsidRDefault="006128CB" w:rsidP="00C25418">
      <w:pPr>
        <w:spacing w:line="360" w:lineRule="auto"/>
      </w:pPr>
    </w:p>
    <w:p w14:paraId="71718088" w14:textId="20670410" w:rsidR="002A711D" w:rsidRDefault="002A711D" w:rsidP="00C25418">
      <w:pPr>
        <w:spacing w:line="360" w:lineRule="auto"/>
      </w:pPr>
    </w:p>
    <w:p w14:paraId="2B13A69E" w14:textId="2E703A80" w:rsidR="002A711D" w:rsidRDefault="002A711D" w:rsidP="00C25418">
      <w:pPr>
        <w:spacing w:line="360" w:lineRule="auto"/>
      </w:pPr>
    </w:p>
    <w:p w14:paraId="22810044" w14:textId="3BF4BF81" w:rsidR="002A711D" w:rsidRDefault="002A711D" w:rsidP="00C25418">
      <w:pPr>
        <w:spacing w:line="360" w:lineRule="auto"/>
      </w:pPr>
    </w:p>
    <w:p w14:paraId="37639B5E" w14:textId="77777777" w:rsidR="002A711D" w:rsidRDefault="002A711D" w:rsidP="00C25418">
      <w:pPr>
        <w:spacing w:line="360" w:lineRule="auto"/>
      </w:pPr>
    </w:p>
    <w:p w14:paraId="66A4032A" w14:textId="77777777" w:rsidR="006128CB" w:rsidRDefault="006128CB" w:rsidP="00C25418">
      <w:pPr>
        <w:spacing w:line="360" w:lineRule="auto"/>
      </w:pPr>
    </w:p>
    <w:p w14:paraId="689F5B3E" w14:textId="47AACC89" w:rsidR="00A50475" w:rsidRPr="00F9642B" w:rsidRDefault="00A50475" w:rsidP="005A4863">
      <w:pPr>
        <w:spacing w:line="360" w:lineRule="auto"/>
      </w:pPr>
      <w:r w:rsidRPr="00F9642B">
        <w:rPr>
          <w:b/>
          <w:bCs/>
        </w:rPr>
        <w:lastRenderedPageBreak/>
        <w:t>R</w:t>
      </w:r>
      <w:r w:rsidR="00EB0510" w:rsidRPr="00F9642B">
        <w:rPr>
          <w:b/>
          <w:bCs/>
        </w:rPr>
        <w:t>eferences</w:t>
      </w:r>
    </w:p>
    <w:p w14:paraId="14F9B149" w14:textId="77777777" w:rsidR="00E802D3" w:rsidRPr="00E802D3" w:rsidRDefault="00A50475" w:rsidP="00E802D3">
      <w:pPr>
        <w:pStyle w:val="EndNoteBibliography"/>
        <w:spacing w:after="0"/>
        <w:ind w:left="720" w:hanging="720"/>
      </w:pPr>
      <w:r w:rsidRPr="00F9642B">
        <w:rPr>
          <w:noProof w:val="0"/>
          <w:lang w:val="en-GB"/>
        </w:rPr>
        <w:fldChar w:fldCharType="begin"/>
      </w:r>
      <w:r w:rsidRPr="00F9642B">
        <w:rPr>
          <w:noProof w:val="0"/>
          <w:lang w:val="en-GB"/>
        </w:rPr>
        <w:instrText xml:space="preserve"> ADDIN EN.REFLIST </w:instrText>
      </w:r>
      <w:r w:rsidRPr="00F9642B">
        <w:rPr>
          <w:noProof w:val="0"/>
          <w:lang w:val="en-GB"/>
        </w:rPr>
        <w:fldChar w:fldCharType="separate"/>
      </w:r>
      <w:r w:rsidR="00E802D3" w:rsidRPr="00E802D3">
        <w:t xml:space="preserve">Adams, J., Ganiti, E., &amp; White, M. (2011). Socio-economic differences in outdoor food advertising in a city in Northern England. </w:t>
      </w:r>
      <w:r w:rsidR="00E802D3" w:rsidRPr="00E802D3">
        <w:rPr>
          <w:i/>
        </w:rPr>
        <w:t>Public Health Nutrition, 14</w:t>
      </w:r>
      <w:r w:rsidR="00E802D3" w:rsidRPr="00E802D3">
        <w:t xml:space="preserve">(6), 945-950. </w:t>
      </w:r>
    </w:p>
    <w:p w14:paraId="25E44DDA" w14:textId="77777777" w:rsidR="00E802D3" w:rsidRPr="00E802D3" w:rsidRDefault="00E802D3" w:rsidP="00E802D3">
      <w:pPr>
        <w:pStyle w:val="EndNoteBibliography"/>
        <w:spacing w:after="0"/>
        <w:ind w:left="720" w:hanging="720"/>
      </w:pPr>
      <w:r w:rsidRPr="00E802D3">
        <w:t xml:space="preserve">Adams, J., Mytton, O., White, M., &amp; Monsivais, P. (2016). Why Are Some Population Interventions for Diet and Obesity More Equitable and Effective Than Others? The Role of Individual Agency. </w:t>
      </w:r>
      <w:r w:rsidRPr="00E802D3">
        <w:rPr>
          <w:i/>
        </w:rPr>
        <w:t>PLoS Medicine, 13</w:t>
      </w:r>
      <w:r w:rsidRPr="00E802D3">
        <w:t xml:space="preserve">(5). </w:t>
      </w:r>
    </w:p>
    <w:p w14:paraId="46110EA0" w14:textId="77777777" w:rsidR="00E802D3" w:rsidRPr="00E802D3" w:rsidRDefault="00E802D3" w:rsidP="00E802D3">
      <w:pPr>
        <w:pStyle w:val="EndNoteBibliography"/>
        <w:spacing w:after="0"/>
        <w:ind w:left="720" w:hanging="720"/>
      </w:pPr>
      <w:r w:rsidRPr="00E802D3">
        <w:t xml:space="preserve">Adams, J., Tyrrell, R., Adamson, A. J., &amp; White, M. (2012). Effect of Restrictions on Television Food Advertising to Children on Exposure to Advertisements for ‘Less Healthy’ Foods: Repeat Cross-Sectional Study. </w:t>
      </w:r>
      <w:r w:rsidRPr="00E802D3">
        <w:rPr>
          <w:i/>
        </w:rPr>
        <w:t>PLOS ONE, 7</w:t>
      </w:r>
      <w:r w:rsidRPr="00E802D3">
        <w:t xml:space="preserve">(2). </w:t>
      </w:r>
    </w:p>
    <w:p w14:paraId="5C96C00E" w14:textId="1F13BAD0" w:rsidR="00E802D3" w:rsidRPr="00E802D3" w:rsidRDefault="00E802D3" w:rsidP="00E802D3">
      <w:pPr>
        <w:pStyle w:val="EndNoteBibliography"/>
        <w:spacing w:after="0"/>
        <w:ind w:left="720" w:hanging="720"/>
      </w:pPr>
      <w:r w:rsidRPr="00E802D3">
        <w:t xml:space="preserve">Advertising Standards Authority. (2017). Food: HFSS Nutrient Profiling. Retrieved from </w:t>
      </w:r>
      <w:hyperlink r:id="rId17" w:anchor=":~:text=HFSS%20products%20are%20food%20and,as%20identified%20using%20nutrient%20profiling.&amp;text=Points%20are%20awarded%20for%20'A,content%2C%20fibre%20and%20protein" w:history="1">
        <w:r w:rsidRPr="00E802D3">
          <w:rPr>
            <w:rStyle w:val="Hyperlink"/>
          </w:rPr>
          <w:t>https://www.asa.org.uk/advice-online/food-hfss-nutrient-profiling.html#:~:text=HFSS%20products%20are%20food%20and,as%20identified%20using%20nutrient%20profiling.&amp;text=Points%20are%20awarded%20for%20'A,content%2C%20fibre%20and%20protein</w:t>
        </w:r>
      </w:hyperlink>
    </w:p>
    <w:p w14:paraId="2723D10E" w14:textId="77777777" w:rsidR="00E802D3" w:rsidRPr="00E802D3" w:rsidRDefault="00E802D3" w:rsidP="00E802D3">
      <w:pPr>
        <w:pStyle w:val="EndNoteBibliography"/>
        <w:spacing w:after="0"/>
        <w:ind w:left="720" w:hanging="720"/>
      </w:pPr>
      <w:r w:rsidRPr="00E802D3">
        <w:t xml:space="preserve">Bates, B. C. L., Nicholson, S., Page, P., Prentice, A., Steer, T., &amp; Swan, G. (2016). </w:t>
      </w:r>
      <w:r w:rsidRPr="00E802D3">
        <w:rPr>
          <w:i/>
        </w:rPr>
        <w:t>National Diet and Nutrition Survey Results from Years 5 and 6 (combined) of the Rolling Programme (2012/2013–2013/2014)</w:t>
      </w:r>
      <w:r w:rsidRPr="00E802D3">
        <w:t xml:space="preserve">. Retrieved from London: </w:t>
      </w:r>
    </w:p>
    <w:p w14:paraId="548A7D60" w14:textId="23D5F61D" w:rsidR="00E802D3" w:rsidRPr="00E802D3" w:rsidRDefault="00E802D3" w:rsidP="00E802D3">
      <w:pPr>
        <w:pStyle w:val="EndNoteBibliography"/>
        <w:spacing w:after="0"/>
        <w:ind w:left="720" w:hanging="720"/>
      </w:pPr>
      <w:r w:rsidRPr="00E802D3">
        <w:t xml:space="preserve">BBC News. (2012). Scotch Whisky Association challenges Scotland's minimum alcohol price law. Retrieved from </w:t>
      </w:r>
      <w:hyperlink r:id="rId18" w:history="1">
        <w:r w:rsidRPr="00E802D3">
          <w:rPr>
            <w:rStyle w:val="Hyperlink"/>
          </w:rPr>
          <w:t>https://www.bbc.co.uk/news/uk-scotland-scotland-politics-18898024</w:t>
        </w:r>
      </w:hyperlink>
    </w:p>
    <w:p w14:paraId="60A9B2C6" w14:textId="77777777" w:rsidR="00E802D3" w:rsidRPr="00E802D3" w:rsidRDefault="00E802D3" w:rsidP="00E802D3">
      <w:pPr>
        <w:pStyle w:val="EndNoteBibliography"/>
        <w:spacing w:after="0"/>
        <w:ind w:left="720" w:hanging="720"/>
      </w:pPr>
      <w:r w:rsidRPr="00E802D3">
        <w:t xml:space="preserve">Bero, L. (2003). Implications of the Tobacco Industry Documents for Public Health and Policy. </w:t>
      </w:r>
      <w:r w:rsidRPr="00E802D3">
        <w:rPr>
          <w:i/>
        </w:rPr>
        <w:t>Annual Review of Public Health, 24</w:t>
      </w:r>
      <w:r w:rsidRPr="00E802D3">
        <w:t xml:space="preserve">, 267-288. </w:t>
      </w:r>
    </w:p>
    <w:p w14:paraId="05C8ABC6" w14:textId="37AB1EA1" w:rsidR="00E802D3" w:rsidRPr="00E802D3" w:rsidRDefault="00E802D3" w:rsidP="00E802D3">
      <w:pPr>
        <w:pStyle w:val="EndNoteBibliography"/>
        <w:spacing w:after="0"/>
        <w:ind w:left="720" w:hanging="720"/>
      </w:pPr>
      <w:r w:rsidRPr="00E802D3">
        <w:t xml:space="preserve">Bhattacharya, A. (2017). Why we don't need the alcohol industry for a strong economy.  Retrieved from </w:t>
      </w:r>
      <w:hyperlink r:id="rId19" w:history="1">
        <w:r w:rsidRPr="00E802D3">
          <w:rPr>
            <w:rStyle w:val="Hyperlink"/>
          </w:rPr>
          <w:t>https://blogs.lse.ac.uk/politicsandpolicy/why-we-dont-need-the-alcohol-industry-for-a-strong-economy/</w:t>
        </w:r>
      </w:hyperlink>
      <w:r w:rsidRPr="00E802D3">
        <w:t>.</w:t>
      </w:r>
    </w:p>
    <w:p w14:paraId="694254A5" w14:textId="77777777" w:rsidR="00E802D3" w:rsidRPr="00E802D3" w:rsidRDefault="00E802D3" w:rsidP="00E802D3">
      <w:pPr>
        <w:pStyle w:val="EndNoteBibliography"/>
        <w:spacing w:after="0"/>
        <w:ind w:left="720" w:hanging="720"/>
      </w:pPr>
      <w:r w:rsidRPr="00E802D3">
        <w:t xml:space="preserve">Brownell, K. D., &amp; Warner, K. E. (2009). The Perils of Ignoring History: Big Tobacco Played Dirty and Millions Died. How Similar Is Big Food? </w:t>
      </w:r>
      <w:r w:rsidRPr="00E802D3">
        <w:rPr>
          <w:i/>
        </w:rPr>
        <w:t>The Milbank Quarterly, 87</w:t>
      </w:r>
      <w:r w:rsidRPr="00E802D3">
        <w:t xml:space="preserve">(1), 259-294. </w:t>
      </w:r>
    </w:p>
    <w:p w14:paraId="2E428BED" w14:textId="77777777" w:rsidR="00E802D3" w:rsidRPr="00E802D3" w:rsidRDefault="00E802D3" w:rsidP="00E802D3">
      <w:pPr>
        <w:pStyle w:val="EndNoteBibliography"/>
        <w:spacing w:after="0"/>
        <w:ind w:left="720" w:hanging="720"/>
      </w:pPr>
      <w:r w:rsidRPr="00E802D3">
        <w:t xml:space="preserve">Buijzen, M., Schuurman, J., &amp; Bomhof, E. (2008). Associations between children's television advertising exposure and their food consumption patterns: A household diary–survey study. </w:t>
      </w:r>
      <w:r w:rsidRPr="00E802D3">
        <w:rPr>
          <w:i/>
        </w:rPr>
        <w:t>Appetite, 50</w:t>
      </w:r>
      <w:r w:rsidRPr="00E802D3">
        <w:t xml:space="preserve">(2-3), 231-239. </w:t>
      </w:r>
    </w:p>
    <w:p w14:paraId="6010A757" w14:textId="7DC424D4" w:rsidR="00E802D3" w:rsidRPr="00E802D3" w:rsidRDefault="00E802D3" w:rsidP="00E802D3">
      <w:pPr>
        <w:pStyle w:val="EndNoteBibliography"/>
        <w:spacing w:after="0"/>
        <w:ind w:left="720" w:hanging="720"/>
      </w:pPr>
      <w:r w:rsidRPr="00E802D3">
        <w:t xml:space="preserve">Cabinet Office, Department of Health and Social Care, &amp; HM Treasury. (2017). </w:t>
      </w:r>
      <w:r w:rsidRPr="00E802D3">
        <w:rPr>
          <w:i/>
        </w:rPr>
        <w:t>Childhood obesity: a plan for action</w:t>
      </w:r>
      <w:r w:rsidRPr="00E802D3">
        <w:t xml:space="preserve">. Retrieved from </w:t>
      </w:r>
      <w:hyperlink r:id="rId20" w:anchor="fn:10" w:history="1">
        <w:r w:rsidRPr="00E802D3">
          <w:rPr>
            <w:rStyle w:val="Hyperlink"/>
          </w:rPr>
          <w:t>https://www.gov.uk/government/publications/childhood-obesity-a-plan-for-action/childhood-obesity-a-plan-for-action#fn:10</w:t>
        </w:r>
      </w:hyperlink>
    </w:p>
    <w:p w14:paraId="219A6348" w14:textId="77777777" w:rsidR="00E802D3" w:rsidRPr="00E802D3" w:rsidRDefault="00E802D3" w:rsidP="00E802D3">
      <w:pPr>
        <w:pStyle w:val="EndNoteBibliography"/>
        <w:spacing w:after="0"/>
        <w:ind w:left="720" w:hanging="720"/>
      </w:pPr>
      <w:r w:rsidRPr="00E802D3">
        <w:t xml:space="preserve">Cairns, G., Angus, K., Hastings, G., &amp; Caraher, M. (2013). Systematic reviews of the evidence on the nature, extent and effects of food marketing to children. A retrospective summary. </w:t>
      </w:r>
      <w:r w:rsidRPr="00E802D3">
        <w:rPr>
          <w:i/>
        </w:rPr>
        <w:t>Appetite, 62</w:t>
      </w:r>
      <w:r w:rsidRPr="00E802D3">
        <w:t xml:space="preserve">, 209-215. </w:t>
      </w:r>
    </w:p>
    <w:p w14:paraId="1B02AFEE" w14:textId="77777777" w:rsidR="00E802D3" w:rsidRPr="00E802D3" w:rsidRDefault="00E802D3" w:rsidP="00E802D3">
      <w:pPr>
        <w:pStyle w:val="EndNoteBibliography"/>
        <w:spacing w:after="0"/>
        <w:ind w:left="720" w:hanging="720"/>
      </w:pPr>
      <w:r w:rsidRPr="00E802D3">
        <w:t xml:space="preserve">Cameron Wild, T., Koziel, J., Anderson-Baron, J., Hathaway, J., McCurdy, A., Xu, X., . . . Hyshka, E. (2019). Media coverage of harm reduction, 2000-2016: A content analysis of tone, topics, and interventions in Canadian print news. </w:t>
      </w:r>
      <w:r w:rsidRPr="00E802D3">
        <w:rPr>
          <w:i/>
        </w:rPr>
        <w:t>Drug and Alcohol Dependence, 1</w:t>
      </w:r>
      <w:r w:rsidRPr="00E802D3">
        <w:t xml:space="preserve">(205). </w:t>
      </w:r>
    </w:p>
    <w:p w14:paraId="6A663E4A" w14:textId="77777777" w:rsidR="00E802D3" w:rsidRPr="00E802D3" w:rsidRDefault="00E802D3" w:rsidP="00E802D3">
      <w:pPr>
        <w:pStyle w:val="EndNoteBibliography"/>
        <w:spacing w:after="0"/>
        <w:ind w:left="720" w:hanging="720"/>
      </w:pPr>
      <w:r w:rsidRPr="00E802D3">
        <w:t xml:space="preserve">Carabine, J. (2001). Unmarried motherhood 1830-1990: A genealogical analysis. In M. Wetherall &amp; S. Taylor (Eds.), </w:t>
      </w:r>
      <w:r w:rsidRPr="00E802D3">
        <w:rPr>
          <w:i/>
        </w:rPr>
        <w:t xml:space="preserve">Discourse as data: A guide for analysis </w:t>
      </w:r>
      <w:r w:rsidRPr="00E802D3">
        <w:t>(pp. 267-310). London: Sage.</w:t>
      </w:r>
    </w:p>
    <w:p w14:paraId="54393D49" w14:textId="77777777" w:rsidR="00E802D3" w:rsidRPr="00E802D3" w:rsidRDefault="00E802D3" w:rsidP="00E802D3">
      <w:pPr>
        <w:pStyle w:val="EndNoteBibliography"/>
        <w:spacing w:after="0"/>
        <w:ind w:left="720" w:hanging="720"/>
      </w:pPr>
      <w:r w:rsidRPr="00E802D3">
        <w:t xml:space="preserve">Chong, D., &amp; Druckman, J. N. (2007). Framing Theory. </w:t>
      </w:r>
      <w:r w:rsidRPr="00E802D3">
        <w:rPr>
          <w:i/>
        </w:rPr>
        <w:t>Annual Review of Political Science, 10</w:t>
      </w:r>
      <w:r w:rsidRPr="00E802D3">
        <w:t xml:space="preserve">(103-126). </w:t>
      </w:r>
    </w:p>
    <w:p w14:paraId="63EDDCFA" w14:textId="77777777" w:rsidR="00E802D3" w:rsidRPr="00E802D3" w:rsidRDefault="00E802D3" w:rsidP="00E802D3">
      <w:pPr>
        <w:pStyle w:val="EndNoteBibliography"/>
        <w:spacing w:after="0"/>
        <w:ind w:left="720" w:hanging="720"/>
      </w:pPr>
      <w:r w:rsidRPr="00E802D3">
        <w:t xml:space="preserve">Committee of Advertising Practice. (2019). </w:t>
      </w:r>
      <w:r w:rsidRPr="00E802D3">
        <w:rPr>
          <w:i/>
        </w:rPr>
        <w:t>Regulatory statement: gambling advertising guidance.  Protecting children and young people</w:t>
      </w:r>
      <w:r w:rsidRPr="00E802D3">
        <w:t xml:space="preserve">. Retrieved from London: </w:t>
      </w:r>
    </w:p>
    <w:p w14:paraId="50C673B5" w14:textId="54798A6D" w:rsidR="00E802D3" w:rsidRPr="00E802D3" w:rsidRDefault="00E802D3" w:rsidP="00E802D3">
      <w:pPr>
        <w:pStyle w:val="EndNoteBibliography"/>
        <w:spacing w:after="0"/>
        <w:ind w:left="720" w:hanging="720"/>
      </w:pPr>
      <w:r w:rsidRPr="00E802D3">
        <w:t xml:space="preserve">Department of Health. (2011). </w:t>
      </w:r>
      <w:r w:rsidRPr="00E802D3">
        <w:rPr>
          <w:i/>
        </w:rPr>
        <w:t>Nutrient Profiling Technical Guidance</w:t>
      </w:r>
      <w:r w:rsidRPr="00E802D3">
        <w:t xml:space="preserve">. Retrieved from </w:t>
      </w:r>
      <w:hyperlink r:id="rId21" w:history="1">
        <w:r w:rsidRPr="00E802D3">
          <w:rPr>
            <w:rStyle w:val="Hyperlink"/>
          </w:rPr>
          <w:t>https://assets.publishing.service.gov.uk/government/uploads/system/uploads/attachment_data/file/216094/dh_123492.pdf</w:t>
        </w:r>
      </w:hyperlink>
    </w:p>
    <w:p w14:paraId="736064E1" w14:textId="780E6E4F" w:rsidR="00E802D3" w:rsidRPr="00E802D3" w:rsidRDefault="00E802D3" w:rsidP="00E802D3">
      <w:pPr>
        <w:pStyle w:val="EndNoteBibliography"/>
        <w:spacing w:after="0"/>
        <w:ind w:left="720" w:hanging="720"/>
      </w:pPr>
      <w:r w:rsidRPr="00E802D3">
        <w:t xml:space="preserve">Department of Health and Social Care. (2020). New obesity strategy unveiled as country urged to lose weight to beat coronavirus (COVID-19) and protect the NHS [Press release]. Retrieved </w:t>
      </w:r>
      <w:r w:rsidRPr="00E802D3">
        <w:lastRenderedPageBreak/>
        <w:t xml:space="preserve">from </w:t>
      </w:r>
      <w:hyperlink r:id="rId22" w:history="1">
        <w:r w:rsidRPr="00E802D3">
          <w:rPr>
            <w:rStyle w:val="Hyperlink"/>
          </w:rPr>
          <w:t>https://www.gov.uk/government/news/new-obesity-strategy-unveiled-as-country-urged-to-lose-weight-to-beat-coronavirus-covid-19-and-protect-the-nhs</w:t>
        </w:r>
      </w:hyperlink>
    </w:p>
    <w:p w14:paraId="2DADF814" w14:textId="77777777" w:rsidR="00E802D3" w:rsidRPr="00E802D3" w:rsidRDefault="00E802D3" w:rsidP="00E802D3">
      <w:pPr>
        <w:pStyle w:val="EndNoteBibliography"/>
        <w:spacing w:after="0"/>
        <w:ind w:left="720" w:hanging="720"/>
      </w:pPr>
      <w:r w:rsidRPr="00E802D3">
        <w:t xml:space="preserve">Diepeveen, S., Ling, T., Suhrcke, M., Roland, M., &amp; Marteau, T. M. (2013). Public acceptability of government intervention to change health-related behaviours: a systematic review and narrative synthesis. </w:t>
      </w:r>
      <w:r w:rsidRPr="00E802D3">
        <w:rPr>
          <w:i/>
        </w:rPr>
        <w:t>BMC Public Health, 13</w:t>
      </w:r>
      <w:r w:rsidRPr="00E802D3">
        <w:t xml:space="preserve">, 756. </w:t>
      </w:r>
    </w:p>
    <w:p w14:paraId="38C73C37" w14:textId="10EF37D6" w:rsidR="00E802D3" w:rsidRPr="00E802D3" w:rsidRDefault="00E802D3" w:rsidP="00E802D3">
      <w:pPr>
        <w:pStyle w:val="EndNoteBibliography"/>
        <w:spacing w:after="0"/>
        <w:ind w:left="720" w:hanging="720"/>
      </w:pPr>
      <w:r w:rsidRPr="00E802D3">
        <w:t xml:space="preserve">Exterion Media. (2018). </w:t>
      </w:r>
      <w:r w:rsidRPr="00E802D3">
        <w:rPr>
          <w:i/>
        </w:rPr>
        <w:t>An Exterion Media guide to the TfL HFSS policy for Out-of-Home Advertising</w:t>
      </w:r>
      <w:r w:rsidRPr="00E802D3">
        <w:t xml:space="preserve">. Retrieved from London: </w:t>
      </w:r>
      <w:hyperlink r:id="rId23" w:history="1">
        <w:r w:rsidRPr="00E802D3">
          <w:rPr>
            <w:rStyle w:val="Hyperlink"/>
          </w:rPr>
          <w:t>https://outdoor.global.com/~/media/files/uk/brochures/hfss-brochure-exterion-media.pdf</w:t>
        </w:r>
      </w:hyperlink>
    </w:p>
    <w:p w14:paraId="0089FD07" w14:textId="77777777" w:rsidR="00E802D3" w:rsidRPr="00E802D3" w:rsidRDefault="00E802D3" w:rsidP="00E802D3">
      <w:pPr>
        <w:pStyle w:val="EndNoteBibliography"/>
        <w:spacing w:after="0"/>
        <w:ind w:left="720" w:hanging="720"/>
      </w:pPr>
      <w:r w:rsidRPr="00E802D3">
        <w:t xml:space="preserve">Fairclough, I., &amp; Fairclough, N. (2012). </w:t>
      </w:r>
      <w:r w:rsidRPr="00E802D3">
        <w:rPr>
          <w:i/>
        </w:rPr>
        <w:t>Political Discourse Analysis</w:t>
      </w:r>
      <w:r w:rsidRPr="00E802D3">
        <w:t>. London: Routledge.</w:t>
      </w:r>
    </w:p>
    <w:p w14:paraId="568E4789" w14:textId="77777777" w:rsidR="00E802D3" w:rsidRPr="00E802D3" w:rsidRDefault="00E802D3" w:rsidP="00E802D3">
      <w:pPr>
        <w:pStyle w:val="EndNoteBibliography"/>
        <w:spacing w:after="0"/>
        <w:ind w:left="720" w:hanging="720"/>
      </w:pPr>
      <w:r w:rsidRPr="00E802D3">
        <w:t xml:space="preserve">Fairclough, N. (2001). The Discourse of New Labour: Critical Discourse Analysis. In M. Wetherell, S. Taylor, &amp; S. J. Yates (Eds.), </w:t>
      </w:r>
      <w:r w:rsidRPr="00E802D3">
        <w:rPr>
          <w:i/>
        </w:rPr>
        <w:t>Discourse as Data: a guide for analysis</w:t>
      </w:r>
      <w:r w:rsidRPr="00E802D3">
        <w:t>. London: Sage and The Open University.</w:t>
      </w:r>
    </w:p>
    <w:p w14:paraId="24440658" w14:textId="001E8F94" w:rsidR="00E802D3" w:rsidRPr="00E802D3" w:rsidRDefault="00E802D3" w:rsidP="00E802D3">
      <w:pPr>
        <w:pStyle w:val="EndNoteBibliography"/>
        <w:spacing w:after="0"/>
        <w:ind w:left="720" w:hanging="720"/>
      </w:pPr>
      <w:r w:rsidRPr="00E802D3">
        <w:t xml:space="preserve">Food and Drink Federation. (2019). Advertising and Promotions - Policy Position. Retrieved from </w:t>
      </w:r>
      <w:hyperlink r:id="rId24" w:history="1">
        <w:r w:rsidRPr="00E802D3">
          <w:rPr>
            <w:rStyle w:val="Hyperlink"/>
          </w:rPr>
          <w:t>http://www.fdf.org.uk/keyissues_hw.aspx?issue=644</w:t>
        </w:r>
      </w:hyperlink>
    </w:p>
    <w:p w14:paraId="57F67744" w14:textId="77777777" w:rsidR="00E802D3" w:rsidRPr="00E802D3" w:rsidRDefault="00E802D3" w:rsidP="00E802D3">
      <w:pPr>
        <w:pStyle w:val="EndNoteBibliography"/>
        <w:spacing w:after="0"/>
        <w:ind w:left="720" w:hanging="720"/>
      </w:pPr>
      <w:r w:rsidRPr="00E802D3">
        <w:rPr>
          <w:rFonts w:hint="eastAsia"/>
        </w:rPr>
        <w:t>Galbraith</w:t>
      </w:r>
      <w:r w:rsidRPr="00E802D3">
        <w:rPr>
          <w:rFonts w:hint="eastAsia"/>
        </w:rPr>
        <w:t>‐</w:t>
      </w:r>
      <w:r w:rsidRPr="00E802D3">
        <w:rPr>
          <w:rFonts w:hint="eastAsia"/>
        </w:rPr>
        <w:t xml:space="preserve">Emami, S., &amp; Lobstein, T. (2013). The impact of initiatives to limit the advertising of food and beverage products to children: a systematic review. </w:t>
      </w:r>
      <w:r w:rsidRPr="00E802D3">
        <w:rPr>
          <w:rFonts w:hint="eastAsia"/>
          <w:i/>
        </w:rPr>
        <w:t>Obes</w:t>
      </w:r>
      <w:r w:rsidRPr="00E802D3">
        <w:rPr>
          <w:i/>
        </w:rPr>
        <w:t>ity Reviews, 14</w:t>
      </w:r>
      <w:r w:rsidRPr="00E802D3">
        <w:t xml:space="preserve">, 960-974. </w:t>
      </w:r>
    </w:p>
    <w:p w14:paraId="1943C83F" w14:textId="77777777" w:rsidR="00E802D3" w:rsidRPr="00E802D3" w:rsidRDefault="00E802D3" w:rsidP="00E802D3">
      <w:pPr>
        <w:pStyle w:val="EndNoteBibliography"/>
        <w:spacing w:after="0"/>
        <w:ind w:left="720" w:hanging="720"/>
      </w:pPr>
      <w:r w:rsidRPr="00E802D3">
        <w:t xml:space="preserve">Gentry, E., Poirier, K., Wilkinson, T., Nhean, S., Nyborn, J., &amp; Siegel, M. (2011). Alcohol advertising at Boston subway stations: an assessment of exposure by race and socioeconomic status. </w:t>
      </w:r>
      <w:r w:rsidRPr="00E802D3">
        <w:rPr>
          <w:i/>
        </w:rPr>
        <w:t>American Journal of Public Health, 101</w:t>
      </w:r>
      <w:r w:rsidRPr="00E802D3">
        <w:t xml:space="preserve">(10), 1936-1941. </w:t>
      </w:r>
    </w:p>
    <w:p w14:paraId="56D36122" w14:textId="77777777" w:rsidR="00E802D3" w:rsidRPr="00E802D3" w:rsidRDefault="00E802D3" w:rsidP="00E802D3">
      <w:pPr>
        <w:pStyle w:val="EndNoteBibliography"/>
        <w:spacing w:after="0"/>
        <w:ind w:left="720" w:hanging="720"/>
      </w:pPr>
      <w:r w:rsidRPr="00E802D3">
        <w:t xml:space="preserve">Hawkins, B., &amp; Holden, C. (2013). Framing the alcohol policy debate: industry actors and the regulation of the UK beverage alcohol market. </w:t>
      </w:r>
      <w:r w:rsidRPr="00E802D3">
        <w:rPr>
          <w:i/>
        </w:rPr>
        <w:t>Critical Policy Studies, 7</w:t>
      </w:r>
      <w:r w:rsidRPr="00E802D3">
        <w:t xml:space="preserve">(1), 53-71. </w:t>
      </w:r>
    </w:p>
    <w:p w14:paraId="5E61CF6F" w14:textId="77777777" w:rsidR="00E802D3" w:rsidRPr="00E802D3" w:rsidRDefault="00E802D3" w:rsidP="00E802D3">
      <w:pPr>
        <w:pStyle w:val="EndNoteBibliography"/>
        <w:spacing w:after="0"/>
        <w:ind w:left="720" w:hanging="720"/>
      </w:pPr>
      <w:r w:rsidRPr="00E802D3">
        <w:t xml:space="preserve">Hawkins, B., Holden, C., &amp; McCambridge, J. (2012). Alcohol industry influence on UK alcohol policy: a new research agenda for public health. </w:t>
      </w:r>
      <w:r w:rsidRPr="00E802D3">
        <w:rPr>
          <w:i/>
        </w:rPr>
        <w:t>Critical Public Health, 22</w:t>
      </w:r>
      <w:r w:rsidRPr="00E802D3">
        <w:t xml:space="preserve">(3), 297-305. </w:t>
      </w:r>
    </w:p>
    <w:p w14:paraId="4E439232" w14:textId="77777777" w:rsidR="00E802D3" w:rsidRPr="00E802D3" w:rsidRDefault="00E802D3" w:rsidP="00E802D3">
      <w:pPr>
        <w:pStyle w:val="EndNoteBibliography"/>
        <w:spacing w:after="0"/>
        <w:ind w:left="720" w:hanging="720"/>
      </w:pPr>
      <w:r w:rsidRPr="00E802D3">
        <w:t xml:space="preserve">Henderson, J., Coveney, J., Ward, P., &amp; Taylor, A. (2009). Governing childhood obesity: Framing regulation of fast food advertising in the Australian print media. </w:t>
      </w:r>
      <w:r w:rsidRPr="00E802D3">
        <w:rPr>
          <w:i/>
        </w:rPr>
        <w:t>Social Science and Medicine, 69</w:t>
      </w:r>
      <w:r w:rsidRPr="00E802D3">
        <w:t xml:space="preserve">, 1402-1408. </w:t>
      </w:r>
    </w:p>
    <w:p w14:paraId="1A858854" w14:textId="77777777" w:rsidR="00E802D3" w:rsidRPr="00E802D3" w:rsidRDefault="00E802D3" w:rsidP="00E802D3">
      <w:pPr>
        <w:pStyle w:val="EndNoteBibliography"/>
        <w:spacing w:after="0"/>
        <w:ind w:left="720" w:hanging="720"/>
      </w:pPr>
      <w:r w:rsidRPr="00E802D3">
        <w:t xml:space="preserve">Hilton, S., Buckton, C. H., Patterson, C., Katikireddi, S. V., Lloyd-Williams, F., Hyseni, L., . . . Capewell, S. (2019). Following in the footsteps of tobacco and alcohol? Stakeholder discourse in UK newspaper coverage of the Soft Drinks Industry Levy. . </w:t>
      </w:r>
      <w:r w:rsidRPr="00E802D3">
        <w:rPr>
          <w:i/>
        </w:rPr>
        <w:t>Public Health Nutrition, 22</w:t>
      </w:r>
      <w:r w:rsidRPr="00E802D3">
        <w:t xml:space="preserve">(12), 2317-2328. </w:t>
      </w:r>
    </w:p>
    <w:p w14:paraId="7CCAC09F" w14:textId="77777777" w:rsidR="00E802D3" w:rsidRPr="00E802D3" w:rsidRDefault="00E802D3" w:rsidP="00E802D3">
      <w:pPr>
        <w:pStyle w:val="EndNoteBibliography"/>
        <w:spacing w:after="0"/>
        <w:ind w:left="720" w:hanging="720"/>
      </w:pPr>
      <w:r w:rsidRPr="00E802D3">
        <w:t xml:space="preserve">Hilton S, W. K., Patterson C, Katikireddi SV. . (2014). Implications for alcohol minimum unit pricing advocacy: what can we learn for public health from UK newsprint coverage of key claim-makers in the policy debate? </w:t>
      </w:r>
      <w:r w:rsidRPr="00E802D3">
        <w:rPr>
          <w:i/>
        </w:rPr>
        <w:t>Social Science and Medicine, 102</w:t>
      </w:r>
      <w:r w:rsidRPr="00E802D3">
        <w:t xml:space="preserve">(100), 157-164. </w:t>
      </w:r>
    </w:p>
    <w:p w14:paraId="0DC20A54" w14:textId="77777777" w:rsidR="00E802D3" w:rsidRPr="00E802D3" w:rsidRDefault="00E802D3" w:rsidP="00E802D3">
      <w:pPr>
        <w:pStyle w:val="EndNoteBibliography"/>
        <w:spacing w:after="0"/>
        <w:ind w:left="720" w:hanging="720"/>
      </w:pPr>
      <w:r w:rsidRPr="00E802D3">
        <w:t xml:space="preserve">Hsieh, H. F., &amp; Shannon, S. E. (2005). Three approaches to qualitative content analysis. </w:t>
      </w:r>
      <w:r w:rsidRPr="00E802D3">
        <w:rPr>
          <w:i/>
        </w:rPr>
        <w:t>Qualitative Health Research, 15</w:t>
      </w:r>
      <w:r w:rsidRPr="00E802D3">
        <w:t xml:space="preserve">, 1277-1288. </w:t>
      </w:r>
    </w:p>
    <w:p w14:paraId="3983FA7B" w14:textId="77777777" w:rsidR="00E802D3" w:rsidRPr="00E802D3" w:rsidRDefault="00E802D3" w:rsidP="00E802D3">
      <w:pPr>
        <w:pStyle w:val="EndNoteBibliography"/>
        <w:spacing w:after="0"/>
        <w:ind w:left="720" w:hanging="720"/>
      </w:pPr>
      <w:r w:rsidRPr="00E802D3">
        <w:t xml:space="preserve">Jennings, A., Welch, A., van Sluijs, E. M., Griffin, S. J., &amp; Cassidy, A. (2011). Diet quality is independently associated with weight status in children aged 9–10 years. </w:t>
      </w:r>
      <w:r w:rsidRPr="00E802D3">
        <w:rPr>
          <w:i/>
        </w:rPr>
        <w:t>The Journal of nutrition, 141</w:t>
      </w:r>
      <w:r w:rsidRPr="00E802D3">
        <w:t xml:space="preserve">(3), 453-459. </w:t>
      </w:r>
    </w:p>
    <w:p w14:paraId="4EE43B84" w14:textId="77777777" w:rsidR="00E802D3" w:rsidRPr="00E802D3" w:rsidRDefault="00E802D3" w:rsidP="00E802D3">
      <w:pPr>
        <w:pStyle w:val="EndNoteBibliography"/>
        <w:spacing w:after="0"/>
        <w:ind w:left="720" w:hanging="720"/>
      </w:pPr>
      <w:r w:rsidRPr="00E802D3">
        <w:t xml:space="preserve">Johnson, M. N. P., &amp; McLean, E. (2020). Critical Discourse Analysis. In A. Kobayashi (Ed.), </w:t>
      </w:r>
      <w:r w:rsidRPr="00E802D3">
        <w:rPr>
          <w:i/>
        </w:rPr>
        <w:t>International Encyclopedia of Human Geography</w:t>
      </w:r>
      <w:r w:rsidRPr="00E802D3">
        <w:t xml:space="preserve"> (Second ed.). Kingston: Elsevier.</w:t>
      </w:r>
    </w:p>
    <w:p w14:paraId="1060B166" w14:textId="77777777" w:rsidR="00E802D3" w:rsidRPr="00E802D3" w:rsidRDefault="00E802D3" w:rsidP="00E802D3">
      <w:pPr>
        <w:pStyle w:val="EndNoteBibliography"/>
        <w:spacing w:after="0"/>
        <w:ind w:left="720" w:hanging="720"/>
      </w:pPr>
      <w:r w:rsidRPr="00E802D3">
        <w:t xml:space="preserve">Katikireddi, S. V., &amp; Hilton, S. (2015). How did policy actors use mass media to influence the Scottish alcohol minimum unit pricing debate? Comparative analysis of newspapers, evidence submissions and interviews. </w:t>
      </w:r>
      <w:r w:rsidRPr="00E802D3">
        <w:rPr>
          <w:i/>
        </w:rPr>
        <w:t>Drugs (Abingdon Engl), 22</w:t>
      </w:r>
      <w:r w:rsidRPr="00E802D3">
        <w:t xml:space="preserve">, 125-134. </w:t>
      </w:r>
    </w:p>
    <w:p w14:paraId="5B3F9252" w14:textId="77777777" w:rsidR="00E802D3" w:rsidRPr="00E802D3" w:rsidRDefault="00E802D3" w:rsidP="00E802D3">
      <w:pPr>
        <w:pStyle w:val="EndNoteBibliography"/>
        <w:spacing w:after="0"/>
        <w:ind w:left="720" w:hanging="720"/>
      </w:pPr>
      <w:r w:rsidRPr="00E802D3">
        <w:t xml:space="preserve">Keeble, M., Burgoine, T., White, M., Summerbell, C., Cummins, S., &amp; Adams, J. (2020). Planning and Public Health professionals’ experiences of using the planning system to regulate hot food takeaway outlets in England: A qualitative study. </w:t>
      </w:r>
      <w:r w:rsidRPr="00E802D3">
        <w:rPr>
          <w:i/>
        </w:rPr>
        <w:t>Health and Place, In Press</w:t>
      </w:r>
      <w:r w:rsidRPr="00E802D3">
        <w:t xml:space="preserve">. </w:t>
      </w:r>
    </w:p>
    <w:p w14:paraId="0A1E626D" w14:textId="77777777" w:rsidR="00E802D3" w:rsidRPr="00E802D3" w:rsidRDefault="00E802D3" w:rsidP="00E802D3">
      <w:pPr>
        <w:pStyle w:val="EndNoteBibliography"/>
        <w:spacing w:after="0"/>
        <w:ind w:left="720" w:hanging="720"/>
      </w:pPr>
      <w:r w:rsidRPr="00E802D3">
        <w:t xml:space="preserve">Larcker, D. F., Ormazabala, G., &amp; Taylor, D. L. (2011). The market reaction to corporate governance regulation. </w:t>
      </w:r>
      <w:r w:rsidRPr="00E802D3">
        <w:rPr>
          <w:i/>
        </w:rPr>
        <w:t>Journal of Financial Economics, 101</w:t>
      </w:r>
      <w:r w:rsidRPr="00E802D3">
        <w:t xml:space="preserve">(2), 431-448. </w:t>
      </w:r>
    </w:p>
    <w:p w14:paraId="48A5E261" w14:textId="77777777" w:rsidR="00E802D3" w:rsidRPr="00E802D3" w:rsidRDefault="00E802D3" w:rsidP="00E802D3">
      <w:pPr>
        <w:pStyle w:val="EndNoteBibliography"/>
        <w:spacing w:after="0"/>
        <w:ind w:left="720" w:hanging="720"/>
      </w:pPr>
      <w:r w:rsidRPr="00E802D3">
        <w:t xml:space="preserve">Law, C., Cornelsen, L., Adams, J., Penney, T., Rutter, H., White, M., &amp; Smith, R. (2020). An analysis of the stock market reaction to the announcements of the UK Soft Drinks Industry Levy. </w:t>
      </w:r>
      <w:r w:rsidRPr="00E802D3">
        <w:rPr>
          <w:i/>
        </w:rPr>
        <w:t>Economics &amp; Human Biology, 38</w:t>
      </w:r>
      <w:r w:rsidRPr="00E802D3">
        <w:t xml:space="preserve">. </w:t>
      </w:r>
    </w:p>
    <w:p w14:paraId="71DD2F6D" w14:textId="77777777" w:rsidR="00E802D3" w:rsidRPr="00E802D3" w:rsidRDefault="00E802D3" w:rsidP="00E802D3">
      <w:pPr>
        <w:pStyle w:val="EndNoteBibliography"/>
        <w:spacing w:after="0"/>
        <w:ind w:left="720" w:hanging="720"/>
      </w:pPr>
      <w:r w:rsidRPr="00E802D3">
        <w:lastRenderedPageBreak/>
        <w:t xml:space="preserve">Lucan, S. C., Maroko, A. R., Sanon, O. C., &amp; Schechter, C. B. (2017). Unhealthful Food-and-Beverage Advertising in Subway Stations: Targeted Marketing, Vulnerable Groups, Dietary Intake, and Poor Health. </w:t>
      </w:r>
      <w:r w:rsidRPr="00E802D3">
        <w:rPr>
          <w:i/>
        </w:rPr>
        <w:t>Journal of Urban Health, 94</w:t>
      </w:r>
      <w:r w:rsidRPr="00E802D3">
        <w:t xml:space="preserve">, 220-232. </w:t>
      </w:r>
    </w:p>
    <w:p w14:paraId="0EE31F6F" w14:textId="77777777" w:rsidR="00E802D3" w:rsidRPr="00E802D3" w:rsidRDefault="00E802D3" w:rsidP="00E802D3">
      <w:pPr>
        <w:pStyle w:val="EndNoteBibliography"/>
        <w:spacing w:after="0"/>
        <w:ind w:left="720" w:hanging="720"/>
      </w:pPr>
      <w:r w:rsidRPr="00E802D3">
        <w:t xml:space="preserve">MacKenzie, R., &amp; Holden, C. (2017). Analysing Corporate Documents. In K. Lee, Hawkins, B. (Ed.), </w:t>
      </w:r>
      <w:r w:rsidRPr="00E802D3">
        <w:rPr>
          <w:i/>
        </w:rPr>
        <w:t>Researching Corporations and Global Health Governance: an interdisciplinary guide</w:t>
      </w:r>
      <w:r w:rsidRPr="00E802D3">
        <w:t>. London: Rowman and Littlefield.</w:t>
      </w:r>
    </w:p>
    <w:p w14:paraId="30885DB0" w14:textId="77777777" w:rsidR="00E802D3" w:rsidRPr="00E802D3" w:rsidRDefault="00E802D3" w:rsidP="00E802D3">
      <w:pPr>
        <w:pStyle w:val="EndNoteBibliography"/>
        <w:spacing w:after="0"/>
        <w:ind w:left="720" w:hanging="720"/>
      </w:pPr>
      <w:r w:rsidRPr="00E802D3">
        <w:t xml:space="preserve">Masters, R., Anwar, E., Collins, B., Cookson, R., &amp; Capewell, S. (2017). Return on investment of public health interventions: a systematic review. </w:t>
      </w:r>
      <w:r w:rsidRPr="00E802D3">
        <w:rPr>
          <w:i/>
        </w:rPr>
        <w:t>Journal of Epidemiology and Community Health, 71</w:t>
      </w:r>
      <w:r w:rsidRPr="00E802D3">
        <w:t xml:space="preserve">, 827-834. </w:t>
      </w:r>
    </w:p>
    <w:p w14:paraId="10DFCB85" w14:textId="77777777" w:rsidR="00E802D3" w:rsidRPr="00E802D3" w:rsidRDefault="00E802D3" w:rsidP="00E802D3">
      <w:pPr>
        <w:pStyle w:val="EndNoteBibliography"/>
        <w:spacing w:after="0"/>
        <w:ind w:left="720" w:hanging="720"/>
      </w:pPr>
      <w:r w:rsidRPr="00E802D3">
        <w:t>Mayor of London. (2018). Annual Report and Statement of Accounts 2017/18. In: Transport for London.</w:t>
      </w:r>
    </w:p>
    <w:p w14:paraId="3EEAF61A" w14:textId="77777777" w:rsidR="00E802D3" w:rsidRPr="00E802D3" w:rsidRDefault="00E802D3" w:rsidP="00E802D3">
      <w:pPr>
        <w:pStyle w:val="EndNoteBibliography"/>
        <w:spacing w:after="0"/>
        <w:ind w:left="720" w:hanging="720"/>
      </w:pPr>
      <w:r w:rsidRPr="00E802D3">
        <w:t xml:space="preserve">Mayor of London Transport for London. </w:t>
      </w:r>
      <w:r w:rsidRPr="00E802D3">
        <w:rPr>
          <w:i/>
        </w:rPr>
        <w:t>Annual Advertising Report 2017/18</w:t>
      </w:r>
      <w:r w:rsidRPr="00E802D3">
        <w:t xml:space="preserve">. Retrieved from </w:t>
      </w:r>
    </w:p>
    <w:p w14:paraId="3BC09563" w14:textId="77777777" w:rsidR="00E802D3" w:rsidRPr="00E802D3" w:rsidRDefault="00E802D3" w:rsidP="00E802D3">
      <w:pPr>
        <w:pStyle w:val="EndNoteBibliography"/>
        <w:spacing w:after="0"/>
        <w:ind w:left="720" w:hanging="720"/>
      </w:pPr>
      <w:r w:rsidRPr="00E802D3">
        <w:t xml:space="preserve">Mercille, J. (2017). Media coverage of alcohol issues: A critical political economy framework—A case study from Ireland. </w:t>
      </w:r>
      <w:r w:rsidRPr="00E802D3">
        <w:rPr>
          <w:i/>
        </w:rPr>
        <w:t>International Journal of Environmental Research and Public Health, 14</w:t>
      </w:r>
      <w:r w:rsidRPr="00E802D3">
        <w:t xml:space="preserve">(6). </w:t>
      </w:r>
    </w:p>
    <w:p w14:paraId="447BA17F" w14:textId="77777777" w:rsidR="00E802D3" w:rsidRPr="00E802D3" w:rsidRDefault="00E802D3" w:rsidP="00E802D3">
      <w:pPr>
        <w:pStyle w:val="EndNoteBibliography"/>
        <w:spacing w:after="0"/>
        <w:ind w:left="720" w:hanging="720"/>
      </w:pPr>
      <w:r w:rsidRPr="00E802D3">
        <w:t xml:space="preserve">Mytton, O. T., Boyland, E., Adams, J., Collins, B., O’Connell, M., Russell, S. J., . . . Cobiac, L. J. (2020). The potential health impact of restricting less-healthy food and beverage advertising on UK television between 05.30 and 21.00 hours: A modelling study. </w:t>
      </w:r>
      <w:r w:rsidRPr="00E802D3">
        <w:rPr>
          <w:i/>
        </w:rPr>
        <w:t>PLoS Medicine, 17</w:t>
      </w:r>
      <w:r w:rsidRPr="00E802D3">
        <w:t xml:space="preserve">(10). </w:t>
      </w:r>
    </w:p>
    <w:p w14:paraId="178E2C90" w14:textId="623B394F" w:rsidR="00E802D3" w:rsidRPr="00E802D3" w:rsidRDefault="00E802D3" w:rsidP="00E802D3">
      <w:pPr>
        <w:pStyle w:val="EndNoteBibliography"/>
        <w:spacing w:after="0"/>
        <w:ind w:left="720" w:hanging="720"/>
      </w:pPr>
      <w:r w:rsidRPr="00E802D3">
        <w:t xml:space="preserve">NHS Digital. (2020). National Child Measurement Programme, England 2019/20 School Year. Retrieved from </w:t>
      </w:r>
      <w:hyperlink r:id="rId25" w:history="1">
        <w:r w:rsidRPr="00E802D3">
          <w:rPr>
            <w:rStyle w:val="Hyperlink"/>
          </w:rPr>
          <w:t>https://digital.nhs.uk/data-and-information/publications/statistical/national-child-measurement-programme/2019-20-school-year</w:t>
        </w:r>
      </w:hyperlink>
    </w:p>
    <w:p w14:paraId="38268C79" w14:textId="77777777" w:rsidR="00E802D3" w:rsidRPr="00E802D3" w:rsidRDefault="00E802D3" w:rsidP="00E802D3">
      <w:pPr>
        <w:pStyle w:val="EndNoteBibliography"/>
        <w:spacing w:after="0"/>
        <w:ind w:left="720" w:hanging="720"/>
      </w:pPr>
      <w:r w:rsidRPr="00E802D3">
        <w:t xml:space="preserve">Pan, Z., &amp; Kosicki, G. (2005). Framing and the understanding of citizenship. In S. Dunwoody, L. Backer, D. McLeod, &amp; G. Kosicki (Eds.), </w:t>
      </w:r>
      <w:r w:rsidRPr="00E802D3">
        <w:rPr>
          <w:i/>
        </w:rPr>
        <w:t>The evolution of key mass communication concepts</w:t>
      </w:r>
      <w:r w:rsidRPr="00E802D3">
        <w:t>. Cresskill: Hampton Press.</w:t>
      </w:r>
    </w:p>
    <w:p w14:paraId="5EFA56EA" w14:textId="77777777" w:rsidR="00E802D3" w:rsidRPr="00E802D3" w:rsidRDefault="00E802D3" w:rsidP="00E802D3">
      <w:pPr>
        <w:pStyle w:val="EndNoteBibliography"/>
        <w:spacing w:after="0"/>
        <w:ind w:left="720" w:hanging="720"/>
      </w:pPr>
      <w:r w:rsidRPr="00E802D3">
        <w:t xml:space="preserve">Petticrew, M., Vittal Katikireddi, S., Knai, C., Cassidy, R., Maani Hessari, N., Thomas, J., &amp; Weishaar, H. (2017). ‘Nothing can be done until everything is done’: the use of complexity arguments by food, beverage, alcohol and gambling industries. </w:t>
      </w:r>
      <w:r w:rsidRPr="00E802D3">
        <w:rPr>
          <w:i/>
        </w:rPr>
        <w:t>Journal of Epidemiology and Community Health, 71</w:t>
      </w:r>
      <w:r w:rsidRPr="00E802D3">
        <w:t xml:space="preserve">(11), 1078-1083. </w:t>
      </w:r>
    </w:p>
    <w:p w14:paraId="3DCD0197" w14:textId="4CEED2AA" w:rsidR="00E802D3" w:rsidRPr="00E802D3" w:rsidRDefault="00E802D3" w:rsidP="00E802D3">
      <w:pPr>
        <w:pStyle w:val="EndNoteBibliography"/>
        <w:spacing w:after="0"/>
        <w:ind w:left="720" w:hanging="720"/>
      </w:pPr>
      <w:r w:rsidRPr="00E802D3">
        <w:t xml:space="preserve">Public Health England. (2020). </w:t>
      </w:r>
      <w:r w:rsidRPr="00E802D3">
        <w:rPr>
          <w:i/>
        </w:rPr>
        <w:t>Executive summary: learning from local authorities with downward trends in childhood obesity</w:t>
      </w:r>
      <w:r w:rsidRPr="00E802D3">
        <w:t xml:space="preserve">. Retrieved from </w:t>
      </w:r>
      <w:hyperlink r:id="rId26" w:anchor="fn:1" w:history="1">
        <w:r w:rsidRPr="00E802D3">
          <w:rPr>
            <w:rStyle w:val="Hyperlink"/>
          </w:rPr>
          <w:t>https://www.gov.uk/government/publications/national-child-measurement-programme-childhood-obesity/executive-summary-learning-from-local-authorities-with-downward-trends-in-childhood-obesity#fn:1</w:t>
        </w:r>
      </w:hyperlink>
    </w:p>
    <w:p w14:paraId="3F7F8738" w14:textId="77777777" w:rsidR="00E802D3" w:rsidRPr="00E802D3" w:rsidRDefault="00E802D3" w:rsidP="00E802D3">
      <w:pPr>
        <w:pStyle w:val="EndNoteBibliography"/>
        <w:spacing w:after="0"/>
        <w:ind w:left="720" w:hanging="720"/>
      </w:pPr>
      <w:r w:rsidRPr="00E802D3">
        <w:t xml:space="preserve">Ries, N. M., Rachul, C., &amp; Caulfied, T. (2011). Newspaper reporting on legislative and policy interventions to address obesity: United States, Canada, and the United Kingdom. </w:t>
      </w:r>
      <w:r w:rsidRPr="00E802D3">
        <w:rPr>
          <w:i/>
        </w:rPr>
        <w:t>Journal of Public Health Policy, 32</w:t>
      </w:r>
      <w:r w:rsidRPr="00E802D3">
        <w:t xml:space="preserve">, 73-90. </w:t>
      </w:r>
    </w:p>
    <w:p w14:paraId="13A734B1" w14:textId="77777777" w:rsidR="00E802D3" w:rsidRPr="00E802D3" w:rsidRDefault="00E802D3" w:rsidP="00E802D3">
      <w:pPr>
        <w:pStyle w:val="EndNoteBibliography"/>
        <w:spacing w:after="0"/>
        <w:ind w:left="720" w:hanging="720"/>
      </w:pPr>
      <w:r w:rsidRPr="00E802D3">
        <w:t xml:space="preserve">Roberts, M., Pettigrew, S. (2007). A thematic content analysis of children's food advertising. </w:t>
      </w:r>
      <w:r w:rsidRPr="00E802D3">
        <w:rPr>
          <w:i/>
        </w:rPr>
        <w:t>International Journal of Advertising, 26</w:t>
      </w:r>
      <w:r w:rsidRPr="00E802D3">
        <w:t xml:space="preserve">(3), 357-367. </w:t>
      </w:r>
    </w:p>
    <w:p w14:paraId="7527BD00" w14:textId="77777777" w:rsidR="00E802D3" w:rsidRPr="00E802D3" w:rsidRDefault="00E802D3" w:rsidP="00E802D3">
      <w:pPr>
        <w:pStyle w:val="EndNoteBibliography"/>
        <w:spacing w:after="0"/>
        <w:ind w:left="720" w:hanging="720"/>
      </w:pPr>
      <w:r w:rsidRPr="00E802D3">
        <w:t xml:space="preserve">Sahoo, K., Sahoo, B., Kumar Choudhury, A., Yasin Sofi, N., Kumar, R., &amp; Singh Bhadoria, A. (2015). Childhood obesity: causes and consequences. </w:t>
      </w:r>
      <w:r w:rsidRPr="00E802D3">
        <w:rPr>
          <w:i/>
        </w:rPr>
        <w:t>Journal of Family Medicine and Primary Care, 4</w:t>
      </w:r>
      <w:r w:rsidRPr="00E802D3">
        <w:t xml:space="preserve">(2), 187-192. </w:t>
      </w:r>
    </w:p>
    <w:p w14:paraId="760F3D46" w14:textId="77777777" w:rsidR="00E802D3" w:rsidRPr="00E802D3" w:rsidRDefault="00E802D3" w:rsidP="00E802D3">
      <w:pPr>
        <w:pStyle w:val="EndNoteBibliography"/>
        <w:spacing w:after="0"/>
        <w:ind w:left="720" w:hanging="720"/>
      </w:pPr>
      <w:r w:rsidRPr="00E802D3">
        <w:t xml:space="preserve">Savona, N., Thompson, C., Smith, D., &amp; Cummins, S. (2020). ‘Complexity’ as a rhetorical smokescreen for UK public health inaction on diet. </w:t>
      </w:r>
      <w:r w:rsidRPr="00E802D3">
        <w:rPr>
          <w:i/>
        </w:rPr>
        <w:t>Critical Public Health</w:t>
      </w:r>
      <w:r w:rsidRPr="00E802D3">
        <w:t xml:space="preserve">(April 2020), 1-11. </w:t>
      </w:r>
    </w:p>
    <w:p w14:paraId="208FFC82" w14:textId="77777777" w:rsidR="00E802D3" w:rsidRPr="00E802D3" w:rsidRDefault="00E802D3" w:rsidP="00E802D3">
      <w:pPr>
        <w:pStyle w:val="EndNoteBibliography"/>
        <w:spacing w:after="0"/>
        <w:ind w:left="720" w:hanging="720"/>
      </w:pPr>
      <w:r w:rsidRPr="00E802D3">
        <w:t xml:space="preserve">Schön, D., &amp; Rein, M. (1996). Frame-critical policy analysis and frame-reflective policy practice. . </w:t>
      </w:r>
      <w:r w:rsidRPr="00E802D3">
        <w:rPr>
          <w:i/>
        </w:rPr>
        <w:t>Knowledge and Policy, 9</w:t>
      </w:r>
      <w:r w:rsidRPr="00E802D3">
        <w:t xml:space="preserve">(1), 85-103. </w:t>
      </w:r>
    </w:p>
    <w:p w14:paraId="1451CDFE" w14:textId="77777777" w:rsidR="00E802D3" w:rsidRPr="00E802D3" w:rsidRDefault="00E802D3" w:rsidP="00E802D3">
      <w:pPr>
        <w:pStyle w:val="EndNoteBibliography"/>
        <w:spacing w:after="0"/>
        <w:ind w:left="720" w:hanging="720"/>
      </w:pPr>
      <w:r w:rsidRPr="00E802D3">
        <w:t xml:space="preserve">Sriwimon, L., &amp; Jimarkon Zilli, P. (2017). Applying Critical Discourse Analysis as a conceptual framework for investigating gender stereotypes in political media discourse. </w:t>
      </w:r>
      <w:r w:rsidRPr="00E802D3">
        <w:rPr>
          <w:i/>
        </w:rPr>
        <w:t>Kasetsart Journal of Social Sciences, 38</w:t>
      </w:r>
      <w:r w:rsidRPr="00E802D3">
        <w:t xml:space="preserve">(2), 136-142. </w:t>
      </w:r>
    </w:p>
    <w:p w14:paraId="50EE859F" w14:textId="77777777" w:rsidR="00E802D3" w:rsidRPr="00E802D3" w:rsidRDefault="00E802D3" w:rsidP="00E802D3">
      <w:pPr>
        <w:pStyle w:val="EndNoteBibliography"/>
        <w:spacing w:after="0"/>
        <w:ind w:left="720" w:hanging="720"/>
      </w:pPr>
      <w:r w:rsidRPr="00E802D3">
        <w:t xml:space="preserve">Stuckler, D., McKee, M., Ebrahim, S., &amp; Basu, S. (2012). Manufacturing Epidemics: The Role of Global Producers in Increased Consumption of Unhealthy Commodities Including Processed Foods, Alcohol, and Tobacco. </w:t>
      </w:r>
      <w:r w:rsidRPr="00E802D3">
        <w:rPr>
          <w:i/>
        </w:rPr>
        <w:t>PLoS Medicine, 9</w:t>
      </w:r>
      <w:r w:rsidRPr="00E802D3">
        <w:t xml:space="preserve">(6). </w:t>
      </w:r>
    </w:p>
    <w:p w14:paraId="6120DA2C" w14:textId="77777777" w:rsidR="00E802D3" w:rsidRPr="00E802D3" w:rsidRDefault="00E802D3" w:rsidP="00E802D3">
      <w:pPr>
        <w:pStyle w:val="EndNoteBibliography"/>
        <w:spacing w:after="0"/>
        <w:ind w:left="720" w:hanging="720"/>
      </w:pPr>
      <w:r w:rsidRPr="00E802D3">
        <w:lastRenderedPageBreak/>
        <w:t xml:space="preserve">The PLoS Medicine Editors. (2012). Editorial.  Big Food: The Food Industry Is Ripe for Scrutiny. </w:t>
      </w:r>
      <w:r w:rsidRPr="00E802D3">
        <w:rPr>
          <w:i/>
        </w:rPr>
        <w:t>PLoS Medicine, 9</w:t>
      </w:r>
      <w:r w:rsidRPr="00E802D3">
        <w:t xml:space="preserve">(6). </w:t>
      </w:r>
    </w:p>
    <w:p w14:paraId="74E1ED76" w14:textId="77777777" w:rsidR="00E802D3" w:rsidRPr="00E802D3" w:rsidRDefault="00E802D3" w:rsidP="00E802D3">
      <w:pPr>
        <w:pStyle w:val="EndNoteBibliography"/>
        <w:spacing w:after="0"/>
        <w:ind w:left="720" w:hanging="720"/>
      </w:pPr>
      <w:r w:rsidRPr="00E802D3">
        <w:t xml:space="preserve">Ulucanlar, S., Fooks, G. J., Hatchard, J. L., &amp; Gilmore, A. B. (2014). Representation and Misrepresentation of Scientific Evidence in Contemporary Tobacco Regulation: A Review of Tobacco Industry Submissions to the UK Government Consultation on Standardised Packaging. </w:t>
      </w:r>
      <w:r w:rsidRPr="00E802D3">
        <w:rPr>
          <w:i/>
        </w:rPr>
        <w:t>PLoS Medicine, 11</w:t>
      </w:r>
      <w:r w:rsidRPr="00E802D3">
        <w:t xml:space="preserve">(3). </w:t>
      </w:r>
    </w:p>
    <w:p w14:paraId="068AE4A7" w14:textId="77777777" w:rsidR="00E802D3" w:rsidRPr="00E802D3" w:rsidRDefault="00E802D3" w:rsidP="00E802D3">
      <w:pPr>
        <w:pStyle w:val="EndNoteBibliography"/>
        <w:spacing w:after="0"/>
        <w:ind w:left="720" w:hanging="720"/>
      </w:pPr>
      <w:r w:rsidRPr="00E802D3">
        <w:t xml:space="preserve">Vallance, K., Vincent, A., Schoueri-Mychasiw, N., Stockwell, T., Hammond, D., Greenfield, T. K., . . . Hobin, E. (2020). News Media and the Influence of the Alcohol Industry: An Analysis of Media Coverage of Alcohol Warning Labels With a Cancer Message in Canada and Ireland. </w:t>
      </w:r>
      <w:r w:rsidRPr="00E802D3">
        <w:rPr>
          <w:i/>
        </w:rPr>
        <w:t>Journal of Studies on Alcohol and Drugs, 81</w:t>
      </w:r>
      <w:r w:rsidRPr="00E802D3">
        <w:t xml:space="preserve">(2), 273-283. </w:t>
      </w:r>
    </w:p>
    <w:p w14:paraId="41A19E1E" w14:textId="77777777" w:rsidR="00E802D3" w:rsidRPr="00E802D3" w:rsidRDefault="00E802D3" w:rsidP="00E802D3">
      <w:pPr>
        <w:pStyle w:val="EndNoteBibliography"/>
        <w:spacing w:after="0"/>
        <w:ind w:left="720" w:hanging="720"/>
      </w:pPr>
      <w:r w:rsidRPr="00E802D3">
        <w:t xml:space="preserve">Wakefield, M., Mcleod, K., &amp; Smith, K. C. (2003). Individual versus corporate responsibility for smoking-related illness: Australian press coverage of the rolah McCabe trial. </w:t>
      </w:r>
      <w:r w:rsidRPr="00E802D3">
        <w:rPr>
          <w:i/>
        </w:rPr>
        <w:t>Health Promotion International, 18</w:t>
      </w:r>
      <w:r w:rsidRPr="00E802D3">
        <w:t xml:space="preserve">(4), 297-305. </w:t>
      </w:r>
    </w:p>
    <w:p w14:paraId="33A7AD3E" w14:textId="77777777" w:rsidR="00E802D3" w:rsidRPr="00E802D3" w:rsidRDefault="00E802D3" w:rsidP="00E802D3">
      <w:pPr>
        <w:pStyle w:val="EndNoteBibliography"/>
        <w:spacing w:after="0"/>
        <w:ind w:left="720" w:hanging="720"/>
      </w:pPr>
      <w:r w:rsidRPr="00E802D3">
        <w:t xml:space="preserve">Warner, K. E. (2000). The economics of tobacco: myths and realities. </w:t>
      </w:r>
      <w:r w:rsidRPr="00E802D3">
        <w:rPr>
          <w:i/>
        </w:rPr>
        <w:t>Tobacco Control, 9</w:t>
      </w:r>
      <w:r w:rsidRPr="00E802D3">
        <w:t xml:space="preserve">, 78-89. </w:t>
      </w:r>
    </w:p>
    <w:p w14:paraId="5E99171F" w14:textId="77777777" w:rsidR="00E802D3" w:rsidRPr="00E802D3" w:rsidRDefault="00E802D3" w:rsidP="00E802D3">
      <w:pPr>
        <w:pStyle w:val="EndNoteBibliography"/>
        <w:spacing w:after="0"/>
        <w:ind w:left="720" w:hanging="720"/>
      </w:pPr>
      <w:r w:rsidRPr="00E802D3">
        <w:t xml:space="preserve">Weerasinghe, A., Schoueri-Mychasiw, N., Vallance, K., Stockwell, T., Hammond, D., McGavock, J., . . . Hobin, E. (2020). Improving knowledge that alcohol can cause cancer is associated with consumer support for alcohol policies: Findings from a real-world alcohol labelling study. </w:t>
      </w:r>
      <w:r w:rsidRPr="00E802D3">
        <w:rPr>
          <w:i/>
        </w:rPr>
        <w:t>International Journal of Environmental Research and Public Health, 17</w:t>
      </w:r>
      <w:r w:rsidRPr="00E802D3">
        <w:t xml:space="preserve">(2). </w:t>
      </w:r>
    </w:p>
    <w:p w14:paraId="7860306B" w14:textId="77777777" w:rsidR="00E802D3" w:rsidRPr="00E802D3" w:rsidRDefault="00E802D3" w:rsidP="00E802D3">
      <w:pPr>
        <w:pStyle w:val="EndNoteBibliography"/>
        <w:spacing w:after="0"/>
        <w:ind w:left="720" w:hanging="720"/>
      </w:pPr>
      <w:r w:rsidRPr="00E802D3">
        <w:t xml:space="preserve">Weishaar, H., Dorfman, L., Freudenberg, N., Hawkins, B., Smith, K., Razum, O., &amp; Hilton, S. (2016). Why media representations of corporations matter for public health policy: a scoping review. </w:t>
      </w:r>
      <w:r w:rsidRPr="00E802D3">
        <w:rPr>
          <w:i/>
        </w:rPr>
        <w:t>BMC Public Health, 16</w:t>
      </w:r>
      <w:r w:rsidRPr="00E802D3">
        <w:t xml:space="preserve">(1). </w:t>
      </w:r>
    </w:p>
    <w:p w14:paraId="0164A277" w14:textId="77777777" w:rsidR="00E802D3" w:rsidRPr="00E802D3" w:rsidRDefault="00E802D3" w:rsidP="00E802D3">
      <w:pPr>
        <w:pStyle w:val="EndNoteBibliography"/>
        <w:spacing w:after="0"/>
        <w:ind w:left="720" w:hanging="720"/>
      </w:pPr>
      <w:r w:rsidRPr="00E802D3">
        <w:t xml:space="preserve">Whalen, R., Harrold, J., Child, S., Halford, J., &amp; Boyland, E. (2017). Children’s exposure to food advertising: the impact of statutory restrictions </w:t>
      </w:r>
      <w:r w:rsidRPr="00E802D3">
        <w:rPr>
          <w:i/>
        </w:rPr>
        <w:t>Health Promotion International, 34</w:t>
      </w:r>
      <w:r w:rsidRPr="00E802D3">
        <w:t xml:space="preserve">(2), 227-235. </w:t>
      </w:r>
    </w:p>
    <w:p w14:paraId="7D4A73BA" w14:textId="77777777" w:rsidR="00E802D3" w:rsidRPr="00E802D3" w:rsidRDefault="00E802D3" w:rsidP="00E802D3">
      <w:pPr>
        <w:pStyle w:val="EndNoteBibliography"/>
        <w:ind w:left="720" w:hanging="720"/>
      </w:pPr>
      <w:r w:rsidRPr="00E802D3">
        <w:t xml:space="preserve">Willmott, M., Womack, J., Hollingworth, W., &amp; Campbell, R. (2015). Making the case for investment in public health: experiences of Directors of Public Health in English local government. </w:t>
      </w:r>
      <w:r w:rsidRPr="00E802D3">
        <w:rPr>
          <w:i/>
        </w:rPr>
        <w:t>Journal of Public Health, 38</w:t>
      </w:r>
      <w:r w:rsidRPr="00E802D3">
        <w:t xml:space="preserve">, 237-242. </w:t>
      </w:r>
    </w:p>
    <w:p w14:paraId="61B9A1BB" w14:textId="3C5AAA77" w:rsidR="00F92755" w:rsidRPr="00F9642B" w:rsidRDefault="00A50475" w:rsidP="000D3920">
      <w:pPr>
        <w:spacing w:after="0" w:line="360" w:lineRule="auto"/>
      </w:pPr>
      <w:r w:rsidRPr="00F9642B">
        <w:fldChar w:fldCharType="end"/>
      </w:r>
    </w:p>
    <w:p w14:paraId="10F33802" w14:textId="38705594" w:rsidR="00F54A7C" w:rsidRPr="00F9642B" w:rsidRDefault="00EA1BD0">
      <w:pPr>
        <w:rPr>
          <w:b/>
        </w:rPr>
      </w:pPr>
      <w:r w:rsidRPr="00F9642B">
        <w:br w:type="page"/>
      </w:r>
      <w:r w:rsidR="00D50CBB" w:rsidRPr="00F9642B">
        <w:rPr>
          <w:b/>
        </w:rPr>
        <w:lastRenderedPageBreak/>
        <w:t>Appendix</w:t>
      </w:r>
      <w:r w:rsidR="00F54A7C" w:rsidRPr="00F9642B">
        <w:rPr>
          <w:b/>
        </w:rPr>
        <w:t xml:space="preserve"> 1</w:t>
      </w:r>
    </w:p>
    <w:p w14:paraId="0A2CC4B7" w14:textId="50EDA4AD" w:rsidR="00EA1BD0" w:rsidRPr="00F9642B" w:rsidRDefault="00465132" w:rsidP="000D3920">
      <w:pPr>
        <w:spacing w:after="0" w:line="360" w:lineRule="auto"/>
      </w:pPr>
      <w:r w:rsidRPr="00F9642B">
        <w:rPr>
          <w:noProof/>
          <w:lang w:eastAsia="en-GB"/>
        </w:rPr>
        <w:drawing>
          <wp:inline distT="0" distB="0" distL="0" distR="0" wp14:anchorId="23024000" wp14:editId="37901689">
            <wp:extent cx="5019675" cy="7067550"/>
            <wp:effectExtent l="0" t="0" r="9525" b="0"/>
            <wp:docPr id="1" name="Chart 1">
              <a:extLst xmlns:a="http://schemas.openxmlformats.org/drawingml/2006/main">
                <a:ext uri="{FF2B5EF4-FFF2-40B4-BE49-F238E27FC236}">
                  <a16:creationId xmlns:a16="http://schemas.microsoft.com/office/drawing/2014/main" id="{1C7FFC90-362B-4D03-917B-64C3F06F67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758632B" w14:textId="23B68D8B" w:rsidR="00524724" w:rsidRDefault="00524724" w:rsidP="00524724">
      <w:pPr>
        <w:spacing w:after="0" w:line="240" w:lineRule="auto"/>
        <w:rPr>
          <w:sz w:val="18"/>
          <w:szCs w:val="18"/>
        </w:rPr>
      </w:pPr>
      <w:r w:rsidRPr="00F9642B">
        <w:rPr>
          <w:sz w:val="18"/>
          <w:szCs w:val="18"/>
        </w:rPr>
        <w:t>* Barking &amp; Dagenham Post, Birmingham Mail, Borehamwood Times, Coventry Telegraph, Croydon Advertiser, Daily Post, Daily Telegraph, dailystar.co.uk, Eastern Eye, Eater London, Euronews, Farmers Guardian, Farmers Weekly, Herald-Sun, Huddersfield Examiner, Investors Chronicle - Magazine and Web Content, Irish Daily Mail, Kantar Media – Precise, Lancashire Telegraph, Liverpool Echo, M2 Presswire, Manchester Evening News, Metro, News Shopper, Press Association National Newswire, Reuters Health E-Line, Reuters News, Spiked, sundaytimes.co.uk, The Advertiser, The Caterer, The Evening Chronicle Newcastle, The Gazette (Blackpool), The Herald, The independent, The Scotsman, The Sunday Independent, The Sunday Times, The Western Mail, thescottishsun.co.uk, WRBM Global Food, Yorkshire Evening Post, Yorkshire Post, Your Local Guardian</w:t>
      </w:r>
    </w:p>
    <w:p w14:paraId="2D60DD5F" w14:textId="5DB4E1E8" w:rsidR="00011386" w:rsidRDefault="00011386" w:rsidP="00524724">
      <w:pPr>
        <w:spacing w:after="0" w:line="240" w:lineRule="auto"/>
        <w:rPr>
          <w:sz w:val="18"/>
          <w:szCs w:val="18"/>
        </w:rPr>
      </w:pPr>
    </w:p>
    <w:p w14:paraId="7F4B6502" w14:textId="366F34D6" w:rsidR="00011386" w:rsidRDefault="00011386" w:rsidP="00524724">
      <w:pPr>
        <w:spacing w:after="0" w:line="240" w:lineRule="auto"/>
        <w:rPr>
          <w:sz w:val="18"/>
          <w:szCs w:val="18"/>
        </w:rPr>
      </w:pPr>
    </w:p>
    <w:p w14:paraId="6909D566" w14:textId="31027D08" w:rsidR="00011386" w:rsidRPr="00D675CA" w:rsidRDefault="00011386" w:rsidP="00011386">
      <w:pPr>
        <w:rPr>
          <w:b/>
        </w:rPr>
      </w:pPr>
      <w:r w:rsidRPr="00D675CA">
        <w:rPr>
          <w:b/>
        </w:rPr>
        <w:lastRenderedPageBreak/>
        <w:t>Appendix 2</w:t>
      </w:r>
    </w:p>
    <w:p w14:paraId="292BA5AD" w14:textId="77777777" w:rsidR="00011386" w:rsidRPr="00D675CA" w:rsidRDefault="00011386" w:rsidP="00011386">
      <w:pPr>
        <w:jc w:val="center"/>
        <w:rPr>
          <w:b/>
          <w:sz w:val="28"/>
          <w:szCs w:val="28"/>
        </w:rPr>
      </w:pPr>
      <w:r w:rsidRPr="00D675CA">
        <w:rPr>
          <w:b/>
          <w:sz w:val="28"/>
          <w:szCs w:val="28"/>
        </w:rPr>
        <w:t>Codes and themes</w:t>
      </w:r>
    </w:p>
    <w:tbl>
      <w:tblPr>
        <w:tblStyle w:val="TableGrid"/>
        <w:tblW w:w="9214" w:type="dxa"/>
        <w:tblInd w:w="-147" w:type="dxa"/>
        <w:tblLook w:val="04A0" w:firstRow="1" w:lastRow="0" w:firstColumn="1" w:lastColumn="0" w:noHBand="0" w:noVBand="1"/>
      </w:tblPr>
      <w:tblGrid>
        <w:gridCol w:w="2295"/>
        <w:gridCol w:w="6919"/>
      </w:tblGrid>
      <w:tr w:rsidR="00011386" w:rsidRPr="00D675CA" w14:paraId="5F33D582" w14:textId="77777777" w:rsidTr="00011386">
        <w:trPr>
          <w:trHeight w:val="642"/>
        </w:trPr>
        <w:tc>
          <w:tcPr>
            <w:tcW w:w="2295" w:type="dxa"/>
          </w:tcPr>
          <w:p w14:paraId="0A7FAE79" w14:textId="77777777" w:rsidR="00011386" w:rsidRPr="00D675CA" w:rsidRDefault="00011386" w:rsidP="00255A11">
            <w:pPr>
              <w:rPr>
                <w:b/>
              </w:rPr>
            </w:pPr>
            <w:r w:rsidRPr="00D675CA">
              <w:rPr>
                <w:b/>
              </w:rPr>
              <w:t xml:space="preserve">Global </w:t>
            </w:r>
          </w:p>
        </w:tc>
        <w:tc>
          <w:tcPr>
            <w:tcW w:w="6919" w:type="dxa"/>
          </w:tcPr>
          <w:p w14:paraId="5F551C84" w14:textId="77777777" w:rsidR="00011386" w:rsidRPr="00D675CA" w:rsidRDefault="00011386" w:rsidP="00255A11">
            <w:pPr>
              <w:rPr>
                <w:b/>
              </w:rPr>
            </w:pPr>
            <w:r w:rsidRPr="00D675CA">
              <w:rPr>
                <w:b/>
              </w:rPr>
              <w:t>Descriptors</w:t>
            </w:r>
          </w:p>
        </w:tc>
      </w:tr>
      <w:tr w:rsidR="00011386" w:rsidRPr="00D675CA" w14:paraId="487253AB" w14:textId="77777777" w:rsidTr="00011386">
        <w:tc>
          <w:tcPr>
            <w:tcW w:w="2295" w:type="dxa"/>
          </w:tcPr>
          <w:p w14:paraId="6292C918" w14:textId="77777777" w:rsidR="00011386" w:rsidRPr="00D675CA" w:rsidRDefault="00011386" w:rsidP="00011386">
            <w:pPr>
              <w:pStyle w:val="ListParagraph"/>
              <w:numPr>
                <w:ilvl w:val="0"/>
                <w:numId w:val="31"/>
              </w:numPr>
              <w:tabs>
                <w:tab w:val="left" w:pos="132"/>
              </w:tabs>
              <w:ind w:left="316"/>
              <w:rPr>
                <w:b/>
              </w:rPr>
            </w:pPr>
            <w:r w:rsidRPr="00D675CA">
              <w:rPr>
                <w:b/>
              </w:rPr>
              <w:t>For</w:t>
            </w:r>
          </w:p>
          <w:p w14:paraId="34399B00" w14:textId="77777777" w:rsidR="00011386" w:rsidRPr="00D675CA" w:rsidRDefault="00011386" w:rsidP="00011386">
            <w:pPr>
              <w:pStyle w:val="ListParagraph"/>
              <w:numPr>
                <w:ilvl w:val="0"/>
                <w:numId w:val="31"/>
              </w:numPr>
              <w:tabs>
                <w:tab w:val="left" w:pos="132"/>
              </w:tabs>
              <w:ind w:left="316"/>
              <w:rPr>
                <w:b/>
              </w:rPr>
            </w:pPr>
            <w:r w:rsidRPr="00D675CA">
              <w:rPr>
                <w:b/>
              </w:rPr>
              <w:t>Against</w:t>
            </w:r>
          </w:p>
          <w:p w14:paraId="20FC1D74" w14:textId="77777777" w:rsidR="00011386" w:rsidRPr="00D675CA" w:rsidRDefault="00011386" w:rsidP="00011386">
            <w:pPr>
              <w:pStyle w:val="ListParagraph"/>
              <w:numPr>
                <w:ilvl w:val="0"/>
                <w:numId w:val="31"/>
              </w:numPr>
              <w:tabs>
                <w:tab w:val="left" w:pos="132"/>
              </w:tabs>
              <w:ind w:left="316"/>
              <w:rPr>
                <w:b/>
              </w:rPr>
            </w:pPr>
            <w:r w:rsidRPr="00D675CA">
              <w:rPr>
                <w:b/>
              </w:rPr>
              <w:t>Neutral</w:t>
            </w:r>
          </w:p>
          <w:p w14:paraId="0302A570" w14:textId="77777777" w:rsidR="00011386" w:rsidRPr="00D675CA" w:rsidRDefault="00011386" w:rsidP="00255A11">
            <w:pPr>
              <w:tabs>
                <w:tab w:val="left" w:pos="132"/>
              </w:tabs>
              <w:ind w:left="316"/>
            </w:pPr>
          </w:p>
          <w:p w14:paraId="1791794E" w14:textId="77777777" w:rsidR="00011386" w:rsidRPr="00D675CA" w:rsidRDefault="00011386" w:rsidP="00011386">
            <w:pPr>
              <w:pStyle w:val="ListParagraph"/>
              <w:numPr>
                <w:ilvl w:val="0"/>
                <w:numId w:val="31"/>
              </w:numPr>
              <w:tabs>
                <w:tab w:val="left" w:pos="132"/>
              </w:tabs>
              <w:ind w:left="316"/>
              <w:rPr>
                <w:b/>
              </w:rPr>
            </w:pPr>
            <w:r w:rsidRPr="00D675CA">
              <w:rPr>
                <w:b/>
              </w:rPr>
              <w:t xml:space="preserve">Conflict </w:t>
            </w:r>
          </w:p>
          <w:p w14:paraId="42E760FB" w14:textId="77777777" w:rsidR="00011386" w:rsidRPr="00D675CA" w:rsidRDefault="00011386" w:rsidP="00011386">
            <w:pPr>
              <w:pStyle w:val="ListParagraph"/>
              <w:numPr>
                <w:ilvl w:val="0"/>
                <w:numId w:val="31"/>
              </w:numPr>
              <w:tabs>
                <w:tab w:val="left" w:pos="132"/>
              </w:tabs>
              <w:ind w:left="316"/>
            </w:pPr>
            <w:r w:rsidRPr="00D675CA">
              <w:rPr>
                <w:b/>
              </w:rPr>
              <w:t>Consensus</w:t>
            </w:r>
            <w:r w:rsidRPr="00D675CA">
              <w:t xml:space="preserve"> (framing of operationalisation of the ban and relations between stakeholders)</w:t>
            </w:r>
          </w:p>
          <w:p w14:paraId="41805E24" w14:textId="77777777" w:rsidR="00011386" w:rsidRPr="00D675CA" w:rsidRDefault="00011386" w:rsidP="00255A11">
            <w:pPr>
              <w:tabs>
                <w:tab w:val="left" w:pos="132"/>
              </w:tabs>
              <w:ind w:left="316"/>
            </w:pPr>
          </w:p>
          <w:p w14:paraId="74A86690" w14:textId="77777777" w:rsidR="00011386" w:rsidRPr="00D675CA" w:rsidRDefault="00011386" w:rsidP="00011386">
            <w:pPr>
              <w:pStyle w:val="ListParagraph"/>
              <w:numPr>
                <w:ilvl w:val="0"/>
                <w:numId w:val="31"/>
              </w:numPr>
              <w:tabs>
                <w:tab w:val="left" w:pos="132"/>
              </w:tabs>
              <w:ind w:left="316"/>
              <w:rPr>
                <w:b/>
              </w:rPr>
            </w:pPr>
            <w:r w:rsidRPr="00D675CA">
              <w:rPr>
                <w:b/>
              </w:rPr>
              <w:t>National</w:t>
            </w:r>
          </w:p>
          <w:p w14:paraId="7B739A32" w14:textId="77777777" w:rsidR="00011386" w:rsidRPr="00D675CA" w:rsidRDefault="00011386" w:rsidP="00011386">
            <w:pPr>
              <w:pStyle w:val="ListParagraph"/>
              <w:numPr>
                <w:ilvl w:val="0"/>
                <w:numId w:val="31"/>
              </w:numPr>
              <w:tabs>
                <w:tab w:val="left" w:pos="132"/>
              </w:tabs>
              <w:ind w:left="316"/>
              <w:rPr>
                <w:b/>
              </w:rPr>
            </w:pPr>
            <w:r w:rsidRPr="00D675CA">
              <w:rPr>
                <w:b/>
              </w:rPr>
              <w:t>Regional</w:t>
            </w:r>
          </w:p>
          <w:p w14:paraId="1CEF61FC" w14:textId="77777777" w:rsidR="00011386" w:rsidRPr="00D675CA" w:rsidRDefault="00011386" w:rsidP="00255A11">
            <w:pPr>
              <w:tabs>
                <w:tab w:val="left" w:pos="132"/>
              </w:tabs>
              <w:ind w:left="316"/>
            </w:pPr>
          </w:p>
          <w:p w14:paraId="268EB0BA" w14:textId="77777777" w:rsidR="00011386" w:rsidRPr="00D675CA" w:rsidRDefault="00011386" w:rsidP="00011386">
            <w:pPr>
              <w:pStyle w:val="ListParagraph"/>
              <w:numPr>
                <w:ilvl w:val="0"/>
                <w:numId w:val="31"/>
              </w:numPr>
              <w:tabs>
                <w:tab w:val="left" w:pos="132"/>
              </w:tabs>
              <w:ind w:left="316"/>
            </w:pPr>
            <w:r w:rsidRPr="00D675CA">
              <w:rPr>
                <w:b/>
              </w:rPr>
              <w:t xml:space="preserve">Stakeholders </w:t>
            </w:r>
          </w:p>
          <w:p w14:paraId="4B1EA18B" w14:textId="77777777" w:rsidR="00011386" w:rsidRPr="00D675CA" w:rsidRDefault="00011386" w:rsidP="00255A11">
            <w:pPr>
              <w:tabs>
                <w:tab w:val="left" w:pos="132"/>
              </w:tabs>
              <w:ind w:left="316"/>
            </w:pPr>
          </w:p>
          <w:p w14:paraId="71282065" w14:textId="77777777" w:rsidR="00011386" w:rsidRPr="00D675CA" w:rsidRDefault="00011386" w:rsidP="00011386">
            <w:pPr>
              <w:pStyle w:val="ListParagraph"/>
              <w:numPr>
                <w:ilvl w:val="0"/>
                <w:numId w:val="31"/>
              </w:numPr>
              <w:tabs>
                <w:tab w:val="left" w:pos="132"/>
              </w:tabs>
              <w:ind w:left="316"/>
              <w:rPr>
                <w:b/>
              </w:rPr>
            </w:pPr>
            <w:r w:rsidRPr="00D675CA">
              <w:rPr>
                <w:b/>
              </w:rPr>
              <w:t>Mayor-by-name</w:t>
            </w:r>
          </w:p>
          <w:p w14:paraId="2B6FA6CC" w14:textId="77777777" w:rsidR="00011386" w:rsidRPr="00D675CA" w:rsidRDefault="00011386" w:rsidP="00011386">
            <w:pPr>
              <w:pStyle w:val="ListParagraph"/>
              <w:numPr>
                <w:ilvl w:val="0"/>
                <w:numId w:val="31"/>
              </w:numPr>
              <w:tabs>
                <w:tab w:val="left" w:pos="132"/>
                <w:tab w:val="left" w:pos="290"/>
              </w:tabs>
              <w:ind w:left="316"/>
              <w:rPr>
                <w:b/>
              </w:rPr>
            </w:pPr>
            <w:r w:rsidRPr="00D675CA">
              <w:rPr>
                <w:b/>
              </w:rPr>
              <w:t>Mayor-by-office</w:t>
            </w:r>
          </w:p>
          <w:p w14:paraId="09947630" w14:textId="77777777" w:rsidR="00011386" w:rsidRPr="00D675CA" w:rsidRDefault="00011386" w:rsidP="00011386">
            <w:pPr>
              <w:tabs>
                <w:tab w:val="left" w:pos="132"/>
              </w:tabs>
            </w:pPr>
          </w:p>
        </w:tc>
        <w:tc>
          <w:tcPr>
            <w:tcW w:w="6919" w:type="dxa"/>
          </w:tcPr>
          <w:p w14:paraId="1F86D306" w14:textId="77777777" w:rsidR="00011386" w:rsidRPr="00D675CA" w:rsidRDefault="00011386" w:rsidP="00011386">
            <w:pPr>
              <w:pStyle w:val="ListParagraph"/>
              <w:numPr>
                <w:ilvl w:val="0"/>
                <w:numId w:val="22"/>
              </w:numPr>
              <w:ind w:left="184" w:hanging="184"/>
            </w:pPr>
            <w:r w:rsidRPr="00D675CA">
              <w:rPr>
                <w:b/>
              </w:rPr>
              <w:t>Health and social inequalities</w:t>
            </w:r>
            <w:r w:rsidRPr="00D675CA">
              <w:t xml:space="preserve"> (austerity, deprivation, disadvantage)</w:t>
            </w:r>
          </w:p>
          <w:p w14:paraId="125A60E1" w14:textId="77777777" w:rsidR="00011386" w:rsidRPr="00D675CA" w:rsidRDefault="00011386" w:rsidP="00011386">
            <w:pPr>
              <w:pStyle w:val="ListParagraph"/>
              <w:numPr>
                <w:ilvl w:val="0"/>
                <w:numId w:val="22"/>
              </w:numPr>
              <w:ind w:left="184" w:hanging="184"/>
              <w:rPr>
                <w:b/>
              </w:rPr>
            </w:pPr>
            <w:r w:rsidRPr="00D675CA">
              <w:rPr>
                <w:b/>
              </w:rPr>
              <w:t>Childhood obesity and child health</w:t>
            </w:r>
          </w:p>
          <w:p w14:paraId="30434718" w14:textId="77777777" w:rsidR="00011386" w:rsidRPr="00D675CA" w:rsidRDefault="00011386" w:rsidP="00011386">
            <w:pPr>
              <w:pStyle w:val="ListParagraph"/>
              <w:numPr>
                <w:ilvl w:val="0"/>
                <w:numId w:val="22"/>
              </w:numPr>
              <w:ind w:left="184" w:hanging="184"/>
            </w:pPr>
            <w:r w:rsidRPr="00D675CA">
              <w:rPr>
                <w:b/>
              </w:rPr>
              <w:t>Public health</w:t>
            </w:r>
            <w:r w:rsidRPr="00D675CA">
              <w:t xml:space="preserve"> (health services, NHS, patients)</w:t>
            </w:r>
          </w:p>
          <w:p w14:paraId="691A7612" w14:textId="77777777" w:rsidR="00011386" w:rsidRPr="00D675CA" w:rsidRDefault="00011386" w:rsidP="00011386">
            <w:pPr>
              <w:pStyle w:val="ListParagraph"/>
              <w:numPr>
                <w:ilvl w:val="0"/>
                <w:numId w:val="22"/>
              </w:numPr>
              <w:ind w:left="184" w:hanging="184"/>
            </w:pPr>
            <w:r w:rsidRPr="00D675CA">
              <w:rPr>
                <w:b/>
              </w:rPr>
              <w:t xml:space="preserve">Cost </w:t>
            </w:r>
            <w:r w:rsidRPr="00D675CA">
              <w:t xml:space="preserve"> (financial, revenue, money, markets, profit, economy etc)</w:t>
            </w:r>
          </w:p>
          <w:p w14:paraId="37307086" w14:textId="77777777" w:rsidR="00011386" w:rsidRPr="00D675CA" w:rsidRDefault="00011386" w:rsidP="00011386">
            <w:pPr>
              <w:pStyle w:val="ListParagraph"/>
              <w:numPr>
                <w:ilvl w:val="0"/>
                <w:numId w:val="22"/>
              </w:numPr>
              <w:ind w:left="184" w:hanging="184"/>
            </w:pPr>
            <w:r w:rsidRPr="00D675CA">
              <w:rPr>
                <w:b/>
              </w:rPr>
              <w:t xml:space="preserve">Choice </w:t>
            </w:r>
            <w:r w:rsidRPr="00D675CA">
              <w:t xml:space="preserve"> (including freedom)</w:t>
            </w:r>
          </w:p>
          <w:p w14:paraId="5859924E" w14:textId="77777777" w:rsidR="00011386" w:rsidRPr="00D675CA" w:rsidRDefault="00011386" w:rsidP="00011386">
            <w:pPr>
              <w:pStyle w:val="ListParagraph"/>
              <w:numPr>
                <w:ilvl w:val="0"/>
                <w:numId w:val="22"/>
              </w:numPr>
              <w:ind w:left="184" w:hanging="184"/>
            </w:pPr>
            <w:r w:rsidRPr="00D675CA">
              <w:rPr>
                <w:b/>
              </w:rPr>
              <w:t xml:space="preserve">Contradictions </w:t>
            </w:r>
            <w:r w:rsidRPr="00D675CA">
              <w:t>(including incoherence, and flaws within the Ban).</w:t>
            </w:r>
          </w:p>
          <w:p w14:paraId="7F4E9B11" w14:textId="77777777" w:rsidR="00011386" w:rsidRPr="00D675CA" w:rsidRDefault="00011386" w:rsidP="00011386">
            <w:pPr>
              <w:pStyle w:val="ListParagraph"/>
              <w:numPr>
                <w:ilvl w:val="0"/>
                <w:numId w:val="22"/>
              </w:numPr>
              <w:ind w:left="184" w:hanging="184"/>
              <w:rPr>
                <w:b/>
              </w:rPr>
            </w:pPr>
            <w:r w:rsidRPr="00D675CA">
              <w:rPr>
                <w:b/>
              </w:rPr>
              <w:t>Nanny state</w:t>
            </w:r>
          </w:p>
          <w:p w14:paraId="5DCD2B4C" w14:textId="77777777" w:rsidR="00011386" w:rsidRPr="00D675CA" w:rsidRDefault="00011386" w:rsidP="00011386">
            <w:pPr>
              <w:pStyle w:val="ListParagraph"/>
              <w:numPr>
                <w:ilvl w:val="0"/>
                <w:numId w:val="22"/>
              </w:numPr>
              <w:ind w:left="184" w:hanging="184"/>
            </w:pPr>
            <w:r w:rsidRPr="00D675CA">
              <w:rPr>
                <w:b/>
              </w:rPr>
              <w:t>Alternative policy priorities</w:t>
            </w:r>
            <w:r w:rsidRPr="00D675CA">
              <w:t xml:space="preserve"> (including knife crime, body shaming, environment, smoking etc).</w:t>
            </w:r>
          </w:p>
          <w:p w14:paraId="2302DAE1" w14:textId="77777777" w:rsidR="00011386" w:rsidRPr="00D675CA" w:rsidRDefault="00011386" w:rsidP="00011386">
            <w:pPr>
              <w:pStyle w:val="ListParagraph"/>
              <w:numPr>
                <w:ilvl w:val="0"/>
                <w:numId w:val="22"/>
              </w:numPr>
              <w:ind w:left="184" w:hanging="184"/>
            </w:pPr>
            <w:r w:rsidRPr="00D675CA">
              <w:rPr>
                <w:b/>
              </w:rPr>
              <w:t>Alternative policy solutions</w:t>
            </w:r>
            <w:r w:rsidRPr="00D675CA">
              <w:t xml:space="preserve"> (including physical activity, working with industry etc)</w:t>
            </w:r>
          </w:p>
          <w:p w14:paraId="3F939C2A" w14:textId="77777777" w:rsidR="00011386" w:rsidRPr="00D675CA" w:rsidRDefault="00011386" w:rsidP="00011386">
            <w:pPr>
              <w:pStyle w:val="ListParagraph"/>
              <w:numPr>
                <w:ilvl w:val="0"/>
                <w:numId w:val="22"/>
              </w:numPr>
              <w:ind w:left="184" w:hanging="184"/>
            </w:pPr>
            <w:r w:rsidRPr="00D675CA">
              <w:rPr>
                <w:b/>
              </w:rPr>
              <w:t>Policy creep</w:t>
            </w:r>
            <w:r w:rsidRPr="00D675CA">
              <w:t xml:space="preserve"> / thin end of the wedge</w:t>
            </w:r>
          </w:p>
          <w:p w14:paraId="12FBCD97" w14:textId="77777777" w:rsidR="00011386" w:rsidRPr="00D675CA" w:rsidRDefault="00011386" w:rsidP="00011386">
            <w:pPr>
              <w:pStyle w:val="ListParagraph"/>
              <w:numPr>
                <w:ilvl w:val="0"/>
                <w:numId w:val="22"/>
              </w:numPr>
              <w:ind w:left="184" w:hanging="184"/>
            </w:pPr>
            <w:r w:rsidRPr="00D675CA">
              <w:rPr>
                <w:b/>
              </w:rPr>
              <w:t>Legislation</w:t>
            </w:r>
            <w:r w:rsidRPr="00D675CA">
              <w:t xml:space="preserve"> (law / legal / validity / integrity)</w:t>
            </w:r>
          </w:p>
          <w:p w14:paraId="79AD026E" w14:textId="77777777" w:rsidR="00011386" w:rsidRPr="00D675CA" w:rsidRDefault="00011386" w:rsidP="00011386">
            <w:pPr>
              <w:pStyle w:val="ListParagraph"/>
              <w:numPr>
                <w:ilvl w:val="0"/>
                <w:numId w:val="22"/>
              </w:numPr>
              <w:ind w:left="184" w:hanging="184"/>
            </w:pPr>
            <w:r w:rsidRPr="00D675CA">
              <w:rPr>
                <w:b/>
              </w:rPr>
              <w:t>Trail blazing</w:t>
            </w:r>
            <w:r w:rsidRPr="00D675CA">
              <w:t xml:space="preserve"> (trend setting / innovation)</w:t>
            </w:r>
          </w:p>
          <w:p w14:paraId="176A9075" w14:textId="77777777" w:rsidR="00011386" w:rsidRPr="00D675CA" w:rsidRDefault="00011386" w:rsidP="00011386">
            <w:pPr>
              <w:pStyle w:val="ListParagraph"/>
              <w:numPr>
                <w:ilvl w:val="0"/>
                <w:numId w:val="22"/>
              </w:numPr>
              <w:ind w:left="184" w:hanging="184"/>
            </w:pPr>
            <w:r w:rsidRPr="00D675CA">
              <w:rPr>
                <w:b/>
              </w:rPr>
              <w:t>Moral arguments</w:t>
            </w:r>
            <w:r w:rsidRPr="00D675CA">
              <w:t xml:space="preserve"> (positive or negative)</w:t>
            </w:r>
          </w:p>
          <w:p w14:paraId="72945AB6" w14:textId="77777777" w:rsidR="00011386" w:rsidRPr="00D675CA" w:rsidRDefault="00011386" w:rsidP="00011386">
            <w:pPr>
              <w:pStyle w:val="ListParagraph"/>
              <w:numPr>
                <w:ilvl w:val="0"/>
                <w:numId w:val="22"/>
              </w:numPr>
              <w:ind w:left="184" w:hanging="184"/>
            </w:pPr>
            <w:r w:rsidRPr="00D675CA">
              <w:rPr>
                <w:b/>
              </w:rPr>
              <w:t>Probable consequences</w:t>
            </w:r>
            <w:r w:rsidRPr="00D675CA">
              <w:t xml:space="preserve"> (expectations, predictions - positive or negative)</w:t>
            </w:r>
          </w:p>
          <w:p w14:paraId="4068FBEB" w14:textId="77777777" w:rsidR="00011386" w:rsidRPr="00D675CA" w:rsidRDefault="00011386" w:rsidP="00011386">
            <w:pPr>
              <w:pStyle w:val="ListParagraph"/>
              <w:numPr>
                <w:ilvl w:val="0"/>
                <w:numId w:val="22"/>
              </w:numPr>
              <w:ind w:left="184" w:hanging="184"/>
            </w:pPr>
            <w:r w:rsidRPr="00D675CA">
              <w:rPr>
                <w:b/>
              </w:rPr>
              <w:t>Evidence</w:t>
            </w:r>
            <w:r w:rsidRPr="00D675CA">
              <w:t xml:space="preserve"> (scientific or anecdotal)</w:t>
            </w:r>
          </w:p>
          <w:p w14:paraId="73F8C9E0" w14:textId="77777777" w:rsidR="00011386" w:rsidRPr="00D675CA" w:rsidRDefault="00011386" w:rsidP="00011386">
            <w:pPr>
              <w:pStyle w:val="ListParagraph"/>
              <w:numPr>
                <w:ilvl w:val="0"/>
                <w:numId w:val="22"/>
              </w:numPr>
              <w:ind w:left="177" w:hanging="153"/>
            </w:pPr>
            <w:r w:rsidRPr="00D675CA">
              <w:rPr>
                <w:b/>
              </w:rPr>
              <w:t>Typical HFSS foods</w:t>
            </w:r>
            <w:r w:rsidRPr="00D675CA">
              <w:t xml:space="preserve"> (sugar, salt, take away, ‘junk’, confectionary etc)</w:t>
            </w:r>
          </w:p>
          <w:p w14:paraId="2A6598D4" w14:textId="77777777" w:rsidR="00011386" w:rsidRPr="00D675CA" w:rsidRDefault="00011386" w:rsidP="00011386">
            <w:pPr>
              <w:pStyle w:val="ListParagraph"/>
              <w:numPr>
                <w:ilvl w:val="0"/>
                <w:numId w:val="22"/>
              </w:numPr>
              <w:ind w:left="177" w:hanging="141"/>
            </w:pPr>
            <w:r w:rsidRPr="00D675CA">
              <w:rPr>
                <w:b/>
              </w:rPr>
              <w:t>Non-typical HFSS foods</w:t>
            </w:r>
            <w:r w:rsidRPr="00D675CA">
              <w:t xml:space="preserve"> (olive oil, butter, strawberries and cream etc)</w:t>
            </w:r>
          </w:p>
          <w:p w14:paraId="16A4B9A3" w14:textId="77777777" w:rsidR="00011386" w:rsidRPr="00D675CA" w:rsidRDefault="00011386" w:rsidP="00255A11"/>
        </w:tc>
      </w:tr>
    </w:tbl>
    <w:p w14:paraId="65009C76" w14:textId="77777777" w:rsidR="00011386" w:rsidRPr="00D675CA" w:rsidRDefault="00011386" w:rsidP="00011386"/>
    <w:tbl>
      <w:tblPr>
        <w:tblStyle w:val="TableGrid"/>
        <w:tblW w:w="9214" w:type="dxa"/>
        <w:tblInd w:w="-147" w:type="dxa"/>
        <w:tblLook w:val="04A0" w:firstRow="1" w:lastRow="0" w:firstColumn="1" w:lastColumn="0" w:noHBand="0" w:noVBand="1"/>
      </w:tblPr>
      <w:tblGrid>
        <w:gridCol w:w="4253"/>
        <w:gridCol w:w="4961"/>
      </w:tblGrid>
      <w:tr w:rsidR="00011386" w:rsidRPr="00D675CA" w14:paraId="72A83764" w14:textId="77777777" w:rsidTr="00011386">
        <w:tc>
          <w:tcPr>
            <w:tcW w:w="4253" w:type="dxa"/>
          </w:tcPr>
          <w:p w14:paraId="637F56CC" w14:textId="77777777" w:rsidR="00011386" w:rsidRPr="00D675CA" w:rsidRDefault="00011386" w:rsidP="00255A11">
            <w:pPr>
              <w:rPr>
                <w:b/>
              </w:rPr>
            </w:pPr>
            <w:r w:rsidRPr="00D675CA">
              <w:rPr>
                <w:b/>
              </w:rPr>
              <w:t>Arguments for the ban</w:t>
            </w:r>
          </w:p>
        </w:tc>
        <w:tc>
          <w:tcPr>
            <w:tcW w:w="4961" w:type="dxa"/>
          </w:tcPr>
          <w:p w14:paraId="2731BA96" w14:textId="77777777" w:rsidR="00011386" w:rsidRPr="00D675CA" w:rsidRDefault="00011386" w:rsidP="00255A11">
            <w:pPr>
              <w:rPr>
                <w:b/>
              </w:rPr>
            </w:pPr>
            <w:r w:rsidRPr="00D675CA">
              <w:rPr>
                <w:b/>
              </w:rPr>
              <w:t>Arguments against the ban</w:t>
            </w:r>
          </w:p>
          <w:p w14:paraId="39CFC43D" w14:textId="77777777" w:rsidR="00011386" w:rsidRPr="00D675CA" w:rsidRDefault="00011386" w:rsidP="00255A11">
            <w:pPr>
              <w:rPr>
                <w:b/>
              </w:rPr>
            </w:pPr>
          </w:p>
        </w:tc>
      </w:tr>
      <w:tr w:rsidR="00011386" w:rsidRPr="00D675CA" w14:paraId="28C8B948" w14:textId="77777777" w:rsidTr="00011386">
        <w:tc>
          <w:tcPr>
            <w:tcW w:w="4253" w:type="dxa"/>
          </w:tcPr>
          <w:p w14:paraId="0C1EBB1A" w14:textId="37D61BA2" w:rsidR="00C35329" w:rsidRPr="00D675CA" w:rsidRDefault="00C35329" w:rsidP="00255A11">
            <w:r w:rsidRPr="00D675CA">
              <w:t>Health and social inequalities</w:t>
            </w:r>
          </w:p>
          <w:p w14:paraId="2BEEEC52" w14:textId="43B43A74" w:rsidR="00AD4814" w:rsidRPr="00D675CA" w:rsidRDefault="00AD4814" w:rsidP="00AD4814">
            <w:pPr>
              <w:pStyle w:val="ListParagraph"/>
              <w:numPr>
                <w:ilvl w:val="0"/>
                <w:numId w:val="35"/>
              </w:numPr>
            </w:pPr>
            <w:r w:rsidRPr="00D675CA">
              <w:t>Moral responsibility</w:t>
            </w:r>
          </w:p>
          <w:p w14:paraId="6423AC08" w14:textId="5B3C792A" w:rsidR="00C35329" w:rsidRPr="00D675CA" w:rsidRDefault="00C35329" w:rsidP="00255A11">
            <w:r w:rsidRPr="00D675CA">
              <w:t>Childhood obesity as a public health crisis</w:t>
            </w:r>
          </w:p>
          <w:p w14:paraId="67DA40DD" w14:textId="7CC4F9AA" w:rsidR="00AD4814" w:rsidRPr="00D675CA" w:rsidRDefault="00AD4814" w:rsidP="00AD4814">
            <w:pPr>
              <w:pStyle w:val="ListParagraph"/>
              <w:numPr>
                <w:ilvl w:val="0"/>
                <w:numId w:val="34"/>
              </w:numPr>
            </w:pPr>
            <w:r w:rsidRPr="00D675CA">
              <w:t>Collective good</w:t>
            </w:r>
          </w:p>
          <w:p w14:paraId="3AF750A0" w14:textId="74334E80" w:rsidR="00AD4814" w:rsidRPr="00D675CA" w:rsidRDefault="00AD4814" w:rsidP="00AD4814">
            <w:pPr>
              <w:pStyle w:val="ListParagraph"/>
              <w:numPr>
                <w:ilvl w:val="0"/>
                <w:numId w:val="34"/>
              </w:numPr>
            </w:pPr>
            <w:r w:rsidRPr="00D675CA">
              <w:t>Averting crisis / harm</w:t>
            </w:r>
          </w:p>
          <w:p w14:paraId="3A012C01" w14:textId="39E6BD80" w:rsidR="00AD4814" w:rsidRPr="00D675CA" w:rsidRDefault="00AD4814" w:rsidP="00AD4814">
            <w:pPr>
              <w:pStyle w:val="ListParagraph"/>
              <w:numPr>
                <w:ilvl w:val="0"/>
                <w:numId w:val="34"/>
              </w:numPr>
            </w:pPr>
            <w:r w:rsidRPr="00D675CA">
              <w:t>Proactive</w:t>
            </w:r>
          </w:p>
          <w:p w14:paraId="6725B0AC" w14:textId="0EAD2DD3" w:rsidR="00C35329" w:rsidRPr="00D675CA" w:rsidRDefault="00C35329" w:rsidP="00255A11">
            <w:r w:rsidRPr="00D675CA">
              <w:t>Economic burden on health services.</w:t>
            </w:r>
          </w:p>
        </w:tc>
        <w:tc>
          <w:tcPr>
            <w:tcW w:w="4961" w:type="dxa"/>
          </w:tcPr>
          <w:p w14:paraId="6256699E" w14:textId="353B1877" w:rsidR="002C4163" w:rsidRPr="00D675CA" w:rsidRDefault="002C4163" w:rsidP="002C4163">
            <w:pPr>
              <w:contextualSpacing/>
              <w:rPr>
                <w:rFonts w:cstheme="minorHAnsi"/>
              </w:rPr>
            </w:pPr>
            <w:r w:rsidRPr="00D675CA">
              <w:rPr>
                <w:rFonts w:cstheme="minorHAnsi"/>
              </w:rPr>
              <w:t>Childhood obesity not the ‘right’ problem</w:t>
            </w:r>
          </w:p>
          <w:p w14:paraId="37264F65" w14:textId="0B86FA64" w:rsidR="002C4163" w:rsidRPr="00D675CA" w:rsidRDefault="002C4163" w:rsidP="002C4163">
            <w:pPr>
              <w:pStyle w:val="ListParagraph"/>
              <w:numPr>
                <w:ilvl w:val="0"/>
                <w:numId w:val="34"/>
              </w:numPr>
              <w:rPr>
                <w:rFonts w:cstheme="minorHAnsi"/>
              </w:rPr>
            </w:pPr>
            <w:r w:rsidRPr="00D675CA">
              <w:rPr>
                <w:rFonts w:cstheme="minorHAnsi"/>
              </w:rPr>
              <w:t>Trivial</w:t>
            </w:r>
          </w:p>
          <w:p w14:paraId="54407B6F" w14:textId="4084564A" w:rsidR="00BF5AFE" w:rsidRPr="00D675CA" w:rsidRDefault="00BF5AFE" w:rsidP="002C4163">
            <w:pPr>
              <w:pStyle w:val="ListParagraph"/>
              <w:numPr>
                <w:ilvl w:val="0"/>
                <w:numId w:val="34"/>
              </w:numPr>
              <w:rPr>
                <w:rFonts w:cstheme="minorHAnsi"/>
              </w:rPr>
            </w:pPr>
            <w:r w:rsidRPr="00D675CA">
              <w:rPr>
                <w:rFonts w:cstheme="minorHAnsi"/>
              </w:rPr>
              <w:t>Bigger problems</w:t>
            </w:r>
          </w:p>
          <w:p w14:paraId="5876F373" w14:textId="77777777" w:rsidR="002C4163" w:rsidRPr="00D675CA" w:rsidRDefault="002C4163" w:rsidP="002C4163">
            <w:pPr>
              <w:contextualSpacing/>
              <w:rPr>
                <w:rFonts w:cstheme="minorHAnsi"/>
              </w:rPr>
            </w:pPr>
            <w:r w:rsidRPr="00D675CA">
              <w:rPr>
                <w:rFonts w:cstheme="minorHAnsi"/>
              </w:rPr>
              <w:t>Advertising ban will not work  / effect change</w:t>
            </w:r>
          </w:p>
          <w:p w14:paraId="2BF7A41B" w14:textId="7C31CBCD" w:rsidR="00011386" w:rsidRPr="00D675CA" w:rsidRDefault="00011386" w:rsidP="002C4163">
            <w:pPr>
              <w:pStyle w:val="ListParagraph"/>
              <w:numPr>
                <w:ilvl w:val="0"/>
                <w:numId w:val="34"/>
              </w:numPr>
            </w:pPr>
            <w:r w:rsidRPr="00D675CA">
              <w:t>Irresponsible</w:t>
            </w:r>
          </w:p>
          <w:p w14:paraId="1D647B0D" w14:textId="66304891" w:rsidR="00BF5AFE" w:rsidRPr="00D675CA" w:rsidRDefault="00BF5AFE" w:rsidP="002C4163">
            <w:pPr>
              <w:pStyle w:val="ListParagraph"/>
              <w:numPr>
                <w:ilvl w:val="0"/>
                <w:numId w:val="34"/>
              </w:numPr>
            </w:pPr>
            <w:r w:rsidRPr="00D675CA">
              <w:t>Costly</w:t>
            </w:r>
          </w:p>
          <w:p w14:paraId="655CBFCF" w14:textId="5DF49863" w:rsidR="00BF5AFE" w:rsidRPr="00D675CA" w:rsidRDefault="00BF5AFE" w:rsidP="002C4163">
            <w:pPr>
              <w:pStyle w:val="ListParagraph"/>
              <w:numPr>
                <w:ilvl w:val="0"/>
                <w:numId w:val="34"/>
              </w:numPr>
            </w:pPr>
            <w:r w:rsidRPr="00D675CA">
              <w:t>Damaging</w:t>
            </w:r>
          </w:p>
          <w:p w14:paraId="34688525" w14:textId="77777777" w:rsidR="00011386" w:rsidRPr="00D675CA" w:rsidRDefault="00011386" w:rsidP="00BF5AFE"/>
        </w:tc>
      </w:tr>
    </w:tbl>
    <w:p w14:paraId="3778B4A8" w14:textId="77777777" w:rsidR="00011386" w:rsidRPr="00D675CA" w:rsidRDefault="00011386" w:rsidP="00011386"/>
    <w:tbl>
      <w:tblPr>
        <w:tblStyle w:val="TableGrid"/>
        <w:tblW w:w="0" w:type="auto"/>
        <w:tblInd w:w="-147" w:type="dxa"/>
        <w:tblLook w:val="04A0" w:firstRow="1" w:lastRow="0" w:firstColumn="1" w:lastColumn="0" w:noHBand="0" w:noVBand="1"/>
      </w:tblPr>
      <w:tblGrid>
        <w:gridCol w:w="9163"/>
      </w:tblGrid>
      <w:tr w:rsidR="00011386" w:rsidRPr="00D675CA" w14:paraId="63A9BE3D" w14:textId="77777777" w:rsidTr="004B5179">
        <w:tc>
          <w:tcPr>
            <w:tcW w:w="9163" w:type="dxa"/>
          </w:tcPr>
          <w:p w14:paraId="2CB75F08" w14:textId="77777777" w:rsidR="00011386" w:rsidRPr="00D675CA" w:rsidRDefault="00011386" w:rsidP="00255A11">
            <w:pPr>
              <w:jc w:val="center"/>
              <w:rPr>
                <w:b/>
              </w:rPr>
            </w:pPr>
            <w:r w:rsidRPr="00D675CA">
              <w:rPr>
                <w:b/>
              </w:rPr>
              <w:t>Major themes underpinning arguments</w:t>
            </w:r>
          </w:p>
          <w:p w14:paraId="11C5931F" w14:textId="77777777" w:rsidR="00011386" w:rsidRPr="00D675CA" w:rsidRDefault="00011386" w:rsidP="00255A11">
            <w:pPr>
              <w:jc w:val="center"/>
            </w:pPr>
          </w:p>
        </w:tc>
      </w:tr>
      <w:tr w:rsidR="00011386" w14:paraId="5CD19A48" w14:textId="77777777" w:rsidTr="004B5179">
        <w:tc>
          <w:tcPr>
            <w:tcW w:w="9163" w:type="dxa"/>
          </w:tcPr>
          <w:p w14:paraId="01F409EC" w14:textId="77777777" w:rsidR="00011386" w:rsidRPr="00D675CA" w:rsidRDefault="00011386" w:rsidP="002C4163">
            <w:pPr>
              <w:pStyle w:val="ListParagraph"/>
              <w:numPr>
                <w:ilvl w:val="0"/>
                <w:numId w:val="32"/>
              </w:numPr>
            </w:pPr>
            <w:r w:rsidRPr="00D675CA">
              <w:t>Mayor by name / mayor by post – crusading vs implementing</w:t>
            </w:r>
          </w:p>
          <w:p w14:paraId="0A2D5B75" w14:textId="77777777" w:rsidR="00011386" w:rsidRPr="00D675CA" w:rsidRDefault="00011386" w:rsidP="002C4163">
            <w:pPr>
              <w:pStyle w:val="ListParagraph"/>
              <w:numPr>
                <w:ilvl w:val="0"/>
                <w:numId w:val="32"/>
              </w:numPr>
            </w:pPr>
            <w:r w:rsidRPr="00D675CA">
              <w:t>The ban as a challenge to traditional values and practices</w:t>
            </w:r>
          </w:p>
          <w:p w14:paraId="539E269D" w14:textId="77777777" w:rsidR="00011386" w:rsidRPr="00D675CA" w:rsidRDefault="00011386" w:rsidP="002C4163">
            <w:pPr>
              <w:pStyle w:val="ListParagraph"/>
              <w:numPr>
                <w:ilvl w:val="0"/>
                <w:numId w:val="32"/>
              </w:numPr>
            </w:pPr>
            <w:r w:rsidRPr="00D675CA">
              <w:t>Regional and national observations – leading the way for local public health</w:t>
            </w:r>
          </w:p>
          <w:p w14:paraId="1F6A7DD3" w14:textId="43E7E6ED" w:rsidR="00011386" w:rsidRPr="00D675CA" w:rsidRDefault="002C4163" w:rsidP="002C4163">
            <w:pPr>
              <w:pStyle w:val="ListParagraph"/>
              <w:numPr>
                <w:ilvl w:val="0"/>
                <w:numId w:val="32"/>
              </w:numPr>
            </w:pPr>
            <w:r w:rsidRPr="00D675CA">
              <w:t xml:space="preserve"> </w:t>
            </w:r>
            <w:r w:rsidR="00011386" w:rsidRPr="00D675CA">
              <w:t>“Ticking time bomb of childhood obesity”</w:t>
            </w:r>
          </w:p>
          <w:p w14:paraId="5369B8BB" w14:textId="66CAEAD8" w:rsidR="00011386" w:rsidRPr="00D675CA" w:rsidRDefault="00011386" w:rsidP="002C4163">
            <w:pPr>
              <w:pStyle w:val="ListParagraph"/>
              <w:numPr>
                <w:ilvl w:val="0"/>
                <w:numId w:val="32"/>
              </w:numPr>
            </w:pPr>
            <w:r w:rsidRPr="00D675CA">
              <w:t>The corset effect vs part of the solution (consensus and conflict)</w:t>
            </w:r>
          </w:p>
          <w:p w14:paraId="2A450AB7" w14:textId="3BE866F9" w:rsidR="002C4163" w:rsidRPr="00D675CA" w:rsidRDefault="002C4163" w:rsidP="002C4163">
            <w:pPr>
              <w:pStyle w:val="ListParagraph"/>
              <w:numPr>
                <w:ilvl w:val="0"/>
                <w:numId w:val="32"/>
              </w:numPr>
              <w:rPr>
                <w:rFonts w:cstheme="minorHAnsi"/>
              </w:rPr>
            </w:pPr>
            <w:r w:rsidRPr="00D675CA">
              <w:rPr>
                <w:rFonts w:cstheme="minorHAnsi"/>
              </w:rPr>
              <w:t>Identifying more ‘important’ or alternative priorities for action</w:t>
            </w:r>
          </w:p>
          <w:p w14:paraId="35B8D73D" w14:textId="5739B4D3" w:rsidR="002C4163" w:rsidRPr="00D675CA" w:rsidRDefault="00BF5AFE" w:rsidP="002C4163">
            <w:pPr>
              <w:pStyle w:val="ListParagraph"/>
              <w:numPr>
                <w:ilvl w:val="0"/>
                <w:numId w:val="32"/>
              </w:numPr>
              <w:rPr>
                <w:rFonts w:cstheme="minorHAnsi"/>
              </w:rPr>
            </w:pPr>
            <w:r w:rsidRPr="00D675CA">
              <w:rPr>
                <w:rFonts w:cstheme="minorHAnsi"/>
              </w:rPr>
              <w:t>Flawed science/ lack of evidence / badly designed</w:t>
            </w:r>
          </w:p>
          <w:p w14:paraId="19E0B6CD" w14:textId="693F707E" w:rsidR="00011386" w:rsidRPr="00D675CA" w:rsidRDefault="00BF5AFE" w:rsidP="00255A11">
            <w:pPr>
              <w:pStyle w:val="ListParagraph"/>
              <w:numPr>
                <w:ilvl w:val="0"/>
                <w:numId w:val="32"/>
              </w:numPr>
            </w:pPr>
            <w:r w:rsidRPr="00D675CA">
              <w:rPr>
                <w:rFonts w:cstheme="minorHAnsi"/>
              </w:rPr>
              <w:t>Forecasting negative and severe economic and political impacts</w:t>
            </w:r>
          </w:p>
        </w:tc>
      </w:tr>
    </w:tbl>
    <w:p w14:paraId="25C87C3E" w14:textId="77777777" w:rsidR="004B5179" w:rsidRPr="00F9642B" w:rsidRDefault="004B5179" w:rsidP="004B5179">
      <w:pPr>
        <w:spacing w:line="360" w:lineRule="auto"/>
        <w:rPr>
          <w:b/>
          <w:bCs/>
        </w:rPr>
      </w:pPr>
    </w:p>
    <w:p w14:paraId="17530D00" w14:textId="77777777" w:rsidR="004B5179" w:rsidRPr="00F9642B" w:rsidRDefault="004B5179" w:rsidP="004B5179">
      <w:pPr>
        <w:spacing w:line="360" w:lineRule="auto"/>
        <w:rPr>
          <w:b/>
          <w:bCs/>
        </w:rPr>
      </w:pPr>
      <w:r w:rsidRPr="00F9642B">
        <w:rPr>
          <w:b/>
          <w:bCs/>
        </w:rPr>
        <w:lastRenderedPageBreak/>
        <w:t>Acknowledgements</w:t>
      </w:r>
    </w:p>
    <w:p w14:paraId="68266E7F" w14:textId="77777777" w:rsidR="004B5179" w:rsidRPr="003E3F2D" w:rsidRDefault="004B5179" w:rsidP="004B5179">
      <w:pPr>
        <w:spacing w:after="0" w:line="240" w:lineRule="auto"/>
        <w:contextualSpacing/>
      </w:pPr>
      <w:r w:rsidRPr="003E3F2D">
        <w:t>This study is funded by the NIHR School for Public Health Research (SPHR) (Grant Reference Number </w:t>
      </w:r>
      <w:hyperlink r:id="rId28" w:anchor="gs1" w:history="1">
        <w:r w:rsidRPr="003E3F2D">
          <w:rPr>
            <w:rStyle w:val="Hyperlink"/>
          </w:rPr>
          <w:t>PD-SPH-2015</w:t>
        </w:r>
      </w:hyperlink>
      <w:r w:rsidRPr="003E3F2D">
        <w:t xml:space="preserve">). </w:t>
      </w:r>
    </w:p>
    <w:p w14:paraId="2569F281" w14:textId="77777777" w:rsidR="004B5179" w:rsidRPr="003E3F2D" w:rsidRDefault="004B5179" w:rsidP="004B5179">
      <w:pPr>
        <w:spacing w:after="0" w:line="240" w:lineRule="auto"/>
        <w:contextualSpacing/>
      </w:pPr>
    </w:p>
    <w:p w14:paraId="6C88F5B5" w14:textId="77777777" w:rsidR="004B5179" w:rsidRPr="003E3F2D" w:rsidRDefault="004B5179" w:rsidP="004B5179">
      <w:pPr>
        <w:spacing w:after="0" w:line="240" w:lineRule="auto"/>
        <w:contextualSpacing/>
        <w:textAlignment w:val="baseline"/>
        <w:rPr>
          <w:rFonts w:ascii="Calibri" w:eastAsia="Times New Roman" w:hAnsi="Calibri" w:cs="Calibri"/>
          <w:lang w:eastAsia="zh-CN"/>
        </w:rPr>
      </w:pPr>
      <w:r w:rsidRPr="00204B9C">
        <w:rPr>
          <w:rFonts w:ascii="Calibri" w:eastAsia="Times New Roman" w:hAnsi="Calibri" w:cs="Calibri"/>
          <w:lang w:eastAsia="zh-CN"/>
        </w:rPr>
        <w:t xml:space="preserve">The National Institute for Health Research (NIHR) School for Public Health Research is a partnership between the Universities of Sheffield; Bristol; Cambridge; Imperial; and University College London; The London School for Hygiene and Tropical Medicine (LSHTM); </w:t>
      </w:r>
      <w:proofErr w:type="spellStart"/>
      <w:r w:rsidRPr="00204B9C">
        <w:rPr>
          <w:rFonts w:ascii="Calibri" w:eastAsia="Times New Roman" w:hAnsi="Calibri" w:cs="Calibri"/>
          <w:lang w:eastAsia="zh-CN"/>
        </w:rPr>
        <w:t>LiLaC</w:t>
      </w:r>
      <w:proofErr w:type="spellEnd"/>
      <w:r w:rsidRPr="00204B9C">
        <w:rPr>
          <w:rFonts w:ascii="Calibri" w:eastAsia="Times New Roman" w:hAnsi="Calibri" w:cs="Calibri"/>
          <w:lang w:eastAsia="zh-CN"/>
        </w:rPr>
        <w:t xml:space="preserve"> – a collaboration between the Universities of Liverpool and Lancaster; and Fuse - The Centre for Translational Research in Public Health, a collaboration between Newcastle, Durham, Northumbria, Sunderland and Teesside Universities. </w:t>
      </w:r>
    </w:p>
    <w:p w14:paraId="5D471F75" w14:textId="77777777" w:rsidR="004B5179" w:rsidRPr="003E3F2D" w:rsidRDefault="004B5179" w:rsidP="004B5179">
      <w:pPr>
        <w:spacing w:after="0" w:line="240" w:lineRule="auto"/>
        <w:contextualSpacing/>
        <w:textAlignment w:val="baseline"/>
        <w:rPr>
          <w:rFonts w:ascii="Calibri" w:eastAsia="Times New Roman" w:hAnsi="Calibri" w:cs="Calibri"/>
          <w:lang w:eastAsia="zh-CN"/>
        </w:rPr>
      </w:pPr>
    </w:p>
    <w:p w14:paraId="0C8EAB57" w14:textId="77777777" w:rsidR="004B5179" w:rsidRPr="003E3F2D" w:rsidRDefault="004B5179" w:rsidP="004B5179">
      <w:pPr>
        <w:spacing w:after="0" w:line="240" w:lineRule="auto"/>
        <w:contextualSpacing/>
        <w:textAlignment w:val="baseline"/>
        <w:rPr>
          <w:rFonts w:ascii="Calibri" w:eastAsia="Times New Roman" w:hAnsi="Calibri" w:cs="Calibri"/>
          <w:lang w:eastAsia="zh-CN"/>
        </w:rPr>
      </w:pPr>
      <w:r w:rsidRPr="00204B9C">
        <w:rPr>
          <w:rFonts w:ascii="Calibri" w:eastAsia="Times New Roman" w:hAnsi="Calibri" w:cs="Times New Roman"/>
          <w:lang w:eastAsia="zh-CN"/>
        </w:rPr>
        <w:t>CT is funded by the National Institute for Health Research (NIHR) Applied Research Collaboration East of England</w:t>
      </w:r>
      <w:r w:rsidRPr="00204B9C">
        <w:rPr>
          <w:rFonts w:ascii="Calibri" w:eastAsia="Times New Roman" w:hAnsi="Calibri" w:cs="Calibri"/>
          <w:lang w:eastAsia="zh-CN"/>
        </w:rPr>
        <w:t xml:space="preserve">. </w:t>
      </w:r>
      <w:r w:rsidRPr="003E3F2D">
        <w:rPr>
          <w:rFonts w:ascii="Calibri" w:eastAsia="Times New Roman" w:hAnsi="Calibri" w:cs="Calibri"/>
          <w:lang w:eastAsia="zh-CN"/>
        </w:rPr>
        <w:t xml:space="preserve"> </w:t>
      </w:r>
      <w:r w:rsidRPr="003E3F2D">
        <w:rPr>
          <w:bCs/>
        </w:rPr>
        <w:t>The views expressed are those of the author(s) and not necessarily those of the NHS, the NIHR or the Department of Health and Social Care.</w:t>
      </w:r>
    </w:p>
    <w:p w14:paraId="584FE84B" w14:textId="77777777" w:rsidR="004B5179" w:rsidRPr="003E3F2D" w:rsidRDefault="004B5179" w:rsidP="004B5179">
      <w:pPr>
        <w:spacing w:after="0" w:line="240" w:lineRule="auto"/>
        <w:contextualSpacing/>
        <w:textAlignment w:val="baseline"/>
        <w:rPr>
          <w:rFonts w:ascii="Calibri" w:eastAsia="Times New Roman" w:hAnsi="Calibri" w:cs="Calibri"/>
          <w:lang w:eastAsia="zh-CN"/>
        </w:rPr>
      </w:pPr>
    </w:p>
    <w:p w14:paraId="0C8F6E39" w14:textId="77777777" w:rsidR="004B5179" w:rsidRPr="003E3F2D" w:rsidRDefault="004B5179" w:rsidP="004B5179">
      <w:pPr>
        <w:spacing w:after="0" w:line="240" w:lineRule="auto"/>
        <w:contextualSpacing/>
        <w:textAlignment w:val="baseline"/>
        <w:rPr>
          <w:rFonts w:ascii="Calibri" w:eastAsia="Times New Roman" w:hAnsi="Calibri" w:cs="Calibri"/>
          <w:lang w:eastAsia="zh-CN"/>
        </w:rPr>
      </w:pPr>
      <w:r w:rsidRPr="00204B9C">
        <w:rPr>
          <w:rFonts w:ascii="Calibri" w:eastAsia="Times New Roman" w:hAnsi="Calibri" w:cs="Calibri"/>
          <w:lang w:eastAsia="zh-CN"/>
        </w:rPr>
        <w:t xml:space="preserve">JA, MW and TB are supported by the MRC Epidemiology Unit, University of Cambridge [grant number MC/UU/12015/6] and Centre for Diet and Activity Research (CEDAR), a UK Clinical Research Collaboration (UKCRC) Public Health Research Centre of Excellence. Funding for CEDAR from the British Heart Foundation, Cancer Research UK, Economic and Social Research Council, Medical Research Council, the National Institute for Health Research [grant numbers ES/G007462/1 and MR/K023187/1], and the </w:t>
      </w:r>
      <w:proofErr w:type="spellStart"/>
      <w:r w:rsidRPr="00204B9C">
        <w:rPr>
          <w:rFonts w:ascii="Calibri" w:eastAsia="Times New Roman" w:hAnsi="Calibri" w:cs="Calibri"/>
          <w:lang w:eastAsia="zh-CN"/>
        </w:rPr>
        <w:t>Wellcome</w:t>
      </w:r>
      <w:proofErr w:type="spellEnd"/>
      <w:r w:rsidRPr="00204B9C">
        <w:rPr>
          <w:rFonts w:ascii="Calibri" w:eastAsia="Times New Roman" w:hAnsi="Calibri" w:cs="Calibri"/>
          <w:lang w:eastAsia="zh-CN"/>
        </w:rPr>
        <w:t xml:space="preserve"> Trust [grant number 087636/Z/08/Z], under the auspices of the UK Clinical Research Collaboration, is gratefully acknowledged. </w:t>
      </w:r>
    </w:p>
    <w:p w14:paraId="7584468A" w14:textId="77777777" w:rsidR="004B5179" w:rsidRPr="003E3F2D" w:rsidRDefault="004B5179" w:rsidP="004B5179">
      <w:pPr>
        <w:spacing w:after="0" w:line="240" w:lineRule="auto"/>
        <w:contextualSpacing/>
        <w:textAlignment w:val="baseline"/>
        <w:rPr>
          <w:rFonts w:ascii="Calibri" w:eastAsia="Times New Roman" w:hAnsi="Calibri" w:cs="Calibri"/>
          <w:lang w:eastAsia="zh-CN"/>
        </w:rPr>
      </w:pPr>
    </w:p>
    <w:p w14:paraId="6E93010F" w14:textId="77777777" w:rsidR="004B5179" w:rsidRPr="003E3F2D" w:rsidRDefault="004B5179" w:rsidP="004B5179">
      <w:pPr>
        <w:spacing w:after="0" w:line="240" w:lineRule="auto"/>
        <w:contextualSpacing/>
        <w:textAlignment w:val="baseline"/>
        <w:rPr>
          <w:rFonts w:ascii="Calibri" w:eastAsia="Times New Roman" w:hAnsi="Calibri" w:cs="Times New Roman"/>
          <w:lang w:eastAsia="zh-CN"/>
        </w:rPr>
      </w:pPr>
      <w:proofErr w:type="spellStart"/>
      <w:r w:rsidRPr="00204B9C">
        <w:rPr>
          <w:rFonts w:ascii="Calibri" w:eastAsia="Times New Roman" w:hAnsi="Calibri" w:cs="Times New Roman"/>
          <w:lang w:eastAsia="zh-CN"/>
        </w:rPr>
        <w:t>FdV</w:t>
      </w:r>
      <w:proofErr w:type="spellEnd"/>
      <w:r w:rsidRPr="00204B9C">
        <w:rPr>
          <w:rFonts w:ascii="Calibri" w:eastAsia="Times New Roman" w:hAnsi="Calibri" w:cs="Times New Roman"/>
          <w:lang w:eastAsia="zh-CN"/>
        </w:rPr>
        <w:t xml:space="preserve"> is partly funded by National Institute for Health Research Applied Research Collaboration West (NIHR ARC West) at University Hospitals Bristol NHS Foundation Trust. </w:t>
      </w:r>
    </w:p>
    <w:p w14:paraId="189C9011" w14:textId="77777777" w:rsidR="004B5179" w:rsidRPr="003E3F2D" w:rsidRDefault="004B5179" w:rsidP="004B5179">
      <w:pPr>
        <w:spacing w:after="0" w:line="240" w:lineRule="auto"/>
        <w:contextualSpacing/>
        <w:textAlignment w:val="baseline"/>
        <w:rPr>
          <w:rFonts w:ascii="Calibri" w:eastAsia="Times New Roman" w:hAnsi="Calibri" w:cs="Calibri"/>
          <w:lang w:eastAsia="zh-CN"/>
        </w:rPr>
      </w:pPr>
    </w:p>
    <w:p w14:paraId="494F9A24" w14:textId="77777777" w:rsidR="004B5179" w:rsidRPr="003E3F2D" w:rsidRDefault="004B5179" w:rsidP="004B5179">
      <w:pPr>
        <w:spacing w:after="0" w:line="240" w:lineRule="auto"/>
        <w:contextualSpacing/>
        <w:textAlignment w:val="baseline"/>
        <w:rPr>
          <w:rFonts w:ascii="Calibri" w:eastAsia="Times New Roman" w:hAnsi="Calibri" w:cs="Calibri"/>
          <w:lang w:eastAsia="zh-CN"/>
        </w:rPr>
      </w:pPr>
      <w:r w:rsidRPr="00204B9C">
        <w:rPr>
          <w:rFonts w:ascii="Calibri" w:eastAsia="Times New Roman" w:hAnsi="Calibri" w:cs="Calibri"/>
          <w:lang w:eastAsia="zh-CN"/>
        </w:rPr>
        <w:t xml:space="preserve">AAL is a member of Fuse, the Centre for Translational Research in Public Health (www.fuse.ac.uk). Fuse is a Public Health Research Centre of Excellence funded by the five North East Universities of Durham, Newcastle, Northumbria, Sunderland and Teesside. </w:t>
      </w:r>
    </w:p>
    <w:p w14:paraId="0DD9393D" w14:textId="77777777" w:rsidR="004B5179" w:rsidRPr="003E3F2D" w:rsidRDefault="004B5179" w:rsidP="004B5179">
      <w:pPr>
        <w:spacing w:after="0" w:line="240" w:lineRule="auto"/>
        <w:contextualSpacing/>
        <w:textAlignment w:val="baseline"/>
        <w:rPr>
          <w:rFonts w:ascii="Calibri" w:eastAsia="Times New Roman" w:hAnsi="Calibri" w:cs="Calibri"/>
          <w:lang w:eastAsia="zh-CN"/>
        </w:rPr>
      </w:pPr>
    </w:p>
    <w:p w14:paraId="61758AB0" w14:textId="77777777" w:rsidR="004B5179" w:rsidRPr="003E3F2D" w:rsidRDefault="004B5179" w:rsidP="004B5179">
      <w:pPr>
        <w:spacing w:after="0" w:line="240" w:lineRule="auto"/>
        <w:contextualSpacing/>
        <w:textAlignment w:val="baseline"/>
        <w:rPr>
          <w:rFonts w:ascii="Calibri" w:eastAsia="Times New Roman" w:hAnsi="Calibri" w:cs="Calibri"/>
          <w:lang w:eastAsia="zh-CN"/>
        </w:rPr>
      </w:pPr>
    </w:p>
    <w:p w14:paraId="75565E3F" w14:textId="77777777" w:rsidR="004B5179" w:rsidRPr="003E3F2D" w:rsidRDefault="004B5179" w:rsidP="004B5179">
      <w:pPr>
        <w:spacing w:after="0" w:line="240" w:lineRule="auto"/>
        <w:contextualSpacing/>
        <w:textAlignment w:val="baseline"/>
        <w:rPr>
          <w:rFonts w:ascii="Calibri" w:eastAsia="Times New Roman" w:hAnsi="Calibri" w:cs="Calibri"/>
          <w:lang w:eastAsia="zh-CN"/>
        </w:rPr>
      </w:pPr>
      <w:r w:rsidRPr="00204B9C">
        <w:rPr>
          <w:rFonts w:ascii="Calibri" w:eastAsia="Times New Roman" w:hAnsi="Calibri" w:cs="Calibri"/>
          <w:lang w:eastAsia="zh-CN"/>
        </w:rPr>
        <w:t xml:space="preserve">SC is funded by Health Data Research UK (HDR-UK). HDR-UK is an initiative funded by the UK Research and Innovation, Department of Health and Social Care (England) and the devolved administrations, and leading medical research charities. </w:t>
      </w:r>
    </w:p>
    <w:p w14:paraId="0D6A8EB3" w14:textId="77777777" w:rsidR="004B5179" w:rsidRPr="003E3F2D" w:rsidRDefault="004B5179" w:rsidP="004B5179">
      <w:pPr>
        <w:spacing w:after="0" w:line="240" w:lineRule="auto"/>
        <w:contextualSpacing/>
        <w:textAlignment w:val="baseline"/>
        <w:rPr>
          <w:rFonts w:ascii="Calibri" w:eastAsia="Times New Roman" w:hAnsi="Calibri" w:cs="Calibri"/>
          <w:lang w:eastAsia="zh-CN"/>
        </w:rPr>
      </w:pPr>
    </w:p>
    <w:p w14:paraId="4BF12D96" w14:textId="77777777" w:rsidR="004B5179" w:rsidRPr="00204B9C" w:rsidRDefault="004B5179" w:rsidP="004B5179">
      <w:pPr>
        <w:spacing w:after="0" w:line="240" w:lineRule="auto"/>
        <w:contextualSpacing/>
        <w:textAlignment w:val="baseline"/>
        <w:rPr>
          <w:rFonts w:ascii="Calibri" w:eastAsia="Times New Roman" w:hAnsi="Calibri" w:cs="Calibri"/>
          <w:lang w:eastAsia="zh-CN"/>
        </w:rPr>
      </w:pPr>
      <w:r w:rsidRPr="00204B9C">
        <w:rPr>
          <w:rFonts w:ascii="Calibri" w:eastAsia="Times New Roman" w:hAnsi="Calibri" w:cs="Calibri"/>
          <w:lang w:eastAsia="zh-CN"/>
        </w:rPr>
        <w:t>The views expressed are those of the authors and do not necessarily represent those of any of the above named funders. The funders had no role in the design of the study, or collection, analysis and interpretation of the data, or in the decision to publish, or in writing the manuscript.</w:t>
      </w:r>
    </w:p>
    <w:p w14:paraId="7E6EB50C" w14:textId="77777777" w:rsidR="004B5179" w:rsidRDefault="004B5179" w:rsidP="004B5179">
      <w:pPr>
        <w:spacing w:line="360" w:lineRule="auto"/>
      </w:pPr>
    </w:p>
    <w:p w14:paraId="2BD5FCFB" w14:textId="04E4C27C" w:rsidR="00011386" w:rsidRPr="00F9642B" w:rsidRDefault="00011386" w:rsidP="00524724">
      <w:pPr>
        <w:spacing w:after="0" w:line="240" w:lineRule="auto"/>
        <w:rPr>
          <w:sz w:val="18"/>
          <w:szCs w:val="18"/>
        </w:rPr>
      </w:pPr>
    </w:p>
    <w:sectPr w:rsidR="00011386" w:rsidRPr="00F9642B" w:rsidSect="00CA462B">
      <w:footerReference w:type="default" r:id="rId2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8411C" w16cex:dateUtc="2021-04-19T16: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4A67F" w14:textId="77777777" w:rsidR="001F2F35" w:rsidRDefault="001F2F35" w:rsidP="005E0347">
      <w:pPr>
        <w:spacing w:after="0" w:line="240" w:lineRule="auto"/>
      </w:pPr>
      <w:r>
        <w:separator/>
      </w:r>
    </w:p>
  </w:endnote>
  <w:endnote w:type="continuationSeparator" w:id="0">
    <w:p w14:paraId="65B31718" w14:textId="77777777" w:rsidR="001F2F35" w:rsidRDefault="001F2F35" w:rsidP="005E0347">
      <w:pPr>
        <w:spacing w:after="0" w:line="240" w:lineRule="auto"/>
      </w:pPr>
      <w:r>
        <w:continuationSeparator/>
      </w:r>
    </w:p>
  </w:endnote>
  <w:endnote w:type="continuationNotice" w:id="1">
    <w:p w14:paraId="1D8E2261" w14:textId="77777777" w:rsidR="001F2F35" w:rsidRDefault="001F2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cherPro 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393223"/>
      <w:docPartObj>
        <w:docPartGallery w:val="Page Numbers (Bottom of Page)"/>
        <w:docPartUnique/>
      </w:docPartObj>
    </w:sdtPr>
    <w:sdtEndPr>
      <w:rPr>
        <w:noProof/>
      </w:rPr>
    </w:sdtEndPr>
    <w:sdtContent>
      <w:p w14:paraId="258D3C45" w14:textId="0C40DF22" w:rsidR="005D4D62" w:rsidRDefault="005D4D62">
        <w:pPr>
          <w:pStyle w:val="Footer"/>
          <w:jc w:val="right"/>
        </w:pPr>
        <w:r>
          <w:fldChar w:fldCharType="begin"/>
        </w:r>
        <w:r>
          <w:instrText xml:space="preserve"> PAGE   \* MERGEFORMAT </w:instrText>
        </w:r>
        <w:r>
          <w:fldChar w:fldCharType="separate"/>
        </w:r>
        <w:r w:rsidR="00C164EC">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D76FE" w14:textId="77777777" w:rsidR="001F2F35" w:rsidRDefault="001F2F35" w:rsidP="005E0347">
      <w:pPr>
        <w:spacing w:after="0" w:line="240" w:lineRule="auto"/>
      </w:pPr>
      <w:r>
        <w:separator/>
      </w:r>
    </w:p>
  </w:footnote>
  <w:footnote w:type="continuationSeparator" w:id="0">
    <w:p w14:paraId="274B4547" w14:textId="77777777" w:rsidR="001F2F35" w:rsidRDefault="001F2F35" w:rsidP="005E0347">
      <w:pPr>
        <w:spacing w:after="0" w:line="240" w:lineRule="auto"/>
      </w:pPr>
      <w:r>
        <w:continuationSeparator/>
      </w:r>
    </w:p>
  </w:footnote>
  <w:footnote w:type="continuationNotice" w:id="1">
    <w:p w14:paraId="51F02071" w14:textId="77777777" w:rsidR="001F2F35" w:rsidRDefault="001F2F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F53"/>
    <w:multiLevelType w:val="hybridMultilevel"/>
    <w:tmpl w:val="C5EC7E60"/>
    <w:lvl w:ilvl="0" w:tplc="9D72C2B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 w15:restartNumberingAfterBreak="0">
    <w:nsid w:val="0CB24007"/>
    <w:multiLevelType w:val="hybridMultilevel"/>
    <w:tmpl w:val="1F6E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00240"/>
    <w:multiLevelType w:val="hybridMultilevel"/>
    <w:tmpl w:val="73DE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44B1B"/>
    <w:multiLevelType w:val="hybridMultilevel"/>
    <w:tmpl w:val="4348B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F121D"/>
    <w:multiLevelType w:val="hybridMultilevel"/>
    <w:tmpl w:val="603EBDDC"/>
    <w:lvl w:ilvl="0" w:tplc="320435F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72F2C"/>
    <w:multiLevelType w:val="hybridMultilevel"/>
    <w:tmpl w:val="C776AB18"/>
    <w:lvl w:ilvl="0" w:tplc="665C3850">
      <w:start w:val="3"/>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501B"/>
    <w:multiLevelType w:val="hybridMultilevel"/>
    <w:tmpl w:val="C592FE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A93EA1"/>
    <w:multiLevelType w:val="hybridMultilevel"/>
    <w:tmpl w:val="D684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94C21"/>
    <w:multiLevelType w:val="multilevel"/>
    <w:tmpl w:val="8640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A69A7"/>
    <w:multiLevelType w:val="hybridMultilevel"/>
    <w:tmpl w:val="8702E574"/>
    <w:lvl w:ilvl="0" w:tplc="E8360E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50B66"/>
    <w:multiLevelType w:val="hybridMultilevel"/>
    <w:tmpl w:val="FF089C0C"/>
    <w:lvl w:ilvl="0" w:tplc="F800A6EC">
      <w:start w:val="1"/>
      <w:numFmt w:val="bullet"/>
      <w:lvlText w:val="•"/>
      <w:lvlJc w:val="left"/>
      <w:pPr>
        <w:tabs>
          <w:tab w:val="num" w:pos="720"/>
        </w:tabs>
        <w:ind w:left="720" w:hanging="360"/>
      </w:pPr>
      <w:rPr>
        <w:rFonts w:ascii="Arial" w:hAnsi="Arial" w:hint="default"/>
      </w:rPr>
    </w:lvl>
    <w:lvl w:ilvl="1" w:tplc="472A7BC8" w:tentative="1">
      <w:start w:val="1"/>
      <w:numFmt w:val="bullet"/>
      <w:lvlText w:val="•"/>
      <w:lvlJc w:val="left"/>
      <w:pPr>
        <w:tabs>
          <w:tab w:val="num" w:pos="1440"/>
        </w:tabs>
        <w:ind w:left="1440" w:hanging="360"/>
      </w:pPr>
      <w:rPr>
        <w:rFonts w:ascii="Arial" w:hAnsi="Arial" w:hint="default"/>
      </w:rPr>
    </w:lvl>
    <w:lvl w:ilvl="2" w:tplc="482413F8" w:tentative="1">
      <w:start w:val="1"/>
      <w:numFmt w:val="bullet"/>
      <w:lvlText w:val="•"/>
      <w:lvlJc w:val="left"/>
      <w:pPr>
        <w:tabs>
          <w:tab w:val="num" w:pos="2160"/>
        </w:tabs>
        <w:ind w:left="2160" w:hanging="360"/>
      </w:pPr>
      <w:rPr>
        <w:rFonts w:ascii="Arial" w:hAnsi="Arial" w:hint="default"/>
      </w:rPr>
    </w:lvl>
    <w:lvl w:ilvl="3" w:tplc="7A605028" w:tentative="1">
      <w:start w:val="1"/>
      <w:numFmt w:val="bullet"/>
      <w:lvlText w:val="•"/>
      <w:lvlJc w:val="left"/>
      <w:pPr>
        <w:tabs>
          <w:tab w:val="num" w:pos="2880"/>
        </w:tabs>
        <w:ind w:left="2880" w:hanging="360"/>
      </w:pPr>
      <w:rPr>
        <w:rFonts w:ascii="Arial" w:hAnsi="Arial" w:hint="default"/>
      </w:rPr>
    </w:lvl>
    <w:lvl w:ilvl="4" w:tplc="852EB26C" w:tentative="1">
      <w:start w:val="1"/>
      <w:numFmt w:val="bullet"/>
      <w:lvlText w:val="•"/>
      <w:lvlJc w:val="left"/>
      <w:pPr>
        <w:tabs>
          <w:tab w:val="num" w:pos="3600"/>
        </w:tabs>
        <w:ind w:left="3600" w:hanging="360"/>
      </w:pPr>
      <w:rPr>
        <w:rFonts w:ascii="Arial" w:hAnsi="Arial" w:hint="default"/>
      </w:rPr>
    </w:lvl>
    <w:lvl w:ilvl="5" w:tplc="63CE5BDE" w:tentative="1">
      <w:start w:val="1"/>
      <w:numFmt w:val="bullet"/>
      <w:lvlText w:val="•"/>
      <w:lvlJc w:val="left"/>
      <w:pPr>
        <w:tabs>
          <w:tab w:val="num" w:pos="4320"/>
        </w:tabs>
        <w:ind w:left="4320" w:hanging="360"/>
      </w:pPr>
      <w:rPr>
        <w:rFonts w:ascii="Arial" w:hAnsi="Arial" w:hint="default"/>
      </w:rPr>
    </w:lvl>
    <w:lvl w:ilvl="6" w:tplc="F1920398" w:tentative="1">
      <w:start w:val="1"/>
      <w:numFmt w:val="bullet"/>
      <w:lvlText w:val="•"/>
      <w:lvlJc w:val="left"/>
      <w:pPr>
        <w:tabs>
          <w:tab w:val="num" w:pos="5040"/>
        </w:tabs>
        <w:ind w:left="5040" w:hanging="360"/>
      </w:pPr>
      <w:rPr>
        <w:rFonts w:ascii="Arial" w:hAnsi="Arial" w:hint="default"/>
      </w:rPr>
    </w:lvl>
    <w:lvl w:ilvl="7" w:tplc="37E6F394" w:tentative="1">
      <w:start w:val="1"/>
      <w:numFmt w:val="bullet"/>
      <w:lvlText w:val="•"/>
      <w:lvlJc w:val="left"/>
      <w:pPr>
        <w:tabs>
          <w:tab w:val="num" w:pos="5760"/>
        </w:tabs>
        <w:ind w:left="5760" w:hanging="360"/>
      </w:pPr>
      <w:rPr>
        <w:rFonts w:ascii="Arial" w:hAnsi="Arial" w:hint="default"/>
      </w:rPr>
    </w:lvl>
    <w:lvl w:ilvl="8" w:tplc="0A5CBF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0506A7"/>
    <w:multiLevelType w:val="multilevel"/>
    <w:tmpl w:val="BA0A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F445A"/>
    <w:multiLevelType w:val="hybridMultilevel"/>
    <w:tmpl w:val="AA3AF62E"/>
    <w:lvl w:ilvl="0" w:tplc="08E8289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A2116"/>
    <w:multiLevelType w:val="hybridMultilevel"/>
    <w:tmpl w:val="9A0A12F2"/>
    <w:lvl w:ilvl="0" w:tplc="9D72C2B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2BAA57B1"/>
    <w:multiLevelType w:val="hybridMultilevel"/>
    <w:tmpl w:val="B83A2D2E"/>
    <w:lvl w:ilvl="0" w:tplc="578876B6">
      <w:start w:val="3"/>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F24C1"/>
    <w:multiLevelType w:val="hybridMultilevel"/>
    <w:tmpl w:val="1A7A2D9A"/>
    <w:lvl w:ilvl="0" w:tplc="03E277D2">
      <w:start w:val="3"/>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747FC"/>
    <w:multiLevelType w:val="hybridMultilevel"/>
    <w:tmpl w:val="09B2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66578"/>
    <w:multiLevelType w:val="hybridMultilevel"/>
    <w:tmpl w:val="F36E7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2426C"/>
    <w:multiLevelType w:val="hybridMultilevel"/>
    <w:tmpl w:val="8B769C40"/>
    <w:lvl w:ilvl="0" w:tplc="B48CF5D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3BDF0D33"/>
    <w:multiLevelType w:val="hybridMultilevel"/>
    <w:tmpl w:val="093A755C"/>
    <w:lvl w:ilvl="0" w:tplc="F902503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215ED"/>
    <w:multiLevelType w:val="hybridMultilevel"/>
    <w:tmpl w:val="6C989632"/>
    <w:lvl w:ilvl="0" w:tplc="D4C05788">
      <w:start w:val="1"/>
      <w:numFmt w:val="decimal"/>
      <w:lvlText w:val="%1."/>
      <w:lvlJc w:val="left"/>
      <w:pPr>
        <w:ind w:left="720" w:hanging="360"/>
      </w:pPr>
      <w:rPr>
        <w:rFonts w:ascii="Arial" w:hAnsi="Arial"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2136B0"/>
    <w:multiLevelType w:val="hybridMultilevel"/>
    <w:tmpl w:val="4BDE160C"/>
    <w:lvl w:ilvl="0" w:tplc="9A10D8BC">
      <w:start w:val="1"/>
      <w:numFmt w:val="decimal"/>
      <w:lvlText w:val="%1."/>
      <w:lvlJc w:val="left"/>
      <w:pPr>
        <w:ind w:left="720" w:hanging="360"/>
      </w:pPr>
      <w:rPr>
        <w:rFonts w:ascii="Arial" w:hAnsi="Arial" w:cs="Arial"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5439C"/>
    <w:multiLevelType w:val="hybridMultilevel"/>
    <w:tmpl w:val="E56C1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A19FC"/>
    <w:multiLevelType w:val="hybridMultilevel"/>
    <w:tmpl w:val="88F80E2A"/>
    <w:lvl w:ilvl="0" w:tplc="93688310">
      <w:start w:val="1"/>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15:restartNumberingAfterBreak="0">
    <w:nsid w:val="4E142716"/>
    <w:multiLevelType w:val="multilevel"/>
    <w:tmpl w:val="6A82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1664C"/>
    <w:multiLevelType w:val="hybridMultilevel"/>
    <w:tmpl w:val="24124DAC"/>
    <w:lvl w:ilvl="0" w:tplc="997CA526">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15:restartNumberingAfterBreak="0">
    <w:nsid w:val="50465FA1"/>
    <w:multiLevelType w:val="hybridMultilevel"/>
    <w:tmpl w:val="65A49A58"/>
    <w:lvl w:ilvl="0" w:tplc="88825AA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54FC018B"/>
    <w:multiLevelType w:val="hybridMultilevel"/>
    <w:tmpl w:val="0C68580C"/>
    <w:lvl w:ilvl="0" w:tplc="9D72C2B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8" w15:restartNumberingAfterBreak="0">
    <w:nsid w:val="69052C08"/>
    <w:multiLevelType w:val="hybridMultilevel"/>
    <w:tmpl w:val="CD720500"/>
    <w:lvl w:ilvl="0" w:tplc="3B7A0F82">
      <w:start w:val="1"/>
      <w:numFmt w:val="bullet"/>
      <w:lvlText w:val="•"/>
      <w:lvlJc w:val="left"/>
      <w:pPr>
        <w:tabs>
          <w:tab w:val="num" w:pos="720"/>
        </w:tabs>
        <w:ind w:left="720" w:hanging="360"/>
      </w:pPr>
      <w:rPr>
        <w:rFonts w:ascii="Arial" w:hAnsi="Arial" w:hint="default"/>
      </w:rPr>
    </w:lvl>
    <w:lvl w:ilvl="1" w:tplc="394EDBBC" w:tentative="1">
      <w:start w:val="1"/>
      <w:numFmt w:val="bullet"/>
      <w:lvlText w:val="•"/>
      <w:lvlJc w:val="left"/>
      <w:pPr>
        <w:tabs>
          <w:tab w:val="num" w:pos="1440"/>
        </w:tabs>
        <w:ind w:left="1440" w:hanging="360"/>
      </w:pPr>
      <w:rPr>
        <w:rFonts w:ascii="Arial" w:hAnsi="Arial" w:hint="default"/>
      </w:rPr>
    </w:lvl>
    <w:lvl w:ilvl="2" w:tplc="7730D54C" w:tentative="1">
      <w:start w:val="1"/>
      <w:numFmt w:val="bullet"/>
      <w:lvlText w:val="•"/>
      <w:lvlJc w:val="left"/>
      <w:pPr>
        <w:tabs>
          <w:tab w:val="num" w:pos="2160"/>
        </w:tabs>
        <w:ind w:left="2160" w:hanging="360"/>
      </w:pPr>
      <w:rPr>
        <w:rFonts w:ascii="Arial" w:hAnsi="Arial" w:hint="default"/>
      </w:rPr>
    </w:lvl>
    <w:lvl w:ilvl="3" w:tplc="682A8B42" w:tentative="1">
      <w:start w:val="1"/>
      <w:numFmt w:val="bullet"/>
      <w:lvlText w:val="•"/>
      <w:lvlJc w:val="left"/>
      <w:pPr>
        <w:tabs>
          <w:tab w:val="num" w:pos="2880"/>
        </w:tabs>
        <w:ind w:left="2880" w:hanging="360"/>
      </w:pPr>
      <w:rPr>
        <w:rFonts w:ascii="Arial" w:hAnsi="Arial" w:hint="default"/>
      </w:rPr>
    </w:lvl>
    <w:lvl w:ilvl="4" w:tplc="EA789476" w:tentative="1">
      <w:start w:val="1"/>
      <w:numFmt w:val="bullet"/>
      <w:lvlText w:val="•"/>
      <w:lvlJc w:val="left"/>
      <w:pPr>
        <w:tabs>
          <w:tab w:val="num" w:pos="3600"/>
        </w:tabs>
        <w:ind w:left="3600" w:hanging="360"/>
      </w:pPr>
      <w:rPr>
        <w:rFonts w:ascii="Arial" w:hAnsi="Arial" w:hint="default"/>
      </w:rPr>
    </w:lvl>
    <w:lvl w:ilvl="5" w:tplc="ED604372" w:tentative="1">
      <w:start w:val="1"/>
      <w:numFmt w:val="bullet"/>
      <w:lvlText w:val="•"/>
      <w:lvlJc w:val="left"/>
      <w:pPr>
        <w:tabs>
          <w:tab w:val="num" w:pos="4320"/>
        </w:tabs>
        <w:ind w:left="4320" w:hanging="360"/>
      </w:pPr>
      <w:rPr>
        <w:rFonts w:ascii="Arial" w:hAnsi="Arial" w:hint="default"/>
      </w:rPr>
    </w:lvl>
    <w:lvl w:ilvl="6" w:tplc="F12CEF9E" w:tentative="1">
      <w:start w:val="1"/>
      <w:numFmt w:val="bullet"/>
      <w:lvlText w:val="•"/>
      <w:lvlJc w:val="left"/>
      <w:pPr>
        <w:tabs>
          <w:tab w:val="num" w:pos="5040"/>
        </w:tabs>
        <w:ind w:left="5040" w:hanging="360"/>
      </w:pPr>
      <w:rPr>
        <w:rFonts w:ascii="Arial" w:hAnsi="Arial" w:hint="default"/>
      </w:rPr>
    </w:lvl>
    <w:lvl w:ilvl="7" w:tplc="FF6C9FD8" w:tentative="1">
      <w:start w:val="1"/>
      <w:numFmt w:val="bullet"/>
      <w:lvlText w:val="•"/>
      <w:lvlJc w:val="left"/>
      <w:pPr>
        <w:tabs>
          <w:tab w:val="num" w:pos="5760"/>
        </w:tabs>
        <w:ind w:left="5760" w:hanging="360"/>
      </w:pPr>
      <w:rPr>
        <w:rFonts w:ascii="Arial" w:hAnsi="Arial" w:hint="default"/>
      </w:rPr>
    </w:lvl>
    <w:lvl w:ilvl="8" w:tplc="B89498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C96881"/>
    <w:multiLevelType w:val="multilevel"/>
    <w:tmpl w:val="C7D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66C74"/>
    <w:multiLevelType w:val="hybridMultilevel"/>
    <w:tmpl w:val="0EB0F87C"/>
    <w:lvl w:ilvl="0" w:tplc="6D2818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5F4C8D"/>
    <w:multiLevelType w:val="hybridMultilevel"/>
    <w:tmpl w:val="1A7EBDC6"/>
    <w:lvl w:ilvl="0" w:tplc="D5A838E8">
      <w:start w:val="1"/>
      <w:numFmt w:val="bullet"/>
      <w:lvlText w:val="•"/>
      <w:lvlJc w:val="left"/>
      <w:pPr>
        <w:tabs>
          <w:tab w:val="num" w:pos="720"/>
        </w:tabs>
        <w:ind w:left="720" w:hanging="360"/>
      </w:pPr>
      <w:rPr>
        <w:rFonts w:ascii="Arial" w:hAnsi="Arial" w:hint="default"/>
      </w:rPr>
    </w:lvl>
    <w:lvl w:ilvl="1" w:tplc="8E1E9350" w:tentative="1">
      <w:start w:val="1"/>
      <w:numFmt w:val="bullet"/>
      <w:lvlText w:val="•"/>
      <w:lvlJc w:val="left"/>
      <w:pPr>
        <w:tabs>
          <w:tab w:val="num" w:pos="1440"/>
        </w:tabs>
        <w:ind w:left="1440" w:hanging="360"/>
      </w:pPr>
      <w:rPr>
        <w:rFonts w:ascii="Arial" w:hAnsi="Arial" w:hint="default"/>
      </w:rPr>
    </w:lvl>
    <w:lvl w:ilvl="2" w:tplc="E8DCF4F8" w:tentative="1">
      <w:start w:val="1"/>
      <w:numFmt w:val="bullet"/>
      <w:lvlText w:val="•"/>
      <w:lvlJc w:val="left"/>
      <w:pPr>
        <w:tabs>
          <w:tab w:val="num" w:pos="2160"/>
        </w:tabs>
        <w:ind w:left="2160" w:hanging="360"/>
      </w:pPr>
      <w:rPr>
        <w:rFonts w:ascii="Arial" w:hAnsi="Arial" w:hint="default"/>
      </w:rPr>
    </w:lvl>
    <w:lvl w:ilvl="3" w:tplc="7B968DF0" w:tentative="1">
      <w:start w:val="1"/>
      <w:numFmt w:val="bullet"/>
      <w:lvlText w:val="•"/>
      <w:lvlJc w:val="left"/>
      <w:pPr>
        <w:tabs>
          <w:tab w:val="num" w:pos="2880"/>
        </w:tabs>
        <w:ind w:left="2880" w:hanging="360"/>
      </w:pPr>
      <w:rPr>
        <w:rFonts w:ascii="Arial" w:hAnsi="Arial" w:hint="default"/>
      </w:rPr>
    </w:lvl>
    <w:lvl w:ilvl="4" w:tplc="D276A7CE" w:tentative="1">
      <w:start w:val="1"/>
      <w:numFmt w:val="bullet"/>
      <w:lvlText w:val="•"/>
      <w:lvlJc w:val="left"/>
      <w:pPr>
        <w:tabs>
          <w:tab w:val="num" w:pos="3600"/>
        </w:tabs>
        <w:ind w:left="3600" w:hanging="360"/>
      </w:pPr>
      <w:rPr>
        <w:rFonts w:ascii="Arial" w:hAnsi="Arial" w:hint="default"/>
      </w:rPr>
    </w:lvl>
    <w:lvl w:ilvl="5" w:tplc="2A72DA04" w:tentative="1">
      <w:start w:val="1"/>
      <w:numFmt w:val="bullet"/>
      <w:lvlText w:val="•"/>
      <w:lvlJc w:val="left"/>
      <w:pPr>
        <w:tabs>
          <w:tab w:val="num" w:pos="4320"/>
        </w:tabs>
        <w:ind w:left="4320" w:hanging="360"/>
      </w:pPr>
      <w:rPr>
        <w:rFonts w:ascii="Arial" w:hAnsi="Arial" w:hint="default"/>
      </w:rPr>
    </w:lvl>
    <w:lvl w:ilvl="6" w:tplc="898C4AEC" w:tentative="1">
      <w:start w:val="1"/>
      <w:numFmt w:val="bullet"/>
      <w:lvlText w:val="•"/>
      <w:lvlJc w:val="left"/>
      <w:pPr>
        <w:tabs>
          <w:tab w:val="num" w:pos="5040"/>
        </w:tabs>
        <w:ind w:left="5040" w:hanging="360"/>
      </w:pPr>
      <w:rPr>
        <w:rFonts w:ascii="Arial" w:hAnsi="Arial" w:hint="default"/>
      </w:rPr>
    </w:lvl>
    <w:lvl w:ilvl="7" w:tplc="9692C91A" w:tentative="1">
      <w:start w:val="1"/>
      <w:numFmt w:val="bullet"/>
      <w:lvlText w:val="•"/>
      <w:lvlJc w:val="left"/>
      <w:pPr>
        <w:tabs>
          <w:tab w:val="num" w:pos="5760"/>
        </w:tabs>
        <w:ind w:left="5760" w:hanging="360"/>
      </w:pPr>
      <w:rPr>
        <w:rFonts w:ascii="Arial" w:hAnsi="Arial" w:hint="default"/>
      </w:rPr>
    </w:lvl>
    <w:lvl w:ilvl="8" w:tplc="78A8376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820B2D"/>
    <w:multiLevelType w:val="hybridMultilevel"/>
    <w:tmpl w:val="CFCA1CFE"/>
    <w:lvl w:ilvl="0" w:tplc="6D2818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3C6A4C"/>
    <w:multiLevelType w:val="hybridMultilevel"/>
    <w:tmpl w:val="B49E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E2E18"/>
    <w:multiLevelType w:val="hybridMultilevel"/>
    <w:tmpl w:val="16D2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90DD6"/>
    <w:multiLevelType w:val="hybridMultilevel"/>
    <w:tmpl w:val="B78859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7051B"/>
    <w:multiLevelType w:val="hybridMultilevel"/>
    <w:tmpl w:val="3D323734"/>
    <w:lvl w:ilvl="0" w:tplc="1A3A77D4">
      <w:start w:val="1"/>
      <w:numFmt w:val="bullet"/>
      <w:lvlText w:val="•"/>
      <w:lvlJc w:val="left"/>
      <w:pPr>
        <w:tabs>
          <w:tab w:val="num" w:pos="720"/>
        </w:tabs>
        <w:ind w:left="720" w:hanging="360"/>
      </w:pPr>
      <w:rPr>
        <w:rFonts w:ascii="Arial" w:hAnsi="Arial" w:hint="default"/>
      </w:rPr>
    </w:lvl>
    <w:lvl w:ilvl="1" w:tplc="61F2EC6C">
      <w:start w:val="1"/>
      <w:numFmt w:val="bullet"/>
      <w:lvlText w:val="•"/>
      <w:lvlJc w:val="left"/>
      <w:pPr>
        <w:tabs>
          <w:tab w:val="num" w:pos="1440"/>
        </w:tabs>
        <w:ind w:left="1440" w:hanging="360"/>
      </w:pPr>
      <w:rPr>
        <w:rFonts w:ascii="Arial" w:hAnsi="Arial" w:hint="default"/>
      </w:rPr>
    </w:lvl>
    <w:lvl w:ilvl="2" w:tplc="9A5E6D22" w:tentative="1">
      <w:start w:val="1"/>
      <w:numFmt w:val="bullet"/>
      <w:lvlText w:val="•"/>
      <w:lvlJc w:val="left"/>
      <w:pPr>
        <w:tabs>
          <w:tab w:val="num" w:pos="2160"/>
        </w:tabs>
        <w:ind w:left="2160" w:hanging="360"/>
      </w:pPr>
      <w:rPr>
        <w:rFonts w:ascii="Arial" w:hAnsi="Arial" w:hint="default"/>
      </w:rPr>
    </w:lvl>
    <w:lvl w:ilvl="3" w:tplc="42AAFF3E" w:tentative="1">
      <w:start w:val="1"/>
      <w:numFmt w:val="bullet"/>
      <w:lvlText w:val="•"/>
      <w:lvlJc w:val="left"/>
      <w:pPr>
        <w:tabs>
          <w:tab w:val="num" w:pos="2880"/>
        </w:tabs>
        <w:ind w:left="2880" w:hanging="360"/>
      </w:pPr>
      <w:rPr>
        <w:rFonts w:ascii="Arial" w:hAnsi="Arial" w:hint="default"/>
      </w:rPr>
    </w:lvl>
    <w:lvl w:ilvl="4" w:tplc="9C32D328" w:tentative="1">
      <w:start w:val="1"/>
      <w:numFmt w:val="bullet"/>
      <w:lvlText w:val="•"/>
      <w:lvlJc w:val="left"/>
      <w:pPr>
        <w:tabs>
          <w:tab w:val="num" w:pos="3600"/>
        </w:tabs>
        <w:ind w:left="3600" w:hanging="360"/>
      </w:pPr>
      <w:rPr>
        <w:rFonts w:ascii="Arial" w:hAnsi="Arial" w:hint="default"/>
      </w:rPr>
    </w:lvl>
    <w:lvl w:ilvl="5" w:tplc="4496C59C" w:tentative="1">
      <w:start w:val="1"/>
      <w:numFmt w:val="bullet"/>
      <w:lvlText w:val="•"/>
      <w:lvlJc w:val="left"/>
      <w:pPr>
        <w:tabs>
          <w:tab w:val="num" w:pos="4320"/>
        </w:tabs>
        <w:ind w:left="4320" w:hanging="360"/>
      </w:pPr>
      <w:rPr>
        <w:rFonts w:ascii="Arial" w:hAnsi="Arial" w:hint="default"/>
      </w:rPr>
    </w:lvl>
    <w:lvl w:ilvl="6" w:tplc="9D7AC530" w:tentative="1">
      <w:start w:val="1"/>
      <w:numFmt w:val="bullet"/>
      <w:lvlText w:val="•"/>
      <w:lvlJc w:val="left"/>
      <w:pPr>
        <w:tabs>
          <w:tab w:val="num" w:pos="5040"/>
        </w:tabs>
        <w:ind w:left="5040" w:hanging="360"/>
      </w:pPr>
      <w:rPr>
        <w:rFonts w:ascii="Arial" w:hAnsi="Arial" w:hint="default"/>
      </w:rPr>
    </w:lvl>
    <w:lvl w:ilvl="7" w:tplc="58A89342" w:tentative="1">
      <w:start w:val="1"/>
      <w:numFmt w:val="bullet"/>
      <w:lvlText w:val="•"/>
      <w:lvlJc w:val="left"/>
      <w:pPr>
        <w:tabs>
          <w:tab w:val="num" w:pos="5760"/>
        </w:tabs>
        <w:ind w:left="5760" w:hanging="360"/>
      </w:pPr>
      <w:rPr>
        <w:rFonts w:ascii="Arial" w:hAnsi="Arial" w:hint="default"/>
      </w:rPr>
    </w:lvl>
    <w:lvl w:ilvl="8" w:tplc="D200CC34"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3"/>
  </w:num>
  <w:num w:numId="3">
    <w:abstractNumId w:val="6"/>
  </w:num>
  <w:num w:numId="4">
    <w:abstractNumId w:val="17"/>
  </w:num>
  <w:num w:numId="5">
    <w:abstractNumId w:val="13"/>
  </w:num>
  <w:num w:numId="6">
    <w:abstractNumId w:val="0"/>
  </w:num>
  <w:num w:numId="7">
    <w:abstractNumId w:val="27"/>
  </w:num>
  <w:num w:numId="8">
    <w:abstractNumId w:val="25"/>
  </w:num>
  <w:num w:numId="9">
    <w:abstractNumId w:val="35"/>
  </w:num>
  <w:num w:numId="10">
    <w:abstractNumId w:val="36"/>
  </w:num>
  <w:num w:numId="11">
    <w:abstractNumId w:val="28"/>
  </w:num>
  <w:num w:numId="12">
    <w:abstractNumId w:val="31"/>
  </w:num>
  <w:num w:numId="13">
    <w:abstractNumId w:val="10"/>
  </w:num>
  <w:num w:numId="14">
    <w:abstractNumId w:val="19"/>
  </w:num>
  <w:num w:numId="15">
    <w:abstractNumId w:val="12"/>
  </w:num>
  <w:num w:numId="16">
    <w:abstractNumId w:val="18"/>
  </w:num>
  <w:num w:numId="17">
    <w:abstractNumId w:val="4"/>
  </w:num>
  <w:num w:numId="18">
    <w:abstractNumId w:val="20"/>
  </w:num>
  <w:num w:numId="19">
    <w:abstractNumId w:val="21"/>
  </w:num>
  <w:num w:numId="20">
    <w:abstractNumId w:val="9"/>
  </w:num>
  <w:num w:numId="21">
    <w:abstractNumId w:val="8"/>
  </w:num>
  <w:num w:numId="22">
    <w:abstractNumId w:val="2"/>
  </w:num>
  <w:num w:numId="23">
    <w:abstractNumId w:val="7"/>
  </w:num>
  <w:num w:numId="24">
    <w:abstractNumId w:val="22"/>
  </w:num>
  <w:num w:numId="25">
    <w:abstractNumId w:val="32"/>
  </w:num>
  <w:num w:numId="26">
    <w:abstractNumId w:val="29"/>
  </w:num>
  <w:num w:numId="27">
    <w:abstractNumId w:val="11"/>
  </w:num>
  <w:num w:numId="28">
    <w:abstractNumId w:val="24"/>
  </w:num>
  <w:num w:numId="29">
    <w:abstractNumId w:val="3"/>
  </w:num>
  <w:num w:numId="30">
    <w:abstractNumId w:val="16"/>
  </w:num>
  <w:num w:numId="31">
    <w:abstractNumId w:val="34"/>
  </w:num>
  <w:num w:numId="32">
    <w:abstractNumId w:val="1"/>
  </w:num>
  <w:num w:numId="33">
    <w:abstractNumId w:val="5"/>
  </w:num>
  <w:num w:numId="34">
    <w:abstractNumId w:val="14"/>
  </w:num>
  <w:num w:numId="35">
    <w:abstractNumId w:val="15"/>
  </w:num>
  <w:num w:numId="36">
    <w:abstractNumId w:val="3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d5x9e24rasx8e2asc5x0pw95tw20vx5a25&quot;&gt;Clare 10-08  Copy Copy Copy Copy Copy Copy Copy&lt;record-ids&gt;&lt;item&gt;1133&lt;/item&gt;&lt;item&gt;1134&lt;/item&gt;&lt;item&gt;1135&lt;/item&gt;&lt;/record-ids&gt;&lt;/item&gt;&lt;/Libraries&gt;"/>
  </w:docVars>
  <w:rsids>
    <w:rsidRoot w:val="002C0BEB"/>
    <w:rsid w:val="000002E3"/>
    <w:rsid w:val="00001F62"/>
    <w:rsid w:val="000021BA"/>
    <w:rsid w:val="000036B9"/>
    <w:rsid w:val="0000415B"/>
    <w:rsid w:val="00004C00"/>
    <w:rsid w:val="00005470"/>
    <w:rsid w:val="00005558"/>
    <w:rsid w:val="00005CF7"/>
    <w:rsid w:val="00005E3C"/>
    <w:rsid w:val="00006067"/>
    <w:rsid w:val="000066A3"/>
    <w:rsid w:val="000077D9"/>
    <w:rsid w:val="00007B7A"/>
    <w:rsid w:val="0001028C"/>
    <w:rsid w:val="00010590"/>
    <w:rsid w:val="00010DCC"/>
    <w:rsid w:val="00011386"/>
    <w:rsid w:val="00011529"/>
    <w:rsid w:val="00011A65"/>
    <w:rsid w:val="00012131"/>
    <w:rsid w:val="000133D1"/>
    <w:rsid w:val="00014101"/>
    <w:rsid w:val="00015499"/>
    <w:rsid w:val="00015DD9"/>
    <w:rsid w:val="00017F79"/>
    <w:rsid w:val="00017FC9"/>
    <w:rsid w:val="00020178"/>
    <w:rsid w:val="00020F24"/>
    <w:rsid w:val="000212B5"/>
    <w:rsid w:val="0002165C"/>
    <w:rsid w:val="000217BF"/>
    <w:rsid w:val="00021BAE"/>
    <w:rsid w:val="00021EB6"/>
    <w:rsid w:val="0002223F"/>
    <w:rsid w:val="00022319"/>
    <w:rsid w:val="000241BD"/>
    <w:rsid w:val="00024258"/>
    <w:rsid w:val="000242B5"/>
    <w:rsid w:val="0002481A"/>
    <w:rsid w:val="00025033"/>
    <w:rsid w:val="0002516E"/>
    <w:rsid w:val="0002590E"/>
    <w:rsid w:val="0002617D"/>
    <w:rsid w:val="00026EA3"/>
    <w:rsid w:val="00027143"/>
    <w:rsid w:val="0002735C"/>
    <w:rsid w:val="00027B9E"/>
    <w:rsid w:val="00027FCE"/>
    <w:rsid w:val="00030237"/>
    <w:rsid w:val="00031AA4"/>
    <w:rsid w:val="00032433"/>
    <w:rsid w:val="0003293A"/>
    <w:rsid w:val="00033162"/>
    <w:rsid w:val="000331C0"/>
    <w:rsid w:val="00033497"/>
    <w:rsid w:val="00034FA6"/>
    <w:rsid w:val="000367E3"/>
    <w:rsid w:val="00036D15"/>
    <w:rsid w:val="00036F36"/>
    <w:rsid w:val="00037EC6"/>
    <w:rsid w:val="00041ADD"/>
    <w:rsid w:val="00042806"/>
    <w:rsid w:val="00043521"/>
    <w:rsid w:val="00044315"/>
    <w:rsid w:val="000445F3"/>
    <w:rsid w:val="00045859"/>
    <w:rsid w:val="00046285"/>
    <w:rsid w:val="00046C30"/>
    <w:rsid w:val="00047286"/>
    <w:rsid w:val="00047914"/>
    <w:rsid w:val="00047A52"/>
    <w:rsid w:val="000509EA"/>
    <w:rsid w:val="00050B12"/>
    <w:rsid w:val="00051687"/>
    <w:rsid w:val="000519C9"/>
    <w:rsid w:val="00051A55"/>
    <w:rsid w:val="00052963"/>
    <w:rsid w:val="00052BE8"/>
    <w:rsid w:val="00052FAC"/>
    <w:rsid w:val="00053113"/>
    <w:rsid w:val="00053DF2"/>
    <w:rsid w:val="00053F05"/>
    <w:rsid w:val="000544D5"/>
    <w:rsid w:val="000546A6"/>
    <w:rsid w:val="00055CCA"/>
    <w:rsid w:val="00056B1E"/>
    <w:rsid w:val="00057066"/>
    <w:rsid w:val="000575D6"/>
    <w:rsid w:val="00057A81"/>
    <w:rsid w:val="0006022A"/>
    <w:rsid w:val="00060F13"/>
    <w:rsid w:val="0006123C"/>
    <w:rsid w:val="000615EA"/>
    <w:rsid w:val="00062174"/>
    <w:rsid w:val="000624A7"/>
    <w:rsid w:val="000624E2"/>
    <w:rsid w:val="000626A8"/>
    <w:rsid w:val="00062811"/>
    <w:rsid w:val="000630E2"/>
    <w:rsid w:val="000645AD"/>
    <w:rsid w:val="00064E5D"/>
    <w:rsid w:val="00065986"/>
    <w:rsid w:val="0006619F"/>
    <w:rsid w:val="00066309"/>
    <w:rsid w:val="00066E69"/>
    <w:rsid w:val="0006728C"/>
    <w:rsid w:val="00067773"/>
    <w:rsid w:val="00067AB5"/>
    <w:rsid w:val="00070228"/>
    <w:rsid w:val="0007138B"/>
    <w:rsid w:val="00071D45"/>
    <w:rsid w:val="00072AA1"/>
    <w:rsid w:val="00073A4A"/>
    <w:rsid w:val="00074ADF"/>
    <w:rsid w:val="000753A4"/>
    <w:rsid w:val="00075DAD"/>
    <w:rsid w:val="00076A73"/>
    <w:rsid w:val="00076A83"/>
    <w:rsid w:val="00076DA9"/>
    <w:rsid w:val="0007712D"/>
    <w:rsid w:val="00077369"/>
    <w:rsid w:val="00077B0A"/>
    <w:rsid w:val="00077DB8"/>
    <w:rsid w:val="000803FB"/>
    <w:rsid w:val="00080A47"/>
    <w:rsid w:val="00080CAB"/>
    <w:rsid w:val="000828E1"/>
    <w:rsid w:val="00082F23"/>
    <w:rsid w:val="00083822"/>
    <w:rsid w:val="000857CD"/>
    <w:rsid w:val="00085EA0"/>
    <w:rsid w:val="000865EB"/>
    <w:rsid w:val="00087680"/>
    <w:rsid w:val="00087E16"/>
    <w:rsid w:val="00090988"/>
    <w:rsid w:val="00091386"/>
    <w:rsid w:val="00091F31"/>
    <w:rsid w:val="0009274C"/>
    <w:rsid w:val="000932D0"/>
    <w:rsid w:val="00093510"/>
    <w:rsid w:val="00093E29"/>
    <w:rsid w:val="000946AC"/>
    <w:rsid w:val="00095924"/>
    <w:rsid w:val="0009660B"/>
    <w:rsid w:val="000A0160"/>
    <w:rsid w:val="000A044F"/>
    <w:rsid w:val="000A0755"/>
    <w:rsid w:val="000A1BC2"/>
    <w:rsid w:val="000A2C33"/>
    <w:rsid w:val="000A38F8"/>
    <w:rsid w:val="000A422E"/>
    <w:rsid w:val="000A48F4"/>
    <w:rsid w:val="000A70F4"/>
    <w:rsid w:val="000A7249"/>
    <w:rsid w:val="000B0C42"/>
    <w:rsid w:val="000B11C9"/>
    <w:rsid w:val="000B148D"/>
    <w:rsid w:val="000B1EDB"/>
    <w:rsid w:val="000B2945"/>
    <w:rsid w:val="000B2B12"/>
    <w:rsid w:val="000B2EC3"/>
    <w:rsid w:val="000B36DD"/>
    <w:rsid w:val="000B3DD7"/>
    <w:rsid w:val="000B4CA1"/>
    <w:rsid w:val="000B57DB"/>
    <w:rsid w:val="000B57EE"/>
    <w:rsid w:val="000B64AD"/>
    <w:rsid w:val="000B67BF"/>
    <w:rsid w:val="000B6838"/>
    <w:rsid w:val="000C0E11"/>
    <w:rsid w:val="000C0E42"/>
    <w:rsid w:val="000C171B"/>
    <w:rsid w:val="000C17C4"/>
    <w:rsid w:val="000C1A8C"/>
    <w:rsid w:val="000C1D55"/>
    <w:rsid w:val="000C2220"/>
    <w:rsid w:val="000C4103"/>
    <w:rsid w:val="000C455D"/>
    <w:rsid w:val="000C4C3F"/>
    <w:rsid w:val="000C53CB"/>
    <w:rsid w:val="000C7FE5"/>
    <w:rsid w:val="000D0903"/>
    <w:rsid w:val="000D15DE"/>
    <w:rsid w:val="000D24D1"/>
    <w:rsid w:val="000D29A2"/>
    <w:rsid w:val="000D3034"/>
    <w:rsid w:val="000D370A"/>
    <w:rsid w:val="000D3920"/>
    <w:rsid w:val="000D417B"/>
    <w:rsid w:val="000D52BE"/>
    <w:rsid w:val="000D53BB"/>
    <w:rsid w:val="000D580B"/>
    <w:rsid w:val="000D6BA6"/>
    <w:rsid w:val="000D719C"/>
    <w:rsid w:val="000D7905"/>
    <w:rsid w:val="000E0619"/>
    <w:rsid w:val="000E0AA7"/>
    <w:rsid w:val="000E1722"/>
    <w:rsid w:val="000E2C83"/>
    <w:rsid w:val="000E2DA2"/>
    <w:rsid w:val="000E39CB"/>
    <w:rsid w:val="000E3FE3"/>
    <w:rsid w:val="000E5C88"/>
    <w:rsid w:val="000E7414"/>
    <w:rsid w:val="000E7EC6"/>
    <w:rsid w:val="000F043D"/>
    <w:rsid w:val="000F0673"/>
    <w:rsid w:val="000F09E0"/>
    <w:rsid w:val="000F17EA"/>
    <w:rsid w:val="000F28BB"/>
    <w:rsid w:val="000F2ECD"/>
    <w:rsid w:val="000F33B7"/>
    <w:rsid w:val="000F3F84"/>
    <w:rsid w:val="000F677F"/>
    <w:rsid w:val="000F6F47"/>
    <w:rsid w:val="000F7055"/>
    <w:rsid w:val="000F7653"/>
    <w:rsid w:val="000F7784"/>
    <w:rsid w:val="000F7A72"/>
    <w:rsid w:val="0010044E"/>
    <w:rsid w:val="00101320"/>
    <w:rsid w:val="0010276C"/>
    <w:rsid w:val="0010334C"/>
    <w:rsid w:val="00103FCD"/>
    <w:rsid w:val="00104023"/>
    <w:rsid w:val="001055E6"/>
    <w:rsid w:val="00105A3F"/>
    <w:rsid w:val="00105AF5"/>
    <w:rsid w:val="00106877"/>
    <w:rsid w:val="00106939"/>
    <w:rsid w:val="00106C98"/>
    <w:rsid w:val="0010755E"/>
    <w:rsid w:val="00110D12"/>
    <w:rsid w:val="001116C6"/>
    <w:rsid w:val="00111879"/>
    <w:rsid w:val="00113CA0"/>
    <w:rsid w:val="0011422C"/>
    <w:rsid w:val="001148B7"/>
    <w:rsid w:val="001155F8"/>
    <w:rsid w:val="0011603A"/>
    <w:rsid w:val="00116126"/>
    <w:rsid w:val="00116739"/>
    <w:rsid w:val="00116C9C"/>
    <w:rsid w:val="00117563"/>
    <w:rsid w:val="00117F00"/>
    <w:rsid w:val="001212C5"/>
    <w:rsid w:val="0012200F"/>
    <w:rsid w:val="001222C4"/>
    <w:rsid w:val="00122CC3"/>
    <w:rsid w:val="00123146"/>
    <w:rsid w:val="0012348A"/>
    <w:rsid w:val="00123852"/>
    <w:rsid w:val="00123F4A"/>
    <w:rsid w:val="0012442B"/>
    <w:rsid w:val="00124BF2"/>
    <w:rsid w:val="00125080"/>
    <w:rsid w:val="00126313"/>
    <w:rsid w:val="00126EBD"/>
    <w:rsid w:val="00126FCB"/>
    <w:rsid w:val="0012756C"/>
    <w:rsid w:val="001276B2"/>
    <w:rsid w:val="001315E5"/>
    <w:rsid w:val="0013193D"/>
    <w:rsid w:val="001319AD"/>
    <w:rsid w:val="00131F61"/>
    <w:rsid w:val="001320C6"/>
    <w:rsid w:val="001325FA"/>
    <w:rsid w:val="00132BE9"/>
    <w:rsid w:val="00133BEF"/>
    <w:rsid w:val="00133F8F"/>
    <w:rsid w:val="00134856"/>
    <w:rsid w:val="00134F06"/>
    <w:rsid w:val="0013603B"/>
    <w:rsid w:val="00136D67"/>
    <w:rsid w:val="00136E98"/>
    <w:rsid w:val="00137B40"/>
    <w:rsid w:val="0014094B"/>
    <w:rsid w:val="00141237"/>
    <w:rsid w:val="001413C3"/>
    <w:rsid w:val="00141F90"/>
    <w:rsid w:val="001421EB"/>
    <w:rsid w:val="001439DC"/>
    <w:rsid w:val="00144096"/>
    <w:rsid w:val="001459AA"/>
    <w:rsid w:val="00145F4F"/>
    <w:rsid w:val="00146D99"/>
    <w:rsid w:val="001471B8"/>
    <w:rsid w:val="00147201"/>
    <w:rsid w:val="001479AE"/>
    <w:rsid w:val="001509C6"/>
    <w:rsid w:val="00151FBA"/>
    <w:rsid w:val="0015222B"/>
    <w:rsid w:val="00153853"/>
    <w:rsid w:val="00154466"/>
    <w:rsid w:val="001544B7"/>
    <w:rsid w:val="00154C86"/>
    <w:rsid w:val="0015564A"/>
    <w:rsid w:val="001556E9"/>
    <w:rsid w:val="0015602A"/>
    <w:rsid w:val="00156550"/>
    <w:rsid w:val="00156838"/>
    <w:rsid w:val="00157F20"/>
    <w:rsid w:val="00160211"/>
    <w:rsid w:val="0016109C"/>
    <w:rsid w:val="00161A57"/>
    <w:rsid w:val="0016285D"/>
    <w:rsid w:val="001628BE"/>
    <w:rsid w:val="00162926"/>
    <w:rsid w:val="00162CD5"/>
    <w:rsid w:val="00162DC8"/>
    <w:rsid w:val="00163BB5"/>
    <w:rsid w:val="00164BF4"/>
    <w:rsid w:val="0016527D"/>
    <w:rsid w:val="001657F6"/>
    <w:rsid w:val="00165C6F"/>
    <w:rsid w:val="00166D8A"/>
    <w:rsid w:val="0016721C"/>
    <w:rsid w:val="00167536"/>
    <w:rsid w:val="001675D4"/>
    <w:rsid w:val="00167E9A"/>
    <w:rsid w:val="001700FA"/>
    <w:rsid w:val="001703C4"/>
    <w:rsid w:val="00170A6D"/>
    <w:rsid w:val="00170DBB"/>
    <w:rsid w:val="001720C7"/>
    <w:rsid w:val="00173FD6"/>
    <w:rsid w:val="001743BF"/>
    <w:rsid w:val="001746F7"/>
    <w:rsid w:val="00174D0E"/>
    <w:rsid w:val="00175316"/>
    <w:rsid w:val="00176FA8"/>
    <w:rsid w:val="00177EA4"/>
    <w:rsid w:val="00180972"/>
    <w:rsid w:val="001809B2"/>
    <w:rsid w:val="00181256"/>
    <w:rsid w:val="001822A5"/>
    <w:rsid w:val="00182EB8"/>
    <w:rsid w:val="00183110"/>
    <w:rsid w:val="00183420"/>
    <w:rsid w:val="0018364E"/>
    <w:rsid w:val="0018389E"/>
    <w:rsid w:val="00184C5F"/>
    <w:rsid w:val="00184F1C"/>
    <w:rsid w:val="001854F6"/>
    <w:rsid w:val="0018567E"/>
    <w:rsid w:val="00185DB5"/>
    <w:rsid w:val="001862AE"/>
    <w:rsid w:val="00186AE8"/>
    <w:rsid w:val="00186E53"/>
    <w:rsid w:val="00186F07"/>
    <w:rsid w:val="00187719"/>
    <w:rsid w:val="00190281"/>
    <w:rsid w:val="0019128C"/>
    <w:rsid w:val="001921AE"/>
    <w:rsid w:val="001929A2"/>
    <w:rsid w:val="00192D2E"/>
    <w:rsid w:val="00193EB6"/>
    <w:rsid w:val="00194456"/>
    <w:rsid w:val="0019456A"/>
    <w:rsid w:val="0019506E"/>
    <w:rsid w:val="00195733"/>
    <w:rsid w:val="00195A2D"/>
    <w:rsid w:val="001965D1"/>
    <w:rsid w:val="00197283"/>
    <w:rsid w:val="001A02AE"/>
    <w:rsid w:val="001A1071"/>
    <w:rsid w:val="001A18B6"/>
    <w:rsid w:val="001A2AF2"/>
    <w:rsid w:val="001A4264"/>
    <w:rsid w:val="001A4A91"/>
    <w:rsid w:val="001A538A"/>
    <w:rsid w:val="001A554C"/>
    <w:rsid w:val="001A5C37"/>
    <w:rsid w:val="001A765B"/>
    <w:rsid w:val="001A7BBA"/>
    <w:rsid w:val="001B1344"/>
    <w:rsid w:val="001B14C9"/>
    <w:rsid w:val="001B1798"/>
    <w:rsid w:val="001B196C"/>
    <w:rsid w:val="001B1F36"/>
    <w:rsid w:val="001B22C9"/>
    <w:rsid w:val="001B266F"/>
    <w:rsid w:val="001B353E"/>
    <w:rsid w:val="001B362E"/>
    <w:rsid w:val="001B3B7A"/>
    <w:rsid w:val="001B53A4"/>
    <w:rsid w:val="001B5435"/>
    <w:rsid w:val="001B56A3"/>
    <w:rsid w:val="001B5748"/>
    <w:rsid w:val="001B5A22"/>
    <w:rsid w:val="001B6B82"/>
    <w:rsid w:val="001C0727"/>
    <w:rsid w:val="001C0A10"/>
    <w:rsid w:val="001C27B4"/>
    <w:rsid w:val="001C3693"/>
    <w:rsid w:val="001C3E30"/>
    <w:rsid w:val="001C3F73"/>
    <w:rsid w:val="001C48B5"/>
    <w:rsid w:val="001C4C9E"/>
    <w:rsid w:val="001C5348"/>
    <w:rsid w:val="001C5DEE"/>
    <w:rsid w:val="001C67A6"/>
    <w:rsid w:val="001C6961"/>
    <w:rsid w:val="001C75FF"/>
    <w:rsid w:val="001C76B5"/>
    <w:rsid w:val="001D0140"/>
    <w:rsid w:val="001D1A3C"/>
    <w:rsid w:val="001D1F68"/>
    <w:rsid w:val="001D226B"/>
    <w:rsid w:val="001D22EF"/>
    <w:rsid w:val="001D2407"/>
    <w:rsid w:val="001D28EA"/>
    <w:rsid w:val="001D443F"/>
    <w:rsid w:val="001D4454"/>
    <w:rsid w:val="001D45E4"/>
    <w:rsid w:val="001D69E0"/>
    <w:rsid w:val="001D6BFF"/>
    <w:rsid w:val="001D6D1E"/>
    <w:rsid w:val="001E0390"/>
    <w:rsid w:val="001E0812"/>
    <w:rsid w:val="001E1FF4"/>
    <w:rsid w:val="001E44A0"/>
    <w:rsid w:val="001E4525"/>
    <w:rsid w:val="001E5CDE"/>
    <w:rsid w:val="001E77CA"/>
    <w:rsid w:val="001E780D"/>
    <w:rsid w:val="001F0E3F"/>
    <w:rsid w:val="001F1332"/>
    <w:rsid w:val="001F1B9C"/>
    <w:rsid w:val="001F223F"/>
    <w:rsid w:val="001F2347"/>
    <w:rsid w:val="001F2E22"/>
    <w:rsid w:val="001F2F35"/>
    <w:rsid w:val="001F4946"/>
    <w:rsid w:val="001F5D96"/>
    <w:rsid w:val="001F6062"/>
    <w:rsid w:val="001F65B9"/>
    <w:rsid w:val="001F66C6"/>
    <w:rsid w:val="001F767F"/>
    <w:rsid w:val="001F7779"/>
    <w:rsid w:val="002001FB"/>
    <w:rsid w:val="002016B6"/>
    <w:rsid w:val="002025AC"/>
    <w:rsid w:val="00202C65"/>
    <w:rsid w:val="0020313B"/>
    <w:rsid w:val="0020409F"/>
    <w:rsid w:val="00204282"/>
    <w:rsid w:val="00206057"/>
    <w:rsid w:val="0020610C"/>
    <w:rsid w:val="00207BE4"/>
    <w:rsid w:val="00207EE6"/>
    <w:rsid w:val="00207FDD"/>
    <w:rsid w:val="002114C5"/>
    <w:rsid w:val="00212B03"/>
    <w:rsid w:val="00212F4F"/>
    <w:rsid w:val="00213745"/>
    <w:rsid w:val="00213A30"/>
    <w:rsid w:val="00213A4A"/>
    <w:rsid w:val="0021432B"/>
    <w:rsid w:val="00214BAA"/>
    <w:rsid w:val="0021618D"/>
    <w:rsid w:val="002165C5"/>
    <w:rsid w:val="00216E9E"/>
    <w:rsid w:val="00217DED"/>
    <w:rsid w:val="00217F9D"/>
    <w:rsid w:val="00221B29"/>
    <w:rsid w:val="00221CA9"/>
    <w:rsid w:val="002224BA"/>
    <w:rsid w:val="00223675"/>
    <w:rsid w:val="00223FAA"/>
    <w:rsid w:val="00225389"/>
    <w:rsid w:val="00225AC6"/>
    <w:rsid w:val="002264B0"/>
    <w:rsid w:val="0022760C"/>
    <w:rsid w:val="00227F9E"/>
    <w:rsid w:val="00230A55"/>
    <w:rsid w:val="0023114E"/>
    <w:rsid w:val="00231451"/>
    <w:rsid w:val="00232015"/>
    <w:rsid w:val="002324E6"/>
    <w:rsid w:val="00233227"/>
    <w:rsid w:val="002345BD"/>
    <w:rsid w:val="002345C2"/>
    <w:rsid w:val="00234773"/>
    <w:rsid w:val="002349B9"/>
    <w:rsid w:val="0023564D"/>
    <w:rsid w:val="00235943"/>
    <w:rsid w:val="00236C25"/>
    <w:rsid w:val="00236CCF"/>
    <w:rsid w:val="0024023D"/>
    <w:rsid w:val="002406AC"/>
    <w:rsid w:val="0024198A"/>
    <w:rsid w:val="00242ACE"/>
    <w:rsid w:val="00242B54"/>
    <w:rsid w:val="00244227"/>
    <w:rsid w:val="00244AB8"/>
    <w:rsid w:val="00245284"/>
    <w:rsid w:val="0024599A"/>
    <w:rsid w:val="00246478"/>
    <w:rsid w:val="00246B6A"/>
    <w:rsid w:val="00246DFC"/>
    <w:rsid w:val="00247321"/>
    <w:rsid w:val="00247492"/>
    <w:rsid w:val="0024758E"/>
    <w:rsid w:val="00247DB9"/>
    <w:rsid w:val="002504DA"/>
    <w:rsid w:val="0025100B"/>
    <w:rsid w:val="002515F2"/>
    <w:rsid w:val="0025166D"/>
    <w:rsid w:val="0025250C"/>
    <w:rsid w:val="00252C04"/>
    <w:rsid w:val="00252CC5"/>
    <w:rsid w:val="00252F11"/>
    <w:rsid w:val="0025323A"/>
    <w:rsid w:val="0025377E"/>
    <w:rsid w:val="00253A40"/>
    <w:rsid w:val="00253EB2"/>
    <w:rsid w:val="002549EC"/>
    <w:rsid w:val="0025507E"/>
    <w:rsid w:val="0025531C"/>
    <w:rsid w:val="00255850"/>
    <w:rsid w:val="00255A11"/>
    <w:rsid w:val="00255DD4"/>
    <w:rsid w:val="0025611B"/>
    <w:rsid w:val="00256133"/>
    <w:rsid w:val="002565A5"/>
    <w:rsid w:val="00256B6D"/>
    <w:rsid w:val="00256D87"/>
    <w:rsid w:val="00257C33"/>
    <w:rsid w:val="00257E31"/>
    <w:rsid w:val="00260C41"/>
    <w:rsid w:val="002610DA"/>
    <w:rsid w:val="00261DBE"/>
    <w:rsid w:val="0026218C"/>
    <w:rsid w:val="002621D7"/>
    <w:rsid w:val="00262981"/>
    <w:rsid w:val="0026318C"/>
    <w:rsid w:val="00264A63"/>
    <w:rsid w:val="00264FC8"/>
    <w:rsid w:val="00265CAA"/>
    <w:rsid w:val="0026620C"/>
    <w:rsid w:val="002665CA"/>
    <w:rsid w:val="00266A22"/>
    <w:rsid w:val="00266B55"/>
    <w:rsid w:val="002675D7"/>
    <w:rsid w:val="00267C5D"/>
    <w:rsid w:val="00267CA9"/>
    <w:rsid w:val="002711AE"/>
    <w:rsid w:val="00271D0D"/>
    <w:rsid w:val="0027208D"/>
    <w:rsid w:val="002737C6"/>
    <w:rsid w:val="002737D3"/>
    <w:rsid w:val="002741F8"/>
    <w:rsid w:val="00274714"/>
    <w:rsid w:val="00274801"/>
    <w:rsid w:val="00276021"/>
    <w:rsid w:val="002768B0"/>
    <w:rsid w:val="002777B5"/>
    <w:rsid w:val="002778B7"/>
    <w:rsid w:val="0028021D"/>
    <w:rsid w:val="002817C0"/>
    <w:rsid w:val="00282380"/>
    <w:rsid w:val="00282795"/>
    <w:rsid w:val="00282F12"/>
    <w:rsid w:val="0028327B"/>
    <w:rsid w:val="002833C3"/>
    <w:rsid w:val="0028458E"/>
    <w:rsid w:val="00284DEB"/>
    <w:rsid w:val="0028505F"/>
    <w:rsid w:val="00285206"/>
    <w:rsid w:val="00285B27"/>
    <w:rsid w:val="00285F44"/>
    <w:rsid w:val="00286653"/>
    <w:rsid w:val="002870FE"/>
    <w:rsid w:val="00287DFD"/>
    <w:rsid w:val="0029001B"/>
    <w:rsid w:val="00293084"/>
    <w:rsid w:val="00293667"/>
    <w:rsid w:val="00293CD8"/>
    <w:rsid w:val="0029427D"/>
    <w:rsid w:val="002943E7"/>
    <w:rsid w:val="00294B5A"/>
    <w:rsid w:val="00295A9C"/>
    <w:rsid w:val="00295FF5"/>
    <w:rsid w:val="00296115"/>
    <w:rsid w:val="002961B5"/>
    <w:rsid w:val="00297256"/>
    <w:rsid w:val="002A03DA"/>
    <w:rsid w:val="002A0F50"/>
    <w:rsid w:val="002A145E"/>
    <w:rsid w:val="002A15C9"/>
    <w:rsid w:val="002A2F57"/>
    <w:rsid w:val="002A339E"/>
    <w:rsid w:val="002A36BD"/>
    <w:rsid w:val="002A4335"/>
    <w:rsid w:val="002A4E9E"/>
    <w:rsid w:val="002A4F81"/>
    <w:rsid w:val="002A5BCF"/>
    <w:rsid w:val="002A5BF8"/>
    <w:rsid w:val="002A5DD0"/>
    <w:rsid w:val="002A677A"/>
    <w:rsid w:val="002A7013"/>
    <w:rsid w:val="002A711D"/>
    <w:rsid w:val="002A7373"/>
    <w:rsid w:val="002A791D"/>
    <w:rsid w:val="002B0411"/>
    <w:rsid w:val="002B1005"/>
    <w:rsid w:val="002B1074"/>
    <w:rsid w:val="002B127B"/>
    <w:rsid w:val="002B1EE1"/>
    <w:rsid w:val="002B2EC5"/>
    <w:rsid w:val="002B382C"/>
    <w:rsid w:val="002B52D8"/>
    <w:rsid w:val="002B542C"/>
    <w:rsid w:val="002B6E4B"/>
    <w:rsid w:val="002B742F"/>
    <w:rsid w:val="002C016D"/>
    <w:rsid w:val="002C0413"/>
    <w:rsid w:val="002C0706"/>
    <w:rsid w:val="002C0BEB"/>
    <w:rsid w:val="002C149A"/>
    <w:rsid w:val="002C15AF"/>
    <w:rsid w:val="002C197C"/>
    <w:rsid w:val="002C1DD0"/>
    <w:rsid w:val="002C2B22"/>
    <w:rsid w:val="002C33C1"/>
    <w:rsid w:val="002C3EDE"/>
    <w:rsid w:val="002C4163"/>
    <w:rsid w:val="002C4448"/>
    <w:rsid w:val="002C61CF"/>
    <w:rsid w:val="002C67E2"/>
    <w:rsid w:val="002C6A1B"/>
    <w:rsid w:val="002C71C7"/>
    <w:rsid w:val="002C7A7A"/>
    <w:rsid w:val="002D057A"/>
    <w:rsid w:val="002D06A9"/>
    <w:rsid w:val="002D0BD1"/>
    <w:rsid w:val="002D0EB3"/>
    <w:rsid w:val="002D1903"/>
    <w:rsid w:val="002D30F9"/>
    <w:rsid w:val="002D3290"/>
    <w:rsid w:val="002D46DC"/>
    <w:rsid w:val="002D481A"/>
    <w:rsid w:val="002D4982"/>
    <w:rsid w:val="002D6BBE"/>
    <w:rsid w:val="002D6C0D"/>
    <w:rsid w:val="002D7146"/>
    <w:rsid w:val="002E029F"/>
    <w:rsid w:val="002E06C6"/>
    <w:rsid w:val="002E106C"/>
    <w:rsid w:val="002E1377"/>
    <w:rsid w:val="002E2BD8"/>
    <w:rsid w:val="002E2E35"/>
    <w:rsid w:val="002E3D7D"/>
    <w:rsid w:val="002E3DEC"/>
    <w:rsid w:val="002E3EF4"/>
    <w:rsid w:val="002E4066"/>
    <w:rsid w:val="002E4294"/>
    <w:rsid w:val="002E44E6"/>
    <w:rsid w:val="002E46D8"/>
    <w:rsid w:val="002E5143"/>
    <w:rsid w:val="002E5A25"/>
    <w:rsid w:val="002F03D5"/>
    <w:rsid w:val="002F189E"/>
    <w:rsid w:val="002F18AC"/>
    <w:rsid w:val="002F2337"/>
    <w:rsid w:val="002F33F5"/>
    <w:rsid w:val="002F3589"/>
    <w:rsid w:val="002F394D"/>
    <w:rsid w:val="002F5956"/>
    <w:rsid w:val="002F5A79"/>
    <w:rsid w:val="002F5F11"/>
    <w:rsid w:val="002F6CB0"/>
    <w:rsid w:val="0030072A"/>
    <w:rsid w:val="003022C4"/>
    <w:rsid w:val="003023E8"/>
    <w:rsid w:val="00302A67"/>
    <w:rsid w:val="00302F5A"/>
    <w:rsid w:val="00303412"/>
    <w:rsid w:val="00304065"/>
    <w:rsid w:val="003043AF"/>
    <w:rsid w:val="003051C9"/>
    <w:rsid w:val="00305354"/>
    <w:rsid w:val="00305CA8"/>
    <w:rsid w:val="00306315"/>
    <w:rsid w:val="0030649B"/>
    <w:rsid w:val="00306601"/>
    <w:rsid w:val="00306655"/>
    <w:rsid w:val="00306A6D"/>
    <w:rsid w:val="00307BD9"/>
    <w:rsid w:val="00310379"/>
    <w:rsid w:val="003103FC"/>
    <w:rsid w:val="00310CA7"/>
    <w:rsid w:val="003115C5"/>
    <w:rsid w:val="0031264A"/>
    <w:rsid w:val="00312666"/>
    <w:rsid w:val="00312DD0"/>
    <w:rsid w:val="0031307F"/>
    <w:rsid w:val="003136B4"/>
    <w:rsid w:val="003143C8"/>
    <w:rsid w:val="00314946"/>
    <w:rsid w:val="00314BF9"/>
    <w:rsid w:val="003158D5"/>
    <w:rsid w:val="00315D3D"/>
    <w:rsid w:val="00315E08"/>
    <w:rsid w:val="003166C2"/>
    <w:rsid w:val="003170C0"/>
    <w:rsid w:val="00317441"/>
    <w:rsid w:val="0031798B"/>
    <w:rsid w:val="00317D41"/>
    <w:rsid w:val="003203C3"/>
    <w:rsid w:val="00320682"/>
    <w:rsid w:val="00320933"/>
    <w:rsid w:val="00320E32"/>
    <w:rsid w:val="0032113F"/>
    <w:rsid w:val="00321458"/>
    <w:rsid w:val="0032167D"/>
    <w:rsid w:val="00321998"/>
    <w:rsid w:val="003219F3"/>
    <w:rsid w:val="00321AE9"/>
    <w:rsid w:val="00321C5A"/>
    <w:rsid w:val="00321D83"/>
    <w:rsid w:val="00322DB1"/>
    <w:rsid w:val="00322FBB"/>
    <w:rsid w:val="00323938"/>
    <w:rsid w:val="00323DB2"/>
    <w:rsid w:val="00324324"/>
    <w:rsid w:val="00324BB3"/>
    <w:rsid w:val="00325118"/>
    <w:rsid w:val="0032559D"/>
    <w:rsid w:val="003259EF"/>
    <w:rsid w:val="00326AE8"/>
    <w:rsid w:val="00326E4C"/>
    <w:rsid w:val="00327919"/>
    <w:rsid w:val="00327F8A"/>
    <w:rsid w:val="00330B9F"/>
    <w:rsid w:val="00331E42"/>
    <w:rsid w:val="0033262F"/>
    <w:rsid w:val="00332A39"/>
    <w:rsid w:val="00332E08"/>
    <w:rsid w:val="00333C4E"/>
    <w:rsid w:val="00333CF0"/>
    <w:rsid w:val="00335325"/>
    <w:rsid w:val="00335431"/>
    <w:rsid w:val="0033551D"/>
    <w:rsid w:val="00335955"/>
    <w:rsid w:val="003359B1"/>
    <w:rsid w:val="003359B8"/>
    <w:rsid w:val="00335AD4"/>
    <w:rsid w:val="00335F3B"/>
    <w:rsid w:val="00336110"/>
    <w:rsid w:val="00336CFF"/>
    <w:rsid w:val="003370FC"/>
    <w:rsid w:val="003403B7"/>
    <w:rsid w:val="003406DA"/>
    <w:rsid w:val="00340E4D"/>
    <w:rsid w:val="00342269"/>
    <w:rsid w:val="00342583"/>
    <w:rsid w:val="00342AA0"/>
    <w:rsid w:val="00342D61"/>
    <w:rsid w:val="00343FE2"/>
    <w:rsid w:val="00345737"/>
    <w:rsid w:val="00346993"/>
    <w:rsid w:val="003474CC"/>
    <w:rsid w:val="00347C3C"/>
    <w:rsid w:val="00351557"/>
    <w:rsid w:val="00351581"/>
    <w:rsid w:val="003518F1"/>
    <w:rsid w:val="0035411F"/>
    <w:rsid w:val="00354947"/>
    <w:rsid w:val="00356313"/>
    <w:rsid w:val="003564CF"/>
    <w:rsid w:val="00356CA8"/>
    <w:rsid w:val="003570D0"/>
    <w:rsid w:val="00357B4E"/>
    <w:rsid w:val="00357B55"/>
    <w:rsid w:val="003617DB"/>
    <w:rsid w:val="003619F3"/>
    <w:rsid w:val="00361C4B"/>
    <w:rsid w:val="00361FA0"/>
    <w:rsid w:val="00362480"/>
    <w:rsid w:val="003627B1"/>
    <w:rsid w:val="00362963"/>
    <w:rsid w:val="00362B3B"/>
    <w:rsid w:val="003630BE"/>
    <w:rsid w:val="00363193"/>
    <w:rsid w:val="0036394F"/>
    <w:rsid w:val="00363F84"/>
    <w:rsid w:val="0036469A"/>
    <w:rsid w:val="003648A6"/>
    <w:rsid w:val="0036598A"/>
    <w:rsid w:val="00365B03"/>
    <w:rsid w:val="00365C72"/>
    <w:rsid w:val="00366198"/>
    <w:rsid w:val="00367CAF"/>
    <w:rsid w:val="003707F0"/>
    <w:rsid w:val="003708CF"/>
    <w:rsid w:val="00370EA2"/>
    <w:rsid w:val="003710E9"/>
    <w:rsid w:val="0037160D"/>
    <w:rsid w:val="00373835"/>
    <w:rsid w:val="00374385"/>
    <w:rsid w:val="003753F8"/>
    <w:rsid w:val="003754E3"/>
    <w:rsid w:val="00376001"/>
    <w:rsid w:val="003766E3"/>
    <w:rsid w:val="0037704A"/>
    <w:rsid w:val="00380085"/>
    <w:rsid w:val="00380683"/>
    <w:rsid w:val="0038113E"/>
    <w:rsid w:val="003815A2"/>
    <w:rsid w:val="00381723"/>
    <w:rsid w:val="003826A4"/>
    <w:rsid w:val="003828AD"/>
    <w:rsid w:val="003828BE"/>
    <w:rsid w:val="00383BC1"/>
    <w:rsid w:val="00383EA7"/>
    <w:rsid w:val="00383EEA"/>
    <w:rsid w:val="003843EB"/>
    <w:rsid w:val="00384492"/>
    <w:rsid w:val="00386302"/>
    <w:rsid w:val="00386F54"/>
    <w:rsid w:val="00387BFE"/>
    <w:rsid w:val="00387EB2"/>
    <w:rsid w:val="00387F56"/>
    <w:rsid w:val="00390233"/>
    <w:rsid w:val="003907FD"/>
    <w:rsid w:val="003908E7"/>
    <w:rsid w:val="0039100A"/>
    <w:rsid w:val="00392698"/>
    <w:rsid w:val="0039321E"/>
    <w:rsid w:val="003932AF"/>
    <w:rsid w:val="0039364E"/>
    <w:rsid w:val="00393A33"/>
    <w:rsid w:val="00393CFD"/>
    <w:rsid w:val="00394000"/>
    <w:rsid w:val="003956E9"/>
    <w:rsid w:val="003964AF"/>
    <w:rsid w:val="00396D05"/>
    <w:rsid w:val="00397995"/>
    <w:rsid w:val="003A08AC"/>
    <w:rsid w:val="003A12B8"/>
    <w:rsid w:val="003A143B"/>
    <w:rsid w:val="003A144E"/>
    <w:rsid w:val="003A1458"/>
    <w:rsid w:val="003A18D7"/>
    <w:rsid w:val="003A21C1"/>
    <w:rsid w:val="003A21F6"/>
    <w:rsid w:val="003A27CD"/>
    <w:rsid w:val="003A2F5E"/>
    <w:rsid w:val="003A2FD5"/>
    <w:rsid w:val="003A322C"/>
    <w:rsid w:val="003A3F63"/>
    <w:rsid w:val="003A4022"/>
    <w:rsid w:val="003A6106"/>
    <w:rsid w:val="003A6BB6"/>
    <w:rsid w:val="003A6E2A"/>
    <w:rsid w:val="003A7570"/>
    <w:rsid w:val="003A7761"/>
    <w:rsid w:val="003B0354"/>
    <w:rsid w:val="003B0DBC"/>
    <w:rsid w:val="003B1047"/>
    <w:rsid w:val="003B1916"/>
    <w:rsid w:val="003B248B"/>
    <w:rsid w:val="003B29E5"/>
    <w:rsid w:val="003B2A39"/>
    <w:rsid w:val="003B2E10"/>
    <w:rsid w:val="003B3E70"/>
    <w:rsid w:val="003B47F7"/>
    <w:rsid w:val="003B4EF9"/>
    <w:rsid w:val="003B6305"/>
    <w:rsid w:val="003B638C"/>
    <w:rsid w:val="003B6A91"/>
    <w:rsid w:val="003C034F"/>
    <w:rsid w:val="003C0FFC"/>
    <w:rsid w:val="003C1573"/>
    <w:rsid w:val="003C1E28"/>
    <w:rsid w:val="003C2435"/>
    <w:rsid w:val="003C55E3"/>
    <w:rsid w:val="003C5C99"/>
    <w:rsid w:val="003C5F5B"/>
    <w:rsid w:val="003C6D60"/>
    <w:rsid w:val="003C7ABD"/>
    <w:rsid w:val="003D0C77"/>
    <w:rsid w:val="003D15DB"/>
    <w:rsid w:val="003D1D54"/>
    <w:rsid w:val="003D1DDA"/>
    <w:rsid w:val="003D3217"/>
    <w:rsid w:val="003D3389"/>
    <w:rsid w:val="003D3683"/>
    <w:rsid w:val="003D3C7C"/>
    <w:rsid w:val="003D46AD"/>
    <w:rsid w:val="003D54EA"/>
    <w:rsid w:val="003D7442"/>
    <w:rsid w:val="003E02D6"/>
    <w:rsid w:val="003E19C3"/>
    <w:rsid w:val="003E1ED0"/>
    <w:rsid w:val="003E1F46"/>
    <w:rsid w:val="003E36CD"/>
    <w:rsid w:val="003E3E32"/>
    <w:rsid w:val="003E456E"/>
    <w:rsid w:val="003E4712"/>
    <w:rsid w:val="003E53FB"/>
    <w:rsid w:val="003E6395"/>
    <w:rsid w:val="003E665C"/>
    <w:rsid w:val="003E6B75"/>
    <w:rsid w:val="003F05E6"/>
    <w:rsid w:val="003F07C5"/>
    <w:rsid w:val="003F3615"/>
    <w:rsid w:val="003F3EAC"/>
    <w:rsid w:val="003F3FA3"/>
    <w:rsid w:val="003F4067"/>
    <w:rsid w:val="003F42B8"/>
    <w:rsid w:val="003F6051"/>
    <w:rsid w:val="003F6637"/>
    <w:rsid w:val="003F673C"/>
    <w:rsid w:val="003F6FF5"/>
    <w:rsid w:val="00400525"/>
    <w:rsid w:val="004006DB"/>
    <w:rsid w:val="004014F0"/>
    <w:rsid w:val="004023D5"/>
    <w:rsid w:val="0040327B"/>
    <w:rsid w:val="00403ECC"/>
    <w:rsid w:val="00404974"/>
    <w:rsid w:val="004049C8"/>
    <w:rsid w:val="004050FD"/>
    <w:rsid w:val="00405C40"/>
    <w:rsid w:val="0040625C"/>
    <w:rsid w:val="00406448"/>
    <w:rsid w:val="00406763"/>
    <w:rsid w:val="004116A9"/>
    <w:rsid w:val="00411A86"/>
    <w:rsid w:val="0041287D"/>
    <w:rsid w:val="0041313D"/>
    <w:rsid w:val="0041335E"/>
    <w:rsid w:val="00414367"/>
    <w:rsid w:val="004149A7"/>
    <w:rsid w:val="00414D39"/>
    <w:rsid w:val="00415410"/>
    <w:rsid w:val="00415B1C"/>
    <w:rsid w:val="00416AB8"/>
    <w:rsid w:val="00417275"/>
    <w:rsid w:val="00417476"/>
    <w:rsid w:val="00417A1E"/>
    <w:rsid w:val="0042004A"/>
    <w:rsid w:val="00420EBF"/>
    <w:rsid w:val="00421109"/>
    <w:rsid w:val="0042136C"/>
    <w:rsid w:val="00422244"/>
    <w:rsid w:val="00422ADC"/>
    <w:rsid w:val="00423211"/>
    <w:rsid w:val="00423499"/>
    <w:rsid w:val="00423CE7"/>
    <w:rsid w:val="00426B12"/>
    <w:rsid w:val="00426E65"/>
    <w:rsid w:val="00427CCC"/>
    <w:rsid w:val="00427D90"/>
    <w:rsid w:val="0043152B"/>
    <w:rsid w:val="00431748"/>
    <w:rsid w:val="00432660"/>
    <w:rsid w:val="0043338D"/>
    <w:rsid w:val="00433738"/>
    <w:rsid w:val="00433FD2"/>
    <w:rsid w:val="00434B87"/>
    <w:rsid w:val="00434F53"/>
    <w:rsid w:val="00434FF4"/>
    <w:rsid w:val="00435253"/>
    <w:rsid w:val="00435786"/>
    <w:rsid w:val="00435981"/>
    <w:rsid w:val="00435EBE"/>
    <w:rsid w:val="00435EFB"/>
    <w:rsid w:val="00436749"/>
    <w:rsid w:val="00441147"/>
    <w:rsid w:val="0044335E"/>
    <w:rsid w:val="00443589"/>
    <w:rsid w:val="0044367F"/>
    <w:rsid w:val="00443D85"/>
    <w:rsid w:val="0044424E"/>
    <w:rsid w:val="00444992"/>
    <w:rsid w:val="00444CE5"/>
    <w:rsid w:val="00445061"/>
    <w:rsid w:val="004452DD"/>
    <w:rsid w:val="004461BF"/>
    <w:rsid w:val="00446C37"/>
    <w:rsid w:val="00450290"/>
    <w:rsid w:val="004505B4"/>
    <w:rsid w:val="004512A3"/>
    <w:rsid w:val="00452582"/>
    <w:rsid w:val="004525FE"/>
    <w:rsid w:val="00453551"/>
    <w:rsid w:val="0045397A"/>
    <w:rsid w:val="00453B9E"/>
    <w:rsid w:val="004542B2"/>
    <w:rsid w:val="00457DA0"/>
    <w:rsid w:val="00457F65"/>
    <w:rsid w:val="0046005D"/>
    <w:rsid w:val="004602C5"/>
    <w:rsid w:val="00460932"/>
    <w:rsid w:val="00460995"/>
    <w:rsid w:val="00460F33"/>
    <w:rsid w:val="0046181B"/>
    <w:rsid w:val="00463129"/>
    <w:rsid w:val="0046362A"/>
    <w:rsid w:val="00463674"/>
    <w:rsid w:val="00465132"/>
    <w:rsid w:val="00465A32"/>
    <w:rsid w:val="00466103"/>
    <w:rsid w:val="00466606"/>
    <w:rsid w:val="00466CA5"/>
    <w:rsid w:val="00467C80"/>
    <w:rsid w:val="004705AF"/>
    <w:rsid w:val="00470717"/>
    <w:rsid w:val="00470773"/>
    <w:rsid w:val="00471770"/>
    <w:rsid w:val="00471B54"/>
    <w:rsid w:val="00471BF6"/>
    <w:rsid w:val="00471C34"/>
    <w:rsid w:val="00471EB5"/>
    <w:rsid w:val="00472587"/>
    <w:rsid w:val="00472FE4"/>
    <w:rsid w:val="0047306E"/>
    <w:rsid w:val="004746F1"/>
    <w:rsid w:val="00474C5E"/>
    <w:rsid w:val="00475308"/>
    <w:rsid w:val="00475C71"/>
    <w:rsid w:val="00475DEB"/>
    <w:rsid w:val="00476477"/>
    <w:rsid w:val="00477504"/>
    <w:rsid w:val="004777DF"/>
    <w:rsid w:val="00480CB9"/>
    <w:rsid w:val="00481E3D"/>
    <w:rsid w:val="004830AA"/>
    <w:rsid w:val="00483437"/>
    <w:rsid w:val="0048351D"/>
    <w:rsid w:val="00483863"/>
    <w:rsid w:val="004842FE"/>
    <w:rsid w:val="00484C13"/>
    <w:rsid w:val="00485076"/>
    <w:rsid w:val="0048524C"/>
    <w:rsid w:val="00486211"/>
    <w:rsid w:val="00486845"/>
    <w:rsid w:val="004872DF"/>
    <w:rsid w:val="00487489"/>
    <w:rsid w:val="004877F3"/>
    <w:rsid w:val="004910D2"/>
    <w:rsid w:val="00491A46"/>
    <w:rsid w:val="00492AA2"/>
    <w:rsid w:val="004939AC"/>
    <w:rsid w:val="00493E2B"/>
    <w:rsid w:val="00494D10"/>
    <w:rsid w:val="004952F6"/>
    <w:rsid w:val="00496DAD"/>
    <w:rsid w:val="004972ED"/>
    <w:rsid w:val="00497B6C"/>
    <w:rsid w:val="00497BCF"/>
    <w:rsid w:val="00497EE4"/>
    <w:rsid w:val="004A0AC4"/>
    <w:rsid w:val="004A0EE9"/>
    <w:rsid w:val="004A0F91"/>
    <w:rsid w:val="004A11C2"/>
    <w:rsid w:val="004A1A66"/>
    <w:rsid w:val="004A1BAC"/>
    <w:rsid w:val="004A2729"/>
    <w:rsid w:val="004A30B9"/>
    <w:rsid w:val="004A3240"/>
    <w:rsid w:val="004A4836"/>
    <w:rsid w:val="004A505E"/>
    <w:rsid w:val="004A5822"/>
    <w:rsid w:val="004A5BE3"/>
    <w:rsid w:val="004A5C09"/>
    <w:rsid w:val="004A6BBC"/>
    <w:rsid w:val="004B0864"/>
    <w:rsid w:val="004B0B03"/>
    <w:rsid w:val="004B1C23"/>
    <w:rsid w:val="004B239E"/>
    <w:rsid w:val="004B2482"/>
    <w:rsid w:val="004B31F8"/>
    <w:rsid w:val="004B3241"/>
    <w:rsid w:val="004B324F"/>
    <w:rsid w:val="004B3615"/>
    <w:rsid w:val="004B37A7"/>
    <w:rsid w:val="004B4497"/>
    <w:rsid w:val="004B5179"/>
    <w:rsid w:val="004B5553"/>
    <w:rsid w:val="004B5A4E"/>
    <w:rsid w:val="004B748B"/>
    <w:rsid w:val="004B7BDE"/>
    <w:rsid w:val="004C0D2C"/>
    <w:rsid w:val="004C0D89"/>
    <w:rsid w:val="004C13E1"/>
    <w:rsid w:val="004C15D8"/>
    <w:rsid w:val="004C1F51"/>
    <w:rsid w:val="004C221A"/>
    <w:rsid w:val="004C29DD"/>
    <w:rsid w:val="004C2CC9"/>
    <w:rsid w:val="004C31C3"/>
    <w:rsid w:val="004C365F"/>
    <w:rsid w:val="004C45AD"/>
    <w:rsid w:val="004C4E87"/>
    <w:rsid w:val="004C5BFE"/>
    <w:rsid w:val="004C5D6C"/>
    <w:rsid w:val="004C7138"/>
    <w:rsid w:val="004D0983"/>
    <w:rsid w:val="004D260D"/>
    <w:rsid w:val="004D2CCC"/>
    <w:rsid w:val="004D3624"/>
    <w:rsid w:val="004D3997"/>
    <w:rsid w:val="004D3E40"/>
    <w:rsid w:val="004D40C8"/>
    <w:rsid w:val="004D6BA0"/>
    <w:rsid w:val="004D721E"/>
    <w:rsid w:val="004E01D3"/>
    <w:rsid w:val="004E1A7B"/>
    <w:rsid w:val="004E1E3A"/>
    <w:rsid w:val="004E351A"/>
    <w:rsid w:val="004E4FB3"/>
    <w:rsid w:val="004E536D"/>
    <w:rsid w:val="004E5888"/>
    <w:rsid w:val="004E6C27"/>
    <w:rsid w:val="004E7C9B"/>
    <w:rsid w:val="004F032F"/>
    <w:rsid w:val="004F155C"/>
    <w:rsid w:val="004F190D"/>
    <w:rsid w:val="004F208E"/>
    <w:rsid w:val="004F2394"/>
    <w:rsid w:val="004F27C3"/>
    <w:rsid w:val="004F2C70"/>
    <w:rsid w:val="004F2E7E"/>
    <w:rsid w:val="004F302A"/>
    <w:rsid w:val="004F500B"/>
    <w:rsid w:val="004F5E0D"/>
    <w:rsid w:val="004F679A"/>
    <w:rsid w:val="004F70C8"/>
    <w:rsid w:val="004F7162"/>
    <w:rsid w:val="004F7A36"/>
    <w:rsid w:val="004F7E37"/>
    <w:rsid w:val="00500F54"/>
    <w:rsid w:val="00501199"/>
    <w:rsid w:val="005013D5"/>
    <w:rsid w:val="00501C67"/>
    <w:rsid w:val="00502074"/>
    <w:rsid w:val="005026CF"/>
    <w:rsid w:val="00504268"/>
    <w:rsid w:val="00504E5C"/>
    <w:rsid w:val="00504FED"/>
    <w:rsid w:val="00505090"/>
    <w:rsid w:val="00505AE8"/>
    <w:rsid w:val="005069DB"/>
    <w:rsid w:val="00506B39"/>
    <w:rsid w:val="00507F89"/>
    <w:rsid w:val="0051090A"/>
    <w:rsid w:val="00510E1C"/>
    <w:rsid w:val="00511A04"/>
    <w:rsid w:val="0051214B"/>
    <w:rsid w:val="005132B7"/>
    <w:rsid w:val="005142C9"/>
    <w:rsid w:val="00514543"/>
    <w:rsid w:val="0051491B"/>
    <w:rsid w:val="0051610A"/>
    <w:rsid w:val="005161D3"/>
    <w:rsid w:val="00516350"/>
    <w:rsid w:val="00516879"/>
    <w:rsid w:val="00517E41"/>
    <w:rsid w:val="0052004B"/>
    <w:rsid w:val="0052149E"/>
    <w:rsid w:val="00521F89"/>
    <w:rsid w:val="00522439"/>
    <w:rsid w:val="005236F4"/>
    <w:rsid w:val="005237E6"/>
    <w:rsid w:val="00523930"/>
    <w:rsid w:val="00523B49"/>
    <w:rsid w:val="00523B5B"/>
    <w:rsid w:val="00524724"/>
    <w:rsid w:val="00524E19"/>
    <w:rsid w:val="0052512E"/>
    <w:rsid w:val="00526DBD"/>
    <w:rsid w:val="00526F47"/>
    <w:rsid w:val="00527B4B"/>
    <w:rsid w:val="005306D5"/>
    <w:rsid w:val="00530848"/>
    <w:rsid w:val="00530FD7"/>
    <w:rsid w:val="005311BE"/>
    <w:rsid w:val="0053378D"/>
    <w:rsid w:val="00534618"/>
    <w:rsid w:val="005350AB"/>
    <w:rsid w:val="005354A7"/>
    <w:rsid w:val="005364E6"/>
    <w:rsid w:val="005365A9"/>
    <w:rsid w:val="00536601"/>
    <w:rsid w:val="00536730"/>
    <w:rsid w:val="00536D8C"/>
    <w:rsid w:val="00537685"/>
    <w:rsid w:val="005403D0"/>
    <w:rsid w:val="005404DD"/>
    <w:rsid w:val="00540991"/>
    <w:rsid w:val="00540B7D"/>
    <w:rsid w:val="005414C8"/>
    <w:rsid w:val="00542526"/>
    <w:rsid w:val="00543F48"/>
    <w:rsid w:val="00544429"/>
    <w:rsid w:val="0054486B"/>
    <w:rsid w:val="005453D3"/>
    <w:rsid w:val="0054583F"/>
    <w:rsid w:val="0054674F"/>
    <w:rsid w:val="00546AAC"/>
    <w:rsid w:val="00547AE1"/>
    <w:rsid w:val="00547B9E"/>
    <w:rsid w:val="00547F8E"/>
    <w:rsid w:val="00550931"/>
    <w:rsid w:val="00551416"/>
    <w:rsid w:val="00551459"/>
    <w:rsid w:val="0055154D"/>
    <w:rsid w:val="00551A86"/>
    <w:rsid w:val="00551F68"/>
    <w:rsid w:val="00551FC3"/>
    <w:rsid w:val="00552081"/>
    <w:rsid w:val="00552926"/>
    <w:rsid w:val="00553372"/>
    <w:rsid w:val="005538BD"/>
    <w:rsid w:val="00554180"/>
    <w:rsid w:val="00554424"/>
    <w:rsid w:val="005548C7"/>
    <w:rsid w:val="00554E3E"/>
    <w:rsid w:val="005556A6"/>
    <w:rsid w:val="00555B23"/>
    <w:rsid w:val="00555BF1"/>
    <w:rsid w:val="0055655F"/>
    <w:rsid w:val="005571BA"/>
    <w:rsid w:val="00557913"/>
    <w:rsid w:val="00557F4A"/>
    <w:rsid w:val="00560789"/>
    <w:rsid w:val="00560D21"/>
    <w:rsid w:val="0056176E"/>
    <w:rsid w:val="00561D9E"/>
    <w:rsid w:val="00562103"/>
    <w:rsid w:val="00562E95"/>
    <w:rsid w:val="00564105"/>
    <w:rsid w:val="005643BE"/>
    <w:rsid w:val="0056450F"/>
    <w:rsid w:val="0056520A"/>
    <w:rsid w:val="00566200"/>
    <w:rsid w:val="00566BF7"/>
    <w:rsid w:val="005674CF"/>
    <w:rsid w:val="005708A4"/>
    <w:rsid w:val="00570BFD"/>
    <w:rsid w:val="005711B5"/>
    <w:rsid w:val="00571F3B"/>
    <w:rsid w:val="0057293C"/>
    <w:rsid w:val="00572B49"/>
    <w:rsid w:val="00573C82"/>
    <w:rsid w:val="00573D82"/>
    <w:rsid w:val="00573F27"/>
    <w:rsid w:val="005758DA"/>
    <w:rsid w:val="00575AA2"/>
    <w:rsid w:val="00575C0D"/>
    <w:rsid w:val="00575C8E"/>
    <w:rsid w:val="00575F47"/>
    <w:rsid w:val="0057600E"/>
    <w:rsid w:val="00577403"/>
    <w:rsid w:val="00577768"/>
    <w:rsid w:val="005777FB"/>
    <w:rsid w:val="005803A1"/>
    <w:rsid w:val="005803E4"/>
    <w:rsid w:val="005816FD"/>
    <w:rsid w:val="005819EC"/>
    <w:rsid w:val="00581CCA"/>
    <w:rsid w:val="00582E8E"/>
    <w:rsid w:val="00583405"/>
    <w:rsid w:val="005842FD"/>
    <w:rsid w:val="0058598F"/>
    <w:rsid w:val="00586240"/>
    <w:rsid w:val="0058646A"/>
    <w:rsid w:val="00586D10"/>
    <w:rsid w:val="005878D0"/>
    <w:rsid w:val="005904AA"/>
    <w:rsid w:val="005904B2"/>
    <w:rsid w:val="005909AD"/>
    <w:rsid w:val="0059116E"/>
    <w:rsid w:val="005915B8"/>
    <w:rsid w:val="00591762"/>
    <w:rsid w:val="00591BA9"/>
    <w:rsid w:val="0059201F"/>
    <w:rsid w:val="00593226"/>
    <w:rsid w:val="005934DC"/>
    <w:rsid w:val="00593A70"/>
    <w:rsid w:val="00593B68"/>
    <w:rsid w:val="00593F42"/>
    <w:rsid w:val="00594F06"/>
    <w:rsid w:val="0059512C"/>
    <w:rsid w:val="005951B8"/>
    <w:rsid w:val="0059541B"/>
    <w:rsid w:val="00595E8E"/>
    <w:rsid w:val="005962B3"/>
    <w:rsid w:val="005966A9"/>
    <w:rsid w:val="00596C09"/>
    <w:rsid w:val="0059769D"/>
    <w:rsid w:val="00597DEF"/>
    <w:rsid w:val="00597E30"/>
    <w:rsid w:val="005A1084"/>
    <w:rsid w:val="005A13D7"/>
    <w:rsid w:val="005A269A"/>
    <w:rsid w:val="005A2829"/>
    <w:rsid w:val="005A3F36"/>
    <w:rsid w:val="005A4863"/>
    <w:rsid w:val="005A52AF"/>
    <w:rsid w:val="005B0501"/>
    <w:rsid w:val="005B12D0"/>
    <w:rsid w:val="005B150A"/>
    <w:rsid w:val="005B17A3"/>
    <w:rsid w:val="005B18FB"/>
    <w:rsid w:val="005B2245"/>
    <w:rsid w:val="005B2ADA"/>
    <w:rsid w:val="005B310B"/>
    <w:rsid w:val="005B4513"/>
    <w:rsid w:val="005B4D30"/>
    <w:rsid w:val="005B68A5"/>
    <w:rsid w:val="005B74C7"/>
    <w:rsid w:val="005C0251"/>
    <w:rsid w:val="005C04DE"/>
    <w:rsid w:val="005C2995"/>
    <w:rsid w:val="005C2E11"/>
    <w:rsid w:val="005C2F2A"/>
    <w:rsid w:val="005C32F6"/>
    <w:rsid w:val="005C3A7C"/>
    <w:rsid w:val="005C3A89"/>
    <w:rsid w:val="005C416C"/>
    <w:rsid w:val="005C498A"/>
    <w:rsid w:val="005C57D6"/>
    <w:rsid w:val="005C66D7"/>
    <w:rsid w:val="005C7170"/>
    <w:rsid w:val="005C7FDF"/>
    <w:rsid w:val="005D09CE"/>
    <w:rsid w:val="005D18D9"/>
    <w:rsid w:val="005D27ED"/>
    <w:rsid w:val="005D2869"/>
    <w:rsid w:val="005D33B7"/>
    <w:rsid w:val="005D3632"/>
    <w:rsid w:val="005D36A0"/>
    <w:rsid w:val="005D36C9"/>
    <w:rsid w:val="005D3A16"/>
    <w:rsid w:val="005D4592"/>
    <w:rsid w:val="005D4D62"/>
    <w:rsid w:val="005D4D6C"/>
    <w:rsid w:val="005D4F15"/>
    <w:rsid w:val="005D566C"/>
    <w:rsid w:val="005D580B"/>
    <w:rsid w:val="005D7549"/>
    <w:rsid w:val="005E0347"/>
    <w:rsid w:val="005E0D64"/>
    <w:rsid w:val="005E1E11"/>
    <w:rsid w:val="005E21E5"/>
    <w:rsid w:val="005E291A"/>
    <w:rsid w:val="005E2A67"/>
    <w:rsid w:val="005E2C36"/>
    <w:rsid w:val="005E2DCA"/>
    <w:rsid w:val="005E3171"/>
    <w:rsid w:val="005E330E"/>
    <w:rsid w:val="005E3DBB"/>
    <w:rsid w:val="005E449B"/>
    <w:rsid w:val="005E47F4"/>
    <w:rsid w:val="005E5888"/>
    <w:rsid w:val="005E7916"/>
    <w:rsid w:val="005E7E3A"/>
    <w:rsid w:val="005F0F71"/>
    <w:rsid w:val="005F17BF"/>
    <w:rsid w:val="005F257F"/>
    <w:rsid w:val="005F3352"/>
    <w:rsid w:val="005F33B9"/>
    <w:rsid w:val="005F37CB"/>
    <w:rsid w:val="005F45B3"/>
    <w:rsid w:val="005F515F"/>
    <w:rsid w:val="005F55FD"/>
    <w:rsid w:val="005F5BE1"/>
    <w:rsid w:val="005F6425"/>
    <w:rsid w:val="005F782B"/>
    <w:rsid w:val="005F7E42"/>
    <w:rsid w:val="00600C07"/>
    <w:rsid w:val="006026D4"/>
    <w:rsid w:val="00603078"/>
    <w:rsid w:val="00603829"/>
    <w:rsid w:val="00603E7B"/>
    <w:rsid w:val="0060405D"/>
    <w:rsid w:val="006051DD"/>
    <w:rsid w:val="00605D9F"/>
    <w:rsid w:val="0060743A"/>
    <w:rsid w:val="0061099E"/>
    <w:rsid w:val="00611EF3"/>
    <w:rsid w:val="006125AC"/>
    <w:rsid w:val="006128CB"/>
    <w:rsid w:val="0061294A"/>
    <w:rsid w:val="006133F3"/>
    <w:rsid w:val="00613C34"/>
    <w:rsid w:val="00613D95"/>
    <w:rsid w:val="00614066"/>
    <w:rsid w:val="006151D2"/>
    <w:rsid w:val="006159C9"/>
    <w:rsid w:val="00615FB9"/>
    <w:rsid w:val="006161A6"/>
    <w:rsid w:val="00617B40"/>
    <w:rsid w:val="00620094"/>
    <w:rsid w:val="006204BD"/>
    <w:rsid w:val="0062081E"/>
    <w:rsid w:val="00621EF7"/>
    <w:rsid w:val="00622963"/>
    <w:rsid w:val="00622DC0"/>
    <w:rsid w:val="00623160"/>
    <w:rsid w:val="00623C00"/>
    <w:rsid w:val="00624DBF"/>
    <w:rsid w:val="00625701"/>
    <w:rsid w:val="00626099"/>
    <w:rsid w:val="006265A2"/>
    <w:rsid w:val="006306A4"/>
    <w:rsid w:val="00631147"/>
    <w:rsid w:val="006320D8"/>
    <w:rsid w:val="00632F45"/>
    <w:rsid w:val="0063309A"/>
    <w:rsid w:val="0063440B"/>
    <w:rsid w:val="00634E94"/>
    <w:rsid w:val="00635880"/>
    <w:rsid w:val="00640828"/>
    <w:rsid w:val="00640918"/>
    <w:rsid w:val="00641882"/>
    <w:rsid w:val="006419B4"/>
    <w:rsid w:val="00641E66"/>
    <w:rsid w:val="006420E6"/>
    <w:rsid w:val="00642972"/>
    <w:rsid w:val="00642E17"/>
    <w:rsid w:val="006431B7"/>
    <w:rsid w:val="00643F7F"/>
    <w:rsid w:val="0064543B"/>
    <w:rsid w:val="00646738"/>
    <w:rsid w:val="00647787"/>
    <w:rsid w:val="00650750"/>
    <w:rsid w:val="006509AA"/>
    <w:rsid w:val="006514DC"/>
    <w:rsid w:val="006515F7"/>
    <w:rsid w:val="00654993"/>
    <w:rsid w:val="0065520A"/>
    <w:rsid w:val="00655B0F"/>
    <w:rsid w:val="00655D87"/>
    <w:rsid w:val="00656182"/>
    <w:rsid w:val="00656D2A"/>
    <w:rsid w:val="00660187"/>
    <w:rsid w:val="00660D01"/>
    <w:rsid w:val="00661CB3"/>
    <w:rsid w:val="00661D54"/>
    <w:rsid w:val="006628C6"/>
    <w:rsid w:val="00662B7D"/>
    <w:rsid w:val="006640A4"/>
    <w:rsid w:val="006640EA"/>
    <w:rsid w:val="006652B7"/>
    <w:rsid w:val="006665F1"/>
    <w:rsid w:val="00666AE2"/>
    <w:rsid w:val="00666CEE"/>
    <w:rsid w:val="00667162"/>
    <w:rsid w:val="00667DB5"/>
    <w:rsid w:val="006702F8"/>
    <w:rsid w:val="0067057F"/>
    <w:rsid w:val="00671A61"/>
    <w:rsid w:val="0067382F"/>
    <w:rsid w:val="00674685"/>
    <w:rsid w:val="00675423"/>
    <w:rsid w:val="00676824"/>
    <w:rsid w:val="006769FF"/>
    <w:rsid w:val="00676D18"/>
    <w:rsid w:val="0067796D"/>
    <w:rsid w:val="00680350"/>
    <w:rsid w:val="00680372"/>
    <w:rsid w:val="006803D0"/>
    <w:rsid w:val="00680ABF"/>
    <w:rsid w:val="00681087"/>
    <w:rsid w:val="00681149"/>
    <w:rsid w:val="006811AB"/>
    <w:rsid w:val="006822C8"/>
    <w:rsid w:val="00682C6C"/>
    <w:rsid w:val="00682F7A"/>
    <w:rsid w:val="00683491"/>
    <w:rsid w:val="00683740"/>
    <w:rsid w:val="00683F5D"/>
    <w:rsid w:val="00684BC8"/>
    <w:rsid w:val="00685079"/>
    <w:rsid w:val="006850E6"/>
    <w:rsid w:val="00685200"/>
    <w:rsid w:val="006854EF"/>
    <w:rsid w:val="00685C8D"/>
    <w:rsid w:val="00685CAF"/>
    <w:rsid w:val="00685F2A"/>
    <w:rsid w:val="00686972"/>
    <w:rsid w:val="00686A30"/>
    <w:rsid w:val="00686E84"/>
    <w:rsid w:val="00687A76"/>
    <w:rsid w:val="0069092B"/>
    <w:rsid w:val="00691FF2"/>
    <w:rsid w:val="00692903"/>
    <w:rsid w:val="00692AC3"/>
    <w:rsid w:val="00692EE5"/>
    <w:rsid w:val="0069317B"/>
    <w:rsid w:val="006931C7"/>
    <w:rsid w:val="00693615"/>
    <w:rsid w:val="006942B3"/>
    <w:rsid w:val="00695DB3"/>
    <w:rsid w:val="00695E00"/>
    <w:rsid w:val="006974BE"/>
    <w:rsid w:val="006975A4"/>
    <w:rsid w:val="00697A81"/>
    <w:rsid w:val="00697C0A"/>
    <w:rsid w:val="006A0484"/>
    <w:rsid w:val="006A0545"/>
    <w:rsid w:val="006A0DE2"/>
    <w:rsid w:val="006A119E"/>
    <w:rsid w:val="006A2272"/>
    <w:rsid w:val="006A251A"/>
    <w:rsid w:val="006A2992"/>
    <w:rsid w:val="006A2E80"/>
    <w:rsid w:val="006A2F70"/>
    <w:rsid w:val="006A413F"/>
    <w:rsid w:val="006A4CB5"/>
    <w:rsid w:val="006A51DA"/>
    <w:rsid w:val="006A57B1"/>
    <w:rsid w:val="006A59A4"/>
    <w:rsid w:val="006A5A98"/>
    <w:rsid w:val="006A5C5A"/>
    <w:rsid w:val="006A5CD9"/>
    <w:rsid w:val="006A690C"/>
    <w:rsid w:val="006A6CB0"/>
    <w:rsid w:val="006A6EA7"/>
    <w:rsid w:val="006A6FB2"/>
    <w:rsid w:val="006A7A25"/>
    <w:rsid w:val="006A7EA1"/>
    <w:rsid w:val="006B0406"/>
    <w:rsid w:val="006B05A1"/>
    <w:rsid w:val="006B145C"/>
    <w:rsid w:val="006B1E76"/>
    <w:rsid w:val="006B3301"/>
    <w:rsid w:val="006B3D3D"/>
    <w:rsid w:val="006B4AB8"/>
    <w:rsid w:val="006B645F"/>
    <w:rsid w:val="006B6E7E"/>
    <w:rsid w:val="006B76A2"/>
    <w:rsid w:val="006C002E"/>
    <w:rsid w:val="006C0291"/>
    <w:rsid w:val="006C0777"/>
    <w:rsid w:val="006C0C65"/>
    <w:rsid w:val="006C0D7B"/>
    <w:rsid w:val="006C14F8"/>
    <w:rsid w:val="006C27BB"/>
    <w:rsid w:val="006C2A4F"/>
    <w:rsid w:val="006C2DF5"/>
    <w:rsid w:val="006C347E"/>
    <w:rsid w:val="006C43EB"/>
    <w:rsid w:val="006C43F4"/>
    <w:rsid w:val="006C446A"/>
    <w:rsid w:val="006C4861"/>
    <w:rsid w:val="006C5372"/>
    <w:rsid w:val="006C5A7D"/>
    <w:rsid w:val="006C5AE9"/>
    <w:rsid w:val="006C5F71"/>
    <w:rsid w:val="006C6899"/>
    <w:rsid w:val="006C7BA4"/>
    <w:rsid w:val="006C7BB0"/>
    <w:rsid w:val="006D092B"/>
    <w:rsid w:val="006D105C"/>
    <w:rsid w:val="006D13B1"/>
    <w:rsid w:val="006D26F6"/>
    <w:rsid w:val="006D29D3"/>
    <w:rsid w:val="006D390F"/>
    <w:rsid w:val="006D3C27"/>
    <w:rsid w:val="006D3D90"/>
    <w:rsid w:val="006D4290"/>
    <w:rsid w:val="006D4BC0"/>
    <w:rsid w:val="006D60A6"/>
    <w:rsid w:val="006D6B4D"/>
    <w:rsid w:val="006D6C28"/>
    <w:rsid w:val="006D72C0"/>
    <w:rsid w:val="006D7C2D"/>
    <w:rsid w:val="006D7D04"/>
    <w:rsid w:val="006D7E52"/>
    <w:rsid w:val="006E037F"/>
    <w:rsid w:val="006E0560"/>
    <w:rsid w:val="006E0599"/>
    <w:rsid w:val="006E0C12"/>
    <w:rsid w:val="006E0D53"/>
    <w:rsid w:val="006E11D7"/>
    <w:rsid w:val="006E16BD"/>
    <w:rsid w:val="006E1B35"/>
    <w:rsid w:val="006E1C06"/>
    <w:rsid w:val="006E207E"/>
    <w:rsid w:val="006E2133"/>
    <w:rsid w:val="006E2575"/>
    <w:rsid w:val="006E2A03"/>
    <w:rsid w:val="006E327C"/>
    <w:rsid w:val="006E3625"/>
    <w:rsid w:val="006E425C"/>
    <w:rsid w:val="006E44B0"/>
    <w:rsid w:val="006E45BA"/>
    <w:rsid w:val="006E5D64"/>
    <w:rsid w:val="006E66F0"/>
    <w:rsid w:val="006E6E33"/>
    <w:rsid w:val="006F06C8"/>
    <w:rsid w:val="006F08F1"/>
    <w:rsid w:val="006F090E"/>
    <w:rsid w:val="006F162E"/>
    <w:rsid w:val="006F18CF"/>
    <w:rsid w:val="006F2C6A"/>
    <w:rsid w:val="006F3911"/>
    <w:rsid w:val="006F5240"/>
    <w:rsid w:val="006F6A20"/>
    <w:rsid w:val="006F6D7D"/>
    <w:rsid w:val="006F705A"/>
    <w:rsid w:val="007026DA"/>
    <w:rsid w:val="007033DB"/>
    <w:rsid w:val="00703517"/>
    <w:rsid w:val="00703B79"/>
    <w:rsid w:val="007042BA"/>
    <w:rsid w:val="007051D2"/>
    <w:rsid w:val="00705396"/>
    <w:rsid w:val="0070596C"/>
    <w:rsid w:val="00705C1B"/>
    <w:rsid w:val="00705F13"/>
    <w:rsid w:val="00706979"/>
    <w:rsid w:val="00707AEC"/>
    <w:rsid w:val="00707B7C"/>
    <w:rsid w:val="00710FA4"/>
    <w:rsid w:val="00711181"/>
    <w:rsid w:val="0071147B"/>
    <w:rsid w:val="0071168B"/>
    <w:rsid w:val="00711FA4"/>
    <w:rsid w:val="007138CD"/>
    <w:rsid w:val="00714658"/>
    <w:rsid w:val="00715E0A"/>
    <w:rsid w:val="007162AB"/>
    <w:rsid w:val="007175C7"/>
    <w:rsid w:val="00717A6A"/>
    <w:rsid w:val="007220C5"/>
    <w:rsid w:val="00722E8D"/>
    <w:rsid w:val="007238F5"/>
    <w:rsid w:val="00723F31"/>
    <w:rsid w:val="007249DA"/>
    <w:rsid w:val="00725EEC"/>
    <w:rsid w:val="00726383"/>
    <w:rsid w:val="00726BF0"/>
    <w:rsid w:val="00727243"/>
    <w:rsid w:val="00727C66"/>
    <w:rsid w:val="007305BB"/>
    <w:rsid w:val="00730637"/>
    <w:rsid w:val="00730A55"/>
    <w:rsid w:val="00731290"/>
    <w:rsid w:val="00731DBB"/>
    <w:rsid w:val="007345E1"/>
    <w:rsid w:val="007350C7"/>
    <w:rsid w:val="007351BA"/>
    <w:rsid w:val="00735394"/>
    <w:rsid w:val="0073591D"/>
    <w:rsid w:val="00735C34"/>
    <w:rsid w:val="00735D94"/>
    <w:rsid w:val="007366F9"/>
    <w:rsid w:val="00736D3B"/>
    <w:rsid w:val="007400F2"/>
    <w:rsid w:val="00740B46"/>
    <w:rsid w:val="00740B63"/>
    <w:rsid w:val="007414C7"/>
    <w:rsid w:val="00741DCA"/>
    <w:rsid w:val="00742033"/>
    <w:rsid w:val="00742314"/>
    <w:rsid w:val="0074238D"/>
    <w:rsid w:val="00742D6E"/>
    <w:rsid w:val="00742DB3"/>
    <w:rsid w:val="007444DD"/>
    <w:rsid w:val="007446EB"/>
    <w:rsid w:val="00744CAB"/>
    <w:rsid w:val="00744EFB"/>
    <w:rsid w:val="00744FB3"/>
    <w:rsid w:val="00745486"/>
    <w:rsid w:val="00745666"/>
    <w:rsid w:val="00746BD4"/>
    <w:rsid w:val="00746CE6"/>
    <w:rsid w:val="00747A05"/>
    <w:rsid w:val="00752CB6"/>
    <w:rsid w:val="00752D9C"/>
    <w:rsid w:val="007546B3"/>
    <w:rsid w:val="00756A82"/>
    <w:rsid w:val="00757921"/>
    <w:rsid w:val="007606D1"/>
    <w:rsid w:val="00760B11"/>
    <w:rsid w:val="00760FDE"/>
    <w:rsid w:val="0076174D"/>
    <w:rsid w:val="00761897"/>
    <w:rsid w:val="00762567"/>
    <w:rsid w:val="0076295D"/>
    <w:rsid w:val="00762C0E"/>
    <w:rsid w:val="0076304F"/>
    <w:rsid w:val="00763B69"/>
    <w:rsid w:val="00763CF7"/>
    <w:rsid w:val="00763F56"/>
    <w:rsid w:val="00764A1B"/>
    <w:rsid w:val="007666A8"/>
    <w:rsid w:val="007668D6"/>
    <w:rsid w:val="00770A94"/>
    <w:rsid w:val="00770BD7"/>
    <w:rsid w:val="007713C4"/>
    <w:rsid w:val="00771765"/>
    <w:rsid w:val="00771AB5"/>
    <w:rsid w:val="00771FA3"/>
    <w:rsid w:val="00772E8C"/>
    <w:rsid w:val="00774DD1"/>
    <w:rsid w:val="00775218"/>
    <w:rsid w:val="00775848"/>
    <w:rsid w:val="007758BF"/>
    <w:rsid w:val="00776A6C"/>
    <w:rsid w:val="007771C7"/>
    <w:rsid w:val="007776AF"/>
    <w:rsid w:val="007778B9"/>
    <w:rsid w:val="00777AB4"/>
    <w:rsid w:val="007801F6"/>
    <w:rsid w:val="00780C2B"/>
    <w:rsid w:val="00780E44"/>
    <w:rsid w:val="00781566"/>
    <w:rsid w:val="00781C47"/>
    <w:rsid w:val="00781F3C"/>
    <w:rsid w:val="007822E9"/>
    <w:rsid w:val="00782F66"/>
    <w:rsid w:val="00783188"/>
    <w:rsid w:val="00783B9C"/>
    <w:rsid w:val="00784B21"/>
    <w:rsid w:val="00784BF9"/>
    <w:rsid w:val="007859D0"/>
    <w:rsid w:val="00786069"/>
    <w:rsid w:val="00787C3A"/>
    <w:rsid w:val="00787E50"/>
    <w:rsid w:val="00787F99"/>
    <w:rsid w:val="00790F89"/>
    <w:rsid w:val="00791501"/>
    <w:rsid w:val="00791530"/>
    <w:rsid w:val="00791E7C"/>
    <w:rsid w:val="00793072"/>
    <w:rsid w:val="0079365F"/>
    <w:rsid w:val="00794A09"/>
    <w:rsid w:val="00794EE3"/>
    <w:rsid w:val="007960D4"/>
    <w:rsid w:val="00796433"/>
    <w:rsid w:val="00796825"/>
    <w:rsid w:val="00796CFE"/>
    <w:rsid w:val="00797488"/>
    <w:rsid w:val="00797C8F"/>
    <w:rsid w:val="007A0A11"/>
    <w:rsid w:val="007A1563"/>
    <w:rsid w:val="007A246B"/>
    <w:rsid w:val="007A26D6"/>
    <w:rsid w:val="007A2B4E"/>
    <w:rsid w:val="007A30A2"/>
    <w:rsid w:val="007A35E9"/>
    <w:rsid w:val="007A39B1"/>
    <w:rsid w:val="007A3AD2"/>
    <w:rsid w:val="007A44CD"/>
    <w:rsid w:val="007A5AA7"/>
    <w:rsid w:val="007A617B"/>
    <w:rsid w:val="007A7C0B"/>
    <w:rsid w:val="007A7CBA"/>
    <w:rsid w:val="007B0A95"/>
    <w:rsid w:val="007B1251"/>
    <w:rsid w:val="007B126F"/>
    <w:rsid w:val="007B13F4"/>
    <w:rsid w:val="007B198D"/>
    <w:rsid w:val="007B2054"/>
    <w:rsid w:val="007B2E6A"/>
    <w:rsid w:val="007B3010"/>
    <w:rsid w:val="007B3075"/>
    <w:rsid w:val="007B325D"/>
    <w:rsid w:val="007B459B"/>
    <w:rsid w:val="007B4C33"/>
    <w:rsid w:val="007B4EE3"/>
    <w:rsid w:val="007B549A"/>
    <w:rsid w:val="007B5ABC"/>
    <w:rsid w:val="007B5BCC"/>
    <w:rsid w:val="007B6140"/>
    <w:rsid w:val="007B7864"/>
    <w:rsid w:val="007B7CB4"/>
    <w:rsid w:val="007C000F"/>
    <w:rsid w:val="007C0074"/>
    <w:rsid w:val="007C012A"/>
    <w:rsid w:val="007C05FF"/>
    <w:rsid w:val="007C0858"/>
    <w:rsid w:val="007C09CA"/>
    <w:rsid w:val="007C0C4F"/>
    <w:rsid w:val="007C0D04"/>
    <w:rsid w:val="007C0DBD"/>
    <w:rsid w:val="007C108C"/>
    <w:rsid w:val="007C18E3"/>
    <w:rsid w:val="007C23E8"/>
    <w:rsid w:val="007C2A19"/>
    <w:rsid w:val="007C2F1B"/>
    <w:rsid w:val="007C34BB"/>
    <w:rsid w:val="007C4BAF"/>
    <w:rsid w:val="007C4E2E"/>
    <w:rsid w:val="007C541B"/>
    <w:rsid w:val="007C5778"/>
    <w:rsid w:val="007C60D6"/>
    <w:rsid w:val="007C64EB"/>
    <w:rsid w:val="007C7244"/>
    <w:rsid w:val="007D0454"/>
    <w:rsid w:val="007D04B0"/>
    <w:rsid w:val="007D0E6C"/>
    <w:rsid w:val="007D1649"/>
    <w:rsid w:val="007D214D"/>
    <w:rsid w:val="007D23EE"/>
    <w:rsid w:val="007D27D2"/>
    <w:rsid w:val="007D2B6A"/>
    <w:rsid w:val="007D4FCF"/>
    <w:rsid w:val="007D512B"/>
    <w:rsid w:val="007D5CBB"/>
    <w:rsid w:val="007D68E2"/>
    <w:rsid w:val="007D72D3"/>
    <w:rsid w:val="007D73BE"/>
    <w:rsid w:val="007D746A"/>
    <w:rsid w:val="007E0470"/>
    <w:rsid w:val="007E0841"/>
    <w:rsid w:val="007E0C1A"/>
    <w:rsid w:val="007E184C"/>
    <w:rsid w:val="007E1E6A"/>
    <w:rsid w:val="007E2FC8"/>
    <w:rsid w:val="007E313D"/>
    <w:rsid w:val="007E3218"/>
    <w:rsid w:val="007E5428"/>
    <w:rsid w:val="007E6F0B"/>
    <w:rsid w:val="007F0468"/>
    <w:rsid w:val="007F14EF"/>
    <w:rsid w:val="007F163F"/>
    <w:rsid w:val="007F1AE3"/>
    <w:rsid w:val="007F216D"/>
    <w:rsid w:val="007F2955"/>
    <w:rsid w:val="007F2C9A"/>
    <w:rsid w:val="007F314C"/>
    <w:rsid w:val="007F37E2"/>
    <w:rsid w:val="007F3D62"/>
    <w:rsid w:val="007F3DDB"/>
    <w:rsid w:val="007F44D2"/>
    <w:rsid w:val="007F4CA3"/>
    <w:rsid w:val="007F6BC5"/>
    <w:rsid w:val="007F6E75"/>
    <w:rsid w:val="00801C4B"/>
    <w:rsid w:val="00802E60"/>
    <w:rsid w:val="00803844"/>
    <w:rsid w:val="00804320"/>
    <w:rsid w:val="008049C6"/>
    <w:rsid w:val="008051D6"/>
    <w:rsid w:val="0080680B"/>
    <w:rsid w:val="00806ABE"/>
    <w:rsid w:val="00807B75"/>
    <w:rsid w:val="0081049E"/>
    <w:rsid w:val="00810E04"/>
    <w:rsid w:val="0081100B"/>
    <w:rsid w:val="00811466"/>
    <w:rsid w:val="00811EB6"/>
    <w:rsid w:val="00811FA7"/>
    <w:rsid w:val="00812070"/>
    <w:rsid w:val="00812909"/>
    <w:rsid w:val="00813771"/>
    <w:rsid w:val="008137D4"/>
    <w:rsid w:val="008138D8"/>
    <w:rsid w:val="00813B2B"/>
    <w:rsid w:val="00815364"/>
    <w:rsid w:val="00815EED"/>
    <w:rsid w:val="0081616A"/>
    <w:rsid w:val="008200DE"/>
    <w:rsid w:val="0082064F"/>
    <w:rsid w:val="00820AB0"/>
    <w:rsid w:val="00820CA0"/>
    <w:rsid w:val="008217D5"/>
    <w:rsid w:val="00821B95"/>
    <w:rsid w:val="0082200E"/>
    <w:rsid w:val="008222DB"/>
    <w:rsid w:val="00822401"/>
    <w:rsid w:val="0082249E"/>
    <w:rsid w:val="0082280F"/>
    <w:rsid w:val="00823B8E"/>
    <w:rsid w:val="0082413B"/>
    <w:rsid w:val="008242F8"/>
    <w:rsid w:val="00824AAA"/>
    <w:rsid w:val="008250B9"/>
    <w:rsid w:val="00825416"/>
    <w:rsid w:val="00825DA5"/>
    <w:rsid w:val="0082736B"/>
    <w:rsid w:val="0082741E"/>
    <w:rsid w:val="00827A61"/>
    <w:rsid w:val="008302D7"/>
    <w:rsid w:val="0083076F"/>
    <w:rsid w:val="008307FF"/>
    <w:rsid w:val="00830D02"/>
    <w:rsid w:val="00831999"/>
    <w:rsid w:val="00831B81"/>
    <w:rsid w:val="00831C79"/>
    <w:rsid w:val="0083287B"/>
    <w:rsid w:val="00832B93"/>
    <w:rsid w:val="0083433D"/>
    <w:rsid w:val="0083585D"/>
    <w:rsid w:val="00835DDF"/>
    <w:rsid w:val="00836352"/>
    <w:rsid w:val="00836B3C"/>
    <w:rsid w:val="00837901"/>
    <w:rsid w:val="008419AA"/>
    <w:rsid w:val="00843ED4"/>
    <w:rsid w:val="008443EB"/>
    <w:rsid w:val="00846356"/>
    <w:rsid w:val="00846575"/>
    <w:rsid w:val="00847907"/>
    <w:rsid w:val="00847BF6"/>
    <w:rsid w:val="00851374"/>
    <w:rsid w:val="00851CC1"/>
    <w:rsid w:val="008520E1"/>
    <w:rsid w:val="008525C7"/>
    <w:rsid w:val="008525CE"/>
    <w:rsid w:val="00852C96"/>
    <w:rsid w:val="00853025"/>
    <w:rsid w:val="00853CB9"/>
    <w:rsid w:val="00854B2F"/>
    <w:rsid w:val="00855588"/>
    <w:rsid w:val="00855D53"/>
    <w:rsid w:val="00857DBF"/>
    <w:rsid w:val="00860789"/>
    <w:rsid w:val="008610C9"/>
    <w:rsid w:val="008612ED"/>
    <w:rsid w:val="008628AD"/>
    <w:rsid w:val="00863909"/>
    <w:rsid w:val="00863D63"/>
    <w:rsid w:val="00865CA3"/>
    <w:rsid w:val="00866D1E"/>
    <w:rsid w:val="008700B9"/>
    <w:rsid w:val="00870435"/>
    <w:rsid w:val="00871E95"/>
    <w:rsid w:val="0087263F"/>
    <w:rsid w:val="00872869"/>
    <w:rsid w:val="008735CC"/>
    <w:rsid w:val="00873871"/>
    <w:rsid w:val="0087496C"/>
    <w:rsid w:val="008756C6"/>
    <w:rsid w:val="00875767"/>
    <w:rsid w:val="00875E18"/>
    <w:rsid w:val="00875FBF"/>
    <w:rsid w:val="008763DB"/>
    <w:rsid w:val="008766E5"/>
    <w:rsid w:val="00876A16"/>
    <w:rsid w:val="00876E81"/>
    <w:rsid w:val="0087706F"/>
    <w:rsid w:val="008800CE"/>
    <w:rsid w:val="008801EF"/>
    <w:rsid w:val="008812D3"/>
    <w:rsid w:val="008817E0"/>
    <w:rsid w:val="00883353"/>
    <w:rsid w:val="008836F5"/>
    <w:rsid w:val="00884E86"/>
    <w:rsid w:val="008859EF"/>
    <w:rsid w:val="00885B2D"/>
    <w:rsid w:val="008876E7"/>
    <w:rsid w:val="00887B0C"/>
    <w:rsid w:val="00887D97"/>
    <w:rsid w:val="00887EF8"/>
    <w:rsid w:val="00890151"/>
    <w:rsid w:val="008905A9"/>
    <w:rsid w:val="008911A6"/>
    <w:rsid w:val="0089173E"/>
    <w:rsid w:val="00891D91"/>
    <w:rsid w:val="008920B0"/>
    <w:rsid w:val="00892567"/>
    <w:rsid w:val="00893070"/>
    <w:rsid w:val="008954AE"/>
    <w:rsid w:val="00895E6B"/>
    <w:rsid w:val="00897DB2"/>
    <w:rsid w:val="008A0263"/>
    <w:rsid w:val="008A06A8"/>
    <w:rsid w:val="008A07D8"/>
    <w:rsid w:val="008A086E"/>
    <w:rsid w:val="008A1376"/>
    <w:rsid w:val="008A2AA1"/>
    <w:rsid w:val="008A409A"/>
    <w:rsid w:val="008A4BBA"/>
    <w:rsid w:val="008A4C20"/>
    <w:rsid w:val="008A582C"/>
    <w:rsid w:val="008A7330"/>
    <w:rsid w:val="008A762A"/>
    <w:rsid w:val="008B0043"/>
    <w:rsid w:val="008B0203"/>
    <w:rsid w:val="008B0272"/>
    <w:rsid w:val="008B11A0"/>
    <w:rsid w:val="008B126C"/>
    <w:rsid w:val="008B2D7A"/>
    <w:rsid w:val="008B2EDF"/>
    <w:rsid w:val="008B3E5A"/>
    <w:rsid w:val="008B584E"/>
    <w:rsid w:val="008B5BAD"/>
    <w:rsid w:val="008B5CBA"/>
    <w:rsid w:val="008B5D12"/>
    <w:rsid w:val="008B60D5"/>
    <w:rsid w:val="008B66B8"/>
    <w:rsid w:val="008B6E71"/>
    <w:rsid w:val="008B77DB"/>
    <w:rsid w:val="008B7B1E"/>
    <w:rsid w:val="008C0BB4"/>
    <w:rsid w:val="008C0BC9"/>
    <w:rsid w:val="008C15C6"/>
    <w:rsid w:val="008C1FE5"/>
    <w:rsid w:val="008C2068"/>
    <w:rsid w:val="008C24DD"/>
    <w:rsid w:val="008C281C"/>
    <w:rsid w:val="008C295C"/>
    <w:rsid w:val="008C2AB8"/>
    <w:rsid w:val="008C2B0D"/>
    <w:rsid w:val="008C2F3C"/>
    <w:rsid w:val="008C3849"/>
    <w:rsid w:val="008C51BB"/>
    <w:rsid w:val="008C53C3"/>
    <w:rsid w:val="008C5524"/>
    <w:rsid w:val="008C59EC"/>
    <w:rsid w:val="008C5EDD"/>
    <w:rsid w:val="008C66CD"/>
    <w:rsid w:val="008C698D"/>
    <w:rsid w:val="008C7B65"/>
    <w:rsid w:val="008D16F3"/>
    <w:rsid w:val="008D175B"/>
    <w:rsid w:val="008D24DC"/>
    <w:rsid w:val="008D2816"/>
    <w:rsid w:val="008D2A05"/>
    <w:rsid w:val="008D3529"/>
    <w:rsid w:val="008D38FF"/>
    <w:rsid w:val="008D3BBC"/>
    <w:rsid w:val="008D6122"/>
    <w:rsid w:val="008D7794"/>
    <w:rsid w:val="008D79AA"/>
    <w:rsid w:val="008E072E"/>
    <w:rsid w:val="008E0AEF"/>
    <w:rsid w:val="008E35D0"/>
    <w:rsid w:val="008E3903"/>
    <w:rsid w:val="008E3DA4"/>
    <w:rsid w:val="008E3E52"/>
    <w:rsid w:val="008E4C6B"/>
    <w:rsid w:val="008E4E22"/>
    <w:rsid w:val="008E51C1"/>
    <w:rsid w:val="008E5204"/>
    <w:rsid w:val="008E5B29"/>
    <w:rsid w:val="008E5C0D"/>
    <w:rsid w:val="008E7262"/>
    <w:rsid w:val="008F0482"/>
    <w:rsid w:val="008F0D78"/>
    <w:rsid w:val="008F1D5B"/>
    <w:rsid w:val="008F1F04"/>
    <w:rsid w:val="008F288B"/>
    <w:rsid w:val="008F3486"/>
    <w:rsid w:val="008F4219"/>
    <w:rsid w:val="008F4472"/>
    <w:rsid w:val="008F594F"/>
    <w:rsid w:val="008F6A36"/>
    <w:rsid w:val="008F6B2B"/>
    <w:rsid w:val="008F759D"/>
    <w:rsid w:val="008F79C3"/>
    <w:rsid w:val="008F7DB4"/>
    <w:rsid w:val="009007DD"/>
    <w:rsid w:val="00900F66"/>
    <w:rsid w:val="00901610"/>
    <w:rsid w:val="00901906"/>
    <w:rsid w:val="00901D8E"/>
    <w:rsid w:val="00902D61"/>
    <w:rsid w:val="00903D33"/>
    <w:rsid w:val="00903DC8"/>
    <w:rsid w:val="009040F2"/>
    <w:rsid w:val="009041E8"/>
    <w:rsid w:val="00904263"/>
    <w:rsid w:val="00904A0C"/>
    <w:rsid w:val="00904DA1"/>
    <w:rsid w:val="00905F0E"/>
    <w:rsid w:val="00906168"/>
    <w:rsid w:val="00906319"/>
    <w:rsid w:val="009066DD"/>
    <w:rsid w:val="00906820"/>
    <w:rsid w:val="00906B83"/>
    <w:rsid w:val="00907059"/>
    <w:rsid w:val="009078B7"/>
    <w:rsid w:val="00910787"/>
    <w:rsid w:val="00911E41"/>
    <w:rsid w:val="009120B4"/>
    <w:rsid w:val="009130BF"/>
    <w:rsid w:val="009137B4"/>
    <w:rsid w:val="009139D2"/>
    <w:rsid w:val="00915B69"/>
    <w:rsid w:val="00916A4E"/>
    <w:rsid w:val="009174D9"/>
    <w:rsid w:val="009178E6"/>
    <w:rsid w:val="00917AED"/>
    <w:rsid w:val="009201CB"/>
    <w:rsid w:val="00920203"/>
    <w:rsid w:val="00920CC5"/>
    <w:rsid w:val="00920ECB"/>
    <w:rsid w:val="0092182B"/>
    <w:rsid w:val="00922705"/>
    <w:rsid w:val="00923A0C"/>
    <w:rsid w:val="00923CE5"/>
    <w:rsid w:val="0092430A"/>
    <w:rsid w:val="00925227"/>
    <w:rsid w:val="00925A12"/>
    <w:rsid w:val="00925C63"/>
    <w:rsid w:val="00927062"/>
    <w:rsid w:val="00927EF8"/>
    <w:rsid w:val="00930249"/>
    <w:rsid w:val="00932A15"/>
    <w:rsid w:val="00932CD0"/>
    <w:rsid w:val="00933027"/>
    <w:rsid w:val="00933CF1"/>
    <w:rsid w:val="00934015"/>
    <w:rsid w:val="009341D3"/>
    <w:rsid w:val="00935FD8"/>
    <w:rsid w:val="009362EB"/>
    <w:rsid w:val="00936645"/>
    <w:rsid w:val="009366F2"/>
    <w:rsid w:val="00937094"/>
    <w:rsid w:val="00937EBD"/>
    <w:rsid w:val="00940350"/>
    <w:rsid w:val="00940D72"/>
    <w:rsid w:val="00942277"/>
    <w:rsid w:val="00942728"/>
    <w:rsid w:val="00942E91"/>
    <w:rsid w:val="009435D9"/>
    <w:rsid w:val="00943BC2"/>
    <w:rsid w:val="00943BF8"/>
    <w:rsid w:val="009460F2"/>
    <w:rsid w:val="00946F42"/>
    <w:rsid w:val="009470BB"/>
    <w:rsid w:val="0094718F"/>
    <w:rsid w:val="00950D66"/>
    <w:rsid w:val="00951D1A"/>
    <w:rsid w:val="00951E73"/>
    <w:rsid w:val="00954477"/>
    <w:rsid w:val="00954C95"/>
    <w:rsid w:val="009556F5"/>
    <w:rsid w:val="0095667F"/>
    <w:rsid w:val="00956B8C"/>
    <w:rsid w:val="00956BD2"/>
    <w:rsid w:val="00956C1C"/>
    <w:rsid w:val="00960045"/>
    <w:rsid w:val="00960A06"/>
    <w:rsid w:val="00960DFF"/>
    <w:rsid w:val="00961B59"/>
    <w:rsid w:val="00961DFC"/>
    <w:rsid w:val="00961E9A"/>
    <w:rsid w:val="009627D2"/>
    <w:rsid w:val="00962E2B"/>
    <w:rsid w:val="00963021"/>
    <w:rsid w:val="00963424"/>
    <w:rsid w:val="00963BCF"/>
    <w:rsid w:val="00963F79"/>
    <w:rsid w:val="009642A2"/>
    <w:rsid w:val="009643E8"/>
    <w:rsid w:val="009665F3"/>
    <w:rsid w:val="00966CBE"/>
    <w:rsid w:val="00966D73"/>
    <w:rsid w:val="009677C7"/>
    <w:rsid w:val="00970B3E"/>
    <w:rsid w:val="00970F74"/>
    <w:rsid w:val="009720C3"/>
    <w:rsid w:val="009725E6"/>
    <w:rsid w:val="00972827"/>
    <w:rsid w:val="00973075"/>
    <w:rsid w:val="00973390"/>
    <w:rsid w:val="0097342B"/>
    <w:rsid w:val="009736D3"/>
    <w:rsid w:val="00973E7C"/>
    <w:rsid w:val="0097477E"/>
    <w:rsid w:val="00974BCC"/>
    <w:rsid w:val="0097567B"/>
    <w:rsid w:val="00975C0C"/>
    <w:rsid w:val="00975F9F"/>
    <w:rsid w:val="009761BB"/>
    <w:rsid w:val="0097738A"/>
    <w:rsid w:val="009778C3"/>
    <w:rsid w:val="00977B8F"/>
    <w:rsid w:val="009828EE"/>
    <w:rsid w:val="00983473"/>
    <w:rsid w:val="00984E41"/>
    <w:rsid w:val="00985B4A"/>
    <w:rsid w:val="009867F1"/>
    <w:rsid w:val="0098695E"/>
    <w:rsid w:val="0098702C"/>
    <w:rsid w:val="00987693"/>
    <w:rsid w:val="00990594"/>
    <w:rsid w:val="00990B0A"/>
    <w:rsid w:val="00990B45"/>
    <w:rsid w:val="0099106A"/>
    <w:rsid w:val="00992632"/>
    <w:rsid w:val="009928F5"/>
    <w:rsid w:val="00995608"/>
    <w:rsid w:val="0099566F"/>
    <w:rsid w:val="00996111"/>
    <w:rsid w:val="00996595"/>
    <w:rsid w:val="009A12EA"/>
    <w:rsid w:val="009A20B8"/>
    <w:rsid w:val="009A3FD4"/>
    <w:rsid w:val="009A43C7"/>
    <w:rsid w:val="009A478A"/>
    <w:rsid w:val="009A4EDE"/>
    <w:rsid w:val="009A547A"/>
    <w:rsid w:val="009A56F8"/>
    <w:rsid w:val="009A57F5"/>
    <w:rsid w:val="009A6F04"/>
    <w:rsid w:val="009A70CB"/>
    <w:rsid w:val="009A7C0C"/>
    <w:rsid w:val="009B035E"/>
    <w:rsid w:val="009B0ACA"/>
    <w:rsid w:val="009B14AA"/>
    <w:rsid w:val="009B1509"/>
    <w:rsid w:val="009B22C4"/>
    <w:rsid w:val="009B283D"/>
    <w:rsid w:val="009B29F5"/>
    <w:rsid w:val="009B3EDA"/>
    <w:rsid w:val="009B3F5E"/>
    <w:rsid w:val="009B5233"/>
    <w:rsid w:val="009B55ED"/>
    <w:rsid w:val="009B5CF9"/>
    <w:rsid w:val="009B6107"/>
    <w:rsid w:val="009B6BD6"/>
    <w:rsid w:val="009B6EAD"/>
    <w:rsid w:val="009C0164"/>
    <w:rsid w:val="009C0D9A"/>
    <w:rsid w:val="009C1A3D"/>
    <w:rsid w:val="009C20AA"/>
    <w:rsid w:val="009C26DB"/>
    <w:rsid w:val="009C2A7B"/>
    <w:rsid w:val="009C4FF3"/>
    <w:rsid w:val="009C5140"/>
    <w:rsid w:val="009C567B"/>
    <w:rsid w:val="009C5B68"/>
    <w:rsid w:val="009C6398"/>
    <w:rsid w:val="009C6DCA"/>
    <w:rsid w:val="009D00F7"/>
    <w:rsid w:val="009D22E0"/>
    <w:rsid w:val="009D2D31"/>
    <w:rsid w:val="009D2EC5"/>
    <w:rsid w:val="009D3FE0"/>
    <w:rsid w:val="009D46FC"/>
    <w:rsid w:val="009D4DEB"/>
    <w:rsid w:val="009D54EF"/>
    <w:rsid w:val="009D63BF"/>
    <w:rsid w:val="009D65F7"/>
    <w:rsid w:val="009D7850"/>
    <w:rsid w:val="009E081B"/>
    <w:rsid w:val="009E0839"/>
    <w:rsid w:val="009E0A4F"/>
    <w:rsid w:val="009E193E"/>
    <w:rsid w:val="009E1A7B"/>
    <w:rsid w:val="009E208C"/>
    <w:rsid w:val="009E2965"/>
    <w:rsid w:val="009E369F"/>
    <w:rsid w:val="009E4DDE"/>
    <w:rsid w:val="009E568A"/>
    <w:rsid w:val="009E57EF"/>
    <w:rsid w:val="009E5F9C"/>
    <w:rsid w:val="009E6AEE"/>
    <w:rsid w:val="009E6E04"/>
    <w:rsid w:val="009E7E94"/>
    <w:rsid w:val="009F08DB"/>
    <w:rsid w:val="009F0CB2"/>
    <w:rsid w:val="009F114D"/>
    <w:rsid w:val="009F256F"/>
    <w:rsid w:val="009F2B05"/>
    <w:rsid w:val="009F2B1F"/>
    <w:rsid w:val="009F3975"/>
    <w:rsid w:val="009F5343"/>
    <w:rsid w:val="009F65DC"/>
    <w:rsid w:val="009F7201"/>
    <w:rsid w:val="00A0187D"/>
    <w:rsid w:val="00A01D87"/>
    <w:rsid w:val="00A0294D"/>
    <w:rsid w:val="00A036B6"/>
    <w:rsid w:val="00A0391E"/>
    <w:rsid w:val="00A044A7"/>
    <w:rsid w:val="00A0499F"/>
    <w:rsid w:val="00A04D0C"/>
    <w:rsid w:val="00A05CF4"/>
    <w:rsid w:val="00A05D34"/>
    <w:rsid w:val="00A05DC4"/>
    <w:rsid w:val="00A06D91"/>
    <w:rsid w:val="00A10468"/>
    <w:rsid w:val="00A110BA"/>
    <w:rsid w:val="00A1145A"/>
    <w:rsid w:val="00A117C7"/>
    <w:rsid w:val="00A11D66"/>
    <w:rsid w:val="00A11DE6"/>
    <w:rsid w:val="00A1265A"/>
    <w:rsid w:val="00A13247"/>
    <w:rsid w:val="00A14760"/>
    <w:rsid w:val="00A14C75"/>
    <w:rsid w:val="00A14CEF"/>
    <w:rsid w:val="00A14E84"/>
    <w:rsid w:val="00A15214"/>
    <w:rsid w:val="00A15801"/>
    <w:rsid w:val="00A1587A"/>
    <w:rsid w:val="00A16051"/>
    <w:rsid w:val="00A16906"/>
    <w:rsid w:val="00A16E97"/>
    <w:rsid w:val="00A16F1D"/>
    <w:rsid w:val="00A177C3"/>
    <w:rsid w:val="00A17FEF"/>
    <w:rsid w:val="00A208D7"/>
    <w:rsid w:val="00A2092A"/>
    <w:rsid w:val="00A2156D"/>
    <w:rsid w:val="00A215AC"/>
    <w:rsid w:val="00A21F9F"/>
    <w:rsid w:val="00A23706"/>
    <w:rsid w:val="00A23A1C"/>
    <w:rsid w:val="00A24620"/>
    <w:rsid w:val="00A24BE0"/>
    <w:rsid w:val="00A24D7C"/>
    <w:rsid w:val="00A24E67"/>
    <w:rsid w:val="00A250E4"/>
    <w:rsid w:val="00A2601B"/>
    <w:rsid w:val="00A2632B"/>
    <w:rsid w:val="00A27EAE"/>
    <w:rsid w:val="00A3037D"/>
    <w:rsid w:val="00A30559"/>
    <w:rsid w:val="00A30926"/>
    <w:rsid w:val="00A31205"/>
    <w:rsid w:val="00A31BFE"/>
    <w:rsid w:val="00A32BC9"/>
    <w:rsid w:val="00A32EFB"/>
    <w:rsid w:val="00A34494"/>
    <w:rsid w:val="00A348FF"/>
    <w:rsid w:val="00A34B06"/>
    <w:rsid w:val="00A350BD"/>
    <w:rsid w:val="00A3704D"/>
    <w:rsid w:val="00A37493"/>
    <w:rsid w:val="00A3754A"/>
    <w:rsid w:val="00A379E2"/>
    <w:rsid w:val="00A4007C"/>
    <w:rsid w:val="00A40BB8"/>
    <w:rsid w:val="00A41CBA"/>
    <w:rsid w:val="00A42844"/>
    <w:rsid w:val="00A43827"/>
    <w:rsid w:val="00A442F7"/>
    <w:rsid w:val="00A45B83"/>
    <w:rsid w:val="00A461EE"/>
    <w:rsid w:val="00A46B27"/>
    <w:rsid w:val="00A47B8D"/>
    <w:rsid w:val="00A50475"/>
    <w:rsid w:val="00A50C04"/>
    <w:rsid w:val="00A51FED"/>
    <w:rsid w:val="00A521F9"/>
    <w:rsid w:val="00A53D78"/>
    <w:rsid w:val="00A5402B"/>
    <w:rsid w:val="00A5550C"/>
    <w:rsid w:val="00A5552E"/>
    <w:rsid w:val="00A55ABE"/>
    <w:rsid w:val="00A567B7"/>
    <w:rsid w:val="00A56C56"/>
    <w:rsid w:val="00A56C7D"/>
    <w:rsid w:val="00A57C1C"/>
    <w:rsid w:val="00A60337"/>
    <w:rsid w:val="00A6093B"/>
    <w:rsid w:val="00A612C7"/>
    <w:rsid w:val="00A614D5"/>
    <w:rsid w:val="00A6164F"/>
    <w:rsid w:val="00A61801"/>
    <w:rsid w:val="00A61C6E"/>
    <w:rsid w:val="00A622CB"/>
    <w:rsid w:val="00A624B4"/>
    <w:rsid w:val="00A63336"/>
    <w:rsid w:val="00A639DC"/>
    <w:rsid w:val="00A64A5E"/>
    <w:rsid w:val="00A64EE5"/>
    <w:rsid w:val="00A659DE"/>
    <w:rsid w:val="00A65C65"/>
    <w:rsid w:val="00A65EF1"/>
    <w:rsid w:val="00A667B7"/>
    <w:rsid w:val="00A66A77"/>
    <w:rsid w:val="00A67B51"/>
    <w:rsid w:val="00A70530"/>
    <w:rsid w:val="00A708DB"/>
    <w:rsid w:val="00A70D1C"/>
    <w:rsid w:val="00A71383"/>
    <w:rsid w:val="00A7280E"/>
    <w:rsid w:val="00A73513"/>
    <w:rsid w:val="00A7375E"/>
    <w:rsid w:val="00A75E54"/>
    <w:rsid w:val="00A775DB"/>
    <w:rsid w:val="00A7770C"/>
    <w:rsid w:val="00A77A9B"/>
    <w:rsid w:val="00A77D38"/>
    <w:rsid w:val="00A81586"/>
    <w:rsid w:val="00A818A9"/>
    <w:rsid w:val="00A82912"/>
    <w:rsid w:val="00A8410F"/>
    <w:rsid w:val="00A841CE"/>
    <w:rsid w:val="00A84341"/>
    <w:rsid w:val="00A845A1"/>
    <w:rsid w:val="00A8461A"/>
    <w:rsid w:val="00A85064"/>
    <w:rsid w:val="00A85651"/>
    <w:rsid w:val="00A86D45"/>
    <w:rsid w:val="00A87242"/>
    <w:rsid w:val="00A8753C"/>
    <w:rsid w:val="00A90BDC"/>
    <w:rsid w:val="00A91305"/>
    <w:rsid w:val="00A91A72"/>
    <w:rsid w:val="00A92750"/>
    <w:rsid w:val="00A93820"/>
    <w:rsid w:val="00A939FD"/>
    <w:rsid w:val="00A93EAD"/>
    <w:rsid w:val="00A94261"/>
    <w:rsid w:val="00A94BB7"/>
    <w:rsid w:val="00A9510B"/>
    <w:rsid w:val="00A95923"/>
    <w:rsid w:val="00A9620D"/>
    <w:rsid w:val="00A97531"/>
    <w:rsid w:val="00A97876"/>
    <w:rsid w:val="00AA0419"/>
    <w:rsid w:val="00AA0E87"/>
    <w:rsid w:val="00AA1024"/>
    <w:rsid w:val="00AA10D1"/>
    <w:rsid w:val="00AA1643"/>
    <w:rsid w:val="00AA1DB0"/>
    <w:rsid w:val="00AA1DC3"/>
    <w:rsid w:val="00AA2009"/>
    <w:rsid w:val="00AA2D57"/>
    <w:rsid w:val="00AA2E9E"/>
    <w:rsid w:val="00AA37A0"/>
    <w:rsid w:val="00AA3D54"/>
    <w:rsid w:val="00AA3D64"/>
    <w:rsid w:val="00AA4977"/>
    <w:rsid w:val="00AA57AB"/>
    <w:rsid w:val="00AA5EE5"/>
    <w:rsid w:val="00AA6D06"/>
    <w:rsid w:val="00AA7200"/>
    <w:rsid w:val="00AB16F8"/>
    <w:rsid w:val="00AB1D19"/>
    <w:rsid w:val="00AB22D4"/>
    <w:rsid w:val="00AB3856"/>
    <w:rsid w:val="00AB3E56"/>
    <w:rsid w:val="00AB676A"/>
    <w:rsid w:val="00AB6826"/>
    <w:rsid w:val="00AB6EE3"/>
    <w:rsid w:val="00AB7094"/>
    <w:rsid w:val="00AB73B6"/>
    <w:rsid w:val="00AB7F56"/>
    <w:rsid w:val="00AC1D2C"/>
    <w:rsid w:val="00AC32A4"/>
    <w:rsid w:val="00AC341A"/>
    <w:rsid w:val="00AC358A"/>
    <w:rsid w:val="00AC4A7B"/>
    <w:rsid w:val="00AC50B7"/>
    <w:rsid w:val="00AC55C8"/>
    <w:rsid w:val="00AC60AE"/>
    <w:rsid w:val="00AC688F"/>
    <w:rsid w:val="00AC6F91"/>
    <w:rsid w:val="00AC7215"/>
    <w:rsid w:val="00AC77DD"/>
    <w:rsid w:val="00AD0246"/>
    <w:rsid w:val="00AD0CCC"/>
    <w:rsid w:val="00AD1952"/>
    <w:rsid w:val="00AD2214"/>
    <w:rsid w:val="00AD278F"/>
    <w:rsid w:val="00AD3D2C"/>
    <w:rsid w:val="00AD4814"/>
    <w:rsid w:val="00AD498F"/>
    <w:rsid w:val="00AD4BFA"/>
    <w:rsid w:val="00AD4F75"/>
    <w:rsid w:val="00AD50B5"/>
    <w:rsid w:val="00AD5F3F"/>
    <w:rsid w:val="00AD5FCB"/>
    <w:rsid w:val="00AD7705"/>
    <w:rsid w:val="00AD7B3A"/>
    <w:rsid w:val="00AD7F76"/>
    <w:rsid w:val="00AE12DA"/>
    <w:rsid w:val="00AE1514"/>
    <w:rsid w:val="00AE1979"/>
    <w:rsid w:val="00AE1ECA"/>
    <w:rsid w:val="00AE27AB"/>
    <w:rsid w:val="00AE333F"/>
    <w:rsid w:val="00AE3B52"/>
    <w:rsid w:val="00AE5DBD"/>
    <w:rsid w:val="00AE5FB4"/>
    <w:rsid w:val="00AE697C"/>
    <w:rsid w:val="00AE72E2"/>
    <w:rsid w:val="00AE753E"/>
    <w:rsid w:val="00AE7863"/>
    <w:rsid w:val="00AE7E82"/>
    <w:rsid w:val="00AF0220"/>
    <w:rsid w:val="00AF1199"/>
    <w:rsid w:val="00AF1FE0"/>
    <w:rsid w:val="00AF351E"/>
    <w:rsid w:val="00AF3851"/>
    <w:rsid w:val="00AF4076"/>
    <w:rsid w:val="00AF42E3"/>
    <w:rsid w:val="00AF4A4C"/>
    <w:rsid w:val="00AF5010"/>
    <w:rsid w:val="00AF55DA"/>
    <w:rsid w:val="00AF6423"/>
    <w:rsid w:val="00AF6438"/>
    <w:rsid w:val="00AF6B77"/>
    <w:rsid w:val="00AF706E"/>
    <w:rsid w:val="00AF7974"/>
    <w:rsid w:val="00AF7A65"/>
    <w:rsid w:val="00AF7BAF"/>
    <w:rsid w:val="00B02171"/>
    <w:rsid w:val="00B02344"/>
    <w:rsid w:val="00B02876"/>
    <w:rsid w:val="00B02A40"/>
    <w:rsid w:val="00B02C2B"/>
    <w:rsid w:val="00B02FBA"/>
    <w:rsid w:val="00B030BC"/>
    <w:rsid w:val="00B03CDD"/>
    <w:rsid w:val="00B0494A"/>
    <w:rsid w:val="00B05F68"/>
    <w:rsid w:val="00B060AA"/>
    <w:rsid w:val="00B066A7"/>
    <w:rsid w:val="00B07393"/>
    <w:rsid w:val="00B10E6A"/>
    <w:rsid w:val="00B11035"/>
    <w:rsid w:val="00B11F6E"/>
    <w:rsid w:val="00B122DD"/>
    <w:rsid w:val="00B1252D"/>
    <w:rsid w:val="00B127AB"/>
    <w:rsid w:val="00B14451"/>
    <w:rsid w:val="00B155D6"/>
    <w:rsid w:val="00B157B7"/>
    <w:rsid w:val="00B1611F"/>
    <w:rsid w:val="00B16AB4"/>
    <w:rsid w:val="00B16CD6"/>
    <w:rsid w:val="00B17198"/>
    <w:rsid w:val="00B17C53"/>
    <w:rsid w:val="00B20833"/>
    <w:rsid w:val="00B20D4B"/>
    <w:rsid w:val="00B20F1E"/>
    <w:rsid w:val="00B211F7"/>
    <w:rsid w:val="00B216AC"/>
    <w:rsid w:val="00B21844"/>
    <w:rsid w:val="00B218E7"/>
    <w:rsid w:val="00B22100"/>
    <w:rsid w:val="00B221F7"/>
    <w:rsid w:val="00B23342"/>
    <w:rsid w:val="00B23385"/>
    <w:rsid w:val="00B237C3"/>
    <w:rsid w:val="00B24446"/>
    <w:rsid w:val="00B24693"/>
    <w:rsid w:val="00B24AF2"/>
    <w:rsid w:val="00B24F86"/>
    <w:rsid w:val="00B250E7"/>
    <w:rsid w:val="00B254E8"/>
    <w:rsid w:val="00B267AA"/>
    <w:rsid w:val="00B274DC"/>
    <w:rsid w:val="00B278D8"/>
    <w:rsid w:val="00B305D1"/>
    <w:rsid w:val="00B3061A"/>
    <w:rsid w:val="00B306F5"/>
    <w:rsid w:val="00B30A5C"/>
    <w:rsid w:val="00B30C71"/>
    <w:rsid w:val="00B31644"/>
    <w:rsid w:val="00B32A36"/>
    <w:rsid w:val="00B330E1"/>
    <w:rsid w:val="00B3310A"/>
    <w:rsid w:val="00B33927"/>
    <w:rsid w:val="00B34255"/>
    <w:rsid w:val="00B34BEC"/>
    <w:rsid w:val="00B366C4"/>
    <w:rsid w:val="00B371D0"/>
    <w:rsid w:val="00B37297"/>
    <w:rsid w:val="00B40013"/>
    <w:rsid w:val="00B401A8"/>
    <w:rsid w:val="00B40575"/>
    <w:rsid w:val="00B4080A"/>
    <w:rsid w:val="00B412F5"/>
    <w:rsid w:val="00B417F0"/>
    <w:rsid w:val="00B41CA5"/>
    <w:rsid w:val="00B425B6"/>
    <w:rsid w:val="00B42973"/>
    <w:rsid w:val="00B42CF3"/>
    <w:rsid w:val="00B444EC"/>
    <w:rsid w:val="00B4491B"/>
    <w:rsid w:val="00B44F8D"/>
    <w:rsid w:val="00B45417"/>
    <w:rsid w:val="00B458CF"/>
    <w:rsid w:val="00B47756"/>
    <w:rsid w:val="00B506BF"/>
    <w:rsid w:val="00B50DCA"/>
    <w:rsid w:val="00B511EA"/>
    <w:rsid w:val="00B517BC"/>
    <w:rsid w:val="00B51D92"/>
    <w:rsid w:val="00B52995"/>
    <w:rsid w:val="00B53FD4"/>
    <w:rsid w:val="00B54F44"/>
    <w:rsid w:val="00B60304"/>
    <w:rsid w:val="00B606E1"/>
    <w:rsid w:val="00B61159"/>
    <w:rsid w:val="00B62675"/>
    <w:rsid w:val="00B62ACD"/>
    <w:rsid w:val="00B65F9C"/>
    <w:rsid w:val="00B663E7"/>
    <w:rsid w:val="00B6657E"/>
    <w:rsid w:val="00B66806"/>
    <w:rsid w:val="00B66969"/>
    <w:rsid w:val="00B67516"/>
    <w:rsid w:val="00B67929"/>
    <w:rsid w:val="00B70742"/>
    <w:rsid w:val="00B71184"/>
    <w:rsid w:val="00B717E6"/>
    <w:rsid w:val="00B72367"/>
    <w:rsid w:val="00B7328C"/>
    <w:rsid w:val="00B73337"/>
    <w:rsid w:val="00B74236"/>
    <w:rsid w:val="00B74413"/>
    <w:rsid w:val="00B74C75"/>
    <w:rsid w:val="00B74F4F"/>
    <w:rsid w:val="00B763AD"/>
    <w:rsid w:val="00B76404"/>
    <w:rsid w:val="00B76ED3"/>
    <w:rsid w:val="00B76FBA"/>
    <w:rsid w:val="00B77386"/>
    <w:rsid w:val="00B77A16"/>
    <w:rsid w:val="00B77BB6"/>
    <w:rsid w:val="00B80075"/>
    <w:rsid w:val="00B81554"/>
    <w:rsid w:val="00B81900"/>
    <w:rsid w:val="00B81B1C"/>
    <w:rsid w:val="00B82C40"/>
    <w:rsid w:val="00B83728"/>
    <w:rsid w:val="00B84111"/>
    <w:rsid w:val="00B84BD5"/>
    <w:rsid w:val="00B84BDE"/>
    <w:rsid w:val="00B850F9"/>
    <w:rsid w:val="00B85266"/>
    <w:rsid w:val="00B857A0"/>
    <w:rsid w:val="00B85D4E"/>
    <w:rsid w:val="00B8605C"/>
    <w:rsid w:val="00B8681F"/>
    <w:rsid w:val="00B86E33"/>
    <w:rsid w:val="00B871D3"/>
    <w:rsid w:val="00B87349"/>
    <w:rsid w:val="00B87C97"/>
    <w:rsid w:val="00B90BFE"/>
    <w:rsid w:val="00B90CA6"/>
    <w:rsid w:val="00B91829"/>
    <w:rsid w:val="00B92044"/>
    <w:rsid w:val="00B927E9"/>
    <w:rsid w:val="00B92BB4"/>
    <w:rsid w:val="00B939C8"/>
    <w:rsid w:val="00B93AF0"/>
    <w:rsid w:val="00B94782"/>
    <w:rsid w:val="00B964A4"/>
    <w:rsid w:val="00B964BC"/>
    <w:rsid w:val="00B977E0"/>
    <w:rsid w:val="00B97B8B"/>
    <w:rsid w:val="00BA041C"/>
    <w:rsid w:val="00BA1CBB"/>
    <w:rsid w:val="00BA1D9A"/>
    <w:rsid w:val="00BA2172"/>
    <w:rsid w:val="00BA3722"/>
    <w:rsid w:val="00BA3791"/>
    <w:rsid w:val="00BA3E64"/>
    <w:rsid w:val="00BA4103"/>
    <w:rsid w:val="00BA4415"/>
    <w:rsid w:val="00BA5D1F"/>
    <w:rsid w:val="00BA5EA8"/>
    <w:rsid w:val="00BA687B"/>
    <w:rsid w:val="00BA68A3"/>
    <w:rsid w:val="00BA7D8F"/>
    <w:rsid w:val="00BB0703"/>
    <w:rsid w:val="00BB147E"/>
    <w:rsid w:val="00BB14B2"/>
    <w:rsid w:val="00BB1B01"/>
    <w:rsid w:val="00BB2755"/>
    <w:rsid w:val="00BB2ABE"/>
    <w:rsid w:val="00BB3765"/>
    <w:rsid w:val="00BB3B78"/>
    <w:rsid w:val="00BB4290"/>
    <w:rsid w:val="00BB4B35"/>
    <w:rsid w:val="00BB4F82"/>
    <w:rsid w:val="00BB5A46"/>
    <w:rsid w:val="00BB6CDD"/>
    <w:rsid w:val="00BB777B"/>
    <w:rsid w:val="00BC06EE"/>
    <w:rsid w:val="00BC1219"/>
    <w:rsid w:val="00BC23A0"/>
    <w:rsid w:val="00BC2A03"/>
    <w:rsid w:val="00BC30E8"/>
    <w:rsid w:val="00BC3569"/>
    <w:rsid w:val="00BC36BA"/>
    <w:rsid w:val="00BC426A"/>
    <w:rsid w:val="00BC4F27"/>
    <w:rsid w:val="00BC5E81"/>
    <w:rsid w:val="00BC63B0"/>
    <w:rsid w:val="00BC77B0"/>
    <w:rsid w:val="00BC7C42"/>
    <w:rsid w:val="00BD083A"/>
    <w:rsid w:val="00BD1FAC"/>
    <w:rsid w:val="00BD25B4"/>
    <w:rsid w:val="00BD2990"/>
    <w:rsid w:val="00BD3B09"/>
    <w:rsid w:val="00BD46E2"/>
    <w:rsid w:val="00BD4E25"/>
    <w:rsid w:val="00BD4F65"/>
    <w:rsid w:val="00BD6F79"/>
    <w:rsid w:val="00BD6FFD"/>
    <w:rsid w:val="00BD793D"/>
    <w:rsid w:val="00BE033C"/>
    <w:rsid w:val="00BE0582"/>
    <w:rsid w:val="00BE090C"/>
    <w:rsid w:val="00BE11DB"/>
    <w:rsid w:val="00BE152B"/>
    <w:rsid w:val="00BE2719"/>
    <w:rsid w:val="00BE2768"/>
    <w:rsid w:val="00BE315E"/>
    <w:rsid w:val="00BE3B20"/>
    <w:rsid w:val="00BE40BD"/>
    <w:rsid w:val="00BE49DF"/>
    <w:rsid w:val="00BE537E"/>
    <w:rsid w:val="00BE544D"/>
    <w:rsid w:val="00BE6EC1"/>
    <w:rsid w:val="00BE6F3C"/>
    <w:rsid w:val="00BE7287"/>
    <w:rsid w:val="00BE745A"/>
    <w:rsid w:val="00BE7997"/>
    <w:rsid w:val="00BF036F"/>
    <w:rsid w:val="00BF06DF"/>
    <w:rsid w:val="00BF0EFD"/>
    <w:rsid w:val="00BF114D"/>
    <w:rsid w:val="00BF1CE5"/>
    <w:rsid w:val="00BF1FAF"/>
    <w:rsid w:val="00BF21BF"/>
    <w:rsid w:val="00BF2EEF"/>
    <w:rsid w:val="00BF30E1"/>
    <w:rsid w:val="00BF32D5"/>
    <w:rsid w:val="00BF3596"/>
    <w:rsid w:val="00BF3C3F"/>
    <w:rsid w:val="00BF410F"/>
    <w:rsid w:val="00BF4450"/>
    <w:rsid w:val="00BF5A43"/>
    <w:rsid w:val="00BF5AFE"/>
    <w:rsid w:val="00BF7046"/>
    <w:rsid w:val="00C00B26"/>
    <w:rsid w:val="00C00EBE"/>
    <w:rsid w:val="00C011EC"/>
    <w:rsid w:val="00C0141A"/>
    <w:rsid w:val="00C01499"/>
    <w:rsid w:val="00C01994"/>
    <w:rsid w:val="00C02145"/>
    <w:rsid w:val="00C02972"/>
    <w:rsid w:val="00C036DC"/>
    <w:rsid w:val="00C03735"/>
    <w:rsid w:val="00C03C3B"/>
    <w:rsid w:val="00C03E4D"/>
    <w:rsid w:val="00C048EC"/>
    <w:rsid w:val="00C04966"/>
    <w:rsid w:val="00C0537A"/>
    <w:rsid w:val="00C072EF"/>
    <w:rsid w:val="00C07A77"/>
    <w:rsid w:val="00C07B83"/>
    <w:rsid w:val="00C07C88"/>
    <w:rsid w:val="00C07E46"/>
    <w:rsid w:val="00C10A65"/>
    <w:rsid w:val="00C10E6C"/>
    <w:rsid w:val="00C11D6B"/>
    <w:rsid w:val="00C12430"/>
    <w:rsid w:val="00C13824"/>
    <w:rsid w:val="00C1447B"/>
    <w:rsid w:val="00C14903"/>
    <w:rsid w:val="00C14AF6"/>
    <w:rsid w:val="00C1534D"/>
    <w:rsid w:val="00C15558"/>
    <w:rsid w:val="00C1638B"/>
    <w:rsid w:val="00C164EC"/>
    <w:rsid w:val="00C16B46"/>
    <w:rsid w:val="00C17047"/>
    <w:rsid w:val="00C1727B"/>
    <w:rsid w:val="00C17359"/>
    <w:rsid w:val="00C17E61"/>
    <w:rsid w:val="00C210D1"/>
    <w:rsid w:val="00C2147C"/>
    <w:rsid w:val="00C22BDC"/>
    <w:rsid w:val="00C22D1C"/>
    <w:rsid w:val="00C23853"/>
    <w:rsid w:val="00C23BDE"/>
    <w:rsid w:val="00C240C6"/>
    <w:rsid w:val="00C24317"/>
    <w:rsid w:val="00C25418"/>
    <w:rsid w:val="00C254C8"/>
    <w:rsid w:val="00C25FC3"/>
    <w:rsid w:val="00C260C0"/>
    <w:rsid w:val="00C260F4"/>
    <w:rsid w:val="00C2710C"/>
    <w:rsid w:val="00C27158"/>
    <w:rsid w:val="00C27DB9"/>
    <w:rsid w:val="00C300F7"/>
    <w:rsid w:val="00C308C8"/>
    <w:rsid w:val="00C31724"/>
    <w:rsid w:val="00C31770"/>
    <w:rsid w:val="00C32181"/>
    <w:rsid w:val="00C33CE4"/>
    <w:rsid w:val="00C35329"/>
    <w:rsid w:val="00C3562E"/>
    <w:rsid w:val="00C35C54"/>
    <w:rsid w:val="00C36C39"/>
    <w:rsid w:val="00C36C5D"/>
    <w:rsid w:val="00C373BA"/>
    <w:rsid w:val="00C379F5"/>
    <w:rsid w:val="00C407EB"/>
    <w:rsid w:val="00C40897"/>
    <w:rsid w:val="00C40B1D"/>
    <w:rsid w:val="00C419E2"/>
    <w:rsid w:val="00C41BCC"/>
    <w:rsid w:val="00C42FBA"/>
    <w:rsid w:val="00C430E0"/>
    <w:rsid w:val="00C43B04"/>
    <w:rsid w:val="00C43F07"/>
    <w:rsid w:val="00C443EF"/>
    <w:rsid w:val="00C4480A"/>
    <w:rsid w:val="00C448A2"/>
    <w:rsid w:val="00C45317"/>
    <w:rsid w:val="00C459F5"/>
    <w:rsid w:val="00C45DE9"/>
    <w:rsid w:val="00C46A24"/>
    <w:rsid w:val="00C474A4"/>
    <w:rsid w:val="00C47F2F"/>
    <w:rsid w:val="00C50891"/>
    <w:rsid w:val="00C51B1F"/>
    <w:rsid w:val="00C52408"/>
    <w:rsid w:val="00C52D1A"/>
    <w:rsid w:val="00C53B9A"/>
    <w:rsid w:val="00C5495E"/>
    <w:rsid w:val="00C54D73"/>
    <w:rsid w:val="00C57578"/>
    <w:rsid w:val="00C577A0"/>
    <w:rsid w:val="00C57E05"/>
    <w:rsid w:val="00C601CC"/>
    <w:rsid w:val="00C601FC"/>
    <w:rsid w:val="00C6054F"/>
    <w:rsid w:val="00C61538"/>
    <w:rsid w:val="00C624DA"/>
    <w:rsid w:val="00C63F5B"/>
    <w:rsid w:val="00C64915"/>
    <w:rsid w:val="00C64AF0"/>
    <w:rsid w:val="00C66067"/>
    <w:rsid w:val="00C667DF"/>
    <w:rsid w:val="00C712E2"/>
    <w:rsid w:val="00C71B9E"/>
    <w:rsid w:val="00C72425"/>
    <w:rsid w:val="00C741C8"/>
    <w:rsid w:val="00C74CFD"/>
    <w:rsid w:val="00C75B34"/>
    <w:rsid w:val="00C80374"/>
    <w:rsid w:val="00C80C02"/>
    <w:rsid w:val="00C81308"/>
    <w:rsid w:val="00C81395"/>
    <w:rsid w:val="00C819B6"/>
    <w:rsid w:val="00C82C04"/>
    <w:rsid w:val="00C835CA"/>
    <w:rsid w:val="00C837C2"/>
    <w:rsid w:val="00C84948"/>
    <w:rsid w:val="00C84F73"/>
    <w:rsid w:val="00C84F83"/>
    <w:rsid w:val="00C85D77"/>
    <w:rsid w:val="00C868F3"/>
    <w:rsid w:val="00C87428"/>
    <w:rsid w:val="00C87448"/>
    <w:rsid w:val="00C875E5"/>
    <w:rsid w:val="00C879B8"/>
    <w:rsid w:val="00C902E2"/>
    <w:rsid w:val="00C90C9E"/>
    <w:rsid w:val="00C911D2"/>
    <w:rsid w:val="00C92268"/>
    <w:rsid w:val="00C92DD8"/>
    <w:rsid w:val="00C93010"/>
    <w:rsid w:val="00C94E5E"/>
    <w:rsid w:val="00C951D2"/>
    <w:rsid w:val="00C9531D"/>
    <w:rsid w:val="00C964A6"/>
    <w:rsid w:val="00C97185"/>
    <w:rsid w:val="00C97FAF"/>
    <w:rsid w:val="00CA00C5"/>
    <w:rsid w:val="00CA07B9"/>
    <w:rsid w:val="00CA1057"/>
    <w:rsid w:val="00CA1B5B"/>
    <w:rsid w:val="00CA1DDC"/>
    <w:rsid w:val="00CA2417"/>
    <w:rsid w:val="00CA2AD7"/>
    <w:rsid w:val="00CA2D37"/>
    <w:rsid w:val="00CA2FFF"/>
    <w:rsid w:val="00CA31EA"/>
    <w:rsid w:val="00CA35C9"/>
    <w:rsid w:val="00CA3722"/>
    <w:rsid w:val="00CA462B"/>
    <w:rsid w:val="00CA4DA7"/>
    <w:rsid w:val="00CA554B"/>
    <w:rsid w:val="00CA56D4"/>
    <w:rsid w:val="00CA63C1"/>
    <w:rsid w:val="00CA6488"/>
    <w:rsid w:val="00CA653C"/>
    <w:rsid w:val="00CA6B2D"/>
    <w:rsid w:val="00CA731B"/>
    <w:rsid w:val="00CA7571"/>
    <w:rsid w:val="00CB1A2A"/>
    <w:rsid w:val="00CB2E37"/>
    <w:rsid w:val="00CB3588"/>
    <w:rsid w:val="00CB369E"/>
    <w:rsid w:val="00CB4B0E"/>
    <w:rsid w:val="00CB6008"/>
    <w:rsid w:val="00CB681A"/>
    <w:rsid w:val="00CC030F"/>
    <w:rsid w:val="00CC2052"/>
    <w:rsid w:val="00CC2061"/>
    <w:rsid w:val="00CC27EB"/>
    <w:rsid w:val="00CC33D5"/>
    <w:rsid w:val="00CC37C6"/>
    <w:rsid w:val="00CC4C86"/>
    <w:rsid w:val="00CC4E10"/>
    <w:rsid w:val="00CC6149"/>
    <w:rsid w:val="00CC644F"/>
    <w:rsid w:val="00CC65A9"/>
    <w:rsid w:val="00CC7A08"/>
    <w:rsid w:val="00CD04C1"/>
    <w:rsid w:val="00CD0D25"/>
    <w:rsid w:val="00CD0F48"/>
    <w:rsid w:val="00CD1BAA"/>
    <w:rsid w:val="00CD1BE1"/>
    <w:rsid w:val="00CD27D0"/>
    <w:rsid w:val="00CD291C"/>
    <w:rsid w:val="00CD3032"/>
    <w:rsid w:val="00CD33A6"/>
    <w:rsid w:val="00CD3FB6"/>
    <w:rsid w:val="00CD44CB"/>
    <w:rsid w:val="00CD45D5"/>
    <w:rsid w:val="00CD47E0"/>
    <w:rsid w:val="00CD4AD5"/>
    <w:rsid w:val="00CD63FC"/>
    <w:rsid w:val="00CD7A10"/>
    <w:rsid w:val="00CE1C08"/>
    <w:rsid w:val="00CE1EFD"/>
    <w:rsid w:val="00CE208C"/>
    <w:rsid w:val="00CE296C"/>
    <w:rsid w:val="00CE3534"/>
    <w:rsid w:val="00CE3C0C"/>
    <w:rsid w:val="00CE68AA"/>
    <w:rsid w:val="00CE6E13"/>
    <w:rsid w:val="00CE721B"/>
    <w:rsid w:val="00CE7949"/>
    <w:rsid w:val="00CE7D5C"/>
    <w:rsid w:val="00CF0327"/>
    <w:rsid w:val="00CF03DC"/>
    <w:rsid w:val="00CF0FC7"/>
    <w:rsid w:val="00CF15E6"/>
    <w:rsid w:val="00CF1E90"/>
    <w:rsid w:val="00CF2339"/>
    <w:rsid w:val="00CF275C"/>
    <w:rsid w:val="00CF2929"/>
    <w:rsid w:val="00CF333C"/>
    <w:rsid w:val="00CF43E6"/>
    <w:rsid w:val="00CF4AA5"/>
    <w:rsid w:val="00CF57E9"/>
    <w:rsid w:val="00CF6FD1"/>
    <w:rsid w:val="00D0083A"/>
    <w:rsid w:val="00D01213"/>
    <w:rsid w:val="00D0125D"/>
    <w:rsid w:val="00D01A42"/>
    <w:rsid w:val="00D01E46"/>
    <w:rsid w:val="00D01EF1"/>
    <w:rsid w:val="00D05CE2"/>
    <w:rsid w:val="00D0631D"/>
    <w:rsid w:val="00D065AE"/>
    <w:rsid w:val="00D06C3B"/>
    <w:rsid w:val="00D07368"/>
    <w:rsid w:val="00D07E13"/>
    <w:rsid w:val="00D10255"/>
    <w:rsid w:val="00D103ED"/>
    <w:rsid w:val="00D10F68"/>
    <w:rsid w:val="00D111D7"/>
    <w:rsid w:val="00D1121C"/>
    <w:rsid w:val="00D116D8"/>
    <w:rsid w:val="00D11712"/>
    <w:rsid w:val="00D11BB1"/>
    <w:rsid w:val="00D12863"/>
    <w:rsid w:val="00D13536"/>
    <w:rsid w:val="00D14C31"/>
    <w:rsid w:val="00D14C4D"/>
    <w:rsid w:val="00D150B4"/>
    <w:rsid w:val="00D1526E"/>
    <w:rsid w:val="00D15BE7"/>
    <w:rsid w:val="00D16010"/>
    <w:rsid w:val="00D1704F"/>
    <w:rsid w:val="00D17F07"/>
    <w:rsid w:val="00D20724"/>
    <w:rsid w:val="00D20C42"/>
    <w:rsid w:val="00D211FF"/>
    <w:rsid w:val="00D213F1"/>
    <w:rsid w:val="00D21F74"/>
    <w:rsid w:val="00D22684"/>
    <w:rsid w:val="00D22D3E"/>
    <w:rsid w:val="00D23572"/>
    <w:rsid w:val="00D2484B"/>
    <w:rsid w:val="00D2502C"/>
    <w:rsid w:val="00D2515B"/>
    <w:rsid w:val="00D25247"/>
    <w:rsid w:val="00D25B20"/>
    <w:rsid w:val="00D25FE7"/>
    <w:rsid w:val="00D26398"/>
    <w:rsid w:val="00D2664E"/>
    <w:rsid w:val="00D269D3"/>
    <w:rsid w:val="00D3003B"/>
    <w:rsid w:val="00D30627"/>
    <w:rsid w:val="00D3091B"/>
    <w:rsid w:val="00D30D2E"/>
    <w:rsid w:val="00D325A1"/>
    <w:rsid w:val="00D33099"/>
    <w:rsid w:val="00D331B8"/>
    <w:rsid w:val="00D33833"/>
    <w:rsid w:val="00D33A3D"/>
    <w:rsid w:val="00D34398"/>
    <w:rsid w:val="00D3444C"/>
    <w:rsid w:val="00D345EC"/>
    <w:rsid w:val="00D35EAE"/>
    <w:rsid w:val="00D40C8D"/>
    <w:rsid w:val="00D417E0"/>
    <w:rsid w:val="00D42C70"/>
    <w:rsid w:val="00D430AE"/>
    <w:rsid w:val="00D4352C"/>
    <w:rsid w:val="00D44C1E"/>
    <w:rsid w:val="00D44C8B"/>
    <w:rsid w:val="00D4629A"/>
    <w:rsid w:val="00D46A4C"/>
    <w:rsid w:val="00D47B5A"/>
    <w:rsid w:val="00D50CBB"/>
    <w:rsid w:val="00D51B63"/>
    <w:rsid w:val="00D52861"/>
    <w:rsid w:val="00D53692"/>
    <w:rsid w:val="00D538C0"/>
    <w:rsid w:val="00D5578D"/>
    <w:rsid w:val="00D55A85"/>
    <w:rsid w:val="00D55EF6"/>
    <w:rsid w:val="00D56087"/>
    <w:rsid w:val="00D56850"/>
    <w:rsid w:val="00D56DBA"/>
    <w:rsid w:val="00D57798"/>
    <w:rsid w:val="00D601C9"/>
    <w:rsid w:val="00D60992"/>
    <w:rsid w:val="00D60EBC"/>
    <w:rsid w:val="00D60F13"/>
    <w:rsid w:val="00D61242"/>
    <w:rsid w:val="00D612EC"/>
    <w:rsid w:val="00D61B33"/>
    <w:rsid w:val="00D622E6"/>
    <w:rsid w:val="00D62A85"/>
    <w:rsid w:val="00D6391A"/>
    <w:rsid w:val="00D63EE4"/>
    <w:rsid w:val="00D64406"/>
    <w:rsid w:val="00D646F4"/>
    <w:rsid w:val="00D648AD"/>
    <w:rsid w:val="00D64A84"/>
    <w:rsid w:val="00D64F64"/>
    <w:rsid w:val="00D65B06"/>
    <w:rsid w:val="00D65CF8"/>
    <w:rsid w:val="00D66114"/>
    <w:rsid w:val="00D67318"/>
    <w:rsid w:val="00D675CA"/>
    <w:rsid w:val="00D67CB9"/>
    <w:rsid w:val="00D706B9"/>
    <w:rsid w:val="00D70A16"/>
    <w:rsid w:val="00D70CF9"/>
    <w:rsid w:val="00D70FF3"/>
    <w:rsid w:val="00D71B15"/>
    <w:rsid w:val="00D71B78"/>
    <w:rsid w:val="00D728C1"/>
    <w:rsid w:val="00D7469D"/>
    <w:rsid w:val="00D74A7A"/>
    <w:rsid w:val="00D74C31"/>
    <w:rsid w:val="00D75544"/>
    <w:rsid w:val="00D762C5"/>
    <w:rsid w:val="00D771FE"/>
    <w:rsid w:val="00D77761"/>
    <w:rsid w:val="00D77972"/>
    <w:rsid w:val="00D77A4E"/>
    <w:rsid w:val="00D77A77"/>
    <w:rsid w:val="00D80999"/>
    <w:rsid w:val="00D810A2"/>
    <w:rsid w:val="00D81303"/>
    <w:rsid w:val="00D824E5"/>
    <w:rsid w:val="00D82DAD"/>
    <w:rsid w:val="00D832D5"/>
    <w:rsid w:val="00D83934"/>
    <w:rsid w:val="00D83B24"/>
    <w:rsid w:val="00D83E7C"/>
    <w:rsid w:val="00D84ED9"/>
    <w:rsid w:val="00D85A74"/>
    <w:rsid w:val="00D85C0E"/>
    <w:rsid w:val="00D85DB2"/>
    <w:rsid w:val="00D866D8"/>
    <w:rsid w:val="00D90005"/>
    <w:rsid w:val="00D90073"/>
    <w:rsid w:val="00D909FF"/>
    <w:rsid w:val="00D90A9D"/>
    <w:rsid w:val="00D90FF0"/>
    <w:rsid w:val="00D91324"/>
    <w:rsid w:val="00D9162C"/>
    <w:rsid w:val="00D92035"/>
    <w:rsid w:val="00D932B5"/>
    <w:rsid w:val="00D93514"/>
    <w:rsid w:val="00D939BD"/>
    <w:rsid w:val="00D94A1D"/>
    <w:rsid w:val="00D94D03"/>
    <w:rsid w:val="00D94F73"/>
    <w:rsid w:val="00D9513A"/>
    <w:rsid w:val="00D951FC"/>
    <w:rsid w:val="00D96763"/>
    <w:rsid w:val="00D974B4"/>
    <w:rsid w:val="00D97A51"/>
    <w:rsid w:val="00D97DA5"/>
    <w:rsid w:val="00DA07D9"/>
    <w:rsid w:val="00DA0BDB"/>
    <w:rsid w:val="00DA1790"/>
    <w:rsid w:val="00DA18B1"/>
    <w:rsid w:val="00DA1D7D"/>
    <w:rsid w:val="00DA2958"/>
    <w:rsid w:val="00DA29E5"/>
    <w:rsid w:val="00DA2E41"/>
    <w:rsid w:val="00DA4AA4"/>
    <w:rsid w:val="00DA5C9C"/>
    <w:rsid w:val="00DA5DCC"/>
    <w:rsid w:val="00DA6A81"/>
    <w:rsid w:val="00DA6CFD"/>
    <w:rsid w:val="00DA7213"/>
    <w:rsid w:val="00DA7290"/>
    <w:rsid w:val="00DA7E23"/>
    <w:rsid w:val="00DB0081"/>
    <w:rsid w:val="00DB0372"/>
    <w:rsid w:val="00DB0DA4"/>
    <w:rsid w:val="00DB0E16"/>
    <w:rsid w:val="00DB1B86"/>
    <w:rsid w:val="00DB24FD"/>
    <w:rsid w:val="00DB268E"/>
    <w:rsid w:val="00DB363F"/>
    <w:rsid w:val="00DB37E1"/>
    <w:rsid w:val="00DB3864"/>
    <w:rsid w:val="00DB3FFA"/>
    <w:rsid w:val="00DB41C7"/>
    <w:rsid w:val="00DB452E"/>
    <w:rsid w:val="00DB4BE9"/>
    <w:rsid w:val="00DB55A9"/>
    <w:rsid w:val="00DB5CDF"/>
    <w:rsid w:val="00DB5D2C"/>
    <w:rsid w:val="00DB5E78"/>
    <w:rsid w:val="00DB6787"/>
    <w:rsid w:val="00DB74F2"/>
    <w:rsid w:val="00DB7A8B"/>
    <w:rsid w:val="00DB7D91"/>
    <w:rsid w:val="00DC05A9"/>
    <w:rsid w:val="00DC0EE6"/>
    <w:rsid w:val="00DC1026"/>
    <w:rsid w:val="00DC123D"/>
    <w:rsid w:val="00DC1D1A"/>
    <w:rsid w:val="00DC3026"/>
    <w:rsid w:val="00DC34B3"/>
    <w:rsid w:val="00DC368F"/>
    <w:rsid w:val="00DC3B4C"/>
    <w:rsid w:val="00DC46D2"/>
    <w:rsid w:val="00DC5B8F"/>
    <w:rsid w:val="00DC6AE8"/>
    <w:rsid w:val="00DD02BA"/>
    <w:rsid w:val="00DD0484"/>
    <w:rsid w:val="00DD119B"/>
    <w:rsid w:val="00DD29DC"/>
    <w:rsid w:val="00DD31B7"/>
    <w:rsid w:val="00DD3206"/>
    <w:rsid w:val="00DD4446"/>
    <w:rsid w:val="00DD4A3F"/>
    <w:rsid w:val="00DD4E43"/>
    <w:rsid w:val="00DD5885"/>
    <w:rsid w:val="00DD5E13"/>
    <w:rsid w:val="00DD672E"/>
    <w:rsid w:val="00DD6FCC"/>
    <w:rsid w:val="00DD71E9"/>
    <w:rsid w:val="00DE0072"/>
    <w:rsid w:val="00DE05F5"/>
    <w:rsid w:val="00DE0E4D"/>
    <w:rsid w:val="00DE26DB"/>
    <w:rsid w:val="00DE27BF"/>
    <w:rsid w:val="00DE27FC"/>
    <w:rsid w:val="00DE2BAE"/>
    <w:rsid w:val="00DE3BD2"/>
    <w:rsid w:val="00DE4046"/>
    <w:rsid w:val="00DE4103"/>
    <w:rsid w:val="00DE424D"/>
    <w:rsid w:val="00DE4F69"/>
    <w:rsid w:val="00DE5290"/>
    <w:rsid w:val="00DE65F2"/>
    <w:rsid w:val="00DE6F47"/>
    <w:rsid w:val="00DE7484"/>
    <w:rsid w:val="00DE75D9"/>
    <w:rsid w:val="00DE79A1"/>
    <w:rsid w:val="00DE7C8E"/>
    <w:rsid w:val="00DE7F01"/>
    <w:rsid w:val="00DF1314"/>
    <w:rsid w:val="00DF160B"/>
    <w:rsid w:val="00DF19E2"/>
    <w:rsid w:val="00DF3837"/>
    <w:rsid w:val="00E01AD8"/>
    <w:rsid w:val="00E0226B"/>
    <w:rsid w:val="00E031C0"/>
    <w:rsid w:val="00E04CCE"/>
    <w:rsid w:val="00E04F53"/>
    <w:rsid w:val="00E05556"/>
    <w:rsid w:val="00E06015"/>
    <w:rsid w:val="00E10105"/>
    <w:rsid w:val="00E10117"/>
    <w:rsid w:val="00E10A77"/>
    <w:rsid w:val="00E10B53"/>
    <w:rsid w:val="00E11036"/>
    <w:rsid w:val="00E117E2"/>
    <w:rsid w:val="00E118B5"/>
    <w:rsid w:val="00E118CE"/>
    <w:rsid w:val="00E1268F"/>
    <w:rsid w:val="00E12ED5"/>
    <w:rsid w:val="00E13056"/>
    <w:rsid w:val="00E13333"/>
    <w:rsid w:val="00E133DA"/>
    <w:rsid w:val="00E133F2"/>
    <w:rsid w:val="00E135F8"/>
    <w:rsid w:val="00E14A8B"/>
    <w:rsid w:val="00E14B41"/>
    <w:rsid w:val="00E1595D"/>
    <w:rsid w:val="00E15B94"/>
    <w:rsid w:val="00E16228"/>
    <w:rsid w:val="00E16617"/>
    <w:rsid w:val="00E17241"/>
    <w:rsid w:val="00E17F07"/>
    <w:rsid w:val="00E2023E"/>
    <w:rsid w:val="00E204C4"/>
    <w:rsid w:val="00E21072"/>
    <w:rsid w:val="00E21231"/>
    <w:rsid w:val="00E213BD"/>
    <w:rsid w:val="00E218EA"/>
    <w:rsid w:val="00E21A2C"/>
    <w:rsid w:val="00E21CB0"/>
    <w:rsid w:val="00E22E68"/>
    <w:rsid w:val="00E242B9"/>
    <w:rsid w:val="00E25053"/>
    <w:rsid w:val="00E256DA"/>
    <w:rsid w:val="00E25C58"/>
    <w:rsid w:val="00E263E2"/>
    <w:rsid w:val="00E276A4"/>
    <w:rsid w:val="00E2793D"/>
    <w:rsid w:val="00E27D45"/>
    <w:rsid w:val="00E30017"/>
    <w:rsid w:val="00E30229"/>
    <w:rsid w:val="00E3076A"/>
    <w:rsid w:val="00E308FD"/>
    <w:rsid w:val="00E31632"/>
    <w:rsid w:val="00E31686"/>
    <w:rsid w:val="00E31A7E"/>
    <w:rsid w:val="00E33A4D"/>
    <w:rsid w:val="00E3498B"/>
    <w:rsid w:val="00E35F1A"/>
    <w:rsid w:val="00E37076"/>
    <w:rsid w:val="00E374AF"/>
    <w:rsid w:val="00E37887"/>
    <w:rsid w:val="00E37BA8"/>
    <w:rsid w:val="00E40569"/>
    <w:rsid w:val="00E40A69"/>
    <w:rsid w:val="00E414E7"/>
    <w:rsid w:val="00E41D84"/>
    <w:rsid w:val="00E43EB7"/>
    <w:rsid w:val="00E4402B"/>
    <w:rsid w:val="00E44A2E"/>
    <w:rsid w:val="00E44F33"/>
    <w:rsid w:val="00E4504A"/>
    <w:rsid w:val="00E4649C"/>
    <w:rsid w:val="00E47038"/>
    <w:rsid w:val="00E473D1"/>
    <w:rsid w:val="00E477AA"/>
    <w:rsid w:val="00E50149"/>
    <w:rsid w:val="00E51582"/>
    <w:rsid w:val="00E5398A"/>
    <w:rsid w:val="00E53EAB"/>
    <w:rsid w:val="00E54F52"/>
    <w:rsid w:val="00E558A9"/>
    <w:rsid w:val="00E56BF8"/>
    <w:rsid w:val="00E56EAD"/>
    <w:rsid w:val="00E5750E"/>
    <w:rsid w:val="00E57F0A"/>
    <w:rsid w:val="00E604DE"/>
    <w:rsid w:val="00E60DA9"/>
    <w:rsid w:val="00E617CA"/>
    <w:rsid w:val="00E622CC"/>
    <w:rsid w:val="00E62757"/>
    <w:rsid w:val="00E6318E"/>
    <w:rsid w:val="00E6361B"/>
    <w:rsid w:val="00E63F14"/>
    <w:rsid w:val="00E64592"/>
    <w:rsid w:val="00E661C3"/>
    <w:rsid w:val="00E66532"/>
    <w:rsid w:val="00E66742"/>
    <w:rsid w:val="00E669BC"/>
    <w:rsid w:val="00E66AAE"/>
    <w:rsid w:val="00E71DD7"/>
    <w:rsid w:val="00E71F2B"/>
    <w:rsid w:val="00E72318"/>
    <w:rsid w:val="00E7249D"/>
    <w:rsid w:val="00E72833"/>
    <w:rsid w:val="00E72F9F"/>
    <w:rsid w:val="00E73A9B"/>
    <w:rsid w:val="00E73B2F"/>
    <w:rsid w:val="00E745D6"/>
    <w:rsid w:val="00E7484D"/>
    <w:rsid w:val="00E74942"/>
    <w:rsid w:val="00E74AE3"/>
    <w:rsid w:val="00E74FCC"/>
    <w:rsid w:val="00E757A4"/>
    <w:rsid w:val="00E75CF3"/>
    <w:rsid w:val="00E75EDC"/>
    <w:rsid w:val="00E76188"/>
    <w:rsid w:val="00E7637D"/>
    <w:rsid w:val="00E77783"/>
    <w:rsid w:val="00E802D3"/>
    <w:rsid w:val="00E80854"/>
    <w:rsid w:val="00E81235"/>
    <w:rsid w:val="00E81A19"/>
    <w:rsid w:val="00E82651"/>
    <w:rsid w:val="00E82986"/>
    <w:rsid w:val="00E8355E"/>
    <w:rsid w:val="00E84CBF"/>
    <w:rsid w:val="00E86018"/>
    <w:rsid w:val="00E86146"/>
    <w:rsid w:val="00E86272"/>
    <w:rsid w:val="00E8638E"/>
    <w:rsid w:val="00E86611"/>
    <w:rsid w:val="00E86B3F"/>
    <w:rsid w:val="00E879EB"/>
    <w:rsid w:val="00E87E1E"/>
    <w:rsid w:val="00E903EB"/>
    <w:rsid w:val="00E90AA5"/>
    <w:rsid w:val="00E90F38"/>
    <w:rsid w:val="00E9144F"/>
    <w:rsid w:val="00E93AAC"/>
    <w:rsid w:val="00E94F81"/>
    <w:rsid w:val="00E96285"/>
    <w:rsid w:val="00EA13F2"/>
    <w:rsid w:val="00EA1BD0"/>
    <w:rsid w:val="00EA2DD5"/>
    <w:rsid w:val="00EA59DF"/>
    <w:rsid w:val="00EA62AF"/>
    <w:rsid w:val="00EA680B"/>
    <w:rsid w:val="00EA6B7D"/>
    <w:rsid w:val="00EB0510"/>
    <w:rsid w:val="00EB1FAA"/>
    <w:rsid w:val="00EB2872"/>
    <w:rsid w:val="00EB30BB"/>
    <w:rsid w:val="00EB3590"/>
    <w:rsid w:val="00EB3B3C"/>
    <w:rsid w:val="00EB4211"/>
    <w:rsid w:val="00EB4260"/>
    <w:rsid w:val="00EB4482"/>
    <w:rsid w:val="00EB44FA"/>
    <w:rsid w:val="00EB48A5"/>
    <w:rsid w:val="00EB4EBB"/>
    <w:rsid w:val="00EB54D3"/>
    <w:rsid w:val="00EB63A5"/>
    <w:rsid w:val="00EB6922"/>
    <w:rsid w:val="00EB78E4"/>
    <w:rsid w:val="00EB7D19"/>
    <w:rsid w:val="00EC03E5"/>
    <w:rsid w:val="00EC051C"/>
    <w:rsid w:val="00EC114E"/>
    <w:rsid w:val="00EC1192"/>
    <w:rsid w:val="00EC2F97"/>
    <w:rsid w:val="00EC3BDF"/>
    <w:rsid w:val="00EC42B1"/>
    <w:rsid w:val="00EC435D"/>
    <w:rsid w:val="00EC4374"/>
    <w:rsid w:val="00EC44A3"/>
    <w:rsid w:val="00EC47BC"/>
    <w:rsid w:val="00EC55C2"/>
    <w:rsid w:val="00EC59A8"/>
    <w:rsid w:val="00EC5ACC"/>
    <w:rsid w:val="00EC5F0D"/>
    <w:rsid w:val="00EC5FD8"/>
    <w:rsid w:val="00EC7534"/>
    <w:rsid w:val="00EC78CF"/>
    <w:rsid w:val="00EC7F70"/>
    <w:rsid w:val="00ED054F"/>
    <w:rsid w:val="00ED0DCE"/>
    <w:rsid w:val="00ED1736"/>
    <w:rsid w:val="00ED1C72"/>
    <w:rsid w:val="00ED1CA6"/>
    <w:rsid w:val="00ED26C9"/>
    <w:rsid w:val="00ED338D"/>
    <w:rsid w:val="00ED527A"/>
    <w:rsid w:val="00ED5F24"/>
    <w:rsid w:val="00ED64A3"/>
    <w:rsid w:val="00ED65D2"/>
    <w:rsid w:val="00ED6B2C"/>
    <w:rsid w:val="00ED7003"/>
    <w:rsid w:val="00ED7033"/>
    <w:rsid w:val="00ED7072"/>
    <w:rsid w:val="00ED7A42"/>
    <w:rsid w:val="00EE0DA6"/>
    <w:rsid w:val="00EE119B"/>
    <w:rsid w:val="00EE1EB6"/>
    <w:rsid w:val="00EE2953"/>
    <w:rsid w:val="00EE3412"/>
    <w:rsid w:val="00EE618B"/>
    <w:rsid w:val="00EE633E"/>
    <w:rsid w:val="00EE6764"/>
    <w:rsid w:val="00EE719D"/>
    <w:rsid w:val="00EE7412"/>
    <w:rsid w:val="00EE75C1"/>
    <w:rsid w:val="00EE795E"/>
    <w:rsid w:val="00EF08F4"/>
    <w:rsid w:val="00EF0F24"/>
    <w:rsid w:val="00EF110C"/>
    <w:rsid w:val="00EF1898"/>
    <w:rsid w:val="00EF2B2C"/>
    <w:rsid w:val="00EF373B"/>
    <w:rsid w:val="00EF4215"/>
    <w:rsid w:val="00EF42FF"/>
    <w:rsid w:val="00EF52A3"/>
    <w:rsid w:val="00EF56DB"/>
    <w:rsid w:val="00EF5D72"/>
    <w:rsid w:val="00EF6573"/>
    <w:rsid w:val="00EF7B08"/>
    <w:rsid w:val="00EF7C2B"/>
    <w:rsid w:val="00EF7CB9"/>
    <w:rsid w:val="00F00666"/>
    <w:rsid w:val="00F00B10"/>
    <w:rsid w:val="00F01BA0"/>
    <w:rsid w:val="00F01FE7"/>
    <w:rsid w:val="00F02052"/>
    <w:rsid w:val="00F022AB"/>
    <w:rsid w:val="00F027D6"/>
    <w:rsid w:val="00F029DB"/>
    <w:rsid w:val="00F02D54"/>
    <w:rsid w:val="00F0324E"/>
    <w:rsid w:val="00F0457F"/>
    <w:rsid w:val="00F04780"/>
    <w:rsid w:val="00F047A9"/>
    <w:rsid w:val="00F047DC"/>
    <w:rsid w:val="00F04935"/>
    <w:rsid w:val="00F05140"/>
    <w:rsid w:val="00F054AD"/>
    <w:rsid w:val="00F05A6B"/>
    <w:rsid w:val="00F05E60"/>
    <w:rsid w:val="00F06132"/>
    <w:rsid w:val="00F074F3"/>
    <w:rsid w:val="00F07FA4"/>
    <w:rsid w:val="00F10243"/>
    <w:rsid w:val="00F1052B"/>
    <w:rsid w:val="00F10DB5"/>
    <w:rsid w:val="00F130D1"/>
    <w:rsid w:val="00F1377D"/>
    <w:rsid w:val="00F14582"/>
    <w:rsid w:val="00F15831"/>
    <w:rsid w:val="00F15A6C"/>
    <w:rsid w:val="00F16769"/>
    <w:rsid w:val="00F16882"/>
    <w:rsid w:val="00F16DF1"/>
    <w:rsid w:val="00F178D4"/>
    <w:rsid w:val="00F17F0A"/>
    <w:rsid w:val="00F17F88"/>
    <w:rsid w:val="00F217E2"/>
    <w:rsid w:val="00F218C3"/>
    <w:rsid w:val="00F21F57"/>
    <w:rsid w:val="00F2237A"/>
    <w:rsid w:val="00F22EFF"/>
    <w:rsid w:val="00F22F77"/>
    <w:rsid w:val="00F2455C"/>
    <w:rsid w:val="00F24930"/>
    <w:rsid w:val="00F25180"/>
    <w:rsid w:val="00F25192"/>
    <w:rsid w:val="00F25CA8"/>
    <w:rsid w:val="00F26B94"/>
    <w:rsid w:val="00F27C50"/>
    <w:rsid w:val="00F27D11"/>
    <w:rsid w:val="00F30063"/>
    <w:rsid w:val="00F30464"/>
    <w:rsid w:val="00F307E2"/>
    <w:rsid w:val="00F31393"/>
    <w:rsid w:val="00F32CDF"/>
    <w:rsid w:val="00F331AF"/>
    <w:rsid w:val="00F3385C"/>
    <w:rsid w:val="00F35661"/>
    <w:rsid w:val="00F35915"/>
    <w:rsid w:val="00F35B56"/>
    <w:rsid w:val="00F3600A"/>
    <w:rsid w:val="00F369AB"/>
    <w:rsid w:val="00F405CD"/>
    <w:rsid w:val="00F40B72"/>
    <w:rsid w:val="00F4174A"/>
    <w:rsid w:val="00F41FA1"/>
    <w:rsid w:val="00F42941"/>
    <w:rsid w:val="00F42A3D"/>
    <w:rsid w:val="00F42EFC"/>
    <w:rsid w:val="00F43AC3"/>
    <w:rsid w:val="00F43DB5"/>
    <w:rsid w:val="00F443C6"/>
    <w:rsid w:val="00F44C15"/>
    <w:rsid w:val="00F458FA"/>
    <w:rsid w:val="00F45D4A"/>
    <w:rsid w:val="00F46085"/>
    <w:rsid w:val="00F463F0"/>
    <w:rsid w:val="00F46B37"/>
    <w:rsid w:val="00F46E5D"/>
    <w:rsid w:val="00F47ECA"/>
    <w:rsid w:val="00F50B57"/>
    <w:rsid w:val="00F50CD3"/>
    <w:rsid w:val="00F53780"/>
    <w:rsid w:val="00F542F0"/>
    <w:rsid w:val="00F54A7C"/>
    <w:rsid w:val="00F54E9C"/>
    <w:rsid w:val="00F54ECD"/>
    <w:rsid w:val="00F55069"/>
    <w:rsid w:val="00F55458"/>
    <w:rsid w:val="00F55743"/>
    <w:rsid w:val="00F55ADA"/>
    <w:rsid w:val="00F55B35"/>
    <w:rsid w:val="00F5672F"/>
    <w:rsid w:val="00F56D8B"/>
    <w:rsid w:val="00F57615"/>
    <w:rsid w:val="00F60236"/>
    <w:rsid w:val="00F60C4A"/>
    <w:rsid w:val="00F629FF"/>
    <w:rsid w:val="00F63810"/>
    <w:rsid w:val="00F63BB3"/>
    <w:rsid w:val="00F64583"/>
    <w:rsid w:val="00F64CE5"/>
    <w:rsid w:val="00F65745"/>
    <w:rsid w:val="00F658EE"/>
    <w:rsid w:val="00F65E29"/>
    <w:rsid w:val="00F6631C"/>
    <w:rsid w:val="00F6650D"/>
    <w:rsid w:val="00F66EBA"/>
    <w:rsid w:val="00F67845"/>
    <w:rsid w:val="00F7000F"/>
    <w:rsid w:val="00F7083F"/>
    <w:rsid w:val="00F73458"/>
    <w:rsid w:val="00F74290"/>
    <w:rsid w:val="00F756C1"/>
    <w:rsid w:val="00F758B3"/>
    <w:rsid w:val="00F75982"/>
    <w:rsid w:val="00F76092"/>
    <w:rsid w:val="00F76A8F"/>
    <w:rsid w:val="00F76D89"/>
    <w:rsid w:val="00F76FA7"/>
    <w:rsid w:val="00F80828"/>
    <w:rsid w:val="00F8149C"/>
    <w:rsid w:val="00F83066"/>
    <w:rsid w:val="00F8388B"/>
    <w:rsid w:val="00F858AA"/>
    <w:rsid w:val="00F85CDF"/>
    <w:rsid w:val="00F85ED6"/>
    <w:rsid w:val="00F86A81"/>
    <w:rsid w:val="00F87200"/>
    <w:rsid w:val="00F873B3"/>
    <w:rsid w:val="00F87C71"/>
    <w:rsid w:val="00F900EA"/>
    <w:rsid w:val="00F9034E"/>
    <w:rsid w:val="00F90D8C"/>
    <w:rsid w:val="00F915C1"/>
    <w:rsid w:val="00F917B6"/>
    <w:rsid w:val="00F91DC7"/>
    <w:rsid w:val="00F91F20"/>
    <w:rsid w:val="00F91FC4"/>
    <w:rsid w:val="00F922A1"/>
    <w:rsid w:val="00F92397"/>
    <w:rsid w:val="00F92755"/>
    <w:rsid w:val="00F92824"/>
    <w:rsid w:val="00F92C8F"/>
    <w:rsid w:val="00F92FE3"/>
    <w:rsid w:val="00F93201"/>
    <w:rsid w:val="00F937F4"/>
    <w:rsid w:val="00F93E8E"/>
    <w:rsid w:val="00F93E90"/>
    <w:rsid w:val="00F95484"/>
    <w:rsid w:val="00F956C0"/>
    <w:rsid w:val="00F95E89"/>
    <w:rsid w:val="00F9642B"/>
    <w:rsid w:val="00F97297"/>
    <w:rsid w:val="00FA0134"/>
    <w:rsid w:val="00FA0B0A"/>
    <w:rsid w:val="00FA0BB7"/>
    <w:rsid w:val="00FA0D6E"/>
    <w:rsid w:val="00FA1772"/>
    <w:rsid w:val="00FA1BE1"/>
    <w:rsid w:val="00FA27DD"/>
    <w:rsid w:val="00FA35EC"/>
    <w:rsid w:val="00FA3ACA"/>
    <w:rsid w:val="00FA3CD7"/>
    <w:rsid w:val="00FA5AA9"/>
    <w:rsid w:val="00FA5FE8"/>
    <w:rsid w:val="00FA6058"/>
    <w:rsid w:val="00FA6E6B"/>
    <w:rsid w:val="00FA78C1"/>
    <w:rsid w:val="00FB0632"/>
    <w:rsid w:val="00FB08A9"/>
    <w:rsid w:val="00FB0B76"/>
    <w:rsid w:val="00FB1022"/>
    <w:rsid w:val="00FB11D8"/>
    <w:rsid w:val="00FB1391"/>
    <w:rsid w:val="00FB15B8"/>
    <w:rsid w:val="00FB1935"/>
    <w:rsid w:val="00FB1A03"/>
    <w:rsid w:val="00FB1E7A"/>
    <w:rsid w:val="00FB2728"/>
    <w:rsid w:val="00FB2F02"/>
    <w:rsid w:val="00FB3B1F"/>
    <w:rsid w:val="00FB3D38"/>
    <w:rsid w:val="00FB5E75"/>
    <w:rsid w:val="00FB6267"/>
    <w:rsid w:val="00FB7C74"/>
    <w:rsid w:val="00FC27DF"/>
    <w:rsid w:val="00FC27F6"/>
    <w:rsid w:val="00FC38FD"/>
    <w:rsid w:val="00FC3FE8"/>
    <w:rsid w:val="00FC45CF"/>
    <w:rsid w:val="00FC5750"/>
    <w:rsid w:val="00FC6253"/>
    <w:rsid w:val="00FC6A39"/>
    <w:rsid w:val="00FD0B33"/>
    <w:rsid w:val="00FD0F3C"/>
    <w:rsid w:val="00FD11FB"/>
    <w:rsid w:val="00FD142C"/>
    <w:rsid w:val="00FD2487"/>
    <w:rsid w:val="00FD3FAE"/>
    <w:rsid w:val="00FD428C"/>
    <w:rsid w:val="00FD5FAA"/>
    <w:rsid w:val="00FD72D6"/>
    <w:rsid w:val="00FD7918"/>
    <w:rsid w:val="00FD7AA4"/>
    <w:rsid w:val="00FE2181"/>
    <w:rsid w:val="00FE2817"/>
    <w:rsid w:val="00FE521F"/>
    <w:rsid w:val="00FE62DF"/>
    <w:rsid w:val="00FF0822"/>
    <w:rsid w:val="00FF10E3"/>
    <w:rsid w:val="00FF197A"/>
    <w:rsid w:val="00FF318D"/>
    <w:rsid w:val="00FF31E3"/>
    <w:rsid w:val="00FF31F0"/>
    <w:rsid w:val="00FF3865"/>
    <w:rsid w:val="00FF391A"/>
    <w:rsid w:val="00FF3BE2"/>
    <w:rsid w:val="00FF3FB1"/>
    <w:rsid w:val="00FF5126"/>
    <w:rsid w:val="00FF524C"/>
    <w:rsid w:val="00FF5307"/>
    <w:rsid w:val="00FF5993"/>
    <w:rsid w:val="00FF61B2"/>
    <w:rsid w:val="00FF61FD"/>
    <w:rsid w:val="00FF668A"/>
    <w:rsid w:val="00FF6795"/>
    <w:rsid w:val="00FF6C60"/>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49E16"/>
  <w15:docId w15:val="{96F23166-5F16-584B-BB9D-D2D1A498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5047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50475"/>
    <w:rPr>
      <w:rFonts w:ascii="Calibri" w:hAnsi="Calibri" w:cs="Calibri"/>
      <w:noProof/>
      <w:lang w:val="en-US"/>
    </w:rPr>
  </w:style>
  <w:style w:type="paragraph" w:customStyle="1" w:styleId="EndNoteBibliography">
    <w:name w:val="EndNote Bibliography"/>
    <w:basedOn w:val="Normal"/>
    <w:link w:val="EndNoteBibliographyChar"/>
    <w:rsid w:val="00A5047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50475"/>
    <w:rPr>
      <w:rFonts w:ascii="Calibri" w:hAnsi="Calibri" w:cs="Calibri"/>
      <w:noProof/>
      <w:lang w:val="en-US"/>
    </w:rPr>
  </w:style>
  <w:style w:type="character" w:styleId="Hyperlink">
    <w:name w:val="Hyperlink"/>
    <w:basedOn w:val="DefaultParagraphFont"/>
    <w:uiPriority w:val="99"/>
    <w:unhideWhenUsed/>
    <w:rsid w:val="003A21C1"/>
    <w:rPr>
      <w:color w:val="0000FF"/>
      <w:u w:val="single"/>
    </w:rPr>
  </w:style>
  <w:style w:type="character" w:customStyle="1" w:styleId="UnresolvedMention1">
    <w:name w:val="Unresolved Mention1"/>
    <w:basedOn w:val="DefaultParagraphFont"/>
    <w:uiPriority w:val="99"/>
    <w:semiHidden/>
    <w:unhideWhenUsed/>
    <w:rsid w:val="004B0B03"/>
    <w:rPr>
      <w:color w:val="605E5C"/>
      <w:shd w:val="clear" w:color="auto" w:fill="E1DFDD"/>
    </w:rPr>
  </w:style>
  <w:style w:type="paragraph" w:styleId="ListParagraph">
    <w:name w:val="List Paragraph"/>
    <w:basedOn w:val="Normal"/>
    <w:uiPriority w:val="34"/>
    <w:qFormat/>
    <w:rsid w:val="009D65F7"/>
    <w:pPr>
      <w:ind w:left="720"/>
      <w:contextualSpacing/>
    </w:pPr>
  </w:style>
  <w:style w:type="paragraph" w:styleId="Header">
    <w:name w:val="header"/>
    <w:basedOn w:val="Normal"/>
    <w:link w:val="HeaderChar"/>
    <w:uiPriority w:val="99"/>
    <w:unhideWhenUsed/>
    <w:rsid w:val="005E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47"/>
  </w:style>
  <w:style w:type="paragraph" w:styleId="Footer">
    <w:name w:val="footer"/>
    <w:basedOn w:val="Normal"/>
    <w:link w:val="FooterChar"/>
    <w:uiPriority w:val="99"/>
    <w:unhideWhenUsed/>
    <w:rsid w:val="005E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47"/>
  </w:style>
  <w:style w:type="paragraph" w:customStyle="1" w:styleId="Pa11">
    <w:name w:val="Pa11"/>
    <w:basedOn w:val="Normal"/>
    <w:next w:val="Normal"/>
    <w:uiPriority w:val="99"/>
    <w:rsid w:val="001F2E22"/>
    <w:pPr>
      <w:autoSpaceDE w:val="0"/>
      <w:autoSpaceDN w:val="0"/>
      <w:adjustRightInd w:val="0"/>
      <w:spacing w:after="0" w:line="189" w:lineRule="atLeast"/>
    </w:pPr>
    <w:rPr>
      <w:rFonts w:ascii="ArcherPro Bold" w:hAnsi="ArcherPro Bold"/>
      <w:sz w:val="24"/>
      <w:szCs w:val="24"/>
    </w:rPr>
  </w:style>
  <w:style w:type="paragraph" w:customStyle="1" w:styleId="Pa13">
    <w:name w:val="Pa13"/>
    <w:basedOn w:val="Normal"/>
    <w:next w:val="Normal"/>
    <w:uiPriority w:val="99"/>
    <w:rsid w:val="001F2E22"/>
    <w:pPr>
      <w:autoSpaceDE w:val="0"/>
      <w:autoSpaceDN w:val="0"/>
      <w:adjustRightInd w:val="0"/>
      <w:spacing w:after="0" w:line="189" w:lineRule="atLeast"/>
    </w:pPr>
    <w:rPr>
      <w:rFonts w:ascii="ArcherPro Bold" w:hAnsi="ArcherPro Bold"/>
      <w:sz w:val="24"/>
      <w:szCs w:val="24"/>
    </w:rPr>
  </w:style>
  <w:style w:type="character" w:styleId="CommentReference">
    <w:name w:val="annotation reference"/>
    <w:basedOn w:val="DefaultParagraphFont"/>
    <w:uiPriority w:val="99"/>
    <w:semiHidden/>
    <w:unhideWhenUsed/>
    <w:rsid w:val="00A87242"/>
    <w:rPr>
      <w:sz w:val="16"/>
      <w:szCs w:val="16"/>
    </w:rPr>
  </w:style>
  <w:style w:type="paragraph" w:styleId="CommentText">
    <w:name w:val="annotation text"/>
    <w:basedOn w:val="Normal"/>
    <w:link w:val="CommentTextChar"/>
    <w:uiPriority w:val="99"/>
    <w:unhideWhenUsed/>
    <w:rsid w:val="00A87242"/>
    <w:pPr>
      <w:spacing w:line="240" w:lineRule="auto"/>
    </w:pPr>
    <w:rPr>
      <w:sz w:val="20"/>
      <w:szCs w:val="20"/>
    </w:rPr>
  </w:style>
  <w:style w:type="character" w:customStyle="1" w:styleId="CommentTextChar">
    <w:name w:val="Comment Text Char"/>
    <w:basedOn w:val="DefaultParagraphFont"/>
    <w:link w:val="CommentText"/>
    <w:uiPriority w:val="99"/>
    <w:rsid w:val="00A87242"/>
    <w:rPr>
      <w:sz w:val="20"/>
      <w:szCs w:val="20"/>
    </w:rPr>
  </w:style>
  <w:style w:type="paragraph" w:styleId="CommentSubject">
    <w:name w:val="annotation subject"/>
    <w:basedOn w:val="CommentText"/>
    <w:next w:val="CommentText"/>
    <w:link w:val="CommentSubjectChar"/>
    <w:uiPriority w:val="99"/>
    <w:semiHidden/>
    <w:unhideWhenUsed/>
    <w:rsid w:val="00A87242"/>
    <w:rPr>
      <w:b/>
      <w:bCs/>
    </w:rPr>
  </w:style>
  <w:style w:type="character" w:customStyle="1" w:styleId="CommentSubjectChar">
    <w:name w:val="Comment Subject Char"/>
    <w:basedOn w:val="CommentTextChar"/>
    <w:link w:val="CommentSubject"/>
    <w:uiPriority w:val="99"/>
    <w:semiHidden/>
    <w:rsid w:val="00A87242"/>
    <w:rPr>
      <w:b/>
      <w:bCs/>
      <w:sz w:val="20"/>
      <w:szCs w:val="20"/>
    </w:rPr>
  </w:style>
  <w:style w:type="paragraph" w:styleId="BalloonText">
    <w:name w:val="Balloon Text"/>
    <w:basedOn w:val="Normal"/>
    <w:link w:val="BalloonTextChar"/>
    <w:uiPriority w:val="99"/>
    <w:semiHidden/>
    <w:unhideWhenUsed/>
    <w:rsid w:val="00A87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42"/>
    <w:rPr>
      <w:rFonts w:ascii="Segoe UI" w:hAnsi="Segoe UI" w:cs="Segoe UI"/>
      <w:sz w:val="18"/>
      <w:szCs w:val="18"/>
    </w:rPr>
  </w:style>
  <w:style w:type="paragraph" w:customStyle="1" w:styleId="Normal0">
    <w:name w:val="[Normal]"/>
    <w:rsid w:val="00ED0DCE"/>
    <w:pPr>
      <w:widowControl w:val="0"/>
      <w:autoSpaceDE w:val="0"/>
      <w:autoSpaceDN w:val="0"/>
      <w:adjustRightInd w:val="0"/>
      <w:spacing w:after="0" w:line="240" w:lineRule="auto"/>
    </w:pPr>
    <w:rPr>
      <w:rFonts w:ascii="Arial" w:hAnsi="Arial" w:cs="Arial"/>
      <w:sz w:val="24"/>
      <w:szCs w:val="24"/>
    </w:rPr>
  </w:style>
  <w:style w:type="paragraph" w:styleId="Revision">
    <w:name w:val="Revision"/>
    <w:hidden/>
    <w:uiPriority w:val="99"/>
    <w:semiHidden/>
    <w:rsid w:val="00320E32"/>
    <w:pPr>
      <w:spacing w:after="0" w:line="240" w:lineRule="auto"/>
    </w:pPr>
  </w:style>
  <w:style w:type="character" w:styleId="FollowedHyperlink">
    <w:name w:val="FollowedHyperlink"/>
    <w:basedOn w:val="DefaultParagraphFont"/>
    <w:uiPriority w:val="99"/>
    <w:semiHidden/>
    <w:unhideWhenUsed/>
    <w:rsid w:val="00F937F4"/>
    <w:rPr>
      <w:color w:val="954F72" w:themeColor="followedHyperlink"/>
      <w:u w:val="single"/>
    </w:rPr>
  </w:style>
  <w:style w:type="character" w:customStyle="1" w:styleId="UnresolvedMention2">
    <w:name w:val="Unresolved Mention2"/>
    <w:basedOn w:val="DefaultParagraphFont"/>
    <w:uiPriority w:val="99"/>
    <w:semiHidden/>
    <w:unhideWhenUsed/>
    <w:rsid w:val="00AB7F56"/>
    <w:rPr>
      <w:color w:val="605E5C"/>
      <w:shd w:val="clear" w:color="auto" w:fill="E1DFDD"/>
    </w:rPr>
  </w:style>
  <w:style w:type="paragraph" w:customStyle="1" w:styleId="Pa14">
    <w:name w:val="Pa14"/>
    <w:basedOn w:val="Normal"/>
    <w:next w:val="Normal"/>
    <w:uiPriority w:val="99"/>
    <w:rsid w:val="00927EF8"/>
    <w:pPr>
      <w:autoSpaceDE w:val="0"/>
      <w:autoSpaceDN w:val="0"/>
      <w:adjustRightInd w:val="0"/>
      <w:spacing w:after="0" w:line="181" w:lineRule="atLeast"/>
    </w:pPr>
    <w:rPr>
      <w:rFonts w:ascii="Helvetica Light" w:hAnsi="Helvetica Light"/>
      <w:sz w:val="24"/>
      <w:szCs w:val="24"/>
    </w:rPr>
  </w:style>
  <w:style w:type="paragraph" w:styleId="NormalWeb">
    <w:name w:val="Normal (Web)"/>
    <w:basedOn w:val="Normal"/>
    <w:uiPriority w:val="99"/>
    <w:unhideWhenUsed/>
    <w:rsid w:val="00FF31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236CCF"/>
    <w:rPr>
      <w:color w:val="605E5C"/>
      <w:shd w:val="clear" w:color="auto" w:fill="E1DFDD"/>
    </w:rPr>
  </w:style>
  <w:style w:type="table" w:styleId="TableGrid">
    <w:name w:val="Table Grid"/>
    <w:basedOn w:val="TableNormal"/>
    <w:uiPriority w:val="39"/>
    <w:rsid w:val="001C2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E80"/>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C27DB9"/>
  </w:style>
  <w:style w:type="character" w:customStyle="1" w:styleId="UnresolvedMention4">
    <w:name w:val="Unresolved Mention4"/>
    <w:basedOn w:val="DefaultParagraphFont"/>
    <w:uiPriority w:val="99"/>
    <w:semiHidden/>
    <w:unhideWhenUsed/>
    <w:rsid w:val="007E0C1A"/>
    <w:rPr>
      <w:color w:val="605E5C"/>
      <w:shd w:val="clear" w:color="auto" w:fill="E1DFDD"/>
    </w:rPr>
  </w:style>
  <w:style w:type="character" w:customStyle="1" w:styleId="UnresolvedMention5">
    <w:name w:val="Unresolved Mention5"/>
    <w:basedOn w:val="DefaultParagraphFont"/>
    <w:uiPriority w:val="99"/>
    <w:semiHidden/>
    <w:unhideWhenUsed/>
    <w:rsid w:val="00C80C02"/>
    <w:rPr>
      <w:color w:val="605E5C"/>
      <w:shd w:val="clear" w:color="auto" w:fill="E1DFDD"/>
    </w:rPr>
  </w:style>
  <w:style w:type="paragraph" w:customStyle="1" w:styleId="Normal1">
    <w:name w:val="Normal1"/>
    <w:basedOn w:val="Normal"/>
    <w:rsid w:val="004D0983"/>
    <w:pPr>
      <w:spacing w:before="100" w:beforeAutospacing="1" w:after="100" w:afterAutospacing="1" w:line="240" w:lineRule="auto"/>
    </w:pPr>
    <w:rPr>
      <w:rFonts w:ascii="Calibri" w:eastAsiaTheme="minorHAnsi" w:hAnsi="Calibri" w:cs="Calibri"/>
      <w:lang w:eastAsia="en-GB"/>
    </w:rPr>
  </w:style>
  <w:style w:type="paragraph" w:styleId="PlainText">
    <w:name w:val="Plain Text"/>
    <w:basedOn w:val="Normal"/>
    <w:link w:val="PlainTextChar"/>
    <w:uiPriority w:val="99"/>
    <w:unhideWhenUsed/>
    <w:rsid w:val="000D15D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0D15DE"/>
    <w:rPr>
      <w:rFonts w:ascii="Calibri" w:eastAsiaTheme="minorHAnsi" w:hAnsi="Calibri" w:cs="Consolas"/>
      <w:szCs w:val="21"/>
    </w:rPr>
  </w:style>
  <w:style w:type="character" w:customStyle="1" w:styleId="apple-converted-space">
    <w:name w:val="apple-converted-space"/>
    <w:basedOn w:val="DefaultParagraphFont"/>
    <w:rsid w:val="00F873B3"/>
  </w:style>
  <w:style w:type="paragraph" w:customStyle="1" w:styleId="p1">
    <w:name w:val="p1"/>
    <w:basedOn w:val="Normal"/>
    <w:rsid w:val="00F873B3"/>
    <w:pPr>
      <w:spacing w:after="0" w:line="240" w:lineRule="auto"/>
    </w:pPr>
    <w:rPr>
      <w:rFonts w:ascii="Calibri" w:eastAsiaTheme="minorHAnsi" w:hAnsi="Calibri" w:cs="Times New Roman"/>
      <w:sz w:val="17"/>
      <w:szCs w:val="17"/>
      <w:lang w:eastAsia="en-GB"/>
    </w:rPr>
  </w:style>
  <w:style w:type="character" w:styleId="UnresolvedMention">
    <w:name w:val="Unresolved Mention"/>
    <w:basedOn w:val="DefaultParagraphFont"/>
    <w:uiPriority w:val="99"/>
    <w:semiHidden/>
    <w:unhideWhenUsed/>
    <w:rsid w:val="000D3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019">
      <w:bodyDiv w:val="1"/>
      <w:marLeft w:val="0"/>
      <w:marRight w:val="0"/>
      <w:marTop w:val="0"/>
      <w:marBottom w:val="0"/>
      <w:divBdr>
        <w:top w:val="none" w:sz="0" w:space="0" w:color="auto"/>
        <w:left w:val="none" w:sz="0" w:space="0" w:color="auto"/>
        <w:bottom w:val="none" w:sz="0" w:space="0" w:color="auto"/>
        <w:right w:val="none" w:sz="0" w:space="0" w:color="auto"/>
      </w:divBdr>
    </w:div>
    <w:div w:id="11347750">
      <w:bodyDiv w:val="1"/>
      <w:marLeft w:val="0"/>
      <w:marRight w:val="0"/>
      <w:marTop w:val="0"/>
      <w:marBottom w:val="0"/>
      <w:divBdr>
        <w:top w:val="none" w:sz="0" w:space="0" w:color="auto"/>
        <w:left w:val="none" w:sz="0" w:space="0" w:color="auto"/>
        <w:bottom w:val="none" w:sz="0" w:space="0" w:color="auto"/>
        <w:right w:val="none" w:sz="0" w:space="0" w:color="auto"/>
      </w:divBdr>
    </w:div>
    <w:div w:id="17121436">
      <w:bodyDiv w:val="1"/>
      <w:marLeft w:val="0"/>
      <w:marRight w:val="0"/>
      <w:marTop w:val="0"/>
      <w:marBottom w:val="0"/>
      <w:divBdr>
        <w:top w:val="none" w:sz="0" w:space="0" w:color="auto"/>
        <w:left w:val="none" w:sz="0" w:space="0" w:color="auto"/>
        <w:bottom w:val="none" w:sz="0" w:space="0" w:color="auto"/>
        <w:right w:val="none" w:sz="0" w:space="0" w:color="auto"/>
      </w:divBdr>
    </w:div>
    <w:div w:id="126361292">
      <w:bodyDiv w:val="1"/>
      <w:marLeft w:val="0"/>
      <w:marRight w:val="0"/>
      <w:marTop w:val="0"/>
      <w:marBottom w:val="0"/>
      <w:divBdr>
        <w:top w:val="none" w:sz="0" w:space="0" w:color="auto"/>
        <w:left w:val="none" w:sz="0" w:space="0" w:color="auto"/>
        <w:bottom w:val="none" w:sz="0" w:space="0" w:color="auto"/>
        <w:right w:val="none" w:sz="0" w:space="0" w:color="auto"/>
      </w:divBdr>
    </w:div>
    <w:div w:id="136840230">
      <w:bodyDiv w:val="1"/>
      <w:marLeft w:val="0"/>
      <w:marRight w:val="0"/>
      <w:marTop w:val="0"/>
      <w:marBottom w:val="0"/>
      <w:divBdr>
        <w:top w:val="none" w:sz="0" w:space="0" w:color="auto"/>
        <w:left w:val="none" w:sz="0" w:space="0" w:color="auto"/>
        <w:bottom w:val="none" w:sz="0" w:space="0" w:color="auto"/>
        <w:right w:val="none" w:sz="0" w:space="0" w:color="auto"/>
      </w:divBdr>
    </w:div>
    <w:div w:id="210966052">
      <w:bodyDiv w:val="1"/>
      <w:marLeft w:val="0"/>
      <w:marRight w:val="0"/>
      <w:marTop w:val="0"/>
      <w:marBottom w:val="0"/>
      <w:divBdr>
        <w:top w:val="none" w:sz="0" w:space="0" w:color="auto"/>
        <w:left w:val="none" w:sz="0" w:space="0" w:color="auto"/>
        <w:bottom w:val="none" w:sz="0" w:space="0" w:color="auto"/>
        <w:right w:val="none" w:sz="0" w:space="0" w:color="auto"/>
      </w:divBdr>
    </w:div>
    <w:div w:id="239558834">
      <w:bodyDiv w:val="1"/>
      <w:marLeft w:val="0"/>
      <w:marRight w:val="0"/>
      <w:marTop w:val="0"/>
      <w:marBottom w:val="0"/>
      <w:divBdr>
        <w:top w:val="none" w:sz="0" w:space="0" w:color="auto"/>
        <w:left w:val="none" w:sz="0" w:space="0" w:color="auto"/>
        <w:bottom w:val="none" w:sz="0" w:space="0" w:color="auto"/>
        <w:right w:val="none" w:sz="0" w:space="0" w:color="auto"/>
      </w:divBdr>
    </w:div>
    <w:div w:id="408887590">
      <w:bodyDiv w:val="1"/>
      <w:marLeft w:val="0"/>
      <w:marRight w:val="0"/>
      <w:marTop w:val="0"/>
      <w:marBottom w:val="0"/>
      <w:divBdr>
        <w:top w:val="none" w:sz="0" w:space="0" w:color="auto"/>
        <w:left w:val="none" w:sz="0" w:space="0" w:color="auto"/>
        <w:bottom w:val="none" w:sz="0" w:space="0" w:color="auto"/>
        <w:right w:val="none" w:sz="0" w:space="0" w:color="auto"/>
      </w:divBdr>
      <w:divsChild>
        <w:div w:id="89930734">
          <w:marLeft w:val="360"/>
          <w:marRight w:val="0"/>
          <w:marTop w:val="200"/>
          <w:marBottom w:val="0"/>
          <w:divBdr>
            <w:top w:val="none" w:sz="0" w:space="0" w:color="auto"/>
            <w:left w:val="none" w:sz="0" w:space="0" w:color="auto"/>
            <w:bottom w:val="none" w:sz="0" w:space="0" w:color="auto"/>
            <w:right w:val="none" w:sz="0" w:space="0" w:color="auto"/>
          </w:divBdr>
        </w:div>
        <w:div w:id="1163739079">
          <w:marLeft w:val="360"/>
          <w:marRight w:val="0"/>
          <w:marTop w:val="200"/>
          <w:marBottom w:val="0"/>
          <w:divBdr>
            <w:top w:val="none" w:sz="0" w:space="0" w:color="auto"/>
            <w:left w:val="none" w:sz="0" w:space="0" w:color="auto"/>
            <w:bottom w:val="none" w:sz="0" w:space="0" w:color="auto"/>
            <w:right w:val="none" w:sz="0" w:space="0" w:color="auto"/>
          </w:divBdr>
        </w:div>
        <w:div w:id="268661135">
          <w:marLeft w:val="360"/>
          <w:marRight w:val="0"/>
          <w:marTop w:val="200"/>
          <w:marBottom w:val="0"/>
          <w:divBdr>
            <w:top w:val="none" w:sz="0" w:space="0" w:color="auto"/>
            <w:left w:val="none" w:sz="0" w:space="0" w:color="auto"/>
            <w:bottom w:val="none" w:sz="0" w:space="0" w:color="auto"/>
            <w:right w:val="none" w:sz="0" w:space="0" w:color="auto"/>
          </w:divBdr>
        </w:div>
      </w:divsChild>
    </w:div>
    <w:div w:id="419331309">
      <w:bodyDiv w:val="1"/>
      <w:marLeft w:val="0"/>
      <w:marRight w:val="0"/>
      <w:marTop w:val="0"/>
      <w:marBottom w:val="0"/>
      <w:divBdr>
        <w:top w:val="none" w:sz="0" w:space="0" w:color="auto"/>
        <w:left w:val="none" w:sz="0" w:space="0" w:color="auto"/>
        <w:bottom w:val="none" w:sz="0" w:space="0" w:color="auto"/>
        <w:right w:val="none" w:sz="0" w:space="0" w:color="auto"/>
      </w:divBdr>
      <w:divsChild>
        <w:div w:id="820118522">
          <w:marLeft w:val="0"/>
          <w:marRight w:val="0"/>
          <w:marTop w:val="100"/>
          <w:marBottom w:val="100"/>
          <w:divBdr>
            <w:top w:val="none" w:sz="0" w:space="0" w:color="auto"/>
            <w:left w:val="none" w:sz="0" w:space="0" w:color="auto"/>
            <w:bottom w:val="none" w:sz="0" w:space="0" w:color="auto"/>
            <w:right w:val="none" w:sz="0" w:space="0" w:color="auto"/>
          </w:divBdr>
          <w:divsChild>
            <w:div w:id="71437701">
              <w:marLeft w:val="0"/>
              <w:marRight w:val="0"/>
              <w:marTop w:val="0"/>
              <w:marBottom w:val="0"/>
              <w:divBdr>
                <w:top w:val="none" w:sz="0" w:space="0" w:color="auto"/>
                <w:left w:val="none" w:sz="0" w:space="0" w:color="auto"/>
                <w:bottom w:val="none" w:sz="0" w:space="0" w:color="auto"/>
                <w:right w:val="none" w:sz="0" w:space="0" w:color="auto"/>
              </w:divBdr>
              <w:divsChild>
                <w:div w:id="107312386">
                  <w:marLeft w:val="105"/>
                  <w:marRight w:val="105"/>
                  <w:marTop w:val="105"/>
                  <w:marBottom w:val="105"/>
                  <w:divBdr>
                    <w:top w:val="none" w:sz="0" w:space="0" w:color="auto"/>
                    <w:left w:val="none" w:sz="0" w:space="0" w:color="auto"/>
                    <w:bottom w:val="none" w:sz="0" w:space="0" w:color="auto"/>
                    <w:right w:val="none" w:sz="0" w:space="0" w:color="auto"/>
                  </w:divBdr>
                  <w:divsChild>
                    <w:div w:id="1406143976">
                      <w:marLeft w:val="0"/>
                      <w:marRight w:val="0"/>
                      <w:marTop w:val="0"/>
                      <w:marBottom w:val="0"/>
                      <w:divBdr>
                        <w:top w:val="none" w:sz="0" w:space="0" w:color="auto"/>
                        <w:left w:val="none" w:sz="0" w:space="0" w:color="auto"/>
                        <w:bottom w:val="none" w:sz="0" w:space="0" w:color="auto"/>
                        <w:right w:val="none" w:sz="0" w:space="0" w:color="auto"/>
                      </w:divBdr>
                      <w:divsChild>
                        <w:div w:id="1990592761">
                          <w:marLeft w:val="0"/>
                          <w:marRight w:val="0"/>
                          <w:marTop w:val="0"/>
                          <w:marBottom w:val="0"/>
                          <w:divBdr>
                            <w:top w:val="none" w:sz="0" w:space="0" w:color="auto"/>
                            <w:left w:val="none" w:sz="0" w:space="0" w:color="auto"/>
                            <w:bottom w:val="none" w:sz="0" w:space="0" w:color="auto"/>
                            <w:right w:val="none" w:sz="0" w:space="0" w:color="auto"/>
                          </w:divBdr>
                          <w:divsChild>
                            <w:div w:id="737091919">
                              <w:marLeft w:val="0"/>
                              <w:marRight w:val="0"/>
                              <w:marTop w:val="0"/>
                              <w:marBottom w:val="0"/>
                              <w:divBdr>
                                <w:top w:val="none" w:sz="0" w:space="0" w:color="auto"/>
                                <w:left w:val="none" w:sz="0" w:space="0" w:color="auto"/>
                                <w:bottom w:val="none" w:sz="0" w:space="0" w:color="auto"/>
                                <w:right w:val="none" w:sz="0" w:space="0" w:color="auto"/>
                              </w:divBdr>
                              <w:divsChild>
                                <w:div w:id="462120531">
                                  <w:marLeft w:val="0"/>
                                  <w:marRight w:val="0"/>
                                  <w:marTop w:val="0"/>
                                  <w:marBottom w:val="0"/>
                                  <w:divBdr>
                                    <w:top w:val="none" w:sz="0" w:space="0" w:color="auto"/>
                                    <w:left w:val="none" w:sz="0" w:space="0" w:color="auto"/>
                                    <w:bottom w:val="none" w:sz="0" w:space="0" w:color="auto"/>
                                    <w:right w:val="none" w:sz="0" w:space="0" w:color="auto"/>
                                  </w:divBdr>
                                  <w:divsChild>
                                    <w:div w:id="88356605">
                                      <w:marLeft w:val="105"/>
                                      <w:marRight w:val="105"/>
                                      <w:marTop w:val="105"/>
                                      <w:marBottom w:val="105"/>
                                      <w:divBdr>
                                        <w:top w:val="none" w:sz="0" w:space="0" w:color="auto"/>
                                        <w:left w:val="none" w:sz="0" w:space="0" w:color="auto"/>
                                        <w:bottom w:val="none" w:sz="0" w:space="0" w:color="auto"/>
                                        <w:right w:val="none" w:sz="0" w:space="0" w:color="auto"/>
                                      </w:divBdr>
                                      <w:divsChild>
                                        <w:div w:id="457647987">
                                          <w:marLeft w:val="0"/>
                                          <w:marRight w:val="0"/>
                                          <w:marTop w:val="0"/>
                                          <w:marBottom w:val="0"/>
                                          <w:divBdr>
                                            <w:top w:val="none" w:sz="0" w:space="0" w:color="auto"/>
                                            <w:left w:val="none" w:sz="0" w:space="0" w:color="auto"/>
                                            <w:bottom w:val="none" w:sz="0" w:space="0" w:color="auto"/>
                                            <w:right w:val="none" w:sz="0" w:space="0" w:color="auto"/>
                                          </w:divBdr>
                                          <w:divsChild>
                                            <w:div w:id="2010599387">
                                              <w:marLeft w:val="0"/>
                                              <w:marRight w:val="0"/>
                                              <w:marTop w:val="0"/>
                                              <w:marBottom w:val="0"/>
                                              <w:divBdr>
                                                <w:top w:val="none" w:sz="0" w:space="0" w:color="auto"/>
                                                <w:left w:val="none" w:sz="0" w:space="0" w:color="auto"/>
                                                <w:bottom w:val="none" w:sz="0" w:space="0" w:color="auto"/>
                                                <w:right w:val="none" w:sz="0" w:space="0" w:color="auto"/>
                                              </w:divBdr>
                                              <w:divsChild>
                                                <w:div w:id="1376542142">
                                                  <w:marLeft w:val="0"/>
                                                  <w:marRight w:val="0"/>
                                                  <w:marTop w:val="0"/>
                                                  <w:marBottom w:val="0"/>
                                                  <w:divBdr>
                                                    <w:top w:val="none" w:sz="0" w:space="0" w:color="auto"/>
                                                    <w:left w:val="none" w:sz="0" w:space="0" w:color="auto"/>
                                                    <w:bottom w:val="none" w:sz="0" w:space="0" w:color="auto"/>
                                                    <w:right w:val="none" w:sz="0" w:space="0" w:color="auto"/>
                                                  </w:divBdr>
                                                  <w:divsChild>
                                                    <w:div w:id="1874540510">
                                                      <w:marLeft w:val="0"/>
                                                      <w:marRight w:val="0"/>
                                                      <w:marTop w:val="0"/>
                                                      <w:marBottom w:val="0"/>
                                                      <w:divBdr>
                                                        <w:top w:val="none" w:sz="0" w:space="0" w:color="auto"/>
                                                        <w:left w:val="none" w:sz="0" w:space="0" w:color="auto"/>
                                                        <w:bottom w:val="none" w:sz="0" w:space="0" w:color="auto"/>
                                                        <w:right w:val="none" w:sz="0" w:space="0" w:color="auto"/>
                                                      </w:divBdr>
                                                      <w:divsChild>
                                                        <w:div w:id="1128624936">
                                                          <w:marLeft w:val="0"/>
                                                          <w:marRight w:val="0"/>
                                                          <w:marTop w:val="0"/>
                                                          <w:marBottom w:val="0"/>
                                                          <w:divBdr>
                                                            <w:top w:val="none" w:sz="0" w:space="0" w:color="auto"/>
                                                            <w:left w:val="none" w:sz="0" w:space="0" w:color="auto"/>
                                                            <w:bottom w:val="none" w:sz="0" w:space="0" w:color="auto"/>
                                                            <w:right w:val="none" w:sz="0" w:space="0" w:color="auto"/>
                                                          </w:divBdr>
                                                          <w:divsChild>
                                                            <w:div w:id="1104619611">
                                                              <w:marLeft w:val="0"/>
                                                              <w:marRight w:val="0"/>
                                                              <w:marTop w:val="0"/>
                                                              <w:marBottom w:val="0"/>
                                                              <w:divBdr>
                                                                <w:top w:val="none" w:sz="0" w:space="0" w:color="auto"/>
                                                                <w:left w:val="none" w:sz="0" w:space="0" w:color="auto"/>
                                                                <w:bottom w:val="none" w:sz="0" w:space="0" w:color="auto"/>
                                                                <w:right w:val="none" w:sz="0" w:space="0" w:color="auto"/>
                                                              </w:divBdr>
                                                              <w:divsChild>
                                                                <w:div w:id="125974337">
                                                                  <w:marLeft w:val="105"/>
                                                                  <w:marRight w:val="105"/>
                                                                  <w:marTop w:val="105"/>
                                                                  <w:marBottom w:val="105"/>
                                                                  <w:divBdr>
                                                                    <w:top w:val="none" w:sz="0" w:space="0" w:color="auto"/>
                                                                    <w:left w:val="none" w:sz="0" w:space="0" w:color="auto"/>
                                                                    <w:bottom w:val="none" w:sz="0" w:space="0" w:color="auto"/>
                                                                    <w:right w:val="none" w:sz="0" w:space="0" w:color="auto"/>
                                                                  </w:divBdr>
                                                                  <w:divsChild>
                                                                    <w:div w:id="1774087569">
                                                                      <w:marLeft w:val="0"/>
                                                                      <w:marRight w:val="0"/>
                                                                      <w:marTop w:val="0"/>
                                                                      <w:marBottom w:val="0"/>
                                                                      <w:divBdr>
                                                                        <w:top w:val="none" w:sz="0" w:space="0" w:color="auto"/>
                                                                        <w:left w:val="none" w:sz="0" w:space="0" w:color="auto"/>
                                                                        <w:bottom w:val="none" w:sz="0" w:space="0" w:color="auto"/>
                                                                        <w:right w:val="none" w:sz="0" w:space="0" w:color="auto"/>
                                                                      </w:divBdr>
                                                                      <w:divsChild>
                                                                        <w:div w:id="2062777572">
                                                                          <w:marLeft w:val="0"/>
                                                                          <w:marRight w:val="0"/>
                                                                          <w:marTop w:val="0"/>
                                                                          <w:marBottom w:val="0"/>
                                                                          <w:divBdr>
                                                                            <w:top w:val="none" w:sz="0" w:space="0" w:color="auto"/>
                                                                            <w:left w:val="none" w:sz="0" w:space="0" w:color="auto"/>
                                                                            <w:bottom w:val="none" w:sz="0" w:space="0" w:color="auto"/>
                                                                            <w:right w:val="none" w:sz="0" w:space="0" w:color="auto"/>
                                                                          </w:divBdr>
                                                                          <w:divsChild>
                                                                            <w:div w:id="352418237">
                                                                              <w:marLeft w:val="0"/>
                                                                              <w:marRight w:val="0"/>
                                                                              <w:marTop w:val="0"/>
                                                                              <w:marBottom w:val="0"/>
                                                                              <w:divBdr>
                                                                                <w:top w:val="none" w:sz="0" w:space="0" w:color="auto"/>
                                                                                <w:left w:val="none" w:sz="0" w:space="0" w:color="auto"/>
                                                                                <w:bottom w:val="none" w:sz="0" w:space="0" w:color="auto"/>
                                                                                <w:right w:val="none" w:sz="0" w:space="0" w:color="auto"/>
                                                                              </w:divBdr>
                                                                              <w:divsChild>
                                                                                <w:div w:id="611400722">
                                                                                  <w:marLeft w:val="0"/>
                                                                                  <w:marRight w:val="0"/>
                                                                                  <w:marTop w:val="0"/>
                                                                                  <w:marBottom w:val="0"/>
                                                                                  <w:divBdr>
                                                                                    <w:top w:val="none" w:sz="0" w:space="0" w:color="auto"/>
                                                                                    <w:left w:val="none" w:sz="0" w:space="0" w:color="auto"/>
                                                                                    <w:bottom w:val="none" w:sz="0" w:space="0" w:color="auto"/>
                                                                                    <w:right w:val="none" w:sz="0" w:space="0" w:color="auto"/>
                                                                                  </w:divBdr>
                                                                                  <w:divsChild>
                                                                                    <w:div w:id="1203904338">
                                                                                      <w:marLeft w:val="0"/>
                                                                                      <w:marRight w:val="0"/>
                                                                                      <w:marTop w:val="0"/>
                                                                                      <w:marBottom w:val="0"/>
                                                                                      <w:divBdr>
                                                                                        <w:top w:val="none" w:sz="0" w:space="0" w:color="auto"/>
                                                                                        <w:left w:val="none" w:sz="0" w:space="0" w:color="auto"/>
                                                                                        <w:bottom w:val="none" w:sz="0" w:space="0" w:color="auto"/>
                                                                                        <w:right w:val="none" w:sz="0" w:space="0" w:color="auto"/>
                                                                                      </w:divBdr>
                                                                                      <w:divsChild>
                                                                                        <w:div w:id="1343045792">
                                                                                          <w:marLeft w:val="0"/>
                                                                                          <w:marRight w:val="0"/>
                                                                                          <w:marTop w:val="0"/>
                                                                                          <w:marBottom w:val="0"/>
                                                                                          <w:divBdr>
                                                                                            <w:top w:val="none" w:sz="0" w:space="0" w:color="auto"/>
                                                                                            <w:left w:val="none" w:sz="0" w:space="0" w:color="auto"/>
                                                                                            <w:bottom w:val="none" w:sz="0" w:space="0" w:color="auto"/>
                                                                                            <w:right w:val="none" w:sz="0" w:space="0" w:color="auto"/>
                                                                                          </w:divBdr>
                                                                                          <w:divsChild>
                                                                                            <w:div w:id="545411824">
                                                                                              <w:marLeft w:val="105"/>
                                                                                              <w:marRight w:val="105"/>
                                                                                              <w:marTop w:val="105"/>
                                                                                              <w:marBottom w:val="105"/>
                                                                                              <w:divBdr>
                                                                                                <w:top w:val="none" w:sz="0" w:space="0" w:color="auto"/>
                                                                                                <w:left w:val="none" w:sz="0" w:space="0" w:color="auto"/>
                                                                                                <w:bottom w:val="none" w:sz="0" w:space="0" w:color="auto"/>
                                                                                                <w:right w:val="none" w:sz="0" w:space="0" w:color="auto"/>
                                                                                              </w:divBdr>
                                                                                              <w:divsChild>
                                                                                                <w:div w:id="1522473796">
                                                                                                  <w:marLeft w:val="0"/>
                                                                                                  <w:marRight w:val="0"/>
                                                                                                  <w:marTop w:val="0"/>
                                                                                                  <w:marBottom w:val="0"/>
                                                                                                  <w:divBdr>
                                                                                                    <w:top w:val="none" w:sz="0" w:space="0" w:color="auto"/>
                                                                                                    <w:left w:val="none" w:sz="0" w:space="0" w:color="auto"/>
                                                                                                    <w:bottom w:val="none" w:sz="0" w:space="0" w:color="auto"/>
                                                                                                    <w:right w:val="none" w:sz="0" w:space="0" w:color="auto"/>
                                                                                                  </w:divBdr>
                                                                                                  <w:divsChild>
                                                                                                    <w:div w:id="59250722">
                                                                                                      <w:marLeft w:val="0"/>
                                                                                                      <w:marRight w:val="0"/>
                                                                                                      <w:marTop w:val="0"/>
                                                                                                      <w:marBottom w:val="0"/>
                                                                                                      <w:divBdr>
                                                                                                        <w:top w:val="none" w:sz="0" w:space="0" w:color="auto"/>
                                                                                                        <w:left w:val="none" w:sz="0" w:space="0" w:color="auto"/>
                                                                                                        <w:bottom w:val="none" w:sz="0" w:space="0" w:color="auto"/>
                                                                                                        <w:right w:val="none" w:sz="0" w:space="0" w:color="auto"/>
                                                                                                      </w:divBdr>
                                                                                                      <w:divsChild>
                                                                                                        <w:div w:id="652102801">
                                                                                                          <w:marLeft w:val="0"/>
                                                                                                          <w:marRight w:val="0"/>
                                                                                                          <w:marTop w:val="0"/>
                                                                                                          <w:marBottom w:val="0"/>
                                                                                                          <w:divBdr>
                                                                                                            <w:top w:val="none" w:sz="0" w:space="0" w:color="auto"/>
                                                                                                            <w:left w:val="none" w:sz="0" w:space="0" w:color="auto"/>
                                                                                                            <w:bottom w:val="none" w:sz="0" w:space="0" w:color="auto"/>
                                                                                                            <w:right w:val="none" w:sz="0" w:space="0" w:color="auto"/>
                                                                                                          </w:divBdr>
                                                                                                          <w:divsChild>
                                                                                                            <w:div w:id="58287085">
                                                                                                              <w:marLeft w:val="0"/>
                                                                                                              <w:marRight w:val="0"/>
                                                                                                              <w:marTop w:val="0"/>
                                                                                                              <w:marBottom w:val="0"/>
                                                                                                              <w:divBdr>
                                                                                                                <w:top w:val="none" w:sz="0" w:space="0" w:color="auto"/>
                                                                                                                <w:left w:val="none" w:sz="0" w:space="0" w:color="auto"/>
                                                                                                                <w:bottom w:val="none" w:sz="0" w:space="0" w:color="auto"/>
                                                                                                                <w:right w:val="none" w:sz="0" w:space="0" w:color="auto"/>
                                                                                                              </w:divBdr>
                                                                                                              <w:divsChild>
                                                                                                                <w:div w:id="1015810095">
                                                                                                                  <w:marLeft w:val="0"/>
                                                                                                                  <w:marRight w:val="0"/>
                                                                                                                  <w:marTop w:val="0"/>
                                                                                                                  <w:marBottom w:val="0"/>
                                                                                                                  <w:divBdr>
                                                                                                                    <w:top w:val="none" w:sz="0" w:space="0" w:color="auto"/>
                                                                                                                    <w:left w:val="none" w:sz="0" w:space="0" w:color="auto"/>
                                                                                                                    <w:bottom w:val="none" w:sz="0" w:space="0" w:color="auto"/>
                                                                                                                    <w:right w:val="none" w:sz="0" w:space="0" w:color="auto"/>
                                                                                                                  </w:divBdr>
                                                                                                                  <w:divsChild>
                                                                                                                    <w:div w:id="727532867">
                                                                                                                      <w:marLeft w:val="0"/>
                                                                                                                      <w:marRight w:val="0"/>
                                                                                                                      <w:marTop w:val="0"/>
                                                                                                                      <w:marBottom w:val="0"/>
                                                                                                                      <w:divBdr>
                                                                                                                        <w:top w:val="none" w:sz="0" w:space="0" w:color="auto"/>
                                                                                                                        <w:left w:val="none" w:sz="0" w:space="0" w:color="auto"/>
                                                                                                                        <w:bottom w:val="none" w:sz="0" w:space="0" w:color="auto"/>
                                                                                                                        <w:right w:val="none" w:sz="0" w:space="0" w:color="auto"/>
                                                                                                                      </w:divBdr>
                                                                                                                      <w:divsChild>
                                                                                                                        <w:div w:id="836842584">
                                                                                                                          <w:marLeft w:val="0"/>
                                                                                                                          <w:marRight w:val="0"/>
                                                                                                                          <w:marTop w:val="0"/>
                                                                                                                          <w:marBottom w:val="0"/>
                                                                                                                          <w:divBdr>
                                                                                                                            <w:top w:val="none" w:sz="0" w:space="0" w:color="auto"/>
                                                                                                                            <w:left w:val="none" w:sz="0" w:space="0" w:color="auto"/>
                                                                                                                            <w:bottom w:val="none" w:sz="0" w:space="0" w:color="auto"/>
                                                                                                                            <w:right w:val="none" w:sz="0" w:space="0" w:color="auto"/>
                                                                                                                          </w:divBdr>
                                                                                                                          <w:divsChild>
                                                                                                                            <w:div w:id="10682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827743">
      <w:bodyDiv w:val="1"/>
      <w:marLeft w:val="0"/>
      <w:marRight w:val="0"/>
      <w:marTop w:val="0"/>
      <w:marBottom w:val="0"/>
      <w:divBdr>
        <w:top w:val="none" w:sz="0" w:space="0" w:color="auto"/>
        <w:left w:val="none" w:sz="0" w:space="0" w:color="auto"/>
        <w:bottom w:val="none" w:sz="0" w:space="0" w:color="auto"/>
        <w:right w:val="none" w:sz="0" w:space="0" w:color="auto"/>
      </w:divBdr>
      <w:divsChild>
        <w:div w:id="1676305581">
          <w:marLeft w:val="0"/>
          <w:marRight w:val="0"/>
          <w:marTop w:val="0"/>
          <w:marBottom w:val="0"/>
          <w:divBdr>
            <w:top w:val="none" w:sz="0" w:space="0" w:color="auto"/>
            <w:left w:val="none" w:sz="0" w:space="0" w:color="auto"/>
            <w:bottom w:val="none" w:sz="0" w:space="0" w:color="auto"/>
            <w:right w:val="none" w:sz="0" w:space="0" w:color="auto"/>
          </w:divBdr>
        </w:div>
        <w:div w:id="1959723402">
          <w:marLeft w:val="0"/>
          <w:marRight w:val="0"/>
          <w:marTop w:val="0"/>
          <w:marBottom w:val="0"/>
          <w:divBdr>
            <w:top w:val="none" w:sz="0" w:space="0" w:color="auto"/>
            <w:left w:val="none" w:sz="0" w:space="0" w:color="auto"/>
            <w:bottom w:val="none" w:sz="0" w:space="0" w:color="auto"/>
            <w:right w:val="none" w:sz="0" w:space="0" w:color="auto"/>
          </w:divBdr>
        </w:div>
      </w:divsChild>
    </w:div>
    <w:div w:id="540169716">
      <w:bodyDiv w:val="1"/>
      <w:marLeft w:val="0"/>
      <w:marRight w:val="0"/>
      <w:marTop w:val="0"/>
      <w:marBottom w:val="0"/>
      <w:divBdr>
        <w:top w:val="none" w:sz="0" w:space="0" w:color="auto"/>
        <w:left w:val="none" w:sz="0" w:space="0" w:color="auto"/>
        <w:bottom w:val="none" w:sz="0" w:space="0" w:color="auto"/>
        <w:right w:val="none" w:sz="0" w:space="0" w:color="auto"/>
      </w:divBdr>
      <w:divsChild>
        <w:div w:id="97070292">
          <w:marLeft w:val="360"/>
          <w:marRight w:val="0"/>
          <w:marTop w:val="200"/>
          <w:marBottom w:val="0"/>
          <w:divBdr>
            <w:top w:val="none" w:sz="0" w:space="0" w:color="auto"/>
            <w:left w:val="none" w:sz="0" w:space="0" w:color="auto"/>
            <w:bottom w:val="none" w:sz="0" w:space="0" w:color="auto"/>
            <w:right w:val="none" w:sz="0" w:space="0" w:color="auto"/>
          </w:divBdr>
        </w:div>
        <w:div w:id="118454555">
          <w:marLeft w:val="360"/>
          <w:marRight w:val="0"/>
          <w:marTop w:val="200"/>
          <w:marBottom w:val="0"/>
          <w:divBdr>
            <w:top w:val="none" w:sz="0" w:space="0" w:color="auto"/>
            <w:left w:val="none" w:sz="0" w:space="0" w:color="auto"/>
            <w:bottom w:val="none" w:sz="0" w:space="0" w:color="auto"/>
            <w:right w:val="none" w:sz="0" w:space="0" w:color="auto"/>
          </w:divBdr>
        </w:div>
        <w:div w:id="243532242">
          <w:marLeft w:val="360"/>
          <w:marRight w:val="0"/>
          <w:marTop w:val="200"/>
          <w:marBottom w:val="0"/>
          <w:divBdr>
            <w:top w:val="none" w:sz="0" w:space="0" w:color="auto"/>
            <w:left w:val="none" w:sz="0" w:space="0" w:color="auto"/>
            <w:bottom w:val="none" w:sz="0" w:space="0" w:color="auto"/>
            <w:right w:val="none" w:sz="0" w:space="0" w:color="auto"/>
          </w:divBdr>
        </w:div>
        <w:div w:id="1792742385">
          <w:marLeft w:val="360"/>
          <w:marRight w:val="0"/>
          <w:marTop w:val="200"/>
          <w:marBottom w:val="0"/>
          <w:divBdr>
            <w:top w:val="none" w:sz="0" w:space="0" w:color="auto"/>
            <w:left w:val="none" w:sz="0" w:space="0" w:color="auto"/>
            <w:bottom w:val="none" w:sz="0" w:space="0" w:color="auto"/>
            <w:right w:val="none" w:sz="0" w:space="0" w:color="auto"/>
          </w:divBdr>
        </w:div>
      </w:divsChild>
    </w:div>
    <w:div w:id="557399617">
      <w:bodyDiv w:val="1"/>
      <w:marLeft w:val="0"/>
      <w:marRight w:val="0"/>
      <w:marTop w:val="0"/>
      <w:marBottom w:val="0"/>
      <w:divBdr>
        <w:top w:val="none" w:sz="0" w:space="0" w:color="auto"/>
        <w:left w:val="none" w:sz="0" w:space="0" w:color="auto"/>
        <w:bottom w:val="none" w:sz="0" w:space="0" w:color="auto"/>
        <w:right w:val="none" w:sz="0" w:space="0" w:color="auto"/>
      </w:divBdr>
    </w:div>
    <w:div w:id="635532154">
      <w:bodyDiv w:val="1"/>
      <w:marLeft w:val="0"/>
      <w:marRight w:val="0"/>
      <w:marTop w:val="0"/>
      <w:marBottom w:val="0"/>
      <w:divBdr>
        <w:top w:val="none" w:sz="0" w:space="0" w:color="auto"/>
        <w:left w:val="none" w:sz="0" w:space="0" w:color="auto"/>
        <w:bottom w:val="none" w:sz="0" w:space="0" w:color="auto"/>
        <w:right w:val="none" w:sz="0" w:space="0" w:color="auto"/>
      </w:divBdr>
    </w:div>
    <w:div w:id="706568555">
      <w:bodyDiv w:val="1"/>
      <w:marLeft w:val="0"/>
      <w:marRight w:val="0"/>
      <w:marTop w:val="0"/>
      <w:marBottom w:val="0"/>
      <w:divBdr>
        <w:top w:val="none" w:sz="0" w:space="0" w:color="auto"/>
        <w:left w:val="none" w:sz="0" w:space="0" w:color="auto"/>
        <w:bottom w:val="none" w:sz="0" w:space="0" w:color="auto"/>
        <w:right w:val="none" w:sz="0" w:space="0" w:color="auto"/>
      </w:divBdr>
    </w:div>
    <w:div w:id="850921371">
      <w:bodyDiv w:val="1"/>
      <w:marLeft w:val="0"/>
      <w:marRight w:val="0"/>
      <w:marTop w:val="0"/>
      <w:marBottom w:val="0"/>
      <w:divBdr>
        <w:top w:val="none" w:sz="0" w:space="0" w:color="auto"/>
        <w:left w:val="none" w:sz="0" w:space="0" w:color="auto"/>
        <w:bottom w:val="none" w:sz="0" w:space="0" w:color="auto"/>
        <w:right w:val="none" w:sz="0" w:space="0" w:color="auto"/>
      </w:divBdr>
    </w:div>
    <w:div w:id="900484951">
      <w:bodyDiv w:val="1"/>
      <w:marLeft w:val="0"/>
      <w:marRight w:val="0"/>
      <w:marTop w:val="0"/>
      <w:marBottom w:val="0"/>
      <w:divBdr>
        <w:top w:val="none" w:sz="0" w:space="0" w:color="auto"/>
        <w:left w:val="none" w:sz="0" w:space="0" w:color="auto"/>
        <w:bottom w:val="none" w:sz="0" w:space="0" w:color="auto"/>
        <w:right w:val="none" w:sz="0" w:space="0" w:color="auto"/>
      </w:divBdr>
    </w:div>
    <w:div w:id="971524395">
      <w:bodyDiv w:val="1"/>
      <w:marLeft w:val="0"/>
      <w:marRight w:val="0"/>
      <w:marTop w:val="0"/>
      <w:marBottom w:val="0"/>
      <w:divBdr>
        <w:top w:val="none" w:sz="0" w:space="0" w:color="auto"/>
        <w:left w:val="none" w:sz="0" w:space="0" w:color="auto"/>
        <w:bottom w:val="none" w:sz="0" w:space="0" w:color="auto"/>
        <w:right w:val="none" w:sz="0" w:space="0" w:color="auto"/>
      </w:divBdr>
    </w:div>
    <w:div w:id="1001349484">
      <w:bodyDiv w:val="1"/>
      <w:marLeft w:val="0"/>
      <w:marRight w:val="0"/>
      <w:marTop w:val="0"/>
      <w:marBottom w:val="0"/>
      <w:divBdr>
        <w:top w:val="none" w:sz="0" w:space="0" w:color="auto"/>
        <w:left w:val="none" w:sz="0" w:space="0" w:color="auto"/>
        <w:bottom w:val="none" w:sz="0" w:space="0" w:color="auto"/>
        <w:right w:val="none" w:sz="0" w:space="0" w:color="auto"/>
      </w:divBdr>
    </w:div>
    <w:div w:id="1040516838">
      <w:bodyDiv w:val="1"/>
      <w:marLeft w:val="0"/>
      <w:marRight w:val="0"/>
      <w:marTop w:val="0"/>
      <w:marBottom w:val="0"/>
      <w:divBdr>
        <w:top w:val="none" w:sz="0" w:space="0" w:color="auto"/>
        <w:left w:val="none" w:sz="0" w:space="0" w:color="auto"/>
        <w:bottom w:val="none" w:sz="0" w:space="0" w:color="auto"/>
        <w:right w:val="none" w:sz="0" w:space="0" w:color="auto"/>
      </w:divBdr>
      <w:divsChild>
        <w:div w:id="1742754363">
          <w:marLeft w:val="360"/>
          <w:marRight w:val="0"/>
          <w:marTop w:val="200"/>
          <w:marBottom w:val="0"/>
          <w:divBdr>
            <w:top w:val="none" w:sz="0" w:space="0" w:color="auto"/>
            <w:left w:val="none" w:sz="0" w:space="0" w:color="auto"/>
            <w:bottom w:val="none" w:sz="0" w:space="0" w:color="auto"/>
            <w:right w:val="none" w:sz="0" w:space="0" w:color="auto"/>
          </w:divBdr>
        </w:div>
        <w:div w:id="1939210323">
          <w:marLeft w:val="360"/>
          <w:marRight w:val="0"/>
          <w:marTop w:val="200"/>
          <w:marBottom w:val="0"/>
          <w:divBdr>
            <w:top w:val="none" w:sz="0" w:space="0" w:color="auto"/>
            <w:left w:val="none" w:sz="0" w:space="0" w:color="auto"/>
            <w:bottom w:val="none" w:sz="0" w:space="0" w:color="auto"/>
            <w:right w:val="none" w:sz="0" w:space="0" w:color="auto"/>
          </w:divBdr>
        </w:div>
        <w:div w:id="1308050855">
          <w:marLeft w:val="360"/>
          <w:marRight w:val="0"/>
          <w:marTop w:val="200"/>
          <w:marBottom w:val="0"/>
          <w:divBdr>
            <w:top w:val="none" w:sz="0" w:space="0" w:color="auto"/>
            <w:left w:val="none" w:sz="0" w:space="0" w:color="auto"/>
            <w:bottom w:val="none" w:sz="0" w:space="0" w:color="auto"/>
            <w:right w:val="none" w:sz="0" w:space="0" w:color="auto"/>
          </w:divBdr>
        </w:div>
      </w:divsChild>
    </w:div>
    <w:div w:id="1047029662">
      <w:bodyDiv w:val="1"/>
      <w:marLeft w:val="0"/>
      <w:marRight w:val="0"/>
      <w:marTop w:val="0"/>
      <w:marBottom w:val="0"/>
      <w:divBdr>
        <w:top w:val="none" w:sz="0" w:space="0" w:color="auto"/>
        <w:left w:val="none" w:sz="0" w:space="0" w:color="auto"/>
        <w:bottom w:val="none" w:sz="0" w:space="0" w:color="auto"/>
        <w:right w:val="none" w:sz="0" w:space="0" w:color="auto"/>
      </w:divBdr>
      <w:divsChild>
        <w:div w:id="1345867156">
          <w:marLeft w:val="0"/>
          <w:marRight w:val="0"/>
          <w:marTop w:val="0"/>
          <w:marBottom w:val="0"/>
          <w:divBdr>
            <w:top w:val="none" w:sz="0" w:space="0" w:color="auto"/>
            <w:left w:val="none" w:sz="0" w:space="0" w:color="auto"/>
            <w:bottom w:val="none" w:sz="0" w:space="0" w:color="auto"/>
            <w:right w:val="none" w:sz="0" w:space="0" w:color="auto"/>
          </w:divBdr>
        </w:div>
      </w:divsChild>
    </w:div>
    <w:div w:id="1047611106">
      <w:bodyDiv w:val="1"/>
      <w:marLeft w:val="0"/>
      <w:marRight w:val="0"/>
      <w:marTop w:val="0"/>
      <w:marBottom w:val="0"/>
      <w:divBdr>
        <w:top w:val="none" w:sz="0" w:space="0" w:color="auto"/>
        <w:left w:val="none" w:sz="0" w:space="0" w:color="auto"/>
        <w:bottom w:val="none" w:sz="0" w:space="0" w:color="auto"/>
        <w:right w:val="none" w:sz="0" w:space="0" w:color="auto"/>
      </w:divBdr>
    </w:div>
    <w:div w:id="1141775223">
      <w:bodyDiv w:val="1"/>
      <w:marLeft w:val="0"/>
      <w:marRight w:val="0"/>
      <w:marTop w:val="0"/>
      <w:marBottom w:val="0"/>
      <w:divBdr>
        <w:top w:val="none" w:sz="0" w:space="0" w:color="auto"/>
        <w:left w:val="none" w:sz="0" w:space="0" w:color="auto"/>
        <w:bottom w:val="none" w:sz="0" w:space="0" w:color="auto"/>
        <w:right w:val="none" w:sz="0" w:space="0" w:color="auto"/>
      </w:divBdr>
    </w:div>
    <w:div w:id="1238973287">
      <w:bodyDiv w:val="1"/>
      <w:marLeft w:val="0"/>
      <w:marRight w:val="0"/>
      <w:marTop w:val="0"/>
      <w:marBottom w:val="0"/>
      <w:divBdr>
        <w:top w:val="none" w:sz="0" w:space="0" w:color="auto"/>
        <w:left w:val="none" w:sz="0" w:space="0" w:color="auto"/>
        <w:bottom w:val="none" w:sz="0" w:space="0" w:color="auto"/>
        <w:right w:val="none" w:sz="0" w:space="0" w:color="auto"/>
      </w:divBdr>
    </w:div>
    <w:div w:id="1345284173">
      <w:bodyDiv w:val="1"/>
      <w:marLeft w:val="0"/>
      <w:marRight w:val="0"/>
      <w:marTop w:val="0"/>
      <w:marBottom w:val="0"/>
      <w:divBdr>
        <w:top w:val="none" w:sz="0" w:space="0" w:color="auto"/>
        <w:left w:val="none" w:sz="0" w:space="0" w:color="auto"/>
        <w:bottom w:val="none" w:sz="0" w:space="0" w:color="auto"/>
        <w:right w:val="none" w:sz="0" w:space="0" w:color="auto"/>
      </w:divBdr>
      <w:divsChild>
        <w:div w:id="698091929">
          <w:marLeft w:val="1411"/>
          <w:marRight w:val="0"/>
          <w:marTop w:val="82"/>
          <w:marBottom w:val="0"/>
          <w:divBdr>
            <w:top w:val="none" w:sz="0" w:space="0" w:color="auto"/>
            <w:left w:val="none" w:sz="0" w:space="0" w:color="auto"/>
            <w:bottom w:val="none" w:sz="0" w:space="0" w:color="auto"/>
            <w:right w:val="none" w:sz="0" w:space="0" w:color="auto"/>
          </w:divBdr>
        </w:div>
      </w:divsChild>
    </w:div>
    <w:div w:id="1376857154">
      <w:bodyDiv w:val="1"/>
      <w:marLeft w:val="0"/>
      <w:marRight w:val="0"/>
      <w:marTop w:val="0"/>
      <w:marBottom w:val="0"/>
      <w:divBdr>
        <w:top w:val="none" w:sz="0" w:space="0" w:color="auto"/>
        <w:left w:val="none" w:sz="0" w:space="0" w:color="auto"/>
        <w:bottom w:val="none" w:sz="0" w:space="0" w:color="auto"/>
        <w:right w:val="none" w:sz="0" w:space="0" w:color="auto"/>
      </w:divBdr>
    </w:div>
    <w:div w:id="1436754269">
      <w:bodyDiv w:val="1"/>
      <w:marLeft w:val="0"/>
      <w:marRight w:val="0"/>
      <w:marTop w:val="0"/>
      <w:marBottom w:val="0"/>
      <w:divBdr>
        <w:top w:val="none" w:sz="0" w:space="0" w:color="auto"/>
        <w:left w:val="none" w:sz="0" w:space="0" w:color="auto"/>
        <w:bottom w:val="none" w:sz="0" w:space="0" w:color="auto"/>
        <w:right w:val="none" w:sz="0" w:space="0" w:color="auto"/>
      </w:divBdr>
    </w:div>
    <w:div w:id="1554005408">
      <w:bodyDiv w:val="1"/>
      <w:marLeft w:val="0"/>
      <w:marRight w:val="0"/>
      <w:marTop w:val="0"/>
      <w:marBottom w:val="0"/>
      <w:divBdr>
        <w:top w:val="none" w:sz="0" w:space="0" w:color="auto"/>
        <w:left w:val="none" w:sz="0" w:space="0" w:color="auto"/>
        <w:bottom w:val="none" w:sz="0" w:space="0" w:color="auto"/>
        <w:right w:val="none" w:sz="0" w:space="0" w:color="auto"/>
      </w:divBdr>
    </w:div>
    <w:div w:id="1651522178">
      <w:bodyDiv w:val="1"/>
      <w:marLeft w:val="0"/>
      <w:marRight w:val="0"/>
      <w:marTop w:val="0"/>
      <w:marBottom w:val="0"/>
      <w:divBdr>
        <w:top w:val="none" w:sz="0" w:space="0" w:color="auto"/>
        <w:left w:val="none" w:sz="0" w:space="0" w:color="auto"/>
        <w:bottom w:val="none" w:sz="0" w:space="0" w:color="auto"/>
        <w:right w:val="none" w:sz="0" w:space="0" w:color="auto"/>
      </w:divBdr>
    </w:div>
    <w:div w:id="1707369444">
      <w:bodyDiv w:val="1"/>
      <w:marLeft w:val="0"/>
      <w:marRight w:val="0"/>
      <w:marTop w:val="0"/>
      <w:marBottom w:val="0"/>
      <w:divBdr>
        <w:top w:val="none" w:sz="0" w:space="0" w:color="auto"/>
        <w:left w:val="none" w:sz="0" w:space="0" w:color="auto"/>
        <w:bottom w:val="none" w:sz="0" w:space="0" w:color="auto"/>
        <w:right w:val="none" w:sz="0" w:space="0" w:color="auto"/>
      </w:divBdr>
    </w:div>
    <w:div w:id="1711686610">
      <w:bodyDiv w:val="1"/>
      <w:marLeft w:val="0"/>
      <w:marRight w:val="0"/>
      <w:marTop w:val="0"/>
      <w:marBottom w:val="0"/>
      <w:divBdr>
        <w:top w:val="none" w:sz="0" w:space="0" w:color="auto"/>
        <w:left w:val="none" w:sz="0" w:space="0" w:color="auto"/>
        <w:bottom w:val="none" w:sz="0" w:space="0" w:color="auto"/>
        <w:right w:val="none" w:sz="0" w:space="0" w:color="auto"/>
      </w:divBdr>
    </w:div>
    <w:div w:id="1758940165">
      <w:bodyDiv w:val="1"/>
      <w:marLeft w:val="0"/>
      <w:marRight w:val="0"/>
      <w:marTop w:val="0"/>
      <w:marBottom w:val="0"/>
      <w:divBdr>
        <w:top w:val="none" w:sz="0" w:space="0" w:color="auto"/>
        <w:left w:val="none" w:sz="0" w:space="0" w:color="auto"/>
        <w:bottom w:val="none" w:sz="0" w:space="0" w:color="auto"/>
        <w:right w:val="none" w:sz="0" w:space="0" w:color="auto"/>
      </w:divBdr>
    </w:div>
    <w:div w:id="1816676246">
      <w:bodyDiv w:val="1"/>
      <w:marLeft w:val="0"/>
      <w:marRight w:val="0"/>
      <w:marTop w:val="0"/>
      <w:marBottom w:val="0"/>
      <w:divBdr>
        <w:top w:val="none" w:sz="0" w:space="0" w:color="auto"/>
        <w:left w:val="none" w:sz="0" w:space="0" w:color="auto"/>
        <w:bottom w:val="none" w:sz="0" w:space="0" w:color="auto"/>
        <w:right w:val="none" w:sz="0" w:space="0" w:color="auto"/>
      </w:divBdr>
    </w:div>
    <w:div w:id="1994986737">
      <w:bodyDiv w:val="1"/>
      <w:marLeft w:val="0"/>
      <w:marRight w:val="0"/>
      <w:marTop w:val="0"/>
      <w:marBottom w:val="0"/>
      <w:divBdr>
        <w:top w:val="none" w:sz="0" w:space="0" w:color="auto"/>
        <w:left w:val="none" w:sz="0" w:space="0" w:color="auto"/>
        <w:bottom w:val="none" w:sz="0" w:space="0" w:color="auto"/>
        <w:right w:val="none" w:sz="0" w:space="0" w:color="auto"/>
      </w:divBdr>
    </w:div>
    <w:div w:id="2108966949">
      <w:bodyDiv w:val="1"/>
      <w:marLeft w:val="0"/>
      <w:marRight w:val="0"/>
      <w:marTop w:val="0"/>
      <w:marBottom w:val="0"/>
      <w:divBdr>
        <w:top w:val="none" w:sz="0" w:space="0" w:color="auto"/>
        <w:left w:val="none" w:sz="0" w:space="0" w:color="auto"/>
        <w:bottom w:val="none" w:sz="0" w:space="0" w:color="auto"/>
        <w:right w:val="none" w:sz="0" w:space="0" w:color="auto"/>
      </w:divBdr>
    </w:div>
    <w:div w:id="21391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www.bbc.co.uk/news/uk-scotland-scotland-politics-18898024" TargetMode="External"/><Relationship Id="rId26" Type="http://schemas.openxmlformats.org/officeDocument/2006/relationships/hyperlink" Target="https://www.gov.uk/government/publications/national-child-measurement-programme-childhood-obesity/executive-summary-learning-from-local-authorities-with-downward-trends-in-childhood-obesity"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216094/dh_123492.pdf"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professional.dowjones.com/factiva/" TargetMode="External"/><Relationship Id="rId17" Type="http://schemas.openxmlformats.org/officeDocument/2006/relationships/hyperlink" Target="https://www.asa.org.uk/advice-online/food-hfss-nutrient-profiling.html" TargetMode="External"/><Relationship Id="rId25" Type="http://schemas.openxmlformats.org/officeDocument/2006/relationships/hyperlink" Target="https://digital.nhs.uk/data-and-information/publications/statistical/national-child-measurement-programme/2019-20-school-year" TargetMode="External"/><Relationship Id="rId2" Type="http://schemas.openxmlformats.org/officeDocument/2006/relationships/customXml" Target="../customXml/item2.xml"/><Relationship Id="rId16" Type="http://schemas.openxmlformats.org/officeDocument/2006/relationships/hyperlink" Target="https://www.haringey.gov.uk/news/haringey-council-ban-advertising-unhealthy-foods" TargetMode="External"/><Relationship Id="rId20" Type="http://schemas.openxmlformats.org/officeDocument/2006/relationships/hyperlink" Target="https://www.gov.uk/government/publications/childhood-obesity-a-plan-for-action/childhood-obesity-a-plan-for-ac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hompson25@herts.ac.uk" TargetMode="External"/><Relationship Id="rId24" Type="http://schemas.openxmlformats.org/officeDocument/2006/relationships/hyperlink" Target="http://www.fdf.org.uk/keyissues_hw.aspx?issue=644" TargetMode="External"/><Relationship Id="rId5" Type="http://schemas.openxmlformats.org/officeDocument/2006/relationships/numbering" Target="numbering.xml"/><Relationship Id="rId15" Type="http://schemas.openxmlformats.org/officeDocument/2006/relationships/hyperlink" Target="https://www.haringey.gov.uk/news/haringey-council-ban-advertising-unhealthy-foods" TargetMode="External"/><Relationship Id="rId23" Type="http://schemas.openxmlformats.org/officeDocument/2006/relationships/hyperlink" Target="https://outdoor.global.com/~/media/files/uk/brochures/hfss-brochure-exterion-media.pdf" TargetMode="External"/><Relationship Id="rId28" Type="http://schemas.openxmlformats.org/officeDocument/2006/relationships/hyperlink" Target="https://www.sciencedirect.com/science/article/pii/S135382921930783X" TargetMode="External"/><Relationship Id="rId10" Type="http://schemas.openxmlformats.org/officeDocument/2006/relationships/endnotes" Target="endnotes.xml"/><Relationship Id="rId19" Type="http://schemas.openxmlformats.org/officeDocument/2006/relationships/hyperlink" Target="https://blogs.lse.ac.uk/politicsandpolicy/why-we-dont-need-the-alcohol-industry-for-a-strong-econom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uardian.com/society/2018/mar/15/call-to-tighten-junk-food-advert-rules-after-obesity-link-shown" TargetMode="External"/><Relationship Id="rId22" Type="http://schemas.openxmlformats.org/officeDocument/2006/relationships/hyperlink" Target="https://www.gov.uk/government/news/new-obesity-strategy-unveiled-as-country-urged-to-lose-weight-to-beat-coronavirus-covid-19-and-protect-the-nhs" TargetMode="External"/><Relationship Id="rId27" Type="http://schemas.openxmlformats.org/officeDocument/2006/relationships/chart" Target="charts/chart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TfL%20HFSS\2.DATA\MEDIA_analyses\ListRetainedQuanti_2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spPr>
            <a:solidFill>
              <a:schemeClr val="bg2">
                <a:lumMod val="75000"/>
              </a:schemeClr>
            </a:solidFill>
            <a:ln>
              <a:noFill/>
            </a:ln>
            <a:effectLst/>
          </c:spPr>
          <c:invertIfNegative val="0"/>
          <c:cat>
            <c:strRef>
              <c:f>Sheet1!$A$23:$A$37</c:f>
              <c:strCache>
                <c:ptCount val="15"/>
                <c:pt idx="0">
                  <c:v>Mar-18</c:v>
                </c:pt>
                <c:pt idx="1">
                  <c:v>Apr-18</c:v>
                </c:pt>
                <c:pt idx="2">
                  <c:v>May-18</c:v>
                </c:pt>
                <c:pt idx="3">
                  <c:v>Jun-18</c:v>
                </c:pt>
                <c:pt idx="4">
                  <c:v>Jul-18</c:v>
                </c:pt>
                <c:pt idx="5">
                  <c:v>Aug-18</c:v>
                </c:pt>
                <c:pt idx="6">
                  <c:v>Sep-18</c:v>
                </c:pt>
                <c:pt idx="7">
                  <c:v>Oct-18</c:v>
                </c:pt>
                <c:pt idx="8">
                  <c:v>Nov-18</c:v>
                </c:pt>
                <c:pt idx="9">
                  <c:v>Dec-18</c:v>
                </c:pt>
                <c:pt idx="10">
                  <c:v>Jan-19</c:v>
                </c:pt>
                <c:pt idx="11">
                  <c:v>Fev-19</c:v>
                </c:pt>
                <c:pt idx="12">
                  <c:v>Mar-19</c:v>
                </c:pt>
                <c:pt idx="13">
                  <c:v>Apr-19</c:v>
                </c:pt>
                <c:pt idx="14">
                  <c:v>May-19</c:v>
                </c:pt>
              </c:strCache>
            </c:strRef>
          </c:cat>
          <c:val>
            <c:numRef>
              <c:f>Sheet1!$B$23:$B$37</c:f>
              <c:numCache>
                <c:formatCode>General</c:formatCode>
                <c:ptCount val="15"/>
                <c:pt idx="0">
                  <c:v>0</c:v>
                </c:pt>
                <c:pt idx="1">
                  <c:v>0</c:v>
                </c:pt>
                <c:pt idx="2">
                  <c:v>42</c:v>
                </c:pt>
                <c:pt idx="3">
                  <c:v>0</c:v>
                </c:pt>
                <c:pt idx="4">
                  <c:v>5</c:v>
                </c:pt>
                <c:pt idx="5">
                  <c:v>4</c:v>
                </c:pt>
                <c:pt idx="6">
                  <c:v>0</c:v>
                </c:pt>
                <c:pt idx="7">
                  <c:v>0</c:v>
                </c:pt>
                <c:pt idx="8">
                  <c:v>17</c:v>
                </c:pt>
                <c:pt idx="9">
                  <c:v>7</c:v>
                </c:pt>
                <c:pt idx="10">
                  <c:v>5</c:v>
                </c:pt>
                <c:pt idx="11">
                  <c:v>12</c:v>
                </c:pt>
                <c:pt idx="12">
                  <c:v>20</c:v>
                </c:pt>
                <c:pt idx="13">
                  <c:v>19</c:v>
                </c:pt>
                <c:pt idx="14">
                  <c:v>2</c:v>
                </c:pt>
              </c:numCache>
            </c:numRef>
          </c:val>
          <c:extLst>
            <c:ext xmlns:c16="http://schemas.microsoft.com/office/drawing/2014/chart" uri="{C3380CC4-5D6E-409C-BE32-E72D297353CC}">
              <c16:uniqueId val="{00000000-3F21-4F7B-8D38-A4D22D3B9829}"/>
            </c:ext>
          </c:extLst>
        </c:ser>
        <c:ser>
          <c:idx val="1"/>
          <c:order val="1"/>
          <c:spPr>
            <a:solidFill>
              <a:schemeClr val="bg2">
                <a:lumMod val="25000"/>
              </a:schemeClr>
            </a:solidFill>
            <a:ln>
              <a:noFill/>
            </a:ln>
            <a:effectLst/>
          </c:spPr>
          <c:invertIfNegative val="0"/>
          <c:cat>
            <c:strRef>
              <c:f>Sheet1!$A$23:$A$37</c:f>
              <c:strCache>
                <c:ptCount val="15"/>
                <c:pt idx="0">
                  <c:v>Mar-18</c:v>
                </c:pt>
                <c:pt idx="1">
                  <c:v>Apr-18</c:v>
                </c:pt>
                <c:pt idx="2">
                  <c:v>May-18</c:v>
                </c:pt>
                <c:pt idx="3">
                  <c:v>Jun-18</c:v>
                </c:pt>
                <c:pt idx="4">
                  <c:v>Jul-18</c:v>
                </c:pt>
                <c:pt idx="5">
                  <c:v>Aug-18</c:v>
                </c:pt>
                <c:pt idx="6">
                  <c:v>Sep-18</c:v>
                </c:pt>
                <c:pt idx="7">
                  <c:v>Oct-18</c:v>
                </c:pt>
                <c:pt idx="8">
                  <c:v>Nov-18</c:v>
                </c:pt>
                <c:pt idx="9">
                  <c:v>Dec-18</c:v>
                </c:pt>
                <c:pt idx="10">
                  <c:v>Jan-19</c:v>
                </c:pt>
                <c:pt idx="11">
                  <c:v>Fev-19</c:v>
                </c:pt>
                <c:pt idx="12">
                  <c:v>Mar-19</c:v>
                </c:pt>
                <c:pt idx="13">
                  <c:v>Apr-19</c:v>
                </c:pt>
                <c:pt idx="14">
                  <c:v>May-19</c:v>
                </c:pt>
              </c:strCache>
            </c:strRef>
          </c:cat>
          <c:val>
            <c:numRef>
              <c:f>Sheet1!$C$23:$C$37</c:f>
              <c:numCache>
                <c:formatCode>General</c:formatCode>
                <c:ptCount val="15"/>
                <c:pt idx="0">
                  <c:v>0</c:v>
                </c:pt>
                <c:pt idx="1">
                  <c:v>0</c:v>
                </c:pt>
                <c:pt idx="2">
                  <c:v>19</c:v>
                </c:pt>
                <c:pt idx="3">
                  <c:v>0</c:v>
                </c:pt>
                <c:pt idx="4">
                  <c:v>3</c:v>
                </c:pt>
                <c:pt idx="5">
                  <c:v>0</c:v>
                </c:pt>
                <c:pt idx="6">
                  <c:v>6</c:v>
                </c:pt>
                <c:pt idx="7">
                  <c:v>5</c:v>
                </c:pt>
                <c:pt idx="8">
                  <c:v>13</c:v>
                </c:pt>
                <c:pt idx="9">
                  <c:v>0</c:v>
                </c:pt>
                <c:pt idx="10">
                  <c:v>8</c:v>
                </c:pt>
                <c:pt idx="11">
                  <c:v>13</c:v>
                </c:pt>
                <c:pt idx="12">
                  <c:v>11</c:v>
                </c:pt>
                <c:pt idx="13">
                  <c:v>3</c:v>
                </c:pt>
                <c:pt idx="14">
                  <c:v>7</c:v>
                </c:pt>
              </c:numCache>
            </c:numRef>
          </c:val>
          <c:extLst>
            <c:ext xmlns:c16="http://schemas.microsoft.com/office/drawing/2014/chart" uri="{C3380CC4-5D6E-409C-BE32-E72D297353CC}">
              <c16:uniqueId val="{00000001-3F21-4F7B-8D38-A4D22D3B9829}"/>
            </c:ext>
          </c:extLst>
        </c:ser>
        <c:dLbls>
          <c:showLegendKey val="0"/>
          <c:showVal val="0"/>
          <c:showCatName val="0"/>
          <c:showSerName val="0"/>
          <c:showPercent val="0"/>
          <c:showBubbleSize val="0"/>
        </c:dLbls>
        <c:gapWidth val="20"/>
        <c:overlap val="100"/>
        <c:axId val="203313152"/>
        <c:axId val="203316224"/>
      </c:barChart>
      <c:catAx>
        <c:axId val="20331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316224"/>
        <c:crosses val="autoZero"/>
        <c:auto val="1"/>
        <c:lblAlgn val="ctr"/>
        <c:lblOffset val="100"/>
        <c:noMultiLvlLbl val="0"/>
      </c:catAx>
      <c:valAx>
        <c:axId val="203316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GB"/>
                  <a:t>Included articles</a:t>
                </a:r>
                <a:r>
                  <a:rPr lang="en-GB" baseline="0"/>
                  <a:t> (n/month)</a:t>
                </a:r>
                <a:endParaRPr lang="en-GB"/>
              </a:p>
            </c:rich>
          </c:tx>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3131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Frequency of publication by media</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 (2)'!$A$2:$A$43</c:f>
              <c:strCache>
                <c:ptCount val="42"/>
                <c:pt idx="0">
                  <c:v>*</c:v>
                </c:pt>
                <c:pt idx="1">
                  <c:v>Breitbart</c:v>
                </c:pt>
                <c:pt idx="2">
                  <c:v>Courier Mail</c:v>
                </c:pt>
                <c:pt idx="3">
                  <c:v>ENP Newswire</c:v>
                </c:pt>
                <c:pt idx="4">
                  <c:v>express.co.uk</c:v>
                </c:pt>
                <c:pt idx="5">
                  <c:v>Financial Times (FT.Com)</c:v>
                </c:pt>
                <c:pt idx="6">
                  <c:v>Just-Food</c:v>
                </c:pt>
                <c:pt idx="7">
                  <c:v>Mirror.co.uk</c:v>
                </c:pt>
                <c:pt idx="8">
                  <c:v>Newham Recorder</c:v>
                </c:pt>
                <c:pt idx="9">
                  <c:v>Press association</c:v>
                </c:pt>
                <c:pt idx="10">
                  <c:v>The Daily Express</c:v>
                </c:pt>
                <c:pt idx="11">
                  <c:v>The Spectator</c:v>
                </c:pt>
                <c:pt idx="12">
                  <c:v>The Sun</c:v>
                </c:pt>
                <c:pt idx="13">
                  <c:v>The Sunday Telegraph</c:v>
                </c:pt>
                <c:pt idx="14">
                  <c:v>Daily Mail</c:v>
                </c:pt>
                <c:pt idx="15">
                  <c:v>Financial Times</c:v>
                </c:pt>
                <c:pt idx="16">
                  <c:v>iNews</c:v>
                </c:pt>
                <c:pt idx="17">
                  <c:v>The Grocer</c:v>
                </c:pt>
                <c:pt idx="18">
                  <c:v>thesun.co.uk</c:v>
                </c:pt>
                <c:pt idx="19">
                  <c:v>Watford Observer</c:v>
                </c:pt>
                <c:pt idx="20">
                  <c:v>Huffington post</c:v>
                </c:pt>
                <c:pt idx="21">
                  <c:v>Independent Online</c:v>
                </c:pt>
                <c:pt idx="22">
                  <c:v>Scottish Daily Mail</c:v>
                </c:pt>
                <c:pt idx="23">
                  <c:v>The Independent</c:v>
                </c:pt>
                <c:pt idx="24">
                  <c:v>thetimes.co.uk</c:v>
                </c:pt>
                <c:pt idx="25">
                  <c:v>London Evening Standard</c:v>
                </c:pt>
                <c:pt idx="26">
                  <c:v>London Evening Standard Online</c:v>
                </c:pt>
                <c:pt idx="27">
                  <c:v>The Daily Telegraph</c:v>
                </c:pt>
                <c:pt idx="28">
                  <c:v>The Guardian</c:v>
                </c:pt>
                <c:pt idx="29">
                  <c:v>Evening Standard Online</c:v>
                </c:pt>
                <c:pt idx="30">
                  <c:v>The Daily Mirror</c:v>
                </c:pt>
                <c:pt idx="31">
                  <c:v>The Drum</c:v>
                </c:pt>
                <c:pt idx="32">
                  <c:v>The Telegraph Online</c:v>
                </c:pt>
                <c:pt idx="33">
                  <c:v>East London and West Essex Guardian Series</c:v>
                </c:pt>
                <c:pt idx="34">
                  <c:v>Enfield Independent</c:v>
                </c:pt>
                <c:pt idx="35">
                  <c:v>Evening Standard</c:v>
                </c:pt>
                <c:pt idx="36">
                  <c:v>Harrow Times</c:v>
                </c:pt>
                <c:pt idx="37">
                  <c:v>Mail Online</c:v>
                </c:pt>
                <c:pt idx="38">
                  <c:v>Times Series</c:v>
                </c:pt>
                <c:pt idx="39">
                  <c:v>CampaignLive</c:v>
                </c:pt>
                <c:pt idx="40">
                  <c:v>The Times</c:v>
                </c:pt>
                <c:pt idx="41">
                  <c:v>City A.M.</c:v>
                </c:pt>
              </c:strCache>
            </c:strRef>
          </c:cat>
          <c:val>
            <c:numRef>
              <c:f>'Sheet1 (2)'!$B$2:$B$43</c:f>
              <c:numCache>
                <c:formatCode>###0</c:formatCode>
                <c:ptCount val="42"/>
                <c:pt idx="0">
                  <c:v>1</c:v>
                </c:pt>
                <c:pt idx="1">
                  <c:v>2</c:v>
                </c:pt>
                <c:pt idx="2">
                  <c:v>2</c:v>
                </c:pt>
                <c:pt idx="3">
                  <c:v>2</c:v>
                </c:pt>
                <c:pt idx="4">
                  <c:v>2</c:v>
                </c:pt>
                <c:pt idx="5">
                  <c:v>2</c:v>
                </c:pt>
                <c:pt idx="6">
                  <c:v>2</c:v>
                </c:pt>
                <c:pt idx="7">
                  <c:v>2</c:v>
                </c:pt>
                <c:pt idx="8">
                  <c:v>2</c:v>
                </c:pt>
                <c:pt idx="9">
                  <c:v>2</c:v>
                </c:pt>
                <c:pt idx="10">
                  <c:v>2</c:v>
                </c:pt>
                <c:pt idx="11">
                  <c:v>2</c:v>
                </c:pt>
                <c:pt idx="12">
                  <c:v>2</c:v>
                </c:pt>
                <c:pt idx="13">
                  <c:v>2</c:v>
                </c:pt>
                <c:pt idx="14">
                  <c:v>3</c:v>
                </c:pt>
                <c:pt idx="15">
                  <c:v>3</c:v>
                </c:pt>
                <c:pt idx="16">
                  <c:v>3</c:v>
                </c:pt>
                <c:pt idx="17">
                  <c:v>3</c:v>
                </c:pt>
                <c:pt idx="18">
                  <c:v>3</c:v>
                </c:pt>
                <c:pt idx="19">
                  <c:v>3</c:v>
                </c:pt>
                <c:pt idx="20">
                  <c:v>4</c:v>
                </c:pt>
                <c:pt idx="21">
                  <c:v>4</c:v>
                </c:pt>
                <c:pt idx="22">
                  <c:v>4</c:v>
                </c:pt>
                <c:pt idx="23">
                  <c:v>4</c:v>
                </c:pt>
                <c:pt idx="24">
                  <c:v>4</c:v>
                </c:pt>
                <c:pt idx="25">
                  <c:v>5</c:v>
                </c:pt>
                <c:pt idx="26">
                  <c:v>5</c:v>
                </c:pt>
                <c:pt idx="27">
                  <c:v>5</c:v>
                </c:pt>
                <c:pt idx="28">
                  <c:v>5</c:v>
                </c:pt>
                <c:pt idx="29">
                  <c:v>6</c:v>
                </c:pt>
                <c:pt idx="30">
                  <c:v>6</c:v>
                </c:pt>
                <c:pt idx="31">
                  <c:v>6</c:v>
                </c:pt>
                <c:pt idx="32">
                  <c:v>6</c:v>
                </c:pt>
                <c:pt idx="33">
                  <c:v>7</c:v>
                </c:pt>
                <c:pt idx="34">
                  <c:v>7</c:v>
                </c:pt>
                <c:pt idx="35">
                  <c:v>7</c:v>
                </c:pt>
                <c:pt idx="36">
                  <c:v>7</c:v>
                </c:pt>
                <c:pt idx="37">
                  <c:v>7</c:v>
                </c:pt>
                <c:pt idx="38">
                  <c:v>7</c:v>
                </c:pt>
                <c:pt idx="39">
                  <c:v>8</c:v>
                </c:pt>
                <c:pt idx="40">
                  <c:v>9</c:v>
                </c:pt>
                <c:pt idx="41">
                  <c:v>10</c:v>
                </c:pt>
              </c:numCache>
            </c:numRef>
          </c:val>
          <c:extLst>
            <c:ext xmlns:c16="http://schemas.microsoft.com/office/drawing/2014/chart" uri="{C3380CC4-5D6E-409C-BE32-E72D297353CC}">
              <c16:uniqueId val="{00000000-814A-4538-8748-7E86C9DE311B}"/>
            </c:ext>
          </c:extLst>
        </c:ser>
        <c:dLbls>
          <c:showLegendKey val="0"/>
          <c:showVal val="0"/>
          <c:showCatName val="0"/>
          <c:showSerName val="0"/>
          <c:showPercent val="0"/>
          <c:showBubbleSize val="0"/>
        </c:dLbls>
        <c:gapWidth val="182"/>
        <c:axId val="222726016"/>
        <c:axId val="222727552"/>
      </c:barChart>
      <c:catAx>
        <c:axId val="222726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727552"/>
        <c:crosses val="autoZero"/>
        <c:auto val="1"/>
        <c:lblAlgn val="ctr"/>
        <c:lblOffset val="100"/>
        <c:noMultiLvlLbl val="0"/>
      </c:catAx>
      <c:valAx>
        <c:axId val="222727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726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658C09E409B4A88D3857D9AE33E6D" ma:contentTypeVersion="13" ma:contentTypeDescription="Create a new document." ma:contentTypeScope="" ma:versionID="53e3b9d991b8ae08aacbcf8ff3263646">
  <xsd:schema xmlns:xsd="http://www.w3.org/2001/XMLSchema" xmlns:xs="http://www.w3.org/2001/XMLSchema" xmlns:p="http://schemas.microsoft.com/office/2006/metadata/properties" xmlns:ns3="e23cad41-b631-4c76-81ff-5c9767003a18" xmlns:ns4="da7a1796-449e-4369-b06e-51ec35933961" targetNamespace="http://schemas.microsoft.com/office/2006/metadata/properties" ma:root="true" ma:fieldsID="72abc441df5e8d22266bb8bed0433c56" ns3:_="" ns4:_="">
    <xsd:import namespace="e23cad41-b631-4c76-81ff-5c9767003a18"/>
    <xsd:import namespace="da7a1796-449e-4369-b06e-51ec359339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cad41-b631-4c76-81ff-5c9767003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a1796-449e-4369-b06e-51ec359339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06FF-CF17-45A7-95B7-03AF22F061D2}">
  <ds:schemaRefs>
    <ds:schemaRef ds:uri="http://schemas.microsoft.com/sharepoint/v3/contenttype/forms"/>
  </ds:schemaRefs>
</ds:datastoreItem>
</file>

<file path=customXml/itemProps2.xml><?xml version="1.0" encoding="utf-8"?>
<ds:datastoreItem xmlns:ds="http://schemas.openxmlformats.org/officeDocument/2006/customXml" ds:itemID="{AB758A89-A06F-4648-B4E0-ADF9A7140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cad41-b631-4c76-81ff-5c9767003a18"/>
    <ds:schemaRef ds:uri="da7a1796-449e-4369-b06e-51ec35933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73860-26BE-4A66-854B-FDC2ADFEC8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A6E0CE-7B5A-4459-A454-A0C9C366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20319</Words>
  <Characters>115820</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135868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Clary</dc:creator>
  <cp:lastModifiedBy>Claire Thompson</cp:lastModifiedBy>
  <cp:revision>7</cp:revision>
  <dcterms:created xsi:type="dcterms:W3CDTF">2021-05-24T13:35:00Z</dcterms:created>
  <dcterms:modified xsi:type="dcterms:W3CDTF">2021-05-24T13:39:00Z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0x010100782658C09E409B4A88D3857D9AE33E6D</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http://www.zotero.org/styles/bmc-medical-research-methodology</vt:lpwstr>
  </property>
  <property fmtid="{D5CDD505-2E9C-101B-9397-08002B2CF9AE}" pid="6" name="Mendeley Recent Style Name 1_1">
    <vt:lpwstr>BMC Medical Research Methodology</vt:lpwstr>
  </property>
  <property fmtid="{D5CDD505-2E9C-101B-9397-08002B2CF9AE}" pid="7" name="Mendeley Recent Style Id 2_1">
    <vt:lpwstr>http://www.zotero.org/styles/bioelectromagnetics</vt:lpwstr>
  </property>
  <property fmtid="{D5CDD505-2E9C-101B-9397-08002B2CF9AE}" pid="8" name="Mendeley Recent Style Name 2_1">
    <vt:lpwstr>Bioelectromagnetics</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ies>
</file>