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3DCCE" w14:textId="77777777" w:rsidR="00450596" w:rsidRPr="00914CFC" w:rsidRDefault="00450596" w:rsidP="00450596">
      <w:pPr>
        <w:pStyle w:val="Title"/>
        <w:rPr>
          <w:rFonts w:ascii="Arial" w:hAnsi="Arial" w:cs="Arial"/>
          <w:b/>
          <w:sz w:val="24"/>
          <w:szCs w:val="48"/>
        </w:rPr>
      </w:pPr>
      <w:r w:rsidRPr="00914CFC">
        <w:rPr>
          <w:rFonts w:ascii="Arial" w:hAnsi="Arial" w:cs="Arial"/>
          <w:b/>
          <w:sz w:val="24"/>
          <w:szCs w:val="48"/>
        </w:rPr>
        <w:t xml:space="preserve">Validating </w:t>
      </w:r>
      <w:r>
        <w:rPr>
          <w:rFonts w:ascii="Arial" w:hAnsi="Arial" w:cs="Arial"/>
          <w:b/>
          <w:sz w:val="24"/>
          <w:szCs w:val="48"/>
        </w:rPr>
        <w:t xml:space="preserve">clinical practice </w:t>
      </w:r>
      <w:r w:rsidRPr="00914CFC">
        <w:rPr>
          <w:rFonts w:ascii="Arial" w:hAnsi="Arial" w:cs="Arial"/>
          <w:b/>
          <w:sz w:val="24"/>
          <w:szCs w:val="48"/>
        </w:rPr>
        <w:t xml:space="preserve">guidelines for the management of </w:t>
      </w:r>
      <w:r>
        <w:rPr>
          <w:rFonts w:ascii="Arial" w:hAnsi="Arial" w:cs="Arial"/>
          <w:b/>
          <w:sz w:val="24"/>
          <w:szCs w:val="48"/>
        </w:rPr>
        <w:t>children with n</w:t>
      </w:r>
      <w:r w:rsidRPr="00914CFC">
        <w:rPr>
          <w:rFonts w:ascii="Arial" w:hAnsi="Arial" w:cs="Arial"/>
          <w:b/>
          <w:sz w:val="24"/>
          <w:szCs w:val="48"/>
        </w:rPr>
        <w:t xml:space="preserve">on-blanching rashes in the United Kingdom. </w:t>
      </w:r>
    </w:p>
    <w:p w14:paraId="420A8581" w14:textId="77777777" w:rsidR="00450596" w:rsidRPr="00914CFC" w:rsidRDefault="00450596" w:rsidP="00450596">
      <w:pPr>
        <w:rPr>
          <w:rFonts w:ascii="Arial" w:hAnsi="Arial" w:cs="Arial"/>
        </w:rPr>
      </w:pPr>
    </w:p>
    <w:p w14:paraId="28B08852" w14:textId="77777777" w:rsidR="00450596" w:rsidRPr="00914CFC" w:rsidRDefault="00450596" w:rsidP="00450596">
      <w:pPr>
        <w:rPr>
          <w:rFonts w:ascii="Arial" w:hAnsi="Arial" w:cs="Arial"/>
          <w:sz w:val="20"/>
          <w:szCs w:val="20"/>
        </w:rPr>
      </w:pPr>
      <w:r w:rsidRPr="00914CFC">
        <w:rPr>
          <w:rFonts w:ascii="Arial" w:hAnsi="Arial" w:cs="Arial"/>
          <w:sz w:val="20"/>
          <w:szCs w:val="20"/>
        </w:rPr>
        <w:t>Author list &amp; institutions</w:t>
      </w:r>
    </w:p>
    <w:p w14:paraId="176A7F31" w14:textId="77777777" w:rsidR="00450596" w:rsidRPr="00914CFC" w:rsidRDefault="00450596" w:rsidP="00450596">
      <w:pPr>
        <w:rPr>
          <w:rFonts w:ascii="Arial" w:hAnsi="Arial" w:cs="Arial"/>
        </w:rPr>
      </w:pPr>
    </w:p>
    <w:p w14:paraId="6B9E46A0" w14:textId="77777777" w:rsidR="00450596" w:rsidRDefault="00450596" w:rsidP="00450596">
      <w:pPr>
        <w:pStyle w:val="ListParagraph"/>
        <w:numPr>
          <w:ilvl w:val="0"/>
          <w:numId w:val="27"/>
        </w:numPr>
        <w:rPr>
          <w:rFonts w:ascii="Arial" w:hAnsi="Arial" w:cs="Arial"/>
          <w:sz w:val="20"/>
          <w:szCs w:val="20"/>
        </w:rPr>
      </w:pPr>
      <w:r w:rsidRPr="00914CFC">
        <w:rPr>
          <w:rFonts w:ascii="Arial" w:hAnsi="Arial" w:cs="Arial"/>
          <w:sz w:val="20"/>
          <w:szCs w:val="20"/>
        </w:rPr>
        <w:t>Thomas Waterfield</w:t>
      </w:r>
      <w:r>
        <w:rPr>
          <w:rFonts w:ascii="Arial" w:hAnsi="Arial" w:cs="Arial"/>
          <w:sz w:val="20"/>
          <w:szCs w:val="20"/>
        </w:rPr>
        <w:t xml:space="preserve"> (BMBCh)</w:t>
      </w:r>
    </w:p>
    <w:p w14:paraId="3208616F" w14:textId="77777777" w:rsidR="00450596" w:rsidRPr="00C2328D" w:rsidRDefault="00450596" w:rsidP="00450596">
      <w:pPr>
        <w:pStyle w:val="ListParagraph"/>
        <w:numPr>
          <w:ilvl w:val="1"/>
          <w:numId w:val="27"/>
        </w:numPr>
        <w:rPr>
          <w:rFonts w:ascii="Arial" w:hAnsi="Arial" w:cs="Arial"/>
          <w:sz w:val="20"/>
          <w:szCs w:val="20"/>
        </w:rPr>
      </w:pPr>
      <w:r w:rsidRPr="00914CFC">
        <w:rPr>
          <w:rFonts w:ascii="Arial" w:hAnsi="Arial" w:cs="Arial"/>
          <w:sz w:val="20"/>
          <w:szCs w:val="20"/>
        </w:rPr>
        <w:t>Emergency Department, Royal Belfast Hospital for Sick Children, Belfast, UK</w:t>
      </w:r>
      <w:r w:rsidRPr="00C2328D">
        <w:rPr>
          <w:rFonts w:ascii="Arial" w:hAnsi="Arial" w:cs="Arial"/>
          <w:sz w:val="20"/>
          <w:szCs w:val="20"/>
        </w:rPr>
        <w:t xml:space="preserve"> </w:t>
      </w:r>
    </w:p>
    <w:p w14:paraId="068EBC2A" w14:textId="77777777" w:rsidR="00450596" w:rsidRDefault="00450596" w:rsidP="00450596">
      <w:pPr>
        <w:pStyle w:val="ListParagraph"/>
        <w:numPr>
          <w:ilvl w:val="1"/>
          <w:numId w:val="27"/>
        </w:numPr>
        <w:rPr>
          <w:rFonts w:ascii="Arial" w:hAnsi="Arial" w:cs="Arial"/>
          <w:sz w:val="20"/>
          <w:szCs w:val="20"/>
        </w:rPr>
      </w:pPr>
      <w:r w:rsidRPr="00914CFC">
        <w:rPr>
          <w:rFonts w:ascii="Arial" w:hAnsi="Arial" w:cs="Arial"/>
          <w:sz w:val="20"/>
          <w:szCs w:val="20"/>
        </w:rPr>
        <w:t>Centre for Experimental Medicine, Wellcome Wolfson Institute of Experimental Medicine, Queen’s University Belfast, Belfast, UK</w:t>
      </w:r>
    </w:p>
    <w:p w14:paraId="2CD54CC2" w14:textId="77777777" w:rsidR="00450596" w:rsidRDefault="00450596" w:rsidP="00450596">
      <w:pPr>
        <w:pStyle w:val="ListParagraph"/>
        <w:numPr>
          <w:ilvl w:val="0"/>
          <w:numId w:val="27"/>
        </w:numPr>
        <w:rPr>
          <w:rFonts w:ascii="Arial" w:hAnsi="Arial" w:cs="Arial"/>
          <w:sz w:val="20"/>
          <w:szCs w:val="20"/>
        </w:rPr>
      </w:pPr>
      <w:r w:rsidRPr="00914CFC">
        <w:rPr>
          <w:rFonts w:ascii="Arial" w:hAnsi="Arial" w:cs="Arial"/>
          <w:sz w:val="20"/>
          <w:szCs w:val="20"/>
        </w:rPr>
        <w:t>Julie-Ann Maney</w:t>
      </w:r>
      <w:r>
        <w:rPr>
          <w:rFonts w:ascii="Arial" w:hAnsi="Arial" w:cs="Arial"/>
          <w:sz w:val="20"/>
          <w:szCs w:val="20"/>
        </w:rPr>
        <w:t xml:space="preserve"> (MBBCh)</w:t>
      </w:r>
    </w:p>
    <w:p w14:paraId="0DEE7C7B" w14:textId="77777777" w:rsidR="00450596" w:rsidRPr="00A44FDD" w:rsidRDefault="00450596" w:rsidP="00450596">
      <w:pPr>
        <w:pStyle w:val="ListParagraph"/>
        <w:numPr>
          <w:ilvl w:val="1"/>
          <w:numId w:val="27"/>
        </w:numPr>
        <w:rPr>
          <w:rFonts w:ascii="Arial" w:hAnsi="Arial" w:cs="Arial"/>
          <w:sz w:val="20"/>
          <w:szCs w:val="20"/>
        </w:rPr>
      </w:pPr>
      <w:r w:rsidRPr="00914CFC">
        <w:rPr>
          <w:rFonts w:ascii="Arial" w:hAnsi="Arial" w:cs="Arial"/>
          <w:sz w:val="20"/>
          <w:szCs w:val="20"/>
        </w:rPr>
        <w:t>Emergency Department, Royal Belfast Hospital for Sick Children, Belfast, UK</w:t>
      </w:r>
    </w:p>
    <w:p w14:paraId="112A3189" w14:textId="77777777" w:rsidR="00450596" w:rsidRDefault="00450596" w:rsidP="00450596">
      <w:pPr>
        <w:pStyle w:val="ListParagraph"/>
        <w:numPr>
          <w:ilvl w:val="0"/>
          <w:numId w:val="27"/>
        </w:numPr>
        <w:rPr>
          <w:rFonts w:ascii="Arial" w:hAnsi="Arial" w:cs="Arial"/>
          <w:sz w:val="20"/>
          <w:szCs w:val="20"/>
        </w:rPr>
      </w:pPr>
      <w:r w:rsidRPr="000B2EE5">
        <w:rPr>
          <w:rFonts w:ascii="Arial" w:hAnsi="Arial" w:cs="Arial"/>
          <w:sz w:val="20"/>
          <w:szCs w:val="20"/>
        </w:rPr>
        <w:t>Derek Fairley</w:t>
      </w:r>
      <w:r>
        <w:rPr>
          <w:rFonts w:ascii="Arial" w:hAnsi="Arial" w:cs="Arial"/>
          <w:sz w:val="20"/>
          <w:szCs w:val="20"/>
        </w:rPr>
        <w:t xml:space="preserve"> (PhD)</w:t>
      </w:r>
    </w:p>
    <w:p w14:paraId="1ABB06C0" w14:textId="77777777" w:rsidR="00450596" w:rsidRDefault="00450596" w:rsidP="00450596">
      <w:pPr>
        <w:pStyle w:val="ListParagraph"/>
        <w:numPr>
          <w:ilvl w:val="1"/>
          <w:numId w:val="27"/>
        </w:numPr>
        <w:rPr>
          <w:rFonts w:ascii="Arial" w:hAnsi="Arial" w:cs="Arial"/>
          <w:sz w:val="20"/>
          <w:szCs w:val="20"/>
        </w:rPr>
      </w:pPr>
      <w:r>
        <w:rPr>
          <w:rFonts w:ascii="Arial" w:hAnsi="Arial" w:cs="Arial"/>
          <w:sz w:val="20"/>
          <w:szCs w:val="20"/>
        </w:rPr>
        <w:t xml:space="preserve">Department of Microbiology, </w:t>
      </w:r>
      <w:r w:rsidRPr="00A1492B">
        <w:rPr>
          <w:rFonts w:ascii="Arial" w:hAnsi="Arial" w:cs="Arial"/>
          <w:sz w:val="20"/>
          <w:szCs w:val="20"/>
        </w:rPr>
        <w:t>Belfast Health and Social Care Trust, Belfast, UK</w:t>
      </w:r>
      <w:r w:rsidRPr="00914CFC">
        <w:rPr>
          <w:rFonts w:ascii="Arial" w:hAnsi="Arial" w:cs="Arial"/>
          <w:sz w:val="20"/>
          <w:szCs w:val="20"/>
        </w:rPr>
        <w:t xml:space="preserve"> </w:t>
      </w:r>
    </w:p>
    <w:p w14:paraId="13FEAD26" w14:textId="77777777" w:rsidR="00450596" w:rsidRDefault="00450596" w:rsidP="00450596">
      <w:pPr>
        <w:pStyle w:val="ListParagraph"/>
        <w:numPr>
          <w:ilvl w:val="1"/>
          <w:numId w:val="27"/>
        </w:numPr>
        <w:rPr>
          <w:rFonts w:ascii="Arial" w:hAnsi="Arial" w:cs="Arial"/>
          <w:sz w:val="20"/>
          <w:szCs w:val="20"/>
        </w:rPr>
      </w:pPr>
      <w:r w:rsidRPr="00914CFC">
        <w:rPr>
          <w:rFonts w:ascii="Arial" w:hAnsi="Arial" w:cs="Arial"/>
          <w:sz w:val="20"/>
          <w:szCs w:val="20"/>
        </w:rPr>
        <w:t>Centre for Experimental Medicine, Wellcome Wolfson Institute of Experimental Medicine, Queen’s University Belfast, Belfast, UK</w:t>
      </w:r>
      <w:r w:rsidRPr="000B2EE5">
        <w:rPr>
          <w:rFonts w:ascii="Arial" w:hAnsi="Arial" w:cs="Arial"/>
          <w:sz w:val="20"/>
          <w:szCs w:val="20"/>
        </w:rPr>
        <w:t xml:space="preserve"> </w:t>
      </w:r>
    </w:p>
    <w:p w14:paraId="2C454387" w14:textId="77777777" w:rsidR="00450596" w:rsidRDefault="00450596" w:rsidP="00450596">
      <w:pPr>
        <w:pStyle w:val="ListParagraph"/>
        <w:numPr>
          <w:ilvl w:val="0"/>
          <w:numId w:val="27"/>
        </w:numPr>
        <w:rPr>
          <w:rFonts w:ascii="Arial" w:hAnsi="Arial" w:cs="Arial"/>
          <w:sz w:val="20"/>
          <w:szCs w:val="20"/>
        </w:rPr>
      </w:pPr>
      <w:r w:rsidRPr="000B2EE5">
        <w:rPr>
          <w:rFonts w:ascii="Arial" w:hAnsi="Arial" w:cs="Arial"/>
          <w:sz w:val="20"/>
          <w:szCs w:val="20"/>
        </w:rPr>
        <w:t>Mark D Lyttle</w:t>
      </w:r>
      <w:r>
        <w:rPr>
          <w:rFonts w:ascii="Arial" w:hAnsi="Arial" w:cs="Arial"/>
          <w:sz w:val="20"/>
          <w:szCs w:val="20"/>
        </w:rPr>
        <w:t xml:space="preserve"> (MBChB)</w:t>
      </w:r>
    </w:p>
    <w:p w14:paraId="783C58C6" w14:textId="77777777" w:rsidR="00450596" w:rsidRDefault="00450596" w:rsidP="00450596">
      <w:pPr>
        <w:pStyle w:val="ListParagraph"/>
        <w:numPr>
          <w:ilvl w:val="1"/>
          <w:numId w:val="27"/>
        </w:numPr>
        <w:rPr>
          <w:rFonts w:ascii="Arial" w:hAnsi="Arial" w:cs="Arial"/>
          <w:sz w:val="20"/>
          <w:szCs w:val="20"/>
        </w:rPr>
      </w:pPr>
      <w:r w:rsidRPr="000B2EE5">
        <w:rPr>
          <w:rFonts w:ascii="Arial" w:hAnsi="Arial" w:cs="Arial"/>
          <w:sz w:val="20"/>
          <w:szCs w:val="20"/>
        </w:rPr>
        <w:t>Emergency Department, Bristol Royal Hospital for Children, Bristol, UK</w:t>
      </w:r>
    </w:p>
    <w:p w14:paraId="3E268FC0" w14:textId="77777777" w:rsidR="00450596" w:rsidRPr="00C2328D" w:rsidRDefault="00450596" w:rsidP="00450596">
      <w:pPr>
        <w:pStyle w:val="ListParagraph"/>
        <w:numPr>
          <w:ilvl w:val="1"/>
          <w:numId w:val="27"/>
        </w:numPr>
        <w:rPr>
          <w:rFonts w:ascii="Arial" w:hAnsi="Arial" w:cs="Arial"/>
          <w:sz w:val="20"/>
          <w:szCs w:val="20"/>
        </w:rPr>
      </w:pPr>
      <w:r w:rsidRPr="00C2328D">
        <w:rPr>
          <w:rFonts w:ascii="Arial" w:hAnsi="Arial" w:cs="Arial"/>
          <w:sz w:val="20"/>
          <w:szCs w:val="20"/>
        </w:rPr>
        <w:t>Faculty of Health and Applied Sciences, University of the West of England, Bristol, UK</w:t>
      </w:r>
    </w:p>
    <w:p w14:paraId="6865A146" w14:textId="77777777" w:rsidR="00450596" w:rsidRDefault="00450596" w:rsidP="00450596">
      <w:pPr>
        <w:pStyle w:val="ListParagraph"/>
        <w:numPr>
          <w:ilvl w:val="0"/>
          <w:numId w:val="27"/>
        </w:numPr>
        <w:rPr>
          <w:rFonts w:ascii="Arial" w:hAnsi="Arial" w:cs="Arial"/>
          <w:sz w:val="20"/>
          <w:szCs w:val="20"/>
        </w:rPr>
      </w:pPr>
      <w:r w:rsidRPr="00914CFC">
        <w:rPr>
          <w:rFonts w:ascii="Arial" w:hAnsi="Arial" w:cs="Arial"/>
          <w:sz w:val="20"/>
          <w:szCs w:val="20"/>
        </w:rPr>
        <w:t xml:space="preserve">James </w:t>
      </w:r>
      <w:r>
        <w:rPr>
          <w:rFonts w:ascii="Arial" w:hAnsi="Arial" w:cs="Arial"/>
          <w:sz w:val="20"/>
          <w:szCs w:val="20"/>
        </w:rPr>
        <w:t xml:space="preserve">P </w:t>
      </w:r>
      <w:r w:rsidRPr="00914CFC">
        <w:rPr>
          <w:rFonts w:ascii="Arial" w:hAnsi="Arial" w:cs="Arial"/>
          <w:sz w:val="20"/>
          <w:szCs w:val="20"/>
        </w:rPr>
        <w:t>McKenna</w:t>
      </w:r>
      <w:r>
        <w:rPr>
          <w:rFonts w:ascii="Arial" w:hAnsi="Arial" w:cs="Arial"/>
          <w:sz w:val="20"/>
          <w:szCs w:val="20"/>
        </w:rPr>
        <w:t xml:space="preserve"> (PhD)</w:t>
      </w:r>
    </w:p>
    <w:p w14:paraId="1DE8E32F" w14:textId="77777777" w:rsidR="00450596" w:rsidRPr="00A44FDD" w:rsidRDefault="00450596" w:rsidP="00450596">
      <w:pPr>
        <w:pStyle w:val="ListParagraph"/>
        <w:numPr>
          <w:ilvl w:val="1"/>
          <w:numId w:val="27"/>
        </w:numPr>
        <w:rPr>
          <w:rFonts w:ascii="Arial" w:hAnsi="Arial" w:cs="Arial"/>
          <w:sz w:val="20"/>
          <w:szCs w:val="20"/>
        </w:rPr>
      </w:pPr>
      <w:r>
        <w:rPr>
          <w:rFonts w:ascii="Arial" w:hAnsi="Arial" w:cs="Arial"/>
          <w:sz w:val="20"/>
          <w:szCs w:val="20"/>
        </w:rPr>
        <w:t xml:space="preserve">Department of Microbiology, </w:t>
      </w:r>
      <w:r w:rsidRPr="00914CFC">
        <w:rPr>
          <w:rFonts w:ascii="Arial" w:hAnsi="Arial" w:cs="Arial"/>
          <w:sz w:val="20"/>
          <w:szCs w:val="20"/>
        </w:rPr>
        <w:t>Belfast Health and Social Care Trust, Belfast, UK</w:t>
      </w:r>
    </w:p>
    <w:p w14:paraId="0A603302" w14:textId="77777777" w:rsidR="00450596" w:rsidRDefault="00450596" w:rsidP="00450596">
      <w:pPr>
        <w:pStyle w:val="ListParagraph"/>
        <w:numPr>
          <w:ilvl w:val="0"/>
          <w:numId w:val="27"/>
        </w:numPr>
        <w:rPr>
          <w:rFonts w:ascii="Arial" w:hAnsi="Arial" w:cs="Arial"/>
          <w:sz w:val="20"/>
          <w:szCs w:val="20"/>
        </w:rPr>
      </w:pPr>
      <w:r w:rsidRPr="00914CFC">
        <w:rPr>
          <w:rFonts w:ascii="Arial" w:hAnsi="Arial" w:cs="Arial"/>
          <w:sz w:val="20"/>
          <w:szCs w:val="20"/>
        </w:rPr>
        <w:t>Damian Roland</w:t>
      </w:r>
      <w:r>
        <w:rPr>
          <w:rFonts w:ascii="Arial" w:hAnsi="Arial" w:cs="Arial"/>
          <w:sz w:val="20"/>
          <w:szCs w:val="20"/>
        </w:rPr>
        <w:t xml:space="preserve"> (PhD)</w:t>
      </w:r>
    </w:p>
    <w:p w14:paraId="2791784B" w14:textId="77777777" w:rsidR="00450596" w:rsidRDefault="00450596" w:rsidP="00450596">
      <w:pPr>
        <w:pStyle w:val="ListParagraph"/>
        <w:numPr>
          <w:ilvl w:val="1"/>
          <w:numId w:val="27"/>
        </w:numPr>
        <w:rPr>
          <w:rFonts w:ascii="Arial" w:hAnsi="Arial" w:cs="Arial"/>
          <w:sz w:val="20"/>
          <w:szCs w:val="20"/>
        </w:rPr>
      </w:pPr>
      <w:r w:rsidRPr="00914CFC">
        <w:rPr>
          <w:rFonts w:ascii="Arial" w:hAnsi="Arial" w:cs="Arial"/>
          <w:sz w:val="20"/>
          <w:szCs w:val="20"/>
        </w:rPr>
        <w:t>SAPPHIRE Group, Health Sciences, Leicester University, Leicester, U</w:t>
      </w:r>
      <w:r>
        <w:rPr>
          <w:rFonts w:ascii="Arial" w:hAnsi="Arial" w:cs="Arial"/>
          <w:sz w:val="20"/>
          <w:szCs w:val="20"/>
        </w:rPr>
        <w:t>K</w:t>
      </w:r>
    </w:p>
    <w:p w14:paraId="12C0A14D" w14:textId="77777777" w:rsidR="00450596" w:rsidRDefault="00450596" w:rsidP="00450596">
      <w:pPr>
        <w:pStyle w:val="ListParagraph"/>
        <w:numPr>
          <w:ilvl w:val="1"/>
          <w:numId w:val="27"/>
        </w:numPr>
        <w:rPr>
          <w:rFonts w:ascii="Arial" w:hAnsi="Arial" w:cs="Arial"/>
          <w:sz w:val="20"/>
          <w:szCs w:val="20"/>
        </w:rPr>
      </w:pPr>
      <w:r w:rsidRPr="00914CFC">
        <w:rPr>
          <w:rFonts w:ascii="Arial" w:hAnsi="Arial" w:cs="Arial"/>
          <w:sz w:val="20"/>
          <w:szCs w:val="20"/>
        </w:rPr>
        <w:t>Children’s Emergency Department, Leicester Royal Infirmary, Leicester, UK</w:t>
      </w:r>
    </w:p>
    <w:p w14:paraId="02F8C877" w14:textId="77777777" w:rsidR="00450596" w:rsidRDefault="00450596" w:rsidP="00450596">
      <w:pPr>
        <w:pStyle w:val="ListParagraph"/>
        <w:numPr>
          <w:ilvl w:val="0"/>
          <w:numId w:val="27"/>
        </w:numPr>
        <w:rPr>
          <w:rFonts w:ascii="Arial" w:hAnsi="Arial" w:cs="Arial"/>
          <w:sz w:val="20"/>
          <w:szCs w:val="20"/>
        </w:rPr>
      </w:pPr>
      <w:r>
        <w:rPr>
          <w:rFonts w:ascii="Arial" w:hAnsi="Arial" w:cs="Arial"/>
          <w:sz w:val="20"/>
          <w:szCs w:val="20"/>
        </w:rPr>
        <w:t>Michael Corr (MBBCh)</w:t>
      </w:r>
    </w:p>
    <w:p w14:paraId="1D2F2745" w14:textId="77777777" w:rsidR="00450596" w:rsidRPr="00220754" w:rsidRDefault="00450596" w:rsidP="00450596">
      <w:pPr>
        <w:pStyle w:val="ListParagraph"/>
        <w:numPr>
          <w:ilvl w:val="1"/>
          <w:numId w:val="27"/>
        </w:numPr>
        <w:rPr>
          <w:rFonts w:ascii="Arial" w:hAnsi="Arial" w:cs="Arial"/>
          <w:sz w:val="20"/>
          <w:szCs w:val="20"/>
        </w:rPr>
      </w:pPr>
      <w:r w:rsidRPr="00914CFC">
        <w:rPr>
          <w:rFonts w:ascii="Arial" w:hAnsi="Arial" w:cs="Arial"/>
          <w:sz w:val="20"/>
          <w:szCs w:val="20"/>
        </w:rPr>
        <w:t>Belfast Health and Social Care Trust, Belfast, UK</w:t>
      </w:r>
    </w:p>
    <w:p w14:paraId="350231B9" w14:textId="77777777" w:rsidR="00450596" w:rsidRDefault="00450596" w:rsidP="00450596">
      <w:pPr>
        <w:pStyle w:val="ListParagraph"/>
        <w:numPr>
          <w:ilvl w:val="0"/>
          <w:numId w:val="27"/>
        </w:numPr>
        <w:rPr>
          <w:rFonts w:ascii="Arial" w:hAnsi="Arial" w:cs="Arial"/>
          <w:sz w:val="20"/>
          <w:szCs w:val="20"/>
        </w:rPr>
      </w:pPr>
      <w:r w:rsidRPr="00914CFC">
        <w:rPr>
          <w:rFonts w:ascii="Arial" w:hAnsi="Arial" w:cs="Arial"/>
          <w:sz w:val="20"/>
          <w:szCs w:val="20"/>
        </w:rPr>
        <w:t>Lisa McFetridge</w:t>
      </w:r>
      <w:r>
        <w:rPr>
          <w:rFonts w:ascii="Arial" w:hAnsi="Arial" w:cs="Arial"/>
          <w:sz w:val="20"/>
          <w:szCs w:val="20"/>
        </w:rPr>
        <w:t xml:space="preserve"> (PhD)</w:t>
      </w:r>
    </w:p>
    <w:p w14:paraId="303A64C5" w14:textId="77777777" w:rsidR="00450596" w:rsidRPr="00914CFC" w:rsidRDefault="00450596" w:rsidP="00450596">
      <w:pPr>
        <w:pStyle w:val="ListParagraph"/>
        <w:numPr>
          <w:ilvl w:val="1"/>
          <w:numId w:val="27"/>
        </w:numPr>
        <w:rPr>
          <w:rFonts w:ascii="Arial" w:hAnsi="Arial" w:cs="Arial"/>
          <w:sz w:val="20"/>
          <w:szCs w:val="20"/>
        </w:rPr>
      </w:pPr>
      <w:r>
        <w:rPr>
          <w:rFonts w:ascii="Arial" w:hAnsi="Arial" w:cs="Arial"/>
          <w:sz w:val="20"/>
          <w:szCs w:val="20"/>
        </w:rPr>
        <w:t>Mathematical Sciences Research Centre</w:t>
      </w:r>
      <w:r w:rsidRPr="00914CFC">
        <w:rPr>
          <w:rFonts w:ascii="Arial" w:hAnsi="Arial" w:cs="Arial"/>
          <w:sz w:val="20"/>
          <w:szCs w:val="20"/>
        </w:rPr>
        <w:t>, Queen’s University Belfast, Belfast, UK</w:t>
      </w:r>
    </w:p>
    <w:p w14:paraId="4B3895E2" w14:textId="77777777" w:rsidR="00450596" w:rsidRDefault="00450596" w:rsidP="00450596">
      <w:pPr>
        <w:pStyle w:val="ListParagraph"/>
        <w:numPr>
          <w:ilvl w:val="0"/>
          <w:numId w:val="27"/>
        </w:numPr>
        <w:rPr>
          <w:rFonts w:ascii="Arial" w:hAnsi="Arial" w:cs="Arial"/>
          <w:sz w:val="20"/>
          <w:szCs w:val="20"/>
        </w:rPr>
      </w:pPr>
      <w:r w:rsidRPr="00914CFC">
        <w:rPr>
          <w:rFonts w:ascii="Arial" w:hAnsi="Arial" w:cs="Arial"/>
          <w:sz w:val="20"/>
          <w:szCs w:val="20"/>
        </w:rPr>
        <w:t>Hannah Mitchell</w:t>
      </w:r>
      <w:r>
        <w:rPr>
          <w:rFonts w:ascii="Arial" w:hAnsi="Arial" w:cs="Arial"/>
          <w:sz w:val="20"/>
          <w:szCs w:val="20"/>
        </w:rPr>
        <w:t xml:space="preserve"> (PhD)</w:t>
      </w:r>
    </w:p>
    <w:p w14:paraId="54DAE168" w14:textId="77777777" w:rsidR="00450596" w:rsidRPr="00A44FDD" w:rsidRDefault="00450596" w:rsidP="00450596">
      <w:pPr>
        <w:pStyle w:val="ListParagraph"/>
        <w:numPr>
          <w:ilvl w:val="1"/>
          <w:numId w:val="27"/>
        </w:numPr>
        <w:rPr>
          <w:rFonts w:ascii="Arial" w:hAnsi="Arial" w:cs="Arial"/>
          <w:sz w:val="20"/>
          <w:szCs w:val="20"/>
        </w:rPr>
      </w:pPr>
      <w:r>
        <w:rPr>
          <w:rFonts w:ascii="Arial" w:hAnsi="Arial" w:cs="Arial"/>
          <w:sz w:val="20"/>
          <w:szCs w:val="20"/>
        </w:rPr>
        <w:t>Mathematical Sciences Research Centre</w:t>
      </w:r>
      <w:r w:rsidRPr="00914CFC">
        <w:rPr>
          <w:rFonts w:ascii="Arial" w:hAnsi="Arial" w:cs="Arial"/>
          <w:sz w:val="20"/>
          <w:szCs w:val="20"/>
        </w:rPr>
        <w:t>, Queen’s University Belfast, Belfast, UK</w:t>
      </w:r>
    </w:p>
    <w:p w14:paraId="6C06389B" w14:textId="77777777" w:rsidR="00450596" w:rsidRDefault="00450596" w:rsidP="00450596">
      <w:pPr>
        <w:pStyle w:val="ListParagraph"/>
        <w:numPr>
          <w:ilvl w:val="0"/>
          <w:numId w:val="27"/>
        </w:numPr>
        <w:rPr>
          <w:rFonts w:ascii="Arial" w:hAnsi="Arial" w:cs="Arial"/>
          <w:sz w:val="20"/>
          <w:szCs w:val="20"/>
        </w:rPr>
      </w:pPr>
      <w:r w:rsidRPr="00914CFC">
        <w:rPr>
          <w:rFonts w:ascii="Arial" w:hAnsi="Arial" w:cs="Arial"/>
          <w:sz w:val="20"/>
          <w:szCs w:val="20"/>
        </w:rPr>
        <w:t>Kerry Woolfall</w:t>
      </w:r>
      <w:r>
        <w:rPr>
          <w:rFonts w:ascii="Arial" w:hAnsi="Arial" w:cs="Arial"/>
          <w:sz w:val="20"/>
          <w:szCs w:val="20"/>
        </w:rPr>
        <w:t xml:space="preserve"> (PhD)</w:t>
      </w:r>
    </w:p>
    <w:p w14:paraId="45B68CBE" w14:textId="77777777" w:rsidR="00450596" w:rsidRDefault="00450596" w:rsidP="00450596">
      <w:pPr>
        <w:pStyle w:val="ListParagraph"/>
        <w:numPr>
          <w:ilvl w:val="1"/>
          <w:numId w:val="27"/>
        </w:numPr>
        <w:rPr>
          <w:rFonts w:ascii="Arial" w:hAnsi="Arial" w:cs="Arial"/>
          <w:sz w:val="20"/>
          <w:szCs w:val="20"/>
        </w:rPr>
      </w:pPr>
      <w:r w:rsidRPr="00914CFC">
        <w:rPr>
          <w:rFonts w:ascii="Arial" w:hAnsi="Arial" w:cs="Arial"/>
          <w:sz w:val="20"/>
          <w:szCs w:val="20"/>
        </w:rPr>
        <w:t>Institute of Population Health and Society, The University of Liverpool, Liverpool, UK</w:t>
      </w:r>
    </w:p>
    <w:p w14:paraId="07422760" w14:textId="77777777" w:rsidR="00450596" w:rsidRDefault="00450596" w:rsidP="00450596">
      <w:pPr>
        <w:pStyle w:val="ListParagraph"/>
        <w:numPr>
          <w:ilvl w:val="0"/>
          <w:numId w:val="27"/>
        </w:numPr>
        <w:rPr>
          <w:rFonts w:ascii="Arial" w:hAnsi="Arial" w:cs="Arial"/>
          <w:sz w:val="20"/>
          <w:szCs w:val="20"/>
        </w:rPr>
      </w:pPr>
      <w:r w:rsidRPr="009B7B6E">
        <w:rPr>
          <w:rFonts w:ascii="Arial" w:hAnsi="Arial" w:cs="Arial"/>
          <w:sz w:val="20"/>
          <w:szCs w:val="20"/>
        </w:rPr>
        <w:t>Fiona Lynn</w:t>
      </w:r>
      <w:r>
        <w:rPr>
          <w:rFonts w:ascii="Arial" w:hAnsi="Arial" w:cs="Arial"/>
          <w:sz w:val="20"/>
          <w:szCs w:val="20"/>
        </w:rPr>
        <w:t xml:space="preserve"> (PhD)</w:t>
      </w:r>
    </w:p>
    <w:p w14:paraId="0FED32E5" w14:textId="77777777" w:rsidR="00450596" w:rsidRPr="009B7B6E" w:rsidRDefault="00450596" w:rsidP="00450596">
      <w:pPr>
        <w:pStyle w:val="ListParagraph"/>
        <w:numPr>
          <w:ilvl w:val="1"/>
          <w:numId w:val="27"/>
        </w:numPr>
        <w:rPr>
          <w:rFonts w:ascii="Arial" w:hAnsi="Arial" w:cs="Arial"/>
          <w:sz w:val="20"/>
          <w:szCs w:val="20"/>
        </w:rPr>
      </w:pPr>
      <w:r>
        <w:rPr>
          <w:rFonts w:ascii="Arial" w:hAnsi="Arial" w:cs="Arial"/>
          <w:sz w:val="20"/>
          <w:szCs w:val="20"/>
        </w:rPr>
        <w:t xml:space="preserve">School of Nursing and Midwifery, </w:t>
      </w:r>
      <w:r w:rsidRPr="009B7B6E">
        <w:rPr>
          <w:rFonts w:ascii="Arial" w:hAnsi="Arial" w:cs="Arial"/>
          <w:sz w:val="20"/>
          <w:szCs w:val="20"/>
        </w:rPr>
        <w:t>Centre for Evidence and Social Innovation</w:t>
      </w:r>
      <w:r>
        <w:rPr>
          <w:rFonts w:ascii="Arial" w:hAnsi="Arial" w:cs="Arial"/>
          <w:sz w:val="20"/>
          <w:szCs w:val="20"/>
        </w:rPr>
        <w:t>,</w:t>
      </w:r>
      <w:r w:rsidRPr="009B7B6E">
        <w:rPr>
          <w:rFonts w:ascii="Arial" w:hAnsi="Arial" w:cs="Arial"/>
          <w:sz w:val="20"/>
          <w:szCs w:val="20"/>
        </w:rPr>
        <w:t xml:space="preserve"> Queen’s University Belfast</w:t>
      </w:r>
      <w:r>
        <w:rPr>
          <w:rFonts w:ascii="Arial" w:hAnsi="Arial" w:cs="Arial"/>
          <w:sz w:val="20"/>
          <w:szCs w:val="20"/>
        </w:rPr>
        <w:t>, Belfast, UK</w:t>
      </w:r>
    </w:p>
    <w:p w14:paraId="19C62454" w14:textId="77777777" w:rsidR="00450596" w:rsidRDefault="00450596" w:rsidP="00450596">
      <w:pPr>
        <w:pStyle w:val="ListParagraph"/>
        <w:numPr>
          <w:ilvl w:val="0"/>
          <w:numId w:val="27"/>
        </w:numPr>
        <w:rPr>
          <w:rFonts w:ascii="Arial" w:hAnsi="Arial" w:cs="Arial"/>
          <w:sz w:val="20"/>
          <w:szCs w:val="20"/>
        </w:rPr>
      </w:pPr>
      <w:r>
        <w:rPr>
          <w:rFonts w:ascii="Arial" w:hAnsi="Arial" w:cs="Arial"/>
          <w:sz w:val="20"/>
          <w:szCs w:val="20"/>
        </w:rPr>
        <w:t>Bethany Patenall (MSc)</w:t>
      </w:r>
    </w:p>
    <w:p w14:paraId="616C79A3" w14:textId="77777777" w:rsidR="00450596" w:rsidRDefault="00450596" w:rsidP="00450596">
      <w:pPr>
        <w:pStyle w:val="ListParagraph"/>
        <w:numPr>
          <w:ilvl w:val="1"/>
          <w:numId w:val="27"/>
        </w:numPr>
        <w:rPr>
          <w:rFonts w:ascii="Arial" w:hAnsi="Arial" w:cs="Arial"/>
          <w:sz w:val="20"/>
          <w:szCs w:val="20"/>
        </w:rPr>
      </w:pPr>
      <w:r w:rsidRPr="000B2EE5">
        <w:rPr>
          <w:rFonts w:ascii="Arial" w:hAnsi="Arial" w:cs="Arial"/>
          <w:sz w:val="20"/>
          <w:szCs w:val="20"/>
        </w:rPr>
        <w:t xml:space="preserve">Department of Chemistry </w:t>
      </w:r>
      <w:r>
        <w:rPr>
          <w:rFonts w:ascii="Arial" w:hAnsi="Arial" w:cs="Arial"/>
          <w:sz w:val="20"/>
          <w:szCs w:val="20"/>
        </w:rPr>
        <w:t>,</w:t>
      </w:r>
      <w:r w:rsidRPr="000B2EE5">
        <w:rPr>
          <w:rFonts w:ascii="Arial" w:hAnsi="Arial" w:cs="Arial"/>
          <w:sz w:val="20"/>
          <w:szCs w:val="20"/>
        </w:rPr>
        <w:t xml:space="preserve">University of Bath, </w:t>
      </w:r>
      <w:r>
        <w:rPr>
          <w:rFonts w:ascii="Arial" w:hAnsi="Arial" w:cs="Arial"/>
          <w:sz w:val="20"/>
          <w:szCs w:val="20"/>
        </w:rPr>
        <w:t xml:space="preserve"> Bath, UK</w:t>
      </w:r>
    </w:p>
    <w:p w14:paraId="19835B3A" w14:textId="01BADBBF" w:rsidR="00450596" w:rsidRDefault="00450596" w:rsidP="00450596">
      <w:pPr>
        <w:pStyle w:val="ListParagraph"/>
        <w:numPr>
          <w:ilvl w:val="0"/>
          <w:numId w:val="27"/>
        </w:numPr>
        <w:rPr>
          <w:rFonts w:ascii="Arial" w:hAnsi="Arial" w:cs="Arial"/>
          <w:sz w:val="20"/>
          <w:szCs w:val="20"/>
        </w:rPr>
      </w:pPr>
      <w:r w:rsidRPr="00914CFC">
        <w:rPr>
          <w:rFonts w:ascii="Arial" w:hAnsi="Arial" w:cs="Arial"/>
          <w:sz w:val="20"/>
          <w:szCs w:val="20"/>
        </w:rPr>
        <w:t xml:space="preserve">Michael </w:t>
      </w:r>
      <w:r w:rsidRPr="00030A92">
        <w:rPr>
          <w:rFonts w:ascii="Arial" w:hAnsi="Arial" w:cs="Arial"/>
          <w:sz w:val="20"/>
          <w:szCs w:val="20"/>
        </w:rPr>
        <w:t>D</w:t>
      </w:r>
      <w:r>
        <w:rPr>
          <w:rFonts w:ascii="Arial" w:hAnsi="Arial" w:cs="Arial"/>
          <w:sz w:val="20"/>
          <w:szCs w:val="20"/>
        </w:rPr>
        <w:t xml:space="preserve"> </w:t>
      </w:r>
      <w:r w:rsidRPr="00914CFC">
        <w:rPr>
          <w:rFonts w:ascii="Arial" w:hAnsi="Arial" w:cs="Arial"/>
          <w:sz w:val="20"/>
          <w:szCs w:val="20"/>
        </w:rPr>
        <w:t>Shields</w:t>
      </w:r>
      <w:r w:rsidR="006461D7">
        <w:rPr>
          <w:rFonts w:ascii="Arial" w:hAnsi="Arial" w:cs="Arial"/>
          <w:sz w:val="20"/>
          <w:szCs w:val="20"/>
        </w:rPr>
        <w:t xml:space="preserve"> (M</w:t>
      </w:r>
      <w:r>
        <w:rPr>
          <w:rFonts w:ascii="Arial" w:hAnsi="Arial" w:cs="Arial"/>
          <w:sz w:val="20"/>
          <w:szCs w:val="20"/>
        </w:rPr>
        <w:t>D)</w:t>
      </w:r>
    </w:p>
    <w:p w14:paraId="5F4F80F5" w14:textId="77777777" w:rsidR="00450596" w:rsidRDefault="00450596" w:rsidP="00450596">
      <w:pPr>
        <w:pStyle w:val="ListParagraph"/>
        <w:numPr>
          <w:ilvl w:val="1"/>
          <w:numId w:val="27"/>
        </w:numPr>
        <w:rPr>
          <w:rFonts w:ascii="Arial" w:hAnsi="Arial" w:cs="Arial"/>
          <w:sz w:val="20"/>
          <w:szCs w:val="20"/>
        </w:rPr>
      </w:pPr>
      <w:r w:rsidRPr="00914CFC">
        <w:rPr>
          <w:rFonts w:ascii="Arial" w:hAnsi="Arial" w:cs="Arial"/>
          <w:sz w:val="20"/>
          <w:szCs w:val="20"/>
        </w:rPr>
        <w:t>Centre for Experimental Medicine, Wellcome Wolfson Institute of Experimental Medicine, Queen’s University Belfast, Belfast, UK</w:t>
      </w:r>
    </w:p>
    <w:p w14:paraId="08131C63" w14:textId="77777777" w:rsidR="00450596" w:rsidRPr="00C2328D" w:rsidRDefault="00450596" w:rsidP="00450596">
      <w:pPr>
        <w:rPr>
          <w:rFonts w:ascii="Arial" w:hAnsi="Arial" w:cs="Arial"/>
        </w:rPr>
      </w:pPr>
    </w:p>
    <w:p w14:paraId="6034AC39" w14:textId="77777777" w:rsidR="00450596" w:rsidRPr="00914CFC" w:rsidRDefault="00450596" w:rsidP="00450596">
      <w:pPr>
        <w:rPr>
          <w:rFonts w:ascii="Arial" w:hAnsi="Arial" w:cs="Arial"/>
          <w:sz w:val="20"/>
          <w:szCs w:val="20"/>
        </w:rPr>
      </w:pPr>
      <w:r w:rsidRPr="00914CFC">
        <w:rPr>
          <w:rFonts w:ascii="Arial" w:hAnsi="Arial" w:cs="Arial"/>
          <w:sz w:val="20"/>
          <w:szCs w:val="20"/>
        </w:rPr>
        <w:t>On behalf of Paediatric Emergency Research in the UK and Ireland (PERUKI)</w:t>
      </w:r>
    </w:p>
    <w:p w14:paraId="5FBFF1A1" w14:textId="77777777" w:rsidR="00450596" w:rsidRPr="00914CFC" w:rsidRDefault="00450596" w:rsidP="00450596">
      <w:pPr>
        <w:pStyle w:val="ListParagraph"/>
        <w:rPr>
          <w:rFonts w:ascii="Arial" w:hAnsi="Arial" w:cs="Arial"/>
          <w:highlight w:val="yellow"/>
        </w:rPr>
      </w:pPr>
    </w:p>
    <w:p w14:paraId="61A58F0B" w14:textId="77777777" w:rsidR="00450596" w:rsidRDefault="00450596" w:rsidP="00450596">
      <w:pPr>
        <w:rPr>
          <w:rFonts w:ascii="Arial" w:hAnsi="Arial" w:cs="Arial"/>
          <w:sz w:val="20"/>
          <w:szCs w:val="20"/>
        </w:rPr>
      </w:pPr>
      <w:r w:rsidRPr="00914CFC">
        <w:rPr>
          <w:rFonts w:ascii="Arial" w:hAnsi="Arial" w:cs="Arial"/>
          <w:sz w:val="20"/>
          <w:szCs w:val="20"/>
        </w:rPr>
        <w:t>Corresponding author – Thomas Waterfield, Centre for Experimental Medicine, Wellcome Wolfson Institute of Experimental Medicine, Queen’s University Belfast, Belfast, UK</w:t>
      </w:r>
    </w:p>
    <w:p w14:paraId="276D85DE" w14:textId="77777777" w:rsidR="00450596" w:rsidRDefault="00450596" w:rsidP="00450596">
      <w:pPr>
        <w:rPr>
          <w:rFonts w:ascii="Arial" w:hAnsi="Arial" w:cs="Arial"/>
          <w:sz w:val="20"/>
          <w:szCs w:val="20"/>
        </w:rPr>
      </w:pPr>
    </w:p>
    <w:p w14:paraId="2FB56C91" w14:textId="77777777" w:rsidR="00450596" w:rsidRDefault="00C32A19" w:rsidP="00450596">
      <w:pPr>
        <w:rPr>
          <w:rFonts w:ascii="Arial" w:hAnsi="Arial" w:cs="Arial"/>
          <w:sz w:val="20"/>
          <w:szCs w:val="20"/>
        </w:rPr>
      </w:pPr>
      <w:hyperlink r:id="rId8" w:history="1">
        <w:r w:rsidR="00450596" w:rsidRPr="00C665D8">
          <w:rPr>
            <w:rStyle w:val="Hyperlink"/>
            <w:rFonts w:ascii="Arial" w:hAnsi="Arial" w:cs="Arial"/>
            <w:sz w:val="20"/>
            <w:szCs w:val="20"/>
          </w:rPr>
          <w:t>t.waterfield@qub.ac.uk</w:t>
        </w:r>
      </w:hyperlink>
    </w:p>
    <w:p w14:paraId="5E12C520" w14:textId="77777777" w:rsidR="00450596" w:rsidRPr="00914CFC" w:rsidRDefault="00450596" w:rsidP="00450596">
      <w:pPr>
        <w:rPr>
          <w:rFonts w:ascii="Arial" w:hAnsi="Arial" w:cs="Arial"/>
          <w:sz w:val="20"/>
          <w:szCs w:val="20"/>
        </w:rPr>
      </w:pPr>
      <w:r>
        <w:rPr>
          <w:rFonts w:ascii="Arial" w:hAnsi="Arial" w:cs="Arial"/>
          <w:sz w:val="20"/>
          <w:szCs w:val="20"/>
        </w:rPr>
        <w:t>Phone: 07872990521</w:t>
      </w:r>
    </w:p>
    <w:p w14:paraId="49CD39F1" w14:textId="3B1F78E1" w:rsidR="00450596" w:rsidRDefault="00450596" w:rsidP="00CA5388">
      <w:pPr>
        <w:widowControl w:val="0"/>
        <w:autoSpaceDE w:val="0"/>
        <w:autoSpaceDN w:val="0"/>
        <w:adjustRightInd w:val="0"/>
      </w:pPr>
    </w:p>
    <w:p w14:paraId="416D15B9" w14:textId="675CA989" w:rsidR="00450596" w:rsidRDefault="00450596" w:rsidP="00CA5388">
      <w:pPr>
        <w:widowControl w:val="0"/>
        <w:autoSpaceDE w:val="0"/>
        <w:autoSpaceDN w:val="0"/>
        <w:adjustRightInd w:val="0"/>
      </w:pPr>
    </w:p>
    <w:p w14:paraId="68E0D54B" w14:textId="2ED65643" w:rsidR="00450596" w:rsidRDefault="00450596" w:rsidP="00CA5388">
      <w:pPr>
        <w:widowControl w:val="0"/>
        <w:autoSpaceDE w:val="0"/>
        <w:autoSpaceDN w:val="0"/>
        <w:adjustRightInd w:val="0"/>
      </w:pPr>
    </w:p>
    <w:p w14:paraId="6FB804CE" w14:textId="77777777" w:rsidR="00450596" w:rsidRDefault="00450596" w:rsidP="00CA5388">
      <w:pPr>
        <w:widowControl w:val="0"/>
        <w:autoSpaceDE w:val="0"/>
        <w:autoSpaceDN w:val="0"/>
        <w:adjustRightInd w:val="0"/>
      </w:pPr>
    </w:p>
    <w:p w14:paraId="1FD3CE14" w14:textId="77777777" w:rsidR="00450596" w:rsidRPr="008F5047" w:rsidRDefault="00F853D8" w:rsidP="00450596">
      <w:pPr>
        <w:jc w:val="both"/>
        <w:rPr>
          <w:rFonts w:ascii="Arial" w:hAnsi="Arial" w:cs="Arial"/>
          <w:b/>
        </w:rPr>
      </w:pPr>
      <w:r w:rsidRPr="008F5047">
        <w:rPr>
          <w:rStyle w:val="Heading1Char"/>
          <w:rFonts w:ascii="Arial" w:hAnsi="Arial" w:cs="Arial"/>
          <w:b/>
          <w:color w:val="auto"/>
          <w:sz w:val="24"/>
          <w:szCs w:val="24"/>
        </w:rPr>
        <w:lastRenderedPageBreak/>
        <w:t>Abstract</w:t>
      </w:r>
      <w:r w:rsidRPr="008F5047">
        <w:rPr>
          <w:rFonts w:ascii="Arial" w:hAnsi="Arial" w:cs="Arial"/>
          <w:b/>
        </w:rPr>
        <w:t xml:space="preserve"> </w:t>
      </w:r>
    </w:p>
    <w:p w14:paraId="075E7069" w14:textId="77777777" w:rsidR="00450596" w:rsidRDefault="00450596" w:rsidP="00450596">
      <w:pPr>
        <w:jc w:val="both"/>
        <w:rPr>
          <w:rFonts w:ascii="Arial" w:hAnsi="Arial" w:cs="Arial"/>
          <w:sz w:val="20"/>
          <w:szCs w:val="20"/>
        </w:rPr>
      </w:pPr>
    </w:p>
    <w:p w14:paraId="3B903208" w14:textId="77777777" w:rsidR="00450596" w:rsidRDefault="00F853D8" w:rsidP="00450596">
      <w:pPr>
        <w:jc w:val="both"/>
        <w:rPr>
          <w:rFonts w:ascii="Arial" w:hAnsi="Arial" w:cs="Arial"/>
          <w:sz w:val="20"/>
          <w:szCs w:val="20"/>
        </w:rPr>
      </w:pPr>
      <w:r w:rsidRPr="00450596">
        <w:rPr>
          <w:rFonts w:ascii="Arial" w:hAnsi="Arial" w:cs="Arial"/>
          <w:sz w:val="20"/>
          <w:szCs w:val="20"/>
        </w:rPr>
        <w:t xml:space="preserve">Background </w:t>
      </w:r>
    </w:p>
    <w:p w14:paraId="38EFD744" w14:textId="77777777" w:rsidR="00450596" w:rsidRDefault="00F853D8" w:rsidP="00450596">
      <w:pPr>
        <w:jc w:val="both"/>
        <w:rPr>
          <w:rFonts w:ascii="Arial" w:hAnsi="Arial" w:cs="Arial"/>
          <w:sz w:val="20"/>
          <w:szCs w:val="20"/>
        </w:rPr>
      </w:pPr>
      <w:r w:rsidRPr="00450596">
        <w:rPr>
          <w:rFonts w:ascii="Arial" w:hAnsi="Arial" w:cs="Arial"/>
          <w:sz w:val="20"/>
          <w:szCs w:val="20"/>
        </w:rPr>
        <w:t xml:space="preserve">The aim of this prospective cohort study was to report the performance of existing clinical practice guidelines (CPG) for diagnosis of invasive meningococcal disease (MD) in children presenting with fever and non-blanching rash in the UK. </w:t>
      </w:r>
    </w:p>
    <w:p w14:paraId="74ECE583" w14:textId="77777777" w:rsidR="00450596" w:rsidRDefault="00450596" w:rsidP="00450596">
      <w:pPr>
        <w:jc w:val="both"/>
        <w:rPr>
          <w:rFonts w:ascii="Arial" w:hAnsi="Arial" w:cs="Arial"/>
          <w:sz w:val="20"/>
          <w:szCs w:val="20"/>
        </w:rPr>
      </w:pPr>
    </w:p>
    <w:p w14:paraId="128430C5" w14:textId="77777777" w:rsidR="00450596" w:rsidRDefault="00F853D8" w:rsidP="00450596">
      <w:pPr>
        <w:jc w:val="both"/>
        <w:rPr>
          <w:rFonts w:ascii="Arial" w:hAnsi="Arial" w:cs="Arial"/>
          <w:sz w:val="20"/>
          <w:szCs w:val="20"/>
        </w:rPr>
      </w:pPr>
      <w:r w:rsidRPr="00450596">
        <w:rPr>
          <w:rFonts w:ascii="Arial" w:hAnsi="Arial" w:cs="Arial"/>
          <w:sz w:val="20"/>
          <w:szCs w:val="20"/>
        </w:rPr>
        <w:t xml:space="preserve">Methods </w:t>
      </w:r>
    </w:p>
    <w:p w14:paraId="712DA608" w14:textId="64B77284" w:rsidR="00450596" w:rsidRDefault="00F853D8" w:rsidP="00450596">
      <w:pPr>
        <w:jc w:val="both"/>
        <w:rPr>
          <w:rFonts w:ascii="Arial" w:hAnsi="Arial" w:cs="Arial"/>
          <w:sz w:val="20"/>
          <w:szCs w:val="20"/>
        </w:rPr>
      </w:pPr>
      <w:r w:rsidRPr="00450596">
        <w:rPr>
          <w:rFonts w:ascii="Arial" w:hAnsi="Arial" w:cs="Arial"/>
          <w:sz w:val="20"/>
          <w:szCs w:val="20"/>
        </w:rPr>
        <w:t xml:space="preserve">Data were collected prospectively from 37 UK </w:t>
      </w:r>
      <w:r w:rsidR="00E52E4C">
        <w:rPr>
          <w:rFonts w:ascii="Arial" w:hAnsi="Arial" w:cs="Arial"/>
          <w:sz w:val="20"/>
          <w:szCs w:val="20"/>
        </w:rPr>
        <w:t xml:space="preserve">Emergency Departments (ED) </w:t>
      </w:r>
      <w:r w:rsidRPr="00450596">
        <w:rPr>
          <w:rFonts w:ascii="Arial" w:hAnsi="Arial" w:cs="Arial"/>
          <w:sz w:val="20"/>
          <w:szCs w:val="20"/>
        </w:rPr>
        <w:t xml:space="preserve">between November 2017 and June 2019. Children under 18 years of age presenting with fever and non-blanching rash were included. Invasive meningococcal disease was confirmed by positive culture/quantitative PCR for </w:t>
      </w:r>
      <w:r w:rsidRPr="00450596">
        <w:rPr>
          <w:rFonts w:ascii="Arial" w:hAnsi="Arial" w:cs="Arial"/>
          <w:i/>
          <w:sz w:val="20"/>
          <w:szCs w:val="20"/>
        </w:rPr>
        <w:t>N. meningitidis</w:t>
      </w:r>
      <w:r w:rsidR="00450596">
        <w:rPr>
          <w:rFonts w:ascii="Arial" w:hAnsi="Arial" w:cs="Arial"/>
          <w:sz w:val="20"/>
          <w:szCs w:val="20"/>
        </w:rPr>
        <w:t xml:space="preserve"> from</w:t>
      </w:r>
      <w:r w:rsidRPr="00450596">
        <w:rPr>
          <w:rFonts w:ascii="Arial" w:hAnsi="Arial" w:cs="Arial"/>
          <w:sz w:val="20"/>
          <w:szCs w:val="20"/>
        </w:rPr>
        <w:t xml:space="preserve"> either blood or cerebrospinal fluid. </w:t>
      </w:r>
    </w:p>
    <w:p w14:paraId="1E2ADAB9" w14:textId="77777777" w:rsidR="00450596" w:rsidRDefault="00450596" w:rsidP="00450596">
      <w:pPr>
        <w:jc w:val="both"/>
        <w:rPr>
          <w:rFonts w:ascii="Arial" w:hAnsi="Arial" w:cs="Arial"/>
          <w:sz w:val="20"/>
          <w:szCs w:val="20"/>
        </w:rPr>
      </w:pPr>
    </w:p>
    <w:p w14:paraId="4E0D7874" w14:textId="77777777" w:rsidR="00450596" w:rsidRPr="00450596" w:rsidRDefault="00450596" w:rsidP="00450596">
      <w:pPr>
        <w:jc w:val="both"/>
        <w:rPr>
          <w:rFonts w:ascii="Arial" w:hAnsi="Arial" w:cs="Arial"/>
          <w:sz w:val="20"/>
          <w:szCs w:val="20"/>
        </w:rPr>
      </w:pPr>
      <w:r w:rsidRPr="00450596">
        <w:rPr>
          <w:rFonts w:ascii="Arial" w:hAnsi="Arial" w:cs="Arial"/>
          <w:sz w:val="20"/>
          <w:szCs w:val="20"/>
        </w:rPr>
        <w:t>Findings</w:t>
      </w:r>
    </w:p>
    <w:p w14:paraId="4C3A1C9F" w14:textId="0D3C36ED" w:rsidR="00450596" w:rsidRPr="00450596" w:rsidRDefault="00450596" w:rsidP="00450596">
      <w:pPr>
        <w:jc w:val="both"/>
        <w:rPr>
          <w:rFonts w:ascii="Arial" w:hAnsi="Arial" w:cs="Arial"/>
          <w:sz w:val="20"/>
          <w:szCs w:val="20"/>
        </w:rPr>
      </w:pPr>
      <w:r w:rsidRPr="00450596">
        <w:rPr>
          <w:rFonts w:ascii="Arial" w:hAnsi="Arial" w:cs="Arial"/>
          <w:sz w:val="20"/>
          <w:szCs w:val="20"/>
        </w:rPr>
        <w:t>A total of 1329 patients wer</w:t>
      </w:r>
      <w:r w:rsidR="00E52E4C">
        <w:rPr>
          <w:rFonts w:ascii="Arial" w:hAnsi="Arial" w:cs="Arial"/>
          <w:sz w:val="20"/>
          <w:szCs w:val="20"/>
        </w:rPr>
        <w:t>e included in the analysis. Media</w:t>
      </w:r>
      <w:r w:rsidR="00F11D20">
        <w:rPr>
          <w:rFonts w:ascii="Arial" w:hAnsi="Arial" w:cs="Arial"/>
          <w:sz w:val="20"/>
          <w:szCs w:val="20"/>
        </w:rPr>
        <w:t>n</w:t>
      </w:r>
      <w:r w:rsidR="00E52E4C">
        <w:rPr>
          <w:rFonts w:ascii="Arial" w:hAnsi="Arial" w:cs="Arial"/>
          <w:sz w:val="20"/>
          <w:szCs w:val="20"/>
        </w:rPr>
        <w:t xml:space="preserve"> age was 24 </w:t>
      </w:r>
      <w:r>
        <w:rPr>
          <w:rFonts w:ascii="Arial" w:hAnsi="Arial" w:cs="Arial"/>
          <w:sz w:val="20"/>
          <w:szCs w:val="20"/>
        </w:rPr>
        <w:t>months (</w:t>
      </w:r>
      <w:r w:rsidR="002E26DF">
        <w:rPr>
          <w:rFonts w:ascii="Arial" w:hAnsi="Arial" w:cs="Arial"/>
          <w:sz w:val="20"/>
          <w:szCs w:val="20"/>
        </w:rPr>
        <w:t xml:space="preserve">interquartile </w:t>
      </w:r>
      <w:r>
        <w:rPr>
          <w:rFonts w:ascii="Arial" w:hAnsi="Arial" w:cs="Arial"/>
          <w:sz w:val="20"/>
          <w:szCs w:val="20"/>
        </w:rPr>
        <w:t>range 1</w:t>
      </w:r>
      <w:r w:rsidR="002E26DF">
        <w:rPr>
          <w:rFonts w:ascii="Arial" w:hAnsi="Arial" w:cs="Arial"/>
          <w:sz w:val="20"/>
          <w:szCs w:val="20"/>
        </w:rPr>
        <w:t>2 to 48</w:t>
      </w:r>
      <w:r>
        <w:rPr>
          <w:rFonts w:ascii="Arial" w:hAnsi="Arial" w:cs="Arial"/>
          <w:sz w:val="20"/>
          <w:szCs w:val="20"/>
        </w:rPr>
        <w:t xml:space="preserve">), </w:t>
      </w:r>
      <w:r w:rsidRPr="00450596">
        <w:rPr>
          <w:rFonts w:ascii="Arial" w:hAnsi="Arial" w:cs="Arial"/>
          <w:sz w:val="20"/>
          <w:szCs w:val="20"/>
        </w:rPr>
        <w:t>1137(85·6%) underwent blood testing, and 596(44·8%) received parent</w:t>
      </w:r>
      <w:r>
        <w:rPr>
          <w:rFonts w:ascii="Arial" w:hAnsi="Arial" w:cs="Arial"/>
          <w:sz w:val="20"/>
          <w:szCs w:val="20"/>
        </w:rPr>
        <w:t xml:space="preserve">eral antibiotics. There were 19 </w:t>
      </w:r>
      <w:r w:rsidRPr="00450596">
        <w:rPr>
          <w:rFonts w:ascii="Arial" w:hAnsi="Arial" w:cs="Arial"/>
          <w:sz w:val="20"/>
          <w:szCs w:val="20"/>
        </w:rPr>
        <w:t>cases of MD (1·4%). All CPGs (n=8) demonstrated a sensitivity of 1·0</w:t>
      </w:r>
      <w:r>
        <w:rPr>
          <w:rFonts w:ascii="Arial" w:hAnsi="Arial" w:cs="Arial"/>
          <w:sz w:val="20"/>
          <w:szCs w:val="20"/>
        </w:rPr>
        <w:t xml:space="preserve">0 for the identification of MD. </w:t>
      </w:r>
      <w:r w:rsidRPr="00450596">
        <w:rPr>
          <w:rFonts w:ascii="Arial" w:hAnsi="Arial" w:cs="Arial"/>
          <w:sz w:val="20"/>
          <w:szCs w:val="20"/>
        </w:rPr>
        <w:t>National Institute for Health and Care Excellence (NICE) guideli</w:t>
      </w:r>
      <w:r>
        <w:rPr>
          <w:rFonts w:ascii="Arial" w:hAnsi="Arial" w:cs="Arial"/>
          <w:sz w:val="20"/>
          <w:szCs w:val="20"/>
        </w:rPr>
        <w:t xml:space="preserve">nes CG102 and NG51 demonstrated </w:t>
      </w:r>
      <w:r w:rsidRPr="00450596">
        <w:rPr>
          <w:rFonts w:ascii="Arial" w:hAnsi="Arial" w:cs="Arial"/>
          <w:sz w:val="20"/>
          <w:szCs w:val="20"/>
        </w:rPr>
        <w:t>specificities of 0·00 and 0·01 respectively for the identification of MD</w:t>
      </w:r>
      <w:r>
        <w:rPr>
          <w:rFonts w:ascii="Arial" w:hAnsi="Arial" w:cs="Arial"/>
          <w:sz w:val="20"/>
          <w:szCs w:val="20"/>
        </w:rPr>
        <w:t xml:space="preserve">. The specificities of the NICE </w:t>
      </w:r>
      <w:r w:rsidRPr="00450596">
        <w:rPr>
          <w:rFonts w:ascii="Arial" w:hAnsi="Arial" w:cs="Arial"/>
          <w:sz w:val="20"/>
          <w:szCs w:val="20"/>
        </w:rPr>
        <w:t>CPGs were significantly lower (p&lt;0.0001) than all other CPGs. The best performing CPG</w:t>
      </w:r>
      <w:r w:rsidR="0008778E">
        <w:rPr>
          <w:rFonts w:ascii="Arial" w:hAnsi="Arial" w:cs="Arial"/>
          <w:sz w:val="20"/>
          <w:szCs w:val="20"/>
        </w:rPr>
        <w:t>s</w:t>
      </w:r>
      <w:r w:rsidRPr="00450596">
        <w:rPr>
          <w:rFonts w:ascii="Arial" w:hAnsi="Arial" w:cs="Arial"/>
          <w:sz w:val="20"/>
          <w:szCs w:val="20"/>
        </w:rPr>
        <w:t xml:space="preserve"> </w:t>
      </w:r>
      <w:r w:rsidR="0008778E">
        <w:rPr>
          <w:rFonts w:ascii="Arial" w:hAnsi="Arial" w:cs="Arial"/>
          <w:sz w:val="20"/>
          <w:szCs w:val="20"/>
        </w:rPr>
        <w:t>were</w:t>
      </w:r>
      <w:r>
        <w:rPr>
          <w:rFonts w:ascii="Arial" w:hAnsi="Arial" w:cs="Arial"/>
          <w:sz w:val="20"/>
          <w:szCs w:val="20"/>
        </w:rPr>
        <w:t xml:space="preserve"> the </w:t>
      </w:r>
      <w:r w:rsidRPr="00450596">
        <w:rPr>
          <w:rFonts w:ascii="Arial" w:hAnsi="Arial" w:cs="Arial"/>
          <w:sz w:val="20"/>
          <w:szCs w:val="20"/>
        </w:rPr>
        <w:t xml:space="preserve">London </w:t>
      </w:r>
      <w:r w:rsidR="0008778E">
        <w:rPr>
          <w:rFonts w:ascii="Arial" w:hAnsi="Arial" w:cs="Arial"/>
          <w:sz w:val="20"/>
          <w:szCs w:val="20"/>
        </w:rPr>
        <w:t xml:space="preserve">and Nottingham </w:t>
      </w:r>
      <w:r w:rsidRPr="00450596">
        <w:rPr>
          <w:rFonts w:ascii="Arial" w:hAnsi="Arial" w:cs="Arial"/>
          <w:sz w:val="20"/>
          <w:szCs w:val="20"/>
        </w:rPr>
        <w:t>CPG</w:t>
      </w:r>
      <w:r w:rsidR="0008778E">
        <w:rPr>
          <w:rFonts w:ascii="Arial" w:hAnsi="Arial" w:cs="Arial"/>
          <w:sz w:val="20"/>
          <w:szCs w:val="20"/>
        </w:rPr>
        <w:t>s</w:t>
      </w:r>
      <w:r w:rsidR="00F11D20">
        <w:rPr>
          <w:rFonts w:ascii="Arial" w:hAnsi="Arial" w:cs="Arial"/>
          <w:sz w:val="20"/>
          <w:szCs w:val="20"/>
        </w:rPr>
        <w:t xml:space="preserve"> with</w:t>
      </w:r>
      <w:r w:rsidR="0008778E">
        <w:rPr>
          <w:rFonts w:ascii="Arial" w:hAnsi="Arial" w:cs="Arial"/>
          <w:sz w:val="20"/>
          <w:szCs w:val="20"/>
        </w:rPr>
        <w:t xml:space="preserve"> specificities</w:t>
      </w:r>
      <w:r w:rsidRPr="00450596">
        <w:rPr>
          <w:rFonts w:ascii="Arial" w:hAnsi="Arial" w:cs="Arial"/>
          <w:sz w:val="20"/>
          <w:szCs w:val="20"/>
        </w:rPr>
        <w:t xml:space="preserve"> of 0.36 </w:t>
      </w:r>
      <w:r w:rsidR="0008778E">
        <w:rPr>
          <w:rFonts w:ascii="Arial" w:hAnsi="Arial" w:cs="Arial"/>
          <w:sz w:val="20"/>
          <w:szCs w:val="20"/>
        </w:rPr>
        <w:t xml:space="preserve">and 0.34 respectively </w:t>
      </w:r>
      <w:r w:rsidRPr="00450596">
        <w:rPr>
          <w:rFonts w:ascii="Arial" w:hAnsi="Arial" w:cs="Arial"/>
          <w:sz w:val="20"/>
          <w:szCs w:val="20"/>
        </w:rPr>
        <w:t>for the identification of MD.</w:t>
      </w:r>
    </w:p>
    <w:p w14:paraId="644B88B7" w14:textId="77777777" w:rsidR="00450596" w:rsidRDefault="00450596" w:rsidP="00450596">
      <w:pPr>
        <w:jc w:val="both"/>
        <w:rPr>
          <w:rFonts w:ascii="Arial" w:hAnsi="Arial" w:cs="Arial"/>
          <w:sz w:val="20"/>
          <w:szCs w:val="20"/>
        </w:rPr>
      </w:pPr>
    </w:p>
    <w:p w14:paraId="6C68E776" w14:textId="5465E693" w:rsidR="00450596" w:rsidRPr="00450596" w:rsidRDefault="00450596" w:rsidP="00450596">
      <w:pPr>
        <w:jc w:val="both"/>
        <w:rPr>
          <w:rFonts w:ascii="Arial" w:hAnsi="Arial" w:cs="Arial"/>
          <w:sz w:val="20"/>
          <w:szCs w:val="20"/>
        </w:rPr>
      </w:pPr>
      <w:r w:rsidRPr="00450596">
        <w:rPr>
          <w:rFonts w:ascii="Arial" w:hAnsi="Arial" w:cs="Arial"/>
          <w:sz w:val="20"/>
          <w:szCs w:val="20"/>
        </w:rPr>
        <w:t>Interpretation</w:t>
      </w:r>
    </w:p>
    <w:p w14:paraId="69969EA2" w14:textId="67777E30" w:rsidR="00450596" w:rsidRPr="00450596" w:rsidRDefault="00450596" w:rsidP="00450596">
      <w:pPr>
        <w:jc w:val="both"/>
        <w:rPr>
          <w:rFonts w:ascii="Arial" w:hAnsi="Arial" w:cs="Arial"/>
          <w:sz w:val="20"/>
          <w:szCs w:val="20"/>
        </w:rPr>
      </w:pPr>
      <w:r w:rsidRPr="00450596">
        <w:rPr>
          <w:rFonts w:ascii="Arial" w:hAnsi="Arial" w:cs="Arial"/>
          <w:sz w:val="20"/>
          <w:szCs w:val="20"/>
        </w:rPr>
        <w:t>In the UK invasive meningococcal disease is now a rare cause of non-blanching rashes in children</w:t>
      </w:r>
      <w:r w:rsidR="00E52E4C">
        <w:rPr>
          <w:rFonts w:ascii="Arial" w:hAnsi="Arial" w:cs="Arial"/>
          <w:sz w:val="20"/>
          <w:szCs w:val="20"/>
        </w:rPr>
        <w:t xml:space="preserve"> presenting to the ED</w:t>
      </w:r>
      <w:r w:rsidRPr="00450596">
        <w:rPr>
          <w:rFonts w:ascii="Arial" w:hAnsi="Arial" w:cs="Arial"/>
          <w:sz w:val="20"/>
          <w:szCs w:val="20"/>
        </w:rPr>
        <w:t>.</w:t>
      </w:r>
      <w:r w:rsidR="00F11D20">
        <w:rPr>
          <w:rFonts w:ascii="Arial" w:hAnsi="Arial" w:cs="Arial"/>
          <w:sz w:val="20"/>
          <w:szCs w:val="20"/>
        </w:rPr>
        <w:t xml:space="preserve"> </w:t>
      </w:r>
      <w:r w:rsidRPr="00450596">
        <w:rPr>
          <w:rFonts w:ascii="Arial" w:hAnsi="Arial" w:cs="Arial"/>
          <w:sz w:val="20"/>
          <w:szCs w:val="20"/>
        </w:rPr>
        <w:t>Current NICE guidance performs poorly when compared to alternative CPGs.</w:t>
      </w:r>
    </w:p>
    <w:p w14:paraId="7A76128D" w14:textId="77777777" w:rsidR="00450596" w:rsidRDefault="00450596" w:rsidP="00450596">
      <w:pPr>
        <w:jc w:val="both"/>
        <w:rPr>
          <w:rFonts w:ascii="Arial" w:hAnsi="Arial" w:cs="Arial"/>
          <w:sz w:val="20"/>
          <w:szCs w:val="20"/>
        </w:rPr>
      </w:pPr>
    </w:p>
    <w:p w14:paraId="5250A0FD" w14:textId="1B467EAA" w:rsidR="00450596" w:rsidRPr="00450596" w:rsidRDefault="00450596" w:rsidP="00450596">
      <w:pPr>
        <w:jc w:val="both"/>
        <w:rPr>
          <w:rFonts w:ascii="Arial" w:hAnsi="Arial" w:cs="Arial"/>
          <w:sz w:val="20"/>
          <w:szCs w:val="20"/>
        </w:rPr>
      </w:pPr>
      <w:r w:rsidRPr="00450596">
        <w:rPr>
          <w:rFonts w:ascii="Arial" w:hAnsi="Arial" w:cs="Arial"/>
          <w:sz w:val="20"/>
          <w:szCs w:val="20"/>
        </w:rPr>
        <w:t>Funding</w:t>
      </w:r>
    </w:p>
    <w:p w14:paraId="1F207FCF" w14:textId="31CD0E1F" w:rsidR="00E01085" w:rsidRPr="00450596" w:rsidRDefault="00450596" w:rsidP="00450596">
      <w:pPr>
        <w:jc w:val="both"/>
        <w:rPr>
          <w:rFonts w:ascii="Arial" w:hAnsi="Arial" w:cs="Arial"/>
          <w:sz w:val="20"/>
          <w:szCs w:val="20"/>
        </w:rPr>
      </w:pPr>
      <w:r w:rsidRPr="00450596">
        <w:rPr>
          <w:rFonts w:ascii="Arial" w:hAnsi="Arial" w:cs="Arial"/>
          <w:sz w:val="20"/>
          <w:szCs w:val="20"/>
        </w:rPr>
        <w:t>This study was funded by the Public Health Agency (EAT/5313/16). T</w:t>
      </w:r>
      <w:r>
        <w:rPr>
          <w:rFonts w:ascii="Arial" w:hAnsi="Arial" w:cs="Arial"/>
          <w:sz w:val="20"/>
          <w:szCs w:val="20"/>
        </w:rPr>
        <w:t xml:space="preserve">he funder had no involvement in </w:t>
      </w:r>
      <w:r w:rsidRPr="00450596">
        <w:rPr>
          <w:rFonts w:ascii="Arial" w:hAnsi="Arial" w:cs="Arial"/>
          <w:sz w:val="20"/>
          <w:szCs w:val="20"/>
        </w:rPr>
        <w:t>the design or conduct of the study.</w:t>
      </w:r>
      <w:r>
        <w:rPr>
          <w:rFonts w:ascii="Arial" w:hAnsi="Arial" w:cs="Arial"/>
          <w:color w:val="333333"/>
          <w:sz w:val="26"/>
          <w:szCs w:val="26"/>
          <w:shd w:val="clear" w:color="auto" w:fill="FFFFFF"/>
        </w:rPr>
        <w:t xml:space="preserve"> </w:t>
      </w:r>
    </w:p>
    <w:p w14:paraId="2AE0BC82" w14:textId="0AAC8545"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17816AD5" w14:textId="5AEC1AC9"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2ECC6DB5" w14:textId="739986AD"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63D09774" w14:textId="544F19AD"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7998E832" w14:textId="7A10CB02"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71490DE0" w14:textId="1AA637D9"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75B941D7" w14:textId="5F1FD648"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636C67B0" w14:textId="50D2BB7B"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3F6F30C8" w14:textId="27AF2CFE"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065DD8EE" w14:textId="5957CEF8"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18ABD5E4" w14:textId="13393E7C"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161EC66F" w14:textId="35AF4A52"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20C2F5E5" w14:textId="72601E51"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6C77F83E" w14:textId="517B553D"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0381E29A" w14:textId="28DECE77"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06A37EA1" w14:textId="493DA055"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5C3CBF69" w14:textId="2187F384"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7795D6A8" w14:textId="4A58E4B7"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4F4B19B8" w14:textId="0F268E80"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55357221" w14:textId="7E684D93"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02750EB2" w14:textId="5FC173BE"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1B8218E5" w14:textId="6901BDA4"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02D51C1E" w14:textId="44A44EB7" w:rsidR="00E01085" w:rsidRDefault="00E01085" w:rsidP="00CA5388">
      <w:pPr>
        <w:widowControl w:val="0"/>
        <w:autoSpaceDE w:val="0"/>
        <w:autoSpaceDN w:val="0"/>
        <w:adjustRightInd w:val="0"/>
        <w:rPr>
          <w:rFonts w:ascii="Arial" w:hAnsi="Arial" w:cs="Arial"/>
          <w:color w:val="333333"/>
          <w:sz w:val="26"/>
          <w:szCs w:val="26"/>
          <w:shd w:val="clear" w:color="auto" w:fill="FFFFFF"/>
        </w:rPr>
      </w:pPr>
    </w:p>
    <w:p w14:paraId="22D79F54" w14:textId="31DD9FF5" w:rsidR="008F5047" w:rsidRPr="008F5047" w:rsidRDefault="008F5047" w:rsidP="008F5047">
      <w:pPr>
        <w:widowControl w:val="0"/>
        <w:autoSpaceDE w:val="0"/>
        <w:autoSpaceDN w:val="0"/>
        <w:adjustRightInd w:val="0"/>
        <w:rPr>
          <w:rFonts w:ascii="Arial" w:hAnsi="Arial" w:cs="Arial"/>
          <w:b/>
          <w:color w:val="333333"/>
          <w:shd w:val="clear" w:color="auto" w:fill="FFFFFF"/>
        </w:rPr>
      </w:pPr>
      <w:r w:rsidRPr="008F5047">
        <w:rPr>
          <w:rFonts w:ascii="Arial" w:hAnsi="Arial" w:cs="Arial"/>
          <w:b/>
          <w:color w:val="333333"/>
          <w:shd w:val="clear" w:color="auto" w:fill="FFFFFF"/>
        </w:rPr>
        <w:lastRenderedPageBreak/>
        <w:t>Background</w:t>
      </w:r>
    </w:p>
    <w:p w14:paraId="45082245" w14:textId="74A314C0" w:rsidR="008F5047" w:rsidRPr="008F5047" w:rsidRDefault="008F5047" w:rsidP="008F5047">
      <w:pPr>
        <w:pStyle w:val="BodyText"/>
        <w:spacing w:line="480" w:lineRule="auto"/>
        <w:jc w:val="both"/>
        <w:rPr>
          <w:shd w:val="clear" w:color="auto" w:fill="FFFFFF"/>
        </w:rPr>
      </w:pPr>
      <w:r w:rsidRPr="008F5047">
        <w:rPr>
          <w:shd w:val="clear" w:color="auto" w:fill="FFFFFF"/>
        </w:rPr>
        <w:t>Despite successful vaccination programmes meningococcal disease (MD) remains one of the leading</w:t>
      </w:r>
      <w:r>
        <w:rPr>
          <w:shd w:val="clear" w:color="auto" w:fill="FFFFFF"/>
        </w:rPr>
        <w:t xml:space="preserve"> </w:t>
      </w:r>
      <w:r w:rsidRPr="008F5047">
        <w:rPr>
          <w:shd w:val="clear" w:color="auto" w:fill="FFFFFF"/>
        </w:rPr>
        <w:t>infectious causes of childhood septicaemia and death in the UK (</w:t>
      </w:r>
      <w:r>
        <w:rPr>
          <w:shd w:val="clear" w:color="auto" w:fill="FFFFFF"/>
        </w:rPr>
        <w:t xml:space="preserve">1,2,4). Early diagnosis may reduce </w:t>
      </w:r>
      <w:r w:rsidRPr="008F5047">
        <w:rPr>
          <w:shd w:val="clear" w:color="auto" w:fill="FFFFFF"/>
        </w:rPr>
        <w:t>morbidity and mortality (1,2), but this is challenging when relying on clinical ass</w:t>
      </w:r>
      <w:r>
        <w:rPr>
          <w:shd w:val="clear" w:color="auto" w:fill="FFFFFF"/>
        </w:rPr>
        <w:t xml:space="preserve">essment and currently </w:t>
      </w:r>
      <w:r w:rsidRPr="008F5047">
        <w:rPr>
          <w:shd w:val="clear" w:color="auto" w:fill="FFFFFF"/>
        </w:rPr>
        <w:t xml:space="preserve">available tests (1,4). MD presents with a number of phenotypes, but </w:t>
      </w:r>
      <w:r>
        <w:rPr>
          <w:shd w:val="clear" w:color="auto" w:fill="FFFFFF"/>
        </w:rPr>
        <w:t xml:space="preserve">the most typically described is </w:t>
      </w:r>
      <w:r w:rsidRPr="008F5047">
        <w:rPr>
          <w:shd w:val="clear" w:color="auto" w:fill="FFFFFF"/>
        </w:rPr>
        <w:t>non-blanching rash (NBR) in the context of a feverish illness (1–4)</w:t>
      </w:r>
      <w:r>
        <w:rPr>
          <w:shd w:val="clear" w:color="auto" w:fill="FFFFFF"/>
        </w:rPr>
        <w:t xml:space="preserve">. However this constellation of </w:t>
      </w:r>
      <w:r w:rsidRPr="008F5047">
        <w:rPr>
          <w:shd w:val="clear" w:color="auto" w:fill="FFFFFF"/>
        </w:rPr>
        <w:t xml:space="preserve">clinical features represents a relatively common presentation to </w:t>
      </w:r>
      <w:r>
        <w:rPr>
          <w:shd w:val="clear" w:color="auto" w:fill="FFFFFF"/>
        </w:rPr>
        <w:t xml:space="preserve">emergency departments (ED), and </w:t>
      </w:r>
      <w:r w:rsidRPr="008F5047">
        <w:rPr>
          <w:shd w:val="clear" w:color="auto" w:fill="FFFFFF"/>
        </w:rPr>
        <w:t>the vast majority of these children have a self</w:t>
      </w:r>
      <w:r>
        <w:rPr>
          <w:shd w:val="clear" w:color="auto" w:fill="FFFFFF"/>
        </w:rPr>
        <w:t xml:space="preserve">-limiting viral illness (5–11). </w:t>
      </w:r>
      <w:r w:rsidRPr="008F5047">
        <w:rPr>
          <w:shd w:val="clear" w:color="auto" w:fill="FFFFFF"/>
        </w:rPr>
        <w:t>Differentiating feverish children with NBRs who have MD from those w</w:t>
      </w:r>
      <w:r>
        <w:rPr>
          <w:shd w:val="clear" w:color="auto" w:fill="FFFFFF"/>
        </w:rPr>
        <w:t xml:space="preserve">ith a benign cause is difficult </w:t>
      </w:r>
      <w:r w:rsidRPr="008F5047">
        <w:rPr>
          <w:shd w:val="clear" w:color="auto" w:fill="FFFFFF"/>
        </w:rPr>
        <w:t>(1,2). The resultant diagnostic dilemma for clinicians predisposes to</w:t>
      </w:r>
      <w:r>
        <w:rPr>
          <w:shd w:val="clear" w:color="auto" w:fill="FFFFFF"/>
        </w:rPr>
        <w:t xml:space="preserve"> a cautious approach, with many </w:t>
      </w:r>
      <w:r w:rsidRPr="008F5047">
        <w:rPr>
          <w:shd w:val="clear" w:color="auto" w:fill="FFFFFF"/>
        </w:rPr>
        <w:t>children undergoing painful procedures and receiving unnece</w:t>
      </w:r>
      <w:r>
        <w:rPr>
          <w:shd w:val="clear" w:color="auto" w:fill="FFFFFF"/>
        </w:rPr>
        <w:t xml:space="preserve">ssary broad-spectrum parenteral </w:t>
      </w:r>
      <w:r w:rsidRPr="008F5047">
        <w:rPr>
          <w:shd w:val="clear" w:color="auto" w:fill="FFFFFF"/>
        </w:rPr>
        <w:t>antibiotics. Despite this cautious approach early MD may still</w:t>
      </w:r>
      <w:r>
        <w:rPr>
          <w:shd w:val="clear" w:color="auto" w:fill="FFFFFF"/>
        </w:rPr>
        <w:t xml:space="preserve"> be missed, and children may be </w:t>
      </w:r>
      <w:r w:rsidRPr="008F5047">
        <w:rPr>
          <w:shd w:val="clear" w:color="auto" w:fill="FFFFFF"/>
        </w:rPr>
        <w:t>discharged h</w:t>
      </w:r>
      <w:r>
        <w:rPr>
          <w:shd w:val="clear" w:color="auto" w:fill="FFFFFF"/>
        </w:rPr>
        <w:t xml:space="preserve">ome with adverse sequelae (11). </w:t>
      </w:r>
      <w:r w:rsidRPr="008F5047">
        <w:rPr>
          <w:shd w:val="clear" w:color="auto" w:fill="FFFFFF"/>
        </w:rPr>
        <w:t>Current clinical practice guidelines (CPG) are based on evidence whi</w:t>
      </w:r>
      <w:r>
        <w:rPr>
          <w:shd w:val="clear" w:color="auto" w:fill="FFFFFF"/>
        </w:rPr>
        <w:t xml:space="preserve">ch predates the introduction of </w:t>
      </w:r>
      <w:r w:rsidRPr="008F5047">
        <w:rPr>
          <w:shd w:val="clear" w:color="auto" w:fill="FFFFFF"/>
        </w:rPr>
        <w:t>meningococcal B and C vaccines. The quality of this underpinning evide</w:t>
      </w:r>
      <w:r>
        <w:rPr>
          <w:shd w:val="clear" w:color="auto" w:fill="FFFFFF"/>
        </w:rPr>
        <w:t xml:space="preserve">nce is also largely limited due </w:t>
      </w:r>
      <w:r w:rsidRPr="008F5047">
        <w:rPr>
          <w:shd w:val="clear" w:color="auto" w:fill="FFFFFF"/>
        </w:rPr>
        <w:t>to single centre or retrospective design, and use of convenience sam</w:t>
      </w:r>
      <w:r>
        <w:rPr>
          <w:shd w:val="clear" w:color="auto" w:fill="FFFFFF"/>
        </w:rPr>
        <w:t xml:space="preserve">ples with small patient numbers </w:t>
      </w:r>
      <w:r w:rsidRPr="008F5047">
        <w:rPr>
          <w:shd w:val="clear" w:color="auto" w:fill="FFFFFF"/>
        </w:rPr>
        <w:t>(7–11). These historical studies reported MD as the causal pathogen in c</w:t>
      </w:r>
      <w:r>
        <w:rPr>
          <w:shd w:val="clear" w:color="auto" w:fill="FFFFFF"/>
        </w:rPr>
        <w:t xml:space="preserve">hildren with fever and NBR </w:t>
      </w:r>
      <w:r w:rsidRPr="008F5047">
        <w:rPr>
          <w:shd w:val="clear" w:color="auto" w:fill="FFFFFF"/>
        </w:rPr>
        <w:t>in 10-20% of cases (7–11). This reported high prevalence of M</w:t>
      </w:r>
      <w:r>
        <w:rPr>
          <w:shd w:val="clear" w:color="auto" w:fill="FFFFFF"/>
        </w:rPr>
        <w:t xml:space="preserve">D has led to the reasonable but </w:t>
      </w:r>
      <w:r w:rsidRPr="008F5047">
        <w:rPr>
          <w:shd w:val="clear" w:color="auto" w:fill="FFFFFF"/>
        </w:rPr>
        <w:t>aggressive investigation and treatment strategies suggested by so</w:t>
      </w:r>
      <w:r>
        <w:rPr>
          <w:shd w:val="clear" w:color="auto" w:fill="FFFFFF"/>
        </w:rPr>
        <w:t xml:space="preserve">me CPGs. Vaccination programmes </w:t>
      </w:r>
      <w:r w:rsidRPr="008F5047">
        <w:rPr>
          <w:shd w:val="clear" w:color="auto" w:fill="FFFFFF"/>
        </w:rPr>
        <w:t>have since reduced the prevalence of MD in many countries including t</w:t>
      </w:r>
      <w:r>
        <w:rPr>
          <w:shd w:val="clear" w:color="auto" w:fill="FFFFFF"/>
        </w:rPr>
        <w:t xml:space="preserve">he UK (12,13), likely affecting </w:t>
      </w:r>
      <w:r w:rsidRPr="008F5047">
        <w:rPr>
          <w:shd w:val="clear" w:color="auto" w:fill="FFFFFF"/>
        </w:rPr>
        <w:t>the performance of CPGs, and creating a need for a</w:t>
      </w:r>
      <w:r>
        <w:rPr>
          <w:shd w:val="clear" w:color="auto" w:fill="FFFFFF"/>
        </w:rPr>
        <w:t xml:space="preserve"> well-powered validation study. </w:t>
      </w:r>
      <w:r w:rsidRPr="008F5047">
        <w:rPr>
          <w:shd w:val="clear" w:color="auto" w:fill="FFFFFF"/>
        </w:rPr>
        <w:t>The Petechiae in Children (PiC) study set out to prospectively ass</w:t>
      </w:r>
      <w:r>
        <w:rPr>
          <w:shd w:val="clear" w:color="auto" w:fill="FFFFFF"/>
        </w:rPr>
        <w:t xml:space="preserve">ess management of children with </w:t>
      </w:r>
      <w:r w:rsidRPr="008F5047">
        <w:rPr>
          <w:shd w:val="clear" w:color="auto" w:fill="FFFFFF"/>
        </w:rPr>
        <w:t xml:space="preserve">fever and NBRs presenting to </w:t>
      </w:r>
      <w:r w:rsidR="005536AE">
        <w:rPr>
          <w:shd w:val="clear" w:color="auto" w:fill="FFFFFF"/>
        </w:rPr>
        <w:t>paediatric Emergency Departments (ED)</w:t>
      </w:r>
      <w:r w:rsidRPr="008F5047">
        <w:rPr>
          <w:shd w:val="clear" w:color="auto" w:fill="FFFFFF"/>
        </w:rPr>
        <w:t xml:space="preserve"> in the </w:t>
      </w:r>
      <w:r>
        <w:rPr>
          <w:shd w:val="clear" w:color="auto" w:fill="FFFFFF"/>
        </w:rPr>
        <w:t xml:space="preserve">UK (14). The study protocol was </w:t>
      </w:r>
      <w:r w:rsidRPr="008F5047">
        <w:rPr>
          <w:shd w:val="clear" w:color="auto" w:fill="FFFFFF"/>
        </w:rPr>
        <w:t>designed to observe current practice, validate existing CPGs, and re</w:t>
      </w:r>
      <w:r>
        <w:rPr>
          <w:shd w:val="clear" w:color="auto" w:fill="FFFFFF"/>
        </w:rPr>
        <w:t xml:space="preserve">port the accuracy of a range of </w:t>
      </w:r>
      <w:r w:rsidRPr="008F5047">
        <w:rPr>
          <w:shd w:val="clear" w:color="auto" w:fill="FFFFFF"/>
        </w:rPr>
        <w:t>diagnostic tests. The primary outcome of this validation study was to evalua</w:t>
      </w:r>
      <w:r>
        <w:rPr>
          <w:shd w:val="clear" w:color="auto" w:fill="FFFFFF"/>
        </w:rPr>
        <w:t xml:space="preserve">te the performance </w:t>
      </w:r>
      <w:r w:rsidRPr="008F5047">
        <w:rPr>
          <w:shd w:val="clear" w:color="auto" w:fill="FFFFFF"/>
        </w:rPr>
        <w:t>accuracy of current UK CPGs for the diagnosis of MD in febrile children with a NBR.</w:t>
      </w:r>
    </w:p>
    <w:p w14:paraId="0EB8E751" w14:textId="77777777" w:rsidR="008F5047" w:rsidRPr="00C67B10" w:rsidRDefault="008F5047" w:rsidP="00CA5388">
      <w:pPr>
        <w:widowControl w:val="0"/>
        <w:autoSpaceDE w:val="0"/>
        <w:autoSpaceDN w:val="0"/>
        <w:adjustRightInd w:val="0"/>
        <w:rPr>
          <w:rFonts w:ascii="Arial" w:hAnsi="Arial" w:cs="Arial"/>
          <w:color w:val="333333"/>
          <w:shd w:val="clear" w:color="auto" w:fill="FFFFFF"/>
        </w:rPr>
      </w:pPr>
      <w:r w:rsidRPr="00C67B10">
        <w:rPr>
          <w:rFonts w:ascii="Arial" w:hAnsi="Arial" w:cs="Arial"/>
          <w:b/>
          <w:color w:val="333333"/>
          <w:shd w:val="clear" w:color="auto" w:fill="FFFFFF"/>
        </w:rPr>
        <w:lastRenderedPageBreak/>
        <w:t>Methods</w:t>
      </w:r>
      <w:r w:rsidRPr="00C67B10">
        <w:rPr>
          <w:rFonts w:ascii="Arial" w:hAnsi="Arial" w:cs="Arial"/>
          <w:color w:val="333333"/>
          <w:shd w:val="clear" w:color="auto" w:fill="FFFFFF"/>
        </w:rPr>
        <w:t xml:space="preserve"> </w:t>
      </w:r>
    </w:p>
    <w:p w14:paraId="1AF9318E" w14:textId="77777777" w:rsidR="008F5047" w:rsidRDefault="008F5047" w:rsidP="00CA5388">
      <w:pPr>
        <w:widowControl w:val="0"/>
        <w:autoSpaceDE w:val="0"/>
        <w:autoSpaceDN w:val="0"/>
        <w:adjustRightInd w:val="0"/>
        <w:rPr>
          <w:rFonts w:ascii="Arial" w:hAnsi="Arial" w:cs="Arial"/>
          <w:color w:val="333333"/>
          <w:sz w:val="26"/>
          <w:szCs w:val="26"/>
          <w:shd w:val="clear" w:color="auto" w:fill="FFFFFF"/>
        </w:rPr>
      </w:pPr>
    </w:p>
    <w:p w14:paraId="3962BE86" w14:textId="5D7F2B93" w:rsidR="008F5047" w:rsidRPr="008F5047" w:rsidRDefault="000E3D88" w:rsidP="008F5047">
      <w:pPr>
        <w:pStyle w:val="BodyText"/>
        <w:spacing w:line="480" w:lineRule="auto"/>
        <w:jc w:val="both"/>
        <w:rPr>
          <w:i/>
          <w:shd w:val="clear" w:color="auto" w:fill="FFFFFF"/>
        </w:rPr>
      </w:pPr>
      <w:r>
        <w:rPr>
          <w:i/>
          <w:shd w:val="clear" w:color="auto" w:fill="FFFFFF"/>
        </w:rPr>
        <w:t>Study d</w:t>
      </w:r>
      <w:r w:rsidR="008F5047" w:rsidRPr="008F5047">
        <w:rPr>
          <w:i/>
          <w:shd w:val="clear" w:color="auto" w:fill="FFFFFF"/>
        </w:rPr>
        <w:t xml:space="preserve">esign </w:t>
      </w:r>
    </w:p>
    <w:p w14:paraId="1C0C9196" w14:textId="617EE667" w:rsidR="000E3D88" w:rsidRDefault="008F5047" w:rsidP="008F5047">
      <w:pPr>
        <w:pStyle w:val="BodyText"/>
        <w:spacing w:line="480" w:lineRule="auto"/>
        <w:jc w:val="both"/>
        <w:rPr>
          <w:shd w:val="clear" w:color="auto" w:fill="FFFFFF"/>
        </w:rPr>
      </w:pPr>
      <w:r w:rsidRPr="008F5047">
        <w:rPr>
          <w:shd w:val="clear" w:color="auto" w:fill="FFFFFF"/>
        </w:rPr>
        <w:t>The protocol for the Petechiae in Children (PiC) study has previously been published and adheres to the TRIPOD statement for prediction model validation (TRIPOD checklist in supplementary material) (14). This prospective multicentre cohort study was conduc</w:t>
      </w:r>
      <w:r w:rsidR="00B87D1D">
        <w:rPr>
          <w:shd w:val="clear" w:color="auto" w:fill="FFFFFF"/>
        </w:rPr>
        <w:t>ted at 37 UK p</w:t>
      </w:r>
      <w:r w:rsidRPr="008F5047">
        <w:rPr>
          <w:shd w:val="clear" w:color="auto" w:fill="FFFFFF"/>
        </w:rPr>
        <w:t xml:space="preserve">aediatric Emergency </w:t>
      </w:r>
      <w:r w:rsidR="00B87D1D">
        <w:rPr>
          <w:shd w:val="clear" w:color="auto" w:fill="FFFFFF"/>
        </w:rPr>
        <w:t>Departments</w:t>
      </w:r>
      <w:r w:rsidRPr="008F5047">
        <w:rPr>
          <w:shd w:val="clear" w:color="auto" w:fill="FFFFFF"/>
        </w:rPr>
        <w:t xml:space="preserve"> between the 9th of November 2017 and the 30th of June 2019 (recruitment summary available in </w:t>
      </w:r>
      <w:r w:rsidR="004E672F">
        <w:rPr>
          <w:shd w:val="clear" w:color="auto" w:fill="FFFFFF"/>
        </w:rPr>
        <w:t>the supplementary material</w:t>
      </w:r>
      <w:r w:rsidRPr="008F5047">
        <w:rPr>
          <w:shd w:val="clear" w:color="auto" w:fill="FFFFFF"/>
        </w:rPr>
        <w:t>)(15). Participating centres were distributed across the UK with one centre in Northern Ireland, three centres in Scotland and thirty-three centres in England, and included a range of tertiary paediatric specialist and district general hospitals. Children under 18 years of age attending</w:t>
      </w:r>
      <w:r w:rsidR="0069229B">
        <w:rPr>
          <w:shd w:val="clear" w:color="auto" w:fill="FFFFFF"/>
        </w:rPr>
        <w:t xml:space="preserve">, the </w:t>
      </w:r>
      <w:r w:rsidR="005536AE">
        <w:rPr>
          <w:shd w:val="clear" w:color="auto" w:fill="FFFFFF"/>
        </w:rPr>
        <w:t>EDs</w:t>
      </w:r>
      <w:r w:rsidR="0069229B">
        <w:rPr>
          <w:shd w:val="clear" w:color="auto" w:fill="FFFFFF"/>
        </w:rPr>
        <w:t xml:space="preserve"> of,</w:t>
      </w:r>
      <w:r w:rsidRPr="008F5047">
        <w:rPr>
          <w:shd w:val="clear" w:color="auto" w:fill="FFFFFF"/>
        </w:rPr>
        <w:t xml:space="preserve"> participating centres with reported or recorded fever (≥38°C), and a new-onset NBR or features suggestive of meningococcal infection, were eligible for inclusion. Children with pre-existing haematological conditions (for example, haematological malignancy, idiopathic thrombocytopenic purpura (ITP), or coagulopathy) were excluded, as were children with an existing diagnosis of Henoch-Schonlein purpura (HSP). </w:t>
      </w:r>
    </w:p>
    <w:p w14:paraId="333EBF08" w14:textId="77777777" w:rsidR="000E3D88" w:rsidRDefault="000E3D88" w:rsidP="008F5047">
      <w:pPr>
        <w:pStyle w:val="BodyText"/>
        <w:spacing w:line="480" w:lineRule="auto"/>
        <w:jc w:val="both"/>
        <w:rPr>
          <w:shd w:val="clear" w:color="auto" w:fill="FFFFFF"/>
        </w:rPr>
      </w:pPr>
    </w:p>
    <w:p w14:paraId="6EBC1817" w14:textId="77777777" w:rsidR="000E3D88" w:rsidRPr="000E3D88" w:rsidRDefault="008F5047" w:rsidP="008F5047">
      <w:pPr>
        <w:pStyle w:val="BodyText"/>
        <w:spacing w:line="480" w:lineRule="auto"/>
        <w:jc w:val="both"/>
        <w:rPr>
          <w:i/>
          <w:shd w:val="clear" w:color="auto" w:fill="FFFFFF"/>
        </w:rPr>
      </w:pPr>
      <w:r w:rsidRPr="000E3D88">
        <w:rPr>
          <w:i/>
          <w:shd w:val="clear" w:color="auto" w:fill="FFFFFF"/>
        </w:rPr>
        <w:t xml:space="preserve">Outcome measures </w:t>
      </w:r>
    </w:p>
    <w:p w14:paraId="778B8AAF" w14:textId="2CE80FAC" w:rsidR="000E3D88" w:rsidRDefault="008F5047" w:rsidP="008F5047">
      <w:pPr>
        <w:pStyle w:val="BodyText"/>
        <w:spacing w:line="480" w:lineRule="auto"/>
        <w:jc w:val="both"/>
        <w:rPr>
          <w:shd w:val="clear" w:color="auto" w:fill="FFFFFF"/>
        </w:rPr>
      </w:pPr>
      <w:r w:rsidRPr="008F5047">
        <w:rPr>
          <w:shd w:val="clear" w:color="auto" w:fill="FFFFFF"/>
        </w:rPr>
        <w:t>The primary outcome measure was the</w:t>
      </w:r>
      <w:r w:rsidR="005536AE">
        <w:rPr>
          <w:shd w:val="clear" w:color="auto" w:fill="FFFFFF"/>
        </w:rPr>
        <w:t xml:space="preserve"> performance accuracy of CPGs at</w:t>
      </w:r>
      <w:r w:rsidRPr="008F5047">
        <w:rPr>
          <w:shd w:val="clear" w:color="auto" w:fill="FFFFFF"/>
        </w:rPr>
        <w:t xml:space="preserve"> identifying children with invasive MD. Secondary outcome measures included diagnosis of other invasive bacterial infections and a cost comparison between the CPGs. </w:t>
      </w:r>
    </w:p>
    <w:p w14:paraId="76368850" w14:textId="77777777" w:rsidR="000E3D88" w:rsidRDefault="000E3D88" w:rsidP="008F5047">
      <w:pPr>
        <w:pStyle w:val="BodyText"/>
        <w:spacing w:line="480" w:lineRule="auto"/>
        <w:jc w:val="both"/>
        <w:rPr>
          <w:shd w:val="clear" w:color="auto" w:fill="FFFFFF"/>
        </w:rPr>
      </w:pPr>
    </w:p>
    <w:p w14:paraId="014C0A26" w14:textId="77777777" w:rsidR="000E3D88" w:rsidRDefault="008F5047" w:rsidP="008F5047">
      <w:pPr>
        <w:pStyle w:val="BodyText"/>
        <w:spacing w:line="480" w:lineRule="auto"/>
        <w:jc w:val="both"/>
        <w:rPr>
          <w:shd w:val="clear" w:color="auto" w:fill="FFFFFF"/>
        </w:rPr>
      </w:pPr>
      <w:r w:rsidRPr="000E3D88">
        <w:rPr>
          <w:i/>
          <w:shd w:val="clear" w:color="auto" w:fill="FFFFFF"/>
        </w:rPr>
        <w:t>Identifying clinical risk factors</w:t>
      </w:r>
      <w:r w:rsidRPr="008F5047">
        <w:rPr>
          <w:shd w:val="clear" w:color="auto" w:fill="FFFFFF"/>
        </w:rPr>
        <w:t xml:space="preserve"> </w:t>
      </w:r>
    </w:p>
    <w:p w14:paraId="73475269" w14:textId="503FA40E" w:rsidR="000E3D88" w:rsidRDefault="008F5047" w:rsidP="008F5047">
      <w:pPr>
        <w:pStyle w:val="BodyText"/>
        <w:spacing w:line="480" w:lineRule="auto"/>
        <w:jc w:val="both"/>
        <w:rPr>
          <w:shd w:val="clear" w:color="auto" w:fill="FFFFFF"/>
        </w:rPr>
      </w:pPr>
      <w:r w:rsidRPr="008F5047">
        <w:rPr>
          <w:shd w:val="clear" w:color="auto" w:fill="FFFFFF"/>
        </w:rPr>
        <w:t xml:space="preserve">Potential clinical risk factors for MD were identified by reviewing CPGs from all participating sites, and included in the clinician case report form (CRF1; supplementary material). Eight CPGs were submitted prior to study commencement: Barts and the London [London CPG], Countess of Chester Hospital [Chester CPG], NICE Meningitis (bacterial) and meningococcal septicaemia in under 16s: recognition, diagnosis and management [NICE CG102], NICE </w:t>
      </w:r>
      <w:r w:rsidRPr="008F5047">
        <w:rPr>
          <w:shd w:val="clear" w:color="auto" w:fill="FFFFFF"/>
        </w:rPr>
        <w:lastRenderedPageBreak/>
        <w:t>Sepsis: recognition, diagnosis and early management [NICE NG51], Newcastle-Birmingham-Liverpool [NBL CPG], Nottingham Children’s Hospital [Nottingham CPG], Royal Hospital for Children Glasgow [Glasgow CPG] and the Bristol Royal Hospital for Children [Bristol CPG]. The CPGs are available i</w:t>
      </w:r>
      <w:r w:rsidR="000E3D88">
        <w:rPr>
          <w:shd w:val="clear" w:color="auto" w:fill="FFFFFF"/>
        </w:rPr>
        <w:t xml:space="preserve">n the supplementary material. </w:t>
      </w:r>
      <w:r w:rsidRPr="008F5047">
        <w:rPr>
          <w:shd w:val="clear" w:color="auto" w:fill="FFFFFF"/>
        </w:rPr>
        <w:t>The risk factors identified included background information (age, vaccination status), description and progression of rash, duration of illness, appearance of child, presence of signs of shock and meningism, gastrointestinal sympto</w:t>
      </w:r>
      <w:r w:rsidR="006461D7">
        <w:rPr>
          <w:shd w:val="clear" w:color="auto" w:fill="FFFFFF"/>
        </w:rPr>
        <w:t>ms, other symptoms (e.g. reduced conscious level, respiratory symptoms, limb pain</w:t>
      </w:r>
      <w:r w:rsidRPr="008F5047">
        <w:rPr>
          <w:shd w:val="clear" w:color="auto" w:fill="FFFFFF"/>
        </w:rPr>
        <w:t xml:space="preserve">), and blood results. </w:t>
      </w:r>
    </w:p>
    <w:p w14:paraId="1F8CC6C4" w14:textId="77777777" w:rsidR="000E3D88" w:rsidRPr="000E3D88" w:rsidRDefault="000E3D88" w:rsidP="008F5047">
      <w:pPr>
        <w:pStyle w:val="BodyText"/>
        <w:spacing w:line="480" w:lineRule="auto"/>
        <w:jc w:val="both"/>
        <w:rPr>
          <w:i/>
          <w:shd w:val="clear" w:color="auto" w:fill="FFFFFF"/>
        </w:rPr>
      </w:pPr>
    </w:p>
    <w:p w14:paraId="40A9D8EF" w14:textId="0B4E2BC0" w:rsidR="000E3D88" w:rsidRPr="000E3D88" w:rsidRDefault="000E3D88" w:rsidP="008F5047">
      <w:pPr>
        <w:pStyle w:val="BodyText"/>
        <w:spacing w:line="480" w:lineRule="auto"/>
        <w:jc w:val="both"/>
        <w:rPr>
          <w:i/>
          <w:shd w:val="clear" w:color="auto" w:fill="FFFFFF"/>
        </w:rPr>
      </w:pPr>
      <w:r>
        <w:rPr>
          <w:i/>
          <w:shd w:val="clear" w:color="auto" w:fill="FFFFFF"/>
        </w:rPr>
        <w:t>Study p</w:t>
      </w:r>
      <w:r w:rsidR="008F5047" w:rsidRPr="000E3D88">
        <w:rPr>
          <w:i/>
          <w:shd w:val="clear" w:color="auto" w:fill="FFFFFF"/>
        </w:rPr>
        <w:t xml:space="preserve">rocedures </w:t>
      </w:r>
    </w:p>
    <w:p w14:paraId="1678F6B8" w14:textId="77777777" w:rsidR="000E3D88" w:rsidRDefault="008F5047" w:rsidP="008F5047">
      <w:pPr>
        <w:pStyle w:val="BodyText"/>
        <w:spacing w:line="480" w:lineRule="auto"/>
        <w:jc w:val="both"/>
        <w:rPr>
          <w:shd w:val="clear" w:color="auto" w:fill="FFFFFF"/>
        </w:rPr>
      </w:pPr>
      <w:r w:rsidRPr="008F5047">
        <w:rPr>
          <w:shd w:val="clear" w:color="auto" w:fill="FFFFFF"/>
        </w:rPr>
        <w:t xml:space="preserve">Patients were screened for eligibility by clinical staff at the time of medical assessment, and study data were recorded prospectively using an electronic CRF (supplementary material). These data were recorded contemporaneously by clinical staff prior to consent discussions, and before laboratory test results were available. All participants in the PiC study received clinical care as per local guidance without delay. </w:t>
      </w:r>
    </w:p>
    <w:p w14:paraId="3B9F9202" w14:textId="77777777" w:rsidR="000E3D88" w:rsidRDefault="000E3D88" w:rsidP="008F5047">
      <w:pPr>
        <w:pStyle w:val="BodyText"/>
        <w:spacing w:line="480" w:lineRule="auto"/>
        <w:jc w:val="both"/>
        <w:rPr>
          <w:shd w:val="clear" w:color="auto" w:fill="FFFFFF"/>
        </w:rPr>
      </w:pPr>
    </w:p>
    <w:p w14:paraId="05D015CE" w14:textId="6E851797" w:rsidR="000E3D88" w:rsidRDefault="000E3D88" w:rsidP="008F5047">
      <w:pPr>
        <w:pStyle w:val="BodyText"/>
        <w:spacing w:line="480" w:lineRule="auto"/>
        <w:jc w:val="both"/>
        <w:rPr>
          <w:shd w:val="clear" w:color="auto" w:fill="FFFFFF"/>
        </w:rPr>
      </w:pPr>
      <w:r>
        <w:rPr>
          <w:i/>
          <w:shd w:val="clear" w:color="auto" w:fill="FFFFFF"/>
        </w:rPr>
        <w:t>Reference s</w:t>
      </w:r>
      <w:r w:rsidR="008F5047" w:rsidRPr="000E3D88">
        <w:rPr>
          <w:i/>
          <w:shd w:val="clear" w:color="auto" w:fill="FFFFFF"/>
        </w:rPr>
        <w:t>tandards</w:t>
      </w:r>
      <w:r w:rsidR="008F5047" w:rsidRPr="008F5047">
        <w:rPr>
          <w:shd w:val="clear" w:color="auto" w:fill="FFFFFF"/>
        </w:rPr>
        <w:t xml:space="preserve"> </w:t>
      </w:r>
    </w:p>
    <w:p w14:paraId="3BAB0B8C" w14:textId="139F2FB9" w:rsidR="000E3D88" w:rsidRDefault="008F5047" w:rsidP="008F5047">
      <w:pPr>
        <w:pStyle w:val="BodyText"/>
        <w:spacing w:line="480" w:lineRule="auto"/>
        <w:jc w:val="both"/>
        <w:rPr>
          <w:shd w:val="clear" w:color="auto" w:fill="FFFFFF"/>
        </w:rPr>
      </w:pPr>
      <w:r w:rsidRPr="008F5047">
        <w:rPr>
          <w:shd w:val="clear" w:color="auto" w:fill="FFFFFF"/>
        </w:rPr>
        <w:t xml:space="preserve">The reference standard for identification of MD or other invasive bacterial infection (IBI) against which the </w:t>
      </w:r>
      <w:r w:rsidR="005536AE">
        <w:rPr>
          <w:shd w:val="clear" w:color="auto" w:fill="FFFFFF"/>
        </w:rPr>
        <w:t>performance</w:t>
      </w:r>
      <w:r w:rsidRPr="008F5047">
        <w:rPr>
          <w:shd w:val="clear" w:color="auto" w:fill="FFFFFF"/>
        </w:rPr>
        <w:t xml:space="preserve"> of existing CPGs were assessed was defined as positive culture or PCR for </w:t>
      </w:r>
      <w:r w:rsidRPr="00F028F4">
        <w:rPr>
          <w:i/>
          <w:shd w:val="clear" w:color="auto" w:fill="FFFFFF"/>
        </w:rPr>
        <w:t>N. meningitidis</w:t>
      </w:r>
      <w:r w:rsidRPr="008F5047">
        <w:rPr>
          <w:shd w:val="clear" w:color="auto" w:fill="FFFFFF"/>
        </w:rPr>
        <w:t xml:space="preserve"> or other bacterial pathogen from a sterile body site (eg blood or CSF), performed by technicians blinded to clinical information at accredited National Health Service (NHS) hospital laboratories. Hospital records were subsequently checked for reattendance of participants who did not have culture/PCR testing, and these were assumed not to have MD provided the following criteria were met: </w:t>
      </w:r>
    </w:p>
    <w:p w14:paraId="23C8F5E8" w14:textId="77777777" w:rsidR="000E3D88" w:rsidRDefault="008F5047" w:rsidP="000E3D88">
      <w:pPr>
        <w:pStyle w:val="BodyText"/>
        <w:spacing w:line="480" w:lineRule="auto"/>
        <w:ind w:firstLine="720"/>
        <w:jc w:val="both"/>
        <w:rPr>
          <w:shd w:val="clear" w:color="auto" w:fill="FFFFFF"/>
        </w:rPr>
      </w:pPr>
      <w:r w:rsidRPr="008F5047">
        <w:rPr>
          <w:shd w:val="clear" w:color="auto" w:fill="FFFFFF"/>
        </w:rPr>
        <w:t>1) They were not subsequently diagnosed with MD within seven days of discharge</w:t>
      </w:r>
    </w:p>
    <w:p w14:paraId="49517378" w14:textId="77777777" w:rsidR="000E3D88" w:rsidRDefault="008F5047" w:rsidP="000E3D88">
      <w:pPr>
        <w:pStyle w:val="BodyText"/>
        <w:spacing w:line="480" w:lineRule="auto"/>
        <w:ind w:firstLine="720"/>
        <w:jc w:val="both"/>
        <w:rPr>
          <w:shd w:val="clear" w:color="auto" w:fill="FFFFFF"/>
        </w:rPr>
      </w:pPr>
      <w:r w:rsidRPr="008F5047">
        <w:rPr>
          <w:shd w:val="clear" w:color="auto" w:fill="FFFFFF"/>
        </w:rPr>
        <w:t xml:space="preserve">2) They did not have a MD notification to the public health agency </w:t>
      </w:r>
    </w:p>
    <w:p w14:paraId="3F65B650" w14:textId="77777777" w:rsidR="000E3D88" w:rsidRDefault="000E3D88" w:rsidP="000E3D88">
      <w:pPr>
        <w:pStyle w:val="BodyText"/>
        <w:spacing w:line="480" w:lineRule="auto"/>
        <w:jc w:val="both"/>
        <w:rPr>
          <w:shd w:val="clear" w:color="auto" w:fill="FFFFFF"/>
        </w:rPr>
      </w:pPr>
    </w:p>
    <w:p w14:paraId="3E4F9981" w14:textId="77777777" w:rsidR="000E3D88" w:rsidRDefault="000E3D88" w:rsidP="000E3D88">
      <w:pPr>
        <w:pStyle w:val="BodyText"/>
        <w:spacing w:line="480" w:lineRule="auto"/>
        <w:jc w:val="both"/>
        <w:rPr>
          <w:shd w:val="clear" w:color="auto" w:fill="FFFFFF"/>
        </w:rPr>
      </w:pPr>
    </w:p>
    <w:p w14:paraId="13C7EAD5" w14:textId="77777777" w:rsidR="000E3D88" w:rsidRDefault="000E3D88" w:rsidP="000E3D88">
      <w:pPr>
        <w:pStyle w:val="BodyText"/>
        <w:spacing w:line="480" w:lineRule="auto"/>
        <w:jc w:val="both"/>
        <w:rPr>
          <w:shd w:val="clear" w:color="auto" w:fill="FFFFFF"/>
        </w:rPr>
      </w:pPr>
      <w:r>
        <w:rPr>
          <w:i/>
          <w:shd w:val="clear" w:color="auto" w:fill="FFFFFF"/>
        </w:rPr>
        <w:lastRenderedPageBreak/>
        <w:t>Consent m</w:t>
      </w:r>
      <w:r w:rsidR="008F5047" w:rsidRPr="000E3D88">
        <w:rPr>
          <w:i/>
          <w:shd w:val="clear" w:color="auto" w:fill="FFFFFF"/>
        </w:rPr>
        <w:t>odel</w:t>
      </w:r>
      <w:r w:rsidR="008F5047" w:rsidRPr="008F5047">
        <w:rPr>
          <w:shd w:val="clear" w:color="auto" w:fill="FFFFFF"/>
        </w:rPr>
        <w:t xml:space="preserve"> </w:t>
      </w:r>
    </w:p>
    <w:p w14:paraId="1659C1EE" w14:textId="77777777" w:rsidR="005536AE" w:rsidRDefault="008F5047" w:rsidP="000E3D88">
      <w:pPr>
        <w:pStyle w:val="BodyText"/>
        <w:spacing w:line="480" w:lineRule="auto"/>
        <w:jc w:val="both"/>
        <w:rPr>
          <w:shd w:val="clear" w:color="auto" w:fill="FFFFFF"/>
        </w:rPr>
      </w:pPr>
      <w:r w:rsidRPr="008F5047">
        <w:rPr>
          <w:shd w:val="clear" w:color="auto" w:fill="FFFFFF"/>
        </w:rPr>
        <w:t xml:space="preserve">Due to the potentially life-threatening nature of invasive MD, research without prior consent (RWPC) was utlilised, and is described in full in the published study protocol (14,16,17). Participants were enrolled to ensure contemporaneous data collection and were thereafter invited to provide consent at the earliest appropriate opportunity (typically within 24 hours) once the clinical condition had stabilised. </w:t>
      </w:r>
    </w:p>
    <w:p w14:paraId="32DABB2D" w14:textId="77777777" w:rsidR="005536AE" w:rsidRDefault="005536AE" w:rsidP="000E3D88">
      <w:pPr>
        <w:pStyle w:val="BodyText"/>
        <w:spacing w:line="480" w:lineRule="auto"/>
        <w:jc w:val="both"/>
        <w:rPr>
          <w:shd w:val="clear" w:color="auto" w:fill="FFFFFF"/>
        </w:rPr>
      </w:pPr>
    </w:p>
    <w:p w14:paraId="47CF4EBA" w14:textId="77777777" w:rsidR="005536AE" w:rsidRDefault="008F5047" w:rsidP="000E3D88">
      <w:pPr>
        <w:pStyle w:val="BodyText"/>
        <w:spacing w:line="480" w:lineRule="auto"/>
        <w:jc w:val="both"/>
        <w:rPr>
          <w:shd w:val="clear" w:color="auto" w:fill="FFFFFF"/>
        </w:rPr>
      </w:pPr>
      <w:r w:rsidRPr="005536AE">
        <w:rPr>
          <w:i/>
          <w:shd w:val="clear" w:color="auto" w:fill="FFFFFF"/>
        </w:rPr>
        <w:t>I</w:t>
      </w:r>
      <w:r w:rsidR="000E3D88" w:rsidRPr="005536AE">
        <w:rPr>
          <w:i/>
          <w:shd w:val="clear" w:color="auto" w:fill="FFFFFF"/>
        </w:rPr>
        <w:t>dentifying missed cases of MD</w:t>
      </w:r>
      <w:r w:rsidR="000E3D88">
        <w:rPr>
          <w:shd w:val="clear" w:color="auto" w:fill="FFFFFF"/>
        </w:rPr>
        <w:t xml:space="preserve">. </w:t>
      </w:r>
    </w:p>
    <w:p w14:paraId="5A4188BD" w14:textId="4E204A4D" w:rsidR="000E3D88" w:rsidRDefault="008F5047" w:rsidP="000E3D88">
      <w:pPr>
        <w:pStyle w:val="BodyText"/>
        <w:spacing w:line="480" w:lineRule="auto"/>
        <w:jc w:val="both"/>
        <w:rPr>
          <w:shd w:val="clear" w:color="auto" w:fill="FFFFFF"/>
        </w:rPr>
      </w:pPr>
      <w:r w:rsidRPr="008F5047">
        <w:rPr>
          <w:shd w:val="clear" w:color="auto" w:fill="FFFFFF"/>
        </w:rPr>
        <w:t xml:space="preserve">At the close of the study, participating sites identified all children who had positive MD culture or PCR tests by checking notifications to the Public Health Agency. MD is a notifiable disease in the UK and this represents a reliable method for such an identification strategy. This list was cross-referenced with enrolled participants, and where patients with positive MD results were not enrolled, reasons for this were included. Research teams were also required to check for any unplanned re-attendances within seven days of discharge as a further mechanism to identify any participants with MD who may have been initially discharged without treatment. </w:t>
      </w:r>
    </w:p>
    <w:p w14:paraId="5BABD6C9" w14:textId="77777777" w:rsidR="000E3D88" w:rsidRPr="000E3D88" w:rsidRDefault="000E3D88" w:rsidP="000E3D88">
      <w:pPr>
        <w:pStyle w:val="BodyText"/>
        <w:spacing w:line="480" w:lineRule="auto"/>
        <w:jc w:val="both"/>
        <w:rPr>
          <w:i/>
          <w:shd w:val="clear" w:color="auto" w:fill="FFFFFF"/>
        </w:rPr>
      </w:pPr>
    </w:p>
    <w:p w14:paraId="024A3F1B" w14:textId="48806100" w:rsidR="000E3D88" w:rsidRPr="000E3D88" w:rsidRDefault="000E3D88" w:rsidP="000E3D88">
      <w:pPr>
        <w:pStyle w:val="BodyText"/>
        <w:spacing w:line="480" w:lineRule="auto"/>
        <w:jc w:val="both"/>
        <w:rPr>
          <w:i/>
          <w:shd w:val="clear" w:color="auto" w:fill="FFFFFF"/>
        </w:rPr>
      </w:pPr>
      <w:r>
        <w:rPr>
          <w:i/>
          <w:shd w:val="clear" w:color="auto" w:fill="FFFFFF"/>
        </w:rPr>
        <w:t>Data m</w:t>
      </w:r>
      <w:r w:rsidR="008F5047" w:rsidRPr="000E3D88">
        <w:rPr>
          <w:i/>
          <w:shd w:val="clear" w:color="auto" w:fill="FFFFFF"/>
        </w:rPr>
        <w:t xml:space="preserve">anagement </w:t>
      </w:r>
    </w:p>
    <w:p w14:paraId="6F66832B" w14:textId="77777777" w:rsidR="00FF61E0" w:rsidRDefault="008F5047" w:rsidP="00B93D3A">
      <w:pPr>
        <w:pStyle w:val="BodyText"/>
        <w:spacing w:line="480" w:lineRule="auto"/>
        <w:jc w:val="both"/>
        <w:rPr>
          <w:shd w:val="clear" w:color="auto" w:fill="FFFFFF"/>
        </w:rPr>
      </w:pPr>
      <w:r w:rsidRPr="008F5047">
        <w:rPr>
          <w:shd w:val="clear" w:color="auto" w:fill="FFFFFF"/>
        </w:rPr>
        <w:t xml:space="preserve">Study data were collected and managed using REDCap (Research Electronic Data Capture) electronic data capture tools (18). The initial CRF was completed by treating clinicians to contemporaneously record data regarding the appearance of the patient at first medical assessment. The second CRF was completed seven days after discharge, and recorded laboratory results, length of stay, and other aspects of care not susceptible to recall bias. Any participants with incomplete data were excluded from the analysis (CRFs available in supplementary material). Prior to statistical analysis three authors (TW, LM, HM) checked the database for completeness of data using IBM statistical package for social sciences (SPSS) version 23. Two authors (TW and MDS) applied the eight CPGs to the data set. As standard care was followed, not all children underwent blood testing and so where this was the case, single imputation with data assumed to within the normal range i.e. </w:t>
      </w:r>
      <w:r w:rsidR="00F7516A">
        <w:rPr>
          <w:shd w:val="clear" w:color="auto" w:fill="FFFFFF"/>
        </w:rPr>
        <w:t xml:space="preserve">CRP &lt;6mg/l, WCC </w:t>
      </w:r>
      <w:r w:rsidR="00F7516A">
        <w:rPr>
          <w:shd w:val="clear" w:color="auto" w:fill="FFFFFF"/>
        </w:rPr>
        <w:lastRenderedPageBreak/>
        <w:t>between 5 x109 and 15 x109</w:t>
      </w:r>
      <w:r w:rsidR="000E3D88" w:rsidRPr="000E3D88">
        <w:rPr>
          <w:shd w:val="clear" w:color="auto" w:fill="FFFFFF"/>
        </w:rPr>
        <w:t>, Neutrophils &lt;10 x109 was undertaken. We selected this approach because none of the</w:t>
      </w:r>
      <w:r w:rsidR="00F7516A">
        <w:rPr>
          <w:shd w:val="clear" w:color="auto" w:fill="FFFFFF"/>
        </w:rPr>
        <w:t xml:space="preserve"> </w:t>
      </w:r>
      <w:r w:rsidR="000E3D88" w:rsidRPr="000E3D88">
        <w:rPr>
          <w:shd w:val="clear" w:color="auto" w:fill="FFFFFF"/>
        </w:rPr>
        <w:t>participants without blood testing received parenteral antibiotics and none of them were</w:t>
      </w:r>
      <w:r w:rsidR="00F7516A">
        <w:rPr>
          <w:shd w:val="clear" w:color="auto" w:fill="FFFFFF"/>
        </w:rPr>
        <w:t xml:space="preserve"> subsequently </w:t>
      </w:r>
      <w:r w:rsidR="000E3D88" w:rsidRPr="000E3D88">
        <w:rPr>
          <w:shd w:val="clear" w:color="auto" w:fill="FFFFFF"/>
        </w:rPr>
        <w:t>diagnosed with MD. The population without blood testing results were those at lowest risk of MD.</w:t>
      </w:r>
      <w:r w:rsidR="00F028F4">
        <w:rPr>
          <w:shd w:val="clear" w:color="auto" w:fill="FFFFFF"/>
        </w:rPr>
        <w:t xml:space="preserve"> </w:t>
      </w:r>
    </w:p>
    <w:p w14:paraId="0A360FBB" w14:textId="77777777" w:rsidR="00FF61E0" w:rsidRDefault="00FF61E0" w:rsidP="00B93D3A">
      <w:pPr>
        <w:pStyle w:val="BodyText"/>
        <w:spacing w:line="480" w:lineRule="auto"/>
        <w:jc w:val="both"/>
        <w:rPr>
          <w:shd w:val="clear" w:color="auto" w:fill="FFFFFF"/>
        </w:rPr>
      </w:pPr>
    </w:p>
    <w:p w14:paraId="560271FF" w14:textId="04A7E3E4" w:rsidR="00E01085" w:rsidRDefault="00B93D3A" w:rsidP="00B93D3A">
      <w:pPr>
        <w:pStyle w:val="BodyText"/>
        <w:spacing w:line="480" w:lineRule="auto"/>
        <w:jc w:val="both"/>
        <w:rPr>
          <w:shd w:val="clear" w:color="auto" w:fill="FFFFFF"/>
        </w:rPr>
      </w:pPr>
      <w:r>
        <w:rPr>
          <w:shd w:val="clear" w:color="auto" w:fill="FFFFFF"/>
        </w:rPr>
        <w:t>To minimise potential bias from this approach the analysis was repeated</w:t>
      </w:r>
      <w:r w:rsidR="00FF61E0">
        <w:rPr>
          <w:shd w:val="clear" w:color="auto" w:fill="FFFFFF"/>
        </w:rPr>
        <w:t xml:space="preserve"> using two additional techniques. Firstly</w:t>
      </w:r>
      <w:r>
        <w:rPr>
          <w:shd w:val="clear" w:color="auto" w:fill="FFFFFF"/>
        </w:rPr>
        <w:t xml:space="preserve"> with m</w:t>
      </w:r>
      <w:r w:rsidRPr="00B93D3A">
        <w:rPr>
          <w:shd w:val="clear" w:color="auto" w:fill="FFFFFF"/>
        </w:rPr>
        <w:t>issing data</w:t>
      </w:r>
      <w:r>
        <w:rPr>
          <w:shd w:val="clear" w:color="auto" w:fill="FFFFFF"/>
        </w:rPr>
        <w:t xml:space="preserve"> (CRP and WCC) imputed via multiple imputation with chained equations to create five imputed </w:t>
      </w:r>
      <w:r w:rsidRPr="00B93D3A">
        <w:rPr>
          <w:shd w:val="clear" w:color="auto" w:fill="FFFFFF"/>
        </w:rPr>
        <w:t>datasets</w:t>
      </w:r>
      <w:r w:rsidR="00FF61E0">
        <w:rPr>
          <w:shd w:val="clear" w:color="auto" w:fill="FFFFFF"/>
        </w:rPr>
        <w:t xml:space="preserve"> </w:t>
      </w:r>
      <w:r w:rsidR="005536AE">
        <w:rPr>
          <w:shd w:val="clear" w:color="auto" w:fill="FFFFFF"/>
        </w:rPr>
        <w:t xml:space="preserve">and </w:t>
      </w:r>
      <w:r w:rsidR="00FF61E0">
        <w:rPr>
          <w:shd w:val="clear" w:color="auto" w:fill="FFFFFF"/>
        </w:rPr>
        <w:t xml:space="preserve">secondly </w:t>
      </w:r>
      <w:r w:rsidR="005536AE">
        <w:rPr>
          <w:shd w:val="clear" w:color="auto" w:fill="FFFFFF"/>
        </w:rPr>
        <w:t>with cases with incomplete test data (CRP and WCC) excluded</w:t>
      </w:r>
      <w:r>
        <w:rPr>
          <w:shd w:val="clear" w:color="auto" w:fill="FFFFFF"/>
        </w:rPr>
        <w:t xml:space="preserve">. </w:t>
      </w:r>
    </w:p>
    <w:p w14:paraId="63AC15B3" w14:textId="77777777" w:rsidR="00F7516A" w:rsidRDefault="00F7516A" w:rsidP="000E3D88">
      <w:pPr>
        <w:pStyle w:val="BodyText"/>
        <w:spacing w:line="480" w:lineRule="auto"/>
        <w:jc w:val="both"/>
      </w:pPr>
    </w:p>
    <w:p w14:paraId="463D09D1" w14:textId="77777777" w:rsidR="00F7516A" w:rsidRDefault="00F7516A" w:rsidP="000E3D88">
      <w:pPr>
        <w:pStyle w:val="BodyText"/>
        <w:spacing w:line="480" w:lineRule="auto"/>
        <w:jc w:val="both"/>
      </w:pPr>
      <w:r w:rsidRPr="00F7516A">
        <w:rPr>
          <w:i/>
        </w:rPr>
        <w:t>Data analysis</w:t>
      </w:r>
      <w:r>
        <w:t xml:space="preserve"> </w:t>
      </w:r>
    </w:p>
    <w:p w14:paraId="0D7109A0" w14:textId="143C671B" w:rsidR="00F7516A" w:rsidRDefault="00F7516A" w:rsidP="006552B7">
      <w:pPr>
        <w:pStyle w:val="BodyText"/>
        <w:spacing w:line="480" w:lineRule="auto"/>
        <w:jc w:val="both"/>
        <w:rPr>
          <w:shd w:val="clear" w:color="auto" w:fill="FFFFFF"/>
        </w:rPr>
      </w:pPr>
      <w:r>
        <w:t>The PiC study population were described in terms of demographic characteristics, vaccination status, risk factors, parenteral antibiotic use, admission to hospital, admission to intensive care units, and survival using descriptive statistics. The performance of the eight CPGs were compared using sensitivity, specificity, negative predictive value (NPV) and positive predictive value (PPV) (with 95% confidence intervals). The McNemar’s test was used to assess the significance of the difference in sensitivities and spec</w:t>
      </w:r>
      <w:r w:rsidR="006552B7">
        <w:t>ificities between the eight CPG. The clinical risk factors assessed in a stepwise approach. Initially all possible predictors were assessed using univariate analysis with Chi-squared testing of categorical data, and the Mann-Whitney U test for continuous data (continuous data were skewed). Age-dependent predictors such as heart rate, respiratory rate and blood pressure were converted to categorical data and classified as normal or abnormal based on published normal ranges</w:t>
      </w:r>
      <w:r w:rsidR="00FF61E0">
        <w:t xml:space="preserve"> [18]</w:t>
      </w:r>
      <w:r w:rsidR="006552B7">
        <w:t xml:space="preserve">. All those predictors with a statistically significant association with MD (p&lt;0.20) were included in a binary multivariate logistic regression model. A liberal level of significance (p&lt;0.20) was chosen to avoid falsely excluding a significant variable based on univariate analysis alone. The predictors identified from the univariate analysis were then included in the logistic regression modelling. Empirical binary multivariate forward and backward logistic regression modeling was used to identify a best-fit model to identify children at highest risk of MD. </w:t>
      </w:r>
    </w:p>
    <w:p w14:paraId="557A2360" w14:textId="04BA555D" w:rsidR="00F7516A" w:rsidRPr="00F7516A" w:rsidRDefault="00F7516A" w:rsidP="008F5047">
      <w:pPr>
        <w:pStyle w:val="BodyText"/>
        <w:spacing w:line="480" w:lineRule="auto"/>
        <w:jc w:val="both"/>
        <w:rPr>
          <w:i/>
        </w:rPr>
      </w:pPr>
      <w:r w:rsidRPr="00F7516A">
        <w:rPr>
          <w:i/>
        </w:rPr>
        <w:lastRenderedPageBreak/>
        <w:t xml:space="preserve">Cost comparison </w:t>
      </w:r>
    </w:p>
    <w:p w14:paraId="38FB799C" w14:textId="2FD5BCA1" w:rsidR="00E01085" w:rsidRDefault="00F7516A" w:rsidP="008F5047">
      <w:pPr>
        <w:pStyle w:val="BodyText"/>
        <w:spacing w:line="480" w:lineRule="auto"/>
        <w:jc w:val="both"/>
      </w:pPr>
      <w:r>
        <w:t xml:space="preserve">A decision analytic model was constructed to compare the costs of the different CPGs </w:t>
      </w:r>
      <w:r w:rsidR="008A087E">
        <w:t xml:space="preserve">and clinician practice </w:t>
      </w:r>
      <w:r>
        <w:t>(supplementary material). The cost comparison analysis was conducted from the perspective of the NHS and included costs associated with hospital resource use for the diagnosis and inpatient care of study participants using a case-mix group approach. Data were identified and recorded seven days after discharge. Clinical pathways were detailed for three groups: those assessed in the ED and discharged, those assessed in the ED and admitted, and those assessed in the ED and admitted for treatment of MD. Resource use for each group was assessed and costed in UK Sterling (£) using unit costs from the National Schedule of Reference Costs 2017–2018 of NHS Trusts and Primary Care Trusts combined (19). Average costs per patient to the NHS were estimated.</w:t>
      </w:r>
      <w:r w:rsidR="00691DCE">
        <w:t xml:space="preserve"> A </w:t>
      </w:r>
      <w:r w:rsidR="00691DCE" w:rsidRPr="00713C76">
        <w:t xml:space="preserve">Monte Carlo simulation </w:t>
      </w:r>
      <w:r w:rsidR="00691DCE">
        <w:t>method, bootstrapping, was</w:t>
      </w:r>
      <w:r w:rsidR="00691DCE" w:rsidRPr="00713C76">
        <w:t xml:space="preserve"> used to </w:t>
      </w:r>
      <w:r w:rsidR="00691DCE">
        <w:t>replicate the sample with 10,000</w:t>
      </w:r>
      <w:r w:rsidR="00691DCE" w:rsidRPr="00713C76">
        <w:t xml:space="preserve"> </w:t>
      </w:r>
      <w:r w:rsidR="00691DCE">
        <w:t>iterations to estimate bootstrapped 95% confidence intervals around the mean cost per patient.</w:t>
      </w:r>
    </w:p>
    <w:p w14:paraId="17790252" w14:textId="67AF1A4D" w:rsidR="00F7516A" w:rsidRDefault="00F7516A" w:rsidP="008F5047">
      <w:pPr>
        <w:pStyle w:val="BodyText"/>
        <w:spacing w:line="480" w:lineRule="auto"/>
        <w:jc w:val="both"/>
      </w:pPr>
    </w:p>
    <w:p w14:paraId="7E2FB2C3" w14:textId="77777777" w:rsidR="00F7516A" w:rsidRDefault="00F7516A" w:rsidP="008F5047">
      <w:pPr>
        <w:pStyle w:val="BodyText"/>
        <w:spacing w:line="480" w:lineRule="auto"/>
        <w:jc w:val="both"/>
      </w:pPr>
      <w:r>
        <w:t xml:space="preserve">Public and patient involvement (PPI) </w:t>
      </w:r>
    </w:p>
    <w:p w14:paraId="5BFC2F0F" w14:textId="60592279" w:rsidR="00F03402" w:rsidRDefault="00F7516A" w:rsidP="008F5047">
      <w:pPr>
        <w:pStyle w:val="BodyText"/>
        <w:spacing w:line="480" w:lineRule="auto"/>
        <w:jc w:val="both"/>
      </w:pPr>
      <w:r>
        <w:t xml:space="preserve">There has been public and patient involvement with the PiC study from outset. </w:t>
      </w:r>
      <w:r w:rsidR="00F028F4">
        <w:t xml:space="preserve">The PiC PPI group was convened specifically for this PiC study and included parents of children with a history of either meningococcal infection or a non-blanching rash. </w:t>
      </w:r>
      <w:r>
        <w:t xml:space="preserve">The PPI group contributed to the design of the PiC study, including the protocol, study information, and RWPC methodology. The PPI lead sat on the trial oversight committee and received regular updates regarding progress, and was a co-author on the published PiC protocol (14). Members of the PPI group promoted the study locally and nationally through appearances on local and national radio and television. </w:t>
      </w:r>
    </w:p>
    <w:p w14:paraId="04AE87C3" w14:textId="77777777" w:rsidR="00F03402" w:rsidRDefault="00F03402" w:rsidP="008F5047">
      <w:pPr>
        <w:pStyle w:val="BodyText"/>
        <w:spacing w:line="480" w:lineRule="auto"/>
        <w:jc w:val="both"/>
      </w:pPr>
    </w:p>
    <w:p w14:paraId="43344ACE" w14:textId="77777777" w:rsidR="00F03402" w:rsidRPr="00F03402" w:rsidRDefault="00F7516A" w:rsidP="008F5047">
      <w:pPr>
        <w:pStyle w:val="BodyText"/>
        <w:spacing w:line="480" w:lineRule="auto"/>
        <w:jc w:val="both"/>
        <w:rPr>
          <w:i/>
        </w:rPr>
      </w:pPr>
      <w:r w:rsidRPr="00F03402">
        <w:rPr>
          <w:i/>
        </w:rPr>
        <w:t xml:space="preserve">Office for Research Ethics Committees (OREC) and local Research Governance </w:t>
      </w:r>
    </w:p>
    <w:p w14:paraId="2C48C897" w14:textId="7E94E53A" w:rsidR="00F7516A" w:rsidRDefault="00F7516A" w:rsidP="008F5047">
      <w:pPr>
        <w:pStyle w:val="BodyText"/>
        <w:spacing w:line="480" w:lineRule="auto"/>
        <w:jc w:val="both"/>
      </w:pPr>
      <w:r>
        <w:t>The Northern Ireland OREC and the Belfast Health and Social Care Trust reviewed the PiC study protocol and provided a favo</w:t>
      </w:r>
      <w:r w:rsidR="00F03402">
        <w:t>u</w:t>
      </w:r>
      <w:r>
        <w:t xml:space="preserve">rable outcome (Project ID 224660, OREC ID 17/NI/0169). </w:t>
      </w:r>
    </w:p>
    <w:p w14:paraId="3029885D" w14:textId="3A087DE8" w:rsidR="00F7516A" w:rsidRDefault="00F7516A" w:rsidP="008F5047">
      <w:pPr>
        <w:pStyle w:val="BodyText"/>
        <w:spacing w:line="480" w:lineRule="auto"/>
        <w:jc w:val="both"/>
      </w:pPr>
    </w:p>
    <w:p w14:paraId="72D30851" w14:textId="0DFD9BDC" w:rsidR="00B93D3A" w:rsidRDefault="00B93D3A" w:rsidP="008F5047">
      <w:pPr>
        <w:pStyle w:val="BodyText"/>
        <w:spacing w:line="480" w:lineRule="auto"/>
        <w:jc w:val="both"/>
      </w:pPr>
    </w:p>
    <w:p w14:paraId="09EE2271" w14:textId="56D13F21" w:rsidR="00F7516A" w:rsidRPr="00F7516A" w:rsidRDefault="00F7516A" w:rsidP="008F5047">
      <w:pPr>
        <w:pStyle w:val="BodyText"/>
        <w:spacing w:line="480" w:lineRule="auto"/>
        <w:jc w:val="both"/>
        <w:rPr>
          <w:i/>
        </w:rPr>
      </w:pPr>
      <w:r>
        <w:rPr>
          <w:i/>
        </w:rPr>
        <w:t>Study r</w:t>
      </w:r>
      <w:r w:rsidRPr="00F7516A">
        <w:rPr>
          <w:i/>
        </w:rPr>
        <w:t xml:space="preserve">egistration </w:t>
      </w:r>
    </w:p>
    <w:p w14:paraId="4390DF54" w14:textId="06D2AE27" w:rsidR="00F7516A" w:rsidRDefault="00F7516A" w:rsidP="008F5047">
      <w:pPr>
        <w:pStyle w:val="BodyText"/>
        <w:spacing w:line="480" w:lineRule="auto"/>
        <w:jc w:val="both"/>
      </w:pPr>
      <w:r>
        <w:t>The PiC study was registered at https://www.clinicaltrials.gov (trial registration: NCT03378258) on the 19th of December 2017.</w:t>
      </w:r>
    </w:p>
    <w:p w14:paraId="345B1B02" w14:textId="7F1FD29D" w:rsidR="006552B7" w:rsidRDefault="006552B7" w:rsidP="008F5047">
      <w:pPr>
        <w:pStyle w:val="BodyText"/>
        <w:spacing w:line="480" w:lineRule="auto"/>
        <w:jc w:val="both"/>
        <w:rPr>
          <w:b/>
          <w:sz w:val="24"/>
          <w:szCs w:val="24"/>
        </w:rPr>
      </w:pPr>
    </w:p>
    <w:p w14:paraId="255CC0BA" w14:textId="15B74EEA" w:rsidR="00C67B10" w:rsidRDefault="00C67B10" w:rsidP="008F5047">
      <w:pPr>
        <w:pStyle w:val="BodyText"/>
        <w:spacing w:line="480" w:lineRule="auto"/>
        <w:jc w:val="both"/>
        <w:rPr>
          <w:b/>
          <w:sz w:val="24"/>
          <w:szCs w:val="24"/>
        </w:rPr>
      </w:pPr>
      <w:r w:rsidRPr="00C67B10">
        <w:rPr>
          <w:b/>
          <w:sz w:val="24"/>
          <w:szCs w:val="24"/>
        </w:rPr>
        <w:t xml:space="preserve">Findings </w:t>
      </w:r>
    </w:p>
    <w:p w14:paraId="66AEA7AA" w14:textId="74FE9A40" w:rsidR="003205BB" w:rsidRDefault="00C67B10" w:rsidP="00D97280">
      <w:pPr>
        <w:pStyle w:val="BodyText"/>
        <w:spacing w:line="480" w:lineRule="auto"/>
        <w:jc w:val="both"/>
      </w:pPr>
      <w:r>
        <w:t xml:space="preserve">Between the 9th of November 2017 and the 30th of June 2019, 1513 consecutive </w:t>
      </w:r>
      <w:r w:rsidR="00092AD9">
        <w:t>patients were screened, of whom</w:t>
      </w:r>
      <w:r>
        <w:t xml:space="preserve"> 179 were excluded; 149 did not fulfil eligibility criteria, 21 declined consent, eight could not provide consent due to a language barrier, and in one case it was </w:t>
      </w:r>
      <w:r w:rsidR="00092AD9">
        <w:t>unclear who had parenta</w:t>
      </w:r>
      <w:r>
        <w:t xml:space="preserve">l responsibility. The remaining 1334 children were enrolled, and 1329 were included in the analysis; five were excluded due to incomplete data (Figure 1). </w:t>
      </w:r>
      <w:r w:rsidR="002F68E8">
        <w:t xml:space="preserve">The recruitment by </w:t>
      </w:r>
      <w:r w:rsidR="003205BB">
        <w:t>site</w:t>
      </w:r>
      <w:r w:rsidR="004E672F">
        <w:t xml:space="preserve"> can be visualised in the supplementary material. The</w:t>
      </w:r>
      <w:r>
        <w:t xml:space="preserve"> </w:t>
      </w:r>
      <w:r w:rsidR="002F68E8">
        <w:t xml:space="preserve">median age of participants was 24 </w:t>
      </w:r>
      <w:r>
        <w:t>months (</w:t>
      </w:r>
      <w:r w:rsidR="00C90787">
        <w:t xml:space="preserve">interquartile </w:t>
      </w:r>
      <w:r>
        <w:t>range</w:t>
      </w:r>
      <w:r w:rsidR="00205D0E">
        <w:t xml:space="preserve"> 1</w:t>
      </w:r>
      <w:r w:rsidR="00C90787">
        <w:t>2 to 48</w:t>
      </w:r>
      <w:r w:rsidR="00205D0E">
        <w:t xml:space="preserve"> months), and 765 (58</w:t>
      </w:r>
      <w:r>
        <w:t>%) were male. Most were up to date with age-appropri</w:t>
      </w:r>
      <w:r w:rsidR="00205D0E">
        <w:t>ate vaccinations, with 926 (70</w:t>
      </w:r>
      <w:r w:rsidR="006A6B22">
        <w:t xml:space="preserve">%) having received at </w:t>
      </w:r>
      <w:r w:rsidR="001242B1">
        <w:t>least one</w:t>
      </w:r>
      <w:r w:rsidR="006A6B22">
        <w:t xml:space="preserve"> dose of</w:t>
      </w:r>
      <w:r w:rsidR="001242B1">
        <w:t xml:space="preserve"> </w:t>
      </w:r>
      <w:r>
        <w:t xml:space="preserve">meningococcal B </w:t>
      </w:r>
      <w:r w:rsidR="00205D0E">
        <w:t>vaccine and 973 (73</w:t>
      </w:r>
      <w:r w:rsidR="006A6B22">
        <w:t>%) having received</w:t>
      </w:r>
      <w:r w:rsidR="001242B1">
        <w:t xml:space="preserve"> at least one</w:t>
      </w:r>
      <w:r>
        <w:t xml:space="preserve"> </w:t>
      </w:r>
      <w:r w:rsidR="006A6B22">
        <w:t xml:space="preserve">dose of </w:t>
      </w:r>
      <w:r>
        <w:t>meningococcal C vaccine</w:t>
      </w:r>
      <w:r w:rsidR="006552B7">
        <w:t xml:space="preserve"> (</w:t>
      </w:r>
      <w:r w:rsidR="00475275">
        <w:t>Table 1</w:t>
      </w:r>
      <w:r w:rsidR="006552B7">
        <w:t>)</w:t>
      </w:r>
      <w:r w:rsidR="00205D0E">
        <w:t>. A total of 1137 (86</w:t>
      </w:r>
      <w:r>
        <w:t>%) under</w:t>
      </w:r>
      <w:r w:rsidR="00205D0E">
        <w:t>went blood testing and 596 (45</w:t>
      </w:r>
      <w:r>
        <w:t xml:space="preserve">%) received </w:t>
      </w:r>
      <w:r w:rsidR="009C56AF">
        <w:t>parenteral antibiotics. The median</w:t>
      </w:r>
      <w:r>
        <w:t xml:space="preserve"> length of stay of hospitalised patients was </w:t>
      </w:r>
      <w:r w:rsidR="009C56AF">
        <w:t>one night</w:t>
      </w:r>
      <w:r>
        <w:t xml:space="preserve"> (</w:t>
      </w:r>
      <w:r w:rsidR="002E26DF">
        <w:t>interquartile range 0 to 2</w:t>
      </w:r>
      <w:r>
        <w:t>). Eleven of the 1329 (0·8%) required admission to paediatric intensive care units (PIC</w:t>
      </w:r>
      <w:r w:rsidR="006552B7">
        <w:t>U) and two (0·2%) died</w:t>
      </w:r>
      <w:r>
        <w:t>. There were 19 (1·4%) confirmed cases of MD in the study population (17 group B, one group C and one group W) and a further two confirmed MD cases were not enrolled</w:t>
      </w:r>
      <w:r w:rsidR="00923DBC">
        <w:t xml:space="preserve">. </w:t>
      </w:r>
      <w:r>
        <w:t xml:space="preserve">One was missed, and the other was not enrolled as local staff felt inclusion would have been </w:t>
      </w:r>
      <w:r w:rsidR="00092AD9">
        <w:t xml:space="preserve">inappropriate. </w:t>
      </w:r>
      <w:r w:rsidR="00092AD9" w:rsidRPr="00092AD9">
        <w:rPr>
          <w:i/>
        </w:rPr>
        <w:t>N. meningitidis</w:t>
      </w:r>
      <w:r>
        <w:t xml:space="preserve"> was the invasive pathogen ide</w:t>
      </w:r>
      <w:r w:rsidR="00205D0E">
        <w:t>ntified in eight of the 11 (73</w:t>
      </w:r>
      <w:r>
        <w:t xml:space="preserve">%) PICU admissions, and </w:t>
      </w:r>
      <w:r w:rsidR="00092AD9">
        <w:t xml:space="preserve">all </w:t>
      </w:r>
      <w:r>
        <w:t xml:space="preserve">deaths 2 (0·2%). A further seven IBIs were identified, including five Pneumococcal infections, one E.coli infection, and one Group A </w:t>
      </w:r>
      <w:r w:rsidR="00923DBC">
        <w:t>Streptococcal infection</w:t>
      </w:r>
      <w:r>
        <w:t>. The combined number of all IBIs (inclu</w:t>
      </w:r>
      <w:r w:rsidR="004E672F">
        <w:t xml:space="preserve">ding MD) was 26 of 1329 (2·0%) </w:t>
      </w:r>
      <w:r w:rsidR="00475275">
        <w:t xml:space="preserve">a breakdown of </w:t>
      </w:r>
      <w:r w:rsidR="004E672F">
        <w:t xml:space="preserve">these </w:t>
      </w:r>
      <w:r w:rsidR="00475275">
        <w:t xml:space="preserve">infections </w:t>
      </w:r>
      <w:r w:rsidR="004E672F">
        <w:t xml:space="preserve">can be visualised in the supplementary material. </w:t>
      </w:r>
    </w:p>
    <w:p w14:paraId="10C6F82F" w14:textId="17EF7396" w:rsidR="003823E2" w:rsidRDefault="00C67B10" w:rsidP="00D97280">
      <w:pPr>
        <w:pStyle w:val="BodyText"/>
        <w:spacing w:line="480" w:lineRule="auto"/>
        <w:jc w:val="both"/>
      </w:pPr>
      <w:r>
        <w:lastRenderedPageBreak/>
        <w:t xml:space="preserve">There were 45 suspected contaminated blood culture results (supplementary material). None of these participants required PICU admission or inotropes, and all survived to discharge. A total of </w:t>
      </w:r>
      <w:r w:rsidR="00205D0E">
        <w:t>346/1329 (26</w:t>
      </w:r>
      <w:r>
        <w:t>%) did not undergo reference standard testing, of which two (0·6%) received parenteral antibiotics; one was subsequently diagnosed with a haematological malignancy, and the other was given a single dose in the ED before being discharged with a diagnosis of “Viral I</w:t>
      </w:r>
      <w:r w:rsidR="00205D0E">
        <w:t>llness”. In this cohort, 19 (6</w:t>
      </w:r>
      <w:r>
        <w:t xml:space="preserve">%) had a single unplanned ED re-attendance within seven days, though none were subsequently admitted, treated with parenteral antibiotics, or diagnosed with MD or IBI. </w:t>
      </w:r>
    </w:p>
    <w:p w14:paraId="450AEE31" w14:textId="77777777" w:rsidR="003823E2" w:rsidRDefault="003823E2" w:rsidP="00D97280">
      <w:pPr>
        <w:pStyle w:val="BodyText"/>
        <w:spacing w:line="480" w:lineRule="auto"/>
        <w:jc w:val="both"/>
      </w:pPr>
    </w:p>
    <w:p w14:paraId="11BA66E3" w14:textId="0956195B" w:rsidR="003823E2" w:rsidRDefault="00923DBC" w:rsidP="003823E2">
      <w:pPr>
        <w:pStyle w:val="BodyText"/>
        <w:spacing w:line="480" w:lineRule="auto"/>
        <w:jc w:val="both"/>
      </w:pPr>
      <w:r>
        <w:t>The univariate analysis of</w:t>
      </w:r>
      <w:r w:rsidR="003823E2">
        <w:t xml:space="preserve"> individual clinical features is shown</w:t>
      </w:r>
      <w:r w:rsidR="00E65C98">
        <w:t xml:space="preserve"> in </w:t>
      </w:r>
      <w:r w:rsidR="00475275">
        <w:t>Table 1</w:t>
      </w:r>
      <w:r w:rsidR="003823E2">
        <w:t xml:space="preserve">, the clinical predictors that were deemed </w:t>
      </w:r>
      <w:r w:rsidR="00E65C98">
        <w:t xml:space="preserve">statistically </w:t>
      </w:r>
      <w:r w:rsidR="003823E2">
        <w:t xml:space="preserve">significant (p&lt;0.20) were included in the multivariate analysis. </w:t>
      </w:r>
      <w:r w:rsidR="00E65C98">
        <w:t xml:space="preserve">Following multivariate analysis four independent risk factors for MD were identified. These were </w:t>
      </w:r>
      <w:r w:rsidR="003823E2">
        <w:t>p</w:t>
      </w:r>
      <w:r w:rsidR="00E65C98">
        <w:t>urpuric rash, shock</w:t>
      </w:r>
      <w:r w:rsidR="00BA28F1">
        <w:t xml:space="preserve"> (hypotension, prolonged capillary refill time of 4 seconds or more)</w:t>
      </w:r>
      <w:r w:rsidR="00E65C98">
        <w:t>, reduced conscious level</w:t>
      </w:r>
      <w:r w:rsidR="003823E2">
        <w:t xml:space="preserve"> and </w:t>
      </w:r>
      <w:r w:rsidR="00BA28F1">
        <w:t>limb</w:t>
      </w:r>
      <w:r w:rsidR="003823E2">
        <w:t xml:space="preserve"> pain</w:t>
      </w:r>
      <w:r w:rsidR="00E65C98">
        <w:t xml:space="preserve"> (p&lt;0.01) for all. </w:t>
      </w:r>
    </w:p>
    <w:p w14:paraId="7FC8BF04" w14:textId="77777777" w:rsidR="00E65C98" w:rsidRDefault="00E65C98" w:rsidP="003823E2">
      <w:pPr>
        <w:pStyle w:val="BodyText"/>
        <w:spacing w:line="480" w:lineRule="auto"/>
        <w:jc w:val="both"/>
      </w:pPr>
    </w:p>
    <w:p w14:paraId="51CF0E0C" w14:textId="07FA2D89" w:rsidR="00B93D3A" w:rsidRDefault="00C67B10" w:rsidP="00D97280">
      <w:pPr>
        <w:pStyle w:val="BodyText"/>
        <w:spacing w:line="480" w:lineRule="auto"/>
        <w:jc w:val="both"/>
      </w:pPr>
      <w:r>
        <w:t>All eight CPGs correctly identified all 19 cases of MD with identical sensitivities of 1·00 (9</w:t>
      </w:r>
      <w:r w:rsidR="00446DEA">
        <w:t>5% CI 0·82</w:t>
      </w:r>
      <w:r>
        <w:t xml:space="preserve">-1·00) </w:t>
      </w:r>
      <w:r w:rsidR="006552B7">
        <w:t>(</w:t>
      </w:r>
      <w:r w:rsidR="00475275">
        <w:t>Table 2</w:t>
      </w:r>
      <w:r>
        <w:t xml:space="preserve">). All eight </w:t>
      </w:r>
      <w:r w:rsidR="00D97280">
        <w:t xml:space="preserve">CPGs correctly identified all </w:t>
      </w:r>
      <w:r>
        <w:t>26 cases of IBI with identical sensitiviti</w:t>
      </w:r>
      <w:r w:rsidR="002737C5">
        <w:t>es of 1·00 (95% CI 0·87</w:t>
      </w:r>
      <w:r>
        <w:t xml:space="preserve">-1·00) </w:t>
      </w:r>
      <w:r w:rsidR="006552B7">
        <w:t>(</w:t>
      </w:r>
      <w:r w:rsidR="00475275">
        <w:t>Table 3</w:t>
      </w:r>
      <w:r>
        <w:t xml:space="preserve">). The specificities varied more widely, with the NICE NG51 CPG demonstrating lowest specificity (0·00; 95% CI 0·00-0·00) for identification of MD and for all IBI. This was followed by the NICE CG102 CPG, with specificity of 0·01 (95% CI 0·01-0·02) for identification of MD and all IBI. All other CPGs analysed demonstrated significantly higher </w:t>
      </w:r>
      <w:r w:rsidR="00D97280">
        <w:t>specificities (p&lt;0.0001).</w:t>
      </w:r>
      <w:r w:rsidR="00446DEA">
        <w:t xml:space="preserve"> </w:t>
      </w:r>
      <w:r w:rsidR="00D97280">
        <w:t>The CPG</w:t>
      </w:r>
      <w:r w:rsidR="00B93D3A">
        <w:t>s</w:t>
      </w:r>
      <w:r w:rsidR="00D97280">
        <w:t xml:space="preserve"> with </w:t>
      </w:r>
      <w:r w:rsidR="00B93D3A">
        <w:t>the highest specificities were</w:t>
      </w:r>
      <w:r w:rsidR="00D97280">
        <w:t xml:space="preserve"> t</w:t>
      </w:r>
      <w:r w:rsidR="002737C5">
        <w:t>he London CPG, with a specificity</w:t>
      </w:r>
      <w:r w:rsidR="00D97280">
        <w:t xml:space="preserve"> of 0·36 (95% CI 0·34-0·39) for the identificati</w:t>
      </w:r>
      <w:r w:rsidR="00B93D3A">
        <w:t xml:space="preserve">on of </w:t>
      </w:r>
      <w:r w:rsidR="002737C5">
        <w:t xml:space="preserve">bot </w:t>
      </w:r>
      <w:r w:rsidR="00B93D3A">
        <w:t xml:space="preserve">MD </w:t>
      </w:r>
      <w:r w:rsidR="002737C5">
        <w:t xml:space="preserve">and IBI, </w:t>
      </w:r>
      <w:r w:rsidR="00B93D3A">
        <w:t>and t</w:t>
      </w:r>
      <w:r w:rsidR="00D97280">
        <w:t>he Nottingham CPG with specificities of 0·34 (95% CI 0·32-0·37) and 0·35 (95%CI 0·32-0·37) for the identification of MD and IBI respectively. The observed differences in specificity between the London CPG and the Nottingham CPG were not statistically significant (p=1·00). The performance of the CPGs can be se</w:t>
      </w:r>
      <w:r w:rsidR="006552B7">
        <w:t>en in Tables 4 and 5</w:t>
      </w:r>
      <w:r w:rsidR="00D97280">
        <w:t>.</w:t>
      </w:r>
      <w:r w:rsidR="00B65715">
        <w:t xml:space="preserve"> </w:t>
      </w:r>
      <w:r w:rsidR="00B93D3A">
        <w:t xml:space="preserve">Performing the CPG validation using either single imputation, multiple imputation or </w:t>
      </w:r>
      <w:r w:rsidR="00B93D3A">
        <w:lastRenderedPageBreak/>
        <w:t>exclusion of incomplete</w:t>
      </w:r>
      <w:r w:rsidR="00641A4E">
        <w:t xml:space="preserve"> datasets</w:t>
      </w:r>
      <w:r w:rsidR="00B93D3A">
        <w:t xml:space="preserve"> </w:t>
      </w:r>
      <w:r w:rsidR="00641A4E">
        <w:t>had negligible</w:t>
      </w:r>
      <w:r w:rsidR="00B65715">
        <w:t xml:space="preserve"> effect on the</w:t>
      </w:r>
      <w:r w:rsidR="00B93D3A">
        <w:t xml:space="preserve"> results</w:t>
      </w:r>
      <w:r w:rsidR="00B65715">
        <w:t xml:space="preserve"> (Table available in the supplementary material)</w:t>
      </w:r>
      <w:r w:rsidR="00B93D3A">
        <w:t>. Irrespective of the approach</w:t>
      </w:r>
      <w:r w:rsidR="003205BB">
        <w:t xml:space="preserve"> to </w:t>
      </w:r>
      <w:r w:rsidR="00641A4E">
        <w:t>imputation</w:t>
      </w:r>
      <w:r w:rsidR="00B93D3A">
        <w:t xml:space="preserve"> all CPGs correctly identified</w:t>
      </w:r>
      <w:r w:rsidR="003205BB">
        <w:t xml:space="preserve"> all MD</w:t>
      </w:r>
      <w:r w:rsidR="00B65715">
        <w:t xml:space="preserve"> and IBI with</w:t>
      </w:r>
      <w:r w:rsidR="00B93D3A">
        <w:t xml:space="preserve"> the London and Nottingham CPGs </w:t>
      </w:r>
      <w:r w:rsidR="00B65715">
        <w:t>consistently demonstrating</w:t>
      </w:r>
      <w:r w:rsidR="00B93D3A">
        <w:t xml:space="preserve"> the highest speci</w:t>
      </w:r>
      <w:r w:rsidR="003205BB">
        <w:t>ficities with the NICE CPGs</w:t>
      </w:r>
      <w:r w:rsidR="00B65715">
        <w:t xml:space="preserve"> </w:t>
      </w:r>
      <w:r w:rsidR="003205BB">
        <w:t>(</w:t>
      </w:r>
      <w:r w:rsidR="00B65715">
        <w:t xml:space="preserve">NG51 </w:t>
      </w:r>
      <w:r w:rsidR="003205BB">
        <w:t xml:space="preserve">and </w:t>
      </w:r>
      <w:r w:rsidR="00B65715">
        <w:t>CG10</w:t>
      </w:r>
      <w:r w:rsidR="008C4D2B">
        <w:t>2</w:t>
      </w:r>
      <w:r w:rsidR="003205BB">
        <w:t>)</w:t>
      </w:r>
      <w:r w:rsidR="008C4D2B">
        <w:t xml:space="preserve"> consistently </w:t>
      </w:r>
      <w:r w:rsidR="00B65715">
        <w:t>significantly worse than the remaining six CPGs (p&lt;0.0001).</w:t>
      </w:r>
    </w:p>
    <w:p w14:paraId="3BE667FA" w14:textId="18B30D98" w:rsidR="00E47E6E" w:rsidRDefault="00E47E6E" w:rsidP="00D97280">
      <w:pPr>
        <w:pStyle w:val="BodyText"/>
        <w:spacing w:line="480" w:lineRule="auto"/>
        <w:jc w:val="both"/>
      </w:pPr>
    </w:p>
    <w:p w14:paraId="3A75F625" w14:textId="07102D23" w:rsidR="00E47E6E" w:rsidRDefault="0066441B" w:rsidP="00EF4514">
      <w:pPr>
        <w:pStyle w:val="BodyText"/>
        <w:spacing w:line="480" w:lineRule="auto"/>
        <w:jc w:val="both"/>
      </w:pPr>
      <w:r>
        <w:t xml:space="preserve">The most widely used </w:t>
      </w:r>
      <w:r w:rsidR="00446DEA">
        <w:t>CPG was the NICE CG102 29/37 (78</w:t>
      </w:r>
      <w:r>
        <w:t xml:space="preserve">%) of sites followed by the NBL CPG 2/37 (5%) of sites. </w:t>
      </w:r>
      <w:r w:rsidR="00E47E6E">
        <w:t xml:space="preserve">Clinicians </w:t>
      </w:r>
      <w:r w:rsidR="003A47E0">
        <w:t>adhered to their departmental guidance in</w:t>
      </w:r>
      <w:r w:rsidR="00FB2DF0">
        <w:t xml:space="preserve"> 607</w:t>
      </w:r>
      <w:r w:rsidR="003A47E0">
        <w:t>/1329 (46%) of cases. This wa</w:t>
      </w:r>
      <w:r w:rsidR="003205BB">
        <w:t>s similar if they used NICE CPGs</w:t>
      </w:r>
      <w:r w:rsidR="003A47E0">
        <w:t xml:space="preserve"> (NG51 and CG102) 437/944</w:t>
      </w:r>
      <w:r w:rsidR="00FB2DF0">
        <w:t xml:space="preserve"> (46%) or a tailored CPG (London CPG, Nottingham CPG, NBL CPG, Chester CPG, Glasgow CPG and Bristol CPG) 170/385 (44%). Deviation from clinical practice guidelines resulted in fewer children receiving parenteral antibiotics 596/1329</w:t>
      </w:r>
      <w:r w:rsidR="000044A8">
        <w:t xml:space="preserve"> (45%) compared with a</w:t>
      </w:r>
      <w:r w:rsidR="003205BB">
        <w:t xml:space="preserve">ny of the eight CPGs. </w:t>
      </w:r>
      <w:r w:rsidR="00064399">
        <w:t>These deviations from the CPGs also resulted in two children</w:t>
      </w:r>
      <w:r w:rsidR="00660850">
        <w:t xml:space="preserve"> incorrectly</w:t>
      </w:r>
      <w:r w:rsidR="00064399">
        <w:t xml:space="preserve"> discharged home with early MD. Both of whom were subsequently re</w:t>
      </w:r>
      <w:r w:rsidR="00EF4514">
        <w:t>-</w:t>
      </w:r>
      <w:r w:rsidR="00064399">
        <w:t xml:space="preserve">attended and were admitted to hospital. Both survived and did not require PICU. </w:t>
      </w:r>
      <w:r w:rsidR="003205BB">
        <w:t xml:space="preserve">Clinician </w:t>
      </w:r>
      <w:r w:rsidR="00064399">
        <w:t>practice demonstrated a</w:t>
      </w:r>
      <w:r w:rsidR="00446DEA">
        <w:t xml:space="preserve"> significantly (p&lt;0.0001)</w:t>
      </w:r>
      <w:r w:rsidR="00064399">
        <w:t xml:space="preserve"> greater specificity than any CPG</w:t>
      </w:r>
      <w:r w:rsidR="00EF4514">
        <w:t>s</w:t>
      </w:r>
      <w:r w:rsidR="00064399">
        <w:t xml:space="preserve"> for the diagnosis of MD</w:t>
      </w:r>
      <w:r w:rsidR="00FB60E4">
        <w:t xml:space="preserve"> or IBI 0·56(95% CI 0·53 to 0.59</w:t>
      </w:r>
      <w:r w:rsidR="00064399">
        <w:t xml:space="preserve">) </w:t>
      </w:r>
      <w:r w:rsidR="00FB60E4">
        <w:t>for both</w:t>
      </w:r>
      <w:r w:rsidR="00660850">
        <w:t xml:space="preserve"> (Tables 4 and 5)</w:t>
      </w:r>
      <w:r w:rsidR="00064399">
        <w:t>. H</w:t>
      </w:r>
      <w:r w:rsidR="000044A8">
        <w:t xml:space="preserve">owever </w:t>
      </w:r>
      <w:r w:rsidR="00064399">
        <w:t xml:space="preserve">clinician practice was </w:t>
      </w:r>
      <w:r w:rsidR="00446DEA">
        <w:t xml:space="preserve">less </w:t>
      </w:r>
      <w:r w:rsidR="00064399">
        <w:t>sensitive for the detectio</w:t>
      </w:r>
      <w:r w:rsidR="00FB60E4">
        <w:t>n of MD and IBI 0.89(95% CI 0·67 to 0·98 and 0·92(95% CI 0·75</w:t>
      </w:r>
      <w:r w:rsidR="00064399">
        <w:t xml:space="preserve"> to 0·99) respectively</w:t>
      </w:r>
      <w:r w:rsidR="00660850">
        <w:t xml:space="preserve"> (Tables 4 and 5)</w:t>
      </w:r>
      <w:r w:rsidR="00EF4514">
        <w:t>.</w:t>
      </w:r>
    </w:p>
    <w:p w14:paraId="718F77B9" w14:textId="62D87D3D" w:rsidR="003205BB" w:rsidRDefault="003205BB" w:rsidP="00D97280">
      <w:pPr>
        <w:pStyle w:val="BodyText"/>
        <w:spacing w:line="480" w:lineRule="auto"/>
        <w:jc w:val="both"/>
      </w:pPr>
    </w:p>
    <w:p w14:paraId="23E34DB1" w14:textId="36F04C57" w:rsidR="003205BB" w:rsidRDefault="003205BB" w:rsidP="003205BB">
      <w:pPr>
        <w:pStyle w:val="BodyText"/>
        <w:spacing w:line="480" w:lineRule="auto"/>
        <w:jc w:val="both"/>
      </w:pPr>
      <w:r>
        <w:t xml:space="preserve">The </w:t>
      </w:r>
      <w:r w:rsidR="00EF4514">
        <w:t>two CPGs</w:t>
      </w:r>
      <w:r>
        <w:t xml:space="preserve"> with the highest average costs per patient to th</w:t>
      </w:r>
      <w:r w:rsidR="006567A4">
        <w:t>e NHS were the NICE NG51, at £</w:t>
      </w:r>
      <w:r w:rsidR="005F65CB">
        <w:t xml:space="preserve">660 </w:t>
      </w:r>
      <w:r>
        <w:t xml:space="preserve">per </w:t>
      </w:r>
      <w:r w:rsidR="006567A4">
        <w:t>patient</w:t>
      </w:r>
      <w:r w:rsidR="005F65CB">
        <w:t xml:space="preserve"> (bootstrapped 95% CI £</w:t>
      </w:r>
      <w:r w:rsidR="00F95634">
        <w:t>620</w:t>
      </w:r>
      <w:r w:rsidR="005F65CB">
        <w:t xml:space="preserve"> to £</w:t>
      </w:r>
      <w:r w:rsidR="00F95634">
        <w:t>706</w:t>
      </w:r>
      <w:r w:rsidR="005F65CB">
        <w:t>)</w:t>
      </w:r>
      <w:r w:rsidR="006567A4">
        <w:t>, and NICE CG102, at £</w:t>
      </w:r>
      <w:r w:rsidR="00D9179E">
        <w:t xml:space="preserve">655 </w:t>
      </w:r>
      <w:r>
        <w:t>per patient</w:t>
      </w:r>
      <w:r w:rsidR="00F95634">
        <w:t xml:space="preserve"> (bootstrapped 95% CI £</w:t>
      </w:r>
      <w:r w:rsidR="00D9179E">
        <w:t>615</w:t>
      </w:r>
      <w:r w:rsidR="00F95634">
        <w:t xml:space="preserve"> to £</w:t>
      </w:r>
      <w:r w:rsidR="00D9179E">
        <w:t>701</w:t>
      </w:r>
      <w:r w:rsidR="00F95634">
        <w:t>)</w:t>
      </w:r>
      <w:r>
        <w:t xml:space="preserve">. The more cost-minimising strategies were </w:t>
      </w:r>
      <w:r w:rsidR="000C0C27">
        <w:t xml:space="preserve">clinician practice, </w:t>
      </w:r>
      <w:r>
        <w:t>London CPG and Nottingham CPG with average</w:t>
      </w:r>
      <w:r w:rsidR="006567A4">
        <w:t xml:space="preserve"> costs </w:t>
      </w:r>
      <w:r w:rsidR="002B68D2">
        <w:t>per patient of £426 (bootstrapped 95% CI £382 to £475), £490 (bootstrapped 95% CI £448 to £</w:t>
      </w:r>
      <w:r w:rsidR="00FE5180">
        <w:t>538</w:t>
      </w:r>
      <w:r w:rsidR="002B68D2">
        <w:t>) and £</w:t>
      </w:r>
      <w:r w:rsidR="00FE5180">
        <w:t>499</w:t>
      </w:r>
      <w:r w:rsidR="002B68D2">
        <w:t xml:space="preserve"> (bootstrapped 95% CI £</w:t>
      </w:r>
      <w:r w:rsidR="00FE5180">
        <w:t>457</w:t>
      </w:r>
      <w:r w:rsidR="002B68D2">
        <w:t xml:space="preserve"> to £</w:t>
      </w:r>
      <w:r w:rsidR="00FE5180">
        <w:t>546</w:t>
      </w:r>
      <w:r w:rsidR="002B68D2">
        <w:t>),</w:t>
      </w:r>
      <w:r w:rsidR="00D9179E">
        <w:t xml:space="preserve"> </w:t>
      </w:r>
      <w:r>
        <w:t xml:space="preserve">respectively. The average costs per patient for all of the CPGs can be seen in </w:t>
      </w:r>
      <w:r w:rsidR="00475275">
        <w:t>Table 2</w:t>
      </w:r>
      <w:r>
        <w:t>.</w:t>
      </w:r>
    </w:p>
    <w:p w14:paraId="26496BA6" w14:textId="77777777" w:rsidR="003205BB" w:rsidRDefault="003205BB" w:rsidP="00D97280">
      <w:pPr>
        <w:pStyle w:val="BodyText"/>
        <w:spacing w:line="480" w:lineRule="auto"/>
        <w:jc w:val="both"/>
      </w:pPr>
    </w:p>
    <w:p w14:paraId="722B43C9" w14:textId="646A4C5C" w:rsidR="0087148D" w:rsidRDefault="0087148D" w:rsidP="00D97280">
      <w:pPr>
        <w:pStyle w:val="BodyText"/>
        <w:spacing w:line="480" w:lineRule="auto"/>
        <w:jc w:val="both"/>
      </w:pPr>
      <w:r w:rsidRPr="0087148D">
        <w:rPr>
          <w:b/>
          <w:sz w:val="24"/>
          <w:szCs w:val="24"/>
        </w:rPr>
        <w:lastRenderedPageBreak/>
        <w:t>Interpretation</w:t>
      </w:r>
      <w:r>
        <w:t xml:space="preserve"> </w:t>
      </w:r>
    </w:p>
    <w:p w14:paraId="24D2DB9F" w14:textId="77777777" w:rsidR="00BA28F1" w:rsidRDefault="0087148D" w:rsidP="0087148D">
      <w:pPr>
        <w:pStyle w:val="BodyText"/>
        <w:spacing w:line="480" w:lineRule="auto"/>
        <w:jc w:val="both"/>
      </w:pPr>
      <w:r>
        <w:t>In this, the largest study of febrile children with non-blanching rashes to date, we enrolled participants from a range of hospital types and geographic regions over two winters to provide a true reflection of epidemiology, clinician practices, and performance accuracy of CPGs in the UK. Invasive bacterial infection rates were very low in our population, though the majority of these were due to invasive meningococcal disease, typically Serogroup B. Invasive meningococcal disease accounted for the most severe outcomes, including most of those who were admitted to a PICU, and both the children who died. All eight CPGs currently in use correctly identified all cases of MD and IBI, though the specificity varied more widely across guidelines, with national guidance performing significantly less favourably than other identified CPGs. We identified the optimally performing current CPG</w:t>
      </w:r>
      <w:r w:rsidR="00853434">
        <w:t>s</w:t>
      </w:r>
      <w:r>
        <w:t xml:space="preserve">, which provides a reasonable tradeoff between sensitivity and specificity in assisting clinician decision making. </w:t>
      </w:r>
    </w:p>
    <w:p w14:paraId="3791CE99" w14:textId="77777777" w:rsidR="00BA28F1" w:rsidRDefault="00BA28F1" w:rsidP="0087148D">
      <w:pPr>
        <w:pStyle w:val="BodyText"/>
        <w:spacing w:line="480" w:lineRule="auto"/>
        <w:jc w:val="both"/>
      </w:pPr>
    </w:p>
    <w:p w14:paraId="10209D49" w14:textId="1B20713E" w:rsidR="008C4D2B" w:rsidRDefault="0087148D" w:rsidP="0087148D">
      <w:pPr>
        <w:pStyle w:val="BodyText"/>
        <w:spacing w:line="480" w:lineRule="auto"/>
        <w:jc w:val="both"/>
      </w:pPr>
      <w:r>
        <w:t xml:space="preserve">The PiC study demonstrates that the risk of MD amongst febrile children </w:t>
      </w:r>
      <w:r w:rsidR="00BA28F1">
        <w:t xml:space="preserve">attending the ED </w:t>
      </w:r>
      <w:r>
        <w:t>with non-blanching rashes in the UK is much lower than previously reported. Previous estimates had suggested that between 10% and 20% of children with fever and NBR have underlying MD (7,9,11). However, the data informing these findings were mostly collected</w:t>
      </w:r>
      <w:r w:rsidR="0069229B">
        <w:t xml:space="preserve"> from inpatient populations</w:t>
      </w:r>
      <w:r w:rsidR="00BA28F1">
        <w:t xml:space="preserve"> </w:t>
      </w:r>
      <w:r>
        <w:t xml:space="preserve">prior to the introduction of the Meningococcal C vaccine (1999) and the Meningococcal B vaccine (2015) onto the </w:t>
      </w:r>
      <w:r w:rsidR="00D85097">
        <w:t>UK vaccination schedule (7,9,11-</w:t>
      </w:r>
      <w:r>
        <w:t>13). Successful vaccination programmes have led to a reduction in the number of cases of MD in the UK</w:t>
      </w:r>
      <w:r w:rsidR="00877612">
        <w:t xml:space="preserve"> with the recent Meningococcal B vaccination programme responsible for a 75% reduction in Meningococcal B infections</w:t>
      </w:r>
      <w:r w:rsidR="00D85097">
        <w:t xml:space="preserve"> amongst vaccinated children [12</w:t>
      </w:r>
      <w:r w:rsidR="00877612">
        <w:t>].  T</w:t>
      </w:r>
      <w:r>
        <w:t xml:space="preserve">his is reflected in the PiC </w:t>
      </w:r>
      <w:r w:rsidR="00877612">
        <w:t>with 70% of the population having</w:t>
      </w:r>
      <w:r w:rsidR="008C4D2B">
        <w:t xml:space="preserve"> received the Men</w:t>
      </w:r>
      <w:r w:rsidR="00877612">
        <w:t>ingococcal B vaccine and 73% having</w:t>
      </w:r>
      <w:r w:rsidR="008C4D2B">
        <w:t xml:space="preserve"> received the Meningococcal C vaccine and</w:t>
      </w:r>
      <w:r>
        <w:t xml:space="preserve"> the proportion of participants with MD was just 1·4%. </w:t>
      </w:r>
    </w:p>
    <w:p w14:paraId="318E34AF" w14:textId="77777777" w:rsidR="008C4D2B" w:rsidRDefault="008C4D2B" w:rsidP="0087148D">
      <w:pPr>
        <w:pStyle w:val="BodyText"/>
        <w:spacing w:line="480" w:lineRule="auto"/>
        <w:jc w:val="both"/>
      </w:pPr>
    </w:p>
    <w:p w14:paraId="45618831" w14:textId="4C5B055D" w:rsidR="005D61B9" w:rsidRDefault="0087148D" w:rsidP="0087148D">
      <w:pPr>
        <w:pStyle w:val="BodyText"/>
        <w:spacing w:line="480" w:lineRule="auto"/>
        <w:jc w:val="both"/>
      </w:pPr>
      <w:r>
        <w:t xml:space="preserve">The eight CPGs included in the PiC can be broadly divided into three distinct strategies. The first, and most cautious, strategy is that all children with fever and NBR undergo investigation and treatment for MD including immediate administration of parenteral antibiotics i.e. NICE </w:t>
      </w:r>
      <w:r>
        <w:lastRenderedPageBreak/>
        <w:t xml:space="preserve">NG51. The second strategy involved performing blood tests on all children with fever and NBR and tailoring treatment based on a combination of clinical features and blood test results i.e. NICE CG120. The third, and least cautious, strategy involved tailored investigation and treatment with some children identified as suitable for discharge home without blood testing or parenteral antibiotics i.e. London CPG, Nottingham CPG, NBL CPG, Chester CPG, Glasgow CPG and Bristol CPG. In the PiC study it was the tailored approach that resulted in the best overall performance. The best performing CPG in the PiC study was the London </w:t>
      </w:r>
      <w:r w:rsidR="00BA28F1">
        <w:t xml:space="preserve">and Nottingham </w:t>
      </w:r>
      <w:r>
        <w:t>CPG</w:t>
      </w:r>
      <w:r w:rsidR="00BA28F1">
        <w:t>s</w:t>
      </w:r>
      <w:r>
        <w:t xml:space="preserve"> with </w:t>
      </w:r>
      <w:r w:rsidR="00BA28F1">
        <w:t>specificities of</w:t>
      </w:r>
      <w:r w:rsidR="00877612">
        <w:t xml:space="preserve"> 0·36</w:t>
      </w:r>
      <w:r>
        <w:t xml:space="preserve"> </w:t>
      </w:r>
      <w:r w:rsidR="00BA28F1">
        <w:t xml:space="preserve">and 0.35 </w:t>
      </w:r>
      <w:r>
        <w:t>respectivel</w:t>
      </w:r>
      <w:r w:rsidR="00BA28F1">
        <w:t>y for the identification of IBI</w:t>
      </w:r>
      <w:r w:rsidR="008C4D2B">
        <w:t xml:space="preserve">. The </w:t>
      </w:r>
      <w:r w:rsidR="009A5DC9">
        <w:t xml:space="preserve">observed </w:t>
      </w:r>
      <w:r w:rsidR="008C4D2B">
        <w:t xml:space="preserve">difference in performance between the Nottingham and London CPGs was not statistically significant (p=1.00). </w:t>
      </w:r>
      <w:r>
        <w:t xml:space="preserve">The London </w:t>
      </w:r>
      <w:r w:rsidR="005D61B9">
        <w:t xml:space="preserve">and Nottingham </w:t>
      </w:r>
      <w:r>
        <w:t>CPG</w:t>
      </w:r>
      <w:r w:rsidR="005D61B9">
        <w:t>s were</w:t>
      </w:r>
      <w:r>
        <w:t xml:space="preserve"> significantly more specific than either of the NICE CPGs (p&lt;0·0001). </w:t>
      </w:r>
    </w:p>
    <w:p w14:paraId="7DD38967" w14:textId="2B56118E" w:rsidR="005D61B9" w:rsidRDefault="005D61B9" w:rsidP="0087148D">
      <w:pPr>
        <w:pStyle w:val="BodyText"/>
        <w:spacing w:line="480" w:lineRule="auto"/>
        <w:jc w:val="both"/>
      </w:pPr>
    </w:p>
    <w:p w14:paraId="3F3ED5AE" w14:textId="3EB20D17" w:rsidR="00363919" w:rsidRDefault="005D61B9" w:rsidP="0087148D">
      <w:pPr>
        <w:pStyle w:val="BodyText"/>
        <w:spacing w:line="480" w:lineRule="auto"/>
        <w:jc w:val="both"/>
      </w:pPr>
      <w:r>
        <w:t xml:space="preserve">Although the tailored approach advocated by six of the CPGs (London CPG, Nottingham CPG, NBL CPG, Chester CPG, Glasgow CPG and Bristol CPG) performed favourably </w:t>
      </w:r>
      <w:r w:rsidR="00B813BB">
        <w:t xml:space="preserve">when compared </w:t>
      </w:r>
      <w:r>
        <w:t xml:space="preserve">to the approaches suggested by NICE (NG51 and CG102) the specificities of the tailored CPGs varied significantly (0.17 to 0.37 p&lt;0.0001). </w:t>
      </w:r>
      <w:r w:rsidR="00B813BB">
        <w:t xml:space="preserve">The poorer performing CPGs such as the Chester and Bristol CPGs listed the greatest number of </w:t>
      </w:r>
      <w:r w:rsidR="00786619">
        <w:t>“Red Flag” features</w:t>
      </w:r>
      <w:r w:rsidR="00B813BB">
        <w:t xml:space="preserve"> </w:t>
      </w:r>
      <w:r w:rsidR="0066441B">
        <w:t xml:space="preserve">requiring </w:t>
      </w:r>
      <w:r w:rsidR="00786619">
        <w:t>treatment whereas t</w:t>
      </w:r>
      <w:r w:rsidR="00B813BB">
        <w:t>he best performing CPGs such as the London and Nottingham CPGs listed the fewest number</w:t>
      </w:r>
      <w:r w:rsidR="00786619">
        <w:t xml:space="preserve"> of “Red Flag” features. It appears that the greater the number of “Red Flag” features </w:t>
      </w:r>
      <w:r w:rsidR="00C73CF5">
        <w:t>listed the lower the specificity</w:t>
      </w:r>
      <w:r w:rsidR="00786619">
        <w:t xml:space="preserve"> of the guidance.</w:t>
      </w:r>
      <w:r w:rsidR="00363919">
        <w:t xml:space="preserve"> All of the tailored CPGs included the presence of purpura and signs of shock as “Red Flags”. </w:t>
      </w:r>
      <w:r w:rsidR="00786619">
        <w:t xml:space="preserve"> </w:t>
      </w:r>
      <w:r w:rsidR="00924D66">
        <w:t>None of the tailored CPGs included limb</w:t>
      </w:r>
      <w:r w:rsidR="00363919">
        <w:t xml:space="preserve"> pain or reduced conscious level as “Red Flags”</w:t>
      </w:r>
      <w:r w:rsidR="0066441B">
        <w:t xml:space="preserve"> and data from this study suggest they should be considered as high risk clinical features</w:t>
      </w:r>
      <w:r w:rsidR="00363919">
        <w:t>.</w:t>
      </w:r>
      <w:r w:rsidR="005148A0">
        <w:t xml:space="preserve"> </w:t>
      </w:r>
      <w:r w:rsidR="0066441B">
        <w:t xml:space="preserve">All of the tailored CPGs allowed for, </w:t>
      </w:r>
      <w:r w:rsidR="005148A0">
        <w:t>well appearing children</w:t>
      </w:r>
      <w:r w:rsidR="0066441B">
        <w:t>,</w:t>
      </w:r>
      <w:r w:rsidR="005148A0">
        <w:t xml:space="preserve"> with a mechanical cause for a petechial rash (not purpuric) to be discharged home. </w:t>
      </w:r>
    </w:p>
    <w:p w14:paraId="63E986C8" w14:textId="43F602D2" w:rsidR="004755C1" w:rsidRDefault="004755C1" w:rsidP="0087148D">
      <w:pPr>
        <w:pStyle w:val="BodyText"/>
        <w:spacing w:line="480" w:lineRule="auto"/>
        <w:jc w:val="both"/>
      </w:pPr>
    </w:p>
    <w:p w14:paraId="0FE21E2D" w14:textId="31ADB2E1" w:rsidR="007C448A" w:rsidRDefault="007C448A" w:rsidP="0087148D">
      <w:pPr>
        <w:pStyle w:val="BodyText"/>
        <w:spacing w:line="480" w:lineRule="auto"/>
        <w:jc w:val="both"/>
      </w:pPr>
      <w:r>
        <w:t>Individual departments must now consider their own practice. Apply</w:t>
      </w:r>
      <w:r w:rsidR="00EF4514">
        <w:t>ing</w:t>
      </w:r>
      <w:r>
        <w:t xml:space="preserve"> NICE CPG (CG102 and NG51) is likely to be safe</w:t>
      </w:r>
      <w:r w:rsidR="00C73CF5">
        <w:t xml:space="preserve"> although</w:t>
      </w:r>
      <w:r>
        <w:t xml:space="preserve"> </w:t>
      </w:r>
      <w:r w:rsidR="00EF4514">
        <w:t xml:space="preserve">this approach involves the greatest use of parenteral </w:t>
      </w:r>
      <w:r w:rsidR="00EF4514">
        <w:lastRenderedPageBreak/>
        <w:t>antibiotics, the greatest number of painful procedures and the</w:t>
      </w:r>
      <w:r>
        <w:t xml:space="preserve"> </w:t>
      </w:r>
      <w:r w:rsidR="00EF4514">
        <w:t xml:space="preserve">highest </w:t>
      </w:r>
      <w:r w:rsidR="00C73CF5">
        <w:t xml:space="preserve">financial </w:t>
      </w:r>
      <w:r w:rsidR="0012065E">
        <w:t xml:space="preserve">mean </w:t>
      </w:r>
      <w:r w:rsidR="00C73CF5">
        <w:t>cost</w:t>
      </w:r>
      <w:r w:rsidR="006567A4">
        <w:t xml:space="preserve"> </w:t>
      </w:r>
      <w:r w:rsidR="00531E6B">
        <w:t xml:space="preserve">per </w:t>
      </w:r>
      <w:r w:rsidR="006567A4">
        <w:t>patient (£</w:t>
      </w:r>
      <w:r w:rsidR="0012065E">
        <w:t xml:space="preserve">655 </w:t>
      </w:r>
      <w:r w:rsidR="006567A4">
        <w:t>to £</w:t>
      </w:r>
      <w:r w:rsidR="0012065E">
        <w:t>660</w:t>
      </w:r>
      <w:r>
        <w:t>). A tailored approach as exemplified by the London and Nottingham CPGs appears to be safe with reduced</w:t>
      </w:r>
      <w:r w:rsidR="00EF4514">
        <w:t xml:space="preserve"> parenteral antibiotic use, reduced invasive procedures and a lower</w:t>
      </w:r>
      <w:r w:rsidR="006567A4">
        <w:t xml:space="preserve"> </w:t>
      </w:r>
      <w:r w:rsidR="00054937">
        <w:t xml:space="preserve">mean </w:t>
      </w:r>
      <w:r w:rsidR="006567A4">
        <w:t>cost per patient (£</w:t>
      </w:r>
      <w:r w:rsidR="008C2151">
        <w:t xml:space="preserve">490 </w:t>
      </w:r>
      <w:r w:rsidR="006567A4">
        <w:t>to £</w:t>
      </w:r>
      <w:r w:rsidR="00054937">
        <w:t>499</w:t>
      </w:r>
      <w:r>
        <w:t xml:space="preserve">). Finally </w:t>
      </w:r>
      <w:r w:rsidR="00EF4514">
        <w:t>departments could allow</w:t>
      </w:r>
      <w:r>
        <w:t xml:space="preserve"> for individual </w:t>
      </w:r>
      <w:r w:rsidR="00EF4514">
        <w:t xml:space="preserve">clinician </w:t>
      </w:r>
      <w:r>
        <w:t>practice.</w:t>
      </w:r>
      <w:r w:rsidR="00EF4514">
        <w:t xml:space="preserve"> This approach would further reduce parenteral antibiotic u</w:t>
      </w:r>
      <w:r w:rsidR="00C73CF5">
        <w:t xml:space="preserve">sed but would not </w:t>
      </w:r>
      <w:r w:rsidR="00EF4514">
        <w:t xml:space="preserve">alter </w:t>
      </w:r>
      <w:r w:rsidR="00C73CF5">
        <w:t>the number of phlebotomy events</w:t>
      </w:r>
      <w:r w:rsidR="00EF4514">
        <w:t xml:space="preserve"> performed and carries an increased risk of missing early MD.</w:t>
      </w:r>
      <w:r w:rsidR="004B0944">
        <w:t xml:space="preserve"> In 2017/18, </w:t>
      </w:r>
      <w:r w:rsidR="009C0BEA">
        <w:t>failure/delay</w:t>
      </w:r>
      <w:r w:rsidR="004B0944">
        <w:t xml:space="preserve"> diagnos</w:t>
      </w:r>
      <w:r w:rsidR="009C0BEA">
        <w:t>is</w:t>
      </w:r>
      <w:r w:rsidR="004B0944">
        <w:t xml:space="preserve"> cost the NHS an average of £</w:t>
      </w:r>
      <w:r w:rsidR="009C0BEA">
        <w:t>227</w:t>
      </w:r>
      <w:r w:rsidR="004B0944">
        <w:t>,</w:t>
      </w:r>
      <w:r w:rsidR="009C0BEA">
        <w:t>667</w:t>
      </w:r>
      <w:r w:rsidR="00880D53">
        <w:t xml:space="preserve"> per case of litigation [21]</w:t>
      </w:r>
      <w:r w:rsidR="004B0944">
        <w:t xml:space="preserve">. Individual clinician practice may lead to higher </w:t>
      </w:r>
      <w:r w:rsidR="00B63E8D">
        <w:t xml:space="preserve">mean </w:t>
      </w:r>
      <w:r w:rsidR="004B0944">
        <w:t xml:space="preserve">costs per patient than either NICE CPG or </w:t>
      </w:r>
      <w:r w:rsidR="00973CA8">
        <w:t xml:space="preserve">the use of </w:t>
      </w:r>
      <w:r w:rsidR="004B0944">
        <w:t>a tailored approach due to th</w:t>
      </w:r>
      <w:r w:rsidR="006C66E0">
        <w:t>e</w:t>
      </w:r>
      <w:r w:rsidR="004B0944">
        <w:t xml:space="preserve"> increased risk of missing early MD</w:t>
      </w:r>
      <w:r w:rsidR="006C66E0">
        <w:t xml:space="preserve"> and subsequent litigation</w:t>
      </w:r>
      <w:r w:rsidR="007D6014">
        <w:t xml:space="preserve"> costs</w:t>
      </w:r>
      <w:r w:rsidR="00605E77">
        <w:t>.</w:t>
      </w:r>
    </w:p>
    <w:p w14:paraId="4BAED9F9" w14:textId="14BD0EB2" w:rsidR="00853434" w:rsidRDefault="00853434" w:rsidP="0087148D">
      <w:pPr>
        <w:pStyle w:val="BodyText"/>
        <w:spacing w:line="480" w:lineRule="auto"/>
        <w:jc w:val="both"/>
      </w:pPr>
    </w:p>
    <w:p w14:paraId="75D4DC77" w14:textId="77777777" w:rsidR="00853434" w:rsidRDefault="00853434" w:rsidP="0087148D">
      <w:pPr>
        <w:pStyle w:val="BodyText"/>
        <w:spacing w:line="480" w:lineRule="auto"/>
        <w:jc w:val="both"/>
      </w:pPr>
      <w:r w:rsidRPr="00853434">
        <w:rPr>
          <w:b/>
        </w:rPr>
        <w:t>Conclusion</w:t>
      </w:r>
      <w:r>
        <w:t xml:space="preserve"> </w:t>
      </w:r>
    </w:p>
    <w:p w14:paraId="6751F60C" w14:textId="12878E2B" w:rsidR="00853434" w:rsidRDefault="00853434" w:rsidP="0087148D">
      <w:pPr>
        <w:pStyle w:val="BodyText"/>
        <w:spacing w:line="480" w:lineRule="auto"/>
        <w:jc w:val="both"/>
      </w:pPr>
      <w:r>
        <w:t>Due to successful vaccination programmes invasive meningococcal disease is now a rare cause of non-blanching rashes in children</w:t>
      </w:r>
      <w:r w:rsidR="00E83D93">
        <w:t xml:space="preserve"> presenting with fever to the ED</w:t>
      </w:r>
      <w:r>
        <w:t xml:space="preserve">. Current UK NICE guidelines performed poorly when compared to locally produced guidelines with NICE guidance requiring a greater number of invasive procedures, greater use of parenteral antibiotics and greater financial cost without any demonstrable benefit. </w:t>
      </w:r>
    </w:p>
    <w:p w14:paraId="427F216C" w14:textId="77777777" w:rsidR="00853434" w:rsidRDefault="00853434" w:rsidP="0087148D">
      <w:pPr>
        <w:pStyle w:val="BodyText"/>
        <w:spacing w:line="480" w:lineRule="auto"/>
        <w:jc w:val="both"/>
      </w:pPr>
    </w:p>
    <w:p w14:paraId="725DE443" w14:textId="77777777" w:rsidR="00853434" w:rsidRPr="00853434" w:rsidRDefault="00853434" w:rsidP="0087148D">
      <w:pPr>
        <w:pStyle w:val="BodyText"/>
        <w:spacing w:line="480" w:lineRule="auto"/>
        <w:jc w:val="both"/>
        <w:rPr>
          <w:sz w:val="24"/>
          <w:szCs w:val="24"/>
        </w:rPr>
      </w:pPr>
      <w:r w:rsidRPr="00853434">
        <w:rPr>
          <w:b/>
          <w:sz w:val="24"/>
          <w:szCs w:val="24"/>
        </w:rPr>
        <w:t>Strengths/Limitations</w:t>
      </w:r>
      <w:r w:rsidRPr="00853434">
        <w:rPr>
          <w:sz w:val="24"/>
          <w:szCs w:val="24"/>
        </w:rPr>
        <w:t xml:space="preserve"> </w:t>
      </w:r>
    </w:p>
    <w:p w14:paraId="0ED37352" w14:textId="4C02823F" w:rsidR="00853434" w:rsidRDefault="00853434" w:rsidP="0087148D">
      <w:pPr>
        <w:pStyle w:val="BodyText"/>
        <w:spacing w:line="480" w:lineRule="auto"/>
        <w:jc w:val="both"/>
      </w:pPr>
      <w:r>
        <w:t xml:space="preserve">The PiC study was the largest ever study of children with fever and NBR. It was performed prospectively across 37 UK sites and recruited 1334 children across two winters. It represents the best available evidence for estimating the risk of MD amongst children presenting to </w:t>
      </w:r>
      <w:r w:rsidR="002F68E8">
        <w:t>the ED</w:t>
      </w:r>
      <w:r>
        <w:t xml:space="preserve"> with a fever and NBR. The PiC study also accurately reports the current performance of a range of CPGs. The main limitation to the PiC study was that t</w:t>
      </w:r>
      <w:r w:rsidR="0085315E">
        <w:t>here were very few cases of MD and such the confidence intervals for the sensitivity of each CPG are wide</w:t>
      </w:r>
      <w:r>
        <w:t>. The findings from PiC should</w:t>
      </w:r>
      <w:r w:rsidR="0085315E">
        <w:t xml:space="preserve"> therefore</w:t>
      </w:r>
      <w:r>
        <w:t xml:space="preserve"> be interpreted with </w:t>
      </w:r>
      <w:r w:rsidR="0085315E">
        <w:t xml:space="preserve">extreme </w:t>
      </w:r>
      <w:r>
        <w:t>caution in areas where the prevalence of MD is significantly higher than it is in the UK</w:t>
      </w:r>
      <w:r w:rsidR="00FD6F63">
        <w:t xml:space="preserve"> and where vaccines are not offered or uptake is low</w:t>
      </w:r>
      <w:r>
        <w:t>.</w:t>
      </w:r>
      <w:r w:rsidR="002F68E8">
        <w:t xml:space="preserve"> An additional limitation is that even with a robust study design and prospective data </w:t>
      </w:r>
      <w:r w:rsidR="002F68E8">
        <w:lastRenderedPageBreak/>
        <w:t>collection some children with a fever and NBR will not have been included in the study. It is</w:t>
      </w:r>
      <w:r w:rsidR="006461D7">
        <w:t xml:space="preserve"> therefore</w:t>
      </w:r>
      <w:r w:rsidR="002F68E8">
        <w:t xml:space="preserve"> possible that the reported proportion of children with MD in this cohort is an over-estimation.</w:t>
      </w:r>
      <w:r w:rsidR="004755C1">
        <w:t xml:space="preserve"> </w:t>
      </w:r>
    </w:p>
    <w:p w14:paraId="1A5BC86D" w14:textId="77777777" w:rsidR="002F68E8" w:rsidRDefault="002F68E8" w:rsidP="0087148D">
      <w:pPr>
        <w:pStyle w:val="BodyText"/>
        <w:spacing w:line="480" w:lineRule="auto"/>
        <w:jc w:val="both"/>
        <w:rPr>
          <w:b/>
          <w:sz w:val="24"/>
          <w:szCs w:val="24"/>
        </w:rPr>
      </w:pPr>
    </w:p>
    <w:p w14:paraId="619AC44A" w14:textId="77777777" w:rsidR="00502532" w:rsidRDefault="00502532" w:rsidP="0087148D">
      <w:pPr>
        <w:pStyle w:val="BodyText"/>
        <w:spacing w:line="480" w:lineRule="auto"/>
        <w:jc w:val="both"/>
        <w:rPr>
          <w:b/>
          <w:sz w:val="24"/>
          <w:szCs w:val="24"/>
        </w:rPr>
      </w:pPr>
    </w:p>
    <w:p w14:paraId="141F481D" w14:textId="77777777" w:rsidR="00502532" w:rsidRDefault="00502532" w:rsidP="0087148D">
      <w:pPr>
        <w:pStyle w:val="BodyText"/>
        <w:spacing w:line="480" w:lineRule="auto"/>
        <w:jc w:val="both"/>
        <w:rPr>
          <w:b/>
          <w:sz w:val="24"/>
          <w:szCs w:val="24"/>
        </w:rPr>
      </w:pPr>
    </w:p>
    <w:p w14:paraId="173E1BE9" w14:textId="77777777" w:rsidR="00502532" w:rsidRDefault="00502532" w:rsidP="0087148D">
      <w:pPr>
        <w:pStyle w:val="BodyText"/>
        <w:spacing w:line="480" w:lineRule="auto"/>
        <w:jc w:val="both"/>
        <w:rPr>
          <w:b/>
          <w:sz w:val="24"/>
          <w:szCs w:val="24"/>
        </w:rPr>
      </w:pPr>
    </w:p>
    <w:p w14:paraId="66DEBF4E" w14:textId="77777777" w:rsidR="00502532" w:rsidRDefault="00502532" w:rsidP="0087148D">
      <w:pPr>
        <w:pStyle w:val="BodyText"/>
        <w:spacing w:line="480" w:lineRule="auto"/>
        <w:jc w:val="both"/>
        <w:rPr>
          <w:b/>
          <w:sz w:val="24"/>
          <w:szCs w:val="24"/>
        </w:rPr>
      </w:pPr>
    </w:p>
    <w:p w14:paraId="757968B6" w14:textId="77777777" w:rsidR="00502532" w:rsidRDefault="00502532" w:rsidP="0087148D">
      <w:pPr>
        <w:pStyle w:val="BodyText"/>
        <w:spacing w:line="480" w:lineRule="auto"/>
        <w:jc w:val="both"/>
        <w:rPr>
          <w:b/>
          <w:sz w:val="24"/>
          <w:szCs w:val="24"/>
        </w:rPr>
      </w:pPr>
    </w:p>
    <w:p w14:paraId="05670122" w14:textId="77777777" w:rsidR="00502532" w:rsidRDefault="00502532" w:rsidP="0087148D">
      <w:pPr>
        <w:pStyle w:val="BodyText"/>
        <w:spacing w:line="480" w:lineRule="auto"/>
        <w:jc w:val="both"/>
        <w:rPr>
          <w:b/>
          <w:sz w:val="24"/>
          <w:szCs w:val="24"/>
        </w:rPr>
      </w:pPr>
    </w:p>
    <w:p w14:paraId="7A844B4D" w14:textId="77777777" w:rsidR="00502532" w:rsidRDefault="00502532" w:rsidP="0087148D">
      <w:pPr>
        <w:pStyle w:val="BodyText"/>
        <w:spacing w:line="480" w:lineRule="auto"/>
        <w:jc w:val="both"/>
        <w:rPr>
          <w:b/>
          <w:sz w:val="24"/>
          <w:szCs w:val="24"/>
        </w:rPr>
      </w:pPr>
    </w:p>
    <w:p w14:paraId="6DD782A5" w14:textId="77777777" w:rsidR="00502532" w:rsidRDefault="00502532" w:rsidP="0087148D">
      <w:pPr>
        <w:pStyle w:val="BodyText"/>
        <w:spacing w:line="480" w:lineRule="auto"/>
        <w:jc w:val="both"/>
        <w:rPr>
          <w:b/>
          <w:sz w:val="24"/>
          <w:szCs w:val="24"/>
        </w:rPr>
      </w:pPr>
    </w:p>
    <w:p w14:paraId="066D29FF" w14:textId="77777777" w:rsidR="00502532" w:rsidRDefault="00502532" w:rsidP="0087148D">
      <w:pPr>
        <w:pStyle w:val="BodyText"/>
        <w:spacing w:line="480" w:lineRule="auto"/>
        <w:jc w:val="both"/>
        <w:rPr>
          <w:b/>
          <w:sz w:val="24"/>
          <w:szCs w:val="24"/>
        </w:rPr>
      </w:pPr>
    </w:p>
    <w:p w14:paraId="7726EF43" w14:textId="77777777" w:rsidR="00502532" w:rsidRDefault="00502532" w:rsidP="0087148D">
      <w:pPr>
        <w:pStyle w:val="BodyText"/>
        <w:spacing w:line="480" w:lineRule="auto"/>
        <w:jc w:val="both"/>
        <w:rPr>
          <w:b/>
          <w:sz w:val="24"/>
          <w:szCs w:val="24"/>
        </w:rPr>
      </w:pPr>
    </w:p>
    <w:p w14:paraId="298E3BDF" w14:textId="77777777" w:rsidR="00502532" w:rsidRDefault="00502532" w:rsidP="0087148D">
      <w:pPr>
        <w:pStyle w:val="BodyText"/>
        <w:spacing w:line="480" w:lineRule="auto"/>
        <w:jc w:val="both"/>
        <w:rPr>
          <w:b/>
          <w:sz w:val="24"/>
          <w:szCs w:val="24"/>
        </w:rPr>
      </w:pPr>
    </w:p>
    <w:p w14:paraId="7921DC24" w14:textId="77777777" w:rsidR="00502532" w:rsidRDefault="00502532" w:rsidP="0087148D">
      <w:pPr>
        <w:pStyle w:val="BodyText"/>
        <w:spacing w:line="480" w:lineRule="auto"/>
        <w:jc w:val="both"/>
        <w:rPr>
          <w:b/>
          <w:sz w:val="24"/>
          <w:szCs w:val="24"/>
        </w:rPr>
      </w:pPr>
    </w:p>
    <w:p w14:paraId="06835773" w14:textId="77777777" w:rsidR="00502532" w:rsidRDefault="00502532" w:rsidP="0087148D">
      <w:pPr>
        <w:pStyle w:val="BodyText"/>
        <w:spacing w:line="480" w:lineRule="auto"/>
        <w:jc w:val="both"/>
        <w:rPr>
          <w:b/>
          <w:sz w:val="24"/>
          <w:szCs w:val="24"/>
        </w:rPr>
      </w:pPr>
    </w:p>
    <w:p w14:paraId="275C602B" w14:textId="77777777" w:rsidR="00502532" w:rsidRDefault="00502532" w:rsidP="0087148D">
      <w:pPr>
        <w:pStyle w:val="BodyText"/>
        <w:spacing w:line="480" w:lineRule="auto"/>
        <w:jc w:val="both"/>
        <w:rPr>
          <w:b/>
          <w:sz w:val="24"/>
          <w:szCs w:val="24"/>
        </w:rPr>
      </w:pPr>
    </w:p>
    <w:p w14:paraId="31EBFDD8" w14:textId="77777777" w:rsidR="00502532" w:rsidRDefault="00502532" w:rsidP="0087148D">
      <w:pPr>
        <w:pStyle w:val="BodyText"/>
        <w:spacing w:line="480" w:lineRule="auto"/>
        <w:jc w:val="both"/>
        <w:rPr>
          <w:b/>
          <w:sz w:val="24"/>
          <w:szCs w:val="24"/>
        </w:rPr>
      </w:pPr>
    </w:p>
    <w:p w14:paraId="200816A4" w14:textId="77777777" w:rsidR="00502532" w:rsidRDefault="00502532" w:rsidP="0087148D">
      <w:pPr>
        <w:pStyle w:val="BodyText"/>
        <w:spacing w:line="480" w:lineRule="auto"/>
        <w:jc w:val="both"/>
        <w:rPr>
          <w:b/>
          <w:sz w:val="24"/>
          <w:szCs w:val="24"/>
        </w:rPr>
      </w:pPr>
    </w:p>
    <w:p w14:paraId="0D179FAC" w14:textId="77777777" w:rsidR="00502532" w:rsidRDefault="00502532" w:rsidP="0087148D">
      <w:pPr>
        <w:pStyle w:val="BodyText"/>
        <w:spacing w:line="480" w:lineRule="auto"/>
        <w:jc w:val="both"/>
        <w:rPr>
          <w:b/>
          <w:sz w:val="24"/>
          <w:szCs w:val="24"/>
        </w:rPr>
      </w:pPr>
    </w:p>
    <w:p w14:paraId="1F9B0A85" w14:textId="77777777" w:rsidR="00502532" w:rsidRDefault="00502532" w:rsidP="0087148D">
      <w:pPr>
        <w:pStyle w:val="BodyText"/>
        <w:spacing w:line="480" w:lineRule="auto"/>
        <w:jc w:val="both"/>
        <w:rPr>
          <w:b/>
          <w:sz w:val="24"/>
          <w:szCs w:val="24"/>
        </w:rPr>
      </w:pPr>
    </w:p>
    <w:p w14:paraId="1173EEEE" w14:textId="77777777" w:rsidR="00502532" w:rsidRDefault="00502532" w:rsidP="0087148D">
      <w:pPr>
        <w:pStyle w:val="BodyText"/>
        <w:spacing w:line="480" w:lineRule="auto"/>
        <w:jc w:val="both"/>
        <w:rPr>
          <w:b/>
          <w:sz w:val="24"/>
          <w:szCs w:val="24"/>
        </w:rPr>
      </w:pPr>
    </w:p>
    <w:p w14:paraId="1024C83D" w14:textId="77777777" w:rsidR="00502532" w:rsidRDefault="00502532" w:rsidP="0087148D">
      <w:pPr>
        <w:pStyle w:val="BodyText"/>
        <w:spacing w:line="480" w:lineRule="auto"/>
        <w:jc w:val="both"/>
        <w:rPr>
          <w:b/>
          <w:sz w:val="24"/>
          <w:szCs w:val="24"/>
        </w:rPr>
      </w:pPr>
    </w:p>
    <w:p w14:paraId="30D18953" w14:textId="77777777" w:rsidR="00502532" w:rsidRDefault="00502532" w:rsidP="0087148D">
      <w:pPr>
        <w:pStyle w:val="BodyText"/>
        <w:spacing w:line="480" w:lineRule="auto"/>
        <w:jc w:val="both"/>
        <w:rPr>
          <w:b/>
          <w:sz w:val="24"/>
          <w:szCs w:val="24"/>
        </w:rPr>
      </w:pPr>
    </w:p>
    <w:p w14:paraId="3160E5D3" w14:textId="77777777" w:rsidR="00502532" w:rsidRDefault="00502532" w:rsidP="0087148D">
      <w:pPr>
        <w:pStyle w:val="BodyText"/>
        <w:spacing w:line="480" w:lineRule="auto"/>
        <w:jc w:val="both"/>
        <w:rPr>
          <w:b/>
          <w:sz w:val="24"/>
          <w:szCs w:val="24"/>
        </w:rPr>
      </w:pPr>
    </w:p>
    <w:p w14:paraId="632DB42D" w14:textId="0E997D19" w:rsidR="00853434" w:rsidRDefault="00853434" w:rsidP="0087148D">
      <w:pPr>
        <w:pStyle w:val="BodyText"/>
        <w:spacing w:line="480" w:lineRule="auto"/>
        <w:jc w:val="both"/>
      </w:pPr>
      <w:r w:rsidRPr="00853434">
        <w:rPr>
          <w:b/>
          <w:sz w:val="24"/>
          <w:szCs w:val="24"/>
        </w:rPr>
        <w:lastRenderedPageBreak/>
        <w:t>Declarations</w:t>
      </w:r>
      <w:r>
        <w:t xml:space="preserve"> </w:t>
      </w:r>
    </w:p>
    <w:p w14:paraId="56DA4A5A" w14:textId="77777777" w:rsidR="00853434" w:rsidRDefault="00853434" w:rsidP="0087148D">
      <w:pPr>
        <w:pStyle w:val="BodyText"/>
        <w:numPr>
          <w:ilvl w:val="0"/>
          <w:numId w:val="42"/>
        </w:numPr>
        <w:spacing w:line="480" w:lineRule="auto"/>
        <w:jc w:val="both"/>
      </w:pPr>
      <w:r>
        <w:t xml:space="preserve">Ethics approval: The Northern Ireland Research Ethics Committee (REC Reference - 17/NI/0169) and the Belfast Health &amp; Social Care Trust Research Governance (Reference 16201MS-SW) approved the PiC protocol, including the embedded qualitative research. </w:t>
      </w:r>
    </w:p>
    <w:p w14:paraId="594F57FB" w14:textId="77777777" w:rsidR="00853434" w:rsidRDefault="00853434" w:rsidP="0087148D">
      <w:pPr>
        <w:pStyle w:val="BodyText"/>
        <w:numPr>
          <w:ilvl w:val="0"/>
          <w:numId w:val="42"/>
        </w:numPr>
        <w:spacing w:line="480" w:lineRule="auto"/>
        <w:jc w:val="both"/>
      </w:pPr>
      <w:r>
        <w:t xml:space="preserve">Conflicts of interests: Dr. Fairley is non-executive director, advisory board member and shareholder in Hibergene Diagnostics Ltd, Sandyford, Dublin, Republic of Ireland. </w:t>
      </w:r>
    </w:p>
    <w:p w14:paraId="3A782D9E" w14:textId="77777777" w:rsidR="00853434" w:rsidRDefault="00853434" w:rsidP="0087148D">
      <w:pPr>
        <w:pStyle w:val="BodyText"/>
        <w:numPr>
          <w:ilvl w:val="0"/>
          <w:numId w:val="42"/>
        </w:numPr>
        <w:spacing w:line="480" w:lineRule="auto"/>
        <w:jc w:val="both"/>
      </w:pPr>
      <w:r>
        <w:t>Funding: This study was funded by the Public Health Agency of Northern Ireland (EAT/5313/16). The funder had no involvement in the design or conduct of the study.</w:t>
      </w:r>
    </w:p>
    <w:p w14:paraId="390E576A" w14:textId="77777777" w:rsidR="00853434" w:rsidRDefault="00853434" w:rsidP="0087148D">
      <w:pPr>
        <w:pStyle w:val="BodyText"/>
        <w:numPr>
          <w:ilvl w:val="0"/>
          <w:numId w:val="42"/>
        </w:numPr>
        <w:spacing w:line="480" w:lineRule="auto"/>
        <w:jc w:val="both"/>
      </w:pPr>
      <w:r>
        <w:t>Authors contributions: Dr Waterfield, Dr Lyttle, Dr Roland, Dr Maney, Dr Fairley, Dr McKenna and Professor Shields conceived and designed the study. Dr Waterfield co-ordinated the running of the study including data management and site training. Dr Corr and Ms Patenall were involved with the conduct of the study including data collection. Dr Woolfall provided study design expertise and designed the approach to consent. Dr Lynn provided health economics expertise and supervised the cost assessment. Dr McFetridge and Dr Mitchell provided statistical expertise and performed the statistical analysis. All authors contributed to the writing of the manuscript.</w:t>
      </w:r>
    </w:p>
    <w:p w14:paraId="045E5181" w14:textId="528C7582" w:rsidR="00853434" w:rsidRDefault="00853434" w:rsidP="0087148D">
      <w:pPr>
        <w:pStyle w:val="BodyText"/>
        <w:numPr>
          <w:ilvl w:val="0"/>
          <w:numId w:val="42"/>
        </w:numPr>
        <w:spacing w:line="480" w:lineRule="auto"/>
        <w:jc w:val="both"/>
      </w:pPr>
      <w:r>
        <w:t xml:space="preserve">Acknowledgements; We thank all of the children and their families who participated in this study. We also thank all of the NHS sites and staff who participated in screening and enrolment and the independent members of the trial oversight committees. </w:t>
      </w:r>
      <w:r w:rsidR="00B4190F">
        <w:t>Details of site leads and research nurses can be found in the supplementary material.</w:t>
      </w:r>
    </w:p>
    <w:p w14:paraId="65795CB6" w14:textId="5256497C" w:rsidR="00853434" w:rsidRDefault="00853434" w:rsidP="0087148D">
      <w:pPr>
        <w:pStyle w:val="BodyText"/>
        <w:numPr>
          <w:ilvl w:val="0"/>
          <w:numId w:val="42"/>
        </w:numPr>
        <w:spacing w:line="480" w:lineRule="auto"/>
        <w:jc w:val="both"/>
      </w:pPr>
      <w:r>
        <w:t>Data Sharing All of the individual participant data collected during this study will be available (including data dictionaries) on the Queen’s University Belfast data repository. The full study protocol is available as an open access publication.</w:t>
      </w:r>
    </w:p>
    <w:p w14:paraId="534DF41C" w14:textId="4F5CF58B" w:rsidR="00853434" w:rsidRDefault="00853434" w:rsidP="00853434">
      <w:pPr>
        <w:pStyle w:val="BodyText"/>
        <w:spacing w:line="480" w:lineRule="auto"/>
        <w:jc w:val="both"/>
      </w:pPr>
    </w:p>
    <w:p w14:paraId="4A376402" w14:textId="44FACFBE" w:rsidR="0077043C" w:rsidRDefault="0077043C" w:rsidP="00853434">
      <w:pPr>
        <w:pStyle w:val="BodyText"/>
        <w:spacing w:line="480" w:lineRule="auto"/>
        <w:jc w:val="both"/>
      </w:pPr>
    </w:p>
    <w:p w14:paraId="19C30CDE" w14:textId="77777777" w:rsidR="00853434" w:rsidRPr="00853434" w:rsidRDefault="00853434" w:rsidP="00853434">
      <w:pPr>
        <w:pStyle w:val="BodyText"/>
        <w:spacing w:line="480" w:lineRule="auto"/>
        <w:jc w:val="both"/>
        <w:rPr>
          <w:b/>
          <w:sz w:val="24"/>
          <w:szCs w:val="24"/>
        </w:rPr>
      </w:pPr>
      <w:r w:rsidRPr="00853434">
        <w:rPr>
          <w:b/>
          <w:sz w:val="24"/>
          <w:szCs w:val="24"/>
        </w:rPr>
        <w:lastRenderedPageBreak/>
        <w:t>References</w:t>
      </w:r>
    </w:p>
    <w:p w14:paraId="683DF9AA" w14:textId="0B3A1A05" w:rsidR="00853434" w:rsidRDefault="00853434" w:rsidP="00853434">
      <w:pPr>
        <w:pStyle w:val="BodyText"/>
        <w:spacing w:line="480" w:lineRule="auto"/>
      </w:pPr>
      <w:r>
        <w:t xml:space="preserve">1. Meningitis Research Foundation. Meningococcal Meningitis and Septicaemia [Internet]. 2016 [cited 2017 Oct 10]. Available from: </w:t>
      </w:r>
      <w:hyperlink r:id="rId9" w:history="1">
        <w:r w:rsidRPr="001B18B8">
          <w:rPr>
            <w:rStyle w:val="Hyperlink"/>
          </w:rPr>
          <w:t>https://www.meningitis.org/getmedia/cf777153-9427-4464-89e2-fb58199174b6/gp_booklet-UK-sept-16</w:t>
        </w:r>
      </w:hyperlink>
    </w:p>
    <w:p w14:paraId="3F315F3B" w14:textId="77777777" w:rsidR="00853434" w:rsidRDefault="00853434" w:rsidP="00853434">
      <w:pPr>
        <w:pStyle w:val="BodyText"/>
        <w:spacing w:line="480" w:lineRule="auto"/>
      </w:pPr>
      <w:r>
        <w:t>2. Ó Maoldomhnaigh C, Drew RJ, Gavin P, Cafferkey M, Butler KM. Invasive meningococcal</w:t>
      </w:r>
    </w:p>
    <w:p w14:paraId="1BF4554D" w14:textId="6D3F8521" w:rsidR="00853434" w:rsidRDefault="00853434" w:rsidP="00853434">
      <w:pPr>
        <w:pStyle w:val="BodyText"/>
        <w:spacing w:line="480" w:lineRule="auto"/>
      </w:pPr>
      <w:r>
        <w:t xml:space="preserve">disease in children in Ireland, 2001–2011. Arch Dis Child [Internet]. 2016 Dec [cited 2017 Oct 10];101(12):1125–9. Available from: </w:t>
      </w:r>
      <w:hyperlink r:id="rId10" w:history="1">
        <w:r w:rsidRPr="001B18B8">
          <w:rPr>
            <w:rStyle w:val="Hyperlink"/>
          </w:rPr>
          <w:t>http://www.ncbi.nlm.nih.gov/pubmed/27566800</w:t>
        </w:r>
      </w:hyperlink>
    </w:p>
    <w:p w14:paraId="07793DB3" w14:textId="79D609C1" w:rsidR="00853434" w:rsidRDefault="00853434" w:rsidP="00853434">
      <w:pPr>
        <w:pStyle w:val="BodyText"/>
        <w:spacing w:line="480" w:lineRule="auto"/>
      </w:pPr>
      <w:r>
        <w:t>3. Corr M, Waterfield T, Shields M. Fifteen-minute consultation: Symptoms and signs of</w:t>
      </w:r>
    </w:p>
    <w:p w14:paraId="776C5066" w14:textId="5D498385" w:rsidR="00853434" w:rsidRDefault="00853434" w:rsidP="00853434">
      <w:pPr>
        <w:pStyle w:val="BodyText"/>
        <w:spacing w:line="480" w:lineRule="auto"/>
      </w:pPr>
      <w:r>
        <w:t xml:space="preserve">meningococcal disease. Arch Dis Child - Educ Pract [Internet]. 2019 Oct 16 [cited 2019 Oct 17];edpract-2019-317722. Available from: </w:t>
      </w:r>
      <w:hyperlink r:id="rId11" w:history="1">
        <w:r w:rsidRPr="001B18B8">
          <w:rPr>
            <w:rStyle w:val="Hyperlink"/>
          </w:rPr>
          <w:t>https://ep.bmj.com/content/early/2019/10/16/archdischild-2019-317722</w:t>
        </w:r>
      </w:hyperlink>
    </w:p>
    <w:p w14:paraId="11554075" w14:textId="15BC8FEC" w:rsidR="00853434" w:rsidRDefault="00853434" w:rsidP="00853434">
      <w:pPr>
        <w:pStyle w:val="BodyText"/>
        <w:spacing w:line="480" w:lineRule="auto"/>
      </w:pPr>
      <w:r>
        <w:t>4. NICE. Meningitis (bacterial) and meningococcal septicaemia in under 16s: recognition,</w:t>
      </w:r>
    </w:p>
    <w:p w14:paraId="0E969575" w14:textId="77777777" w:rsidR="00853434" w:rsidRDefault="00853434" w:rsidP="00853434">
      <w:pPr>
        <w:pStyle w:val="BodyText"/>
        <w:spacing w:line="480" w:lineRule="auto"/>
      </w:pPr>
      <w:r>
        <w:t>diagnosis and management | Guidance and guidelines | NICE. 2015 [cited 2017 Oct 10];</w:t>
      </w:r>
    </w:p>
    <w:p w14:paraId="41F071E3" w14:textId="6B023D99" w:rsidR="00853434" w:rsidRDefault="00853434" w:rsidP="00853434">
      <w:pPr>
        <w:pStyle w:val="BodyText"/>
        <w:spacing w:line="480" w:lineRule="auto"/>
      </w:pPr>
      <w:r>
        <w:t xml:space="preserve">Available from: </w:t>
      </w:r>
      <w:hyperlink r:id="rId12" w:history="1">
        <w:r w:rsidRPr="001B18B8">
          <w:rPr>
            <w:rStyle w:val="Hyperlink"/>
          </w:rPr>
          <w:t>https://www.nice.org.uk/guidance/cg102</w:t>
        </w:r>
      </w:hyperlink>
    </w:p>
    <w:p w14:paraId="5DDC77D9" w14:textId="2E20D2CA" w:rsidR="00853434" w:rsidRDefault="00853434" w:rsidP="00853434">
      <w:pPr>
        <w:pStyle w:val="BodyText"/>
        <w:spacing w:line="480" w:lineRule="auto"/>
      </w:pPr>
      <w:r>
        <w:t xml:space="preserve">5. Lee D, Kim EJEJ, Kilgore PEPE, Kim SASA, Takahashi H, Ohnishi M, et al. Clinical evaluation of a loop-mediated isothermal amplification (LAMP) assay for rapid detection of Neisseria meningitidis in cerebrospinal fluid. PLoS One [Internet]. 2015 [cited 2017 Dec 4];10(4):e0122922. Available from: </w:t>
      </w:r>
      <w:hyperlink r:id="rId13" w:history="1">
        <w:r w:rsidRPr="001B18B8">
          <w:rPr>
            <w:rStyle w:val="Hyperlink"/>
          </w:rPr>
          <w:t>http://www.plosone.org/article/fetchObject.action?uri=info:doi/10.1371/journal.pone.0122922&amp;representation=PDF</w:t>
        </w:r>
      </w:hyperlink>
    </w:p>
    <w:p w14:paraId="6DEEB88A" w14:textId="212A9861" w:rsidR="00853434" w:rsidRDefault="00853434" w:rsidP="00853434">
      <w:pPr>
        <w:pStyle w:val="BodyText"/>
        <w:spacing w:line="480" w:lineRule="auto"/>
      </w:pPr>
      <w:r>
        <w:t>6. Dunlop KA, Coyle P, Mitchell S, Fairley D, O’Neill H, Jackson P, et al. Molecular testing of</w:t>
      </w:r>
    </w:p>
    <w:p w14:paraId="4A459C06" w14:textId="7455A18B" w:rsidR="00853434" w:rsidRDefault="00853434" w:rsidP="00853434">
      <w:pPr>
        <w:pStyle w:val="BodyText"/>
        <w:spacing w:line="480" w:lineRule="auto"/>
      </w:pPr>
      <w:r>
        <w:t>respiratory swabs aids early recognition of meningococcal disease in children. Diagn Microbiol Infect Dis [Internet]. 2011;70(4):427–34. Available from:</w:t>
      </w:r>
    </w:p>
    <w:p w14:paraId="6B7F6F50" w14:textId="1053FB21" w:rsidR="00853434" w:rsidRDefault="00C32A19" w:rsidP="00853434">
      <w:pPr>
        <w:pStyle w:val="BodyText"/>
        <w:spacing w:line="480" w:lineRule="auto"/>
      </w:pPr>
      <w:hyperlink r:id="rId14" w:history="1">
        <w:r w:rsidR="00853434" w:rsidRPr="001B18B8">
          <w:rPr>
            <w:rStyle w:val="Hyperlink"/>
          </w:rPr>
          <w:t>http://dx.doi.org/10.1016/j.diagmicrobio.2011.03.018</w:t>
        </w:r>
      </w:hyperlink>
    </w:p>
    <w:p w14:paraId="12DE47CD" w14:textId="39CA1FE8" w:rsidR="00853434" w:rsidRDefault="00853434" w:rsidP="00853434">
      <w:pPr>
        <w:pStyle w:val="BodyText"/>
        <w:spacing w:line="480" w:lineRule="auto"/>
      </w:pPr>
      <w:r>
        <w:t>7. Brogan PA, Raffles A. The management of fever and petechiae: making sense of rash</w:t>
      </w:r>
    </w:p>
    <w:p w14:paraId="74754123" w14:textId="77777777" w:rsidR="00853434" w:rsidRDefault="00853434" w:rsidP="00853434">
      <w:pPr>
        <w:pStyle w:val="BodyText"/>
        <w:spacing w:line="480" w:lineRule="auto"/>
      </w:pPr>
      <w:r>
        <w:t>decisions. Arch Dis Child [Internet]. 2000;83(6):506–7. Available from:</w:t>
      </w:r>
    </w:p>
    <w:p w14:paraId="232359F3" w14:textId="5670D380" w:rsidR="00853434" w:rsidRDefault="00C32A19" w:rsidP="00853434">
      <w:pPr>
        <w:pStyle w:val="BodyText"/>
        <w:spacing w:line="480" w:lineRule="auto"/>
      </w:pPr>
      <w:hyperlink r:id="rId15" w:history="1">
        <w:r w:rsidR="00853434" w:rsidRPr="001B18B8">
          <w:rPr>
            <w:rStyle w:val="Hyperlink"/>
          </w:rPr>
          <w:t>http://ovidsp.ovid.com/ovidweb.cgi?T=JS&amp;PAGE=reference&amp;D=med4&amp;NEWS=N&amp;AN=11087287</w:t>
        </w:r>
      </w:hyperlink>
    </w:p>
    <w:p w14:paraId="5F012E0C" w14:textId="5BA14FC0" w:rsidR="00853434" w:rsidRDefault="00853434" w:rsidP="00853434">
      <w:pPr>
        <w:pStyle w:val="BodyText"/>
        <w:spacing w:line="480" w:lineRule="auto"/>
      </w:pPr>
      <w:r>
        <w:lastRenderedPageBreak/>
        <w:t>8. Mandl KD, Stack AM, Fleisher GR. Incidence of bacteremia in infants and children with fever and petechiae. J Pediatr [Internet]. 1997;131(3):398–404. Available from:</w:t>
      </w:r>
    </w:p>
    <w:p w14:paraId="058EB749" w14:textId="4447993E" w:rsidR="00853434" w:rsidRDefault="00C32A19" w:rsidP="00853434">
      <w:pPr>
        <w:pStyle w:val="BodyText"/>
        <w:spacing w:line="480" w:lineRule="auto"/>
      </w:pPr>
      <w:hyperlink r:id="rId16" w:history="1">
        <w:r w:rsidR="00853434" w:rsidRPr="001B18B8">
          <w:rPr>
            <w:rStyle w:val="Hyperlink"/>
          </w:rPr>
          <w:t>http://ovidsp.ovid.com/ovidweb.cgi?T=JS&amp;PAGE=reference&amp;D=med4&amp;NEWS=N&amp;AN=9329416</w:t>
        </w:r>
      </w:hyperlink>
    </w:p>
    <w:p w14:paraId="011DF011" w14:textId="70A607DC" w:rsidR="00853434" w:rsidRDefault="00853434" w:rsidP="00853434">
      <w:pPr>
        <w:pStyle w:val="BodyText"/>
        <w:spacing w:line="480" w:lineRule="auto"/>
      </w:pPr>
      <w:r>
        <w:t>9. Wells LC, Smith JC, et al. The child with a non-blanching rash: How likely is meningococcal disease? Arch Dis Child [Internet]. 2001;85(3):218–22. Available from:</w:t>
      </w:r>
    </w:p>
    <w:p w14:paraId="62F1B888" w14:textId="4447A7C5" w:rsidR="00853434" w:rsidRDefault="00C32A19" w:rsidP="00853434">
      <w:pPr>
        <w:pStyle w:val="BodyText"/>
        <w:spacing w:line="480" w:lineRule="auto"/>
      </w:pPr>
      <w:hyperlink r:id="rId17" w:history="1">
        <w:r w:rsidR="00853434" w:rsidRPr="001B18B8">
          <w:rPr>
            <w:rStyle w:val="Hyperlink"/>
          </w:rPr>
          <w:t>http://ovidsp.ovid.com/ovidweb.cgi?T=JS&amp;PAGE=reference&amp;D=med4&amp;NEWS=N&amp;AN=1157104</w:t>
        </w:r>
      </w:hyperlink>
    </w:p>
    <w:p w14:paraId="5873752F" w14:textId="3A33CA7F" w:rsidR="00853434" w:rsidRDefault="00853434" w:rsidP="00853434">
      <w:pPr>
        <w:pStyle w:val="BodyText"/>
        <w:spacing w:line="480" w:lineRule="auto"/>
      </w:pPr>
      <w:r>
        <w:t>10. Nielsen HE, Andersen EA, Andersen J, Bottiger B, Christiansen KM, Daugbjerg P, et al.</w:t>
      </w:r>
    </w:p>
    <w:p w14:paraId="60637379" w14:textId="77777777" w:rsidR="00853434" w:rsidRDefault="00853434" w:rsidP="00853434">
      <w:pPr>
        <w:pStyle w:val="BodyText"/>
        <w:spacing w:line="480" w:lineRule="auto"/>
      </w:pPr>
      <w:r>
        <w:t>Diagnostic assessment of haemorrhagic rash and fever. Arch Dis Child [Internet].</w:t>
      </w:r>
    </w:p>
    <w:p w14:paraId="2C8FBDDF" w14:textId="6D96F54E" w:rsidR="00853434" w:rsidRDefault="00853434" w:rsidP="00853434">
      <w:pPr>
        <w:pStyle w:val="BodyText"/>
        <w:spacing w:line="480" w:lineRule="auto"/>
      </w:pPr>
      <w:r>
        <w:t xml:space="preserve">2001;85(2):160–5. Available from: </w:t>
      </w:r>
      <w:hyperlink r:id="rId18" w:history="1">
        <w:r w:rsidRPr="001B18B8">
          <w:rPr>
            <w:rStyle w:val="Hyperlink"/>
          </w:rPr>
          <w:t>http://ovidsp.ovid.com/ovidweb.cgi?T=JS&amp;PAGE=reference&amp;D=med4&amp;NEWS=N&amp;AN=1146193</w:t>
        </w:r>
      </w:hyperlink>
    </w:p>
    <w:p w14:paraId="2173EE9A" w14:textId="0003EF01" w:rsidR="00853434" w:rsidRDefault="00853434" w:rsidP="00853434">
      <w:pPr>
        <w:pStyle w:val="BodyText"/>
        <w:spacing w:line="480" w:lineRule="auto"/>
      </w:pPr>
      <w:r>
        <w:t>11. Riordan FAI, Jones L, Clark J. Validation of two algorithms for managing children with a nonblanching rash. Arch Dis Child. 2016;709–13.</w:t>
      </w:r>
    </w:p>
    <w:p w14:paraId="36DA61F2" w14:textId="5D75CE00" w:rsidR="00853434" w:rsidRDefault="00853434" w:rsidP="00853434">
      <w:pPr>
        <w:pStyle w:val="BodyText"/>
        <w:spacing w:line="480" w:lineRule="auto"/>
      </w:pPr>
      <w:r>
        <w:t xml:space="preserve">12. </w:t>
      </w:r>
      <w:r w:rsidR="001A6CE9">
        <w:t xml:space="preserve">Ladhani S, Andrews N, </w:t>
      </w:r>
      <w:r w:rsidR="001A6CE9" w:rsidRPr="00877612">
        <w:t>Parikh</w:t>
      </w:r>
      <w:r w:rsidR="001A6CE9">
        <w:t xml:space="preserve"> S et al. </w:t>
      </w:r>
      <w:r w:rsidR="001A6CE9" w:rsidRPr="00877612">
        <w:t>Vaccination of Infants with Meningococcal Group B Vaccine (4CMenB) in England</w:t>
      </w:r>
      <w:r w:rsidR="001A6CE9">
        <w:t>. N Engl J Med 2020; 382:309-317. DOI: 10.1056/NEJMoa1901229.</w:t>
      </w:r>
    </w:p>
    <w:p w14:paraId="6F377D3C" w14:textId="1D023492" w:rsidR="00853434" w:rsidRDefault="00853434" w:rsidP="00853434">
      <w:pPr>
        <w:pStyle w:val="BodyText"/>
        <w:spacing w:line="480" w:lineRule="auto"/>
      </w:pPr>
      <w:r>
        <w:t>13. Waterfield T, Lyttle MD, Fairley D, Mckenna J, Woolfall K, Lynn F, et al. The “Petechiae in children” (PiC) study: evaluating potential clinical decision rules for the management of</w:t>
      </w:r>
    </w:p>
    <w:p w14:paraId="3ECC46EE" w14:textId="77777777" w:rsidR="00853434" w:rsidRDefault="00853434" w:rsidP="00853434">
      <w:pPr>
        <w:pStyle w:val="BodyText"/>
        <w:spacing w:line="480" w:lineRule="auto"/>
      </w:pPr>
      <w:r>
        <w:t>feverish children with non-blanching rashes, including the role of point of care testing for</w:t>
      </w:r>
    </w:p>
    <w:p w14:paraId="3DC9F419" w14:textId="77777777" w:rsidR="00853434" w:rsidRDefault="00853434" w:rsidP="00853434">
      <w:pPr>
        <w:pStyle w:val="BodyText"/>
        <w:spacing w:line="480" w:lineRule="auto"/>
      </w:pPr>
      <w:r>
        <w:t>Procalcitonin &amp;amp; Neisseria meningitidis DNA – a study protocol. BMC Pediatr [Internet].</w:t>
      </w:r>
    </w:p>
    <w:p w14:paraId="105391B6" w14:textId="5EDF1724" w:rsidR="00853434" w:rsidRDefault="00853434" w:rsidP="00853434">
      <w:pPr>
        <w:pStyle w:val="BodyText"/>
        <w:spacing w:line="480" w:lineRule="auto"/>
      </w:pPr>
      <w:r>
        <w:t xml:space="preserve">2018 Dec 30 [cited 2018 Sep 25];18(1):246. Available from: </w:t>
      </w:r>
      <w:hyperlink r:id="rId19" w:history="1">
        <w:r w:rsidR="00BE5155" w:rsidRPr="001B18B8">
          <w:rPr>
            <w:rStyle w:val="Hyperlink"/>
          </w:rPr>
          <w:t>http://www.ncbi.nlm.nih.gov/pubmed/30060751</w:t>
        </w:r>
      </w:hyperlink>
    </w:p>
    <w:p w14:paraId="7109A3F8" w14:textId="5DAA759B" w:rsidR="00853434" w:rsidRDefault="00853434" w:rsidP="00853434">
      <w:pPr>
        <w:pStyle w:val="BodyText"/>
        <w:spacing w:line="480" w:lineRule="auto"/>
      </w:pPr>
      <w:r>
        <w:t>14. CONNECT advisory group. Research without prior consent (deferred consent) in trials</w:t>
      </w:r>
    </w:p>
    <w:p w14:paraId="19E44B6B" w14:textId="77777777" w:rsidR="00853434" w:rsidRDefault="00853434" w:rsidP="00853434">
      <w:pPr>
        <w:pStyle w:val="BodyText"/>
        <w:spacing w:line="480" w:lineRule="auto"/>
      </w:pPr>
      <w:r>
        <w:t>investigating the emergency treatment of critically ill children: CONNECT study guidance</w:t>
      </w:r>
    </w:p>
    <w:p w14:paraId="662E181E" w14:textId="225AB877" w:rsidR="00853434" w:rsidRDefault="00853434" w:rsidP="00853434">
      <w:pPr>
        <w:pStyle w:val="BodyText"/>
        <w:spacing w:line="480" w:lineRule="auto"/>
      </w:pPr>
      <w:r>
        <w:t>Version 2 updated July 2015 http://www.liv.ac.uk/psychology-healthandsociety/research/connect/. 2015;(July).</w:t>
      </w:r>
    </w:p>
    <w:p w14:paraId="11602559" w14:textId="483AA947" w:rsidR="00853434" w:rsidRDefault="00853434" w:rsidP="00853434">
      <w:pPr>
        <w:pStyle w:val="BodyText"/>
        <w:spacing w:line="480" w:lineRule="auto"/>
      </w:pPr>
      <w:r>
        <w:lastRenderedPageBreak/>
        <w:t>15. Lyttle MD, O’Sullivan R, Hartshorn S, Bevan C, Cleugh F, Maconochie I, et al. Pediatric</w:t>
      </w:r>
    </w:p>
    <w:p w14:paraId="6CE25F0D" w14:textId="1CB7C6D3" w:rsidR="00853434" w:rsidRDefault="00853434" w:rsidP="00853434">
      <w:pPr>
        <w:pStyle w:val="BodyText"/>
        <w:spacing w:line="480" w:lineRule="auto"/>
      </w:pPr>
      <w:r>
        <w:t xml:space="preserve">Emergency Research in the UK and Ireland (PERUKI): developing a collaborative for multicentre research. Arch Dis Child [Internet]. 2014 Jun 1 [cited 2017 Nov 30];99(6):602–3. </w:t>
      </w:r>
    </w:p>
    <w:p w14:paraId="43655E79" w14:textId="495F2EF6" w:rsidR="00853434" w:rsidRDefault="00853434" w:rsidP="00853434">
      <w:pPr>
        <w:pStyle w:val="BodyText"/>
        <w:spacing w:line="480" w:lineRule="auto"/>
      </w:pPr>
      <w:r>
        <w:t xml:space="preserve">Available from: </w:t>
      </w:r>
      <w:hyperlink r:id="rId20" w:history="1">
        <w:r w:rsidR="00BE5155" w:rsidRPr="001B18B8">
          <w:rPr>
            <w:rStyle w:val="Hyperlink"/>
          </w:rPr>
          <w:t>http://www.ncbi.nlm.nih.gov/pubmed/24615624</w:t>
        </w:r>
      </w:hyperlink>
    </w:p>
    <w:p w14:paraId="50AD3E2C" w14:textId="3911A38C" w:rsidR="00853434" w:rsidRDefault="00853434" w:rsidP="00853434">
      <w:pPr>
        <w:pStyle w:val="BodyText"/>
        <w:spacing w:line="480" w:lineRule="auto"/>
      </w:pPr>
      <w:r>
        <w:t>16. Waterfield T, Lyttle MD, Shields M, Fairley D, Roland D, McKenna J, et al. Parents’ and clinicians’ views on conducting paediatric diagnostic test accuracy studies without prior informed consent: qualitative insight from the Petechiae in Children study (PiC). Arch Dis Child [Internet]. 2019 Oct 1 [cited 2019 Oct 17];104(10):979–83. Available from:</w:t>
      </w:r>
    </w:p>
    <w:p w14:paraId="2136EE4F" w14:textId="1E8FC596" w:rsidR="00853434" w:rsidRDefault="00C32A19" w:rsidP="00853434">
      <w:pPr>
        <w:pStyle w:val="BodyText"/>
        <w:spacing w:line="480" w:lineRule="auto"/>
      </w:pPr>
      <w:hyperlink r:id="rId21" w:history="1">
        <w:r w:rsidR="00BE5155" w:rsidRPr="001B18B8">
          <w:rPr>
            <w:rStyle w:val="Hyperlink"/>
          </w:rPr>
          <w:t>http://www.ncbi.nlm.nih.gov/pubmed/31175126</w:t>
        </w:r>
      </w:hyperlink>
    </w:p>
    <w:p w14:paraId="48F451BD" w14:textId="0D384AAD" w:rsidR="00FF61E0" w:rsidRPr="00FF61E0" w:rsidRDefault="00853434" w:rsidP="00853434">
      <w:pPr>
        <w:pStyle w:val="BodyText"/>
        <w:spacing w:line="480" w:lineRule="auto"/>
        <w:rPr>
          <w:color w:val="0000FF"/>
          <w:u w:val="single"/>
        </w:rPr>
      </w:pPr>
      <w:r>
        <w:t xml:space="preserve">17. Harris PA, Taylor R, Thielke R, Payne J, Gonzalez N, Conde JG. Research electronic data capture (REDCap)—A metadata-driven methodology and workflow process for providing translational research informatics support. J Biomed Inform [Internet]. 2009 Apr [cited 2019 Oct 17];42(2):377–81. Available from: </w:t>
      </w:r>
      <w:hyperlink r:id="rId22" w:history="1">
        <w:r w:rsidR="00BE5155" w:rsidRPr="001B18B8">
          <w:rPr>
            <w:rStyle w:val="Hyperlink"/>
          </w:rPr>
          <w:t>http://www.ncbi.nlm.nih.gov/pubmed/18929686</w:t>
        </w:r>
      </w:hyperlink>
    </w:p>
    <w:p w14:paraId="79BEB35E" w14:textId="7FEBB809" w:rsidR="00FF61E0" w:rsidRDefault="00FF61E0" w:rsidP="00FF61E0">
      <w:pPr>
        <w:pStyle w:val="BodyText"/>
        <w:spacing w:line="480" w:lineRule="auto"/>
      </w:pPr>
      <w:r>
        <w:t xml:space="preserve">18. </w:t>
      </w:r>
      <w:r w:rsidR="00205D0E">
        <w:t xml:space="preserve">Samuels M, Wieteska S. </w:t>
      </w:r>
      <w:r>
        <w:t>Advanced Paediatric Life Support: A Practical Approach to Emergencies, Sixth Edition</w:t>
      </w:r>
      <w:r w:rsidR="00205D0E">
        <w:t>. John Wiley &amp; Sons, Ltd. 2016 Feb.</w:t>
      </w:r>
    </w:p>
    <w:p w14:paraId="68E0583C" w14:textId="4BF6DEB2" w:rsidR="00853434" w:rsidRDefault="00FF61E0" w:rsidP="00853434">
      <w:pPr>
        <w:pStyle w:val="BodyText"/>
        <w:spacing w:line="480" w:lineRule="auto"/>
      </w:pPr>
      <w:r>
        <w:t>19</w:t>
      </w:r>
      <w:r w:rsidR="00853434">
        <w:t>. Approved Costing Guidance Department of Health. (2018) NHS Reference Costs 2017–18. Department of Health: London, UK.</w:t>
      </w:r>
    </w:p>
    <w:p w14:paraId="07B56A50" w14:textId="2A2F3E38" w:rsidR="00782544" w:rsidRDefault="00880D53" w:rsidP="00782544">
      <w:pPr>
        <w:pStyle w:val="BodyText"/>
        <w:spacing w:line="480" w:lineRule="auto"/>
      </w:pPr>
      <w:r>
        <w:t>20</w:t>
      </w:r>
      <w:r w:rsidR="00782544">
        <w:t xml:space="preserve">. NHS Resolution. (2018) </w:t>
      </w:r>
      <w:r w:rsidR="00782544" w:rsidRPr="002C0454">
        <w:t>Freedom of Information Request 3539</w:t>
      </w:r>
      <w:r w:rsidR="00782544">
        <w:t>. NHS Resolution: London, UK</w:t>
      </w:r>
      <w:r w:rsidR="00C82688">
        <w:t>.</w:t>
      </w:r>
    </w:p>
    <w:p w14:paraId="4A039D46" w14:textId="77777777" w:rsidR="00782544" w:rsidRDefault="00782544" w:rsidP="00877612">
      <w:pPr>
        <w:pStyle w:val="BodyText"/>
        <w:spacing w:line="480" w:lineRule="auto"/>
      </w:pPr>
    </w:p>
    <w:p w14:paraId="53E3A29A" w14:textId="77777777" w:rsidR="00877612" w:rsidRDefault="00877612" w:rsidP="00877612">
      <w:pPr>
        <w:pStyle w:val="BodyText"/>
        <w:spacing w:line="480" w:lineRule="auto"/>
      </w:pPr>
    </w:p>
    <w:p w14:paraId="082A237B" w14:textId="7E3E4FD8" w:rsidR="00E83D93" w:rsidRDefault="00E83D93" w:rsidP="0087148D">
      <w:pPr>
        <w:pStyle w:val="BodyText"/>
        <w:spacing w:line="480" w:lineRule="auto"/>
        <w:jc w:val="both"/>
      </w:pPr>
    </w:p>
    <w:p w14:paraId="378A19FD" w14:textId="7076B159" w:rsidR="00EF4514" w:rsidRDefault="00EF4514" w:rsidP="0087148D">
      <w:pPr>
        <w:pStyle w:val="BodyText"/>
        <w:spacing w:line="480" w:lineRule="auto"/>
        <w:jc w:val="both"/>
      </w:pPr>
    </w:p>
    <w:p w14:paraId="147E8C4F" w14:textId="7326C201" w:rsidR="00EF4514" w:rsidRDefault="00EF4514" w:rsidP="0087148D">
      <w:pPr>
        <w:pStyle w:val="BodyText"/>
        <w:spacing w:line="480" w:lineRule="auto"/>
        <w:jc w:val="both"/>
      </w:pPr>
    </w:p>
    <w:p w14:paraId="30ED9A46" w14:textId="77777777" w:rsidR="00EF4514" w:rsidRDefault="00EF4514" w:rsidP="0087148D">
      <w:pPr>
        <w:pStyle w:val="BodyText"/>
        <w:spacing w:line="480" w:lineRule="auto"/>
        <w:jc w:val="both"/>
        <w:rPr>
          <w:sz w:val="24"/>
          <w:szCs w:val="24"/>
        </w:rPr>
      </w:pPr>
    </w:p>
    <w:p w14:paraId="0DB50BF4" w14:textId="64233AA0" w:rsidR="00932E39" w:rsidRDefault="00932E39" w:rsidP="00CA5388">
      <w:pPr>
        <w:widowControl w:val="0"/>
        <w:autoSpaceDE w:val="0"/>
        <w:autoSpaceDN w:val="0"/>
        <w:adjustRightInd w:val="0"/>
        <w:rPr>
          <w:rFonts w:ascii="Arial" w:eastAsia="Arial" w:hAnsi="Arial" w:cs="Arial"/>
          <w:lang w:val="en-US" w:eastAsia="en-US"/>
        </w:rPr>
      </w:pPr>
    </w:p>
    <w:p w14:paraId="368D0031" w14:textId="77777777" w:rsidR="00671D80" w:rsidRDefault="00671D80" w:rsidP="00CA5388">
      <w:pPr>
        <w:widowControl w:val="0"/>
        <w:autoSpaceDE w:val="0"/>
        <w:autoSpaceDN w:val="0"/>
        <w:adjustRightInd w:val="0"/>
        <w:rPr>
          <w:rFonts w:ascii="Arial" w:hAnsi="Arial" w:cs="Arial"/>
          <w:b/>
          <w:bCs/>
          <w:color w:val="333333"/>
          <w:sz w:val="22"/>
          <w:szCs w:val="22"/>
          <w:shd w:val="clear" w:color="auto" w:fill="FFFFFF"/>
        </w:rPr>
      </w:pPr>
    </w:p>
    <w:p w14:paraId="5F5E6AA3" w14:textId="4081E6A7" w:rsidR="00E83D93" w:rsidRDefault="00E83D93" w:rsidP="00CA5388">
      <w:pPr>
        <w:widowControl w:val="0"/>
        <w:autoSpaceDE w:val="0"/>
        <w:autoSpaceDN w:val="0"/>
        <w:adjustRightInd w:val="0"/>
        <w:rPr>
          <w:rFonts w:ascii="Arial" w:hAnsi="Arial" w:cs="Arial"/>
          <w:b/>
          <w:bCs/>
          <w:color w:val="333333"/>
          <w:sz w:val="22"/>
          <w:szCs w:val="22"/>
          <w:shd w:val="clear" w:color="auto" w:fill="FFFFFF"/>
        </w:rPr>
      </w:pPr>
    </w:p>
    <w:p w14:paraId="48FC443A" w14:textId="6B343988" w:rsidR="0065168A" w:rsidRPr="004F22C6" w:rsidRDefault="00475275" w:rsidP="0065168A">
      <w:pPr>
        <w:pStyle w:val="BodyText"/>
        <w:jc w:val="both"/>
        <w:rPr>
          <w:i/>
          <w:iCs/>
        </w:rPr>
      </w:pPr>
      <w:r>
        <w:rPr>
          <w:color w:val="333333"/>
          <w:sz w:val="20"/>
          <w:szCs w:val="20"/>
          <w:shd w:val="clear" w:color="auto" w:fill="FFFFFF"/>
        </w:rPr>
        <w:t>Table 1</w:t>
      </w:r>
      <w:r w:rsidR="00C63749">
        <w:rPr>
          <w:color w:val="333333"/>
          <w:sz w:val="20"/>
          <w:szCs w:val="20"/>
          <w:shd w:val="clear" w:color="auto" w:fill="FFFFFF"/>
        </w:rPr>
        <w:t xml:space="preserve">: </w:t>
      </w:r>
      <w:r w:rsidR="0065168A" w:rsidRPr="0065168A">
        <w:rPr>
          <w:iCs/>
          <w:sz w:val="20"/>
          <w:szCs w:val="20"/>
        </w:rPr>
        <w:t>Univariate analysis of predictors (Chi-squared for categorical variables, Mann-Whitney U for continuous variables). Number and (%) with feature shown for categorical variables and median for continuous variables*.</w:t>
      </w:r>
    </w:p>
    <w:p w14:paraId="712A3C19" w14:textId="2B5DCFDE" w:rsidR="00162BF4" w:rsidRPr="002F7471" w:rsidRDefault="00162BF4" w:rsidP="002E2BF0">
      <w:pPr>
        <w:widowControl w:val="0"/>
        <w:autoSpaceDE w:val="0"/>
        <w:autoSpaceDN w:val="0"/>
        <w:adjustRightInd w:val="0"/>
        <w:rPr>
          <w:rFonts w:ascii="Arial" w:hAnsi="Arial" w:cs="Arial"/>
          <w:color w:val="333333"/>
          <w:sz w:val="20"/>
          <w:szCs w:val="20"/>
          <w:shd w:val="clear" w:color="auto" w:fill="FFFFFF"/>
        </w:rPr>
      </w:pPr>
    </w:p>
    <w:tbl>
      <w:tblPr>
        <w:tblStyle w:val="PlainTable51"/>
        <w:tblW w:w="10060" w:type="dxa"/>
        <w:tblLook w:val="04A0" w:firstRow="1" w:lastRow="0" w:firstColumn="1" w:lastColumn="0" w:noHBand="0" w:noVBand="1"/>
      </w:tblPr>
      <w:tblGrid>
        <w:gridCol w:w="3686"/>
        <w:gridCol w:w="1701"/>
        <w:gridCol w:w="1701"/>
        <w:gridCol w:w="1701"/>
        <w:gridCol w:w="1271"/>
      </w:tblGrid>
      <w:tr w:rsidR="00162BF4" w14:paraId="77BFDF0A" w14:textId="77777777" w:rsidTr="002E26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6" w:type="dxa"/>
          </w:tcPr>
          <w:p w14:paraId="14557B09" w14:textId="77777777" w:rsidR="00162BF4" w:rsidRPr="00DC4F91" w:rsidRDefault="00162BF4" w:rsidP="0065168A">
            <w:pPr>
              <w:pStyle w:val="BodyText"/>
              <w:spacing w:line="480" w:lineRule="auto"/>
              <w:jc w:val="center"/>
              <w:rPr>
                <w:b/>
                <w:bCs/>
                <w:sz w:val="16"/>
                <w:szCs w:val="16"/>
              </w:rPr>
            </w:pPr>
            <w:r w:rsidRPr="00DC4F91">
              <w:rPr>
                <w:b/>
                <w:bCs/>
                <w:sz w:val="16"/>
                <w:szCs w:val="16"/>
              </w:rPr>
              <w:t>Predictor</w:t>
            </w:r>
          </w:p>
        </w:tc>
        <w:tc>
          <w:tcPr>
            <w:tcW w:w="1701" w:type="dxa"/>
          </w:tcPr>
          <w:p w14:paraId="2E5DC410" w14:textId="77777777" w:rsidR="00162BF4" w:rsidRPr="00DC4F91" w:rsidRDefault="00162BF4" w:rsidP="0065168A">
            <w:pPr>
              <w:pStyle w:val="BodyText"/>
              <w:spacing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DC4F91">
              <w:rPr>
                <w:b/>
                <w:bCs/>
                <w:sz w:val="16"/>
                <w:szCs w:val="16"/>
              </w:rPr>
              <w:t>Complete Data N(%)</w:t>
            </w:r>
          </w:p>
        </w:tc>
        <w:tc>
          <w:tcPr>
            <w:tcW w:w="1701" w:type="dxa"/>
          </w:tcPr>
          <w:p w14:paraId="5E3771B4" w14:textId="77777777" w:rsidR="00162BF4" w:rsidRDefault="00162BF4" w:rsidP="0065168A">
            <w:pPr>
              <w:pStyle w:val="BodyText"/>
              <w:spacing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Pr>
                <w:b/>
                <w:bCs/>
                <w:sz w:val="16"/>
                <w:szCs w:val="16"/>
              </w:rPr>
              <w:t>Without MD</w:t>
            </w:r>
          </w:p>
          <w:p w14:paraId="1011E2B5" w14:textId="77777777" w:rsidR="00162BF4" w:rsidRPr="00DC4F91" w:rsidRDefault="00162BF4" w:rsidP="0065168A">
            <w:pPr>
              <w:pStyle w:val="BodyText"/>
              <w:spacing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Pr>
                <w:b/>
                <w:bCs/>
                <w:sz w:val="16"/>
                <w:szCs w:val="16"/>
              </w:rPr>
              <w:t>N(%)</w:t>
            </w:r>
          </w:p>
        </w:tc>
        <w:tc>
          <w:tcPr>
            <w:tcW w:w="1701" w:type="dxa"/>
          </w:tcPr>
          <w:p w14:paraId="1932E4D7" w14:textId="77777777" w:rsidR="00162BF4" w:rsidRDefault="00162BF4" w:rsidP="0065168A">
            <w:pPr>
              <w:pStyle w:val="BodyText"/>
              <w:spacing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Pr>
                <w:b/>
                <w:bCs/>
                <w:sz w:val="16"/>
                <w:szCs w:val="16"/>
              </w:rPr>
              <w:t>With MD</w:t>
            </w:r>
          </w:p>
          <w:p w14:paraId="5081D097" w14:textId="77777777" w:rsidR="00162BF4" w:rsidRPr="00DC4F91" w:rsidRDefault="00162BF4" w:rsidP="0065168A">
            <w:pPr>
              <w:pStyle w:val="BodyText"/>
              <w:spacing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Pr>
                <w:b/>
                <w:bCs/>
                <w:sz w:val="16"/>
                <w:szCs w:val="16"/>
              </w:rPr>
              <w:t xml:space="preserve">N(%) </w:t>
            </w:r>
          </w:p>
        </w:tc>
        <w:tc>
          <w:tcPr>
            <w:tcW w:w="1271" w:type="dxa"/>
          </w:tcPr>
          <w:p w14:paraId="1F2C0B72" w14:textId="77777777" w:rsidR="00162BF4" w:rsidRPr="00DC4F91" w:rsidRDefault="00162BF4" w:rsidP="0065168A">
            <w:pPr>
              <w:pStyle w:val="BodyText"/>
              <w:spacing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DC4F91">
              <w:rPr>
                <w:b/>
                <w:bCs/>
                <w:sz w:val="16"/>
                <w:szCs w:val="16"/>
              </w:rPr>
              <w:t>P Value</w:t>
            </w:r>
          </w:p>
        </w:tc>
      </w:tr>
      <w:tr w:rsidR="00162BF4" w14:paraId="501A747A"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6DC7F8B" w14:textId="31240D8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Age</w:t>
            </w:r>
            <w:r w:rsidR="005A01A2">
              <w:rPr>
                <w:b/>
                <w:bCs/>
                <w:color w:val="000000" w:themeColor="text1"/>
                <w:sz w:val="16"/>
                <w:szCs w:val="16"/>
              </w:rPr>
              <w:t xml:space="preserve"> in month</w:t>
            </w:r>
            <w:r>
              <w:rPr>
                <w:b/>
                <w:bCs/>
                <w:color w:val="000000" w:themeColor="text1"/>
                <w:sz w:val="16"/>
                <w:szCs w:val="16"/>
              </w:rPr>
              <w:t xml:space="preserve"> (median</w:t>
            </w:r>
            <w:r w:rsidR="002E26DF">
              <w:rPr>
                <w:b/>
                <w:bCs/>
                <w:color w:val="000000" w:themeColor="text1"/>
                <w:sz w:val="16"/>
                <w:szCs w:val="16"/>
              </w:rPr>
              <w:t xml:space="preserve"> and IQR</w:t>
            </w:r>
            <w:r>
              <w:rPr>
                <w:b/>
                <w:bCs/>
                <w:color w:val="000000" w:themeColor="text1"/>
                <w:sz w:val="16"/>
                <w:szCs w:val="16"/>
              </w:rPr>
              <w:t>)*</w:t>
            </w:r>
          </w:p>
        </w:tc>
        <w:tc>
          <w:tcPr>
            <w:tcW w:w="1701" w:type="dxa"/>
          </w:tcPr>
          <w:p w14:paraId="2415A32E"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6D21F194" w14:textId="2077431A" w:rsidR="00162BF4" w:rsidRPr="0079659E" w:rsidRDefault="005A01A2"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Pr>
                <w:b/>
                <w:bCs/>
                <w:color w:val="000000" w:themeColor="text1"/>
                <w:sz w:val="16"/>
                <w:szCs w:val="16"/>
              </w:rPr>
              <w:t>24(12 to 48)</w:t>
            </w:r>
          </w:p>
        </w:tc>
        <w:tc>
          <w:tcPr>
            <w:tcW w:w="1701" w:type="dxa"/>
          </w:tcPr>
          <w:p w14:paraId="4A3D9AC0" w14:textId="35926AD1" w:rsidR="00162BF4" w:rsidRPr="0079659E" w:rsidRDefault="005A01A2"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Pr>
                <w:b/>
                <w:bCs/>
                <w:color w:val="000000" w:themeColor="text1"/>
                <w:sz w:val="16"/>
                <w:szCs w:val="16"/>
              </w:rPr>
              <w:t>37(9 to 58)</w:t>
            </w:r>
          </w:p>
        </w:tc>
        <w:tc>
          <w:tcPr>
            <w:tcW w:w="1271" w:type="dxa"/>
          </w:tcPr>
          <w:p w14:paraId="38668574" w14:textId="77777777" w:rsidR="00162BF4" w:rsidRPr="009B4C69"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CE4C6B">
              <w:rPr>
                <w:b/>
                <w:bCs/>
                <w:color w:val="FF0000"/>
                <w:sz w:val="16"/>
                <w:szCs w:val="16"/>
              </w:rPr>
              <w:t>0.090</w:t>
            </w:r>
          </w:p>
        </w:tc>
      </w:tr>
      <w:tr w:rsidR="00162BF4" w14:paraId="1BDC4A41"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21F35526"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Male Gender</w:t>
            </w:r>
          </w:p>
        </w:tc>
        <w:tc>
          <w:tcPr>
            <w:tcW w:w="1701" w:type="dxa"/>
          </w:tcPr>
          <w:p w14:paraId="0F164AB4"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653CA232" w14:textId="300E5B24" w:rsidR="00162BF4" w:rsidRPr="0079659E" w:rsidRDefault="001242B1"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Pr>
                <w:b/>
                <w:bCs/>
                <w:color w:val="000000" w:themeColor="text1"/>
                <w:sz w:val="16"/>
                <w:szCs w:val="16"/>
              </w:rPr>
              <w:t>765</w:t>
            </w:r>
            <w:r w:rsidR="002A4FD1">
              <w:rPr>
                <w:b/>
                <w:bCs/>
                <w:color w:val="000000" w:themeColor="text1"/>
                <w:sz w:val="16"/>
                <w:szCs w:val="16"/>
              </w:rPr>
              <w:t>(58</w:t>
            </w:r>
            <w:r w:rsidR="00162BF4" w:rsidRPr="0079659E">
              <w:rPr>
                <w:b/>
                <w:bCs/>
                <w:color w:val="000000" w:themeColor="text1"/>
                <w:sz w:val="16"/>
                <w:szCs w:val="16"/>
              </w:rPr>
              <w:t>)</w:t>
            </w:r>
          </w:p>
        </w:tc>
        <w:tc>
          <w:tcPr>
            <w:tcW w:w="1701" w:type="dxa"/>
          </w:tcPr>
          <w:p w14:paraId="62274AF4"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16(84)</w:t>
            </w:r>
          </w:p>
        </w:tc>
        <w:tc>
          <w:tcPr>
            <w:tcW w:w="1271" w:type="dxa"/>
          </w:tcPr>
          <w:p w14:paraId="187356F9" w14:textId="77777777" w:rsidR="00162BF4" w:rsidRPr="009B4C69"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CE4C6B">
              <w:rPr>
                <w:b/>
                <w:bCs/>
                <w:color w:val="FF0000"/>
                <w:sz w:val="16"/>
                <w:szCs w:val="16"/>
              </w:rPr>
              <w:t>0.180</w:t>
            </w:r>
          </w:p>
        </w:tc>
      </w:tr>
      <w:tr w:rsidR="00162BF4" w14:paraId="5B5B4391"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6D195123"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Vaccines up to date for age</w:t>
            </w:r>
          </w:p>
        </w:tc>
        <w:tc>
          <w:tcPr>
            <w:tcW w:w="1701" w:type="dxa"/>
          </w:tcPr>
          <w:p w14:paraId="7F4AAE63"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1289(97)</w:t>
            </w:r>
          </w:p>
        </w:tc>
        <w:tc>
          <w:tcPr>
            <w:tcW w:w="1701" w:type="dxa"/>
          </w:tcPr>
          <w:p w14:paraId="6F1103C6" w14:textId="33C40AFF" w:rsidR="00162BF4" w:rsidRPr="0079659E" w:rsidRDefault="00E51468"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Pr>
                <w:b/>
                <w:bCs/>
                <w:color w:val="000000" w:themeColor="text1"/>
                <w:sz w:val="16"/>
                <w:szCs w:val="16"/>
              </w:rPr>
              <w:t>1220(96</w:t>
            </w:r>
            <w:r w:rsidR="00162BF4" w:rsidRPr="0079659E">
              <w:rPr>
                <w:b/>
                <w:bCs/>
                <w:color w:val="000000" w:themeColor="text1"/>
                <w:sz w:val="16"/>
                <w:szCs w:val="16"/>
              </w:rPr>
              <w:t>)</w:t>
            </w:r>
          </w:p>
        </w:tc>
        <w:tc>
          <w:tcPr>
            <w:tcW w:w="1701" w:type="dxa"/>
          </w:tcPr>
          <w:p w14:paraId="7ACAADD9"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19(100)</w:t>
            </w:r>
          </w:p>
        </w:tc>
        <w:tc>
          <w:tcPr>
            <w:tcW w:w="1271" w:type="dxa"/>
          </w:tcPr>
          <w:p w14:paraId="4C7C65D4" w14:textId="77777777" w:rsidR="00162BF4" w:rsidRPr="009B4C69"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sz w:val="16"/>
                <w:szCs w:val="16"/>
              </w:rPr>
            </w:pPr>
            <w:r>
              <w:rPr>
                <w:b/>
                <w:bCs/>
                <w:sz w:val="16"/>
                <w:szCs w:val="16"/>
              </w:rPr>
              <w:t>0.378</w:t>
            </w:r>
          </w:p>
        </w:tc>
      </w:tr>
      <w:tr w:rsidR="00162BF4" w14:paraId="701E8B2B"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573BEB70"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Received meningococcal B vaccine</w:t>
            </w:r>
          </w:p>
        </w:tc>
        <w:tc>
          <w:tcPr>
            <w:tcW w:w="1701" w:type="dxa"/>
          </w:tcPr>
          <w:p w14:paraId="30C418C1"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1289(97)</w:t>
            </w:r>
          </w:p>
        </w:tc>
        <w:tc>
          <w:tcPr>
            <w:tcW w:w="1701" w:type="dxa"/>
          </w:tcPr>
          <w:p w14:paraId="6DF6819F" w14:textId="76A82C1E" w:rsidR="00162BF4" w:rsidRPr="0079659E" w:rsidRDefault="00E51468"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Pr>
                <w:b/>
                <w:bCs/>
                <w:color w:val="000000" w:themeColor="text1"/>
                <w:sz w:val="16"/>
                <w:szCs w:val="16"/>
              </w:rPr>
              <w:t>926(73</w:t>
            </w:r>
            <w:r w:rsidR="00162BF4" w:rsidRPr="0079659E">
              <w:rPr>
                <w:b/>
                <w:bCs/>
                <w:color w:val="000000" w:themeColor="text1"/>
                <w:sz w:val="16"/>
                <w:szCs w:val="16"/>
              </w:rPr>
              <w:t>)</w:t>
            </w:r>
          </w:p>
        </w:tc>
        <w:tc>
          <w:tcPr>
            <w:tcW w:w="1701" w:type="dxa"/>
          </w:tcPr>
          <w:p w14:paraId="24D7A4FA"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12(63)</w:t>
            </w:r>
          </w:p>
        </w:tc>
        <w:tc>
          <w:tcPr>
            <w:tcW w:w="1271" w:type="dxa"/>
          </w:tcPr>
          <w:p w14:paraId="7FE0DA2A" w14:textId="77777777" w:rsidR="00162BF4" w:rsidRPr="009B4C69"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0.397</w:t>
            </w:r>
          </w:p>
        </w:tc>
      </w:tr>
      <w:tr w:rsidR="00162BF4" w14:paraId="2E4DEDB8"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ECDF205"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Received meningococcal C vaccine</w:t>
            </w:r>
          </w:p>
        </w:tc>
        <w:tc>
          <w:tcPr>
            <w:tcW w:w="1701" w:type="dxa"/>
          </w:tcPr>
          <w:p w14:paraId="1DCA9E55"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1289(97)</w:t>
            </w:r>
          </w:p>
        </w:tc>
        <w:tc>
          <w:tcPr>
            <w:tcW w:w="1701" w:type="dxa"/>
          </w:tcPr>
          <w:p w14:paraId="0128E7AB" w14:textId="565E8094" w:rsidR="00162BF4" w:rsidRPr="0079659E" w:rsidRDefault="00E51468"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Pr>
                <w:b/>
                <w:bCs/>
                <w:color w:val="000000" w:themeColor="text1"/>
                <w:sz w:val="16"/>
                <w:szCs w:val="16"/>
              </w:rPr>
              <w:t>973(77</w:t>
            </w:r>
            <w:r w:rsidR="00162BF4" w:rsidRPr="0079659E">
              <w:rPr>
                <w:b/>
                <w:bCs/>
                <w:color w:val="000000" w:themeColor="text1"/>
                <w:sz w:val="16"/>
                <w:szCs w:val="16"/>
              </w:rPr>
              <w:t>)</w:t>
            </w:r>
          </w:p>
        </w:tc>
        <w:tc>
          <w:tcPr>
            <w:tcW w:w="1701" w:type="dxa"/>
          </w:tcPr>
          <w:p w14:paraId="194C34DC" w14:textId="679FFA3C" w:rsidR="00162BF4" w:rsidRPr="0079659E" w:rsidRDefault="0065168A"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Pr>
                <w:b/>
                <w:bCs/>
                <w:color w:val="000000" w:themeColor="text1"/>
                <w:sz w:val="16"/>
                <w:szCs w:val="16"/>
              </w:rPr>
              <w:t>14(74</w:t>
            </w:r>
            <w:r w:rsidR="00162BF4" w:rsidRPr="0079659E">
              <w:rPr>
                <w:b/>
                <w:bCs/>
                <w:color w:val="000000" w:themeColor="text1"/>
                <w:sz w:val="16"/>
                <w:szCs w:val="16"/>
              </w:rPr>
              <w:t>)</w:t>
            </w:r>
          </w:p>
        </w:tc>
        <w:tc>
          <w:tcPr>
            <w:tcW w:w="1271" w:type="dxa"/>
          </w:tcPr>
          <w:p w14:paraId="1B949612" w14:textId="77777777" w:rsidR="00162BF4" w:rsidRPr="009B4C69"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sz w:val="16"/>
                <w:szCs w:val="16"/>
              </w:rPr>
            </w:pPr>
            <w:r>
              <w:rPr>
                <w:b/>
                <w:bCs/>
                <w:sz w:val="16"/>
                <w:szCs w:val="16"/>
              </w:rPr>
              <w:t>0.854</w:t>
            </w:r>
          </w:p>
        </w:tc>
      </w:tr>
      <w:tr w:rsidR="00162BF4" w14:paraId="28B738F2"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7EA57E60" w14:textId="77777777" w:rsidR="00162BF4" w:rsidRPr="0079659E" w:rsidRDefault="00162BF4" w:rsidP="0065168A">
            <w:pPr>
              <w:pStyle w:val="BodyText"/>
              <w:spacing w:line="480" w:lineRule="auto"/>
              <w:rPr>
                <w:b/>
                <w:bCs/>
                <w:color w:val="000000" w:themeColor="text1"/>
                <w:sz w:val="16"/>
                <w:szCs w:val="16"/>
              </w:rPr>
            </w:pPr>
            <w:r>
              <w:rPr>
                <w:b/>
                <w:bCs/>
                <w:color w:val="000000" w:themeColor="text1"/>
                <w:sz w:val="16"/>
                <w:szCs w:val="16"/>
              </w:rPr>
              <w:t>Duration of illness (Under 24 hours)</w:t>
            </w:r>
          </w:p>
        </w:tc>
        <w:tc>
          <w:tcPr>
            <w:tcW w:w="1701" w:type="dxa"/>
          </w:tcPr>
          <w:p w14:paraId="2DEE18DB" w14:textId="1BBE1B01"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Pr>
                <w:b/>
                <w:bCs/>
                <w:color w:val="000000" w:themeColor="text1"/>
                <w:sz w:val="16"/>
                <w:szCs w:val="16"/>
              </w:rPr>
              <w:t>1320</w:t>
            </w:r>
            <w:r w:rsidR="006552B7">
              <w:rPr>
                <w:b/>
                <w:bCs/>
                <w:color w:val="000000" w:themeColor="text1"/>
                <w:sz w:val="16"/>
                <w:szCs w:val="16"/>
              </w:rPr>
              <w:t xml:space="preserve"> (99)</w:t>
            </w:r>
          </w:p>
        </w:tc>
        <w:tc>
          <w:tcPr>
            <w:tcW w:w="1701" w:type="dxa"/>
          </w:tcPr>
          <w:p w14:paraId="223C620D" w14:textId="5FC669CE" w:rsidR="00162BF4" w:rsidRPr="0079659E" w:rsidRDefault="002A4FD1"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Pr>
                <w:b/>
                <w:bCs/>
                <w:color w:val="000000" w:themeColor="text1"/>
                <w:sz w:val="16"/>
                <w:szCs w:val="16"/>
              </w:rPr>
              <w:t>430</w:t>
            </w:r>
            <w:r w:rsidR="00162BF4">
              <w:rPr>
                <w:b/>
                <w:bCs/>
                <w:color w:val="000000" w:themeColor="text1"/>
                <w:sz w:val="16"/>
                <w:szCs w:val="16"/>
              </w:rPr>
              <w:t>(33)</w:t>
            </w:r>
          </w:p>
        </w:tc>
        <w:tc>
          <w:tcPr>
            <w:tcW w:w="1701" w:type="dxa"/>
          </w:tcPr>
          <w:p w14:paraId="018A540F"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Pr>
                <w:b/>
                <w:bCs/>
                <w:color w:val="000000" w:themeColor="text1"/>
                <w:sz w:val="16"/>
                <w:szCs w:val="16"/>
              </w:rPr>
              <w:t>10(53)</w:t>
            </w:r>
          </w:p>
        </w:tc>
        <w:tc>
          <w:tcPr>
            <w:tcW w:w="1271" w:type="dxa"/>
          </w:tcPr>
          <w:p w14:paraId="32C773EE" w14:textId="77777777" w:rsidR="00162BF4" w:rsidRPr="00255D54"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FF0000"/>
                <w:sz w:val="16"/>
                <w:szCs w:val="16"/>
              </w:rPr>
            </w:pPr>
            <w:r w:rsidRPr="00CE4C6B">
              <w:rPr>
                <w:b/>
                <w:bCs/>
                <w:color w:val="FF0000"/>
                <w:sz w:val="16"/>
                <w:szCs w:val="16"/>
              </w:rPr>
              <w:t>0.076</w:t>
            </w:r>
          </w:p>
        </w:tc>
      </w:tr>
      <w:tr w:rsidR="00162BF4" w14:paraId="63871FBF"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81065D5" w14:textId="77777777" w:rsidR="00162BF4" w:rsidRDefault="00162BF4" w:rsidP="0065168A">
            <w:pPr>
              <w:pStyle w:val="BodyText"/>
              <w:spacing w:line="480" w:lineRule="auto"/>
              <w:rPr>
                <w:b/>
                <w:bCs/>
                <w:color w:val="000000" w:themeColor="text1"/>
                <w:sz w:val="16"/>
                <w:szCs w:val="16"/>
              </w:rPr>
            </w:pPr>
            <w:r>
              <w:rPr>
                <w:b/>
                <w:bCs/>
                <w:color w:val="000000" w:themeColor="text1"/>
                <w:sz w:val="16"/>
                <w:szCs w:val="16"/>
              </w:rPr>
              <w:t>Duration of rash (Under 4 hours)</w:t>
            </w:r>
          </w:p>
        </w:tc>
        <w:tc>
          <w:tcPr>
            <w:tcW w:w="1701" w:type="dxa"/>
          </w:tcPr>
          <w:p w14:paraId="481F6A44" w14:textId="42167A91" w:rsidR="00162BF4"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Pr>
                <w:b/>
                <w:bCs/>
                <w:color w:val="000000" w:themeColor="text1"/>
                <w:sz w:val="16"/>
                <w:szCs w:val="16"/>
              </w:rPr>
              <w:t>1240</w:t>
            </w:r>
            <w:r w:rsidR="006552B7">
              <w:rPr>
                <w:b/>
                <w:bCs/>
                <w:color w:val="000000" w:themeColor="text1"/>
                <w:sz w:val="16"/>
                <w:szCs w:val="16"/>
              </w:rPr>
              <w:t>(93)</w:t>
            </w:r>
          </w:p>
        </w:tc>
        <w:tc>
          <w:tcPr>
            <w:tcW w:w="1701" w:type="dxa"/>
          </w:tcPr>
          <w:p w14:paraId="783C98A4" w14:textId="77777777" w:rsidR="00162BF4"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Pr>
                <w:b/>
                <w:bCs/>
                <w:color w:val="000000" w:themeColor="text1"/>
                <w:sz w:val="16"/>
                <w:szCs w:val="16"/>
              </w:rPr>
              <w:t>753(62)</w:t>
            </w:r>
          </w:p>
        </w:tc>
        <w:tc>
          <w:tcPr>
            <w:tcW w:w="1701" w:type="dxa"/>
          </w:tcPr>
          <w:p w14:paraId="47B8BD52" w14:textId="77777777" w:rsidR="00162BF4"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Pr>
                <w:b/>
                <w:bCs/>
                <w:color w:val="000000" w:themeColor="text1"/>
                <w:sz w:val="16"/>
                <w:szCs w:val="16"/>
              </w:rPr>
              <w:t>12(63)</w:t>
            </w:r>
          </w:p>
        </w:tc>
        <w:tc>
          <w:tcPr>
            <w:tcW w:w="1271" w:type="dxa"/>
          </w:tcPr>
          <w:p w14:paraId="1543C271" w14:textId="77777777" w:rsidR="00162BF4" w:rsidRPr="00255D54"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FF0000"/>
                <w:sz w:val="16"/>
                <w:szCs w:val="16"/>
              </w:rPr>
            </w:pPr>
            <w:r w:rsidRPr="00A81DCD">
              <w:rPr>
                <w:b/>
                <w:bCs/>
                <w:color w:val="000000" w:themeColor="text1"/>
                <w:sz w:val="16"/>
                <w:szCs w:val="16"/>
              </w:rPr>
              <w:t>0.895</w:t>
            </w:r>
          </w:p>
        </w:tc>
      </w:tr>
      <w:tr w:rsidR="00162BF4" w14:paraId="3DD1C812"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51D9D327" w14:textId="4FF4409C" w:rsidR="00162BF4" w:rsidRDefault="00162BF4" w:rsidP="0065168A">
            <w:pPr>
              <w:pStyle w:val="BodyText"/>
              <w:spacing w:line="480" w:lineRule="auto"/>
              <w:rPr>
                <w:b/>
                <w:bCs/>
                <w:color w:val="000000" w:themeColor="text1"/>
                <w:sz w:val="16"/>
                <w:szCs w:val="16"/>
              </w:rPr>
            </w:pPr>
            <w:r>
              <w:rPr>
                <w:b/>
                <w:bCs/>
                <w:color w:val="000000" w:themeColor="text1"/>
                <w:sz w:val="16"/>
                <w:szCs w:val="16"/>
              </w:rPr>
              <w:t xml:space="preserve">Highest temperature </w:t>
            </w:r>
            <w:r w:rsidRPr="004F22C6">
              <w:rPr>
                <w:b/>
                <w:bCs/>
                <w:color w:val="000000" w:themeColor="text1"/>
                <w:sz w:val="16"/>
                <w:szCs w:val="16"/>
                <w:vertAlign w:val="superscript"/>
              </w:rPr>
              <w:t>o</w:t>
            </w:r>
            <w:r>
              <w:rPr>
                <w:b/>
                <w:bCs/>
                <w:color w:val="000000" w:themeColor="text1"/>
                <w:sz w:val="16"/>
                <w:szCs w:val="16"/>
              </w:rPr>
              <w:t>C (median</w:t>
            </w:r>
            <w:r w:rsidR="002E26DF">
              <w:rPr>
                <w:b/>
                <w:bCs/>
                <w:color w:val="000000" w:themeColor="text1"/>
                <w:sz w:val="16"/>
                <w:szCs w:val="16"/>
              </w:rPr>
              <w:t xml:space="preserve"> and IQR</w:t>
            </w:r>
            <w:r>
              <w:rPr>
                <w:b/>
                <w:bCs/>
                <w:color w:val="000000" w:themeColor="text1"/>
                <w:sz w:val="16"/>
                <w:szCs w:val="16"/>
              </w:rPr>
              <w:t>)*</w:t>
            </w:r>
          </w:p>
        </w:tc>
        <w:tc>
          <w:tcPr>
            <w:tcW w:w="1701" w:type="dxa"/>
          </w:tcPr>
          <w:p w14:paraId="2C86672C" w14:textId="0E386C61" w:rsidR="00162BF4"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Pr>
                <w:b/>
                <w:bCs/>
                <w:color w:val="000000" w:themeColor="text1"/>
                <w:sz w:val="16"/>
                <w:szCs w:val="16"/>
              </w:rPr>
              <w:t>1329</w:t>
            </w:r>
            <w:r w:rsidR="006552B7">
              <w:rPr>
                <w:b/>
                <w:bCs/>
                <w:color w:val="000000" w:themeColor="text1"/>
                <w:sz w:val="16"/>
                <w:szCs w:val="16"/>
              </w:rPr>
              <w:t>(100)</w:t>
            </w:r>
          </w:p>
        </w:tc>
        <w:tc>
          <w:tcPr>
            <w:tcW w:w="1701" w:type="dxa"/>
          </w:tcPr>
          <w:p w14:paraId="3B30BAF5" w14:textId="4BBBFC32" w:rsidR="00162BF4"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Pr>
                <w:b/>
                <w:bCs/>
                <w:color w:val="000000" w:themeColor="text1"/>
                <w:sz w:val="16"/>
                <w:szCs w:val="16"/>
              </w:rPr>
              <w:t>39.0</w:t>
            </w:r>
            <w:r w:rsidR="00FE55C4">
              <w:rPr>
                <w:b/>
                <w:bCs/>
                <w:color w:val="000000" w:themeColor="text1"/>
                <w:sz w:val="16"/>
                <w:szCs w:val="16"/>
              </w:rPr>
              <w:t>(38.4 to 39.6)</w:t>
            </w:r>
          </w:p>
        </w:tc>
        <w:tc>
          <w:tcPr>
            <w:tcW w:w="1701" w:type="dxa"/>
          </w:tcPr>
          <w:p w14:paraId="578116C7" w14:textId="639B163A" w:rsidR="00162BF4"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Pr>
                <w:b/>
                <w:bCs/>
                <w:color w:val="000000" w:themeColor="text1"/>
                <w:sz w:val="16"/>
                <w:szCs w:val="16"/>
              </w:rPr>
              <w:t>39.0</w:t>
            </w:r>
            <w:r w:rsidR="00FE55C4">
              <w:rPr>
                <w:b/>
                <w:bCs/>
                <w:color w:val="000000" w:themeColor="text1"/>
                <w:sz w:val="16"/>
                <w:szCs w:val="16"/>
              </w:rPr>
              <w:t>(38.4 to 39.6)</w:t>
            </w:r>
          </w:p>
        </w:tc>
        <w:tc>
          <w:tcPr>
            <w:tcW w:w="1271" w:type="dxa"/>
          </w:tcPr>
          <w:p w14:paraId="0E53BEF7" w14:textId="77777777" w:rsidR="00162BF4" w:rsidRPr="00A81DCD"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Pr>
                <w:b/>
                <w:bCs/>
                <w:color w:val="000000" w:themeColor="text1"/>
                <w:sz w:val="16"/>
                <w:szCs w:val="16"/>
              </w:rPr>
              <w:t>0.870</w:t>
            </w:r>
          </w:p>
        </w:tc>
      </w:tr>
      <w:tr w:rsidR="00162BF4" w14:paraId="33E90D55"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3F5392D"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Petechiae or purpura</w:t>
            </w:r>
          </w:p>
        </w:tc>
        <w:tc>
          <w:tcPr>
            <w:tcW w:w="1701" w:type="dxa"/>
          </w:tcPr>
          <w:p w14:paraId="619F36A2"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33FFC30A" w14:textId="77777777" w:rsidR="00162BF4" w:rsidRPr="0079659E" w:rsidRDefault="00162BF4" w:rsidP="002E26DF">
            <w:pPr>
              <w:pStyle w:val="BodyText"/>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Petechiae 1245(95)</w:t>
            </w:r>
          </w:p>
          <w:p w14:paraId="75EA1678" w14:textId="77777777" w:rsidR="00162BF4" w:rsidRPr="0079659E" w:rsidRDefault="00162BF4" w:rsidP="002E26DF">
            <w:pPr>
              <w:pStyle w:val="BodyText"/>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Purpura 65(5)</w:t>
            </w:r>
          </w:p>
        </w:tc>
        <w:tc>
          <w:tcPr>
            <w:tcW w:w="1701" w:type="dxa"/>
          </w:tcPr>
          <w:p w14:paraId="306CF082" w14:textId="77777777" w:rsidR="00162BF4" w:rsidRPr="0079659E" w:rsidRDefault="00162BF4" w:rsidP="002E26DF">
            <w:pPr>
              <w:pStyle w:val="BodyText"/>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Petechiae 6(32)</w:t>
            </w:r>
          </w:p>
          <w:p w14:paraId="5E5368E4" w14:textId="77777777" w:rsidR="00162BF4" w:rsidRPr="0079659E" w:rsidRDefault="00162BF4" w:rsidP="002E26DF">
            <w:pPr>
              <w:pStyle w:val="BodyText"/>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Purpura 13(68)</w:t>
            </w:r>
          </w:p>
        </w:tc>
        <w:tc>
          <w:tcPr>
            <w:tcW w:w="1271" w:type="dxa"/>
          </w:tcPr>
          <w:p w14:paraId="40EBDF79" w14:textId="77777777" w:rsidR="00162BF4" w:rsidRPr="009B4C69"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B4C69">
              <w:rPr>
                <w:b/>
                <w:bCs/>
                <w:color w:val="FF0000"/>
                <w:sz w:val="16"/>
                <w:szCs w:val="16"/>
              </w:rPr>
              <w:t>&lt;0.000</w:t>
            </w:r>
          </w:p>
        </w:tc>
      </w:tr>
      <w:tr w:rsidR="00162BF4" w14:paraId="6D2D97B3"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0EB150B2"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Distribution of rash (SVC/Other)</w:t>
            </w:r>
          </w:p>
        </w:tc>
        <w:tc>
          <w:tcPr>
            <w:tcW w:w="1701" w:type="dxa"/>
          </w:tcPr>
          <w:p w14:paraId="437175D6"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72C25CEB" w14:textId="77777777" w:rsidR="00162BF4" w:rsidRPr="0079659E" w:rsidRDefault="00162BF4" w:rsidP="002E26DF">
            <w:pPr>
              <w:pStyle w:val="BodyText"/>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SVC 482(37)</w:t>
            </w:r>
          </w:p>
          <w:p w14:paraId="25739CD5" w14:textId="77777777" w:rsidR="00162BF4" w:rsidRPr="0079659E" w:rsidRDefault="00162BF4" w:rsidP="002E26DF">
            <w:pPr>
              <w:pStyle w:val="BodyText"/>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Other 828(63)</w:t>
            </w:r>
          </w:p>
        </w:tc>
        <w:tc>
          <w:tcPr>
            <w:tcW w:w="1701" w:type="dxa"/>
          </w:tcPr>
          <w:p w14:paraId="5F545BC9" w14:textId="77777777" w:rsidR="00162BF4" w:rsidRPr="0079659E" w:rsidRDefault="00162BF4" w:rsidP="002E26DF">
            <w:pPr>
              <w:pStyle w:val="BodyText"/>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SVC 6(32)</w:t>
            </w:r>
          </w:p>
          <w:p w14:paraId="42522801" w14:textId="77777777" w:rsidR="00162BF4" w:rsidRPr="0079659E" w:rsidRDefault="00162BF4" w:rsidP="002E26DF">
            <w:pPr>
              <w:pStyle w:val="BodyText"/>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Other 13(68)</w:t>
            </w:r>
          </w:p>
        </w:tc>
        <w:tc>
          <w:tcPr>
            <w:tcW w:w="1271" w:type="dxa"/>
          </w:tcPr>
          <w:p w14:paraId="64D57D1C" w14:textId="77777777" w:rsidR="00162BF4" w:rsidRPr="009B4C69"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0.640</w:t>
            </w:r>
          </w:p>
        </w:tc>
      </w:tr>
      <w:tr w:rsidR="00162BF4" w14:paraId="140D446D"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0921A9E3"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Spreading rash</w:t>
            </w:r>
          </w:p>
        </w:tc>
        <w:tc>
          <w:tcPr>
            <w:tcW w:w="1701" w:type="dxa"/>
          </w:tcPr>
          <w:p w14:paraId="6B7F26AE"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07FBCA6A" w14:textId="77777777" w:rsidR="00162BF4" w:rsidRPr="0079659E" w:rsidRDefault="00162BF4" w:rsidP="002E26DF">
            <w:pPr>
              <w:pStyle w:val="BodyText"/>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308(24)</w:t>
            </w:r>
          </w:p>
        </w:tc>
        <w:tc>
          <w:tcPr>
            <w:tcW w:w="1701" w:type="dxa"/>
          </w:tcPr>
          <w:p w14:paraId="6190F8E2" w14:textId="77777777" w:rsidR="00162BF4" w:rsidRPr="0079659E" w:rsidRDefault="00162BF4" w:rsidP="002E26DF">
            <w:pPr>
              <w:pStyle w:val="BodyText"/>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12(63)</w:t>
            </w:r>
          </w:p>
        </w:tc>
        <w:tc>
          <w:tcPr>
            <w:tcW w:w="1271" w:type="dxa"/>
          </w:tcPr>
          <w:p w14:paraId="11A8CEAC" w14:textId="77777777" w:rsidR="00162BF4" w:rsidRPr="009B4C69"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B4C69">
              <w:rPr>
                <w:b/>
                <w:bCs/>
                <w:color w:val="FF0000"/>
                <w:sz w:val="16"/>
                <w:szCs w:val="16"/>
              </w:rPr>
              <w:t>&lt;0.000</w:t>
            </w:r>
          </w:p>
        </w:tc>
      </w:tr>
      <w:tr w:rsidR="00162BF4" w14:paraId="7A6A1F7B"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5C06B5F4" w14:textId="77777777" w:rsidR="00162BF4" w:rsidRPr="0079659E" w:rsidRDefault="00162BF4" w:rsidP="0065168A">
            <w:pPr>
              <w:pStyle w:val="BodyText"/>
              <w:spacing w:line="480" w:lineRule="auto"/>
              <w:rPr>
                <w:b/>
                <w:bCs/>
                <w:color w:val="000000" w:themeColor="text1"/>
                <w:sz w:val="16"/>
                <w:szCs w:val="16"/>
              </w:rPr>
            </w:pPr>
            <w:r>
              <w:rPr>
                <w:b/>
                <w:bCs/>
                <w:color w:val="000000" w:themeColor="text1"/>
                <w:sz w:val="16"/>
                <w:szCs w:val="16"/>
              </w:rPr>
              <w:t>Unwell appearance</w:t>
            </w:r>
          </w:p>
        </w:tc>
        <w:tc>
          <w:tcPr>
            <w:tcW w:w="1701" w:type="dxa"/>
          </w:tcPr>
          <w:p w14:paraId="087F3FDD"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14C1BC2F"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362(28)</w:t>
            </w:r>
          </w:p>
        </w:tc>
        <w:tc>
          <w:tcPr>
            <w:tcW w:w="1701" w:type="dxa"/>
          </w:tcPr>
          <w:p w14:paraId="675D01B5"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16(84)</w:t>
            </w:r>
          </w:p>
        </w:tc>
        <w:tc>
          <w:tcPr>
            <w:tcW w:w="1271" w:type="dxa"/>
          </w:tcPr>
          <w:p w14:paraId="76176427" w14:textId="77777777" w:rsidR="00162BF4" w:rsidRPr="009B4C69"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B4C69">
              <w:rPr>
                <w:b/>
                <w:bCs/>
                <w:color w:val="FF0000"/>
                <w:sz w:val="16"/>
                <w:szCs w:val="16"/>
              </w:rPr>
              <w:t>&lt;0.000</w:t>
            </w:r>
          </w:p>
        </w:tc>
      </w:tr>
      <w:tr w:rsidR="00162BF4" w14:paraId="42AF8D3B"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446A080" w14:textId="77777777" w:rsidR="00162BF4" w:rsidRPr="0079659E" w:rsidRDefault="00162BF4" w:rsidP="0065168A">
            <w:pPr>
              <w:pStyle w:val="BodyText"/>
              <w:spacing w:line="480" w:lineRule="auto"/>
              <w:rPr>
                <w:b/>
                <w:bCs/>
                <w:color w:val="000000" w:themeColor="text1"/>
                <w:sz w:val="16"/>
                <w:szCs w:val="16"/>
              </w:rPr>
            </w:pPr>
            <w:r>
              <w:rPr>
                <w:b/>
                <w:bCs/>
                <w:color w:val="000000" w:themeColor="text1"/>
                <w:sz w:val="16"/>
                <w:szCs w:val="16"/>
              </w:rPr>
              <w:t>Signs of shock</w:t>
            </w:r>
          </w:p>
        </w:tc>
        <w:tc>
          <w:tcPr>
            <w:tcW w:w="1701" w:type="dxa"/>
          </w:tcPr>
          <w:p w14:paraId="34884137"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6A3AB857"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67(5)</w:t>
            </w:r>
          </w:p>
        </w:tc>
        <w:tc>
          <w:tcPr>
            <w:tcW w:w="1701" w:type="dxa"/>
          </w:tcPr>
          <w:p w14:paraId="69BEC7E1"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13(68)</w:t>
            </w:r>
          </w:p>
        </w:tc>
        <w:tc>
          <w:tcPr>
            <w:tcW w:w="1271" w:type="dxa"/>
          </w:tcPr>
          <w:p w14:paraId="5707009E" w14:textId="77777777" w:rsidR="00162BF4" w:rsidRPr="009B4C69"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B4C69">
              <w:rPr>
                <w:b/>
                <w:bCs/>
                <w:color w:val="FF0000"/>
                <w:sz w:val="16"/>
                <w:szCs w:val="16"/>
              </w:rPr>
              <w:t>&lt;0.000</w:t>
            </w:r>
          </w:p>
        </w:tc>
      </w:tr>
      <w:tr w:rsidR="00162BF4" w14:paraId="2205D990"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63C9F67C"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Tachycardia</w:t>
            </w:r>
          </w:p>
        </w:tc>
        <w:tc>
          <w:tcPr>
            <w:tcW w:w="1701" w:type="dxa"/>
          </w:tcPr>
          <w:p w14:paraId="5601DC05"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1327 (99.8)</w:t>
            </w:r>
          </w:p>
        </w:tc>
        <w:tc>
          <w:tcPr>
            <w:tcW w:w="1701" w:type="dxa"/>
          </w:tcPr>
          <w:p w14:paraId="20629804"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592(45)</w:t>
            </w:r>
          </w:p>
        </w:tc>
        <w:tc>
          <w:tcPr>
            <w:tcW w:w="1701" w:type="dxa"/>
          </w:tcPr>
          <w:p w14:paraId="016E9006"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15(79)</w:t>
            </w:r>
          </w:p>
        </w:tc>
        <w:tc>
          <w:tcPr>
            <w:tcW w:w="1271" w:type="dxa"/>
          </w:tcPr>
          <w:p w14:paraId="0997DCFF" w14:textId="77777777" w:rsidR="00162BF4" w:rsidRPr="009B4C69"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B4C69">
              <w:rPr>
                <w:b/>
                <w:bCs/>
                <w:color w:val="FF0000"/>
                <w:sz w:val="16"/>
                <w:szCs w:val="16"/>
              </w:rPr>
              <w:t>0.003</w:t>
            </w:r>
          </w:p>
        </w:tc>
      </w:tr>
      <w:tr w:rsidR="00162BF4" w14:paraId="5E1F4E6C"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5782DC2"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Tachypnoea</w:t>
            </w:r>
          </w:p>
        </w:tc>
        <w:tc>
          <w:tcPr>
            <w:tcW w:w="1701" w:type="dxa"/>
          </w:tcPr>
          <w:p w14:paraId="7E8055C2"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1313 (98.8)</w:t>
            </w:r>
          </w:p>
        </w:tc>
        <w:tc>
          <w:tcPr>
            <w:tcW w:w="1701" w:type="dxa"/>
          </w:tcPr>
          <w:p w14:paraId="1C66F9C0"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431(33)</w:t>
            </w:r>
          </w:p>
        </w:tc>
        <w:tc>
          <w:tcPr>
            <w:tcW w:w="1701" w:type="dxa"/>
          </w:tcPr>
          <w:p w14:paraId="35880169"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12(63)</w:t>
            </w:r>
          </w:p>
        </w:tc>
        <w:tc>
          <w:tcPr>
            <w:tcW w:w="1271" w:type="dxa"/>
          </w:tcPr>
          <w:p w14:paraId="3DAAD7A3" w14:textId="77777777" w:rsidR="00162BF4" w:rsidRPr="009B4C69"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B4C69">
              <w:rPr>
                <w:b/>
                <w:bCs/>
                <w:color w:val="FF0000"/>
                <w:sz w:val="16"/>
                <w:szCs w:val="16"/>
              </w:rPr>
              <w:t>0.006</w:t>
            </w:r>
          </w:p>
        </w:tc>
      </w:tr>
      <w:tr w:rsidR="00162BF4" w14:paraId="702B0D3C"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721066A3"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 xml:space="preserve">Gastro-intestinal symptoms </w:t>
            </w:r>
          </w:p>
        </w:tc>
        <w:tc>
          <w:tcPr>
            <w:tcW w:w="1701" w:type="dxa"/>
          </w:tcPr>
          <w:p w14:paraId="7A3E8082"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4AD500D3"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557(43)</w:t>
            </w:r>
          </w:p>
        </w:tc>
        <w:tc>
          <w:tcPr>
            <w:tcW w:w="1701" w:type="dxa"/>
          </w:tcPr>
          <w:p w14:paraId="688D7365"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8(42)</w:t>
            </w:r>
          </w:p>
        </w:tc>
        <w:tc>
          <w:tcPr>
            <w:tcW w:w="1271" w:type="dxa"/>
          </w:tcPr>
          <w:p w14:paraId="1590D43E" w14:textId="77777777" w:rsidR="00162BF4" w:rsidRPr="009B4C69"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0.971</w:t>
            </w:r>
          </w:p>
        </w:tc>
      </w:tr>
      <w:tr w:rsidR="00162BF4" w14:paraId="39CED16A"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3EA7B846"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Shivers/Chills</w:t>
            </w:r>
          </w:p>
        </w:tc>
        <w:tc>
          <w:tcPr>
            <w:tcW w:w="1701" w:type="dxa"/>
          </w:tcPr>
          <w:p w14:paraId="43552A79"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354B4404"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106(8)</w:t>
            </w:r>
          </w:p>
        </w:tc>
        <w:tc>
          <w:tcPr>
            <w:tcW w:w="1701" w:type="dxa"/>
          </w:tcPr>
          <w:p w14:paraId="237D220D"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6(32)</w:t>
            </w:r>
          </w:p>
        </w:tc>
        <w:tc>
          <w:tcPr>
            <w:tcW w:w="1271" w:type="dxa"/>
          </w:tcPr>
          <w:p w14:paraId="129002F9" w14:textId="77777777" w:rsidR="00162BF4" w:rsidRPr="009B4C69"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B4C69">
              <w:rPr>
                <w:b/>
                <w:bCs/>
                <w:color w:val="FF0000"/>
                <w:sz w:val="16"/>
                <w:szCs w:val="16"/>
              </w:rPr>
              <w:t>&lt;0.000</w:t>
            </w:r>
          </w:p>
        </w:tc>
      </w:tr>
      <w:tr w:rsidR="00162BF4" w14:paraId="6D93ECBE"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4E44A9DF"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Pallor</w:t>
            </w:r>
          </w:p>
        </w:tc>
        <w:tc>
          <w:tcPr>
            <w:tcW w:w="1701" w:type="dxa"/>
          </w:tcPr>
          <w:p w14:paraId="3B35AC19"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15181DFE"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95(7)</w:t>
            </w:r>
          </w:p>
        </w:tc>
        <w:tc>
          <w:tcPr>
            <w:tcW w:w="1701" w:type="dxa"/>
          </w:tcPr>
          <w:p w14:paraId="594343C2"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8(42)</w:t>
            </w:r>
          </w:p>
        </w:tc>
        <w:tc>
          <w:tcPr>
            <w:tcW w:w="1271" w:type="dxa"/>
          </w:tcPr>
          <w:p w14:paraId="048B42F2" w14:textId="77777777" w:rsidR="00162BF4" w:rsidRPr="009B4C69"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B4C69">
              <w:rPr>
                <w:b/>
                <w:bCs/>
                <w:color w:val="FF0000"/>
                <w:sz w:val="16"/>
                <w:szCs w:val="16"/>
              </w:rPr>
              <w:t>&lt;0.000</w:t>
            </w:r>
          </w:p>
        </w:tc>
      </w:tr>
      <w:tr w:rsidR="00162BF4" w14:paraId="39E12538"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5EEE2304"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Unusual skin colour</w:t>
            </w:r>
          </w:p>
        </w:tc>
        <w:tc>
          <w:tcPr>
            <w:tcW w:w="1701" w:type="dxa"/>
          </w:tcPr>
          <w:p w14:paraId="70C2432A"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6797A5FB"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108(8)</w:t>
            </w:r>
          </w:p>
        </w:tc>
        <w:tc>
          <w:tcPr>
            <w:tcW w:w="1701" w:type="dxa"/>
          </w:tcPr>
          <w:p w14:paraId="3FC7749C"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9(47)</w:t>
            </w:r>
          </w:p>
        </w:tc>
        <w:tc>
          <w:tcPr>
            <w:tcW w:w="1271" w:type="dxa"/>
          </w:tcPr>
          <w:p w14:paraId="61D16A1F" w14:textId="77777777" w:rsidR="00162BF4" w:rsidRPr="009B4C69"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B4C69">
              <w:rPr>
                <w:b/>
                <w:bCs/>
                <w:color w:val="FF0000"/>
                <w:sz w:val="16"/>
                <w:szCs w:val="16"/>
              </w:rPr>
              <w:t>&lt;0.000</w:t>
            </w:r>
          </w:p>
        </w:tc>
      </w:tr>
      <w:tr w:rsidR="00162BF4" w14:paraId="2B450E3C"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0D5D95C9"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Cold hands/feet</w:t>
            </w:r>
          </w:p>
        </w:tc>
        <w:tc>
          <w:tcPr>
            <w:tcW w:w="1701" w:type="dxa"/>
          </w:tcPr>
          <w:p w14:paraId="5A47FB96"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168B92D8"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129(10)</w:t>
            </w:r>
          </w:p>
        </w:tc>
        <w:tc>
          <w:tcPr>
            <w:tcW w:w="1701" w:type="dxa"/>
          </w:tcPr>
          <w:p w14:paraId="038D2AC9"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9(47)</w:t>
            </w:r>
          </w:p>
        </w:tc>
        <w:tc>
          <w:tcPr>
            <w:tcW w:w="1271" w:type="dxa"/>
          </w:tcPr>
          <w:p w14:paraId="59AF0AFA" w14:textId="77777777" w:rsidR="00162BF4" w:rsidRPr="009B4C69"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B4C69">
              <w:rPr>
                <w:b/>
                <w:bCs/>
                <w:color w:val="FF0000"/>
                <w:sz w:val="16"/>
                <w:szCs w:val="16"/>
              </w:rPr>
              <w:t>&lt;0.000</w:t>
            </w:r>
          </w:p>
        </w:tc>
      </w:tr>
      <w:tr w:rsidR="00162BF4" w14:paraId="16594398"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33FDF7A"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Respiratory symptoms</w:t>
            </w:r>
          </w:p>
        </w:tc>
        <w:tc>
          <w:tcPr>
            <w:tcW w:w="1701" w:type="dxa"/>
          </w:tcPr>
          <w:p w14:paraId="146D1055"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37184B85"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400(31)</w:t>
            </w:r>
          </w:p>
        </w:tc>
        <w:tc>
          <w:tcPr>
            <w:tcW w:w="1701" w:type="dxa"/>
          </w:tcPr>
          <w:p w14:paraId="3A160176"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8(42)</w:t>
            </w:r>
          </w:p>
        </w:tc>
        <w:tc>
          <w:tcPr>
            <w:tcW w:w="1271" w:type="dxa"/>
          </w:tcPr>
          <w:p w14:paraId="7942E507" w14:textId="77777777" w:rsidR="00162BF4" w:rsidRPr="009B4C69"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sz w:val="16"/>
                <w:szCs w:val="16"/>
              </w:rPr>
            </w:pPr>
            <w:r>
              <w:rPr>
                <w:b/>
                <w:bCs/>
                <w:sz w:val="16"/>
                <w:szCs w:val="16"/>
              </w:rPr>
              <w:t>0.278</w:t>
            </w:r>
          </w:p>
        </w:tc>
      </w:tr>
      <w:tr w:rsidR="00162BF4" w14:paraId="6DA90ED9"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7982D00B"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Sore throat/coryza</w:t>
            </w:r>
          </w:p>
        </w:tc>
        <w:tc>
          <w:tcPr>
            <w:tcW w:w="1701" w:type="dxa"/>
          </w:tcPr>
          <w:p w14:paraId="2A742E2F"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461C8209"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673(51)</w:t>
            </w:r>
          </w:p>
        </w:tc>
        <w:tc>
          <w:tcPr>
            <w:tcW w:w="1701" w:type="dxa"/>
          </w:tcPr>
          <w:p w14:paraId="4EB57F9E"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5(26)</w:t>
            </w:r>
          </w:p>
        </w:tc>
        <w:tc>
          <w:tcPr>
            <w:tcW w:w="1271" w:type="dxa"/>
          </w:tcPr>
          <w:p w14:paraId="23ED9CE7" w14:textId="77777777" w:rsidR="00162BF4" w:rsidRPr="00CE4C6B"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FF0000"/>
                <w:sz w:val="16"/>
                <w:szCs w:val="16"/>
              </w:rPr>
            </w:pPr>
            <w:r w:rsidRPr="00CE4C6B">
              <w:rPr>
                <w:b/>
                <w:bCs/>
                <w:color w:val="FF0000"/>
                <w:sz w:val="16"/>
                <w:szCs w:val="16"/>
              </w:rPr>
              <w:t>0.030</w:t>
            </w:r>
          </w:p>
        </w:tc>
      </w:tr>
      <w:tr w:rsidR="00162BF4" w14:paraId="5D329277"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09AB9F3C"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Lethargy</w:t>
            </w:r>
          </w:p>
        </w:tc>
        <w:tc>
          <w:tcPr>
            <w:tcW w:w="1701" w:type="dxa"/>
          </w:tcPr>
          <w:p w14:paraId="180872C7"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1727F5B1"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307(23)</w:t>
            </w:r>
          </w:p>
        </w:tc>
        <w:tc>
          <w:tcPr>
            <w:tcW w:w="1701" w:type="dxa"/>
          </w:tcPr>
          <w:p w14:paraId="73094005"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13(68)</w:t>
            </w:r>
          </w:p>
        </w:tc>
        <w:tc>
          <w:tcPr>
            <w:tcW w:w="1271" w:type="dxa"/>
          </w:tcPr>
          <w:p w14:paraId="44E9ECE9" w14:textId="77777777" w:rsidR="00162BF4" w:rsidRPr="009B4C69"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B4C69">
              <w:rPr>
                <w:b/>
                <w:bCs/>
                <w:color w:val="FF0000"/>
                <w:sz w:val="16"/>
                <w:szCs w:val="16"/>
              </w:rPr>
              <w:t>&lt;0.000</w:t>
            </w:r>
          </w:p>
        </w:tc>
      </w:tr>
      <w:tr w:rsidR="00162BF4" w14:paraId="33993385"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7829C7AD" w14:textId="77777777" w:rsidR="00162BF4" w:rsidRPr="0079659E" w:rsidRDefault="00162BF4" w:rsidP="0065168A">
            <w:pPr>
              <w:pStyle w:val="BodyText"/>
              <w:spacing w:line="480" w:lineRule="auto"/>
              <w:rPr>
                <w:b/>
                <w:bCs/>
                <w:color w:val="000000" w:themeColor="text1"/>
                <w:sz w:val="16"/>
                <w:szCs w:val="16"/>
              </w:rPr>
            </w:pPr>
            <w:r w:rsidRPr="0079659E">
              <w:rPr>
                <w:b/>
                <w:bCs/>
                <w:color w:val="000000" w:themeColor="text1"/>
                <w:sz w:val="16"/>
                <w:szCs w:val="16"/>
              </w:rPr>
              <w:t>Refusing food and drink</w:t>
            </w:r>
          </w:p>
        </w:tc>
        <w:tc>
          <w:tcPr>
            <w:tcW w:w="1701" w:type="dxa"/>
          </w:tcPr>
          <w:p w14:paraId="75DE3FFD"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6A49CEC2"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403(31)</w:t>
            </w:r>
          </w:p>
        </w:tc>
        <w:tc>
          <w:tcPr>
            <w:tcW w:w="1701" w:type="dxa"/>
          </w:tcPr>
          <w:p w14:paraId="2C8DE070"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8(42)</w:t>
            </w:r>
          </w:p>
        </w:tc>
        <w:tc>
          <w:tcPr>
            <w:tcW w:w="1271" w:type="dxa"/>
          </w:tcPr>
          <w:p w14:paraId="59E7FB1B" w14:textId="77777777" w:rsidR="00162BF4" w:rsidRPr="009B4C69"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0.288</w:t>
            </w:r>
          </w:p>
        </w:tc>
      </w:tr>
      <w:tr w:rsidR="00162BF4" w14:paraId="2E302C3E"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75A40B2" w14:textId="66DD48EF" w:rsidR="00162BF4" w:rsidRPr="0079659E" w:rsidRDefault="00BA28F1" w:rsidP="0065168A">
            <w:pPr>
              <w:pStyle w:val="BodyText"/>
              <w:spacing w:line="480" w:lineRule="auto"/>
              <w:rPr>
                <w:b/>
                <w:bCs/>
                <w:color w:val="000000" w:themeColor="text1"/>
                <w:sz w:val="16"/>
                <w:szCs w:val="16"/>
              </w:rPr>
            </w:pPr>
            <w:r>
              <w:rPr>
                <w:b/>
                <w:bCs/>
                <w:color w:val="000000" w:themeColor="text1"/>
                <w:sz w:val="16"/>
                <w:szCs w:val="16"/>
              </w:rPr>
              <w:t>Limb</w:t>
            </w:r>
            <w:r w:rsidR="00162BF4" w:rsidRPr="0079659E">
              <w:rPr>
                <w:b/>
                <w:bCs/>
                <w:color w:val="000000" w:themeColor="text1"/>
                <w:sz w:val="16"/>
                <w:szCs w:val="16"/>
              </w:rPr>
              <w:t xml:space="preserve"> pain</w:t>
            </w:r>
          </w:p>
        </w:tc>
        <w:tc>
          <w:tcPr>
            <w:tcW w:w="1701" w:type="dxa"/>
          </w:tcPr>
          <w:p w14:paraId="7C70BC29"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0BEF6663"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66(5)</w:t>
            </w:r>
          </w:p>
        </w:tc>
        <w:tc>
          <w:tcPr>
            <w:tcW w:w="1701" w:type="dxa"/>
          </w:tcPr>
          <w:p w14:paraId="7A37903F"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6(32)</w:t>
            </w:r>
          </w:p>
        </w:tc>
        <w:tc>
          <w:tcPr>
            <w:tcW w:w="1271" w:type="dxa"/>
          </w:tcPr>
          <w:p w14:paraId="40A5A823" w14:textId="77777777" w:rsidR="00162BF4" w:rsidRPr="009B4C69"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B4C69">
              <w:rPr>
                <w:b/>
                <w:bCs/>
                <w:color w:val="FF0000"/>
                <w:sz w:val="16"/>
                <w:szCs w:val="16"/>
              </w:rPr>
              <w:t>&lt;0.000</w:t>
            </w:r>
          </w:p>
        </w:tc>
      </w:tr>
      <w:tr w:rsidR="00162BF4" w14:paraId="5B64AE35"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091E2516" w14:textId="77777777" w:rsidR="00162BF4" w:rsidRPr="0079659E" w:rsidRDefault="00162BF4" w:rsidP="0065168A">
            <w:pPr>
              <w:pStyle w:val="BodyText"/>
              <w:spacing w:line="480" w:lineRule="auto"/>
              <w:rPr>
                <w:b/>
                <w:bCs/>
                <w:color w:val="000000" w:themeColor="text1"/>
                <w:sz w:val="16"/>
                <w:szCs w:val="16"/>
              </w:rPr>
            </w:pPr>
            <w:r>
              <w:rPr>
                <w:b/>
                <w:bCs/>
                <w:color w:val="000000" w:themeColor="text1"/>
                <w:sz w:val="16"/>
                <w:szCs w:val="16"/>
              </w:rPr>
              <w:t>Signs/symptoms of m</w:t>
            </w:r>
            <w:r w:rsidRPr="0079659E">
              <w:rPr>
                <w:b/>
                <w:bCs/>
                <w:color w:val="000000" w:themeColor="text1"/>
                <w:sz w:val="16"/>
                <w:szCs w:val="16"/>
              </w:rPr>
              <w:t xml:space="preserve">eningism </w:t>
            </w:r>
          </w:p>
        </w:tc>
        <w:tc>
          <w:tcPr>
            <w:tcW w:w="1701" w:type="dxa"/>
          </w:tcPr>
          <w:p w14:paraId="6481794F"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5617AE01"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79659E">
              <w:rPr>
                <w:b/>
                <w:bCs/>
                <w:color w:val="000000" w:themeColor="text1"/>
                <w:sz w:val="16"/>
                <w:szCs w:val="16"/>
              </w:rPr>
              <w:t>273(21)</w:t>
            </w:r>
          </w:p>
        </w:tc>
        <w:tc>
          <w:tcPr>
            <w:tcW w:w="1701" w:type="dxa"/>
          </w:tcPr>
          <w:p w14:paraId="657B4230" w14:textId="7C52CEAF" w:rsidR="00162BF4" w:rsidRPr="0079659E" w:rsidRDefault="00E51468"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Pr>
                <w:b/>
                <w:bCs/>
                <w:color w:val="000000" w:themeColor="text1"/>
                <w:sz w:val="16"/>
                <w:szCs w:val="16"/>
              </w:rPr>
              <w:t>7(37</w:t>
            </w:r>
            <w:r w:rsidR="00162BF4" w:rsidRPr="0079659E">
              <w:rPr>
                <w:b/>
                <w:bCs/>
                <w:color w:val="000000" w:themeColor="text1"/>
                <w:sz w:val="16"/>
                <w:szCs w:val="16"/>
              </w:rPr>
              <w:t>)</w:t>
            </w:r>
          </w:p>
        </w:tc>
        <w:tc>
          <w:tcPr>
            <w:tcW w:w="1271" w:type="dxa"/>
          </w:tcPr>
          <w:p w14:paraId="44A725DF" w14:textId="77777777" w:rsidR="00162BF4" w:rsidRPr="004F22C6"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sidRPr="00CE4C6B">
              <w:rPr>
                <w:b/>
                <w:bCs/>
                <w:color w:val="FF0000"/>
                <w:sz w:val="16"/>
                <w:szCs w:val="16"/>
              </w:rPr>
              <w:t>0.089</w:t>
            </w:r>
          </w:p>
        </w:tc>
      </w:tr>
      <w:tr w:rsidR="00162BF4" w14:paraId="70F42E8F" w14:textId="77777777" w:rsidTr="002E2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407C0B0F" w14:textId="5FEB6C51" w:rsidR="00162BF4" w:rsidRPr="0079659E" w:rsidRDefault="00923DBC" w:rsidP="0065168A">
            <w:pPr>
              <w:pStyle w:val="BodyText"/>
              <w:spacing w:line="480" w:lineRule="auto"/>
              <w:rPr>
                <w:b/>
                <w:bCs/>
                <w:color w:val="000000" w:themeColor="text1"/>
                <w:sz w:val="16"/>
                <w:szCs w:val="16"/>
              </w:rPr>
            </w:pPr>
            <w:r>
              <w:rPr>
                <w:b/>
                <w:bCs/>
                <w:color w:val="000000" w:themeColor="text1"/>
                <w:sz w:val="16"/>
                <w:szCs w:val="16"/>
              </w:rPr>
              <w:t>Reduced conscious level</w:t>
            </w:r>
          </w:p>
        </w:tc>
        <w:tc>
          <w:tcPr>
            <w:tcW w:w="1701" w:type="dxa"/>
          </w:tcPr>
          <w:p w14:paraId="71C11630"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1329 (100)</w:t>
            </w:r>
          </w:p>
        </w:tc>
        <w:tc>
          <w:tcPr>
            <w:tcW w:w="1701" w:type="dxa"/>
          </w:tcPr>
          <w:p w14:paraId="177D242E"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13(1)</w:t>
            </w:r>
          </w:p>
        </w:tc>
        <w:tc>
          <w:tcPr>
            <w:tcW w:w="1701" w:type="dxa"/>
          </w:tcPr>
          <w:p w14:paraId="36E1AC30" w14:textId="77777777" w:rsidR="00162BF4" w:rsidRPr="0079659E"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color w:val="000000" w:themeColor="text1"/>
                <w:sz w:val="16"/>
                <w:szCs w:val="16"/>
              </w:rPr>
            </w:pPr>
            <w:r w:rsidRPr="0079659E">
              <w:rPr>
                <w:b/>
                <w:bCs/>
                <w:color w:val="000000" w:themeColor="text1"/>
                <w:sz w:val="16"/>
                <w:szCs w:val="16"/>
              </w:rPr>
              <w:t>10(53)</w:t>
            </w:r>
          </w:p>
        </w:tc>
        <w:tc>
          <w:tcPr>
            <w:tcW w:w="1271" w:type="dxa"/>
          </w:tcPr>
          <w:p w14:paraId="0A977F1D" w14:textId="77777777" w:rsidR="00162BF4" w:rsidRPr="009B4C69" w:rsidRDefault="00162BF4" w:rsidP="002E26DF">
            <w:pPr>
              <w:pStyle w:val="BodyText"/>
              <w:spacing w:line="480" w:lineRule="auto"/>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B4C69">
              <w:rPr>
                <w:b/>
                <w:bCs/>
                <w:color w:val="FF0000"/>
                <w:sz w:val="16"/>
                <w:szCs w:val="16"/>
              </w:rPr>
              <w:t>&lt;0.000</w:t>
            </w:r>
          </w:p>
        </w:tc>
      </w:tr>
      <w:tr w:rsidR="00162BF4" w14:paraId="07F08E9E" w14:textId="77777777" w:rsidTr="002E26DF">
        <w:tc>
          <w:tcPr>
            <w:cnfStyle w:val="001000000000" w:firstRow="0" w:lastRow="0" w:firstColumn="1" w:lastColumn="0" w:oddVBand="0" w:evenVBand="0" w:oddHBand="0" w:evenHBand="0" w:firstRowFirstColumn="0" w:firstRowLastColumn="0" w:lastRowFirstColumn="0" w:lastRowLastColumn="0"/>
            <w:tcW w:w="3686" w:type="dxa"/>
          </w:tcPr>
          <w:p w14:paraId="62AB1889" w14:textId="77777777" w:rsidR="00162BF4" w:rsidRPr="0079659E" w:rsidRDefault="00162BF4" w:rsidP="0065168A">
            <w:pPr>
              <w:pStyle w:val="BodyText"/>
              <w:spacing w:line="480" w:lineRule="auto"/>
              <w:rPr>
                <w:b/>
                <w:bCs/>
                <w:color w:val="000000" w:themeColor="text1"/>
                <w:sz w:val="16"/>
                <w:szCs w:val="16"/>
              </w:rPr>
            </w:pPr>
            <w:r>
              <w:rPr>
                <w:b/>
                <w:bCs/>
                <w:color w:val="000000" w:themeColor="text1"/>
                <w:sz w:val="16"/>
                <w:szCs w:val="16"/>
              </w:rPr>
              <w:t>Pre-hospital antibiotics</w:t>
            </w:r>
          </w:p>
        </w:tc>
        <w:tc>
          <w:tcPr>
            <w:tcW w:w="1701" w:type="dxa"/>
          </w:tcPr>
          <w:p w14:paraId="58D931E2"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Pr>
                <w:b/>
                <w:bCs/>
                <w:color w:val="000000" w:themeColor="text1"/>
                <w:sz w:val="16"/>
                <w:szCs w:val="16"/>
              </w:rPr>
              <w:t>1329 (100)</w:t>
            </w:r>
          </w:p>
        </w:tc>
        <w:tc>
          <w:tcPr>
            <w:tcW w:w="1701" w:type="dxa"/>
          </w:tcPr>
          <w:p w14:paraId="1F5B9D72"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Pr>
                <w:b/>
                <w:bCs/>
                <w:color w:val="000000" w:themeColor="text1"/>
                <w:sz w:val="16"/>
                <w:szCs w:val="16"/>
              </w:rPr>
              <w:t>69(5)</w:t>
            </w:r>
          </w:p>
        </w:tc>
        <w:tc>
          <w:tcPr>
            <w:tcW w:w="1701" w:type="dxa"/>
          </w:tcPr>
          <w:p w14:paraId="18B3D8F0" w14:textId="77777777" w:rsidR="00162BF4" w:rsidRPr="0079659E"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sz w:val="16"/>
                <w:szCs w:val="16"/>
              </w:rPr>
            </w:pPr>
            <w:r>
              <w:rPr>
                <w:b/>
                <w:bCs/>
                <w:color w:val="000000" w:themeColor="text1"/>
                <w:sz w:val="16"/>
                <w:szCs w:val="16"/>
              </w:rPr>
              <w:t>6(32)</w:t>
            </w:r>
          </w:p>
        </w:tc>
        <w:tc>
          <w:tcPr>
            <w:tcW w:w="1271" w:type="dxa"/>
          </w:tcPr>
          <w:p w14:paraId="46961D58" w14:textId="77777777" w:rsidR="00162BF4" w:rsidRPr="009B4C69" w:rsidRDefault="00162BF4" w:rsidP="002E26DF">
            <w:pPr>
              <w:pStyle w:val="BodyText"/>
              <w:spacing w:line="480" w:lineRule="auto"/>
              <w:jc w:val="center"/>
              <w:cnfStyle w:val="000000000000" w:firstRow="0" w:lastRow="0" w:firstColumn="0" w:lastColumn="0" w:oddVBand="0" w:evenVBand="0" w:oddHBand="0" w:evenHBand="0" w:firstRowFirstColumn="0" w:firstRowLastColumn="0" w:lastRowFirstColumn="0" w:lastRowLastColumn="0"/>
              <w:rPr>
                <w:b/>
                <w:bCs/>
                <w:color w:val="FF0000"/>
                <w:sz w:val="16"/>
                <w:szCs w:val="16"/>
              </w:rPr>
            </w:pPr>
            <w:r>
              <w:rPr>
                <w:b/>
                <w:bCs/>
                <w:color w:val="FF0000"/>
                <w:sz w:val="16"/>
                <w:szCs w:val="16"/>
              </w:rPr>
              <w:t>&lt;0.000</w:t>
            </w:r>
          </w:p>
        </w:tc>
      </w:tr>
    </w:tbl>
    <w:p w14:paraId="0439D999" w14:textId="62E048B4" w:rsidR="00A862DD" w:rsidRPr="002F7471" w:rsidRDefault="00A862DD" w:rsidP="002E2BF0">
      <w:pPr>
        <w:widowControl w:val="0"/>
        <w:autoSpaceDE w:val="0"/>
        <w:autoSpaceDN w:val="0"/>
        <w:adjustRightInd w:val="0"/>
        <w:rPr>
          <w:rFonts w:ascii="Arial" w:hAnsi="Arial" w:cs="Arial"/>
          <w:color w:val="333333"/>
          <w:sz w:val="20"/>
          <w:szCs w:val="20"/>
          <w:shd w:val="clear" w:color="auto" w:fill="FFFFFF"/>
          <w:vertAlign w:val="superscript"/>
        </w:rPr>
      </w:pPr>
    </w:p>
    <w:p w14:paraId="7F8E814F" w14:textId="2996AACE" w:rsidR="007E2AF0" w:rsidRPr="00B412A7" w:rsidRDefault="007E2AF0" w:rsidP="007E2AF0">
      <w:pPr>
        <w:widowControl w:val="0"/>
        <w:autoSpaceDE w:val="0"/>
        <w:autoSpaceDN w:val="0"/>
        <w:adjustRightInd w:val="0"/>
        <w:rPr>
          <w:rFonts w:ascii="Arial" w:hAnsi="Arial" w:cs="Arial"/>
          <w:color w:val="333333"/>
          <w:sz w:val="20"/>
          <w:szCs w:val="20"/>
          <w:shd w:val="clear" w:color="auto" w:fill="FFFFFF"/>
        </w:rPr>
      </w:pPr>
      <w:r w:rsidRPr="002F7471">
        <w:rPr>
          <w:rFonts w:ascii="Arial" w:hAnsi="Arial" w:cs="Arial"/>
          <w:color w:val="333333"/>
          <w:sz w:val="20"/>
          <w:szCs w:val="20"/>
          <w:shd w:val="clear" w:color="auto" w:fill="FFFFFF"/>
        </w:rPr>
        <w:t>MD=meningococcal disease</w:t>
      </w:r>
      <w:r w:rsidR="00B412A7">
        <w:rPr>
          <w:rFonts w:ascii="Arial" w:hAnsi="Arial" w:cs="Arial"/>
          <w:color w:val="333333"/>
          <w:sz w:val="20"/>
          <w:szCs w:val="20"/>
          <w:shd w:val="clear" w:color="auto" w:fill="FFFFFF"/>
        </w:rPr>
        <w:t xml:space="preserve">. </w:t>
      </w:r>
      <w:r w:rsidR="0065168A">
        <w:rPr>
          <w:rFonts w:ascii="Arial" w:hAnsi="Arial" w:cs="Arial"/>
          <w:color w:val="333333"/>
          <w:sz w:val="20"/>
          <w:szCs w:val="20"/>
          <w:shd w:val="clear" w:color="auto" w:fill="FFFFFF"/>
        </w:rPr>
        <w:t>Meningism includes</w:t>
      </w:r>
      <w:r w:rsidR="0065168A" w:rsidRPr="0065168A">
        <w:rPr>
          <w:rFonts w:ascii="Arial" w:hAnsi="Arial" w:cs="Arial"/>
          <w:color w:val="333333"/>
          <w:sz w:val="20"/>
          <w:szCs w:val="20"/>
          <w:shd w:val="clear" w:color="auto" w:fill="FFFFFF"/>
        </w:rPr>
        <w:t xml:space="preserve"> Brudzinski’s sign, Kernig’s sign, bulging fontanelle, irritability, photophob</w:t>
      </w:r>
      <w:r w:rsidR="0065168A">
        <w:rPr>
          <w:rFonts w:ascii="Arial" w:hAnsi="Arial" w:cs="Arial"/>
          <w:color w:val="333333"/>
          <w:sz w:val="20"/>
          <w:szCs w:val="20"/>
          <w:shd w:val="clear" w:color="auto" w:fill="FFFFFF"/>
        </w:rPr>
        <w:t>ia, neck stiffness and headache. S</w:t>
      </w:r>
      <w:r w:rsidR="0065168A" w:rsidRPr="0065168A">
        <w:rPr>
          <w:rFonts w:ascii="Arial" w:hAnsi="Arial" w:cs="Arial"/>
          <w:color w:val="333333"/>
          <w:sz w:val="20"/>
          <w:szCs w:val="20"/>
          <w:shd w:val="clear" w:color="auto" w:fill="FFFFFF"/>
        </w:rPr>
        <w:t xml:space="preserve">hock </w:t>
      </w:r>
      <w:r w:rsidR="0065168A">
        <w:rPr>
          <w:rFonts w:ascii="Arial" w:hAnsi="Arial" w:cs="Arial"/>
          <w:color w:val="333333"/>
          <w:sz w:val="20"/>
          <w:szCs w:val="20"/>
          <w:shd w:val="clear" w:color="auto" w:fill="FFFFFF"/>
        </w:rPr>
        <w:t xml:space="preserve">includes clinician diagnosed shock, </w:t>
      </w:r>
      <w:r w:rsidR="0065168A" w:rsidRPr="0065168A">
        <w:rPr>
          <w:rFonts w:ascii="Arial" w:hAnsi="Arial" w:cs="Arial"/>
          <w:color w:val="333333"/>
          <w:sz w:val="20"/>
          <w:szCs w:val="20"/>
          <w:shd w:val="clear" w:color="auto" w:fill="FFFFFF"/>
        </w:rPr>
        <w:t>prolonged</w:t>
      </w:r>
      <w:r w:rsidR="0065168A">
        <w:rPr>
          <w:rFonts w:ascii="Arial" w:hAnsi="Arial" w:cs="Arial"/>
          <w:color w:val="333333"/>
          <w:sz w:val="20"/>
          <w:szCs w:val="20"/>
          <w:shd w:val="clear" w:color="auto" w:fill="FFFFFF"/>
        </w:rPr>
        <w:t xml:space="preserve"> capillary refill time of 4 </w:t>
      </w:r>
      <w:r w:rsidR="0065168A" w:rsidRPr="0065168A">
        <w:rPr>
          <w:rFonts w:ascii="Arial" w:hAnsi="Arial" w:cs="Arial"/>
          <w:color w:val="333333"/>
          <w:sz w:val="20"/>
          <w:szCs w:val="20"/>
          <w:shd w:val="clear" w:color="auto" w:fill="FFFFFF"/>
        </w:rPr>
        <w:t xml:space="preserve">seconds </w:t>
      </w:r>
      <w:r w:rsidR="0065168A">
        <w:rPr>
          <w:rFonts w:ascii="Arial" w:hAnsi="Arial" w:cs="Arial"/>
          <w:color w:val="333333"/>
          <w:sz w:val="20"/>
          <w:szCs w:val="20"/>
          <w:shd w:val="clear" w:color="auto" w:fill="FFFFFF"/>
        </w:rPr>
        <w:t xml:space="preserve">or more </w:t>
      </w:r>
      <w:r w:rsidR="0065168A" w:rsidRPr="0065168A">
        <w:rPr>
          <w:rFonts w:ascii="Arial" w:hAnsi="Arial" w:cs="Arial"/>
          <w:color w:val="333333"/>
          <w:sz w:val="20"/>
          <w:szCs w:val="20"/>
          <w:shd w:val="clear" w:color="auto" w:fill="FFFFFF"/>
        </w:rPr>
        <w:t>and hypotension</w:t>
      </w:r>
      <w:r w:rsidR="0065168A">
        <w:rPr>
          <w:rFonts w:ascii="Arial" w:hAnsi="Arial" w:cs="Arial"/>
          <w:color w:val="333333"/>
          <w:sz w:val="20"/>
          <w:szCs w:val="20"/>
          <w:shd w:val="clear" w:color="auto" w:fill="FFFFFF"/>
        </w:rPr>
        <w:t>.</w:t>
      </w:r>
      <w:r w:rsidR="00923DBC">
        <w:rPr>
          <w:rFonts w:ascii="Arial" w:hAnsi="Arial" w:cs="Arial"/>
          <w:color w:val="333333"/>
          <w:sz w:val="20"/>
          <w:szCs w:val="20"/>
          <w:shd w:val="clear" w:color="auto" w:fill="FFFFFF"/>
        </w:rPr>
        <w:t xml:space="preserve"> Gastro-intestinal symptoms included abdominal pain, abdominal distension, diarrhoea and nausea/vomiting. </w:t>
      </w:r>
    </w:p>
    <w:p w14:paraId="11A81A92" w14:textId="742CF67E" w:rsidR="00C00188" w:rsidRDefault="00C00188">
      <w:pPr>
        <w:rPr>
          <w:rFonts w:ascii="Arial" w:hAnsi="Arial" w:cs="Arial"/>
          <w:color w:val="333333"/>
          <w:sz w:val="20"/>
          <w:szCs w:val="20"/>
          <w:shd w:val="clear" w:color="auto" w:fill="FFFFFF"/>
        </w:rPr>
      </w:pPr>
      <w:r>
        <w:rPr>
          <w:rFonts w:ascii="Arial" w:hAnsi="Arial" w:cs="Arial"/>
          <w:color w:val="333333"/>
          <w:sz w:val="20"/>
          <w:szCs w:val="20"/>
          <w:shd w:val="clear" w:color="auto" w:fill="FFFFFF"/>
        </w:rPr>
        <w:br w:type="page"/>
      </w:r>
    </w:p>
    <w:p w14:paraId="250EFA4C" w14:textId="77777777" w:rsidR="00C00188" w:rsidRDefault="00C00188" w:rsidP="002E2BF0">
      <w:pPr>
        <w:widowControl w:val="0"/>
        <w:autoSpaceDE w:val="0"/>
        <w:autoSpaceDN w:val="0"/>
        <w:adjustRightInd w:val="0"/>
        <w:rPr>
          <w:rFonts w:ascii="Arial" w:hAnsi="Arial" w:cs="Arial"/>
          <w:color w:val="333333"/>
          <w:sz w:val="20"/>
          <w:szCs w:val="20"/>
          <w:shd w:val="clear" w:color="auto" w:fill="FFFFFF"/>
        </w:rPr>
        <w:sectPr w:rsidR="00C00188" w:rsidSect="00642C8B">
          <w:headerReference w:type="even" r:id="rId23"/>
          <w:headerReference w:type="default" r:id="rId24"/>
          <w:pgSz w:w="11900" w:h="16840"/>
          <w:pgMar w:top="1440" w:right="1440" w:bottom="1440" w:left="1440" w:header="113" w:footer="170" w:gutter="0"/>
          <w:cols w:space="720"/>
          <w:docGrid w:linePitch="360"/>
        </w:sectPr>
      </w:pPr>
    </w:p>
    <w:p w14:paraId="2B48EF77" w14:textId="5620028F" w:rsidR="00C00188" w:rsidRDefault="00C00188" w:rsidP="002E2BF0">
      <w:pPr>
        <w:widowControl w:val="0"/>
        <w:autoSpaceDE w:val="0"/>
        <w:autoSpaceDN w:val="0"/>
        <w:adjustRightInd w:val="0"/>
        <w:rPr>
          <w:rFonts w:ascii="Arial" w:hAnsi="Arial" w:cs="Arial"/>
          <w:color w:val="333333"/>
          <w:sz w:val="20"/>
          <w:szCs w:val="20"/>
          <w:shd w:val="clear" w:color="auto" w:fill="FFFFFF"/>
        </w:rPr>
      </w:pPr>
    </w:p>
    <w:p w14:paraId="301CF7CE" w14:textId="094152A0" w:rsidR="00595998" w:rsidRDefault="00475275" w:rsidP="00FD52EF">
      <w:pPr>
        <w:widowControl w:val="0"/>
        <w:autoSpaceDE w:val="0"/>
        <w:autoSpaceDN w:val="0"/>
        <w:adjustRightInd w:val="0"/>
        <w:rPr>
          <w:rFonts w:ascii="Arial" w:hAnsi="Arial" w:cs="Arial"/>
          <w:color w:val="333333"/>
          <w:sz w:val="20"/>
          <w:szCs w:val="20"/>
          <w:shd w:val="clear" w:color="auto" w:fill="FFFFFF"/>
        </w:rPr>
      </w:pPr>
      <w:r>
        <w:rPr>
          <w:rFonts w:ascii="Arial" w:hAnsi="Arial" w:cs="Arial"/>
          <w:color w:val="333333"/>
          <w:sz w:val="20"/>
          <w:szCs w:val="20"/>
          <w:shd w:val="clear" w:color="auto" w:fill="FFFFFF"/>
        </w:rPr>
        <w:t>Table 2</w:t>
      </w:r>
      <w:r w:rsidR="00FD52EF">
        <w:rPr>
          <w:rFonts w:ascii="Arial" w:hAnsi="Arial" w:cs="Arial"/>
          <w:color w:val="333333"/>
          <w:sz w:val="20"/>
          <w:szCs w:val="20"/>
          <w:shd w:val="clear" w:color="auto" w:fill="FFFFFF"/>
        </w:rPr>
        <w:t>: Diagnostic performance of CPGs at identifying meningococcal disease</w:t>
      </w:r>
      <w:r w:rsidR="00803488">
        <w:rPr>
          <w:rFonts w:ascii="Arial" w:hAnsi="Arial" w:cs="Arial"/>
          <w:color w:val="333333"/>
          <w:sz w:val="20"/>
          <w:szCs w:val="20"/>
          <w:shd w:val="clear" w:color="auto" w:fill="FFFFFF"/>
        </w:rPr>
        <w:t xml:space="preserve"> (single imputation)</w:t>
      </w:r>
    </w:p>
    <w:p w14:paraId="689CCF16" w14:textId="77777777" w:rsidR="00595998" w:rsidRDefault="00595998" w:rsidP="00FD52EF">
      <w:pPr>
        <w:widowControl w:val="0"/>
        <w:autoSpaceDE w:val="0"/>
        <w:autoSpaceDN w:val="0"/>
        <w:adjustRightInd w:val="0"/>
        <w:rPr>
          <w:rFonts w:ascii="Arial" w:hAnsi="Arial" w:cs="Arial"/>
          <w:color w:val="333333"/>
          <w:sz w:val="20"/>
          <w:szCs w:val="20"/>
          <w:shd w:val="clear" w:color="auto" w:fill="FFFFFF"/>
        </w:rPr>
      </w:pPr>
    </w:p>
    <w:tbl>
      <w:tblPr>
        <w:tblW w:w="15479" w:type="dxa"/>
        <w:tblInd w:w="-458" w:type="dxa"/>
        <w:tblLayout w:type="fixed"/>
        <w:tblLook w:val="04A0" w:firstRow="1" w:lastRow="0" w:firstColumn="1" w:lastColumn="0" w:noHBand="0" w:noVBand="1"/>
      </w:tblPr>
      <w:tblGrid>
        <w:gridCol w:w="1304"/>
        <w:gridCol w:w="1417"/>
        <w:gridCol w:w="1418"/>
        <w:gridCol w:w="1134"/>
        <w:gridCol w:w="1134"/>
        <w:gridCol w:w="1559"/>
        <w:gridCol w:w="1559"/>
        <w:gridCol w:w="1701"/>
        <w:gridCol w:w="1701"/>
        <w:gridCol w:w="2552"/>
      </w:tblGrid>
      <w:tr w:rsidR="00734DB3" w:rsidRPr="00D406AA" w14:paraId="3DA3F8A7" w14:textId="5C402685" w:rsidTr="00991585">
        <w:trPr>
          <w:trHeight w:val="545"/>
        </w:trPr>
        <w:tc>
          <w:tcPr>
            <w:tcW w:w="1304" w:type="dxa"/>
            <w:vMerge w:val="restart"/>
            <w:tcBorders>
              <w:top w:val="single" w:sz="4" w:space="0" w:color="auto"/>
              <w:left w:val="single" w:sz="4" w:space="0" w:color="auto"/>
              <w:bottom w:val="single" w:sz="4" w:space="0" w:color="auto"/>
              <w:right w:val="single" w:sz="4" w:space="0" w:color="auto"/>
            </w:tcBorders>
            <w:shd w:val="clear" w:color="000000" w:fill="C9C9C9"/>
            <w:vAlign w:val="center"/>
            <w:hideMark/>
          </w:tcPr>
          <w:p w14:paraId="38095A18" w14:textId="77777777" w:rsidR="001726D2" w:rsidRPr="00766D8A" w:rsidRDefault="001726D2" w:rsidP="00EF3D6E">
            <w:pPr>
              <w:jc w:val="center"/>
              <w:rPr>
                <w:rFonts w:ascii="Arial" w:hAnsi="Arial" w:cs="Arial"/>
                <w:b/>
                <w:bCs/>
                <w:color w:val="000000"/>
                <w:sz w:val="18"/>
                <w:szCs w:val="16"/>
              </w:rPr>
            </w:pPr>
            <w:r w:rsidRPr="00766D8A">
              <w:rPr>
                <w:rFonts w:ascii="Arial" w:hAnsi="Arial" w:cs="Arial"/>
                <w:b/>
                <w:bCs/>
                <w:color w:val="000000"/>
                <w:sz w:val="18"/>
                <w:szCs w:val="16"/>
              </w:rPr>
              <w:t>Clinical Practice Guideline</w:t>
            </w:r>
          </w:p>
        </w:tc>
        <w:tc>
          <w:tcPr>
            <w:tcW w:w="1417" w:type="dxa"/>
            <w:vMerge w:val="restart"/>
            <w:tcBorders>
              <w:top w:val="single" w:sz="4" w:space="0" w:color="auto"/>
              <w:left w:val="nil"/>
              <w:bottom w:val="single" w:sz="4" w:space="0" w:color="000000"/>
              <w:right w:val="single" w:sz="4" w:space="0" w:color="auto"/>
            </w:tcBorders>
            <w:shd w:val="clear" w:color="000000" w:fill="C9C9C9"/>
            <w:vAlign w:val="center"/>
            <w:hideMark/>
          </w:tcPr>
          <w:p w14:paraId="7A6AAED5" w14:textId="0111E07C" w:rsidR="00D406AA" w:rsidRDefault="001726D2">
            <w:pPr>
              <w:jc w:val="center"/>
              <w:rPr>
                <w:rFonts w:ascii="Arial" w:hAnsi="Arial" w:cs="Arial"/>
                <w:b/>
                <w:bCs/>
                <w:color w:val="000000"/>
                <w:sz w:val="18"/>
                <w:szCs w:val="16"/>
              </w:rPr>
            </w:pPr>
            <w:r w:rsidRPr="00766D8A">
              <w:rPr>
                <w:rFonts w:ascii="Arial" w:hAnsi="Arial" w:cs="Arial"/>
                <w:b/>
                <w:bCs/>
                <w:color w:val="000000"/>
                <w:sz w:val="18"/>
                <w:szCs w:val="16"/>
              </w:rPr>
              <w:t xml:space="preserve">Number </w:t>
            </w:r>
            <w:r w:rsidR="00247764">
              <w:rPr>
                <w:rFonts w:ascii="Arial" w:hAnsi="Arial" w:cs="Arial"/>
                <w:b/>
                <w:bCs/>
                <w:color w:val="000000"/>
                <w:sz w:val="18"/>
                <w:szCs w:val="16"/>
              </w:rPr>
              <w:t>o</w:t>
            </w:r>
            <w:r w:rsidR="007C448A">
              <w:rPr>
                <w:rFonts w:ascii="Arial" w:hAnsi="Arial" w:cs="Arial"/>
                <w:b/>
                <w:bCs/>
                <w:color w:val="000000"/>
                <w:sz w:val="18"/>
                <w:szCs w:val="16"/>
              </w:rPr>
              <w:t xml:space="preserve">f </w:t>
            </w:r>
            <w:r w:rsidRPr="00766D8A">
              <w:rPr>
                <w:rFonts w:ascii="Arial" w:hAnsi="Arial" w:cs="Arial"/>
                <w:b/>
                <w:bCs/>
                <w:color w:val="000000"/>
                <w:sz w:val="18"/>
                <w:szCs w:val="16"/>
              </w:rPr>
              <w:t xml:space="preserve">Blood Tests </w:t>
            </w:r>
          </w:p>
          <w:p w14:paraId="59D2120D" w14:textId="51ECFD97" w:rsidR="001726D2" w:rsidRPr="00766D8A" w:rsidRDefault="001726D2">
            <w:pPr>
              <w:jc w:val="center"/>
              <w:rPr>
                <w:rFonts w:ascii="Arial" w:hAnsi="Arial" w:cs="Arial"/>
                <w:b/>
                <w:bCs/>
                <w:color w:val="000000"/>
                <w:sz w:val="18"/>
                <w:szCs w:val="16"/>
              </w:rPr>
            </w:pPr>
            <w:r w:rsidRPr="00766D8A">
              <w:rPr>
                <w:rFonts w:ascii="Arial" w:hAnsi="Arial" w:cs="Arial"/>
                <w:b/>
                <w:bCs/>
                <w:color w:val="000000"/>
                <w:sz w:val="18"/>
                <w:szCs w:val="16"/>
              </w:rPr>
              <w:t>n</w:t>
            </w:r>
            <w:r w:rsidR="00D406AA">
              <w:rPr>
                <w:rFonts w:ascii="Arial" w:hAnsi="Arial" w:cs="Arial"/>
                <w:b/>
                <w:bCs/>
                <w:color w:val="000000"/>
                <w:sz w:val="18"/>
                <w:szCs w:val="16"/>
              </w:rPr>
              <w:t xml:space="preserve"> </w:t>
            </w:r>
            <w:r w:rsidRPr="00766D8A">
              <w:rPr>
                <w:rFonts w:ascii="Arial" w:hAnsi="Arial" w:cs="Arial"/>
                <w:b/>
                <w:bCs/>
                <w:color w:val="000000"/>
                <w:sz w:val="18"/>
                <w:szCs w:val="16"/>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C9C9C9"/>
            <w:vAlign w:val="center"/>
            <w:hideMark/>
          </w:tcPr>
          <w:p w14:paraId="6B0B5390" w14:textId="54237F54" w:rsidR="001726D2" w:rsidRPr="00766D8A" w:rsidRDefault="00DC73DA">
            <w:pPr>
              <w:jc w:val="center"/>
              <w:rPr>
                <w:rFonts w:ascii="Arial" w:hAnsi="Arial" w:cs="Arial"/>
                <w:b/>
                <w:bCs/>
                <w:color w:val="000000"/>
                <w:sz w:val="18"/>
                <w:szCs w:val="16"/>
              </w:rPr>
            </w:pPr>
            <w:r>
              <w:rPr>
                <w:rFonts w:ascii="Arial" w:hAnsi="Arial" w:cs="Arial"/>
                <w:b/>
                <w:bCs/>
                <w:color w:val="000000"/>
                <w:sz w:val="18"/>
                <w:szCs w:val="16"/>
              </w:rPr>
              <w:t>Outcome</w:t>
            </w:r>
          </w:p>
        </w:tc>
        <w:tc>
          <w:tcPr>
            <w:tcW w:w="2268" w:type="dxa"/>
            <w:gridSpan w:val="2"/>
            <w:tcBorders>
              <w:top w:val="single" w:sz="4" w:space="0" w:color="auto"/>
              <w:left w:val="nil"/>
              <w:bottom w:val="single" w:sz="4" w:space="0" w:color="auto"/>
              <w:right w:val="single" w:sz="4" w:space="0" w:color="auto"/>
            </w:tcBorders>
            <w:shd w:val="clear" w:color="000000" w:fill="C9C9C9"/>
            <w:vAlign w:val="center"/>
            <w:hideMark/>
          </w:tcPr>
          <w:p w14:paraId="2C91A929" w14:textId="6F3E9277" w:rsidR="001726D2" w:rsidRPr="00766D8A" w:rsidRDefault="001726D2" w:rsidP="00EF3D6E">
            <w:pPr>
              <w:jc w:val="center"/>
              <w:rPr>
                <w:rFonts w:ascii="Arial" w:hAnsi="Arial" w:cs="Arial"/>
                <w:b/>
                <w:bCs/>
                <w:color w:val="000000"/>
                <w:sz w:val="18"/>
                <w:szCs w:val="16"/>
              </w:rPr>
            </w:pPr>
            <w:r w:rsidRPr="00766D8A">
              <w:rPr>
                <w:rFonts w:ascii="Arial" w:hAnsi="Arial" w:cs="Arial"/>
                <w:b/>
                <w:bCs/>
                <w:color w:val="000000"/>
                <w:sz w:val="18"/>
                <w:szCs w:val="16"/>
              </w:rPr>
              <w:t>Meningococcal Disease (n=</w:t>
            </w:r>
            <w:r w:rsidR="0053258F" w:rsidRPr="00766D8A">
              <w:rPr>
                <w:rFonts w:ascii="Arial" w:hAnsi="Arial" w:cs="Arial"/>
                <w:b/>
                <w:bCs/>
                <w:color w:val="000000"/>
                <w:sz w:val="18"/>
                <w:szCs w:val="16"/>
              </w:rPr>
              <w:t>19</w:t>
            </w:r>
            <w:r w:rsidRPr="00766D8A">
              <w:rPr>
                <w:rFonts w:ascii="Arial" w:hAnsi="Arial" w:cs="Arial"/>
                <w:b/>
                <w:bCs/>
                <w:color w:val="000000"/>
                <w:sz w:val="18"/>
                <w:szCs w:val="16"/>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9C9C9"/>
            <w:vAlign w:val="center"/>
            <w:hideMark/>
          </w:tcPr>
          <w:p w14:paraId="26D8A8C6" w14:textId="77777777" w:rsidR="00D406AA" w:rsidRDefault="001726D2" w:rsidP="00EF3D6E">
            <w:pPr>
              <w:jc w:val="center"/>
              <w:rPr>
                <w:rFonts w:ascii="Arial" w:hAnsi="Arial" w:cs="Arial"/>
                <w:b/>
                <w:bCs/>
                <w:color w:val="000000"/>
                <w:sz w:val="18"/>
                <w:szCs w:val="16"/>
              </w:rPr>
            </w:pPr>
            <w:r w:rsidRPr="00766D8A">
              <w:rPr>
                <w:rFonts w:ascii="Arial" w:hAnsi="Arial" w:cs="Arial"/>
                <w:b/>
                <w:bCs/>
                <w:color w:val="000000"/>
                <w:sz w:val="18"/>
                <w:szCs w:val="16"/>
              </w:rPr>
              <w:t xml:space="preserve">Sensitivity </w:t>
            </w:r>
          </w:p>
          <w:p w14:paraId="6B134875" w14:textId="45DC132E" w:rsidR="001726D2" w:rsidRPr="00766D8A" w:rsidRDefault="001726D2" w:rsidP="00EF3D6E">
            <w:pPr>
              <w:jc w:val="center"/>
              <w:rPr>
                <w:rFonts w:ascii="Arial" w:hAnsi="Arial" w:cs="Arial"/>
                <w:b/>
                <w:bCs/>
                <w:color w:val="000000"/>
                <w:sz w:val="18"/>
                <w:szCs w:val="16"/>
              </w:rPr>
            </w:pPr>
            <w:r w:rsidRPr="00766D8A">
              <w:rPr>
                <w:rFonts w:ascii="Arial" w:hAnsi="Arial" w:cs="Arial"/>
                <w:b/>
                <w:bCs/>
                <w:color w:val="000000"/>
                <w:sz w:val="18"/>
                <w:szCs w:val="16"/>
              </w:rPr>
              <w:t>(95% CI)</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9C9C9"/>
            <w:vAlign w:val="center"/>
            <w:hideMark/>
          </w:tcPr>
          <w:p w14:paraId="6C934D49" w14:textId="77777777" w:rsidR="00D406AA" w:rsidRDefault="001726D2" w:rsidP="00EF3D6E">
            <w:pPr>
              <w:jc w:val="center"/>
              <w:rPr>
                <w:rFonts w:ascii="Arial" w:hAnsi="Arial" w:cs="Arial"/>
                <w:b/>
                <w:bCs/>
                <w:color w:val="000000"/>
                <w:sz w:val="18"/>
                <w:szCs w:val="16"/>
              </w:rPr>
            </w:pPr>
            <w:r w:rsidRPr="00766D8A">
              <w:rPr>
                <w:rFonts w:ascii="Arial" w:hAnsi="Arial" w:cs="Arial"/>
                <w:b/>
                <w:bCs/>
                <w:color w:val="000000"/>
                <w:sz w:val="18"/>
                <w:szCs w:val="16"/>
              </w:rPr>
              <w:t xml:space="preserve">Specificity </w:t>
            </w:r>
          </w:p>
          <w:p w14:paraId="5DCFA40B" w14:textId="0F5FE2FA" w:rsidR="001726D2" w:rsidRPr="00766D8A" w:rsidRDefault="001726D2" w:rsidP="00EF3D6E">
            <w:pPr>
              <w:jc w:val="center"/>
              <w:rPr>
                <w:rFonts w:ascii="Arial" w:hAnsi="Arial" w:cs="Arial"/>
                <w:b/>
                <w:bCs/>
                <w:color w:val="000000"/>
                <w:sz w:val="18"/>
                <w:szCs w:val="16"/>
              </w:rPr>
            </w:pPr>
            <w:r w:rsidRPr="00766D8A">
              <w:rPr>
                <w:rFonts w:ascii="Arial" w:hAnsi="Arial" w:cs="Arial"/>
                <w:b/>
                <w:bCs/>
                <w:color w:val="000000"/>
                <w:sz w:val="18"/>
                <w:szCs w:val="16"/>
              </w:rPr>
              <w:t>(95% CI)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C9C9C9"/>
            <w:vAlign w:val="center"/>
            <w:hideMark/>
          </w:tcPr>
          <w:p w14:paraId="1A774057" w14:textId="77777777" w:rsidR="00D406AA" w:rsidRDefault="001726D2" w:rsidP="00EF3D6E">
            <w:pPr>
              <w:jc w:val="center"/>
              <w:rPr>
                <w:rFonts w:ascii="Arial" w:hAnsi="Arial" w:cs="Arial"/>
                <w:b/>
                <w:bCs/>
                <w:color w:val="000000"/>
                <w:sz w:val="18"/>
                <w:szCs w:val="16"/>
              </w:rPr>
            </w:pPr>
            <w:r w:rsidRPr="00766D8A">
              <w:rPr>
                <w:rFonts w:ascii="Arial" w:hAnsi="Arial" w:cs="Arial"/>
                <w:b/>
                <w:bCs/>
                <w:color w:val="000000"/>
                <w:sz w:val="18"/>
                <w:szCs w:val="16"/>
              </w:rPr>
              <w:t xml:space="preserve">Positive Predictive Value </w:t>
            </w:r>
          </w:p>
          <w:p w14:paraId="01D51770" w14:textId="0AAC9906" w:rsidR="001726D2" w:rsidRPr="00766D8A" w:rsidRDefault="001726D2" w:rsidP="00EF3D6E">
            <w:pPr>
              <w:jc w:val="center"/>
              <w:rPr>
                <w:rFonts w:ascii="Arial" w:hAnsi="Arial" w:cs="Arial"/>
                <w:b/>
                <w:bCs/>
                <w:color w:val="000000"/>
                <w:sz w:val="18"/>
                <w:szCs w:val="16"/>
              </w:rPr>
            </w:pPr>
            <w:r w:rsidRPr="00766D8A">
              <w:rPr>
                <w:rFonts w:ascii="Arial" w:hAnsi="Arial" w:cs="Arial"/>
                <w:b/>
                <w:bCs/>
                <w:color w:val="000000"/>
                <w:sz w:val="18"/>
                <w:szCs w:val="16"/>
              </w:rPr>
              <w:t>(95%CI)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C9C9C9"/>
            <w:vAlign w:val="center"/>
            <w:hideMark/>
          </w:tcPr>
          <w:p w14:paraId="71173CF2" w14:textId="47309EC7" w:rsidR="00D406AA" w:rsidRDefault="001726D2">
            <w:pPr>
              <w:jc w:val="center"/>
              <w:rPr>
                <w:rFonts w:ascii="Arial" w:hAnsi="Arial" w:cs="Arial"/>
                <w:b/>
                <w:bCs/>
                <w:color w:val="000000"/>
                <w:sz w:val="18"/>
                <w:szCs w:val="16"/>
              </w:rPr>
            </w:pPr>
            <w:r w:rsidRPr="00766D8A">
              <w:rPr>
                <w:rFonts w:ascii="Arial" w:hAnsi="Arial" w:cs="Arial"/>
                <w:b/>
                <w:bCs/>
                <w:color w:val="000000"/>
                <w:sz w:val="18"/>
                <w:szCs w:val="16"/>
              </w:rPr>
              <w:t>Negative</w:t>
            </w:r>
            <w:r w:rsidR="00D406AA">
              <w:rPr>
                <w:rFonts w:ascii="Arial" w:hAnsi="Arial" w:cs="Arial"/>
                <w:b/>
                <w:bCs/>
                <w:color w:val="000000"/>
                <w:sz w:val="18"/>
                <w:szCs w:val="16"/>
              </w:rPr>
              <w:t xml:space="preserve"> </w:t>
            </w:r>
            <w:r w:rsidRPr="00766D8A">
              <w:rPr>
                <w:rFonts w:ascii="Arial" w:hAnsi="Arial" w:cs="Arial"/>
                <w:b/>
                <w:bCs/>
                <w:color w:val="000000"/>
                <w:sz w:val="18"/>
                <w:szCs w:val="16"/>
              </w:rPr>
              <w:t xml:space="preserve">Predictive Value  </w:t>
            </w:r>
          </w:p>
          <w:p w14:paraId="66F0C434" w14:textId="3E62D878" w:rsidR="001726D2" w:rsidRPr="00766D8A" w:rsidRDefault="001726D2">
            <w:pPr>
              <w:jc w:val="center"/>
              <w:rPr>
                <w:rFonts w:ascii="Arial" w:hAnsi="Arial" w:cs="Arial"/>
                <w:b/>
                <w:bCs/>
                <w:color w:val="000000"/>
                <w:sz w:val="18"/>
                <w:szCs w:val="16"/>
              </w:rPr>
            </w:pPr>
            <w:r w:rsidRPr="00766D8A">
              <w:rPr>
                <w:rFonts w:ascii="Arial" w:hAnsi="Arial" w:cs="Arial"/>
                <w:b/>
                <w:bCs/>
                <w:color w:val="000000"/>
                <w:sz w:val="18"/>
                <w:szCs w:val="16"/>
              </w:rPr>
              <w:t>(95%CI)</w:t>
            </w:r>
          </w:p>
        </w:tc>
        <w:tc>
          <w:tcPr>
            <w:tcW w:w="2552" w:type="dxa"/>
            <w:vMerge w:val="restart"/>
            <w:tcBorders>
              <w:top w:val="single" w:sz="4" w:space="0" w:color="auto"/>
              <w:left w:val="single" w:sz="4" w:space="0" w:color="auto"/>
              <w:right w:val="single" w:sz="4" w:space="0" w:color="auto"/>
            </w:tcBorders>
            <w:shd w:val="clear" w:color="000000" w:fill="C9C9C9"/>
            <w:vAlign w:val="center"/>
          </w:tcPr>
          <w:p w14:paraId="2412A2AC" w14:textId="1C51E3C9" w:rsidR="001726D2" w:rsidRPr="00766D8A" w:rsidRDefault="00265BB7" w:rsidP="009156AB">
            <w:pPr>
              <w:jc w:val="center"/>
              <w:rPr>
                <w:rFonts w:ascii="Arial" w:hAnsi="Arial" w:cs="Arial"/>
                <w:b/>
                <w:bCs/>
                <w:color w:val="000000"/>
                <w:sz w:val="18"/>
                <w:szCs w:val="16"/>
              </w:rPr>
            </w:pPr>
            <w:r>
              <w:rPr>
                <w:rFonts w:ascii="Arial" w:hAnsi="Arial" w:cs="Arial"/>
                <w:b/>
                <w:bCs/>
                <w:color w:val="000000"/>
                <w:sz w:val="18"/>
                <w:szCs w:val="16"/>
              </w:rPr>
              <w:t xml:space="preserve">Mean </w:t>
            </w:r>
            <w:r w:rsidR="004B030D">
              <w:rPr>
                <w:rFonts w:ascii="Arial" w:hAnsi="Arial" w:cs="Arial"/>
                <w:b/>
                <w:bCs/>
                <w:color w:val="000000"/>
                <w:sz w:val="18"/>
                <w:szCs w:val="16"/>
              </w:rPr>
              <w:t>C</w:t>
            </w:r>
            <w:r w:rsidR="001726D2" w:rsidRPr="00766D8A">
              <w:rPr>
                <w:rFonts w:ascii="Arial" w:hAnsi="Arial" w:cs="Arial"/>
                <w:b/>
                <w:bCs/>
                <w:color w:val="000000"/>
                <w:sz w:val="18"/>
                <w:szCs w:val="16"/>
              </w:rPr>
              <w:t>ost per</w:t>
            </w:r>
            <w:r w:rsidR="00D406AA">
              <w:rPr>
                <w:rFonts w:ascii="Arial" w:hAnsi="Arial" w:cs="Arial"/>
                <w:b/>
                <w:bCs/>
                <w:color w:val="000000"/>
                <w:sz w:val="18"/>
                <w:szCs w:val="16"/>
              </w:rPr>
              <w:t xml:space="preserve"> </w:t>
            </w:r>
            <w:r w:rsidR="004B030D">
              <w:rPr>
                <w:rFonts w:ascii="Arial" w:hAnsi="Arial" w:cs="Arial"/>
                <w:b/>
                <w:bCs/>
                <w:color w:val="000000"/>
                <w:sz w:val="18"/>
                <w:szCs w:val="16"/>
              </w:rPr>
              <w:t>P</w:t>
            </w:r>
            <w:r w:rsidR="001726D2" w:rsidRPr="00766D8A">
              <w:rPr>
                <w:rFonts w:ascii="Arial" w:hAnsi="Arial" w:cs="Arial"/>
                <w:b/>
                <w:bCs/>
                <w:color w:val="000000"/>
                <w:sz w:val="18"/>
                <w:szCs w:val="16"/>
              </w:rPr>
              <w:t>atient</w:t>
            </w:r>
            <w:r w:rsidR="003B31CC">
              <w:rPr>
                <w:rFonts w:ascii="Arial" w:hAnsi="Arial" w:cs="Arial"/>
                <w:b/>
                <w:bCs/>
                <w:color w:val="000000"/>
                <w:sz w:val="18"/>
                <w:szCs w:val="16"/>
              </w:rPr>
              <w:t xml:space="preserve"> </w:t>
            </w:r>
            <w:r>
              <w:rPr>
                <w:rFonts w:ascii="Arial" w:hAnsi="Arial" w:cs="Arial"/>
                <w:b/>
                <w:bCs/>
                <w:color w:val="000000"/>
                <w:sz w:val="18"/>
                <w:szCs w:val="16"/>
              </w:rPr>
              <w:t>(Bootstrapped 95% CI)</w:t>
            </w:r>
          </w:p>
        </w:tc>
      </w:tr>
      <w:tr w:rsidR="00734DB3" w:rsidRPr="00D406AA" w14:paraId="4A39A395" w14:textId="79F7589A" w:rsidTr="00991585">
        <w:trPr>
          <w:trHeight w:val="246"/>
        </w:trPr>
        <w:tc>
          <w:tcPr>
            <w:tcW w:w="1304" w:type="dxa"/>
            <w:vMerge/>
            <w:tcBorders>
              <w:top w:val="single" w:sz="4" w:space="0" w:color="auto"/>
              <w:left w:val="single" w:sz="4" w:space="0" w:color="auto"/>
              <w:bottom w:val="single" w:sz="4" w:space="0" w:color="auto"/>
              <w:right w:val="single" w:sz="4" w:space="0" w:color="auto"/>
            </w:tcBorders>
            <w:vAlign w:val="center"/>
            <w:hideMark/>
          </w:tcPr>
          <w:p w14:paraId="5686EF84" w14:textId="77777777" w:rsidR="001726D2" w:rsidRPr="00766D8A" w:rsidRDefault="001726D2" w:rsidP="00EF3D6E">
            <w:pPr>
              <w:rPr>
                <w:rFonts w:ascii="Arial" w:hAnsi="Arial" w:cs="Arial"/>
                <w:b/>
                <w:bCs/>
                <w:color w:val="000000"/>
                <w:sz w:val="18"/>
                <w:szCs w:val="16"/>
              </w:rPr>
            </w:pPr>
          </w:p>
        </w:tc>
        <w:tc>
          <w:tcPr>
            <w:tcW w:w="1417" w:type="dxa"/>
            <w:vMerge/>
            <w:tcBorders>
              <w:top w:val="single" w:sz="4" w:space="0" w:color="000000"/>
              <w:left w:val="nil"/>
              <w:bottom w:val="single" w:sz="4" w:space="0" w:color="000000"/>
              <w:right w:val="single" w:sz="4" w:space="0" w:color="auto"/>
            </w:tcBorders>
            <w:vAlign w:val="center"/>
            <w:hideMark/>
          </w:tcPr>
          <w:p w14:paraId="119F746C" w14:textId="77777777" w:rsidR="001726D2" w:rsidRPr="00766D8A" w:rsidRDefault="001726D2" w:rsidP="00EF3D6E">
            <w:pPr>
              <w:rPr>
                <w:rFonts w:ascii="Arial" w:hAnsi="Arial" w:cs="Arial"/>
                <w:b/>
                <w:bCs/>
                <w:color w:val="000000"/>
                <w:sz w:val="18"/>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D420211" w14:textId="77777777" w:rsidR="001726D2" w:rsidRPr="00766D8A" w:rsidRDefault="001726D2" w:rsidP="00EF3D6E">
            <w:pPr>
              <w:rPr>
                <w:rFonts w:ascii="Arial" w:hAnsi="Arial" w:cs="Arial"/>
                <w:b/>
                <w:bCs/>
                <w:color w:val="000000"/>
                <w:sz w:val="18"/>
                <w:szCs w:val="16"/>
              </w:rPr>
            </w:pPr>
          </w:p>
        </w:tc>
        <w:tc>
          <w:tcPr>
            <w:tcW w:w="1134" w:type="dxa"/>
            <w:tcBorders>
              <w:top w:val="nil"/>
              <w:left w:val="nil"/>
              <w:bottom w:val="single" w:sz="4" w:space="0" w:color="auto"/>
              <w:right w:val="single" w:sz="4" w:space="0" w:color="auto"/>
            </w:tcBorders>
            <w:shd w:val="clear" w:color="000000" w:fill="C9C9C9"/>
            <w:noWrap/>
            <w:vAlign w:val="bottom"/>
            <w:hideMark/>
          </w:tcPr>
          <w:p w14:paraId="58560DCE" w14:textId="38722544" w:rsidR="001726D2" w:rsidRPr="00766D8A" w:rsidRDefault="001726D2" w:rsidP="00EF3D6E">
            <w:pPr>
              <w:jc w:val="center"/>
              <w:rPr>
                <w:rFonts w:ascii="Arial" w:hAnsi="Arial" w:cs="Arial"/>
                <w:b/>
                <w:bCs/>
                <w:color w:val="000000"/>
                <w:sz w:val="18"/>
                <w:szCs w:val="16"/>
              </w:rPr>
            </w:pPr>
            <w:r w:rsidRPr="00766D8A">
              <w:rPr>
                <w:rFonts w:ascii="Arial" w:hAnsi="Arial" w:cs="Arial"/>
                <w:b/>
                <w:bCs/>
                <w:color w:val="000000"/>
                <w:sz w:val="18"/>
                <w:szCs w:val="16"/>
              </w:rPr>
              <w:t>Present</w:t>
            </w:r>
          </w:p>
        </w:tc>
        <w:tc>
          <w:tcPr>
            <w:tcW w:w="1134" w:type="dxa"/>
            <w:tcBorders>
              <w:top w:val="nil"/>
              <w:left w:val="nil"/>
              <w:bottom w:val="single" w:sz="4" w:space="0" w:color="auto"/>
              <w:right w:val="single" w:sz="4" w:space="0" w:color="auto"/>
            </w:tcBorders>
            <w:shd w:val="clear" w:color="000000" w:fill="C9C9C9"/>
            <w:noWrap/>
            <w:vAlign w:val="bottom"/>
            <w:hideMark/>
          </w:tcPr>
          <w:p w14:paraId="785C8A8C" w14:textId="0E0C6837" w:rsidR="001726D2" w:rsidRPr="00766D8A" w:rsidRDefault="001726D2" w:rsidP="00EF3D6E">
            <w:pPr>
              <w:jc w:val="center"/>
              <w:rPr>
                <w:rFonts w:ascii="Arial" w:hAnsi="Arial" w:cs="Arial"/>
                <w:b/>
                <w:bCs/>
                <w:color w:val="000000"/>
                <w:sz w:val="18"/>
                <w:szCs w:val="16"/>
              </w:rPr>
            </w:pPr>
            <w:r w:rsidRPr="00766D8A">
              <w:rPr>
                <w:rFonts w:ascii="Arial" w:hAnsi="Arial" w:cs="Arial"/>
                <w:b/>
                <w:bCs/>
                <w:color w:val="000000"/>
                <w:sz w:val="18"/>
                <w:szCs w:val="16"/>
              </w:rPr>
              <w:t>Absent</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13C2096" w14:textId="77777777" w:rsidR="001726D2" w:rsidRPr="00766D8A" w:rsidRDefault="001726D2" w:rsidP="00EF3D6E">
            <w:pPr>
              <w:rPr>
                <w:rFonts w:ascii="Arial" w:hAnsi="Arial" w:cs="Arial"/>
                <w:b/>
                <w:bCs/>
                <w:color w:val="000000"/>
                <w:sz w:val="18"/>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ABADA8E" w14:textId="77777777" w:rsidR="001726D2" w:rsidRPr="00766D8A" w:rsidRDefault="001726D2" w:rsidP="00EF3D6E">
            <w:pPr>
              <w:rPr>
                <w:rFonts w:ascii="Arial" w:hAnsi="Arial" w:cs="Arial"/>
                <w:b/>
                <w:bCs/>
                <w:color w:val="000000"/>
                <w:sz w:val="18"/>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5F5F09" w14:textId="77777777" w:rsidR="001726D2" w:rsidRPr="00766D8A" w:rsidRDefault="001726D2" w:rsidP="00EF3D6E">
            <w:pPr>
              <w:rPr>
                <w:rFonts w:ascii="Arial" w:hAnsi="Arial" w:cs="Arial"/>
                <w:b/>
                <w:bCs/>
                <w:color w:val="000000"/>
                <w:sz w:val="18"/>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ECDDA39" w14:textId="77777777" w:rsidR="001726D2" w:rsidRPr="00766D8A" w:rsidRDefault="001726D2" w:rsidP="00EF3D6E">
            <w:pPr>
              <w:rPr>
                <w:rFonts w:ascii="Arial" w:hAnsi="Arial" w:cs="Arial"/>
                <w:b/>
                <w:bCs/>
                <w:color w:val="000000"/>
                <w:sz w:val="18"/>
                <w:szCs w:val="16"/>
              </w:rPr>
            </w:pPr>
          </w:p>
        </w:tc>
        <w:tc>
          <w:tcPr>
            <w:tcW w:w="2552" w:type="dxa"/>
            <w:vMerge/>
            <w:tcBorders>
              <w:left w:val="single" w:sz="4" w:space="0" w:color="auto"/>
              <w:bottom w:val="single" w:sz="4" w:space="0" w:color="auto"/>
              <w:right w:val="single" w:sz="4" w:space="0" w:color="auto"/>
            </w:tcBorders>
            <w:vAlign w:val="center"/>
          </w:tcPr>
          <w:p w14:paraId="210F0E06" w14:textId="77777777" w:rsidR="001726D2" w:rsidRPr="00766D8A" w:rsidRDefault="001726D2" w:rsidP="009156AB">
            <w:pPr>
              <w:jc w:val="center"/>
              <w:rPr>
                <w:rFonts w:ascii="Arial" w:hAnsi="Arial" w:cs="Arial"/>
                <w:b/>
                <w:bCs/>
                <w:color w:val="000000"/>
                <w:sz w:val="18"/>
                <w:szCs w:val="16"/>
              </w:rPr>
            </w:pPr>
          </w:p>
        </w:tc>
      </w:tr>
      <w:tr w:rsidR="00734DB3" w:rsidRPr="00D406AA" w14:paraId="50AA9D08" w14:textId="77777777" w:rsidTr="00734DB3">
        <w:trPr>
          <w:trHeight w:val="256"/>
        </w:trPr>
        <w:tc>
          <w:tcPr>
            <w:tcW w:w="1304"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7BF11C85" w14:textId="3A4A7FCC" w:rsidR="005F4E55" w:rsidRPr="00766D8A" w:rsidRDefault="005F4E55" w:rsidP="005F4E55">
            <w:pPr>
              <w:jc w:val="center"/>
              <w:rPr>
                <w:rFonts w:ascii="Arial" w:hAnsi="Arial" w:cs="Arial"/>
                <w:b/>
                <w:bCs/>
                <w:color w:val="000000"/>
                <w:sz w:val="18"/>
                <w:szCs w:val="16"/>
              </w:rPr>
            </w:pPr>
            <w:r>
              <w:rPr>
                <w:rFonts w:ascii="Arial" w:hAnsi="Arial" w:cs="Arial"/>
                <w:b/>
                <w:bCs/>
                <w:color w:val="000000"/>
                <w:sz w:val="18"/>
                <w:szCs w:val="16"/>
              </w:rPr>
              <w:t>Clinician Practice</w:t>
            </w:r>
          </w:p>
        </w:tc>
        <w:tc>
          <w:tcPr>
            <w:tcW w:w="1417" w:type="dxa"/>
            <w:vMerge w:val="restart"/>
            <w:tcBorders>
              <w:top w:val="nil"/>
              <w:left w:val="nil"/>
              <w:right w:val="single" w:sz="4" w:space="0" w:color="auto"/>
            </w:tcBorders>
            <w:shd w:val="clear" w:color="auto" w:fill="D0CECE" w:themeFill="background2" w:themeFillShade="E6"/>
            <w:vAlign w:val="center"/>
          </w:tcPr>
          <w:p w14:paraId="07AF12A8" w14:textId="77777777" w:rsidR="005F4E55" w:rsidRPr="00247764" w:rsidRDefault="005F4E55" w:rsidP="005F4E55">
            <w:pPr>
              <w:jc w:val="center"/>
              <w:rPr>
                <w:rFonts w:ascii="Arial" w:hAnsi="Arial" w:cs="Arial"/>
                <w:bCs/>
                <w:color w:val="000000"/>
                <w:sz w:val="18"/>
                <w:szCs w:val="16"/>
              </w:rPr>
            </w:pPr>
            <w:r w:rsidRPr="00247764">
              <w:rPr>
                <w:rFonts w:ascii="Arial" w:hAnsi="Arial" w:cs="Arial"/>
                <w:bCs/>
                <w:color w:val="000000"/>
                <w:sz w:val="18"/>
                <w:szCs w:val="16"/>
              </w:rPr>
              <w:t>1137</w:t>
            </w:r>
          </w:p>
          <w:p w14:paraId="6BE023CF" w14:textId="1EB1AC0E" w:rsidR="005F4E55" w:rsidRPr="00247764" w:rsidRDefault="005F4E55" w:rsidP="005F4E55">
            <w:pPr>
              <w:jc w:val="center"/>
              <w:rPr>
                <w:rFonts w:ascii="Arial" w:hAnsi="Arial" w:cs="Arial"/>
                <w:bCs/>
                <w:color w:val="000000"/>
                <w:sz w:val="18"/>
                <w:szCs w:val="16"/>
              </w:rPr>
            </w:pPr>
            <w:r>
              <w:rPr>
                <w:rFonts w:ascii="Arial" w:hAnsi="Arial" w:cs="Arial"/>
                <w:bCs/>
                <w:color w:val="000000"/>
                <w:sz w:val="18"/>
                <w:szCs w:val="16"/>
              </w:rPr>
              <w:t>(86</w:t>
            </w:r>
            <w:r w:rsidRPr="00247764">
              <w:rPr>
                <w:rFonts w:ascii="Arial" w:hAnsi="Arial" w:cs="Arial"/>
                <w:bCs/>
                <w:color w:val="000000"/>
                <w:sz w:val="18"/>
                <w:szCs w:val="16"/>
              </w:rPr>
              <w:t>)</w:t>
            </w:r>
          </w:p>
        </w:tc>
        <w:tc>
          <w:tcPr>
            <w:tcW w:w="1418" w:type="dxa"/>
            <w:tcBorders>
              <w:top w:val="single" w:sz="4" w:space="0" w:color="auto"/>
              <w:left w:val="single" w:sz="4" w:space="0" w:color="auto"/>
              <w:bottom w:val="single" w:sz="4" w:space="0" w:color="auto"/>
              <w:right w:val="single" w:sz="4" w:space="0" w:color="auto"/>
            </w:tcBorders>
            <w:vAlign w:val="bottom"/>
          </w:tcPr>
          <w:p w14:paraId="10CAA208" w14:textId="1661AEC9" w:rsidR="005F4E55" w:rsidRPr="00766D8A" w:rsidRDefault="005F4E55" w:rsidP="005F4E55">
            <w:pPr>
              <w:rPr>
                <w:rFonts w:ascii="Arial" w:hAnsi="Arial" w:cs="Arial"/>
                <w:b/>
                <w:bCs/>
                <w:color w:val="000000"/>
                <w:sz w:val="18"/>
                <w:szCs w:val="16"/>
              </w:rPr>
            </w:pPr>
            <w:r w:rsidRPr="00766D8A">
              <w:rPr>
                <w:rFonts w:ascii="Arial" w:hAnsi="Arial" w:cs="Arial"/>
                <w:color w:val="000000"/>
                <w:sz w:val="18"/>
                <w:szCs w:val="16"/>
              </w:rPr>
              <w:t>Treat</w:t>
            </w:r>
          </w:p>
        </w:tc>
        <w:tc>
          <w:tcPr>
            <w:tcW w:w="1134" w:type="dxa"/>
            <w:tcBorders>
              <w:top w:val="nil"/>
              <w:left w:val="nil"/>
              <w:bottom w:val="single" w:sz="4" w:space="0" w:color="auto"/>
              <w:right w:val="single" w:sz="4" w:space="0" w:color="auto"/>
            </w:tcBorders>
            <w:shd w:val="clear" w:color="auto" w:fill="FFFFFF" w:themeFill="background1"/>
            <w:noWrap/>
            <w:vAlign w:val="bottom"/>
          </w:tcPr>
          <w:p w14:paraId="48B6BAB0" w14:textId="5ED9628A" w:rsidR="005F4E55" w:rsidRPr="00197AC2" w:rsidRDefault="005F4E55" w:rsidP="005F4E55">
            <w:pPr>
              <w:jc w:val="center"/>
              <w:rPr>
                <w:rFonts w:ascii="Arial" w:hAnsi="Arial" w:cs="Arial"/>
                <w:bCs/>
                <w:color w:val="000000"/>
                <w:sz w:val="18"/>
                <w:szCs w:val="16"/>
              </w:rPr>
            </w:pPr>
            <w:r>
              <w:rPr>
                <w:rFonts w:ascii="Arial" w:hAnsi="Arial" w:cs="Arial"/>
                <w:color w:val="000000"/>
                <w:sz w:val="18"/>
                <w:szCs w:val="16"/>
              </w:rPr>
              <w:t>17</w:t>
            </w:r>
          </w:p>
        </w:tc>
        <w:tc>
          <w:tcPr>
            <w:tcW w:w="1134" w:type="dxa"/>
            <w:tcBorders>
              <w:top w:val="nil"/>
              <w:left w:val="nil"/>
              <w:bottom w:val="single" w:sz="4" w:space="0" w:color="auto"/>
              <w:right w:val="single" w:sz="4" w:space="0" w:color="auto"/>
            </w:tcBorders>
            <w:shd w:val="clear" w:color="auto" w:fill="FFFFFF" w:themeFill="background1"/>
            <w:noWrap/>
            <w:vAlign w:val="bottom"/>
          </w:tcPr>
          <w:p w14:paraId="2524CB1B" w14:textId="76847D3F" w:rsidR="005F4E55" w:rsidRPr="00766D8A" w:rsidRDefault="005F4E55" w:rsidP="005F4E55">
            <w:pPr>
              <w:jc w:val="center"/>
              <w:rPr>
                <w:rFonts w:ascii="Arial" w:hAnsi="Arial" w:cs="Arial"/>
                <w:b/>
                <w:bCs/>
                <w:color w:val="000000"/>
                <w:sz w:val="18"/>
                <w:szCs w:val="16"/>
              </w:rPr>
            </w:pPr>
            <w:r>
              <w:rPr>
                <w:rFonts w:ascii="Arial" w:hAnsi="Arial" w:cs="Arial"/>
                <w:color w:val="000000"/>
                <w:sz w:val="18"/>
                <w:szCs w:val="16"/>
              </w:rPr>
              <w:t>579</w:t>
            </w:r>
          </w:p>
        </w:tc>
        <w:tc>
          <w:tcPr>
            <w:tcW w:w="1559" w:type="dxa"/>
            <w:vMerge w:val="restart"/>
            <w:tcBorders>
              <w:top w:val="single" w:sz="4" w:space="0" w:color="auto"/>
              <w:left w:val="single" w:sz="4" w:space="0" w:color="auto"/>
              <w:right w:val="single" w:sz="4" w:space="0" w:color="auto"/>
            </w:tcBorders>
            <w:vAlign w:val="center"/>
          </w:tcPr>
          <w:p w14:paraId="770CCD79" w14:textId="77777777" w:rsidR="005F4E55" w:rsidRDefault="005F4E55" w:rsidP="005F4E55">
            <w:pPr>
              <w:jc w:val="center"/>
              <w:rPr>
                <w:rFonts w:ascii="Arial" w:hAnsi="Arial" w:cs="Arial"/>
                <w:color w:val="000000"/>
                <w:sz w:val="18"/>
                <w:szCs w:val="16"/>
              </w:rPr>
            </w:pPr>
            <w:r>
              <w:rPr>
                <w:rFonts w:ascii="Arial" w:hAnsi="Arial" w:cs="Arial"/>
                <w:color w:val="000000"/>
                <w:sz w:val="18"/>
                <w:szCs w:val="16"/>
              </w:rPr>
              <w:t>0.89</w:t>
            </w:r>
          </w:p>
          <w:p w14:paraId="0F908422" w14:textId="41339936" w:rsidR="005F4E55" w:rsidRPr="00766D8A" w:rsidRDefault="005F4E55" w:rsidP="005F4E55">
            <w:pPr>
              <w:jc w:val="center"/>
              <w:rPr>
                <w:rFonts w:ascii="Arial" w:hAnsi="Arial" w:cs="Arial"/>
                <w:b/>
                <w:bCs/>
                <w:color w:val="000000"/>
                <w:sz w:val="18"/>
                <w:szCs w:val="16"/>
              </w:rPr>
            </w:pPr>
            <w:r>
              <w:rPr>
                <w:rFonts w:ascii="Arial" w:hAnsi="Arial" w:cs="Arial"/>
                <w:color w:val="000000"/>
                <w:sz w:val="18"/>
                <w:szCs w:val="16"/>
              </w:rPr>
              <w:t>(0.67 to 0.99</w:t>
            </w:r>
            <w:r w:rsidRPr="00766D8A">
              <w:rPr>
                <w:rFonts w:ascii="Arial" w:hAnsi="Arial" w:cs="Arial"/>
                <w:color w:val="000000"/>
                <w:sz w:val="18"/>
                <w:szCs w:val="16"/>
              </w:rPr>
              <w:t>)</w:t>
            </w:r>
          </w:p>
        </w:tc>
        <w:tc>
          <w:tcPr>
            <w:tcW w:w="1559" w:type="dxa"/>
            <w:vMerge w:val="restart"/>
            <w:tcBorders>
              <w:top w:val="single" w:sz="4" w:space="0" w:color="auto"/>
              <w:left w:val="single" w:sz="4" w:space="0" w:color="auto"/>
              <w:right w:val="single" w:sz="4" w:space="0" w:color="auto"/>
            </w:tcBorders>
            <w:vAlign w:val="center"/>
          </w:tcPr>
          <w:p w14:paraId="7E59C3C6" w14:textId="77777777" w:rsidR="005F4E55" w:rsidRDefault="005F4E55" w:rsidP="005F4E55">
            <w:pPr>
              <w:jc w:val="center"/>
              <w:rPr>
                <w:rFonts w:ascii="Arial" w:hAnsi="Arial" w:cs="Arial"/>
                <w:color w:val="000000"/>
                <w:sz w:val="18"/>
                <w:szCs w:val="16"/>
              </w:rPr>
            </w:pPr>
            <w:r>
              <w:rPr>
                <w:rFonts w:ascii="Arial" w:hAnsi="Arial" w:cs="Arial"/>
                <w:color w:val="000000"/>
                <w:sz w:val="18"/>
                <w:szCs w:val="16"/>
              </w:rPr>
              <w:t>0.56</w:t>
            </w:r>
          </w:p>
          <w:p w14:paraId="3629BE1B" w14:textId="54B89005" w:rsidR="005F4E55" w:rsidRPr="00766D8A" w:rsidRDefault="005F4E55" w:rsidP="005F4E55">
            <w:pPr>
              <w:jc w:val="center"/>
              <w:rPr>
                <w:rFonts w:ascii="Arial" w:hAnsi="Arial" w:cs="Arial"/>
                <w:b/>
                <w:bCs/>
                <w:color w:val="000000"/>
                <w:sz w:val="18"/>
                <w:szCs w:val="16"/>
              </w:rPr>
            </w:pPr>
            <w:r>
              <w:rPr>
                <w:rFonts w:ascii="Arial" w:hAnsi="Arial" w:cs="Arial"/>
                <w:color w:val="000000"/>
                <w:sz w:val="18"/>
                <w:szCs w:val="16"/>
              </w:rPr>
              <w:t>(0.53 to 0.59</w:t>
            </w:r>
            <w:r w:rsidRPr="00766D8A">
              <w:rPr>
                <w:rFonts w:ascii="Arial" w:hAnsi="Arial" w:cs="Arial"/>
                <w:color w:val="000000"/>
                <w:sz w:val="18"/>
                <w:szCs w:val="16"/>
              </w:rPr>
              <w:t>)</w:t>
            </w:r>
          </w:p>
        </w:tc>
        <w:tc>
          <w:tcPr>
            <w:tcW w:w="1701" w:type="dxa"/>
            <w:vMerge w:val="restart"/>
            <w:tcBorders>
              <w:top w:val="single" w:sz="4" w:space="0" w:color="auto"/>
              <w:left w:val="single" w:sz="4" w:space="0" w:color="auto"/>
              <w:right w:val="single" w:sz="4" w:space="0" w:color="auto"/>
            </w:tcBorders>
            <w:vAlign w:val="center"/>
          </w:tcPr>
          <w:p w14:paraId="2B33A1A3" w14:textId="77777777" w:rsidR="005F4E55" w:rsidRDefault="005F4E55" w:rsidP="005F4E55">
            <w:pPr>
              <w:jc w:val="center"/>
              <w:rPr>
                <w:rFonts w:ascii="Arial" w:hAnsi="Arial" w:cs="Arial"/>
                <w:color w:val="000000"/>
                <w:sz w:val="18"/>
                <w:szCs w:val="16"/>
              </w:rPr>
            </w:pPr>
            <w:r>
              <w:rPr>
                <w:rFonts w:ascii="Arial" w:hAnsi="Arial" w:cs="Arial"/>
                <w:color w:val="000000"/>
                <w:sz w:val="18"/>
                <w:szCs w:val="16"/>
              </w:rPr>
              <w:t>0.03</w:t>
            </w:r>
          </w:p>
          <w:p w14:paraId="7A6EDCA9" w14:textId="76CCA807" w:rsidR="005F4E55" w:rsidRPr="00766D8A" w:rsidRDefault="005F4E55" w:rsidP="005F4E55">
            <w:pPr>
              <w:jc w:val="center"/>
              <w:rPr>
                <w:rFonts w:ascii="Arial" w:hAnsi="Arial" w:cs="Arial"/>
                <w:b/>
                <w:bCs/>
                <w:color w:val="000000"/>
                <w:sz w:val="18"/>
                <w:szCs w:val="16"/>
              </w:rPr>
            </w:pPr>
            <w:r>
              <w:rPr>
                <w:rFonts w:ascii="Arial" w:hAnsi="Arial" w:cs="Arial"/>
                <w:color w:val="000000"/>
                <w:sz w:val="18"/>
                <w:szCs w:val="16"/>
              </w:rPr>
              <w:t>(0.02 to 0.05</w:t>
            </w:r>
            <w:r w:rsidRPr="00766D8A">
              <w:rPr>
                <w:rFonts w:ascii="Arial" w:hAnsi="Arial" w:cs="Arial"/>
                <w:color w:val="000000"/>
                <w:sz w:val="18"/>
                <w:szCs w:val="16"/>
              </w:rPr>
              <w:t>)</w:t>
            </w:r>
          </w:p>
        </w:tc>
        <w:tc>
          <w:tcPr>
            <w:tcW w:w="1701" w:type="dxa"/>
            <w:vMerge w:val="restart"/>
            <w:tcBorders>
              <w:top w:val="single" w:sz="4" w:space="0" w:color="auto"/>
              <w:left w:val="single" w:sz="4" w:space="0" w:color="auto"/>
              <w:right w:val="single" w:sz="4" w:space="0" w:color="auto"/>
            </w:tcBorders>
            <w:vAlign w:val="center"/>
          </w:tcPr>
          <w:p w14:paraId="3AEC1EC2"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0A142AD8" w14:textId="0F64D40B" w:rsidR="005F4E55" w:rsidRPr="00766D8A" w:rsidRDefault="005F4E55" w:rsidP="005F4E55">
            <w:pPr>
              <w:jc w:val="center"/>
              <w:rPr>
                <w:rFonts w:ascii="Arial" w:hAnsi="Arial" w:cs="Arial"/>
                <w:b/>
                <w:bCs/>
                <w:color w:val="000000"/>
                <w:sz w:val="18"/>
                <w:szCs w:val="16"/>
              </w:rPr>
            </w:pPr>
            <w:r w:rsidRPr="00766D8A">
              <w:rPr>
                <w:rFonts w:ascii="Arial" w:hAnsi="Arial" w:cs="Arial"/>
                <w:color w:val="000000"/>
                <w:sz w:val="18"/>
                <w:szCs w:val="16"/>
              </w:rPr>
              <w:t>(0.99 to 1.00)</w:t>
            </w:r>
          </w:p>
        </w:tc>
        <w:tc>
          <w:tcPr>
            <w:tcW w:w="2552" w:type="dxa"/>
            <w:vMerge w:val="restart"/>
            <w:tcBorders>
              <w:left w:val="single" w:sz="4" w:space="0" w:color="auto"/>
              <w:right w:val="single" w:sz="4" w:space="0" w:color="auto"/>
            </w:tcBorders>
            <w:vAlign w:val="center"/>
          </w:tcPr>
          <w:p w14:paraId="5404FC90" w14:textId="3829BBCA" w:rsidR="005F4E55" w:rsidRDefault="006567A4" w:rsidP="009156AB">
            <w:pPr>
              <w:pStyle w:val="BodyText"/>
              <w:jc w:val="center"/>
              <w:rPr>
                <w:sz w:val="18"/>
                <w:szCs w:val="18"/>
              </w:rPr>
            </w:pPr>
            <w:r>
              <w:rPr>
                <w:sz w:val="18"/>
                <w:szCs w:val="18"/>
              </w:rPr>
              <w:t>£</w:t>
            </w:r>
            <w:r w:rsidR="003B31CC">
              <w:rPr>
                <w:sz w:val="18"/>
                <w:szCs w:val="18"/>
              </w:rPr>
              <w:t>425.95</w:t>
            </w:r>
          </w:p>
          <w:p w14:paraId="42BC663A" w14:textId="7F04DD67" w:rsidR="001D20BB" w:rsidRPr="008C33F7" w:rsidRDefault="001D20BB" w:rsidP="009156AB">
            <w:pPr>
              <w:pStyle w:val="BodyText"/>
              <w:jc w:val="center"/>
              <w:rPr>
                <w:b/>
                <w:bCs/>
                <w:sz w:val="18"/>
                <w:szCs w:val="18"/>
              </w:rPr>
            </w:pPr>
            <w:r>
              <w:rPr>
                <w:sz w:val="18"/>
                <w:szCs w:val="18"/>
              </w:rPr>
              <w:t>(</w:t>
            </w:r>
            <w:r w:rsidR="00024F2A">
              <w:rPr>
                <w:sz w:val="18"/>
                <w:szCs w:val="18"/>
              </w:rPr>
              <w:t>£382.06 to £</w:t>
            </w:r>
            <w:r w:rsidR="00F33E7A">
              <w:rPr>
                <w:sz w:val="18"/>
                <w:szCs w:val="18"/>
              </w:rPr>
              <w:t>474.65)</w:t>
            </w:r>
          </w:p>
        </w:tc>
      </w:tr>
      <w:tr w:rsidR="00734DB3" w:rsidRPr="00D406AA" w14:paraId="31AE1D60" w14:textId="77777777" w:rsidTr="00734DB3">
        <w:trPr>
          <w:trHeight w:val="313"/>
        </w:trPr>
        <w:tc>
          <w:tcPr>
            <w:tcW w:w="1304"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2164D160" w14:textId="77777777" w:rsidR="005F4E55" w:rsidRPr="00766D8A" w:rsidRDefault="005F4E55" w:rsidP="005F4E55">
            <w:pPr>
              <w:rPr>
                <w:rFonts w:ascii="Arial" w:hAnsi="Arial" w:cs="Arial"/>
                <w:b/>
                <w:bCs/>
                <w:color w:val="000000"/>
                <w:sz w:val="18"/>
                <w:szCs w:val="16"/>
              </w:rPr>
            </w:pPr>
          </w:p>
        </w:tc>
        <w:tc>
          <w:tcPr>
            <w:tcW w:w="1417" w:type="dxa"/>
            <w:vMerge/>
            <w:tcBorders>
              <w:left w:val="nil"/>
              <w:bottom w:val="single" w:sz="4" w:space="0" w:color="000000"/>
              <w:right w:val="single" w:sz="4" w:space="0" w:color="auto"/>
            </w:tcBorders>
            <w:shd w:val="clear" w:color="auto" w:fill="D0CECE" w:themeFill="background2" w:themeFillShade="E6"/>
            <w:vAlign w:val="center"/>
          </w:tcPr>
          <w:p w14:paraId="33C108AC" w14:textId="77777777" w:rsidR="005F4E55" w:rsidRPr="00247764" w:rsidRDefault="005F4E55" w:rsidP="005F4E55">
            <w:pPr>
              <w:rPr>
                <w:rFonts w:ascii="Arial" w:hAnsi="Arial" w:cs="Arial"/>
                <w:bCs/>
                <w:color w:val="000000"/>
                <w:sz w:val="18"/>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0F767C30" w14:textId="3C7B0008" w:rsidR="005F4E55" w:rsidRPr="00766D8A" w:rsidRDefault="005F4E55" w:rsidP="005F4E55">
            <w:pPr>
              <w:rPr>
                <w:rFonts w:ascii="Arial" w:hAnsi="Arial" w:cs="Arial"/>
                <w:b/>
                <w:bCs/>
                <w:color w:val="000000"/>
                <w:sz w:val="18"/>
                <w:szCs w:val="16"/>
              </w:rPr>
            </w:pPr>
            <w:r w:rsidRPr="00766D8A">
              <w:rPr>
                <w:rFonts w:ascii="Arial" w:hAnsi="Arial" w:cs="Arial"/>
                <w:color w:val="000000"/>
                <w:sz w:val="18"/>
                <w:szCs w:val="16"/>
              </w:rPr>
              <w:t>Do Not Treat</w:t>
            </w:r>
          </w:p>
        </w:tc>
        <w:tc>
          <w:tcPr>
            <w:tcW w:w="1134" w:type="dxa"/>
            <w:tcBorders>
              <w:top w:val="nil"/>
              <w:left w:val="nil"/>
              <w:bottom w:val="single" w:sz="4" w:space="0" w:color="auto"/>
              <w:right w:val="single" w:sz="4" w:space="0" w:color="auto"/>
            </w:tcBorders>
            <w:shd w:val="clear" w:color="auto" w:fill="E7E6E6" w:themeFill="background2"/>
            <w:noWrap/>
            <w:vAlign w:val="bottom"/>
          </w:tcPr>
          <w:p w14:paraId="4F86FEC6" w14:textId="26022367" w:rsidR="005F4E55" w:rsidRPr="00766D8A" w:rsidRDefault="005F4E55" w:rsidP="005F4E55">
            <w:pPr>
              <w:jc w:val="center"/>
              <w:rPr>
                <w:rFonts w:ascii="Arial" w:hAnsi="Arial" w:cs="Arial"/>
                <w:b/>
                <w:bCs/>
                <w:color w:val="000000"/>
                <w:sz w:val="18"/>
                <w:szCs w:val="16"/>
              </w:rPr>
            </w:pPr>
            <w:r>
              <w:rPr>
                <w:rFonts w:ascii="Arial" w:hAnsi="Arial" w:cs="Arial"/>
                <w:color w:val="000000"/>
                <w:sz w:val="18"/>
                <w:szCs w:val="16"/>
              </w:rPr>
              <w:t>2</w:t>
            </w:r>
          </w:p>
        </w:tc>
        <w:tc>
          <w:tcPr>
            <w:tcW w:w="1134" w:type="dxa"/>
            <w:tcBorders>
              <w:top w:val="nil"/>
              <w:left w:val="nil"/>
              <w:bottom w:val="single" w:sz="4" w:space="0" w:color="auto"/>
              <w:right w:val="single" w:sz="4" w:space="0" w:color="auto"/>
            </w:tcBorders>
            <w:shd w:val="clear" w:color="auto" w:fill="E7E6E6" w:themeFill="background2"/>
            <w:noWrap/>
            <w:vAlign w:val="bottom"/>
          </w:tcPr>
          <w:p w14:paraId="08E8DAC2" w14:textId="3AC4EC7B" w:rsidR="005F4E55" w:rsidRPr="00766D8A" w:rsidRDefault="005F4E55" w:rsidP="005F4E55">
            <w:pPr>
              <w:jc w:val="center"/>
              <w:rPr>
                <w:rFonts w:ascii="Arial" w:hAnsi="Arial" w:cs="Arial"/>
                <w:b/>
                <w:bCs/>
                <w:color w:val="000000"/>
                <w:sz w:val="18"/>
                <w:szCs w:val="16"/>
              </w:rPr>
            </w:pPr>
            <w:r>
              <w:rPr>
                <w:rFonts w:ascii="Arial" w:hAnsi="Arial" w:cs="Arial"/>
                <w:color w:val="000000"/>
                <w:sz w:val="18"/>
                <w:szCs w:val="16"/>
              </w:rPr>
              <w:t>731</w:t>
            </w:r>
          </w:p>
        </w:tc>
        <w:tc>
          <w:tcPr>
            <w:tcW w:w="1559" w:type="dxa"/>
            <w:vMerge/>
            <w:tcBorders>
              <w:left w:val="single" w:sz="4" w:space="0" w:color="auto"/>
              <w:bottom w:val="single" w:sz="4" w:space="0" w:color="auto"/>
              <w:right w:val="single" w:sz="4" w:space="0" w:color="auto"/>
            </w:tcBorders>
            <w:vAlign w:val="center"/>
          </w:tcPr>
          <w:p w14:paraId="681CFC5F" w14:textId="77777777" w:rsidR="005F4E55" w:rsidRPr="00766D8A" w:rsidRDefault="005F4E55" w:rsidP="005F4E55">
            <w:pPr>
              <w:rPr>
                <w:rFonts w:ascii="Arial" w:hAnsi="Arial" w:cs="Arial"/>
                <w:b/>
                <w:bCs/>
                <w:color w:val="000000"/>
                <w:sz w:val="18"/>
                <w:szCs w:val="16"/>
              </w:rPr>
            </w:pPr>
          </w:p>
        </w:tc>
        <w:tc>
          <w:tcPr>
            <w:tcW w:w="1559" w:type="dxa"/>
            <w:vMerge/>
            <w:tcBorders>
              <w:left w:val="single" w:sz="4" w:space="0" w:color="auto"/>
              <w:bottom w:val="single" w:sz="4" w:space="0" w:color="auto"/>
              <w:right w:val="single" w:sz="4" w:space="0" w:color="auto"/>
            </w:tcBorders>
            <w:vAlign w:val="center"/>
          </w:tcPr>
          <w:p w14:paraId="3B0AB5AF" w14:textId="77777777" w:rsidR="005F4E55" w:rsidRPr="00766D8A" w:rsidRDefault="005F4E55" w:rsidP="005F4E55">
            <w:pPr>
              <w:rPr>
                <w:rFonts w:ascii="Arial" w:hAnsi="Arial" w:cs="Arial"/>
                <w:b/>
                <w:bCs/>
                <w:color w:val="000000"/>
                <w:sz w:val="18"/>
                <w:szCs w:val="16"/>
              </w:rPr>
            </w:pPr>
          </w:p>
        </w:tc>
        <w:tc>
          <w:tcPr>
            <w:tcW w:w="1701" w:type="dxa"/>
            <w:vMerge/>
            <w:tcBorders>
              <w:left w:val="single" w:sz="4" w:space="0" w:color="auto"/>
              <w:bottom w:val="single" w:sz="4" w:space="0" w:color="auto"/>
              <w:right w:val="single" w:sz="4" w:space="0" w:color="auto"/>
            </w:tcBorders>
            <w:vAlign w:val="center"/>
          </w:tcPr>
          <w:p w14:paraId="24E8C701" w14:textId="77777777" w:rsidR="005F4E55" w:rsidRPr="00766D8A" w:rsidRDefault="005F4E55" w:rsidP="005F4E55">
            <w:pPr>
              <w:rPr>
                <w:rFonts w:ascii="Arial" w:hAnsi="Arial" w:cs="Arial"/>
                <w:b/>
                <w:bCs/>
                <w:color w:val="000000"/>
                <w:sz w:val="18"/>
                <w:szCs w:val="16"/>
              </w:rPr>
            </w:pPr>
          </w:p>
        </w:tc>
        <w:tc>
          <w:tcPr>
            <w:tcW w:w="1701" w:type="dxa"/>
            <w:vMerge/>
            <w:tcBorders>
              <w:left w:val="single" w:sz="4" w:space="0" w:color="auto"/>
              <w:bottom w:val="single" w:sz="4" w:space="0" w:color="auto"/>
              <w:right w:val="single" w:sz="4" w:space="0" w:color="auto"/>
            </w:tcBorders>
            <w:vAlign w:val="center"/>
          </w:tcPr>
          <w:p w14:paraId="11272F55" w14:textId="77777777" w:rsidR="005F4E55" w:rsidRPr="00766D8A" w:rsidRDefault="005F4E55" w:rsidP="005F4E55">
            <w:pPr>
              <w:rPr>
                <w:rFonts w:ascii="Arial" w:hAnsi="Arial" w:cs="Arial"/>
                <w:b/>
                <w:bCs/>
                <w:color w:val="000000"/>
                <w:sz w:val="18"/>
                <w:szCs w:val="16"/>
              </w:rPr>
            </w:pPr>
          </w:p>
        </w:tc>
        <w:tc>
          <w:tcPr>
            <w:tcW w:w="2552" w:type="dxa"/>
            <w:vMerge/>
            <w:tcBorders>
              <w:left w:val="single" w:sz="4" w:space="0" w:color="auto"/>
              <w:bottom w:val="single" w:sz="4" w:space="0" w:color="auto"/>
              <w:right w:val="single" w:sz="4" w:space="0" w:color="auto"/>
            </w:tcBorders>
            <w:vAlign w:val="center"/>
          </w:tcPr>
          <w:p w14:paraId="274F8BAC" w14:textId="77777777" w:rsidR="005F4E55" w:rsidRPr="00766D8A" w:rsidRDefault="005F4E55" w:rsidP="009156AB">
            <w:pPr>
              <w:jc w:val="center"/>
              <w:rPr>
                <w:rFonts w:ascii="Arial" w:hAnsi="Arial" w:cs="Arial"/>
                <w:b/>
                <w:bCs/>
                <w:color w:val="000000"/>
                <w:sz w:val="18"/>
                <w:szCs w:val="16"/>
              </w:rPr>
            </w:pPr>
          </w:p>
        </w:tc>
      </w:tr>
      <w:tr w:rsidR="00734DB3" w:rsidRPr="00D406AA" w14:paraId="17817D46" w14:textId="5999BC3E" w:rsidTr="00734DB3">
        <w:trPr>
          <w:trHeight w:val="256"/>
        </w:trPr>
        <w:tc>
          <w:tcPr>
            <w:tcW w:w="1304" w:type="dxa"/>
            <w:vMerge w:val="restart"/>
            <w:tcBorders>
              <w:top w:val="nil"/>
              <w:left w:val="single" w:sz="4" w:space="0" w:color="auto"/>
              <w:bottom w:val="single" w:sz="4" w:space="0" w:color="auto"/>
              <w:right w:val="single" w:sz="4" w:space="0" w:color="auto"/>
            </w:tcBorders>
            <w:shd w:val="clear" w:color="000000" w:fill="C9C9C9"/>
            <w:noWrap/>
            <w:vAlign w:val="center"/>
            <w:hideMark/>
          </w:tcPr>
          <w:p w14:paraId="20457408" w14:textId="77777777" w:rsidR="005F4E55" w:rsidRPr="00766D8A" w:rsidRDefault="005F4E55" w:rsidP="005F4E55">
            <w:pPr>
              <w:jc w:val="center"/>
              <w:rPr>
                <w:rFonts w:ascii="Arial" w:hAnsi="Arial" w:cs="Arial"/>
                <w:b/>
                <w:bCs/>
                <w:color w:val="000000"/>
                <w:sz w:val="18"/>
                <w:szCs w:val="16"/>
              </w:rPr>
            </w:pPr>
            <w:r w:rsidRPr="00766D8A">
              <w:rPr>
                <w:rFonts w:ascii="Arial" w:hAnsi="Arial" w:cs="Arial"/>
                <w:b/>
                <w:bCs/>
                <w:color w:val="000000"/>
                <w:sz w:val="18"/>
                <w:szCs w:val="16"/>
              </w:rPr>
              <w:t>London</w:t>
            </w:r>
          </w:p>
        </w:tc>
        <w:tc>
          <w:tcPr>
            <w:tcW w:w="1417" w:type="dxa"/>
            <w:vMerge w:val="restart"/>
            <w:tcBorders>
              <w:top w:val="nil"/>
              <w:left w:val="single" w:sz="4" w:space="0" w:color="auto"/>
              <w:bottom w:val="single" w:sz="4" w:space="0" w:color="000000"/>
              <w:right w:val="single" w:sz="4" w:space="0" w:color="auto"/>
            </w:tcBorders>
            <w:shd w:val="clear" w:color="000000" w:fill="C9C9C9"/>
            <w:noWrap/>
            <w:vAlign w:val="center"/>
            <w:hideMark/>
          </w:tcPr>
          <w:p w14:paraId="059522C4" w14:textId="77777777" w:rsidR="005F4E55" w:rsidRPr="00247764" w:rsidRDefault="005F4E55" w:rsidP="005F4E55">
            <w:pPr>
              <w:jc w:val="center"/>
              <w:rPr>
                <w:rFonts w:ascii="Arial" w:hAnsi="Arial" w:cs="Arial"/>
                <w:bCs/>
                <w:color w:val="000000"/>
                <w:sz w:val="18"/>
                <w:szCs w:val="16"/>
              </w:rPr>
            </w:pPr>
            <w:r w:rsidRPr="00247764">
              <w:rPr>
                <w:rFonts w:ascii="Arial" w:hAnsi="Arial" w:cs="Arial"/>
                <w:bCs/>
                <w:color w:val="000000"/>
                <w:sz w:val="18"/>
                <w:szCs w:val="16"/>
              </w:rPr>
              <w:t>997</w:t>
            </w:r>
          </w:p>
          <w:p w14:paraId="238115C6" w14:textId="23D24DD8" w:rsidR="005F4E55" w:rsidRPr="00247764" w:rsidRDefault="005F4E55" w:rsidP="005F4E55">
            <w:pPr>
              <w:jc w:val="center"/>
              <w:rPr>
                <w:rFonts w:ascii="Arial" w:hAnsi="Arial" w:cs="Arial"/>
                <w:bCs/>
                <w:color w:val="000000"/>
                <w:sz w:val="18"/>
                <w:szCs w:val="16"/>
              </w:rPr>
            </w:pPr>
            <w:r>
              <w:rPr>
                <w:rFonts w:ascii="Arial" w:hAnsi="Arial" w:cs="Arial"/>
                <w:bCs/>
                <w:color w:val="000000"/>
                <w:sz w:val="18"/>
                <w:szCs w:val="16"/>
              </w:rPr>
              <w:t>(75</w:t>
            </w:r>
            <w:r w:rsidRPr="00247764">
              <w:rPr>
                <w:rFonts w:ascii="Arial" w:hAnsi="Arial" w:cs="Arial"/>
                <w:bCs/>
                <w:color w:val="000000"/>
                <w:sz w:val="18"/>
                <w:szCs w:val="16"/>
              </w:rPr>
              <w:t>)</w:t>
            </w:r>
          </w:p>
        </w:tc>
        <w:tc>
          <w:tcPr>
            <w:tcW w:w="1418" w:type="dxa"/>
            <w:tcBorders>
              <w:top w:val="nil"/>
              <w:left w:val="nil"/>
              <w:bottom w:val="single" w:sz="4" w:space="0" w:color="auto"/>
              <w:right w:val="single" w:sz="4" w:space="0" w:color="auto"/>
            </w:tcBorders>
            <w:shd w:val="clear" w:color="auto" w:fill="auto"/>
            <w:noWrap/>
            <w:vAlign w:val="bottom"/>
            <w:hideMark/>
          </w:tcPr>
          <w:p w14:paraId="2A2D0F9E"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Treat</w:t>
            </w:r>
          </w:p>
        </w:tc>
        <w:tc>
          <w:tcPr>
            <w:tcW w:w="1134" w:type="dxa"/>
            <w:tcBorders>
              <w:top w:val="nil"/>
              <w:left w:val="nil"/>
              <w:bottom w:val="single" w:sz="4" w:space="0" w:color="auto"/>
              <w:right w:val="single" w:sz="4" w:space="0" w:color="auto"/>
            </w:tcBorders>
            <w:shd w:val="clear" w:color="auto" w:fill="auto"/>
            <w:noWrap/>
            <w:vAlign w:val="bottom"/>
            <w:hideMark/>
          </w:tcPr>
          <w:p w14:paraId="1DBCED34"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19</w:t>
            </w:r>
          </w:p>
        </w:tc>
        <w:tc>
          <w:tcPr>
            <w:tcW w:w="1134" w:type="dxa"/>
            <w:tcBorders>
              <w:top w:val="nil"/>
              <w:left w:val="nil"/>
              <w:bottom w:val="single" w:sz="4" w:space="0" w:color="auto"/>
              <w:right w:val="single" w:sz="4" w:space="0" w:color="auto"/>
            </w:tcBorders>
            <w:shd w:val="clear" w:color="auto" w:fill="auto"/>
            <w:noWrap/>
            <w:vAlign w:val="bottom"/>
            <w:hideMark/>
          </w:tcPr>
          <w:p w14:paraId="73E49E55"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835</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12D3D8"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249B16CC" w14:textId="6555F350"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r>
              <w:rPr>
                <w:rFonts w:ascii="Arial" w:hAnsi="Arial" w:cs="Arial"/>
                <w:color w:val="000000"/>
                <w:sz w:val="18"/>
                <w:szCs w:val="16"/>
              </w:rPr>
              <w:t>82</w:t>
            </w:r>
            <w:r w:rsidRPr="00766D8A">
              <w:rPr>
                <w:rFonts w:ascii="Arial" w:hAnsi="Arial" w:cs="Arial"/>
                <w:color w:val="000000"/>
                <w:sz w:val="18"/>
                <w:szCs w:val="16"/>
              </w:rPr>
              <w:t xml:space="preserve"> to 1.00)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7FA5B5"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0.36</w:t>
            </w:r>
          </w:p>
          <w:p w14:paraId="6CC64395" w14:textId="1A04F649"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(0.34 to 0.39)</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365D09"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0.02</w:t>
            </w:r>
          </w:p>
          <w:p w14:paraId="0D1BA32B" w14:textId="1B9BDA18" w:rsidR="005F4E55" w:rsidRPr="00766D8A" w:rsidRDefault="005F4E55" w:rsidP="005F4E55">
            <w:pPr>
              <w:jc w:val="center"/>
              <w:rPr>
                <w:rFonts w:ascii="Arial" w:hAnsi="Arial" w:cs="Arial"/>
                <w:color w:val="000000"/>
                <w:sz w:val="18"/>
                <w:szCs w:val="16"/>
              </w:rPr>
            </w:pPr>
            <w:r>
              <w:rPr>
                <w:rFonts w:ascii="Arial" w:hAnsi="Arial" w:cs="Arial"/>
                <w:color w:val="000000"/>
                <w:sz w:val="18"/>
                <w:szCs w:val="16"/>
              </w:rPr>
              <w:t>(0.01 to 0.03</w:t>
            </w:r>
            <w:r w:rsidRPr="00766D8A">
              <w:rPr>
                <w:rFonts w:ascii="Arial" w:hAnsi="Arial" w:cs="Arial"/>
                <w:color w:val="000000"/>
                <w:sz w:val="18"/>
                <w:szCs w:val="16"/>
              </w:rPr>
              <w:t>)</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72607F"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784F5BCB" w14:textId="7EECCC16"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(0.99 to 1.00)</w:t>
            </w:r>
          </w:p>
        </w:tc>
        <w:tc>
          <w:tcPr>
            <w:tcW w:w="2552" w:type="dxa"/>
            <w:vMerge w:val="restart"/>
            <w:tcBorders>
              <w:top w:val="nil"/>
              <w:left w:val="single" w:sz="4" w:space="0" w:color="auto"/>
              <w:right w:val="single" w:sz="4" w:space="0" w:color="auto"/>
            </w:tcBorders>
            <w:vAlign w:val="center"/>
          </w:tcPr>
          <w:p w14:paraId="61B971F5" w14:textId="3415F4BF" w:rsidR="005F4E55" w:rsidRDefault="006567A4" w:rsidP="009156AB">
            <w:pPr>
              <w:jc w:val="center"/>
              <w:rPr>
                <w:rFonts w:ascii="Arial" w:hAnsi="Arial" w:cs="Arial"/>
                <w:color w:val="000000"/>
                <w:sz w:val="18"/>
                <w:szCs w:val="16"/>
              </w:rPr>
            </w:pPr>
            <w:r>
              <w:rPr>
                <w:rFonts w:ascii="Arial" w:hAnsi="Arial" w:cs="Arial"/>
                <w:color w:val="000000"/>
                <w:sz w:val="18"/>
                <w:szCs w:val="16"/>
              </w:rPr>
              <w:t>£</w:t>
            </w:r>
            <w:r w:rsidR="003B31CC">
              <w:rPr>
                <w:rFonts w:ascii="Arial" w:hAnsi="Arial" w:cs="Arial"/>
                <w:color w:val="000000"/>
                <w:sz w:val="18"/>
                <w:szCs w:val="16"/>
              </w:rPr>
              <w:t>490.29</w:t>
            </w:r>
          </w:p>
          <w:p w14:paraId="79D77BF9" w14:textId="399191C0" w:rsidR="00B2379C" w:rsidRPr="00766D8A" w:rsidRDefault="00B2379C" w:rsidP="009156AB">
            <w:pPr>
              <w:jc w:val="center"/>
              <w:rPr>
                <w:rFonts w:ascii="Arial" w:hAnsi="Arial" w:cs="Arial"/>
                <w:color w:val="000000"/>
                <w:sz w:val="18"/>
                <w:szCs w:val="16"/>
              </w:rPr>
            </w:pPr>
            <w:r>
              <w:rPr>
                <w:rFonts w:ascii="Arial" w:hAnsi="Arial" w:cs="Arial"/>
                <w:color w:val="000000"/>
                <w:sz w:val="18"/>
                <w:szCs w:val="16"/>
              </w:rPr>
              <w:t>(£447.60 to £537.98)</w:t>
            </w:r>
          </w:p>
        </w:tc>
      </w:tr>
      <w:tr w:rsidR="00734DB3" w:rsidRPr="00D406AA" w14:paraId="24AAC1A6" w14:textId="5ABBFD69" w:rsidTr="00734DB3">
        <w:trPr>
          <w:trHeight w:val="256"/>
        </w:trPr>
        <w:tc>
          <w:tcPr>
            <w:tcW w:w="1304" w:type="dxa"/>
            <w:vMerge/>
            <w:tcBorders>
              <w:top w:val="nil"/>
              <w:left w:val="single" w:sz="4" w:space="0" w:color="auto"/>
              <w:bottom w:val="single" w:sz="4" w:space="0" w:color="auto"/>
              <w:right w:val="single" w:sz="4" w:space="0" w:color="auto"/>
            </w:tcBorders>
            <w:vAlign w:val="center"/>
            <w:hideMark/>
          </w:tcPr>
          <w:p w14:paraId="5DAFAA17" w14:textId="77777777" w:rsidR="005F4E55" w:rsidRPr="00766D8A" w:rsidRDefault="005F4E55" w:rsidP="005F4E55">
            <w:pPr>
              <w:rPr>
                <w:rFonts w:ascii="Arial" w:hAnsi="Arial" w:cs="Arial"/>
                <w:b/>
                <w:bCs/>
                <w:color w:val="000000"/>
                <w:sz w:val="18"/>
                <w:szCs w:val="16"/>
              </w:rPr>
            </w:pPr>
          </w:p>
        </w:tc>
        <w:tc>
          <w:tcPr>
            <w:tcW w:w="1417" w:type="dxa"/>
            <w:vMerge/>
            <w:tcBorders>
              <w:top w:val="nil"/>
              <w:left w:val="single" w:sz="4" w:space="0" w:color="auto"/>
              <w:bottom w:val="single" w:sz="4" w:space="0" w:color="000000"/>
              <w:right w:val="single" w:sz="4" w:space="0" w:color="auto"/>
            </w:tcBorders>
            <w:vAlign w:val="center"/>
            <w:hideMark/>
          </w:tcPr>
          <w:p w14:paraId="371D0F05" w14:textId="77777777" w:rsidR="005F4E55" w:rsidRPr="00247764" w:rsidRDefault="005F4E55" w:rsidP="005F4E55">
            <w:pPr>
              <w:rPr>
                <w:rFonts w:ascii="Arial" w:hAnsi="Arial" w:cs="Arial"/>
                <w:bCs/>
                <w:color w:val="000000"/>
                <w:sz w:val="18"/>
                <w:szCs w:val="16"/>
              </w:rPr>
            </w:pPr>
          </w:p>
        </w:tc>
        <w:tc>
          <w:tcPr>
            <w:tcW w:w="1418" w:type="dxa"/>
            <w:tcBorders>
              <w:top w:val="nil"/>
              <w:left w:val="nil"/>
              <w:bottom w:val="single" w:sz="4" w:space="0" w:color="auto"/>
              <w:right w:val="single" w:sz="4" w:space="0" w:color="auto"/>
            </w:tcBorders>
            <w:shd w:val="clear" w:color="000000" w:fill="EDEDED"/>
            <w:noWrap/>
            <w:vAlign w:val="bottom"/>
            <w:hideMark/>
          </w:tcPr>
          <w:p w14:paraId="70D60469"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Do Not Treat</w:t>
            </w:r>
          </w:p>
        </w:tc>
        <w:tc>
          <w:tcPr>
            <w:tcW w:w="1134" w:type="dxa"/>
            <w:tcBorders>
              <w:top w:val="nil"/>
              <w:left w:val="nil"/>
              <w:bottom w:val="single" w:sz="4" w:space="0" w:color="auto"/>
              <w:right w:val="single" w:sz="4" w:space="0" w:color="auto"/>
            </w:tcBorders>
            <w:shd w:val="clear" w:color="000000" w:fill="EDEDED"/>
            <w:noWrap/>
            <w:vAlign w:val="bottom"/>
            <w:hideMark/>
          </w:tcPr>
          <w:p w14:paraId="5D7428ED"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p>
        </w:tc>
        <w:tc>
          <w:tcPr>
            <w:tcW w:w="1134" w:type="dxa"/>
            <w:tcBorders>
              <w:top w:val="nil"/>
              <w:left w:val="nil"/>
              <w:bottom w:val="single" w:sz="4" w:space="0" w:color="auto"/>
              <w:right w:val="single" w:sz="4" w:space="0" w:color="auto"/>
            </w:tcBorders>
            <w:shd w:val="clear" w:color="000000" w:fill="EDEDED"/>
            <w:noWrap/>
            <w:vAlign w:val="bottom"/>
            <w:hideMark/>
          </w:tcPr>
          <w:p w14:paraId="4C5304CF"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475</w:t>
            </w:r>
          </w:p>
        </w:tc>
        <w:tc>
          <w:tcPr>
            <w:tcW w:w="1559" w:type="dxa"/>
            <w:vMerge/>
            <w:tcBorders>
              <w:top w:val="nil"/>
              <w:left w:val="single" w:sz="4" w:space="0" w:color="auto"/>
              <w:bottom w:val="single" w:sz="4" w:space="0" w:color="auto"/>
              <w:right w:val="single" w:sz="4" w:space="0" w:color="auto"/>
            </w:tcBorders>
            <w:vAlign w:val="center"/>
            <w:hideMark/>
          </w:tcPr>
          <w:p w14:paraId="27EC4494" w14:textId="77777777" w:rsidR="005F4E55" w:rsidRPr="00766D8A" w:rsidRDefault="005F4E55" w:rsidP="005F4E55">
            <w:pPr>
              <w:rPr>
                <w:rFonts w:ascii="Arial" w:hAnsi="Arial" w:cs="Arial"/>
                <w:color w:val="000000"/>
                <w:sz w:val="18"/>
                <w:szCs w:val="16"/>
              </w:rPr>
            </w:pPr>
          </w:p>
        </w:tc>
        <w:tc>
          <w:tcPr>
            <w:tcW w:w="1559" w:type="dxa"/>
            <w:vMerge/>
            <w:tcBorders>
              <w:top w:val="nil"/>
              <w:left w:val="single" w:sz="4" w:space="0" w:color="auto"/>
              <w:bottom w:val="single" w:sz="4" w:space="0" w:color="auto"/>
              <w:right w:val="single" w:sz="4" w:space="0" w:color="auto"/>
            </w:tcBorders>
            <w:vAlign w:val="center"/>
            <w:hideMark/>
          </w:tcPr>
          <w:p w14:paraId="2E0FB144"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2B104CD4"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2B6033AA" w14:textId="77777777" w:rsidR="005F4E55" w:rsidRPr="00766D8A" w:rsidRDefault="005F4E55" w:rsidP="005F4E55">
            <w:pPr>
              <w:rPr>
                <w:rFonts w:ascii="Arial" w:hAnsi="Arial" w:cs="Arial"/>
                <w:color w:val="000000"/>
                <w:sz w:val="18"/>
                <w:szCs w:val="16"/>
              </w:rPr>
            </w:pPr>
          </w:p>
        </w:tc>
        <w:tc>
          <w:tcPr>
            <w:tcW w:w="2552" w:type="dxa"/>
            <w:vMerge/>
            <w:tcBorders>
              <w:left w:val="single" w:sz="4" w:space="0" w:color="auto"/>
              <w:bottom w:val="single" w:sz="4" w:space="0" w:color="auto"/>
              <w:right w:val="single" w:sz="4" w:space="0" w:color="auto"/>
            </w:tcBorders>
            <w:vAlign w:val="center"/>
          </w:tcPr>
          <w:p w14:paraId="78F58C05" w14:textId="77777777" w:rsidR="005F4E55" w:rsidRPr="00766D8A" w:rsidRDefault="005F4E55" w:rsidP="009156AB">
            <w:pPr>
              <w:jc w:val="center"/>
              <w:rPr>
                <w:rFonts w:ascii="Arial" w:hAnsi="Arial" w:cs="Arial"/>
                <w:color w:val="000000"/>
                <w:sz w:val="18"/>
                <w:szCs w:val="16"/>
              </w:rPr>
            </w:pPr>
          </w:p>
        </w:tc>
      </w:tr>
      <w:tr w:rsidR="00734DB3" w:rsidRPr="00D406AA" w14:paraId="2E89D196" w14:textId="7F0984B6" w:rsidTr="00734DB3">
        <w:trPr>
          <w:trHeight w:val="256"/>
        </w:trPr>
        <w:tc>
          <w:tcPr>
            <w:tcW w:w="1304" w:type="dxa"/>
            <w:vMerge w:val="restart"/>
            <w:tcBorders>
              <w:top w:val="nil"/>
              <w:left w:val="single" w:sz="4" w:space="0" w:color="auto"/>
              <w:bottom w:val="single" w:sz="4" w:space="0" w:color="auto"/>
              <w:right w:val="single" w:sz="4" w:space="0" w:color="auto"/>
            </w:tcBorders>
            <w:shd w:val="clear" w:color="000000" w:fill="C9C9C9"/>
            <w:noWrap/>
            <w:vAlign w:val="center"/>
            <w:hideMark/>
          </w:tcPr>
          <w:p w14:paraId="45D3BC52" w14:textId="77777777" w:rsidR="005F4E55" w:rsidRPr="00766D8A" w:rsidRDefault="005F4E55" w:rsidP="005F4E55">
            <w:pPr>
              <w:jc w:val="center"/>
              <w:rPr>
                <w:rFonts w:ascii="Arial" w:hAnsi="Arial" w:cs="Arial"/>
                <w:b/>
                <w:bCs/>
                <w:color w:val="000000"/>
                <w:sz w:val="18"/>
                <w:szCs w:val="16"/>
              </w:rPr>
            </w:pPr>
            <w:r w:rsidRPr="00766D8A">
              <w:rPr>
                <w:rFonts w:ascii="Arial" w:hAnsi="Arial" w:cs="Arial"/>
                <w:b/>
                <w:bCs/>
                <w:color w:val="000000"/>
                <w:sz w:val="18"/>
                <w:szCs w:val="16"/>
              </w:rPr>
              <w:t>Nottingham</w:t>
            </w:r>
          </w:p>
        </w:tc>
        <w:tc>
          <w:tcPr>
            <w:tcW w:w="1417" w:type="dxa"/>
            <w:vMerge w:val="restart"/>
            <w:tcBorders>
              <w:top w:val="nil"/>
              <w:left w:val="single" w:sz="4" w:space="0" w:color="auto"/>
              <w:bottom w:val="single" w:sz="4" w:space="0" w:color="000000"/>
              <w:right w:val="single" w:sz="4" w:space="0" w:color="auto"/>
            </w:tcBorders>
            <w:shd w:val="clear" w:color="000000" w:fill="C9C9C9"/>
            <w:noWrap/>
            <w:vAlign w:val="center"/>
            <w:hideMark/>
          </w:tcPr>
          <w:p w14:paraId="6840DB78" w14:textId="77777777" w:rsidR="005F4E55" w:rsidRPr="00247764" w:rsidRDefault="005F4E55" w:rsidP="005F4E55">
            <w:pPr>
              <w:jc w:val="center"/>
              <w:rPr>
                <w:rFonts w:ascii="Arial" w:hAnsi="Arial" w:cs="Arial"/>
                <w:bCs/>
                <w:color w:val="000000"/>
                <w:sz w:val="18"/>
                <w:szCs w:val="16"/>
              </w:rPr>
            </w:pPr>
            <w:r w:rsidRPr="00247764">
              <w:rPr>
                <w:rFonts w:ascii="Arial" w:hAnsi="Arial" w:cs="Arial"/>
                <w:bCs/>
                <w:color w:val="000000"/>
                <w:sz w:val="18"/>
                <w:szCs w:val="16"/>
              </w:rPr>
              <w:t>1030</w:t>
            </w:r>
          </w:p>
          <w:p w14:paraId="66EC6669" w14:textId="04D18CE5" w:rsidR="005F4E55" w:rsidRPr="00247764" w:rsidRDefault="005F4E55" w:rsidP="005F4E55">
            <w:pPr>
              <w:jc w:val="center"/>
              <w:rPr>
                <w:rFonts w:ascii="Arial" w:hAnsi="Arial" w:cs="Arial"/>
                <w:bCs/>
                <w:color w:val="000000"/>
                <w:sz w:val="18"/>
                <w:szCs w:val="16"/>
              </w:rPr>
            </w:pPr>
            <w:r>
              <w:rPr>
                <w:rFonts w:ascii="Arial" w:hAnsi="Arial" w:cs="Arial"/>
                <w:bCs/>
                <w:color w:val="000000"/>
                <w:sz w:val="18"/>
                <w:szCs w:val="16"/>
              </w:rPr>
              <w:t>(78</w:t>
            </w:r>
            <w:r w:rsidRPr="00247764">
              <w:rPr>
                <w:rFonts w:ascii="Arial" w:hAnsi="Arial" w:cs="Arial"/>
                <w:bCs/>
                <w:color w:val="000000"/>
                <w:sz w:val="18"/>
                <w:szCs w:val="16"/>
              </w:rPr>
              <w:t>)</w:t>
            </w:r>
          </w:p>
        </w:tc>
        <w:tc>
          <w:tcPr>
            <w:tcW w:w="1418" w:type="dxa"/>
            <w:tcBorders>
              <w:top w:val="nil"/>
              <w:left w:val="nil"/>
              <w:bottom w:val="single" w:sz="4" w:space="0" w:color="auto"/>
              <w:right w:val="single" w:sz="4" w:space="0" w:color="auto"/>
            </w:tcBorders>
            <w:shd w:val="clear" w:color="auto" w:fill="auto"/>
            <w:noWrap/>
            <w:vAlign w:val="bottom"/>
            <w:hideMark/>
          </w:tcPr>
          <w:p w14:paraId="1621B512"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Treat</w:t>
            </w:r>
          </w:p>
        </w:tc>
        <w:tc>
          <w:tcPr>
            <w:tcW w:w="1134" w:type="dxa"/>
            <w:tcBorders>
              <w:top w:val="nil"/>
              <w:left w:val="nil"/>
              <w:bottom w:val="single" w:sz="4" w:space="0" w:color="auto"/>
              <w:right w:val="single" w:sz="4" w:space="0" w:color="auto"/>
            </w:tcBorders>
            <w:shd w:val="clear" w:color="auto" w:fill="auto"/>
            <w:noWrap/>
            <w:vAlign w:val="bottom"/>
            <w:hideMark/>
          </w:tcPr>
          <w:p w14:paraId="262C2EBC"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19</w:t>
            </w:r>
          </w:p>
        </w:tc>
        <w:tc>
          <w:tcPr>
            <w:tcW w:w="1134" w:type="dxa"/>
            <w:tcBorders>
              <w:top w:val="nil"/>
              <w:left w:val="nil"/>
              <w:bottom w:val="single" w:sz="4" w:space="0" w:color="auto"/>
              <w:right w:val="single" w:sz="4" w:space="0" w:color="auto"/>
            </w:tcBorders>
            <w:shd w:val="clear" w:color="auto" w:fill="auto"/>
            <w:noWrap/>
            <w:vAlign w:val="bottom"/>
            <w:hideMark/>
          </w:tcPr>
          <w:p w14:paraId="0809A8CF"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859</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96437B"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759DBDC0" w14:textId="1EA780BB"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r>
              <w:rPr>
                <w:rFonts w:ascii="Arial" w:hAnsi="Arial" w:cs="Arial"/>
                <w:color w:val="000000"/>
                <w:sz w:val="18"/>
                <w:szCs w:val="16"/>
              </w:rPr>
              <w:t>82</w:t>
            </w:r>
            <w:r w:rsidRPr="00766D8A">
              <w:rPr>
                <w:rFonts w:ascii="Arial" w:hAnsi="Arial" w:cs="Arial"/>
                <w:color w:val="000000"/>
                <w:sz w:val="18"/>
                <w:szCs w:val="16"/>
              </w:rPr>
              <w:t xml:space="preserve"> to 1.00)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24BA06" w14:textId="77777777" w:rsidR="005F4E55" w:rsidRDefault="005F4E55" w:rsidP="005F4E55">
            <w:pPr>
              <w:jc w:val="center"/>
              <w:rPr>
                <w:rFonts w:ascii="Arial" w:hAnsi="Arial" w:cs="Arial"/>
                <w:color w:val="000000"/>
                <w:sz w:val="18"/>
                <w:szCs w:val="16"/>
              </w:rPr>
            </w:pPr>
            <w:r>
              <w:rPr>
                <w:rFonts w:ascii="Arial" w:hAnsi="Arial" w:cs="Arial"/>
                <w:color w:val="000000"/>
                <w:sz w:val="18"/>
                <w:szCs w:val="16"/>
              </w:rPr>
              <w:t>0.34</w:t>
            </w:r>
          </w:p>
          <w:p w14:paraId="3F856390" w14:textId="5C0145E1" w:rsidR="005F4E55" w:rsidRPr="00766D8A" w:rsidRDefault="005F4E55" w:rsidP="005F4E55">
            <w:pPr>
              <w:jc w:val="center"/>
              <w:rPr>
                <w:rFonts w:ascii="Arial" w:hAnsi="Arial" w:cs="Arial"/>
                <w:color w:val="000000"/>
                <w:sz w:val="18"/>
                <w:szCs w:val="16"/>
              </w:rPr>
            </w:pPr>
            <w:r>
              <w:rPr>
                <w:rFonts w:ascii="Arial" w:hAnsi="Arial" w:cs="Arial"/>
                <w:color w:val="000000"/>
                <w:sz w:val="18"/>
                <w:szCs w:val="16"/>
              </w:rPr>
              <w:t>(0.32 to 0.37</w:t>
            </w:r>
            <w:r w:rsidRPr="00766D8A">
              <w:rPr>
                <w:rFonts w:ascii="Arial" w:hAnsi="Arial" w:cs="Arial"/>
                <w:color w:val="000000"/>
                <w:sz w:val="18"/>
                <w:szCs w:val="16"/>
              </w:rPr>
              <w:t>)</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97A184"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0.02</w:t>
            </w:r>
          </w:p>
          <w:p w14:paraId="7B496C0B" w14:textId="6A1BFCD9"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(0.01 to 0.03)</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8038CB"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4AC2CEF1" w14:textId="700F81B6"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(0.99 to 1.00)</w:t>
            </w:r>
          </w:p>
        </w:tc>
        <w:tc>
          <w:tcPr>
            <w:tcW w:w="2552" w:type="dxa"/>
            <w:vMerge w:val="restart"/>
            <w:tcBorders>
              <w:top w:val="nil"/>
              <w:left w:val="single" w:sz="4" w:space="0" w:color="auto"/>
              <w:right w:val="single" w:sz="4" w:space="0" w:color="auto"/>
            </w:tcBorders>
            <w:vAlign w:val="center"/>
          </w:tcPr>
          <w:p w14:paraId="3AF81486" w14:textId="495B1E59" w:rsidR="005F4E55" w:rsidRDefault="006567A4" w:rsidP="009156AB">
            <w:pPr>
              <w:jc w:val="center"/>
              <w:rPr>
                <w:rFonts w:ascii="Arial" w:hAnsi="Arial" w:cs="Arial"/>
                <w:color w:val="000000"/>
                <w:sz w:val="18"/>
                <w:szCs w:val="16"/>
              </w:rPr>
            </w:pPr>
            <w:r>
              <w:rPr>
                <w:rFonts w:ascii="Arial" w:hAnsi="Arial" w:cs="Arial"/>
                <w:color w:val="000000"/>
                <w:sz w:val="18"/>
                <w:szCs w:val="16"/>
              </w:rPr>
              <w:t>£</w:t>
            </w:r>
            <w:r w:rsidR="00C54E56">
              <w:rPr>
                <w:rFonts w:ascii="Arial" w:hAnsi="Arial" w:cs="Arial"/>
                <w:color w:val="000000"/>
                <w:sz w:val="18"/>
                <w:szCs w:val="16"/>
              </w:rPr>
              <w:t>498.88</w:t>
            </w:r>
          </w:p>
          <w:p w14:paraId="2B3545B6" w14:textId="698B7631" w:rsidR="003A1BCB" w:rsidRPr="00766D8A" w:rsidRDefault="00562B83" w:rsidP="009156AB">
            <w:pPr>
              <w:jc w:val="center"/>
              <w:rPr>
                <w:rFonts w:ascii="Arial" w:hAnsi="Arial" w:cs="Arial"/>
                <w:color w:val="000000"/>
                <w:sz w:val="18"/>
                <w:szCs w:val="16"/>
              </w:rPr>
            </w:pPr>
            <w:r>
              <w:rPr>
                <w:rFonts w:ascii="Arial" w:hAnsi="Arial" w:cs="Arial"/>
                <w:color w:val="000000"/>
                <w:sz w:val="18"/>
                <w:szCs w:val="16"/>
              </w:rPr>
              <w:t>(£456.56 to £</w:t>
            </w:r>
            <w:r w:rsidR="004A4FF9">
              <w:rPr>
                <w:rFonts w:ascii="Arial" w:hAnsi="Arial" w:cs="Arial"/>
                <w:color w:val="000000"/>
                <w:sz w:val="18"/>
                <w:szCs w:val="16"/>
              </w:rPr>
              <w:t>546.21)</w:t>
            </w:r>
          </w:p>
        </w:tc>
      </w:tr>
      <w:tr w:rsidR="00734DB3" w:rsidRPr="00D406AA" w14:paraId="666B2E0E" w14:textId="35C019E1" w:rsidTr="00734DB3">
        <w:trPr>
          <w:trHeight w:val="256"/>
        </w:trPr>
        <w:tc>
          <w:tcPr>
            <w:tcW w:w="1304" w:type="dxa"/>
            <w:vMerge/>
            <w:tcBorders>
              <w:top w:val="nil"/>
              <w:left w:val="single" w:sz="4" w:space="0" w:color="auto"/>
              <w:bottom w:val="single" w:sz="4" w:space="0" w:color="auto"/>
              <w:right w:val="single" w:sz="4" w:space="0" w:color="auto"/>
            </w:tcBorders>
            <w:vAlign w:val="center"/>
            <w:hideMark/>
          </w:tcPr>
          <w:p w14:paraId="783A3FC1" w14:textId="77777777" w:rsidR="005F4E55" w:rsidRPr="00766D8A" w:rsidRDefault="005F4E55" w:rsidP="005F4E55">
            <w:pPr>
              <w:rPr>
                <w:rFonts w:ascii="Arial" w:hAnsi="Arial" w:cs="Arial"/>
                <w:b/>
                <w:bCs/>
                <w:color w:val="000000"/>
                <w:sz w:val="18"/>
                <w:szCs w:val="16"/>
              </w:rPr>
            </w:pPr>
          </w:p>
        </w:tc>
        <w:tc>
          <w:tcPr>
            <w:tcW w:w="1417" w:type="dxa"/>
            <w:vMerge/>
            <w:tcBorders>
              <w:top w:val="nil"/>
              <w:left w:val="single" w:sz="4" w:space="0" w:color="auto"/>
              <w:bottom w:val="single" w:sz="4" w:space="0" w:color="000000"/>
              <w:right w:val="single" w:sz="4" w:space="0" w:color="auto"/>
            </w:tcBorders>
            <w:vAlign w:val="center"/>
            <w:hideMark/>
          </w:tcPr>
          <w:p w14:paraId="6DACCE44" w14:textId="77777777" w:rsidR="005F4E55" w:rsidRPr="00247764" w:rsidRDefault="005F4E55" w:rsidP="005F4E55">
            <w:pPr>
              <w:rPr>
                <w:rFonts w:ascii="Arial" w:hAnsi="Arial" w:cs="Arial"/>
                <w:bCs/>
                <w:color w:val="000000"/>
                <w:sz w:val="18"/>
                <w:szCs w:val="16"/>
              </w:rPr>
            </w:pPr>
          </w:p>
        </w:tc>
        <w:tc>
          <w:tcPr>
            <w:tcW w:w="1418" w:type="dxa"/>
            <w:tcBorders>
              <w:top w:val="nil"/>
              <w:left w:val="nil"/>
              <w:bottom w:val="single" w:sz="4" w:space="0" w:color="auto"/>
              <w:right w:val="single" w:sz="4" w:space="0" w:color="auto"/>
            </w:tcBorders>
            <w:shd w:val="clear" w:color="000000" w:fill="EDEDED"/>
            <w:noWrap/>
            <w:vAlign w:val="bottom"/>
            <w:hideMark/>
          </w:tcPr>
          <w:p w14:paraId="1971E9FC"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Do Not Treat</w:t>
            </w:r>
          </w:p>
        </w:tc>
        <w:tc>
          <w:tcPr>
            <w:tcW w:w="1134" w:type="dxa"/>
            <w:tcBorders>
              <w:top w:val="nil"/>
              <w:left w:val="nil"/>
              <w:bottom w:val="single" w:sz="4" w:space="0" w:color="auto"/>
              <w:right w:val="single" w:sz="4" w:space="0" w:color="auto"/>
            </w:tcBorders>
            <w:shd w:val="clear" w:color="000000" w:fill="EDEDED"/>
            <w:noWrap/>
            <w:vAlign w:val="bottom"/>
            <w:hideMark/>
          </w:tcPr>
          <w:p w14:paraId="422A35F3"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p>
        </w:tc>
        <w:tc>
          <w:tcPr>
            <w:tcW w:w="1134" w:type="dxa"/>
            <w:tcBorders>
              <w:top w:val="nil"/>
              <w:left w:val="nil"/>
              <w:bottom w:val="single" w:sz="4" w:space="0" w:color="auto"/>
              <w:right w:val="single" w:sz="4" w:space="0" w:color="auto"/>
            </w:tcBorders>
            <w:shd w:val="clear" w:color="000000" w:fill="EDEDED"/>
            <w:noWrap/>
            <w:vAlign w:val="bottom"/>
            <w:hideMark/>
          </w:tcPr>
          <w:p w14:paraId="6864771A"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451</w:t>
            </w:r>
          </w:p>
        </w:tc>
        <w:tc>
          <w:tcPr>
            <w:tcW w:w="1559" w:type="dxa"/>
            <w:vMerge/>
            <w:tcBorders>
              <w:top w:val="nil"/>
              <w:left w:val="single" w:sz="4" w:space="0" w:color="auto"/>
              <w:bottom w:val="single" w:sz="4" w:space="0" w:color="auto"/>
              <w:right w:val="single" w:sz="4" w:space="0" w:color="auto"/>
            </w:tcBorders>
            <w:vAlign w:val="center"/>
            <w:hideMark/>
          </w:tcPr>
          <w:p w14:paraId="713A19C0" w14:textId="77777777" w:rsidR="005F4E55" w:rsidRPr="00766D8A" w:rsidRDefault="005F4E55" w:rsidP="005F4E55">
            <w:pPr>
              <w:rPr>
                <w:rFonts w:ascii="Arial" w:hAnsi="Arial" w:cs="Arial"/>
                <w:color w:val="000000"/>
                <w:sz w:val="18"/>
                <w:szCs w:val="16"/>
              </w:rPr>
            </w:pPr>
          </w:p>
        </w:tc>
        <w:tc>
          <w:tcPr>
            <w:tcW w:w="1559" w:type="dxa"/>
            <w:vMerge/>
            <w:tcBorders>
              <w:top w:val="nil"/>
              <w:left w:val="single" w:sz="4" w:space="0" w:color="auto"/>
              <w:bottom w:val="single" w:sz="4" w:space="0" w:color="auto"/>
              <w:right w:val="single" w:sz="4" w:space="0" w:color="auto"/>
            </w:tcBorders>
            <w:vAlign w:val="center"/>
            <w:hideMark/>
          </w:tcPr>
          <w:p w14:paraId="5CFADDE0"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1F1EAF6C"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773C7BED" w14:textId="77777777" w:rsidR="005F4E55" w:rsidRPr="00766D8A" w:rsidRDefault="005F4E55" w:rsidP="005F4E55">
            <w:pPr>
              <w:rPr>
                <w:rFonts w:ascii="Arial" w:hAnsi="Arial" w:cs="Arial"/>
                <w:color w:val="000000"/>
                <w:sz w:val="18"/>
                <w:szCs w:val="16"/>
              </w:rPr>
            </w:pPr>
          </w:p>
        </w:tc>
        <w:tc>
          <w:tcPr>
            <w:tcW w:w="2552" w:type="dxa"/>
            <w:vMerge/>
            <w:tcBorders>
              <w:left w:val="single" w:sz="4" w:space="0" w:color="auto"/>
              <w:bottom w:val="single" w:sz="4" w:space="0" w:color="auto"/>
              <w:right w:val="single" w:sz="4" w:space="0" w:color="auto"/>
            </w:tcBorders>
            <w:vAlign w:val="center"/>
          </w:tcPr>
          <w:p w14:paraId="25ADA083" w14:textId="77777777" w:rsidR="005F4E55" w:rsidRPr="00766D8A" w:rsidRDefault="005F4E55" w:rsidP="009156AB">
            <w:pPr>
              <w:jc w:val="center"/>
              <w:rPr>
                <w:rFonts w:ascii="Arial" w:hAnsi="Arial" w:cs="Arial"/>
                <w:color w:val="000000"/>
                <w:sz w:val="18"/>
                <w:szCs w:val="16"/>
              </w:rPr>
            </w:pPr>
          </w:p>
        </w:tc>
      </w:tr>
      <w:tr w:rsidR="00734DB3" w:rsidRPr="00D406AA" w14:paraId="7FB928BE" w14:textId="10F377EB" w:rsidTr="00734DB3">
        <w:trPr>
          <w:trHeight w:val="256"/>
        </w:trPr>
        <w:tc>
          <w:tcPr>
            <w:tcW w:w="1304" w:type="dxa"/>
            <w:vMerge w:val="restart"/>
            <w:tcBorders>
              <w:top w:val="nil"/>
              <w:left w:val="single" w:sz="4" w:space="0" w:color="auto"/>
              <w:bottom w:val="single" w:sz="4" w:space="0" w:color="auto"/>
              <w:right w:val="single" w:sz="4" w:space="0" w:color="auto"/>
            </w:tcBorders>
            <w:shd w:val="clear" w:color="000000" w:fill="C9C9C9"/>
            <w:noWrap/>
            <w:vAlign w:val="center"/>
            <w:hideMark/>
          </w:tcPr>
          <w:p w14:paraId="38D2ABC6" w14:textId="77777777" w:rsidR="005F4E55" w:rsidRPr="00766D8A" w:rsidRDefault="005F4E55" w:rsidP="005F4E55">
            <w:pPr>
              <w:jc w:val="center"/>
              <w:rPr>
                <w:rFonts w:ascii="Arial" w:hAnsi="Arial" w:cs="Arial"/>
                <w:b/>
                <w:bCs/>
                <w:color w:val="000000"/>
                <w:sz w:val="18"/>
                <w:szCs w:val="16"/>
              </w:rPr>
            </w:pPr>
            <w:r w:rsidRPr="00766D8A">
              <w:rPr>
                <w:rFonts w:ascii="Arial" w:hAnsi="Arial" w:cs="Arial"/>
                <w:b/>
                <w:bCs/>
                <w:color w:val="000000"/>
                <w:sz w:val="18"/>
                <w:szCs w:val="16"/>
              </w:rPr>
              <w:t>NBL</w:t>
            </w:r>
          </w:p>
        </w:tc>
        <w:tc>
          <w:tcPr>
            <w:tcW w:w="1417" w:type="dxa"/>
            <w:vMerge w:val="restart"/>
            <w:tcBorders>
              <w:top w:val="nil"/>
              <w:left w:val="single" w:sz="4" w:space="0" w:color="auto"/>
              <w:bottom w:val="single" w:sz="4" w:space="0" w:color="000000"/>
              <w:right w:val="single" w:sz="4" w:space="0" w:color="auto"/>
            </w:tcBorders>
            <w:shd w:val="clear" w:color="000000" w:fill="C9C9C9"/>
            <w:noWrap/>
            <w:vAlign w:val="center"/>
            <w:hideMark/>
          </w:tcPr>
          <w:p w14:paraId="676FD9F0" w14:textId="77777777" w:rsidR="005F4E55" w:rsidRPr="00247764" w:rsidRDefault="005F4E55" w:rsidP="005F4E55">
            <w:pPr>
              <w:jc w:val="center"/>
              <w:rPr>
                <w:rFonts w:ascii="Arial" w:hAnsi="Arial" w:cs="Arial"/>
                <w:bCs/>
                <w:color w:val="000000"/>
                <w:sz w:val="18"/>
                <w:szCs w:val="16"/>
              </w:rPr>
            </w:pPr>
            <w:r w:rsidRPr="00247764">
              <w:rPr>
                <w:rFonts w:ascii="Arial" w:hAnsi="Arial" w:cs="Arial"/>
                <w:bCs/>
                <w:color w:val="000000"/>
                <w:sz w:val="18"/>
                <w:szCs w:val="16"/>
              </w:rPr>
              <w:t>1019</w:t>
            </w:r>
          </w:p>
          <w:p w14:paraId="051498DC" w14:textId="0F1E5AFF" w:rsidR="005F4E55" w:rsidRPr="00247764" w:rsidRDefault="005F4E55" w:rsidP="005F4E55">
            <w:pPr>
              <w:jc w:val="center"/>
              <w:rPr>
                <w:rFonts w:ascii="Arial" w:hAnsi="Arial" w:cs="Arial"/>
                <w:bCs/>
                <w:color w:val="000000"/>
                <w:sz w:val="18"/>
                <w:szCs w:val="16"/>
              </w:rPr>
            </w:pPr>
            <w:r>
              <w:rPr>
                <w:rFonts w:ascii="Arial" w:hAnsi="Arial" w:cs="Arial"/>
                <w:bCs/>
                <w:color w:val="000000"/>
                <w:sz w:val="18"/>
                <w:szCs w:val="16"/>
              </w:rPr>
              <w:t>(77</w:t>
            </w:r>
            <w:r w:rsidRPr="00247764">
              <w:rPr>
                <w:rFonts w:ascii="Arial" w:hAnsi="Arial" w:cs="Arial"/>
                <w:bCs/>
                <w:color w:val="000000"/>
                <w:sz w:val="18"/>
                <w:szCs w:val="16"/>
              </w:rPr>
              <w:t>)</w:t>
            </w:r>
          </w:p>
        </w:tc>
        <w:tc>
          <w:tcPr>
            <w:tcW w:w="1418" w:type="dxa"/>
            <w:tcBorders>
              <w:top w:val="nil"/>
              <w:left w:val="nil"/>
              <w:bottom w:val="single" w:sz="4" w:space="0" w:color="auto"/>
              <w:right w:val="single" w:sz="4" w:space="0" w:color="auto"/>
            </w:tcBorders>
            <w:shd w:val="clear" w:color="auto" w:fill="auto"/>
            <w:noWrap/>
            <w:vAlign w:val="bottom"/>
            <w:hideMark/>
          </w:tcPr>
          <w:p w14:paraId="0238DFCE"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Treat</w:t>
            </w:r>
          </w:p>
        </w:tc>
        <w:tc>
          <w:tcPr>
            <w:tcW w:w="1134" w:type="dxa"/>
            <w:tcBorders>
              <w:top w:val="nil"/>
              <w:left w:val="nil"/>
              <w:bottom w:val="single" w:sz="4" w:space="0" w:color="auto"/>
              <w:right w:val="single" w:sz="4" w:space="0" w:color="auto"/>
            </w:tcBorders>
            <w:shd w:val="clear" w:color="auto" w:fill="auto"/>
            <w:noWrap/>
            <w:vAlign w:val="bottom"/>
            <w:hideMark/>
          </w:tcPr>
          <w:p w14:paraId="5AEE97EF"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19</w:t>
            </w:r>
          </w:p>
        </w:tc>
        <w:tc>
          <w:tcPr>
            <w:tcW w:w="1134" w:type="dxa"/>
            <w:tcBorders>
              <w:top w:val="nil"/>
              <w:left w:val="nil"/>
              <w:bottom w:val="single" w:sz="4" w:space="0" w:color="auto"/>
              <w:right w:val="single" w:sz="4" w:space="0" w:color="auto"/>
            </w:tcBorders>
            <w:shd w:val="clear" w:color="auto" w:fill="auto"/>
            <w:noWrap/>
            <w:vAlign w:val="bottom"/>
            <w:hideMark/>
          </w:tcPr>
          <w:p w14:paraId="0E478B37"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893</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072679"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69B469DC" w14:textId="595BB3D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r>
              <w:rPr>
                <w:rFonts w:ascii="Arial" w:hAnsi="Arial" w:cs="Arial"/>
                <w:color w:val="000000"/>
                <w:sz w:val="18"/>
                <w:szCs w:val="16"/>
              </w:rPr>
              <w:t>82</w:t>
            </w:r>
            <w:r w:rsidRPr="00766D8A">
              <w:rPr>
                <w:rFonts w:ascii="Arial" w:hAnsi="Arial" w:cs="Arial"/>
                <w:color w:val="000000"/>
                <w:sz w:val="18"/>
                <w:szCs w:val="16"/>
              </w:rPr>
              <w:t xml:space="preserve"> to 1.00)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7E6816"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0.32</w:t>
            </w:r>
          </w:p>
          <w:p w14:paraId="494E158E" w14:textId="676BC12C"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(0.29 to 0.34)</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250348"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0.0</w:t>
            </w:r>
            <w:r>
              <w:rPr>
                <w:rFonts w:ascii="Arial" w:hAnsi="Arial" w:cs="Arial"/>
                <w:color w:val="000000"/>
                <w:sz w:val="18"/>
                <w:szCs w:val="16"/>
              </w:rPr>
              <w:t>2</w:t>
            </w:r>
          </w:p>
          <w:p w14:paraId="539DD35C" w14:textId="01FB8FEA"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r>
              <w:rPr>
                <w:rFonts w:ascii="Arial" w:hAnsi="Arial" w:cs="Arial"/>
                <w:color w:val="000000"/>
                <w:sz w:val="18"/>
                <w:szCs w:val="16"/>
              </w:rPr>
              <w:t>.01</w:t>
            </w:r>
            <w:r w:rsidRPr="00766D8A">
              <w:rPr>
                <w:rFonts w:ascii="Arial" w:hAnsi="Arial" w:cs="Arial"/>
                <w:color w:val="000000"/>
                <w:sz w:val="18"/>
                <w:szCs w:val="16"/>
              </w:rPr>
              <w:t xml:space="preserve"> </w:t>
            </w:r>
            <w:r>
              <w:rPr>
                <w:rFonts w:ascii="Arial" w:hAnsi="Arial" w:cs="Arial"/>
                <w:color w:val="000000"/>
                <w:sz w:val="18"/>
                <w:szCs w:val="16"/>
              </w:rPr>
              <w:t>to 0.03</w:t>
            </w:r>
            <w:r w:rsidRPr="00766D8A">
              <w:rPr>
                <w:rFonts w:ascii="Arial" w:hAnsi="Arial" w:cs="Arial"/>
                <w:color w:val="000000"/>
                <w:sz w:val="18"/>
                <w:szCs w:val="16"/>
              </w:rPr>
              <w:t>)</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A1CAF7"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68C2440A" w14:textId="35F40CFE"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(0.99 to 1.00)</w:t>
            </w:r>
          </w:p>
        </w:tc>
        <w:tc>
          <w:tcPr>
            <w:tcW w:w="2552" w:type="dxa"/>
            <w:vMerge w:val="restart"/>
            <w:tcBorders>
              <w:top w:val="nil"/>
              <w:left w:val="single" w:sz="4" w:space="0" w:color="auto"/>
              <w:right w:val="single" w:sz="4" w:space="0" w:color="auto"/>
            </w:tcBorders>
            <w:vAlign w:val="center"/>
          </w:tcPr>
          <w:p w14:paraId="2EAD2068" w14:textId="47A829CD" w:rsidR="005F4E55" w:rsidRDefault="006567A4" w:rsidP="009156AB">
            <w:pPr>
              <w:jc w:val="center"/>
              <w:rPr>
                <w:rFonts w:ascii="Arial" w:hAnsi="Arial" w:cs="Arial"/>
                <w:color w:val="000000"/>
                <w:sz w:val="18"/>
                <w:szCs w:val="16"/>
              </w:rPr>
            </w:pPr>
            <w:r>
              <w:rPr>
                <w:rFonts w:ascii="Arial" w:hAnsi="Arial" w:cs="Arial"/>
                <w:color w:val="000000"/>
                <w:sz w:val="18"/>
                <w:szCs w:val="16"/>
              </w:rPr>
              <w:t>£</w:t>
            </w:r>
            <w:r w:rsidR="00C54E56">
              <w:rPr>
                <w:rFonts w:ascii="Arial" w:hAnsi="Arial" w:cs="Arial"/>
                <w:color w:val="000000"/>
                <w:sz w:val="18"/>
                <w:szCs w:val="16"/>
              </w:rPr>
              <w:t>511.06</w:t>
            </w:r>
          </w:p>
          <w:p w14:paraId="674C19EE" w14:textId="048961B5" w:rsidR="003A1BCB" w:rsidRPr="00766D8A" w:rsidRDefault="003A1BCB" w:rsidP="009156AB">
            <w:pPr>
              <w:jc w:val="center"/>
              <w:rPr>
                <w:rFonts w:ascii="Arial" w:hAnsi="Arial" w:cs="Arial"/>
                <w:color w:val="000000"/>
                <w:sz w:val="18"/>
                <w:szCs w:val="16"/>
              </w:rPr>
            </w:pPr>
            <w:r>
              <w:rPr>
                <w:rFonts w:ascii="Arial" w:hAnsi="Arial" w:cs="Arial"/>
                <w:color w:val="000000"/>
                <w:sz w:val="18"/>
                <w:szCs w:val="16"/>
              </w:rPr>
              <w:t>(£468.38 to £558.76)</w:t>
            </w:r>
          </w:p>
        </w:tc>
      </w:tr>
      <w:tr w:rsidR="00734DB3" w:rsidRPr="00D406AA" w14:paraId="1A0C7360" w14:textId="6D8BBC10" w:rsidTr="00734DB3">
        <w:trPr>
          <w:trHeight w:val="256"/>
        </w:trPr>
        <w:tc>
          <w:tcPr>
            <w:tcW w:w="1304" w:type="dxa"/>
            <w:vMerge/>
            <w:tcBorders>
              <w:top w:val="nil"/>
              <w:left w:val="single" w:sz="4" w:space="0" w:color="auto"/>
              <w:bottom w:val="single" w:sz="4" w:space="0" w:color="auto"/>
              <w:right w:val="single" w:sz="4" w:space="0" w:color="auto"/>
            </w:tcBorders>
            <w:vAlign w:val="center"/>
            <w:hideMark/>
          </w:tcPr>
          <w:p w14:paraId="7D5CFD8D" w14:textId="77777777" w:rsidR="005F4E55" w:rsidRPr="00766D8A" w:rsidRDefault="005F4E55" w:rsidP="005F4E55">
            <w:pPr>
              <w:rPr>
                <w:rFonts w:ascii="Arial" w:hAnsi="Arial" w:cs="Arial"/>
                <w:b/>
                <w:bCs/>
                <w:color w:val="000000"/>
                <w:sz w:val="18"/>
                <w:szCs w:val="16"/>
              </w:rPr>
            </w:pPr>
          </w:p>
        </w:tc>
        <w:tc>
          <w:tcPr>
            <w:tcW w:w="1417" w:type="dxa"/>
            <w:vMerge/>
            <w:tcBorders>
              <w:top w:val="nil"/>
              <w:left w:val="single" w:sz="4" w:space="0" w:color="auto"/>
              <w:bottom w:val="single" w:sz="4" w:space="0" w:color="000000"/>
              <w:right w:val="single" w:sz="4" w:space="0" w:color="auto"/>
            </w:tcBorders>
            <w:vAlign w:val="center"/>
            <w:hideMark/>
          </w:tcPr>
          <w:p w14:paraId="7378063A" w14:textId="77777777" w:rsidR="005F4E55" w:rsidRPr="00247764" w:rsidRDefault="005F4E55" w:rsidP="005F4E55">
            <w:pPr>
              <w:rPr>
                <w:rFonts w:ascii="Arial" w:hAnsi="Arial" w:cs="Arial"/>
                <w:bCs/>
                <w:color w:val="000000"/>
                <w:sz w:val="18"/>
                <w:szCs w:val="16"/>
              </w:rPr>
            </w:pPr>
          </w:p>
        </w:tc>
        <w:tc>
          <w:tcPr>
            <w:tcW w:w="1418" w:type="dxa"/>
            <w:tcBorders>
              <w:top w:val="nil"/>
              <w:left w:val="nil"/>
              <w:bottom w:val="single" w:sz="4" w:space="0" w:color="auto"/>
              <w:right w:val="single" w:sz="4" w:space="0" w:color="auto"/>
            </w:tcBorders>
            <w:shd w:val="clear" w:color="000000" w:fill="EDEDED"/>
            <w:noWrap/>
            <w:vAlign w:val="bottom"/>
            <w:hideMark/>
          </w:tcPr>
          <w:p w14:paraId="5E93D096"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Do Not Treat</w:t>
            </w:r>
          </w:p>
        </w:tc>
        <w:tc>
          <w:tcPr>
            <w:tcW w:w="1134" w:type="dxa"/>
            <w:tcBorders>
              <w:top w:val="nil"/>
              <w:left w:val="nil"/>
              <w:bottom w:val="single" w:sz="4" w:space="0" w:color="auto"/>
              <w:right w:val="single" w:sz="4" w:space="0" w:color="auto"/>
            </w:tcBorders>
            <w:shd w:val="clear" w:color="000000" w:fill="EDEDED"/>
            <w:noWrap/>
            <w:vAlign w:val="bottom"/>
            <w:hideMark/>
          </w:tcPr>
          <w:p w14:paraId="67B5EB86"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p>
        </w:tc>
        <w:tc>
          <w:tcPr>
            <w:tcW w:w="1134" w:type="dxa"/>
            <w:tcBorders>
              <w:top w:val="nil"/>
              <w:left w:val="nil"/>
              <w:bottom w:val="single" w:sz="4" w:space="0" w:color="auto"/>
              <w:right w:val="single" w:sz="4" w:space="0" w:color="auto"/>
            </w:tcBorders>
            <w:shd w:val="clear" w:color="000000" w:fill="EDEDED"/>
            <w:noWrap/>
            <w:vAlign w:val="bottom"/>
            <w:hideMark/>
          </w:tcPr>
          <w:p w14:paraId="49195623"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417</w:t>
            </w:r>
          </w:p>
        </w:tc>
        <w:tc>
          <w:tcPr>
            <w:tcW w:w="1559" w:type="dxa"/>
            <w:vMerge/>
            <w:tcBorders>
              <w:top w:val="nil"/>
              <w:left w:val="single" w:sz="4" w:space="0" w:color="auto"/>
              <w:bottom w:val="single" w:sz="4" w:space="0" w:color="auto"/>
              <w:right w:val="single" w:sz="4" w:space="0" w:color="auto"/>
            </w:tcBorders>
            <w:vAlign w:val="center"/>
            <w:hideMark/>
          </w:tcPr>
          <w:p w14:paraId="6C0A4A1D" w14:textId="77777777" w:rsidR="005F4E55" w:rsidRPr="00766D8A" w:rsidRDefault="005F4E55" w:rsidP="005F4E55">
            <w:pPr>
              <w:rPr>
                <w:rFonts w:ascii="Arial" w:hAnsi="Arial" w:cs="Arial"/>
                <w:color w:val="000000"/>
                <w:sz w:val="18"/>
                <w:szCs w:val="16"/>
              </w:rPr>
            </w:pPr>
          </w:p>
        </w:tc>
        <w:tc>
          <w:tcPr>
            <w:tcW w:w="1559" w:type="dxa"/>
            <w:vMerge/>
            <w:tcBorders>
              <w:top w:val="nil"/>
              <w:left w:val="single" w:sz="4" w:space="0" w:color="auto"/>
              <w:bottom w:val="single" w:sz="4" w:space="0" w:color="auto"/>
              <w:right w:val="single" w:sz="4" w:space="0" w:color="auto"/>
            </w:tcBorders>
            <w:vAlign w:val="center"/>
            <w:hideMark/>
          </w:tcPr>
          <w:p w14:paraId="61CA2CB9"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2422AE85"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618DDAB6" w14:textId="77777777" w:rsidR="005F4E55" w:rsidRPr="00766D8A" w:rsidRDefault="005F4E55" w:rsidP="005F4E55">
            <w:pPr>
              <w:rPr>
                <w:rFonts w:ascii="Arial" w:hAnsi="Arial" w:cs="Arial"/>
                <w:color w:val="000000"/>
                <w:sz w:val="18"/>
                <w:szCs w:val="16"/>
              </w:rPr>
            </w:pPr>
          </w:p>
        </w:tc>
        <w:tc>
          <w:tcPr>
            <w:tcW w:w="2552" w:type="dxa"/>
            <w:vMerge/>
            <w:tcBorders>
              <w:left w:val="single" w:sz="4" w:space="0" w:color="auto"/>
              <w:bottom w:val="single" w:sz="4" w:space="0" w:color="auto"/>
              <w:right w:val="single" w:sz="4" w:space="0" w:color="auto"/>
            </w:tcBorders>
            <w:vAlign w:val="center"/>
          </w:tcPr>
          <w:p w14:paraId="24BAB4A4" w14:textId="77777777" w:rsidR="005F4E55" w:rsidRPr="00766D8A" w:rsidRDefault="005F4E55" w:rsidP="009156AB">
            <w:pPr>
              <w:jc w:val="center"/>
              <w:rPr>
                <w:rFonts w:ascii="Arial" w:hAnsi="Arial" w:cs="Arial"/>
                <w:color w:val="000000"/>
                <w:sz w:val="18"/>
                <w:szCs w:val="16"/>
              </w:rPr>
            </w:pPr>
          </w:p>
        </w:tc>
      </w:tr>
      <w:tr w:rsidR="00734DB3" w:rsidRPr="00D406AA" w14:paraId="4B93085F" w14:textId="29B0B0C0" w:rsidTr="00734DB3">
        <w:trPr>
          <w:trHeight w:val="256"/>
        </w:trPr>
        <w:tc>
          <w:tcPr>
            <w:tcW w:w="1304" w:type="dxa"/>
            <w:vMerge w:val="restart"/>
            <w:tcBorders>
              <w:top w:val="nil"/>
              <w:left w:val="single" w:sz="4" w:space="0" w:color="auto"/>
              <w:bottom w:val="single" w:sz="4" w:space="0" w:color="auto"/>
              <w:right w:val="single" w:sz="4" w:space="0" w:color="auto"/>
            </w:tcBorders>
            <w:shd w:val="clear" w:color="000000" w:fill="C9C9C9"/>
            <w:noWrap/>
            <w:vAlign w:val="center"/>
            <w:hideMark/>
          </w:tcPr>
          <w:p w14:paraId="6AB2FBFE" w14:textId="77777777" w:rsidR="005F4E55" w:rsidRPr="00766D8A" w:rsidRDefault="005F4E55" w:rsidP="005F4E55">
            <w:pPr>
              <w:jc w:val="center"/>
              <w:rPr>
                <w:rFonts w:ascii="Arial" w:hAnsi="Arial" w:cs="Arial"/>
                <w:b/>
                <w:bCs/>
                <w:color w:val="000000"/>
                <w:sz w:val="18"/>
                <w:szCs w:val="16"/>
              </w:rPr>
            </w:pPr>
            <w:r w:rsidRPr="00766D8A">
              <w:rPr>
                <w:rFonts w:ascii="Arial" w:hAnsi="Arial" w:cs="Arial"/>
                <w:b/>
                <w:bCs/>
                <w:color w:val="000000"/>
                <w:sz w:val="18"/>
                <w:szCs w:val="16"/>
              </w:rPr>
              <w:t>Glasgow</w:t>
            </w:r>
          </w:p>
        </w:tc>
        <w:tc>
          <w:tcPr>
            <w:tcW w:w="1417" w:type="dxa"/>
            <w:vMerge w:val="restart"/>
            <w:tcBorders>
              <w:top w:val="nil"/>
              <w:left w:val="single" w:sz="4" w:space="0" w:color="auto"/>
              <w:bottom w:val="single" w:sz="4" w:space="0" w:color="000000"/>
              <w:right w:val="single" w:sz="4" w:space="0" w:color="auto"/>
            </w:tcBorders>
            <w:shd w:val="clear" w:color="000000" w:fill="C9C9C9"/>
            <w:noWrap/>
            <w:vAlign w:val="center"/>
            <w:hideMark/>
          </w:tcPr>
          <w:p w14:paraId="300BCAEC" w14:textId="77777777" w:rsidR="005F4E55" w:rsidRPr="00247764" w:rsidRDefault="005F4E55" w:rsidP="005F4E55">
            <w:pPr>
              <w:jc w:val="center"/>
              <w:rPr>
                <w:rFonts w:ascii="Arial" w:hAnsi="Arial" w:cs="Arial"/>
                <w:bCs/>
                <w:color w:val="000000"/>
                <w:sz w:val="18"/>
                <w:szCs w:val="16"/>
              </w:rPr>
            </w:pPr>
            <w:r w:rsidRPr="00247764">
              <w:rPr>
                <w:rFonts w:ascii="Arial" w:hAnsi="Arial" w:cs="Arial"/>
                <w:bCs/>
                <w:color w:val="000000"/>
                <w:sz w:val="18"/>
                <w:szCs w:val="16"/>
              </w:rPr>
              <w:t>1030</w:t>
            </w:r>
          </w:p>
          <w:p w14:paraId="6F7A4278" w14:textId="1D5956C2" w:rsidR="005F4E55" w:rsidRPr="00247764" w:rsidRDefault="005F4E55" w:rsidP="005F4E55">
            <w:pPr>
              <w:jc w:val="center"/>
              <w:rPr>
                <w:rFonts w:ascii="Arial" w:hAnsi="Arial" w:cs="Arial"/>
                <w:bCs/>
                <w:color w:val="000000"/>
                <w:sz w:val="18"/>
                <w:szCs w:val="16"/>
              </w:rPr>
            </w:pPr>
            <w:r>
              <w:rPr>
                <w:rFonts w:ascii="Arial" w:hAnsi="Arial" w:cs="Arial"/>
                <w:bCs/>
                <w:color w:val="000000"/>
                <w:sz w:val="18"/>
                <w:szCs w:val="16"/>
              </w:rPr>
              <w:t>(78</w:t>
            </w:r>
            <w:r w:rsidRPr="00247764">
              <w:rPr>
                <w:rFonts w:ascii="Arial" w:hAnsi="Arial" w:cs="Arial"/>
                <w:bCs/>
                <w:color w:val="000000"/>
                <w:sz w:val="18"/>
                <w:szCs w:val="16"/>
              </w:rPr>
              <w:t>)</w:t>
            </w:r>
          </w:p>
        </w:tc>
        <w:tc>
          <w:tcPr>
            <w:tcW w:w="1418" w:type="dxa"/>
            <w:tcBorders>
              <w:top w:val="nil"/>
              <w:left w:val="nil"/>
              <w:bottom w:val="single" w:sz="4" w:space="0" w:color="auto"/>
              <w:right w:val="single" w:sz="4" w:space="0" w:color="auto"/>
            </w:tcBorders>
            <w:shd w:val="clear" w:color="auto" w:fill="auto"/>
            <w:noWrap/>
            <w:vAlign w:val="bottom"/>
            <w:hideMark/>
          </w:tcPr>
          <w:p w14:paraId="4054F7D2"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Treat</w:t>
            </w:r>
          </w:p>
        </w:tc>
        <w:tc>
          <w:tcPr>
            <w:tcW w:w="1134" w:type="dxa"/>
            <w:tcBorders>
              <w:top w:val="nil"/>
              <w:left w:val="nil"/>
              <w:bottom w:val="single" w:sz="4" w:space="0" w:color="auto"/>
              <w:right w:val="single" w:sz="4" w:space="0" w:color="auto"/>
            </w:tcBorders>
            <w:shd w:val="clear" w:color="auto" w:fill="auto"/>
            <w:noWrap/>
            <w:vAlign w:val="bottom"/>
            <w:hideMark/>
          </w:tcPr>
          <w:p w14:paraId="16B40171"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19</w:t>
            </w:r>
          </w:p>
        </w:tc>
        <w:tc>
          <w:tcPr>
            <w:tcW w:w="1134" w:type="dxa"/>
            <w:tcBorders>
              <w:top w:val="nil"/>
              <w:left w:val="nil"/>
              <w:bottom w:val="single" w:sz="4" w:space="0" w:color="auto"/>
              <w:right w:val="single" w:sz="4" w:space="0" w:color="auto"/>
            </w:tcBorders>
            <w:shd w:val="clear" w:color="auto" w:fill="auto"/>
            <w:noWrap/>
            <w:vAlign w:val="bottom"/>
            <w:hideMark/>
          </w:tcPr>
          <w:p w14:paraId="12A810D7"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897</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CE0C50"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549AB1D7" w14:textId="40BB10BC"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r>
              <w:rPr>
                <w:rFonts w:ascii="Arial" w:hAnsi="Arial" w:cs="Arial"/>
                <w:color w:val="000000"/>
                <w:sz w:val="18"/>
                <w:szCs w:val="16"/>
              </w:rPr>
              <w:t>82</w:t>
            </w:r>
            <w:r w:rsidRPr="00766D8A">
              <w:rPr>
                <w:rFonts w:ascii="Arial" w:hAnsi="Arial" w:cs="Arial"/>
                <w:color w:val="000000"/>
                <w:sz w:val="18"/>
                <w:szCs w:val="16"/>
              </w:rPr>
              <w:t xml:space="preserve"> to 1.00)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50711A"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0.32</w:t>
            </w:r>
          </w:p>
          <w:p w14:paraId="4DA5659D" w14:textId="420FD5A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(0.29 to 0.34)</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E68B87"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0.02</w:t>
            </w:r>
          </w:p>
          <w:p w14:paraId="5D381013" w14:textId="60836A85"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(0.01 to 0.03)</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1B2FAD"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4ACD9326" w14:textId="6300BF16"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(0.99 to 1.00)</w:t>
            </w:r>
          </w:p>
        </w:tc>
        <w:tc>
          <w:tcPr>
            <w:tcW w:w="2552" w:type="dxa"/>
            <w:vMerge w:val="restart"/>
            <w:tcBorders>
              <w:top w:val="nil"/>
              <w:left w:val="single" w:sz="4" w:space="0" w:color="auto"/>
              <w:right w:val="single" w:sz="4" w:space="0" w:color="auto"/>
            </w:tcBorders>
            <w:vAlign w:val="center"/>
          </w:tcPr>
          <w:p w14:paraId="2BBFDF5E" w14:textId="195885C7" w:rsidR="005F4E55" w:rsidRDefault="006567A4" w:rsidP="009156AB">
            <w:pPr>
              <w:jc w:val="center"/>
              <w:rPr>
                <w:rFonts w:ascii="Arial" w:hAnsi="Arial" w:cs="Arial"/>
                <w:color w:val="000000"/>
                <w:sz w:val="18"/>
                <w:szCs w:val="16"/>
              </w:rPr>
            </w:pPr>
            <w:r>
              <w:rPr>
                <w:rFonts w:ascii="Arial" w:hAnsi="Arial" w:cs="Arial"/>
                <w:color w:val="000000"/>
                <w:sz w:val="18"/>
                <w:szCs w:val="16"/>
              </w:rPr>
              <w:t>£</w:t>
            </w:r>
            <w:r w:rsidR="00C54E56">
              <w:rPr>
                <w:rFonts w:ascii="Arial" w:hAnsi="Arial" w:cs="Arial"/>
                <w:color w:val="000000"/>
                <w:sz w:val="18"/>
                <w:szCs w:val="16"/>
              </w:rPr>
              <w:t>512.49</w:t>
            </w:r>
          </w:p>
          <w:p w14:paraId="7A797FED" w14:textId="6EBEAA23" w:rsidR="00D822D8" w:rsidRPr="00766D8A" w:rsidRDefault="00D822D8" w:rsidP="009156AB">
            <w:pPr>
              <w:jc w:val="center"/>
              <w:rPr>
                <w:rFonts w:ascii="Arial" w:hAnsi="Arial" w:cs="Arial"/>
                <w:color w:val="000000"/>
                <w:sz w:val="18"/>
                <w:szCs w:val="16"/>
              </w:rPr>
            </w:pPr>
            <w:r>
              <w:rPr>
                <w:rFonts w:ascii="Arial" w:hAnsi="Arial" w:cs="Arial"/>
                <w:color w:val="000000"/>
                <w:sz w:val="18"/>
                <w:szCs w:val="16"/>
              </w:rPr>
              <w:t>(£</w:t>
            </w:r>
            <w:r w:rsidR="00C62EB8">
              <w:rPr>
                <w:rFonts w:ascii="Arial" w:hAnsi="Arial" w:cs="Arial"/>
                <w:color w:val="000000"/>
                <w:sz w:val="18"/>
                <w:szCs w:val="16"/>
              </w:rPr>
              <w:t>469.79 to £558.76)</w:t>
            </w:r>
          </w:p>
        </w:tc>
      </w:tr>
      <w:tr w:rsidR="00734DB3" w:rsidRPr="00D406AA" w14:paraId="21EB1714" w14:textId="222DA08F" w:rsidTr="00734DB3">
        <w:trPr>
          <w:trHeight w:val="256"/>
        </w:trPr>
        <w:tc>
          <w:tcPr>
            <w:tcW w:w="1304" w:type="dxa"/>
            <w:vMerge/>
            <w:tcBorders>
              <w:top w:val="nil"/>
              <w:left w:val="single" w:sz="4" w:space="0" w:color="auto"/>
              <w:bottom w:val="single" w:sz="4" w:space="0" w:color="auto"/>
              <w:right w:val="single" w:sz="4" w:space="0" w:color="auto"/>
            </w:tcBorders>
            <w:vAlign w:val="center"/>
            <w:hideMark/>
          </w:tcPr>
          <w:p w14:paraId="62B5101B" w14:textId="77777777" w:rsidR="005F4E55" w:rsidRPr="00766D8A" w:rsidRDefault="005F4E55" w:rsidP="005F4E55">
            <w:pPr>
              <w:rPr>
                <w:rFonts w:ascii="Arial" w:hAnsi="Arial" w:cs="Arial"/>
                <w:b/>
                <w:bCs/>
                <w:color w:val="000000"/>
                <w:sz w:val="18"/>
                <w:szCs w:val="16"/>
              </w:rPr>
            </w:pPr>
          </w:p>
        </w:tc>
        <w:tc>
          <w:tcPr>
            <w:tcW w:w="1417" w:type="dxa"/>
            <w:vMerge/>
            <w:tcBorders>
              <w:top w:val="nil"/>
              <w:left w:val="single" w:sz="4" w:space="0" w:color="auto"/>
              <w:bottom w:val="single" w:sz="4" w:space="0" w:color="000000"/>
              <w:right w:val="single" w:sz="4" w:space="0" w:color="auto"/>
            </w:tcBorders>
            <w:vAlign w:val="center"/>
            <w:hideMark/>
          </w:tcPr>
          <w:p w14:paraId="5737D5B7" w14:textId="77777777" w:rsidR="005F4E55" w:rsidRPr="00247764" w:rsidRDefault="005F4E55" w:rsidP="005F4E55">
            <w:pPr>
              <w:rPr>
                <w:rFonts w:ascii="Arial" w:hAnsi="Arial" w:cs="Arial"/>
                <w:bCs/>
                <w:color w:val="000000"/>
                <w:sz w:val="18"/>
                <w:szCs w:val="16"/>
              </w:rPr>
            </w:pPr>
          </w:p>
        </w:tc>
        <w:tc>
          <w:tcPr>
            <w:tcW w:w="1418" w:type="dxa"/>
            <w:tcBorders>
              <w:top w:val="nil"/>
              <w:left w:val="nil"/>
              <w:bottom w:val="single" w:sz="4" w:space="0" w:color="auto"/>
              <w:right w:val="single" w:sz="4" w:space="0" w:color="auto"/>
            </w:tcBorders>
            <w:shd w:val="clear" w:color="000000" w:fill="EDEDED"/>
            <w:noWrap/>
            <w:vAlign w:val="bottom"/>
            <w:hideMark/>
          </w:tcPr>
          <w:p w14:paraId="140EBBA1"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Do Not Treat</w:t>
            </w:r>
          </w:p>
        </w:tc>
        <w:tc>
          <w:tcPr>
            <w:tcW w:w="1134" w:type="dxa"/>
            <w:tcBorders>
              <w:top w:val="nil"/>
              <w:left w:val="nil"/>
              <w:bottom w:val="single" w:sz="4" w:space="0" w:color="auto"/>
              <w:right w:val="single" w:sz="4" w:space="0" w:color="auto"/>
            </w:tcBorders>
            <w:shd w:val="clear" w:color="000000" w:fill="EDEDED"/>
            <w:noWrap/>
            <w:vAlign w:val="bottom"/>
            <w:hideMark/>
          </w:tcPr>
          <w:p w14:paraId="1440C36B"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p>
        </w:tc>
        <w:tc>
          <w:tcPr>
            <w:tcW w:w="1134" w:type="dxa"/>
            <w:tcBorders>
              <w:top w:val="nil"/>
              <w:left w:val="nil"/>
              <w:bottom w:val="single" w:sz="4" w:space="0" w:color="auto"/>
              <w:right w:val="single" w:sz="4" w:space="0" w:color="auto"/>
            </w:tcBorders>
            <w:shd w:val="clear" w:color="000000" w:fill="EDEDED"/>
            <w:noWrap/>
            <w:vAlign w:val="bottom"/>
            <w:hideMark/>
          </w:tcPr>
          <w:p w14:paraId="13958EA1"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413</w:t>
            </w:r>
          </w:p>
        </w:tc>
        <w:tc>
          <w:tcPr>
            <w:tcW w:w="1559" w:type="dxa"/>
            <w:vMerge/>
            <w:tcBorders>
              <w:top w:val="nil"/>
              <w:left w:val="single" w:sz="4" w:space="0" w:color="auto"/>
              <w:bottom w:val="single" w:sz="4" w:space="0" w:color="auto"/>
              <w:right w:val="single" w:sz="4" w:space="0" w:color="auto"/>
            </w:tcBorders>
            <w:vAlign w:val="center"/>
            <w:hideMark/>
          </w:tcPr>
          <w:p w14:paraId="6B8D7726" w14:textId="77777777" w:rsidR="005F4E55" w:rsidRPr="00766D8A" w:rsidRDefault="005F4E55" w:rsidP="005F4E55">
            <w:pPr>
              <w:rPr>
                <w:rFonts w:ascii="Arial" w:hAnsi="Arial" w:cs="Arial"/>
                <w:color w:val="000000"/>
                <w:sz w:val="18"/>
                <w:szCs w:val="16"/>
              </w:rPr>
            </w:pPr>
          </w:p>
        </w:tc>
        <w:tc>
          <w:tcPr>
            <w:tcW w:w="1559" w:type="dxa"/>
            <w:vMerge/>
            <w:tcBorders>
              <w:top w:val="nil"/>
              <w:left w:val="single" w:sz="4" w:space="0" w:color="auto"/>
              <w:bottom w:val="single" w:sz="4" w:space="0" w:color="auto"/>
              <w:right w:val="single" w:sz="4" w:space="0" w:color="auto"/>
            </w:tcBorders>
            <w:vAlign w:val="center"/>
            <w:hideMark/>
          </w:tcPr>
          <w:p w14:paraId="2D20E3A4"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61C9E7B6"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19CB28DB" w14:textId="77777777" w:rsidR="005F4E55" w:rsidRPr="00766D8A" w:rsidRDefault="005F4E55" w:rsidP="005F4E55">
            <w:pPr>
              <w:rPr>
                <w:rFonts w:ascii="Arial" w:hAnsi="Arial" w:cs="Arial"/>
                <w:color w:val="000000"/>
                <w:sz w:val="18"/>
                <w:szCs w:val="16"/>
              </w:rPr>
            </w:pPr>
          </w:p>
        </w:tc>
        <w:tc>
          <w:tcPr>
            <w:tcW w:w="2552" w:type="dxa"/>
            <w:vMerge/>
            <w:tcBorders>
              <w:left w:val="single" w:sz="4" w:space="0" w:color="auto"/>
              <w:bottom w:val="single" w:sz="4" w:space="0" w:color="auto"/>
              <w:right w:val="single" w:sz="4" w:space="0" w:color="auto"/>
            </w:tcBorders>
            <w:vAlign w:val="center"/>
          </w:tcPr>
          <w:p w14:paraId="4B75525C" w14:textId="77777777" w:rsidR="005F4E55" w:rsidRPr="00766D8A" w:rsidRDefault="005F4E55" w:rsidP="009156AB">
            <w:pPr>
              <w:jc w:val="center"/>
              <w:rPr>
                <w:rFonts w:ascii="Arial" w:hAnsi="Arial" w:cs="Arial"/>
                <w:color w:val="000000"/>
                <w:sz w:val="18"/>
                <w:szCs w:val="16"/>
              </w:rPr>
            </w:pPr>
          </w:p>
        </w:tc>
      </w:tr>
      <w:tr w:rsidR="00734DB3" w:rsidRPr="00D406AA" w14:paraId="17F5D55F" w14:textId="6EE5670A" w:rsidTr="00734DB3">
        <w:trPr>
          <w:trHeight w:val="256"/>
        </w:trPr>
        <w:tc>
          <w:tcPr>
            <w:tcW w:w="1304" w:type="dxa"/>
            <w:vMerge w:val="restart"/>
            <w:tcBorders>
              <w:top w:val="nil"/>
              <w:left w:val="single" w:sz="4" w:space="0" w:color="auto"/>
              <w:bottom w:val="single" w:sz="4" w:space="0" w:color="auto"/>
              <w:right w:val="single" w:sz="4" w:space="0" w:color="auto"/>
            </w:tcBorders>
            <w:shd w:val="clear" w:color="000000" w:fill="C9C9C9"/>
            <w:noWrap/>
            <w:vAlign w:val="center"/>
            <w:hideMark/>
          </w:tcPr>
          <w:p w14:paraId="52E1129C" w14:textId="77777777" w:rsidR="005F4E55" w:rsidRPr="00766D8A" w:rsidRDefault="005F4E55" w:rsidP="005F4E55">
            <w:pPr>
              <w:jc w:val="center"/>
              <w:rPr>
                <w:rFonts w:ascii="Arial" w:hAnsi="Arial" w:cs="Arial"/>
                <w:b/>
                <w:bCs/>
                <w:color w:val="000000"/>
                <w:sz w:val="18"/>
                <w:szCs w:val="16"/>
              </w:rPr>
            </w:pPr>
            <w:r w:rsidRPr="00766D8A">
              <w:rPr>
                <w:rFonts w:ascii="Arial" w:hAnsi="Arial" w:cs="Arial"/>
                <w:b/>
                <w:bCs/>
                <w:color w:val="000000"/>
                <w:sz w:val="18"/>
                <w:szCs w:val="16"/>
              </w:rPr>
              <w:t>Chester</w:t>
            </w:r>
          </w:p>
        </w:tc>
        <w:tc>
          <w:tcPr>
            <w:tcW w:w="1417" w:type="dxa"/>
            <w:vMerge w:val="restart"/>
            <w:tcBorders>
              <w:top w:val="nil"/>
              <w:left w:val="single" w:sz="4" w:space="0" w:color="auto"/>
              <w:bottom w:val="single" w:sz="4" w:space="0" w:color="000000"/>
              <w:right w:val="single" w:sz="4" w:space="0" w:color="auto"/>
            </w:tcBorders>
            <w:shd w:val="clear" w:color="000000" w:fill="C9C9C9"/>
            <w:noWrap/>
            <w:vAlign w:val="center"/>
            <w:hideMark/>
          </w:tcPr>
          <w:p w14:paraId="5AC0D189" w14:textId="77777777" w:rsidR="005F4E55" w:rsidRPr="00247764" w:rsidRDefault="005F4E55" w:rsidP="005F4E55">
            <w:pPr>
              <w:jc w:val="center"/>
              <w:rPr>
                <w:rFonts w:ascii="Arial" w:hAnsi="Arial" w:cs="Arial"/>
                <w:bCs/>
                <w:color w:val="000000"/>
                <w:sz w:val="18"/>
                <w:szCs w:val="16"/>
              </w:rPr>
            </w:pPr>
            <w:r w:rsidRPr="00247764">
              <w:rPr>
                <w:rFonts w:ascii="Arial" w:hAnsi="Arial" w:cs="Arial"/>
                <w:bCs/>
                <w:color w:val="000000"/>
                <w:sz w:val="18"/>
                <w:szCs w:val="16"/>
              </w:rPr>
              <w:t>1087</w:t>
            </w:r>
          </w:p>
          <w:p w14:paraId="1F93DB4B" w14:textId="25727BAA" w:rsidR="005F4E55" w:rsidRPr="00247764" w:rsidRDefault="005F4E55" w:rsidP="005F4E55">
            <w:pPr>
              <w:jc w:val="center"/>
              <w:rPr>
                <w:rFonts w:ascii="Arial" w:hAnsi="Arial" w:cs="Arial"/>
                <w:bCs/>
                <w:color w:val="000000"/>
                <w:sz w:val="18"/>
                <w:szCs w:val="16"/>
              </w:rPr>
            </w:pPr>
            <w:r>
              <w:rPr>
                <w:rFonts w:ascii="Arial" w:hAnsi="Arial" w:cs="Arial"/>
                <w:bCs/>
                <w:color w:val="000000"/>
                <w:sz w:val="18"/>
                <w:szCs w:val="16"/>
              </w:rPr>
              <w:t>(82</w:t>
            </w:r>
            <w:r w:rsidRPr="00247764">
              <w:rPr>
                <w:rFonts w:ascii="Arial" w:hAnsi="Arial" w:cs="Arial"/>
                <w:bCs/>
                <w:color w:val="000000"/>
                <w:sz w:val="18"/>
                <w:szCs w:val="16"/>
              </w:rPr>
              <w:t>)</w:t>
            </w:r>
          </w:p>
        </w:tc>
        <w:tc>
          <w:tcPr>
            <w:tcW w:w="1418" w:type="dxa"/>
            <w:tcBorders>
              <w:top w:val="nil"/>
              <w:left w:val="nil"/>
              <w:bottom w:val="single" w:sz="4" w:space="0" w:color="auto"/>
              <w:right w:val="single" w:sz="4" w:space="0" w:color="auto"/>
            </w:tcBorders>
            <w:shd w:val="clear" w:color="auto" w:fill="auto"/>
            <w:noWrap/>
            <w:vAlign w:val="bottom"/>
            <w:hideMark/>
          </w:tcPr>
          <w:p w14:paraId="06507FF3"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Treat</w:t>
            </w:r>
          </w:p>
        </w:tc>
        <w:tc>
          <w:tcPr>
            <w:tcW w:w="1134" w:type="dxa"/>
            <w:tcBorders>
              <w:top w:val="nil"/>
              <w:left w:val="nil"/>
              <w:bottom w:val="single" w:sz="4" w:space="0" w:color="auto"/>
              <w:right w:val="single" w:sz="4" w:space="0" w:color="auto"/>
            </w:tcBorders>
            <w:shd w:val="clear" w:color="auto" w:fill="auto"/>
            <w:noWrap/>
            <w:vAlign w:val="bottom"/>
            <w:hideMark/>
          </w:tcPr>
          <w:p w14:paraId="59494D7D"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19</w:t>
            </w:r>
          </w:p>
        </w:tc>
        <w:tc>
          <w:tcPr>
            <w:tcW w:w="1134" w:type="dxa"/>
            <w:tcBorders>
              <w:top w:val="nil"/>
              <w:left w:val="nil"/>
              <w:bottom w:val="single" w:sz="4" w:space="0" w:color="auto"/>
              <w:right w:val="single" w:sz="4" w:space="0" w:color="auto"/>
            </w:tcBorders>
            <w:shd w:val="clear" w:color="auto" w:fill="auto"/>
            <w:noWrap/>
            <w:vAlign w:val="bottom"/>
            <w:hideMark/>
          </w:tcPr>
          <w:p w14:paraId="6C2EA7CC"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965</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E190E1"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54E832D2" w14:textId="087FC40F"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r>
              <w:rPr>
                <w:rFonts w:ascii="Arial" w:hAnsi="Arial" w:cs="Arial"/>
                <w:color w:val="000000"/>
                <w:sz w:val="18"/>
                <w:szCs w:val="16"/>
              </w:rPr>
              <w:t>82</w:t>
            </w:r>
            <w:r w:rsidRPr="00766D8A">
              <w:rPr>
                <w:rFonts w:ascii="Arial" w:hAnsi="Arial" w:cs="Arial"/>
                <w:color w:val="000000"/>
                <w:sz w:val="18"/>
                <w:szCs w:val="16"/>
              </w:rPr>
              <w:t xml:space="preserve"> to 1.00)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D3F527"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0.26</w:t>
            </w:r>
          </w:p>
          <w:p w14:paraId="6AF289EA" w14:textId="3270D39A"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(0.24 to 0.29)</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9D81E3"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0.02</w:t>
            </w:r>
          </w:p>
          <w:p w14:paraId="75A1B7DC" w14:textId="1B8C92D8"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(0.01 to 0.03)</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46D629"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58177BD1" w14:textId="6692A6B4"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(0.99 to 1.00)</w:t>
            </w:r>
          </w:p>
        </w:tc>
        <w:tc>
          <w:tcPr>
            <w:tcW w:w="2552" w:type="dxa"/>
            <w:vMerge w:val="restart"/>
            <w:tcBorders>
              <w:top w:val="nil"/>
              <w:left w:val="single" w:sz="4" w:space="0" w:color="auto"/>
              <w:right w:val="single" w:sz="4" w:space="0" w:color="auto"/>
            </w:tcBorders>
            <w:vAlign w:val="center"/>
          </w:tcPr>
          <w:p w14:paraId="3EB634C1" w14:textId="7410D0C6" w:rsidR="005F4E55" w:rsidRDefault="006567A4" w:rsidP="009156AB">
            <w:pPr>
              <w:jc w:val="center"/>
              <w:rPr>
                <w:rFonts w:ascii="Arial" w:hAnsi="Arial" w:cs="Arial"/>
                <w:color w:val="000000"/>
                <w:sz w:val="18"/>
                <w:szCs w:val="16"/>
              </w:rPr>
            </w:pPr>
            <w:r>
              <w:rPr>
                <w:rFonts w:ascii="Arial" w:hAnsi="Arial" w:cs="Arial"/>
                <w:color w:val="000000"/>
                <w:sz w:val="18"/>
                <w:szCs w:val="16"/>
              </w:rPr>
              <w:t>£</w:t>
            </w:r>
            <w:r w:rsidR="003464B8">
              <w:rPr>
                <w:rFonts w:ascii="Arial" w:hAnsi="Arial" w:cs="Arial"/>
                <w:color w:val="000000"/>
                <w:sz w:val="18"/>
                <w:szCs w:val="16"/>
              </w:rPr>
              <w:t>536.85</w:t>
            </w:r>
          </w:p>
          <w:p w14:paraId="71AEDFBE" w14:textId="2403E4EA" w:rsidR="00A71A54" w:rsidRPr="00766D8A" w:rsidRDefault="00310A97" w:rsidP="009156AB">
            <w:pPr>
              <w:jc w:val="center"/>
              <w:rPr>
                <w:rFonts w:ascii="Arial" w:hAnsi="Arial" w:cs="Arial"/>
                <w:color w:val="000000"/>
                <w:sz w:val="18"/>
                <w:szCs w:val="16"/>
              </w:rPr>
            </w:pPr>
            <w:r>
              <w:rPr>
                <w:rFonts w:ascii="Arial" w:hAnsi="Arial" w:cs="Arial"/>
                <w:color w:val="000000"/>
                <w:sz w:val="18"/>
                <w:szCs w:val="16"/>
              </w:rPr>
              <w:t>(£</w:t>
            </w:r>
            <w:r w:rsidR="008C7BB1">
              <w:rPr>
                <w:rFonts w:ascii="Arial" w:hAnsi="Arial" w:cs="Arial"/>
                <w:color w:val="000000"/>
                <w:sz w:val="18"/>
                <w:szCs w:val="16"/>
              </w:rPr>
              <w:t>494.17 to £582.76)</w:t>
            </w:r>
          </w:p>
        </w:tc>
      </w:tr>
      <w:tr w:rsidR="00734DB3" w:rsidRPr="00D406AA" w14:paraId="3FBDB595" w14:textId="5CCA78A1" w:rsidTr="00734DB3">
        <w:trPr>
          <w:trHeight w:val="256"/>
        </w:trPr>
        <w:tc>
          <w:tcPr>
            <w:tcW w:w="1304" w:type="dxa"/>
            <w:vMerge/>
            <w:tcBorders>
              <w:top w:val="nil"/>
              <w:left w:val="single" w:sz="4" w:space="0" w:color="auto"/>
              <w:bottom w:val="single" w:sz="4" w:space="0" w:color="auto"/>
              <w:right w:val="single" w:sz="4" w:space="0" w:color="auto"/>
            </w:tcBorders>
            <w:vAlign w:val="center"/>
            <w:hideMark/>
          </w:tcPr>
          <w:p w14:paraId="4D076C30" w14:textId="77777777" w:rsidR="005F4E55" w:rsidRPr="00766D8A" w:rsidRDefault="005F4E55" w:rsidP="005F4E55">
            <w:pPr>
              <w:rPr>
                <w:rFonts w:ascii="Arial" w:hAnsi="Arial" w:cs="Arial"/>
                <w:b/>
                <w:bCs/>
                <w:color w:val="000000"/>
                <w:sz w:val="18"/>
                <w:szCs w:val="16"/>
              </w:rPr>
            </w:pPr>
          </w:p>
        </w:tc>
        <w:tc>
          <w:tcPr>
            <w:tcW w:w="1417" w:type="dxa"/>
            <w:vMerge/>
            <w:tcBorders>
              <w:top w:val="nil"/>
              <w:left w:val="single" w:sz="4" w:space="0" w:color="auto"/>
              <w:bottom w:val="single" w:sz="4" w:space="0" w:color="000000"/>
              <w:right w:val="single" w:sz="4" w:space="0" w:color="auto"/>
            </w:tcBorders>
            <w:vAlign w:val="center"/>
            <w:hideMark/>
          </w:tcPr>
          <w:p w14:paraId="30CE3CA3" w14:textId="77777777" w:rsidR="005F4E55" w:rsidRPr="00247764" w:rsidRDefault="005F4E55" w:rsidP="005F4E55">
            <w:pPr>
              <w:rPr>
                <w:rFonts w:ascii="Arial" w:hAnsi="Arial" w:cs="Arial"/>
                <w:bCs/>
                <w:color w:val="000000"/>
                <w:sz w:val="18"/>
                <w:szCs w:val="16"/>
              </w:rPr>
            </w:pPr>
          </w:p>
        </w:tc>
        <w:tc>
          <w:tcPr>
            <w:tcW w:w="1418" w:type="dxa"/>
            <w:tcBorders>
              <w:top w:val="nil"/>
              <w:left w:val="nil"/>
              <w:bottom w:val="single" w:sz="4" w:space="0" w:color="auto"/>
              <w:right w:val="single" w:sz="4" w:space="0" w:color="auto"/>
            </w:tcBorders>
            <w:shd w:val="clear" w:color="000000" w:fill="EDEDED"/>
            <w:noWrap/>
            <w:vAlign w:val="bottom"/>
            <w:hideMark/>
          </w:tcPr>
          <w:p w14:paraId="72F912D4"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Do Not Treat</w:t>
            </w:r>
          </w:p>
        </w:tc>
        <w:tc>
          <w:tcPr>
            <w:tcW w:w="1134" w:type="dxa"/>
            <w:tcBorders>
              <w:top w:val="nil"/>
              <w:left w:val="nil"/>
              <w:bottom w:val="single" w:sz="4" w:space="0" w:color="auto"/>
              <w:right w:val="single" w:sz="4" w:space="0" w:color="auto"/>
            </w:tcBorders>
            <w:shd w:val="clear" w:color="000000" w:fill="EDEDED"/>
            <w:noWrap/>
            <w:vAlign w:val="bottom"/>
            <w:hideMark/>
          </w:tcPr>
          <w:p w14:paraId="58543225"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p>
        </w:tc>
        <w:tc>
          <w:tcPr>
            <w:tcW w:w="1134" w:type="dxa"/>
            <w:tcBorders>
              <w:top w:val="nil"/>
              <w:left w:val="nil"/>
              <w:bottom w:val="single" w:sz="4" w:space="0" w:color="auto"/>
              <w:right w:val="single" w:sz="4" w:space="0" w:color="auto"/>
            </w:tcBorders>
            <w:shd w:val="clear" w:color="000000" w:fill="EDEDED"/>
            <w:noWrap/>
            <w:vAlign w:val="bottom"/>
            <w:hideMark/>
          </w:tcPr>
          <w:p w14:paraId="31149B45"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345</w:t>
            </w:r>
          </w:p>
        </w:tc>
        <w:tc>
          <w:tcPr>
            <w:tcW w:w="1559" w:type="dxa"/>
            <w:vMerge/>
            <w:tcBorders>
              <w:top w:val="nil"/>
              <w:left w:val="single" w:sz="4" w:space="0" w:color="auto"/>
              <w:bottom w:val="single" w:sz="4" w:space="0" w:color="auto"/>
              <w:right w:val="single" w:sz="4" w:space="0" w:color="auto"/>
            </w:tcBorders>
            <w:vAlign w:val="center"/>
            <w:hideMark/>
          </w:tcPr>
          <w:p w14:paraId="7E957A22" w14:textId="77777777" w:rsidR="005F4E55" w:rsidRPr="00766D8A" w:rsidRDefault="005F4E55" w:rsidP="005F4E55">
            <w:pPr>
              <w:rPr>
                <w:rFonts w:ascii="Arial" w:hAnsi="Arial" w:cs="Arial"/>
                <w:color w:val="000000"/>
                <w:sz w:val="18"/>
                <w:szCs w:val="16"/>
              </w:rPr>
            </w:pPr>
          </w:p>
        </w:tc>
        <w:tc>
          <w:tcPr>
            <w:tcW w:w="1559" w:type="dxa"/>
            <w:vMerge/>
            <w:tcBorders>
              <w:top w:val="nil"/>
              <w:left w:val="single" w:sz="4" w:space="0" w:color="auto"/>
              <w:bottom w:val="single" w:sz="4" w:space="0" w:color="auto"/>
              <w:right w:val="single" w:sz="4" w:space="0" w:color="auto"/>
            </w:tcBorders>
            <w:vAlign w:val="center"/>
            <w:hideMark/>
          </w:tcPr>
          <w:p w14:paraId="477B62E9"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638E6886"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694CBB63" w14:textId="77777777" w:rsidR="005F4E55" w:rsidRPr="00766D8A" w:rsidRDefault="005F4E55" w:rsidP="005F4E55">
            <w:pPr>
              <w:rPr>
                <w:rFonts w:ascii="Arial" w:hAnsi="Arial" w:cs="Arial"/>
                <w:color w:val="000000"/>
                <w:sz w:val="18"/>
                <w:szCs w:val="16"/>
              </w:rPr>
            </w:pPr>
          </w:p>
        </w:tc>
        <w:tc>
          <w:tcPr>
            <w:tcW w:w="2552" w:type="dxa"/>
            <w:vMerge/>
            <w:tcBorders>
              <w:left w:val="single" w:sz="4" w:space="0" w:color="auto"/>
              <w:bottom w:val="single" w:sz="4" w:space="0" w:color="auto"/>
              <w:right w:val="single" w:sz="4" w:space="0" w:color="auto"/>
            </w:tcBorders>
            <w:vAlign w:val="center"/>
          </w:tcPr>
          <w:p w14:paraId="5E829506" w14:textId="77777777" w:rsidR="005F4E55" w:rsidRPr="00766D8A" w:rsidRDefault="005F4E55" w:rsidP="009156AB">
            <w:pPr>
              <w:jc w:val="center"/>
              <w:rPr>
                <w:rFonts w:ascii="Arial" w:hAnsi="Arial" w:cs="Arial"/>
                <w:color w:val="000000"/>
                <w:sz w:val="18"/>
                <w:szCs w:val="16"/>
              </w:rPr>
            </w:pPr>
          </w:p>
        </w:tc>
      </w:tr>
      <w:tr w:rsidR="00734DB3" w:rsidRPr="00D406AA" w14:paraId="6380561E" w14:textId="529BED88" w:rsidTr="00734DB3">
        <w:trPr>
          <w:trHeight w:val="256"/>
        </w:trPr>
        <w:tc>
          <w:tcPr>
            <w:tcW w:w="1304" w:type="dxa"/>
            <w:vMerge w:val="restart"/>
            <w:tcBorders>
              <w:top w:val="nil"/>
              <w:left w:val="single" w:sz="4" w:space="0" w:color="auto"/>
              <w:bottom w:val="single" w:sz="4" w:space="0" w:color="auto"/>
              <w:right w:val="single" w:sz="4" w:space="0" w:color="auto"/>
            </w:tcBorders>
            <w:shd w:val="clear" w:color="000000" w:fill="C9C9C9"/>
            <w:noWrap/>
            <w:vAlign w:val="center"/>
            <w:hideMark/>
          </w:tcPr>
          <w:p w14:paraId="6BEBEF31" w14:textId="77777777" w:rsidR="005F4E55" w:rsidRPr="00766D8A" w:rsidRDefault="005F4E55" w:rsidP="005F4E55">
            <w:pPr>
              <w:jc w:val="center"/>
              <w:rPr>
                <w:rFonts w:ascii="Arial" w:hAnsi="Arial" w:cs="Arial"/>
                <w:b/>
                <w:bCs/>
                <w:color w:val="000000"/>
                <w:sz w:val="18"/>
                <w:szCs w:val="16"/>
              </w:rPr>
            </w:pPr>
            <w:r w:rsidRPr="00766D8A">
              <w:rPr>
                <w:rFonts w:ascii="Arial" w:hAnsi="Arial" w:cs="Arial"/>
                <w:b/>
                <w:bCs/>
                <w:color w:val="000000"/>
                <w:sz w:val="18"/>
                <w:szCs w:val="16"/>
              </w:rPr>
              <w:t>Bristol</w:t>
            </w:r>
          </w:p>
        </w:tc>
        <w:tc>
          <w:tcPr>
            <w:tcW w:w="1417" w:type="dxa"/>
            <w:vMerge w:val="restart"/>
            <w:tcBorders>
              <w:top w:val="nil"/>
              <w:left w:val="single" w:sz="4" w:space="0" w:color="auto"/>
              <w:bottom w:val="single" w:sz="4" w:space="0" w:color="000000"/>
              <w:right w:val="single" w:sz="4" w:space="0" w:color="auto"/>
            </w:tcBorders>
            <w:shd w:val="clear" w:color="000000" w:fill="C9C9C9"/>
            <w:noWrap/>
            <w:vAlign w:val="center"/>
            <w:hideMark/>
          </w:tcPr>
          <w:p w14:paraId="399D1A7C" w14:textId="77777777" w:rsidR="005F4E55" w:rsidRPr="00247764" w:rsidRDefault="005F4E55" w:rsidP="005F4E55">
            <w:pPr>
              <w:jc w:val="center"/>
              <w:rPr>
                <w:rFonts w:ascii="Arial" w:hAnsi="Arial" w:cs="Arial"/>
                <w:bCs/>
                <w:color w:val="000000"/>
                <w:sz w:val="18"/>
                <w:szCs w:val="16"/>
              </w:rPr>
            </w:pPr>
            <w:r w:rsidRPr="00247764">
              <w:rPr>
                <w:rFonts w:ascii="Arial" w:hAnsi="Arial" w:cs="Arial"/>
                <w:bCs/>
                <w:color w:val="000000"/>
                <w:sz w:val="18"/>
                <w:szCs w:val="16"/>
              </w:rPr>
              <w:t>1169</w:t>
            </w:r>
          </w:p>
          <w:p w14:paraId="55441160" w14:textId="0C2B26A4" w:rsidR="005F4E55" w:rsidRPr="00247764" w:rsidRDefault="005F4E55" w:rsidP="005F4E55">
            <w:pPr>
              <w:jc w:val="center"/>
              <w:rPr>
                <w:rFonts w:ascii="Arial" w:hAnsi="Arial" w:cs="Arial"/>
                <w:bCs/>
                <w:color w:val="000000"/>
                <w:sz w:val="18"/>
                <w:szCs w:val="16"/>
              </w:rPr>
            </w:pPr>
            <w:r>
              <w:rPr>
                <w:rFonts w:ascii="Arial" w:hAnsi="Arial" w:cs="Arial"/>
                <w:bCs/>
                <w:color w:val="000000"/>
                <w:sz w:val="18"/>
                <w:szCs w:val="16"/>
              </w:rPr>
              <w:t>(88</w:t>
            </w:r>
            <w:r w:rsidRPr="00247764">
              <w:rPr>
                <w:rFonts w:ascii="Arial" w:hAnsi="Arial" w:cs="Arial"/>
                <w:bCs/>
                <w:color w:val="000000"/>
                <w:sz w:val="18"/>
                <w:szCs w:val="16"/>
              </w:rPr>
              <w:t>)</w:t>
            </w:r>
          </w:p>
        </w:tc>
        <w:tc>
          <w:tcPr>
            <w:tcW w:w="1418" w:type="dxa"/>
            <w:tcBorders>
              <w:top w:val="nil"/>
              <w:left w:val="nil"/>
              <w:bottom w:val="single" w:sz="4" w:space="0" w:color="auto"/>
              <w:right w:val="single" w:sz="4" w:space="0" w:color="auto"/>
            </w:tcBorders>
            <w:shd w:val="clear" w:color="auto" w:fill="auto"/>
            <w:noWrap/>
            <w:vAlign w:val="bottom"/>
            <w:hideMark/>
          </w:tcPr>
          <w:p w14:paraId="2F5B8357"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Treat</w:t>
            </w:r>
          </w:p>
        </w:tc>
        <w:tc>
          <w:tcPr>
            <w:tcW w:w="1134" w:type="dxa"/>
            <w:tcBorders>
              <w:top w:val="nil"/>
              <w:left w:val="nil"/>
              <w:bottom w:val="single" w:sz="4" w:space="0" w:color="auto"/>
              <w:right w:val="single" w:sz="4" w:space="0" w:color="auto"/>
            </w:tcBorders>
            <w:shd w:val="clear" w:color="auto" w:fill="auto"/>
            <w:noWrap/>
            <w:vAlign w:val="bottom"/>
            <w:hideMark/>
          </w:tcPr>
          <w:p w14:paraId="64CA76EC"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19</w:t>
            </w:r>
          </w:p>
        </w:tc>
        <w:tc>
          <w:tcPr>
            <w:tcW w:w="1134" w:type="dxa"/>
            <w:tcBorders>
              <w:top w:val="nil"/>
              <w:left w:val="nil"/>
              <w:bottom w:val="single" w:sz="4" w:space="0" w:color="auto"/>
              <w:right w:val="single" w:sz="4" w:space="0" w:color="auto"/>
            </w:tcBorders>
            <w:shd w:val="clear" w:color="auto" w:fill="auto"/>
            <w:noWrap/>
            <w:vAlign w:val="bottom"/>
            <w:hideMark/>
          </w:tcPr>
          <w:p w14:paraId="46411F2A"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1092</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C7ECA2"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4B556985" w14:textId="0FCDAFA9"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r>
              <w:rPr>
                <w:rFonts w:ascii="Arial" w:hAnsi="Arial" w:cs="Arial"/>
                <w:color w:val="000000"/>
                <w:sz w:val="18"/>
                <w:szCs w:val="16"/>
              </w:rPr>
              <w:t>82</w:t>
            </w:r>
            <w:r w:rsidRPr="00766D8A">
              <w:rPr>
                <w:rFonts w:ascii="Arial" w:hAnsi="Arial" w:cs="Arial"/>
                <w:color w:val="000000"/>
                <w:sz w:val="18"/>
                <w:szCs w:val="16"/>
              </w:rPr>
              <w:t xml:space="preserve"> to 1.00)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25E88E"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0.17</w:t>
            </w:r>
          </w:p>
          <w:p w14:paraId="26BDF64C" w14:textId="6D578931"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(0.15 to 0.19)</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410E0B"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0.02</w:t>
            </w:r>
          </w:p>
          <w:p w14:paraId="609E996C" w14:textId="28C492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(0.01 to 0.03)</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1692D2"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3F70BFF1" w14:textId="2A0B3FA8"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r>
              <w:rPr>
                <w:rFonts w:ascii="Arial" w:hAnsi="Arial" w:cs="Arial"/>
                <w:color w:val="000000"/>
                <w:sz w:val="18"/>
                <w:szCs w:val="16"/>
              </w:rPr>
              <w:t>.98</w:t>
            </w:r>
            <w:r w:rsidRPr="00766D8A">
              <w:rPr>
                <w:rFonts w:ascii="Arial" w:hAnsi="Arial" w:cs="Arial"/>
                <w:color w:val="000000"/>
                <w:sz w:val="18"/>
                <w:szCs w:val="16"/>
              </w:rPr>
              <w:t xml:space="preserve"> to 1.00)</w:t>
            </w:r>
          </w:p>
        </w:tc>
        <w:tc>
          <w:tcPr>
            <w:tcW w:w="2552" w:type="dxa"/>
            <w:vMerge w:val="restart"/>
            <w:tcBorders>
              <w:top w:val="nil"/>
              <w:left w:val="single" w:sz="4" w:space="0" w:color="auto"/>
              <w:right w:val="single" w:sz="4" w:space="0" w:color="auto"/>
            </w:tcBorders>
            <w:vAlign w:val="center"/>
          </w:tcPr>
          <w:p w14:paraId="173C485C" w14:textId="44261F96" w:rsidR="005F4E55" w:rsidRDefault="006567A4" w:rsidP="009156AB">
            <w:pPr>
              <w:jc w:val="center"/>
              <w:rPr>
                <w:rFonts w:ascii="Arial" w:hAnsi="Arial" w:cs="Arial"/>
                <w:color w:val="000000"/>
                <w:sz w:val="18"/>
                <w:szCs w:val="16"/>
              </w:rPr>
            </w:pPr>
            <w:r>
              <w:rPr>
                <w:rFonts w:ascii="Arial" w:hAnsi="Arial" w:cs="Arial"/>
                <w:color w:val="000000"/>
                <w:sz w:val="18"/>
                <w:szCs w:val="16"/>
              </w:rPr>
              <w:t>£</w:t>
            </w:r>
            <w:r w:rsidR="003464B8">
              <w:rPr>
                <w:rFonts w:ascii="Arial" w:hAnsi="Arial" w:cs="Arial"/>
                <w:color w:val="000000"/>
                <w:sz w:val="18"/>
                <w:szCs w:val="16"/>
              </w:rPr>
              <w:t>582.33</w:t>
            </w:r>
          </w:p>
          <w:p w14:paraId="42F458E4" w14:textId="1AB71453" w:rsidR="00584B13" w:rsidRPr="00766D8A" w:rsidRDefault="00A71A54" w:rsidP="009156AB">
            <w:pPr>
              <w:jc w:val="center"/>
              <w:rPr>
                <w:rFonts w:ascii="Arial" w:hAnsi="Arial" w:cs="Arial"/>
                <w:color w:val="000000"/>
                <w:sz w:val="18"/>
                <w:szCs w:val="16"/>
              </w:rPr>
            </w:pPr>
            <w:r>
              <w:rPr>
                <w:rFonts w:ascii="Arial" w:hAnsi="Arial" w:cs="Arial"/>
                <w:color w:val="000000"/>
                <w:sz w:val="18"/>
                <w:szCs w:val="16"/>
              </w:rPr>
              <w:t>(£540.01 to £629.00)</w:t>
            </w:r>
          </w:p>
        </w:tc>
      </w:tr>
      <w:tr w:rsidR="00734DB3" w:rsidRPr="00D406AA" w14:paraId="537B78E0" w14:textId="3302FE8B" w:rsidTr="00734DB3">
        <w:trPr>
          <w:trHeight w:val="256"/>
        </w:trPr>
        <w:tc>
          <w:tcPr>
            <w:tcW w:w="1304" w:type="dxa"/>
            <w:vMerge/>
            <w:tcBorders>
              <w:top w:val="nil"/>
              <w:left w:val="single" w:sz="4" w:space="0" w:color="auto"/>
              <w:bottom w:val="single" w:sz="4" w:space="0" w:color="auto"/>
              <w:right w:val="single" w:sz="4" w:space="0" w:color="auto"/>
            </w:tcBorders>
            <w:vAlign w:val="center"/>
            <w:hideMark/>
          </w:tcPr>
          <w:p w14:paraId="4D74A75F" w14:textId="77777777" w:rsidR="005F4E55" w:rsidRPr="00766D8A" w:rsidRDefault="005F4E55" w:rsidP="005F4E55">
            <w:pPr>
              <w:rPr>
                <w:rFonts w:ascii="Arial" w:hAnsi="Arial" w:cs="Arial"/>
                <w:b/>
                <w:bCs/>
                <w:color w:val="000000"/>
                <w:sz w:val="18"/>
                <w:szCs w:val="16"/>
              </w:rPr>
            </w:pPr>
          </w:p>
        </w:tc>
        <w:tc>
          <w:tcPr>
            <w:tcW w:w="1417" w:type="dxa"/>
            <w:vMerge/>
            <w:tcBorders>
              <w:top w:val="nil"/>
              <w:left w:val="single" w:sz="4" w:space="0" w:color="auto"/>
              <w:bottom w:val="single" w:sz="4" w:space="0" w:color="000000"/>
              <w:right w:val="single" w:sz="4" w:space="0" w:color="auto"/>
            </w:tcBorders>
            <w:vAlign w:val="center"/>
            <w:hideMark/>
          </w:tcPr>
          <w:p w14:paraId="0F45C5A0" w14:textId="77777777" w:rsidR="005F4E55" w:rsidRPr="00247764" w:rsidRDefault="005F4E55" w:rsidP="005F4E55">
            <w:pPr>
              <w:rPr>
                <w:rFonts w:ascii="Arial" w:hAnsi="Arial" w:cs="Arial"/>
                <w:bCs/>
                <w:color w:val="000000"/>
                <w:sz w:val="18"/>
                <w:szCs w:val="16"/>
              </w:rPr>
            </w:pPr>
          </w:p>
        </w:tc>
        <w:tc>
          <w:tcPr>
            <w:tcW w:w="1418" w:type="dxa"/>
            <w:tcBorders>
              <w:top w:val="nil"/>
              <w:left w:val="nil"/>
              <w:bottom w:val="single" w:sz="4" w:space="0" w:color="auto"/>
              <w:right w:val="single" w:sz="4" w:space="0" w:color="auto"/>
            </w:tcBorders>
            <w:shd w:val="clear" w:color="000000" w:fill="EDEDED"/>
            <w:noWrap/>
            <w:vAlign w:val="bottom"/>
            <w:hideMark/>
          </w:tcPr>
          <w:p w14:paraId="02BB4400"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Do Not Treat</w:t>
            </w:r>
          </w:p>
        </w:tc>
        <w:tc>
          <w:tcPr>
            <w:tcW w:w="1134" w:type="dxa"/>
            <w:tcBorders>
              <w:top w:val="nil"/>
              <w:left w:val="nil"/>
              <w:bottom w:val="single" w:sz="4" w:space="0" w:color="auto"/>
              <w:right w:val="single" w:sz="4" w:space="0" w:color="auto"/>
            </w:tcBorders>
            <w:shd w:val="clear" w:color="000000" w:fill="EDEDED"/>
            <w:noWrap/>
            <w:vAlign w:val="bottom"/>
            <w:hideMark/>
          </w:tcPr>
          <w:p w14:paraId="652C624E"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p>
        </w:tc>
        <w:tc>
          <w:tcPr>
            <w:tcW w:w="1134" w:type="dxa"/>
            <w:tcBorders>
              <w:top w:val="nil"/>
              <w:left w:val="nil"/>
              <w:bottom w:val="single" w:sz="4" w:space="0" w:color="auto"/>
              <w:right w:val="single" w:sz="4" w:space="0" w:color="auto"/>
            </w:tcBorders>
            <w:shd w:val="clear" w:color="000000" w:fill="EDEDED"/>
            <w:noWrap/>
            <w:vAlign w:val="bottom"/>
            <w:hideMark/>
          </w:tcPr>
          <w:p w14:paraId="72C42DEA"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218</w:t>
            </w:r>
          </w:p>
        </w:tc>
        <w:tc>
          <w:tcPr>
            <w:tcW w:w="1559" w:type="dxa"/>
            <w:vMerge/>
            <w:tcBorders>
              <w:top w:val="nil"/>
              <w:left w:val="single" w:sz="4" w:space="0" w:color="auto"/>
              <w:bottom w:val="single" w:sz="4" w:space="0" w:color="auto"/>
              <w:right w:val="single" w:sz="4" w:space="0" w:color="auto"/>
            </w:tcBorders>
            <w:vAlign w:val="center"/>
            <w:hideMark/>
          </w:tcPr>
          <w:p w14:paraId="6B226A35" w14:textId="77777777" w:rsidR="005F4E55" w:rsidRPr="00766D8A" w:rsidRDefault="005F4E55" w:rsidP="005F4E55">
            <w:pPr>
              <w:rPr>
                <w:rFonts w:ascii="Arial" w:hAnsi="Arial" w:cs="Arial"/>
                <w:color w:val="000000"/>
                <w:sz w:val="18"/>
                <w:szCs w:val="16"/>
              </w:rPr>
            </w:pPr>
          </w:p>
        </w:tc>
        <w:tc>
          <w:tcPr>
            <w:tcW w:w="1559" w:type="dxa"/>
            <w:vMerge/>
            <w:tcBorders>
              <w:top w:val="nil"/>
              <w:left w:val="single" w:sz="4" w:space="0" w:color="auto"/>
              <w:bottom w:val="single" w:sz="4" w:space="0" w:color="auto"/>
              <w:right w:val="single" w:sz="4" w:space="0" w:color="auto"/>
            </w:tcBorders>
            <w:vAlign w:val="center"/>
            <w:hideMark/>
          </w:tcPr>
          <w:p w14:paraId="22516B5E"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2890AF38"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519EC86A" w14:textId="77777777" w:rsidR="005F4E55" w:rsidRPr="00766D8A" w:rsidRDefault="005F4E55" w:rsidP="005F4E55">
            <w:pPr>
              <w:rPr>
                <w:rFonts w:ascii="Arial" w:hAnsi="Arial" w:cs="Arial"/>
                <w:color w:val="000000"/>
                <w:sz w:val="18"/>
                <w:szCs w:val="16"/>
              </w:rPr>
            </w:pPr>
          </w:p>
        </w:tc>
        <w:tc>
          <w:tcPr>
            <w:tcW w:w="2552" w:type="dxa"/>
            <w:vMerge/>
            <w:tcBorders>
              <w:left w:val="single" w:sz="4" w:space="0" w:color="auto"/>
              <w:bottom w:val="single" w:sz="4" w:space="0" w:color="auto"/>
              <w:right w:val="single" w:sz="4" w:space="0" w:color="auto"/>
            </w:tcBorders>
            <w:vAlign w:val="center"/>
          </w:tcPr>
          <w:p w14:paraId="14EBDA90" w14:textId="77777777" w:rsidR="005F4E55" w:rsidRPr="00766D8A" w:rsidRDefault="005F4E55" w:rsidP="009156AB">
            <w:pPr>
              <w:jc w:val="center"/>
              <w:rPr>
                <w:rFonts w:ascii="Arial" w:hAnsi="Arial" w:cs="Arial"/>
                <w:color w:val="000000"/>
                <w:sz w:val="18"/>
                <w:szCs w:val="16"/>
              </w:rPr>
            </w:pPr>
          </w:p>
        </w:tc>
      </w:tr>
      <w:tr w:rsidR="00734DB3" w:rsidRPr="00D406AA" w14:paraId="634D3205" w14:textId="372C8567" w:rsidTr="00734DB3">
        <w:trPr>
          <w:trHeight w:val="256"/>
        </w:trPr>
        <w:tc>
          <w:tcPr>
            <w:tcW w:w="1304" w:type="dxa"/>
            <w:vMerge w:val="restart"/>
            <w:tcBorders>
              <w:top w:val="nil"/>
              <w:left w:val="single" w:sz="4" w:space="0" w:color="auto"/>
              <w:bottom w:val="single" w:sz="4" w:space="0" w:color="auto"/>
              <w:right w:val="single" w:sz="4" w:space="0" w:color="auto"/>
            </w:tcBorders>
            <w:shd w:val="clear" w:color="000000" w:fill="C9C9C9"/>
            <w:noWrap/>
            <w:vAlign w:val="center"/>
            <w:hideMark/>
          </w:tcPr>
          <w:p w14:paraId="42D91892" w14:textId="77777777" w:rsidR="005F4E55" w:rsidRPr="00766D8A" w:rsidRDefault="005F4E55" w:rsidP="005F4E55">
            <w:pPr>
              <w:jc w:val="center"/>
              <w:rPr>
                <w:rFonts w:ascii="Arial" w:hAnsi="Arial" w:cs="Arial"/>
                <w:b/>
                <w:bCs/>
                <w:color w:val="000000"/>
                <w:sz w:val="18"/>
                <w:szCs w:val="16"/>
              </w:rPr>
            </w:pPr>
            <w:r w:rsidRPr="00766D8A">
              <w:rPr>
                <w:rFonts w:ascii="Arial" w:hAnsi="Arial" w:cs="Arial"/>
                <w:b/>
                <w:bCs/>
                <w:color w:val="000000"/>
                <w:sz w:val="18"/>
                <w:szCs w:val="16"/>
              </w:rPr>
              <w:t>NICE CG102</w:t>
            </w:r>
          </w:p>
        </w:tc>
        <w:tc>
          <w:tcPr>
            <w:tcW w:w="1417" w:type="dxa"/>
            <w:vMerge w:val="restart"/>
            <w:tcBorders>
              <w:top w:val="nil"/>
              <w:left w:val="single" w:sz="4" w:space="0" w:color="auto"/>
              <w:bottom w:val="single" w:sz="4" w:space="0" w:color="000000"/>
              <w:right w:val="single" w:sz="4" w:space="0" w:color="auto"/>
            </w:tcBorders>
            <w:shd w:val="clear" w:color="000000" w:fill="C9C9C9"/>
            <w:noWrap/>
            <w:vAlign w:val="center"/>
            <w:hideMark/>
          </w:tcPr>
          <w:p w14:paraId="200D854B" w14:textId="77777777" w:rsidR="005F4E55" w:rsidRPr="00247764" w:rsidRDefault="005F4E55" w:rsidP="005F4E55">
            <w:pPr>
              <w:jc w:val="center"/>
              <w:rPr>
                <w:rFonts w:ascii="Arial" w:hAnsi="Arial" w:cs="Arial"/>
                <w:bCs/>
                <w:color w:val="000000"/>
                <w:sz w:val="18"/>
                <w:szCs w:val="16"/>
              </w:rPr>
            </w:pPr>
            <w:r w:rsidRPr="00247764">
              <w:rPr>
                <w:rFonts w:ascii="Arial" w:hAnsi="Arial" w:cs="Arial"/>
                <w:bCs/>
                <w:color w:val="000000"/>
                <w:sz w:val="18"/>
                <w:szCs w:val="16"/>
              </w:rPr>
              <w:t>1329</w:t>
            </w:r>
          </w:p>
          <w:p w14:paraId="1D9061CC" w14:textId="71E1AD6C" w:rsidR="005F4E55" w:rsidRPr="00247764" w:rsidRDefault="005F4E55" w:rsidP="005F4E55">
            <w:pPr>
              <w:jc w:val="center"/>
              <w:rPr>
                <w:rFonts w:ascii="Arial" w:hAnsi="Arial" w:cs="Arial"/>
                <w:bCs/>
                <w:color w:val="000000"/>
                <w:sz w:val="18"/>
                <w:szCs w:val="16"/>
              </w:rPr>
            </w:pPr>
            <w:r>
              <w:rPr>
                <w:rFonts w:ascii="Arial" w:hAnsi="Arial" w:cs="Arial"/>
                <w:bCs/>
                <w:color w:val="000000"/>
                <w:sz w:val="18"/>
                <w:szCs w:val="16"/>
              </w:rPr>
              <w:t>(100</w:t>
            </w:r>
            <w:r w:rsidRPr="00247764">
              <w:rPr>
                <w:rFonts w:ascii="Arial" w:hAnsi="Arial" w:cs="Arial"/>
                <w:bCs/>
                <w:color w:val="000000"/>
                <w:sz w:val="18"/>
                <w:szCs w:val="16"/>
              </w:rPr>
              <w:t>)</w:t>
            </w:r>
          </w:p>
        </w:tc>
        <w:tc>
          <w:tcPr>
            <w:tcW w:w="1418" w:type="dxa"/>
            <w:tcBorders>
              <w:top w:val="nil"/>
              <w:left w:val="nil"/>
              <w:bottom w:val="single" w:sz="4" w:space="0" w:color="auto"/>
              <w:right w:val="single" w:sz="4" w:space="0" w:color="auto"/>
            </w:tcBorders>
            <w:shd w:val="clear" w:color="auto" w:fill="auto"/>
            <w:noWrap/>
            <w:vAlign w:val="bottom"/>
            <w:hideMark/>
          </w:tcPr>
          <w:p w14:paraId="470490E5"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Treat</w:t>
            </w:r>
          </w:p>
        </w:tc>
        <w:tc>
          <w:tcPr>
            <w:tcW w:w="1134" w:type="dxa"/>
            <w:tcBorders>
              <w:top w:val="nil"/>
              <w:left w:val="nil"/>
              <w:bottom w:val="single" w:sz="4" w:space="0" w:color="auto"/>
              <w:right w:val="single" w:sz="4" w:space="0" w:color="auto"/>
            </w:tcBorders>
            <w:shd w:val="clear" w:color="auto" w:fill="auto"/>
            <w:noWrap/>
            <w:vAlign w:val="bottom"/>
            <w:hideMark/>
          </w:tcPr>
          <w:p w14:paraId="15378D77"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19</w:t>
            </w:r>
          </w:p>
        </w:tc>
        <w:tc>
          <w:tcPr>
            <w:tcW w:w="1134" w:type="dxa"/>
            <w:tcBorders>
              <w:top w:val="nil"/>
              <w:left w:val="nil"/>
              <w:bottom w:val="single" w:sz="4" w:space="0" w:color="auto"/>
              <w:right w:val="single" w:sz="4" w:space="0" w:color="auto"/>
            </w:tcBorders>
            <w:shd w:val="clear" w:color="auto" w:fill="auto"/>
            <w:noWrap/>
            <w:vAlign w:val="bottom"/>
            <w:hideMark/>
          </w:tcPr>
          <w:p w14:paraId="0F3AD3C4"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1295</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DE1154"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5EDACF42" w14:textId="1E4BC332"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r>
              <w:rPr>
                <w:rFonts w:ascii="Arial" w:hAnsi="Arial" w:cs="Arial"/>
                <w:color w:val="000000"/>
                <w:sz w:val="18"/>
                <w:szCs w:val="16"/>
              </w:rPr>
              <w:t>82</w:t>
            </w:r>
            <w:r w:rsidRPr="00766D8A">
              <w:rPr>
                <w:rFonts w:ascii="Arial" w:hAnsi="Arial" w:cs="Arial"/>
                <w:color w:val="000000"/>
                <w:sz w:val="18"/>
                <w:szCs w:val="16"/>
              </w:rPr>
              <w:t xml:space="preserve"> to 1.00)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2B2B1C"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0.01</w:t>
            </w:r>
          </w:p>
          <w:p w14:paraId="0B4DF4A4" w14:textId="78219CC5"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(0.01 to 0.02)</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7F7201"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0.01</w:t>
            </w:r>
          </w:p>
          <w:p w14:paraId="48AEED00" w14:textId="21456423"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(0.01 to 0.02)</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41D290"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79C70664" w14:textId="53D733DB"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w:t>
            </w:r>
            <w:r w:rsidR="003342A8">
              <w:rPr>
                <w:rFonts w:ascii="Arial" w:hAnsi="Arial" w:cs="Arial"/>
                <w:color w:val="000000"/>
                <w:sz w:val="18"/>
                <w:szCs w:val="16"/>
              </w:rPr>
              <w:t>0.78</w:t>
            </w:r>
            <w:r w:rsidRPr="00766D8A">
              <w:rPr>
                <w:rFonts w:ascii="Arial" w:hAnsi="Arial" w:cs="Arial"/>
                <w:color w:val="000000"/>
                <w:sz w:val="18"/>
                <w:szCs w:val="16"/>
              </w:rPr>
              <w:t xml:space="preserve"> to 1.00)</w:t>
            </w:r>
          </w:p>
        </w:tc>
        <w:tc>
          <w:tcPr>
            <w:tcW w:w="2552" w:type="dxa"/>
            <w:vMerge w:val="restart"/>
            <w:tcBorders>
              <w:top w:val="nil"/>
              <w:left w:val="single" w:sz="4" w:space="0" w:color="auto"/>
              <w:right w:val="single" w:sz="4" w:space="0" w:color="auto"/>
            </w:tcBorders>
            <w:vAlign w:val="center"/>
          </w:tcPr>
          <w:p w14:paraId="3685C806" w14:textId="05968773" w:rsidR="005F4E55" w:rsidRDefault="006567A4" w:rsidP="009156AB">
            <w:pPr>
              <w:jc w:val="center"/>
              <w:rPr>
                <w:rFonts w:ascii="Arial" w:hAnsi="Arial" w:cs="Arial"/>
                <w:color w:val="000000"/>
                <w:sz w:val="18"/>
                <w:szCs w:val="16"/>
              </w:rPr>
            </w:pPr>
            <w:r>
              <w:rPr>
                <w:rFonts w:ascii="Arial" w:hAnsi="Arial" w:cs="Arial"/>
                <w:color w:val="000000"/>
                <w:sz w:val="18"/>
                <w:szCs w:val="16"/>
              </w:rPr>
              <w:t>£</w:t>
            </w:r>
            <w:r w:rsidR="003464B8">
              <w:rPr>
                <w:rFonts w:ascii="Arial" w:hAnsi="Arial" w:cs="Arial"/>
                <w:color w:val="000000"/>
                <w:sz w:val="18"/>
                <w:szCs w:val="16"/>
              </w:rPr>
              <w:t>655.04</w:t>
            </w:r>
          </w:p>
          <w:p w14:paraId="42069802" w14:textId="20DBB1D1" w:rsidR="0082656E" w:rsidRPr="00766D8A" w:rsidRDefault="003F734F" w:rsidP="009156AB">
            <w:pPr>
              <w:jc w:val="center"/>
              <w:rPr>
                <w:rFonts w:ascii="Arial" w:hAnsi="Arial" w:cs="Arial"/>
                <w:color w:val="000000"/>
                <w:sz w:val="18"/>
                <w:szCs w:val="16"/>
              </w:rPr>
            </w:pPr>
            <w:r>
              <w:rPr>
                <w:rFonts w:ascii="Arial" w:hAnsi="Arial" w:cs="Arial"/>
                <w:color w:val="000000"/>
                <w:sz w:val="18"/>
                <w:szCs w:val="16"/>
              </w:rPr>
              <w:t>(£614.87 to £700.60)</w:t>
            </w:r>
          </w:p>
        </w:tc>
      </w:tr>
      <w:tr w:rsidR="00734DB3" w:rsidRPr="00D406AA" w14:paraId="435365B5" w14:textId="12026B88" w:rsidTr="00734DB3">
        <w:trPr>
          <w:trHeight w:val="256"/>
        </w:trPr>
        <w:tc>
          <w:tcPr>
            <w:tcW w:w="1304" w:type="dxa"/>
            <w:vMerge/>
            <w:tcBorders>
              <w:top w:val="nil"/>
              <w:left w:val="single" w:sz="4" w:space="0" w:color="auto"/>
              <w:bottom w:val="single" w:sz="4" w:space="0" w:color="auto"/>
              <w:right w:val="single" w:sz="4" w:space="0" w:color="auto"/>
            </w:tcBorders>
            <w:vAlign w:val="center"/>
            <w:hideMark/>
          </w:tcPr>
          <w:p w14:paraId="2384E839" w14:textId="77777777" w:rsidR="005F4E55" w:rsidRPr="00766D8A" w:rsidRDefault="005F4E55" w:rsidP="005F4E55">
            <w:pPr>
              <w:rPr>
                <w:rFonts w:ascii="Arial" w:hAnsi="Arial" w:cs="Arial"/>
                <w:b/>
                <w:bCs/>
                <w:color w:val="000000"/>
                <w:sz w:val="18"/>
                <w:szCs w:val="16"/>
              </w:rPr>
            </w:pPr>
          </w:p>
        </w:tc>
        <w:tc>
          <w:tcPr>
            <w:tcW w:w="1417" w:type="dxa"/>
            <w:vMerge/>
            <w:tcBorders>
              <w:top w:val="nil"/>
              <w:left w:val="single" w:sz="4" w:space="0" w:color="auto"/>
              <w:bottom w:val="single" w:sz="4" w:space="0" w:color="000000"/>
              <w:right w:val="single" w:sz="4" w:space="0" w:color="auto"/>
            </w:tcBorders>
            <w:vAlign w:val="center"/>
            <w:hideMark/>
          </w:tcPr>
          <w:p w14:paraId="3CCD9698" w14:textId="77777777" w:rsidR="005F4E55" w:rsidRPr="00247764" w:rsidRDefault="005F4E55" w:rsidP="005F4E55">
            <w:pPr>
              <w:rPr>
                <w:rFonts w:ascii="Arial" w:hAnsi="Arial" w:cs="Arial"/>
                <w:bCs/>
                <w:color w:val="000000"/>
                <w:sz w:val="18"/>
                <w:szCs w:val="16"/>
              </w:rPr>
            </w:pPr>
          </w:p>
        </w:tc>
        <w:tc>
          <w:tcPr>
            <w:tcW w:w="1418" w:type="dxa"/>
            <w:tcBorders>
              <w:top w:val="nil"/>
              <w:left w:val="nil"/>
              <w:bottom w:val="single" w:sz="4" w:space="0" w:color="auto"/>
              <w:right w:val="single" w:sz="4" w:space="0" w:color="auto"/>
            </w:tcBorders>
            <w:shd w:val="clear" w:color="000000" w:fill="EDEDED"/>
            <w:noWrap/>
            <w:vAlign w:val="bottom"/>
            <w:hideMark/>
          </w:tcPr>
          <w:p w14:paraId="36170E6D"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Do Not Treat</w:t>
            </w:r>
          </w:p>
        </w:tc>
        <w:tc>
          <w:tcPr>
            <w:tcW w:w="1134" w:type="dxa"/>
            <w:tcBorders>
              <w:top w:val="nil"/>
              <w:left w:val="nil"/>
              <w:bottom w:val="single" w:sz="4" w:space="0" w:color="auto"/>
              <w:right w:val="single" w:sz="4" w:space="0" w:color="auto"/>
            </w:tcBorders>
            <w:shd w:val="clear" w:color="000000" w:fill="EDEDED"/>
            <w:noWrap/>
            <w:vAlign w:val="bottom"/>
            <w:hideMark/>
          </w:tcPr>
          <w:p w14:paraId="2D9130D5"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p>
        </w:tc>
        <w:tc>
          <w:tcPr>
            <w:tcW w:w="1134" w:type="dxa"/>
            <w:tcBorders>
              <w:top w:val="nil"/>
              <w:left w:val="nil"/>
              <w:bottom w:val="single" w:sz="4" w:space="0" w:color="auto"/>
              <w:right w:val="single" w:sz="4" w:space="0" w:color="auto"/>
            </w:tcBorders>
            <w:shd w:val="clear" w:color="000000" w:fill="EDEDED"/>
            <w:noWrap/>
            <w:vAlign w:val="bottom"/>
            <w:hideMark/>
          </w:tcPr>
          <w:p w14:paraId="360B2EED"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15</w:t>
            </w:r>
          </w:p>
        </w:tc>
        <w:tc>
          <w:tcPr>
            <w:tcW w:w="1559" w:type="dxa"/>
            <w:vMerge/>
            <w:tcBorders>
              <w:top w:val="nil"/>
              <w:left w:val="single" w:sz="4" w:space="0" w:color="auto"/>
              <w:bottom w:val="single" w:sz="4" w:space="0" w:color="auto"/>
              <w:right w:val="single" w:sz="4" w:space="0" w:color="auto"/>
            </w:tcBorders>
            <w:vAlign w:val="center"/>
            <w:hideMark/>
          </w:tcPr>
          <w:p w14:paraId="661401E1" w14:textId="77777777" w:rsidR="005F4E55" w:rsidRPr="00766D8A" w:rsidRDefault="005F4E55" w:rsidP="005F4E55">
            <w:pPr>
              <w:rPr>
                <w:rFonts w:ascii="Arial" w:hAnsi="Arial" w:cs="Arial"/>
                <w:color w:val="000000"/>
                <w:sz w:val="18"/>
                <w:szCs w:val="16"/>
              </w:rPr>
            </w:pPr>
          </w:p>
        </w:tc>
        <w:tc>
          <w:tcPr>
            <w:tcW w:w="1559" w:type="dxa"/>
            <w:vMerge/>
            <w:tcBorders>
              <w:top w:val="nil"/>
              <w:left w:val="single" w:sz="4" w:space="0" w:color="auto"/>
              <w:bottom w:val="single" w:sz="4" w:space="0" w:color="auto"/>
              <w:right w:val="single" w:sz="4" w:space="0" w:color="auto"/>
            </w:tcBorders>
            <w:vAlign w:val="center"/>
            <w:hideMark/>
          </w:tcPr>
          <w:p w14:paraId="2898EF07"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0E16B4AA" w14:textId="77777777" w:rsidR="005F4E55" w:rsidRPr="00766D8A" w:rsidRDefault="005F4E55" w:rsidP="005F4E55">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181D9E6C" w14:textId="77777777" w:rsidR="005F4E55" w:rsidRPr="00766D8A" w:rsidRDefault="005F4E55" w:rsidP="005F4E55">
            <w:pPr>
              <w:rPr>
                <w:rFonts w:ascii="Arial" w:hAnsi="Arial" w:cs="Arial"/>
                <w:color w:val="000000"/>
                <w:sz w:val="18"/>
                <w:szCs w:val="16"/>
              </w:rPr>
            </w:pPr>
          </w:p>
        </w:tc>
        <w:tc>
          <w:tcPr>
            <w:tcW w:w="2552" w:type="dxa"/>
            <w:vMerge/>
            <w:tcBorders>
              <w:left w:val="single" w:sz="4" w:space="0" w:color="auto"/>
              <w:bottom w:val="single" w:sz="4" w:space="0" w:color="auto"/>
              <w:right w:val="single" w:sz="4" w:space="0" w:color="auto"/>
            </w:tcBorders>
            <w:vAlign w:val="center"/>
          </w:tcPr>
          <w:p w14:paraId="01E3FBFA" w14:textId="77777777" w:rsidR="005F4E55" w:rsidRPr="00766D8A" w:rsidRDefault="005F4E55" w:rsidP="009156AB">
            <w:pPr>
              <w:jc w:val="center"/>
              <w:rPr>
                <w:rFonts w:ascii="Arial" w:hAnsi="Arial" w:cs="Arial"/>
                <w:color w:val="000000"/>
                <w:sz w:val="18"/>
                <w:szCs w:val="16"/>
              </w:rPr>
            </w:pPr>
          </w:p>
        </w:tc>
      </w:tr>
      <w:tr w:rsidR="00734DB3" w:rsidRPr="00D406AA" w14:paraId="10806CDD" w14:textId="224668CF" w:rsidTr="00734DB3">
        <w:trPr>
          <w:trHeight w:val="256"/>
        </w:trPr>
        <w:tc>
          <w:tcPr>
            <w:tcW w:w="1304" w:type="dxa"/>
            <w:vMerge w:val="restart"/>
            <w:tcBorders>
              <w:top w:val="nil"/>
              <w:left w:val="single" w:sz="4" w:space="0" w:color="auto"/>
              <w:bottom w:val="single" w:sz="4" w:space="0" w:color="auto"/>
              <w:right w:val="single" w:sz="4" w:space="0" w:color="auto"/>
            </w:tcBorders>
            <w:shd w:val="clear" w:color="000000" w:fill="C9C9C9"/>
            <w:noWrap/>
            <w:vAlign w:val="center"/>
            <w:hideMark/>
          </w:tcPr>
          <w:p w14:paraId="7171ADBD" w14:textId="77777777" w:rsidR="005F4E55" w:rsidRPr="00766D8A" w:rsidRDefault="005F4E55" w:rsidP="005F4E55">
            <w:pPr>
              <w:jc w:val="center"/>
              <w:rPr>
                <w:rFonts w:ascii="Arial" w:hAnsi="Arial" w:cs="Arial"/>
                <w:b/>
                <w:bCs/>
                <w:color w:val="000000"/>
                <w:sz w:val="18"/>
                <w:szCs w:val="16"/>
              </w:rPr>
            </w:pPr>
            <w:r w:rsidRPr="00766D8A">
              <w:rPr>
                <w:rFonts w:ascii="Arial" w:hAnsi="Arial" w:cs="Arial"/>
                <w:b/>
                <w:bCs/>
                <w:color w:val="000000"/>
                <w:sz w:val="18"/>
                <w:szCs w:val="16"/>
              </w:rPr>
              <w:t>NICE NG51</w:t>
            </w:r>
          </w:p>
        </w:tc>
        <w:tc>
          <w:tcPr>
            <w:tcW w:w="1417" w:type="dxa"/>
            <w:vMerge w:val="restart"/>
            <w:tcBorders>
              <w:top w:val="nil"/>
              <w:left w:val="single" w:sz="4" w:space="0" w:color="auto"/>
              <w:bottom w:val="single" w:sz="4" w:space="0" w:color="000000"/>
              <w:right w:val="single" w:sz="4" w:space="0" w:color="auto"/>
            </w:tcBorders>
            <w:shd w:val="clear" w:color="000000" w:fill="C9C9C9"/>
            <w:noWrap/>
            <w:vAlign w:val="center"/>
            <w:hideMark/>
          </w:tcPr>
          <w:p w14:paraId="7CDB67D3" w14:textId="77777777" w:rsidR="005F4E55" w:rsidRPr="00247764" w:rsidRDefault="005F4E55" w:rsidP="005F4E55">
            <w:pPr>
              <w:jc w:val="center"/>
              <w:rPr>
                <w:rFonts w:ascii="Arial" w:hAnsi="Arial" w:cs="Arial"/>
                <w:bCs/>
                <w:color w:val="000000"/>
                <w:sz w:val="18"/>
                <w:szCs w:val="16"/>
              </w:rPr>
            </w:pPr>
            <w:r w:rsidRPr="00247764">
              <w:rPr>
                <w:rFonts w:ascii="Arial" w:hAnsi="Arial" w:cs="Arial"/>
                <w:bCs/>
                <w:color w:val="000000"/>
                <w:sz w:val="18"/>
                <w:szCs w:val="16"/>
              </w:rPr>
              <w:t>1329</w:t>
            </w:r>
          </w:p>
          <w:p w14:paraId="31231576" w14:textId="6EB4F6E7" w:rsidR="005F4E55" w:rsidRPr="00247764" w:rsidRDefault="005F4E55" w:rsidP="005F4E55">
            <w:pPr>
              <w:jc w:val="center"/>
              <w:rPr>
                <w:rFonts w:ascii="Arial" w:hAnsi="Arial" w:cs="Arial"/>
                <w:bCs/>
                <w:color w:val="000000"/>
                <w:sz w:val="18"/>
                <w:szCs w:val="16"/>
              </w:rPr>
            </w:pPr>
            <w:r>
              <w:rPr>
                <w:rFonts w:ascii="Arial" w:hAnsi="Arial" w:cs="Arial"/>
                <w:bCs/>
                <w:color w:val="000000"/>
                <w:sz w:val="18"/>
                <w:szCs w:val="16"/>
              </w:rPr>
              <w:t>(100</w:t>
            </w:r>
            <w:r w:rsidRPr="00247764">
              <w:rPr>
                <w:rFonts w:ascii="Arial" w:hAnsi="Arial" w:cs="Arial"/>
                <w:bCs/>
                <w:color w:val="000000"/>
                <w:sz w:val="18"/>
                <w:szCs w:val="16"/>
              </w:rPr>
              <w:t>)</w:t>
            </w:r>
          </w:p>
        </w:tc>
        <w:tc>
          <w:tcPr>
            <w:tcW w:w="1418" w:type="dxa"/>
            <w:tcBorders>
              <w:top w:val="nil"/>
              <w:left w:val="nil"/>
              <w:bottom w:val="single" w:sz="4" w:space="0" w:color="auto"/>
              <w:right w:val="single" w:sz="4" w:space="0" w:color="auto"/>
            </w:tcBorders>
            <w:shd w:val="clear" w:color="auto" w:fill="auto"/>
            <w:noWrap/>
            <w:vAlign w:val="bottom"/>
            <w:hideMark/>
          </w:tcPr>
          <w:p w14:paraId="29FB15A1" w14:textId="77777777" w:rsidR="005F4E55" w:rsidRPr="00766D8A" w:rsidRDefault="005F4E55" w:rsidP="005F4E55">
            <w:pPr>
              <w:rPr>
                <w:rFonts w:ascii="Arial" w:hAnsi="Arial" w:cs="Arial"/>
                <w:color w:val="000000"/>
                <w:sz w:val="18"/>
                <w:szCs w:val="16"/>
              </w:rPr>
            </w:pPr>
            <w:r w:rsidRPr="00766D8A">
              <w:rPr>
                <w:rFonts w:ascii="Arial" w:hAnsi="Arial" w:cs="Arial"/>
                <w:color w:val="000000"/>
                <w:sz w:val="18"/>
                <w:szCs w:val="16"/>
              </w:rPr>
              <w:t>Treat</w:t>
            </w:r>
          </w:p>
        </w:tc>
        <w:tc>
          <w:tcPr>
            <w:tcW w:w="1134" w:type="dxa"/>
            <w:tcBorders>
              <w:top w:val="nil"/>
              <w:left w:val="nil"/>
              <w:bottom w:val="single" w:sz="4" w:space="0" w:color="auto"/>
              <w:right w:val="single" w:sz="4" w:space="0" w:color="auto"/>
            </w:tcBorders>
            <w:shd w:val="clear" w:color="auto" w:fill="auto"/>
            <w:noWrap/>
            <w:vAlign w:val="bottom"/>
            <w:hideMark/>
          </w:tcPr>
          <w:p w14:paraId="20797916"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19</w:t>
            </w:r>
          </w:p>
        </w:tc>
        <w:tc>
          <w:tcPr>
            <w:tcW w:w="1134" w:type="dxa"/>
            <w:tcBorders>
              <w:top w:val="nil"/>
              <w:left w:val="nil"/>
              <w:bottom w:val="single" w:sz="4" w:space="0" w:color="auto"/>
              <w:right w:val="single" w:sz="4" w:space="0" w:color="auto"/>
            </w:tcBorders>
            <w:shd w:val="clear" w:color="auto" w:fill="auto"/>
            <w:noWrap/>
            <w:vAlign w:val="bottom"/>
            <w:hideMark/>
          </w:tcPr>
          <w:p w14:paraId="6F271249" w14:textId="7777777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1310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9A4BBA"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1.00</w:t>
            </w:r>
          </w:p>
          <w:p w14:paraId="48F57DCB" w14:textId="7D57DACF"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w:t>
            </w:r>
            <w:r>
              <w:rPr>
                <w:rFonts w:ascii="Arial" w:hAnsi="Arial" w:cs="Arial"/>
                <w:color w:val="000000"/>
                <w:sz w:val="18"/>
                <w:szCs w:val="16"/>
              </w:rPr>
              <w:t>82</w:t>
            </w:r>
            <w:r w:rsidRPr="00766D8A">
              <w:rPr>
                <w:rFonts w:ascii="Arial" w:hAnsi="Arial" w:cs="Arial"/>
                <w:color w:val="000000"/>
                <w:sz w:val="18"/>
                <w:szCs w:val="16"/>
              </w:rPr>
              <w:t xml:space="preserve"> to 1.00)</w:t>
            </w:r>
          </w:p>
        </w:tc>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FDB993"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w:t>
            </w:r>
          </w:p>
          <w:p w14:paraId="0CE7B794" w14:textId="16C53D6F"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(0.00 to 0.00)</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20DE1C" w14:textId="77777777" w:rsidR="005F4E55" w:rsidRDefault="005F4E55" w:rsidP="005F4E55">
            <w:pPr>
              <w:jc w:val="center"/>
              <w:rPr>
                <w:rFonts w:ascii="Arial" w:hAnsi="Arial" w:cs="Arial"/>
                <w:color w:val="000000"/>
                <w:sz w:val="18"/>
                <w:szCs w:val="16"/>
              </w:rPr>
            </w:pPr>
            <w:r w:rsidRPr="00766D8A">
              <w:rPr>
                <w:rFonts w:ascii="Arial" w:hAnsi="Arial" w:cs="Arial"/>
                <w:color w:val="000000"/>
                <w:sz w:val="18"/>
                <w:szCs w:val="16"/>
              </w:rPr>
              <w:t>0.01</w:t>
            </w:r>
          </w:p>
          <w:p w14:paraId="307A72A5" w14:textId="269BA43A"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(0.01 to 0.02</w:t>
            </w:r>
            <w:r w:rsidR="003342A8">
              <w:rPr>
                <w:rFonts w:ascii="Arial" w:hAnsi="Arial" w:cs="Arial"/>
                <w:color w:val="000000"/>
                <w:sz w:val="18"/>
                <w:szCs w:val="16"/>
              </w:rPr>
              <w:t>)</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8D0186" w14:textId="00777337" w:rsidR="005F4E55" w:rsidRPr="00766D8A" w:rsidRDefault="005F4E55" w:rsidP="005F4E55">
            <w:pPr>
              <w:jc w:val="center"/>
              <w:rPr>
                <w:rFonts w:ascii="Arial" w:hAnsi="Arial" w:cs="Arial"/>
                <w:color w:val="000000"/>
                <w:sz w:val="18"/>
                <w:szCs w:val="16"/>
              </w:rPr>
            </w:pPr>
            <w:r w:rsidRPr="00766D8A">
              <w:rPr>
                <w:rFonts w:ascii="Arial" w:hAnsi="Arial" w:cs="Arial"/>
                <w:color w:val="000000"/>
                <w:sz w:val="18"/>
                <w:szCs w:val="16"/>
              </w:rPr>
              <w:t>N/A</w:t>
            </w:r>
          </w:p>
        </w:tc>
        <w:tc>
          <w:tcPr>
            <w:tcW w:w="2552" w:type="dxa"/>
            <w:vMerge w:val="restart"/>
            <w:tcBorders>
              <w:top w:val="nil"/>
              <w:left w:val="single" w:sz="4" w:space="0" w:color="auto"/>
              <w:right w:val="single" w:sz="4" w:space="0" w:color="auto"/>
            </w:tcBorders>
            <w:vAlign w:val="center"/>
          </w:tcPr>
          <w:p w14:paraId="48B6D105" w14:textId="7AD704F7" w:rsidR="005F4E55" w:rsidRDefault="006567A4" w:rsidP="009156AB">
            <w:pPr>
              <w:jc w:val="center"/>
              <w:rPr>
                <w:rFonts w:ascii="Arial" w:hAnsi="Arial" w:cs="Arial"/>
                <w:color w:val="000000"/>
                <w:sz w:val="18"/>
                <w:szCs w:val="16"/>
              </w:rPr>
            </w:pPr>
            <w:r>
              <w:rPr>
                <w:rFonts w:ascii="Arial" w:hAnsi="Arial" w:cs="Arial"/>
                <w:color w:val="000000"/>
                <w:sz w:val="18"/>
                <w:szCs w:val="16"/>
              </w:rPr>
              <w:t>£</w:t>
            </w:r>
            <w:r w:rsidR="00091C8B">
              <w:rPr>
                <w:rFonts w:ascii="Arial" w:hAnsi="Arial" w:cs="Arial"/>
                <w:color w:val="000000"/>
                <w:sz w:val="18"/>
                <w:szCs w:val="16"/>
              </w:rPr>
              <w:t>660.41</w:t>
            </w:r>
          </w:p>
          <w:p w14:paraId="022F8F84" w14:textId="05E305B9" w:rsidR="00E326AF" w:rsidRPr="00766D8A" w:rsidRDefault="00E326AF" w:rsidP="009156AB">
            <w:pPr>
              <w:jc w:val="center"/>
              <w:rPr>
                <w:rFonts w:ascii="Arial" w:hAnsi="Arial" w:cs="Arial"/>
                <w:color w:val="000000"/>
                <w:sz w:val="18"/>
                <w:szCs w:val="16"/>
              </w:rPr>
            </w:pPr>
            <w:r>
              <w:rPr>
                <w:rFonts w:ascii="Arial" w:hAnsi="Arial" w:cs="Arial"/>
                <w:color w:val="000000"/>
                <w:sz w:val="18"/>
                <w:szCs w:val="16"/>
              </w:rPr>
              <w:t>(</w:t>
            </w:r>
            <w:r w:rsidR="00D37EB6">
              <w:rPr>
                <w:rFonts w:ascii="Arial" w:hAnsi="Arial" w:cs="Arial"/>
                <w:color w:val="000000"/>
                <w:sz w:val="18"/>
                <w:szCs w:val="16"/>
              </w:rPr>
              <w:t>£620.24 to £705.61)</w:t>
            </w:r>
          </w:p>
        </w:tc>
      </w:tr>
      <w:tr w:rsidR="00734DB3" w:rsidRPr="00D406AA" w14:paraId="772B3B1E" w14:textId="75A17BEA" w:rsidTr="00734DB3">
        <w:trPr>
          <w:trHeight w:val="256"/>
        </w:trPr>
        <w:tc>
          <w:tcPr>
            <w:tcW w:w="1304" w:type="dxa"/>
            <w:vMerge/>
            <w:tcBorders>
              <w:top w:val="nil"/>
              <w:left w:val="single" w:sz="4" w:space="0" w:color="auto"/>
              <w:bottom w:val="single" w:sz="4" w:space="0" w:color="auto"/>
              <w:right w:val="single" w:sz="4" w:space="0" w:color="auto"/>
            </w:tcBorders>
            <w:vAlign w:val="center"/>
            <w:hideMark/>
          </w:tcPr>
          <w:p w14:paraId="29DD2571" w14:textId="77777777" w:rsidR="00197AC2" w:rsidRPr="00766D8A" w:rsidRDefault="00197AC2" w:rsidP="00197AC2">
            <w:pPr>
              <w:rPr>
                <w:rFonts w:ascii="Arial" w:hAnsi="Arial" w:cs="Arial"/>
                <w:b/>
                <w:bCs/>
                <w:color w:val="000000"/>
                <w:sz w:val="18"/>
                <w:szCs w:val="16"/>
              </w:rPr>
            </w:pPr>
          </w:p>
        </w:tc>
        <w:tc>
          <w:tcPr>
            <w:tcW w:w="1417" w:type="dxa"/>
            <w:vMerge/>
            <w:tcBorders>
              <w:top w:val="nil"/>
              <w:left w:val="single" w:sz="4" w:space="0" w:color="auto"/>
              <w:bottom w:val="single" w:sz="4" w:space="0" w:color="000000"/>
              <w:right w:val="single" w:sz="4" w:space="0" w:color="auto"/>
            </w:tcBorders>
            <w:vAlign w:val="center"/>
            <w:hideMark/>
          </w:tcPr>
          <w:p w14:paraId="23F21AA6" w14:textId="77777777" w:rsidR="00197AC2" w:rsidRPr="00766D8A" w:rsidRDefault="00197AC2" w:rsidP="00197AC2">
            <w:pPr>
              <w:rPr>
                <w:rFonts w:ascii="Arial" w:hAnsi="Arial" w:cs="Arial"/>
                <w:b/>
                <w:bCs/>
                <w:color w:val="000000"/>
                <w:sz w:val="18"/>
                <w:szCs w:val="16"/>
              </w:rPr>
            </w:pPr>
          </w:p>
        </w:tc>
        <w:tc>
          <w:tcPr>
            <w:tcW w:w="1418" w:type="dxa"/>
            <w:tcBorders>
              <w:top w:val="nil"/>
              <w:left w:val="nil"/>
              <w:bottom w:val="single" w:sz="4" w:space="0" w:color="auto"/>
              <w:right w:val="single" w:sz="4" w:space="0" w:color="auto"/>
            </w:tcBorders>
            <w:shd w:val="clear" w:color="000000" w:fill="EDEDED"/>
            <w:noWrap/>
            <w:vAlign w:val="bottom"/>
            <w:hideMark/>
          </w:tcPr>
          <w:p w14:paraId="19F5076E" w14:textId="77777777" w:rsidR="00197AC2" w:rsidRPr="00766D8A" w:rsidRDefault="00197AC2" w:rsidP="00197AC2">
            <w:pPr>
              <w:rPr>
                <w:rFonts w:ascii="Arial" w:hAnsi="Arial" w:cs="Arial"/>
                <w:color w:val="000000"/>
                <w:sz w:val="18"/>
                <w:szCs w:val="16"/>
              </w:rPr>
            </w:pPr>
            <w:r w:rsidRPr="00766D8A">
              <w:rPr>
                <w:rFonts w:ascii="Arial" w:hAnsi="Arial" w:cs="Arial"/>
                <w:color w:val="000000"/>
                <w:sz w:val="18"/>
                <w:szCs w:val="16"/>
              </w:rPr>
              <w:t>Do Not Treat</w:t>
            </w:r>
          </w:p>
        </w:tc>
        <w:tc>
          <w:tcPr>
            <w:tcW w:w="1134" w:type="dxa"/>
            <w:tcBorders>
              <w:top w:val="nil"/>
              <w:left w:val="nil"/>
              <w:bottom w:val="single" w:sz="4" w:space="0" w:color="auto"/>
              <w:right w:val="single" w:sz="4" w:space="0" w:color="auto"/>
            </w:tcBorders>
            <w:shd w:val="clear" w:color="000000" w:fill="EDEDED"/>
            <w:noWrap/>
            <w:vAlign w:val="bottom"/>
            <w:hideMark/>
          </w:tcPr>
          <w:p w14:paraId="682AD87B" w14:textId="77777777" w:rsidR="00197AC2" w:rsidRPr="00766D8A" w:rsidRDefault="00197AC2" w:rsidP="00197AC2">
            <w:pPr>
              <w:jc w:val="center"/>
              <w:rPr>
                <w:rFonts w:ascii="Arial" w:hAnsi="Arial" w:cs="Arial"/>
                <w:color w:val="000000"/>
                <w:sz w:val="18"/>
                <w:szCs w:val="16"/>
              </w:rPr>
            </w:pPr>
            <w:r w:rsidRPr="00766D8A">
              <w:rPr>
                <w:rFonts w:ascii="Arial" w:hAnsi="Arial" w:cs="Arial"/>
                <w:color w:val="000000"/>
                <w:sz w:val="18"/>
                <w:szCs w:val="16"/>
              </w:rPr>
              <w:t>0</w:t>
            </w:r>
          </w:p>
        </w:tc>
        <w:tc>
          <w:tcPr>
            <w:tcW w:w="1134" w:type="dxa"/>
            <w:tcBorders>
              <w:top w:val="nil"/>
              <w:left w:val="nil"/>
              <w:bottom w:val="single" w:sz="4" w:space="0" w:color="auto"/>
              <w:right w:val="single" w:sz="4" w:space="0" w:color="auto"/>
            </w:tcBorders>
            <w:shd w:val="clear" w:color="000000" w:fill="EDEDED"/>
            <w:noWrap/>
            <w:vAlign w:val="bottom"/>
            <w:hideMark/>
          </w:tcPr>
          <w:p w14:paraId="4EBFD880" w14:textId="77777777" w:rsidR="00197AC2" w:rsidRPr="00766D8A" w:rsidRDefault="00197AC2" w:rsidP="00197AC2">
            <w:pPr>
              <w:jc w:val="center"/>
              <w:rPr>
                <w:rFonts w:ascii="Arial" w:hAnsi="Arial" w:cs="Arial"/>
                <w:color w:val="000000"/>
                <w:sz w:val="18"/>
                <w:szCs w:val="16"/>
              </w:rPr>
            </w:pPr>
            <w:r w:rsidRPr="00766D8A">
              <w:rPr>
                <w:rFonts w:ascii="Arial" w:hAnsi="Arial" w:cs="Arial"/>
                <w:color w:val="000000"/>
                <w:sz w:val="18"/>
                <w:szCs w:val="16"/>
              </w:rPr>
              <w:t>0</w:t>
            </w:r>
          </w:p>
        </w:tc>
        <w:tc>
          <w:tcPr>
            <w:tcW w:w="1559" w:type="dxa"/>
            <w:vMerge/>
            <w:tcBorders>
              <w:top w:val="nil"/>
              <w:left w:val="single" w:sz="4" w:space="0" w:color="auto"/>
              <w:bottom w:val="single" w:sz="4" w:space="0" w:color="auto"/>
              <w:right w:val="single" w:sz="4" w:space="0" w:color="auto"/>
            </w:tcBorders>
            <w:vAlign w:val="center"/>
            <w:hideMark/>
          </w:tcPr>
          <w:p w14:paraId="30E17CF8" w14:textId="77777777" w:rsidR="00197AC2" w:rsidRPr="00766D8A" w:rsidRDefault="00197AC2" w:rsidP="00197AC2">
            <w:pPr>
              <w:rPr>
                <w:rFonts w:ascii="Arial" w:hAnsi="Arial" w:cs="Arial"/>
                <w:color w:val="000000"/>
                <w:sz w:val="18"/>
                <w:szCs w:val="16"/>
              </w:rPr>
            </w:pPr>
          </w:p>
        </w:tc>
        <w:tc>
          <w:tcPr>
            <w:tcW w:w="1559" w:type="dxa"/>
            <w:vMerge/>
            <w:tcBorders>
              <w:top w:val="nil"/>
              <w:left w:val="single" w:sz="4" w:space="0" w:color="auto"/>
              <w:bottom w:val="single" w:sz="4" w:space="0" w:color="auto"/>
              <w:right w:val="single" w:sz="4" w:space="0" w:color="auto"/>
            </w:tcBorders>
            <w:vAlign w:val="center"/>
            <w:hideMark/>
          </w:tcPr>
          <w:p w14:paraId="55840119" w14:textId="77777777" w:rsidR="00197AC2" w:rsidRPr="00766D8A" w:rsidRDefault="00197AC2" w:rsidP="00197AC2">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442AEF1A" w14:textId="77777777" w:rsidR="00197AC2" w:rsidRPr="00766D8A" w:rsidRDefault="00197AC2" w:rsidP="00197AC2">
            <w:pPr>
              <w:rPr>
                <w:rFonts w:ascii="Arial" w:hAnsi="Arial" w:cs="Arial"/>
                <w:color w:val="000000"/>
                <w:sz w:val="18"/>
                <w:szCs w:val="16"/>
              </w:rPr>
            </w:pPr>
          </w:p>
        </w:tc>
        <w:tc>
          <w:tcPr>
            <w:tcW w:w="1701" w:type="dxa"/>
            <w:vMerge/>
            <w:tcBorders>
              <w:top w:val="nil"/>
              <w:left w:val="single" w:sz="4" w:space="0" w:color="auto"/>
              <w:bottom w:val="single" w:sz="4" w:space="0" w:color="auto"/>
              <w:right w:val="single" w:sz="4" w:space="0" w:color="auto"/>
            </w:tcBorders>
            <w:vAlign w:val="center"/>
            <w:hideMark/>
          </w:tcPr>
          <w:p w14:paraId="3E239C2D" w14:textId="77777777" w:rsidR="00197AC2" w:rsidRPr="00766D8A" w:rsidRDefault="00197AC2" w:rsidP="00197AC2">
            <w:pPr>
              <w:rPr>
                <w:rFonts w:ascii="Arial" w:hAnsi="Arial" w:cs="Arial"/>
                <w:color w:val="000000"/>
                <w:sz w:val="18"/>
                <w:szCs w:val="16"/>
              </w:rPr>
            </w:pPr>
          </w:p>
        </w:tc>
        <w:tc>
          <w:tcPr>
            <w:tcW w:w="2552" w:type="dxa"/>
            <w:vMerge/>
            <w:tcBorders>
              <w:left w:val="single" w:sz="4" w:space="0" w:color="auto"/>
              <w:bottom w:val="single" w:sz="4" w:space="0" w:color="auto"/>
              <w:right w:val="single" w:sz="4" w:space="0" w:color="auto"/>
            </w:tcBorders>
            <w:vAlign w:val="center"/>
          </w:tcPr>
          <w:p w14:paraId="4F1BAC5B" w14:textId="77777777" w:rsidR="00197AC2" w:rsidRPr="00766D8A" w:rsidRDefault="00197AC2" w:rsidP="009156AB">
            <w:pPr>
              <w:jc w:val="center"/>
              <w:rPr>
                <w:rFonts w:ascii="Arial" w:hAnsi="Arial" w:cs="Arial"/>
                <w:color w:val="000000"/>
                <w:sz w:val="18"/>
                <w:szCs w:val="16"/>
              </w:rPr>
            </w:pPr>
          </w:p>
        </w:tc>
      </w:tr>
    </w:tbl>
    <w:p w14:paraId="679A8000" w14:textId="17A8612B" w:rsidR="00FD52EF" w:rsidRPr="00EF3D6E" w:rsidRDefault="00FD52EF" w:rsidP="00FD52EF">
      <w:pPr>
        <w:widowControl w:val="0"/>
        <w:autoSpaceDE w:val="0"/>
        <w:autoSpaceDN w:val="0"/>
        <w:adjustRightInd w:val="0"/>
        <w:rPr>
          <w:rFonts w:ascii="Arial" w:hAnsi="Arial" w:cs="Arial"/>
          <w:color w:val="333333"/>
          <w:sz w:val="16"/>
          <w:szCs w:val="16"/>
          <w:shd w:val="clear" w:color="auto" w:fill="FFFFFF"/>
        </w:rPr>
      </w:pPr>
      <w:r w:rsidRPr="00EF3D6E">
        <w:rPr>
          <w:rFonts w:ascii="Arial" w:hAnsi="Arial" w:cs="Arial"/>
          <w:color w:val="333333"/>
          <w:sz w:val="16"/>
          <w:szCs w:val="16"/>
          <w:shd w:val="clear" w:color="auto" w:fill="FFFFFF"/>
        </w:rPr>
        <w:t xml:space="preserve"> </w:t>
      </w:r>
    </w:p>
    <w:p w14:paraId="656AEA43" w14:textId="51A9FA1C" w:rsidR="007404CE" w:rsidRPr="00EF3D6E" w:rsidRDefault="007404CE" w:rsidP="002E2BF0">
      <w:pPr>
        <w:widowControl w:val="0"/>
        <w:autoSpaceDE w:val="0"/>
        <w:autoSpaceDN w:val="0"/>
        <w:adjustRightInd w:val="0"/>
        <w:rPr>
          <w:rFonts w:ascii="Arial" w:hAnsi="Arial" w:cs="Arial"/>
          <w:color w:val="333333"/>
          <w:sz w:val="16"/>
          <w:szCs w:val="16"/>
          <w:shd w:val="clear" w:color="auto" w:fill="FFFFFF"/>
        </w:rPr>
      </w:pPr>
    </w:p>
    <w:p w14:paraId="00ECE1FC" w14:textId="39B30D8E" w:rsidR="007404CE" w:rsidRDefault="007404CE" w:rsidP="002E2BF0">
      <w:pPr>
        <w:widowControl w:val="0"/>
        <w:autoSpaceDE w:val="0"/>
        <w:autoSpaceDN w:val="0"/>
        <w:adjustRightInd w:val="0"/>
        <w:rPr>
          <w:rFonts w:ascii="Arial" w:hAnsi="Arial" w:cs="Arial"/>
          <w:color w:val="333333"/>
          <w:sz w:val="20"/>
          <w:szCs w:val="20"/>
          <w:shd w:val="clear" w:color="auto" w:fill="FFFFFF"/>
        </w:rPr>
      </w:pPr>
    </w:p>
    <w:p w14:paraId="7788006F" w14:textId="37858FE8" w:rsidR="007404CE" w:rsidRDefault="007404CE" w:rsidP="002E2BF0">
      <w:pPr>
        <w:widowControl w:val="0"/>
        <w:autoSpaceDE w:val="0"/>
        <w:autoSpaceDN w:val="0"/>
        <w:adjustRightInd w:val="0"/>
        <w:rPr>
          <w:rFonts w:ascii="Arial" w:hAnsi="Arial" w:cs="Arial"/>
          <w:color w:val="333333"/>
          <w:sz w:val="20"/>
          <w:szCs w:val="20"/>
          <w:shd w:val="clear" w:color="auto" w:fill="FFFFFF"/>
        </w:rPr>
      </w:pPr>
    </w:p>
    <w:p w14:paraId="19EE96F8" w14:textId="712259D8" w:rsidR="007404CE" w:rsidRDefault="007404CE" w:rsidP="002E2BF0">
      <w:pPr>
        <w:widowControl w:val="0"/>
        <w:autoSpaceDE w:val="0"/>
        <w:autoSpaceDN w:val="0"/>
        <w:adjustRightInd w:val="0"/>
        <w:rPr>
          <w:rFonts w:ascii="Arial" w:hAnsi="Arial" w:cs="Arial"/>
          <w:color w:val="333333"/>
          <w:sz w:val="20"/>
          <w:szCs w:val="20"/>
          <w:shd w:val="clear" w:color="auto" w:fill="FFFFFF"/>
        </w:rPr>
      </w:pPr>
    </w:p>
    <w:p w14:paraId="28EE1B81" w14:textId="213F5A96" w:rsidR="003D13A5" w:rsidRDefault="003D13A5" w:rsidP="00010CD8">
      <w:pPr>
        <w:widowControl w:val="0"/>
        <w:autoSpaceDE w:val="0"/>
        <w:autoSpaceDN w:val="0"/>
        <w:adjustRightInd w:val="0"/>
        <w:rPr>
          <w:rFonts w:ascii="Arial" w:hAnsi="Arial" w:cs="Arial"/>
          <w:color w:val="333333"/>
          <w:sz w:val="20"/>
          <w:szCs w:val="20"/>
          <w:shd w:val="clear" w:color="auto" w:fill="FFFFFF"/>
        </w:rPr>
      </w:pPr>
    </w:p>
    <w:p w14:paraId="1682E67D" w14:textId="5E0C9D15" w:rsidR="00595998" w:rsidRDefault="00595998" w:rsidP="00010CD8">
      <w:pPr>
        <w:widowControl w:val="0"/>
        <w:autoSpaceDE w:val="0"/>
        <w:autoSpaceDN w:val="0"/>
        <w:adjustRightInd w:val="0"/>
        <w:rPr>
          <w:rFonts w:ascii="Arial" w:hAnsi="Arial" w:cs="Arial"/>
          <w:color w:val="333333"/>
          <w:sz w:val="20"/>
          <w:szCs w:val="20"/>
          <w:shd w:val="clear" w:color="auto" w:fill="FFFFFF"/>
        </w:rPr>
      </w:pPr>
    </w:p>
    <w:p w14:paraId="24F32145" w14:textId="1E502A76" w:rsidR="00595998" w:rsidRDefault="00595998" w:rsidP="00010CD8">
      <w:pPr>
        <w:widowControl w:val="0"/>
        <w:autoSpaceDE w:val="0"/>
        <w:autoSpaceDN w:val="0"/>
        <w:adjustRightInd w:val="0"/>
        <w:rPr>
          <w:rFonts w:ascii="Arial" w:hAnsi="Arial" w:cs="Arial"/>
          <w:color w:val="333333"/>
          <w:sz w:val="20"/>
          <w:szCs w:val="20"/>
          <w:shd w:val="clear" w:color="auto" w:fill="FFFFFF"/>
        </w:rPr>
      </w:pPr>
    </w:p>
    <w:p w14:paraId="0479B4E8" w14:textId="77777777" w:rsidR="00595998" w:rsidRDefault="00595998" w:rsidP="00010CD8">
      <w:pPr>
        <w:widowControl w:val="0"/>
        <w:autoSpaceDE w:val="0"/>
        <w:autoSpaceDN w:val="0"/>
        <w:adjustRightInd w:val="0"/>
        <w:rPr>
          <w:rFonts w:ascii="Arial" w:hAnsi="Arial" w:cs="Arial"/>
          <w:color w:val="333333"/>
          <w:sz w:val="20"/>
          <w:szCs w:val="20"/>
          <w:shd w:val="clear" w:color="auto" w:fill="FFFFFF"/>
        </w:rPr>
      </w:pPr>
    </w:p>
    <w:p w14:paraId="4B21FB82" w14:textId="77777777" w:rsidR="003D13A5" w:rsidRDefault="003D13A5" w:rsidP="00010CD8">
      <w:pPr>
        <w:widowControl w:val="0"/>
        <w:autoSpaceDE w:val="0"/>
        <w:autoSpaceDN w:val="0"/>
        <w:adjustRightInd w:val="0"/>
        <w:rPr>
          <w:rFonts w:ascii="Arial" w:hAnsi="Arial" w:cs="Arial"/>
          <w:color w:val="333333"/>
          <w:sz w:val="20"/>
          <w:szCs w:val="20"/>
          <w:shd w:val="clear" w:color="auto" w:fill="FFFFFF"/>
        </w:rPr>
      </w:pPr>
    </w:p>
    <w:p w14:paraId="19FC4246" w14:textId="77777777" w:rsidR="003D13A5" w:rsidRPr="00247764" w:rsidRDefault="003D13A5" w:rsidP="00010CD8">
      <w:pPr>
        <w:widowControl w:val="0"/>
        <w:autoSpaceDE w:val="0"/>
        <w:autoSpaceDN w:val="0"/>
        <w:adjustRightInd w:val="0"/>
        <w:rPr>
          <w:rFonts w:ascii="Arial" w:hAnsi="Arial" w:cs="Arial"/>
          <w:sz w:val="20"/>
          <w:szCs w:val="20"/>
          <w:shd w:val="clear" w:color="auto" w:fill="FFFFFF"/>
        </w:rPr>
      </w:pPr>
    </w:p>
    <w:p w14:paraId="49292E0D" w14:textId="77777777" w:rsidR="003D13A5" w:rsidRDefault="003D13A5" w:rsidP="00010CD8">
      <w:pPr>
        <w:widowControl w:val="0"/>
        <w:autoSpaceDE w:val="0"/>
        <w:autoSpaceDN w:val="0"/>
        <w:adjustRightInd w:val="0"/>
        <w:rPr>
          <w:rFonts w:ascii="Arial" w:hAnsi="Arial" w:cs="Arial"/>
          <w:color w:val="333333"/>
          <w:sz w:val="20"/>
          <w:szCs w:val="20"/>
          <w:shd w:val="clear" w:color="auto" w:fill="FFFFFF"/>
        </w:rPr>
      </w:pPr>
    </w:p>
    <w:p w14:paraId="4D299392" w14:textId="77777777" w:rsidR="003D13A5" w:rsidRDefault="003D13A5" w:rsidP="00010CD8">
      <w:pPr>
        <w:widowControl w:val="0"/>
        <w:autoSpaceDE w:val="0"/>
        <w:autoSpaceDN w:val="0"/>
        <w:adjustRightInd w:val="0"/>
        <w:rPr>
          <w:rFonts w:ascii="Arial" w:hAnsi="Arial" w:cs="Arial"/>
          <w:color w:val="333333"/>
          <w:sz w:val="20"/>
          <w:szCs w:val="20"/>
          <w:shd w:val="clear" w:color="auto" w:fill="FFFFFF"/>
        </w:rPr>
      </w:pPr>
    </w:p>
    <w:p w14:paraId="10B65BE2" w14:textId="130C1CBC" w:rsidR="003D13A5" w:rsidRDefault="003D13A5" w:rsidP="00010CD8">
      <w:pPr>
        <w:widowControl w:val="0"/>
        <w:autoSpaceDE w:val="0"/>
        <w:autoSpaceDN w:val="0"/>
        <w:adjustRightInd w:val="0"/>
        <w:rPr>
          <w:rFonts w:ascii="Arial" w:hAnsi="Arial" w:cs="Arial"/>
          <w:color w:val="333333"/>
          <w:sz w:val="20"/>
          <w:szCs w:val="20"/>
          <w:shd w:val="clear" w:color="auto" w:fill="FFFFFF"/>
        </w:rPr>
      </w:pPr>
    </w:p>
    <w:p w14:paraId="3E9C3C27" w14:textId="7C13752B" w:rsidR="00614D87" w:rsidRPr="002A7FAF" w:rsidRDefault="00475275" w:rsidP="00614D87">
      <w:pPr>
        <w:widowControl w:val="0"/>
        <w:autoSpaceDE w:val="0"/>
        <w:autoSpaceDN w:val="0"/>
        <w:adjustRightInd w:val="0"/>
        <w:rPr>
          <w:rFonts w:ascii="Arial" w:hAnsi="Arial" w:cs="Arial"/>
          <w:color w:val="333333"/>
          <w:sz w:val="20"/>
          <w:szCs w:val="20"/>
          <w:shd w:val="clear" w:color="auto" w:fill="FFFFFF"/>
        </w:rPr>
      </w:pPr>
      <w:r>
        <w:rPr>
          <w:rFonts w:ascii="Arial" w:hAnsi="Arial" w:cs="Arial"/>
          <w:color w:val="333333"/>
          <w:sz w:val="20"/>
          <w:szCs w:val="20"/>
          <w:shd w:val="clear" w:color="auto" w:fill="FFFFFF"/>
        </w:rPr>
        <w:t>Table 3</w:t>
      </w:r>
      <w:r w:rsidR="00614D87">
        <w:rPr>
          <w:rFonts w:ascii="Arial" w:hAnsi="Arial" w:cs="Arial"/>
          <w:color w:val="333333"/>
          <w:sz w:val="20"/>
          <w:szCs w:val="20"/>
          <w:shd w:val="clear" w:color="auto" w:fill="FFFFFF"/>
        </w:rPr>
        <w:t>: Diagnostic performance of CPGs at identifying all invasive bacterial infection</w:t>
      </w:r>
      <w:r w:rsidR="00621676">
        <w:rPr>
          <w:rFonts w:ascii="Arial" w:hAnsi="Arial" w:cs="Arial"/>
          <w:color w:val="333333"/>
          <w:sz w:val="20"/>
          <w:szCs w:val="20"/>
          <w:shd w:val="clear" w:color="auto" w:fill="FFFFFF"/>
        </w:rPr>
        <w:t xml:space="preserve"> (single imputation)</w:t>
      </w:r>
    </w:p>
    <w:p w14:paraId="52B71C1B" w14:textId="0431ACAA" w:rsidR="00614D87" w:rsidRDefault="00614D87" w:rsidP="00010CD8">
      <w:pPr>
        <w:widowControl w:val="0"/>
        <w:autoSpaceDE w:val="0"/>
        <w:autoSpaceDN w:val="0"/>
        <w:adjustRightInd w:val="0"/>
        <w:rPr>
          <w:rFonts w:ascii="Arial" w:hAnsi="Arial" w:cs="Arial"/>
          <w:color w:val="333333"/>
          <w:sz w:val="20"/>
          <w:szCs w:val="20"/>
          <w:shd w:val="clear" w:color="auto" w:fill="FFFFFF"/>
        </w:rPr>
      </w:pPr>
    </w:p>
    <w:p w14:paraId="00B9B65A" w14:textId="3E21A99C" w:rsidR="00614D87" w:rsidRDefault="00614D87" w:rsidP="00010CD8">
      <w:pPr>
        <w:widowControl w:val="0"/>
        <w:autoSpaceDE w:val="0"/>
        <w:autoSpaceDN w:val="0"/>
        <w:adjustRightInd w:val="0"/>
        <w:rPr>
          <w:rFonts w:ascii="Arial" w:hAnsi="Arial" w:cs="Arial"/>
          <w:color w:val="333333"/>
          <w:sz w:val="20"/>
          <w:szCs w:val="20"/>
          <w:shd w:val="clear" w:color="auto" w:fill="FFFFFF"/>
        </w:rPr>
      </w:pPr>
    </w:p>
    <w:p w14:paraId="2C7490FA" w14:textId="77777777" w:rsidR="00614D87" w:rsidRDefault="00614D87" w:rsidP="00010CD8">
      <w:pPr>
        <w:widowControl w:val="0"/>
        <w:autoSpaceDE w:val="0"/>
        <w:autoSpaceDN w:val="0"/>
        <w:adjustRightInd w:val="0"/>
        <w:rPr>
          <w:rFonts w:ascii="Arial" w:hAnsi="Arial" w:cs="Arial"/>
          <w:color w:val="333333"/>
          <w:sz w:val="20"/>
          <w:szCs w:val="20"/>
          <w:shd w:val="clear" w:color="auto" w:fill="FFFFFF"/>
        </w:rPr>
      </w:pPr>
    </w:p>
    <w:tbl>
      <w:tblPr>
        <w:tblW w:w="4382" w:type="pct"/>
        <w:jc w:val="center"/>
        <w:tblLook w:val="04A0" w:firstRow="1" w:lastRow="0" w:firstColumn="1" w:lastColumn="0" w:noHBand="0" w:noVBand="1"/>
      </w:tblPr>
      <w:tblGrid>
        <w:gridCol w:w="1267"/>
        <w:gridCol w:w="1515"/>
        <w:gridCol w:w="1110"/>
        <w:gridCol w:w="1252"/>
        <w:gridCol w:w="1883"/>
        <w:gridCol w:w="1360"/>
        <w:gridCol w:w="1883"/>
        <w:gridCol w:w="1956"/>
      </w:tblGrid>
      <w:tr w:rsidR="001B73EF" w:rsidRPr="00CA0695" w14:paraId="4AC59E9A" w14:textId="77777777" w:rsidTr="005F4E55">
        <w:trPr>
          <w:trHeight w:val="215"/>
          <w:jc w:val="center"/>
        </w:trPr>
        <w:tc>
          <w:tcPr>
            <w:tcW w:w="518" w:type="pct"/>
            <w:vMerge w:val="restart"/>
            <w:tcBorders>
              <w:top w:val="single" w:sz="4" w:space="0" w:color="auto"/>
              <w:left w:val="single" w:sz="4" w:space="0" w:color="auto"/>
              <w:bottom w:val="single" w:sz="4" w:space="0" w:color="auto"/>
              <w:right w:val="single" w:sz="4" w:space="0" w:color="auto"/>
            </w:tcBorders>
            <w:shd w:val="clear" w:color="000000" w:fill="C9C9C9"/>
            <w:vAlign w:val="center"/>
            <w:hideMark/>
          </w:tcPr>
          <w:p w14:paraId="38485DD0" w14:textId="77777777" w:rsidR="001B73EF" w:rsidRPr="00CA0695" w:rsidRDefault="001B73EF" w:rsidP="00255358">
            <w:pPr>
              <w:jc w:val="center"/>
              <w:rPr>
                <w:rFonts w:ascii="Arial" w:hAnsi="Arial" w:cs="Arial"/>
                <w:b/>
                <w:bCs/>
                <w:color w:val="000000"/>
                <w:sz w:val="18"/>
                <w:szCs w:val="18"/>
              </w:rPr>
            </w:pPr>
            <w:r w:rsidRPr="00CA0695">
              <w:rPr>
                <w:rFonts w:ascii="Arial" w:hAnsi="Arial" w:cs="Arial"/>
                <w:b/>
                <w:bCs/>
                <w:color w:val="000000"/>
                <w:sz w:val="18"/>
                <w:szCs w:val="18"/>
              </w:rPr>
              <w:t>Clinical Practice Guideline</w:t>
            </w:r>
          </w:p>
        </w:tc>
        <w:tc>
          <w:tcPr>
            <w:tcW w:w="620" w:type="pct"/>
            <w:vMerge w:val="restart"/>
            <w:tcBorders>
              <w:top w:val="single" w:sz="4" w:space="0" w:color="auto"/>
              <w:left w:val="nil"/>
              <w:right w:val="single" w:sz="4" w:space="0" w:color="auto"/>
            </w:tcBorders>
            <w:shd w:val="clear" w:color="000000" w:fill="C9C9C9"/>
            <w:vAlign w:val="center"/>
            <w:hideMark/>
          </w:tcPr>
          <w:p w14:paraId="0B70ADC6" w14:textId="700494D7" w:rsidR="001B73EF" w:rsidRPr="00CA0695" w:rsidRDefault="001B73EF" w:rsidP="00255358">
            <w:pPr>
              <w:jc w:val="center"/>
              <w:rPr>
                <w:rFonts w:ascii="Arial" w:hAnsi="Arial" w:cs="Arial"/>
                <w:b/>
                <w:bCs/>
                <w:color w:val="000000"/>
                <w:sz w:val="18"/>
                <w:szCs w:val="18"/>
              </w:rPr>
            </w:pPr>
            <w:r>
              <w:rPr>
                <w:rFonts w:ascii="Arial" w:hAnsi="Arial" w:cs="Arial"/>
                <w:b/>
                <w:bCs/>
                <w:color w:val="000000"/>
                <w:sz w:val="18"/>
                <w:szCs w:val="18"/>
              </w:rPr>
              <w:t>Outcome</w:t>
            </w:r>
          </w:p>
        </w:tc>
        <w:tc>
          <w:tcPr>
            <w:tcW w:w="966" w:type="pct"/>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7CC73854" w14:textId="77777777" w:rsidR="001B73EF" w:rsidRPr="00CA0695" w:rsidRDefault="001B73EF" w:rsidP="00255358">
            <w:pPr>
              <w:jc w:val="center"/>
              <w:rPr>
                <w:rFonts w:ascii="Arial" w:hAnsi="Arial" w:cs="Arial"/>
                <w:b/>
                <w:bCs/>
                <w:color w:val="000000"/>
                <w:sz w:val="18"/>
                <w:szCs w:val="18"/>
              </w:rPr>
            </w:pPr>
            <w:r w:rsidRPr="00CA0695">
              <w:rPr>
                <w:rFonts w:ascii="Arial" w:hAnsi="Arial" w:cs="Arial"/>
                <w:b/>
                <w:bCs/>
                <w:color w:val="000000"/>
                <w:sz w:val="18"/>
                <w:szCs w:val="18"/>
              </w:rPr>
              <w:t>Invasive Bacterial Infection (n=26)</w:t>
            </w:r>
          </w:p>
        </w:tc>
        <w:tc>
          <w:tcPr>
            <w:tcW w:w="770" w:type="pct"/>
            <w:vMerge w:val="restart"/>
            <w:tcBorders>
              <w:top w:val="single" w:sz="4" w:space="0" w:color="auto"/>
              <w:left w:val="single" w:sz="4" w:space="0" w:color="auto"/>
              <w:bottom w:val="single" w:sz="4" w:space="0" w:color="auto"/>
              <w:right w:val="single" w:sz="4" w:space="0" w:color="auto"/>
            </w:tcBorders>
            <w:shd w:val="clear" w:color="000000" w:fill="C9C9C9"/>
            <w:vAlign w:val="center"/>
            <w:hideMark/>
          </w:tcPr>
          <w:p w14:paraId="01C8EB17" w14:textId="7FC85BBB" w:rsidR="001B73EF" w:rsidRDefault="001B73EF" w:rsidP="00255358">
            <w:pPr>
              <w:jc w:val="center"/>
              <w:rPr>
                <w:rFonts w:ascii="Arial" w:hAnsi="Arial" w:cs="Arial"/>
                <w:b/>
                <w:bCs/>
                <w:color w:val="000000"/>
                <w:sz w:val="18"/>
                <w:szCs w:val="18"/>
              </w:rPr>
            </w:pPr>
            <w:r w:rsidRPr="00CA0695">
              <w:rPr>
                <w:rFonts w:ascii="Arial" w:hAnsi="Arial" w:cs="Arial"/>
                <w:b/>
                <w:bCs/>
                <w:color w:val="000000"/>
                <w:sz w:val="18"/>
                <w:szCs w:val="18"/>
              </w:rPr>
              <w:t xml:space="preserve">Sensitivity </w:t>
            </w:r>
          </w:p>
          <w:p w14:paraId="13EF70E7" w14:textId="77777777" w:rsidR="001B73EF" w:rsidRPr="00CA0695" w:rsidRDefault="001B73EF" w:rsidP="00255358">
            <w:pPr>
              <w:jc w:val="center"/>
              <w:rPr>
                <w:rFonts w:ascii="Arial" w:hAnsi="Arial" w:cs="Arial"/>
                <w:b/>
                <w:bCs/>
                <w:color w:val="000000"/>
                <w:sz w:val="18"/>
                <w:szCs w:val="18"/>
              </w:rPr>
            </w:pPr>
            <w:r w:rsidRPr="00CA0695">
              <w:rPr>
                <w:rFonts w:ascii="Arial" w:hAnsi="Arial" w:cs="Arial"/>
                <w:b/>
                <w:bCs/>
                <w:color w:val="000000"/>
                <w:sz w:val="18"/>
                <w:szCs w:val="18"/>
              </w:rPr>
              <w:t>(95% CI)</w:t>
            </w:r>
          </w:p>
        </w:tc>
        <w:tc>
          <w:tcPr>
            <w:tcW w:w="556" w:type="pct"/>
            <w:vMerge w:val="restart"/>
            <w:tcBorders>
              <w:top w:val="single" w:sz="4" w:space="0" w:color="auto"/>
              <w:left w:val="single" w:sz="4" w:space="0" w:color="auto"/>
              <w:bottom w:val="single" w:sz="4" w:space="0" w:color="auto"/>
              <w:right w:val="single" w:sz="4" w:space="0" w:color="auto"/>
            </w:tcBorders>
            <w:shd w:val="clear" w:color="000000" w:fill="C9C9C9"/>
            <w:vAlign w:val="center"/>
            <w:hideMark/>
          </w:tcPr>
          <w:p w14:paraId="63CB1374" w14:textId="77777777" w:rsidR="001B73EF" w:rsidRDefault="001B73EF" w:rsidP="00255358">
            <w:pPr>
              <w:jc w:val="center"/>
              <w:rPr>
                <w:rFonts w:ascii="Arial" w:hAnsi="Arial" w:cs="Arial"/>
                <w:b/>
                <w:bCs/>
                <w:color w:val="000000"/>
                <w:sz w:val="18"/>
                <w:szCs w:val="18"/>
              </w:rPr>
            </w:pPr>
            <w:r w:rsidRPr="00CA0695">
              <w:rPr>
                <w:rFonts w:ascii="Arial" w:hAnsi="Arial" w:cs="Arial"/>
                <w:b/>
                <w:bCs/>
                <w:color w:val="000000"/>
                <w:sz w:val="18"/>
                <w:szCs w:val="18"/>
              </w:rPr>
              <w:t xml:space="preserve">Specificity </w:t>
            </w:r>
          </w:p>
          <w:p w14:paraId="00B62934" w14:textId="77777777" w:rsidR="001B73EF" w:rsidRPr="00CA0695" w:rsidRDefault="001B73EF" w:rsidP="00255358">
            <w:pPr>
              <w:jc w:val="center"/>
              <w:rPr>
                <w:rFonts w:ascii="Arial" w:hAnsi="Arial" w:cs="Arial"/>
                <w:b/>
                <w:bCs/>
                <w:color w:val="000000"/>
                <w:sz w:val="18"/>
                <w:szCs w:val="18"/>
              </w:rPr>
            </w:pPr>
            <w:r w:rsidRPr="00CA0695">
              <w:rPr>
                <w:rFonts w:ascii="Arial" w:hAnsi="Arial" w:cs="Arial"/>
                <w:b/>
                <w:bCs/>
                <w:color w:val="000000"/>
                <w:sz w:val="18"/>
                <w:szCs w:val="18"/>
              </w:rPr>
              <w:t>(95% CI)</w:t>
            </w:r>
          </w:p>
        </w:tc>
        <w:tc>
          <w:tcPr>
            <w:tcW w:w="770" w:type="pct"/>
            <w:vMerge w:val="restart"/>
            <w:tcBorders>
              <w:top w:val="single" w:sz="4" w:space="0" w:color="auto"/>
              <w:left w:val="single" w:sz="4" w:space="0" w:color="auto"/>
              <w:bottom w:val="single" w:sz="4" w:space="0" w:color="auto"/>
              <w:right w:val="single" w:sz="4" w:space="0" w:color="auto"/>
            </w:tcBorders>
            <w:shd w:val="clear" w:color="000000" w:fill="C9C9C9"/>
            <w:vAlign w:val="center"/>
            <w:hideMark/>
          </w:tcPr>
          <w:p w14:paraId="67575E1F" w14:textId="77777777" w:rsidR="001B73EF" w:rsidRDefault="001B73EF" w:rsidP="00255358">
            <w:pPr>
              <w:jc w:val="center"/>
              <w:rPr>
                <w:rFonts w:ascii="Arial" w:hAnsi="Arial" w:cs="Arial"/>
                <w:b/>
                <w:bCs/>
                <w:color w:val="000000"/>
                <w:sz w:val="18"/>
                <w:szCs w:val="18"/>
              </w:rPr>
            </w:pPr>
            <w:r w:rsidRPr="00CA0695">
              <w:rPr>
                <w:rFonts w:ascii="Arial" w:hAnsi="Arial" w:cs="Arial"/>
                <w:b/>
                <w:bCs/>
                <w:color w:val="000000"/>
                <w:sz w:val="18"/>
                <w:szCs w:val="18"/>
              </w:rPr>
              <w:t xml:space="preserve">Positive Predictive Value </w:t>
            </w:r>
          </w:p>
          <w:p w14:paraId="1DC2A7E0" w14:textId="77777777" w:rsidR="001B73EF" w:rsidRPr="00CA0695" w:rsidRDefault="001B73EF" w:rsidP="00255358">
            <w:pPr>
              <w:jc w:val="center"/>
              <w:rPr>
                <w:rFonts w:ascii="Arial" w:hAnsi="Arial" w:cs="Arial"/>
                <w:b/>
                <w:bCs/>
                <w:color w:val="000000"/>
                <w:sz w:val="18"/>
                <w:szCs w:val="18"/>
              </w:rPr>
            </w:pPr>
            <w:r w:rsidRPr="00CA0695">
              <w:rPr>
                <w:rFonts w:ascii="Arial" w:hAnsi="Arial" w:cs="Arial"/>
                <w:b/>
                <w:bCs/>
                <w:color w:val="000000"/>
                <w:sz w:val="18"/>
                <w:szCs w:val="18"/>
              </w:rPr>
              <w:t>(95%CI)</w:t>
            </w:r>
          </w:p>
        </w:tc>
        <w:tc>
          <w:tcPr>
            <w:tcW w:w="800" w:type="pct"/>
            <w:vMerge w:val="restart"/>
            <w:tcBorders>
              <w:top w:val="single" w:sz="4" w:space="0" w:color="auto"/>
              <w:left w:val="single" w:sz="4" w:space="0" w:color="auto"/>
              <w:bottom w:val="single" w:sz="4" w:space="0" w:color="auto"/>
              <w:right w:val="single" w:sz="4" w:space="0" w:color="auto"/>
            </w:tcBorders>
            <w:shd w:val="clear" w:color="000000" w:fill="C9C9C9"/>
            <w:vAlign w:val="center"/>
            <w:hideMark/>
          </w:tcPr>
          <w:p w14:paraId="4FAF0ECC" w14:textId="77777777" w:rsidR="001B73EF" w:rsidRDefault="001B73EF" w:rsidP="00255358">
            <w:pPr>
              <w:jc w:val="center"/>
              <w:rPr>
                <w:rFonts w:ascii="Arial" w:hAnsi="Arial" w:cs="Arial"/>
                <w:b/>
                <w:bCs/>
                <w:color w:val="000000"/>
                <w:sz w:val="18"/>
                <w:szCs w:val="18"/>
              </w:rPr>
            </w:pPr>
            <w:r w:rsidRPr="00CA0695">
              <w:rPr>
                <w:rFonts w:ascii="Arial" w:hAnsi="Arial" w:cs="Arial"/>
                <w:b/>
                <w:bCs/>
                <w:color w:val="000000"/>
                <w:sz w:val="18"/>
                <w:szCs w:val="18"/>
              </w:rPr>
              <w:t xml:space="preserve">Negative Predictive </w:t>
            </w:r>
          </w:p>
          <w:p w14:paraId="09D77A76" w14:textId="77777777" w:rsidR="001B73EF" w:rsidRDefault="001B73EF" w:rsidP="00255358">
            <w:pPr>
              <w:jc w:val="center"/>
              <w:rPr>
                <w:rFonts w:ascii="Arial" w:hAnsi="Arial" w:cs="Arial"/>
                <w:b/>
                <w:bCs/>
                <w:color w:val="000000"/>
                <w:sz w:val="18"/>
                <w:szCs w:val="18"/>
              </w:rPr>
            </w:pPr>
            <w:r w:rsidRPr="00CA0695">
              <w:rPr>
                <w:rFonts w:ascii="Arial" w:hAnsi="Arial" w:cs="Arial"/>
                <w:b/>
                <w:bCs/>
                <w:color w:val="000000"/>
                <w:sz w:val="18"/>
                <w:szCs w:val="18"/>
              </w:rPr>
              <w:t xml:space="preserve">Value  </w:t>
            </w:r>
          </w:p>
          <w:p w14:paraId="2A81A5E2" w14:textId="77777777" w:rsidR="001B73EF" w:rsidRPr="00CA0695" w:rsidRDefault="001B73EF" w:rsidP="00255358">
            <w:pPr>
              <w:jc w:val="center"/>
              <w:rPr>
                <w:rFonts w:ascii="Arial" w:hAnsi="Arial" w:cs="Arial"/>
                <w:b/>
                <w:bCs/>
                <w:color w:val="000000"/>
                <w:sz w:val="18"/>
                <w:szCs w:val="18"/>
              </w:rPr>
            </w:pPr>
            <w:r w:rsidRPr="00CA0695">
              <w:rPr>
                <w:rFonts w:ascii="Arial" w:hAnsi="Arial" w:cs="Arial"/>
                <w:b/>
                <w:bCs/>
                <w:color w:val="000000"/>
                <w:sz w:val="18"/>
                <w:szCs w:val="18"/>
              </w:rPr>
              <w:t>(95%CI)</w:t>
            </w:r>
          </w:p>
        </w:tc>
      </w:tr>
      <w:tr w:rsidR="001B73EF" w:rsidRPr="00CA0695" w14:paraId="63E2A0BE" w14:textId="77777777" w:rsidTr="001B73EF">
        <w:trPr>
          <w:trHeight w:val="215"/>
          <w:jc w:val="center"/>
        </w:trPr>
        <w:tc>
          <w:tcPr>
            <w:tcW w:w="518" w:type="pct"/>
            <w:vMerge/>
            <w:tcBorders>
              <w:top w:val="single" w:sz="4" w:space="0" w:color="auto"/>
              <w:left w:val="single" w:sz="4" w:space="0" w:color="auto"/>
              <w:bottom w:val="single" w:sz="4" w:space="0" w:color="auto"/>
              <w:right w:val="single" w:sz="4" w:space="0" w:color="auto"/>
            </w:tcBorders>
            <w:vAlign w:val="center"/>
            <w:hideMark/>
          </w:tcPr>
          <w:p w14:paraId="1A624912" w14:textId="77777777" w:rsidR="001B73EF" w:rsidRPr="00CA0695" w:rsidRDefault="001B73EF" w:rsidP="00255358">
            <w:pPr>
              <w:jc w:val="center"/>
              <w:rPr>
                <w:rFonts w:ascii="Arial" w:hAnsi="Arial" w:cs="Arial"/>
                <w:b/>
                <w:bCs/>
                <w:color w:val="000000"/>
                <w:sz w:val="18"/>
                <w:szCs w:val="18"/>
              </w:rPr>
            </w:pPr>
          </w:p>
        </w:tc>
        <w:tc>
          <w:tcPr>
            <w:tcW w:w="620" w:type="pct"/>
            <w:vMerge/>
            <w:tcBorders>
              <w:left w:val="nil"/>
              <w:bottom w:val="single" w:sz="4" w:space="0" w:color="auto"/>
              <w:right w:val="single" w:sz="4" w:space="0" w:color="auto"/>
            </w:tcBorders>
            <w:shd w:val="clear" w:color="000000" w:fill="C9C9C9"/>
            <w:vAlign w:val="center"/>
            <w:hideMark/>
          </w:tcPr>
          <w:p w14:paraId="7B859452" w14:textId="77777777" w:rsidR="001B73EF" w:rsidRPr="00CA0695" w:rsidRDefault="001B73EF" w:rsidP="00255358">
            <w:pPr>
              <w:jc w:val="center"/>
              <w:rPr>
                <w:rFonts w:ascii="Arial" w:hAnsi="Arial" w:cs="Arial"/>
                <w:b/>
                <w:bCs/>
                <w:color w:val="000000"/>
                <w:sz w:val="18"/>
                <w:szCs w:val="18"/>
              </w:rPr>
            </w:pPr>
          </w:p>
        </w:tc>
        <w:tc>
          <w:tcPr>
            <w:tcW w:w="454" w:type="pct"/>
            <w:tcBorders>
              <w:top w:val="nil"/>
              <w:left w:val="nil"/>
              <w:bottom w:val="single" w:sz="4" w:space="0" w:color="auto"/>
              <w:right w:val="single" w:sz="4" w:space="0" w:color="auto"/>
            </w:tcBorders>
            <w:shd w:val="clear" w:color="000000" w:fill="C9C9C9"/>
            <w:noWrap/>
            <w:vAlign w:val="bottom"/>
            <w:hideMark/>
          </w:tcPr>
          <w:p w14:paraId="4E981988" w14:textId="77777777" w:rsidR="001B73EF" w:rsidRPr="00CA0695" w:rsidRDefault="001B73EF" w:rsidP="00255358">
            <w:pPr>
              <w:jc w:val="center"/>
              <w:rPr>
                <w:rFonts w:ascii="Arial" w:hAnsi="Arial" w:cs="Arial"/>
                <w:b/>
                <w:bCs/>
                <w:color w:val="000000"/>
                <w:sz w:val="18"/>
                <w:szCs w:val="18"/>
              </w:rPr>
            </w:pPr>
            <w:r w:rsidRPr="00CA0695">
              <w:rPr>
                <w:rFonts w:ascii="Arial" w:hAnsi="Arial" w:cs="Arial"/>
                <w:b/>
                <w:bCs/>
                <w:color w:val="000000"/>
                <w:sz w:val="18"/>
                <w:szCs w:val="18"/>
              </w:rPr>
              <w:t xml:space="preserve">Present </w:t>
            </w:r>
          </w:p>
        </w:tc>
        <w:tc>
          <w:tcPr>
            <w:tcW w:w="512"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3C18471B" w14:textId="77777777" w:rsidR="001B73EF" w:rsidRPr="00CA0695" w:rsidRDefault="001B73EF" w:rsidP="00255358">
            <w:pPr>
              <w:jc w:val="center"/>
              <w:rPr>
                <w:rFonts w:ascii="Arial" w:hAnsi="Arial" w:cs="Arial"/>
                <w:b/>
                <w:bCs/>
                <w:color w:val="000000"/>
                <w:sz w:val="18"/>
                <w:szCs w:val="18"/>
              </w:rPr>
            </w:pPr>
            <w:r w:rsidRPr="00CA0695">
              <w:rPr>
                <w:rFonts w:ascii="Arial" w:hAnsi="Arial" w:cs="Arial"/>
                <w:b/>
                <w:bCs/>
                <w:color w:val="000000"/>
                <w:sz w:val="18"/>
                <w:szCs w:val="18"/>
              </w:rPr>
              <w:t xml:space="preserve">Absent </w:t>
            </w:r>
          </w:p>
        </w:tc>
        <w:tc>
          <w:tcPr>
            <w:tcW w:w="770" w:type="pct"/>
            <w:vMerge/>
            <w:tcBorders>
              <w:top w:val="single" w:sz="4" w:space="0" w:color="auto"/>
              <w:left w:val="single" w:sz="4" w:space="0" w:color="auto"/>
              <w:bottom w:val="single" w:sz="4" w:space="0" w:color="auto"/>
              <w:right w:val="single" w:sz="4" w:space="0" w:color="auto"/>
            </w:tcBorders>
            <w:vAlign w:val="center"/>
            <w:hideMark/>
          </w:tcPr>
          <w:p w14:paraId="0A6CA257" w14:textId="77777777" w:rsidR="001B73EF" w:rsidRPr="00CA0695" w:rsidRDefault="001B73EF" w:rsidP="00255358">
            <w:pPr>
              <w:rPr>
                <w:rFonts w:ascii="Arial" w:hAnsi="Arial" w:cs="Arial"/>
                <w:b/>
                <w:bCs/>
                <w:color w:val="000000"/>
                <w:sz w:val="18"/>
                <w:szCs w:val="18"/>
              </w:rPr>
            </w:pPr>
          </w:p>
        </w:tc>
        <w:tc>
          <w:tcPr>
            <w:tcW w:w="556" w:type="pct"/>
            <w:vMerge/>
            <w:tcBorders>
              <w:top w:val="single" w:sz="4" w:space="0" w:color="auto"/>
              <w:left w:val="single" w:sz="4" w:space="0" w:color="auto"/>
              <w:bottom w:val="single" w:sz="4" w:space="0" w:color="auto"/>
              <w:right w:val="single" w:sz="4" w:space="0" w:color="auto"/>
            </w:tcBorders>
            <w:vAlign w:val="center"/>
            <w:hideMark/>
          </w:tcPr>
          <w:p w14:paraId="049C9AAF" w14:textId="77777777" w:rsidR="001B73EF" w:rsidRPr="00CA0695" w:rsidRDefault="001B73EF" w:rsidP="00255358">
            <w:pPr>
              <w:rPr>
                <w:rFonts w:ascii="Arial" w:hAnsi="Arial" w:cs="Arial"/>
                <w:b/>
                <w:bCs/>
                <w:color w:val="000000"/>
                <w:sz w:val="18"/>
                <w:szCs w:val="1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14:paraId="06E6CC19" w14:textId="77777777" w:rsidR="001B73EF" w:rsidRPr="00CA0695" w:rsidRDefault="001B73EF" w:rsidP="00255358">
            <w:pPr>
              <w:rPr>
                <w:rFonts w:ascii="Arial" w:hAnsi="Arial" w:cs="Arial"/>
                <w:b/>
                <w:bCs/>
                <w:color w:val="000000"/>
                <w:sz w:val="18"/>
                <w:szCs w:val="18"/>
              </w:rPr>
            </w:pPr>
          </w:p>
        </w:tc>
        <w:tc>
          <w:tcPr>
            <w:tcW w:w="800" w:type="pct"/>
            <w:vMerge/>
            <w:tcBorders>
              <w:top w:val="single" w:sz="4" w:space="0" w:color="auto"/>
              <w:left w:val="single" w:sz="4" w:space="0" w:color="auto"/>
              <w:bottom w:val="single" w:sz="4" w:space="0" w:color="auto"/>
              <w:right w:val="single" w:sz="4" w:space="0" w:color="auto"/>
            </w:tcBorders>
            <w:vAlign w:val="center"/>
            <w:hideMark/>
          </w:tcPr>
          <w:p w14:paraId="5F30881D" w14:textId="77777777" w:rsidR="001B73EF" w:rsidRPr="00CA0695" w:rsidRDefault="001B73EF" w:rsidP="00255358">
            <w:pPr>
              <w:rPr>
                <w:rFonts w:ascii="Arial" w:hAnsi="Arial" w:cs="Arial"/>
                <w:b/>
                <w:bCs/>
                <w:color w:val="000000"/>
                <w:sz w:val="18"/>
                <w:szCs w:val="18"/>
              </w:rPr>
            </w:pPr>
          </w:p>
        </w:tc>
      </w:tr>
      <w:tr w:rsidR="005F4E55" w:rsidRPr="00CA0695" w14:paraId="4B94BFDF" w14:textId="77777777" w:rsidTr="001B73EF">
        <w:trPr>
          <w:trHeight w:val="215"/>
          <w:jc w:val="center"/>
        </w:trPr>
        <w:tc>
          <w:tcPr>
            <w:tcW w:w="518" w:type="pct"/>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4AEDFECB" w14:textId="134383A4" w:rsidR="005F4E55" w:rsidRPr="00CA0695" w:rsidRDefault="005F4E55" w:rsidP="005F4E55">
            <w:pPr>
              <w:jc w:val="center"/>
              <w:rPr>
                <w:rFonts w:ascii="Arial" w:hAnsi="Arial" w:cs="Arial"/>
                <w:b/>
                <w:bCs/>
                <w:color w:val="000000"/>
                <w:sz w:val="18"/>
                <w:szCs w:val="18"/>
              </w:rPr>
            </w:pPr>
            <w:r>
              <w:rPr>
                <w:rFonts w:ascii="Arial" w:hAnsi="Arial" w:cs="Arial"/>
                <w:b/>
                <w:bCs/>
                <w:color w:val="000000"/>
                <w:sz w:val="18"/>
                <w:szCs w:val="18"/>
              </w:rPr>
              <w:t>Clinician Practice</w:t>
            </w:r>
          </w:p>
        </w:tc>
        <w:tc>
          <w:tcPr>
            <w:tcW w:w="620" w:type="pct"/>
            <w:tcBorders>
              <w:top w:val="nil"/>
              <w:left w:val="nil"/>
              <w:bottom w:val="single" w:sz="4" w:space="0" w:color="auto"/>
              <w:right w:val="single" w:sz="4" w:space="0" w:color="auto"/>
            </w:tcBorders>
            <w:shd w:val="clear" w:color="auto" w:fill="FFFFFF" w:themeFill="background1"/>
            <w:vAlign w:val="bottom"/>
          </w:tcPr>
          <w:p w14:paraId="7386F3A0" w14:textId="73318A43" w:rsidR="005F4E55" w:rsidRPr="00CA0695" w:rsidRDefault="005F4E55" w:rsidP="005F4E55">
            <w:pPr>
              <w:jc w:val="center"/>
              <w:rPr>
                <w:rFonts w:ascii="Arial" w:hAnsi="Arial" w:cs="Arial"/>
                <w:b/>
                <w:bCs/>
                <w:color w:val="000000"/>
                <w:sz w:val="18"/>
                <w:szCs w:val="18"/>
              </w:rPr>
            </w:pPr>
            <w:r w:rsidRPr="00CA0695">
              <w:rPr>
                <w:rFonts w:ascii="Arial" w:hAnsi="Arial" w:cs="Arial"/>
                <w:color w:val="000000"/>
                <w:sz w:val="18"/>
                <w:szCs w:val="18"/>
              </w:rPr>
              <w:t>Treat</w:t>
            </w:r>
          </w:p>
        </w:tc>
        <w:tc>
          <w:tcPr>
            <w:tcW w:w="454" w:type="pct"/>
            <w:tcBorders>
              <w:top w:val="nil"/>
              <w:left w:val="nil"/>
              <w:bottom w:val="single" w:sz="4" w:space="0" w:color="auto"/>
              <w:right w:val="single" w:sz="4" w:space="0" w:color="auto"/>
            </w:tcBorders>
            <w:shd w:val="clear" w:color="auto" w:fill="FFFFFF" w:themeFill="background1"/>
            <w:noWrap/>
            <w:vAlign w:val="bottom"/>
          </w:tcPr>
          <w:p w14:paraId="1B3D2BC0" w14:textId="2D5A8EC8" w:rsidR="005F4E55" w:rsidRPr="00247764" w:rsidRDefault="005F4E55" w:rsidP="005F4E55">
            <w:pPr>
              <w:jc w:val="center"/>
              <w:rPr>
                <w:rFonts w:ascii="Arial" w:hAnsi="Arial" w:cs="Arial"/>
                <w:bCs/>
                <w:sz w:val="18"/>
                <w:szCs w:val="18"/>
              </w:rPr>
            </w:pPr>
            <w:r w:rsidRPr="00247764">
              <w:rPr>
                <w:rFonts w:ascii="Arial" w:hAnsi="Arial" w:cs="Arial"/>
                <w:bCs/>
                <w:sz w:val="18"/>
                <w:szCs w:val="18"/>
              </w:rPr>
              <w:t>24</w:t>
            </w:r>
          </w:p>
        </w:tc>
        <w:tc>
          <w:tcPr>
            <w:tcW w:w="512" w:type="pct"/>
            <w:tcBorders>
              <w:top w:val="single" w:sz="4" w:space="0" w:color="auto"/>
              <w:left w:val="single" w:sz="4" w:space="0" w:color="auto"/>
              <w:bottom w:val="single" w:sz="4" w:space="0" w:color="auto"/>
              <w:right w:val="single" w:sz="4" w:space="0" w:color="auto"/>
            </w:tcBorders>
            <w:noWrap/>
            <w:vAlign w:val="bottom"/>
          </w:tcPr>
          <w:p w14:paraId="14C42A83" w14:textId="12B4EAE1" w:rsidR="005F4E55" w:rsidRPr="00247764" w:rsidRDefault="005F4E55" w:rsidP="005F4E55">
            <w:pPr>
              <w:jc w:val="center"/>
              <w:rPr>
                <w:rFonts w:ascii="Arial" w:hAnsi="Arial" w:cs="Arial"/>
                <w:bCs/>
                <w:sz w:val="18"/>
                <w:szCs w:val="18"/>
              </w:rPr>
            </w:pPr>
            <w:r>
              <w:rPr>
                <w:rFonts w:ascii="Arial" w:hAnsi="Arial" w:cs="Arial"/>
                <w:bCs/>
                <w:sz w:val="18"/>
                <w:szCs w:val="18"/>
              </w:rPr>
              <w:t>572</w:t>
            </w:r>
          </w:p>
        </w:tc>
        <w:tc>
          <w:tcPr>
            <w:tcW w:w="770" w:type="pct"/>
            <w:vMerge w:val="restart"/>
            <w:tcBorders>
              <w:top w:val="single" w:sz="4" w:space="0" w:color="auto"/>
              <w:left w:val="single" w:sz="4" w:space="0" w:color="auto"/>
              <w:right w:val="single" w:sz="4" w:space="0" w:color="auto"/>
            </w:tcBorders>
            <w:vAlign w:val="center"/>
          </w:tcPr>
          <w:p w14:paraId="59220D66" w14:textId="77777777" w:rsidR="005F4E55" w:rsidRDefault="005F4E55" w:rsidP="005F4E55">
            <w:pPr>
              <w:jc w:val="center"/>
              <w:rPr>
                <w:rFonts w:ascii="Arial" w:hAnsi="Arial" w:cs="Arial"/>
                <w:color w:val="000000"/>
                <w:sz w:val="18"/>
                <w:szCs w:val="18"/>
              </w:rPr>
            </w:pPr>
            <w:r>
              <w:rPr>
                <w:rFonts w:ascii="Arial" w:hAnsi="Arial" w:cs="Arial"/>
                <w:color w:val="000000"/>
                <w:sz w:val="18"/>
                <w:szCs w:val="18"/>
              </w:rPr>
              <w:t>0.92</w:t>
            </w:r>
          </w:p>
          <w:p w14:paraId="449F9B30" w14:textId="0A68D8E6" w:rsidR="005F4E55" w:rsidRPr="00CA0695" w:rsidRDefault="005F4E55" w:rsidP="005F4E55">
            <w:pPr>
              <w:jc w:val="center"/>
              <w:rPr>
                <w:rFonts w:ascii="Arial" w:hAnsi="Arial" w:cs="Arial"/>
                <w:b/>
                <w:bCs/>
                <w:color w:val="000000"/>
                <w:sz w:val="18"/>
                <w:szCs w:val="18"/>
              </w:rPr>
            </w:pPr>
            <w:r>
              <w:rPr>
                <w:rFonts w:ascii="Arial" w:hAnsi="Arial" w:cs="Arial"/>
                <w:color w:val="000000"/>
                <w:sz w:val="18"/>
                <w:szCs w:val="18"/>
              </w:rPr>
              <w:t>(0.75 to 0.99</w:t>
            </w:r>
            <w:r w:rsidRPr="00CA0695">
              <w:rPr>
                <w:rFonts w:ascii="Arial" w:hAnsi="Arial" w:cs="Arial"/>
                <w:color w:val="000000"/>
                <w:sz w:val="18"/>
                <w:szCs w:val="18"/>
              </w:rPr>
              <w:t>)</w:t>
            </w:r>
          </w:p>
        </w:tc>
        <w:tc>
          <w:tcPr>
            <w:tcW w:w="556" w:type="pct"/>
            <w:vMerge w:val="restart"/>
            <w:tcBorders>
              <w:top w:val="single" w:sz="4" w:space="0" w:color="auto"/>
              <w:left w:val="single" w:sz="4" w:space="0" w:color="auto"/>
              <w:right w:val="single" w:sz="4" w:space="0" w:color="auto"/>
            </w:tcBorders>
            <w:vAlign w:val="center"/>
          </w:tcPr>
          <w:p w14:paraId="3A5BB90C" w14:textId="77777777" w:rsidR="005F4E55" w:rsidRDefault="005F4E55" w:rsidP="005F4E55">
            <w:pPr>
              <w:jc w:val="center"/>
              <w:rPr>
                <w:rFonts w:ascii="Arial" w:hAnsi="Arial" w:cs="Arial"/>
                <w:color w:val="000000"/>
                <w:sz w:val="18"/>
                <w:szCs w:val="18"/>
              </w:rPr>
            </w:pPr>
            <w:r>
              <w:rPr>
                <w:rFonts w:ascii="Arial" w:hAnsi="Arial" w:cs="Arial"/>
                <w:color w:val="000000"/>
                <w:sz w:val="18"/>
                <w:szCs w:val="18"/>
              </w:rPr>
              <w:t>0.56</w:t>
            </w:r>
          </w:p>
          <w:p w14:paraId="3A1151BC" w14:textId="6BD6E709" w:rsidR="005F4E55" w:rsidRPr="00CA0695" w:rsidRDefault="005F4E55" w:rsidP="005F4E55">
            <w:pPr>
              <w:rPr>
                <w:rFonts w:ascii="Arial" w:hAnsi="Arial" w:cs="Arial"/>
                <w:b/>
                <w:bCs/>
                <w:color w:val="000000"/>
                <w:sz w:val="18"/>
                <w:szCs w:val="18"/>
              </w:rPr>
            </w:pPr>
            <w:r>
              <w:rPr>
                <w:rFonts w:ascii="Arial" w:hAnsi="Arial" w:cs="Arial"/>
                <w:color w:val="000000"/>
                <w:sz w:val="18"/>
                <w:szCs w:val="18"/>
              </w:rPr>
              <w:t>(0.53 to 0.59</w:t>
            </w:r>
            <w:r w:rsidRPr="00CA0695">
              <w:rPr>
                <w:rFonts w:ascii="Arial" w:hAnsi="Arial" w:cs="Arial"/>
                <w:color w:val="000000"/>
                <w:sz w:val="18"/>
                <w:szCs w:val="18"/>
              </w:rPr>
              <w:t>)</w:t>
            </w:r>
          </w:p>
        </w:tc>
        <w:tc>
          <w:tcPr>
            <w:tcW w:w="770" w:type="pct"/>
            <w:vMerge w:val="restart"/>
            <w:tcBorders>
              <w:top w:val="single" w:sz="4" w:space="0" w:color="auto"/>
              <w:left w:val="single" w:sz="4" w:space="0" w:color="auto"/>
              <w:right w:val="single" w:sz="4" w:space="0" w:color="auto"/>
            </w:tcBorders>
            <w:vAlign w:val="center"/>
          </w:tcPr>
          <w:p w14:paraId="3ADDA9A4" w14:textId="77777777" w:rsidR="005F4E55" w:rsidRDefault="005F4E55" w:rsidP="005F4E55">
            <w:pPr>
              <w:jc w:val="center"/>
              <w:rPr>
                <w:rFonts w:ascii="Arial" w:hAnsi="Arial" w:cs="Arial"/>
                <w:color w:val="000000"/>
                <w:sz w:val="18"/>
                <w:szCs w:val="18"/>
              </w:rPr>
            </w:pPr>
            <w:r>
              <w:rPr>
                <w:rFonts w:ascii="Arial" w:hAnsi="Arial" w:cs="Arial"/>
                <w:color w:val="000000"/>
                <w:sz w:val="18"/>
                <w:szCs w:val="18"/>
              </w:rPr>
              <w:t>0.04</w:t>
            </w:r>
          </w:p>
          <w:p w14:paraId="45797635" w14:textId="64C1DBA2" w:rsidR="005F4E55" w:rsidRPr="00CA0695" w:rsidRDefault="005F4E55" w:rsidP="005F4E55">
            <w:pPr>
              <w:jc w:val="center"/>
              <w:rPr>
                <w:rFonts w:ascii="Arial" w:hAnsi="Arial" w:cs="Arial"/>
                <w:b/>
                <w:bCs/>
                <w:color w:val="000000"/>
                <w:sz w:val="18"/>
                <w:szCs w:val="18"/>
              </w:rPr>
            </w:pPr>
            <w:r>
              <w:rPr>
                <w:rFonts w:ascii="Arial" w:hAnsi="Arial" w:cs="Arial"/>
                <w:color w:val="000000"/>
                <w:sz w:val="18"/>
                <w:szCs w:val="18"/>
              </w:rPr>
              <w:t>(0.03 to 0.06</w:t>
            </w:r>
            <w:r w:rsidRPr="00CA0695">
              <w:rPr>
                <w:rFonts w:ascii="Arial" w:hAnsi="Arial" w:cs="Arial"/>
                <w:color w:val="000000"/>
                <w:sz w:val="18"/>
                <w:szCs w:val="18"/>
              </w:rPr>
              <w:t>)</w:t>
            </w:r>
          </w:p>
        </w:tc>
        <w:tc>
          <w:tcPr>
            <w:tcW w:w="800" w:type="pct"/>
            <w:vMerge w:val="restart"/>
            <w:tcBorders>
              <w:top w:val="single" w:sz="4" w:space="0" w:color="auto"/>
              <w:left w:val="single" w:sz="4" w:space="0" w:color="auto"/>
              <w:right w:val="single" w:sz="4" w:space="0" w:color="auto"/>
            </w:tcBorders>
            <w:vAlign w:val="center"/>
          </w:tcPr>
          <w:p w14:paraId="1B05A271" w14:textId="77777777" w:rsidR="005F4E55" w:rsidRDefault="005F4E55" w:rsidP="005F4E55">
            <w:pPr>
              <w:jc w:val="center"/>
              <w:rPr>
                <w:rFonts w:ascii="Arial" w:hAnsi="Arial" w:cs="Arial"/>
                <w:color w:val="000000"/>
                <w:sz w:val="18"/>
                <w:szCs w:val="18"/>
              </w:rPr>
            </w:pPr>
            <w:r>
              <w:rPr>
                <w:rFonts w:ascii="Arial" w:hAnsi="Arial" w:cs="Arial"/>
                <w:color w:val="000000"/>
                <w:sz w:val="18"/>
                <w:szCs w:val="18"/>
              </w:rPr>
              <w:t>1.00</w:t>
            </w:r>
          </w:p>
          <w:p w14:paraId="5FB8B215" w14:textId="423578A1" w:rsidR="005F4E55" w:rsidRPr="00CA0695" w:rsidRDefault="005F4E55" w:rsidP="005F4E55">
            <w:pPr>
              <w:jc w:val="center"/>
              <w:rPr>
                <w:rFonts w:ascii="Arial" w:hAnsi="Arial" w:cs="Arial"/>
                <w:b/>
                <w:bCs/>
                <w:color w:val="000000"/>
                <w:sz w:val="18"/>
                <w:szCs w:val="18"/>
              </w:rPr>
            </w:pPr>
            <w:r>
              <w:rPr>
                <w:rFonts w:ascii="Arial" w:hAnsi="Arial" w:cs="Arial"/>
                <w:color w:val="000000"/>
                <w:sz w:val="18"/>
                <w:szCs w:val="18"/>
              </w:rPr>
              <w:t>(0.99 to 1.00</w:t>
            </w:r>
            <w:r w:rsidRPr="00CA0695">
              <w:rPr>
                <w:rFonts w:ascii="Arial" w:hAnsi="Arial" w:cs="Arial"/>
                <w:color w:val="000000"/>
                <w:sz w:val="18"/>
                <w:szCs w:val="18"/>
              </w:rPr>
              <w:t>)</w:t>
            </w:r>
          </w:p>
        </w:tc>
      </w:tr>
      <w:tr w:rsidR="005F4E55" w:rsidRPr="00CA0695" w14:paraId="31E69B9C" w14:textId="77777777" w:rsidTr="001B73EF">
        <w:trPr>
          <w:trHeight w:val="215"/>
          <w:jc w:val="center"/>
        </w:trPr>
        <w:tc>
          <w:tcPr>
            <w:tcW w:w="518" w:type="pct"/>
            <w:vMerge/>
            <w:tcBorders>
              <w:left w:val="single" w:sz="4" w:space="0" w:color="auto"/>
              <w:bottom w:val="single" w:sz="4" w:space="0" w:color="auto"/>
              <w:right w:val="single" w:sz="4" w:space="0" w:color="auto"/>
            </w:tcBorders>
            <w:shd w:val="clear" w:color="auto" w:fill="D0CECE" w:themeFill="background2" w:themeFillShade="E6"/>
            <w:vAlign w:val="center"/>
          </w:tcPr>
          <w:p w14:paraId="05B3F721" w14:textId="77777777" w:rsidR="005F4E55" w:rsidRPr="00CA0695" w:rsidRDefault="005F4E55" w:rsidP="005F4E55">
            <w:pPr>
              <w:jc w:val="center"/>
              <w:rPr>
                <w:rFonts w:ascii="Arial" w:hAnsi="Arial" w:cs="Arial"/>
                <w:b/>
                <w:bCs/>
                <w:color w:val="000000"/>
                <w:sz w:val="18"/>
                <w:szCs w:val="18"/>
              </w:rPr>
            </w:pPr>
          </w:p>
        </w:tc>
        <w:tc>
          <w:tcPr>
            <w:tcW w:w="620" w:type="pct"/>
            <w:tcBorders>
              <w:top w:val="single" w:sz="4" w:space="0" w:color="auto"/>
              <w:left w:val="nil"/>
              <w:bottom w:val="single" w:sz="4" w:space="0" w:color="auto"/>
              <w:right w:val="single" w:sz="4" w:space="0" w:color="auto"/>
            </w:tcBorders>
            <w:shd w:val="clear" w:color="auto" w:fill="E7E6E6" w:themeFill="background2"/>
            <w:vAlign w:val="bottom"/>
          </w:tcPr>
          <w:p w14:paraId="3070FE1C" w14:textId="4E922ABE" w:rsidR="005F4E55" w:rsidRPr="00247764" w:rsidRDefault="005F4E55" w:rsidP="005F4E55">
            <w:pPr>
              <w:jc w:val="center"/>
              <w:rPr>
                <w:rFonts w:ascii="Arial" w:hAnsi="Arial" w:cs="Arial"/>
                <w:b/>
                <w:bCs/>
                <w:i/>
                <w:color w:val="000000"/>
                <w:sz w:val="18"/>
                <w:szCs w:val="18"/>
              </w:rPr>
            </w:pPr>
            <w:r w:rsidRPr="00CA0695">
              <w:rPr>
                <w:rFonts w:ascii="Arial" w:hAnsi="Arial" w:cs="Arial"/>
                <w:color w:val="000000"/>
                <w:sz w:val="18"/>
                <w:szCs w:val="18"/>
              </w:rPr>
              <w:t>Do Not Treat</w:t>
            </w:r>
          </w:p>
        </w:tc>
        <w:tc>
          <w:tcPr>
            <w:tcW w:w="454" w:type="pct"/>
            <w:tcBorders>
              <w:top w:val="nil"/>
              <w:left w:val="nil"/>
              <w:bottom w:val="single" w:sz="4" w:space="0" w:color="auto"/>
              <w:right w:val="single" w:sz="4" w:space="0" w:color="auto"/>
            </w:tcBorders>
            <w:shd w:val="clear" w:color="auto" w:fill="E7E6E6" w:themeFill="background2"/>
            <w:noWrap/>
            <w:vAlign w:val="bottom"/>
          </w:tcPr>
          <w:p w14:paraId="79D145DF" w14:textId="7033F7F1" w:rsidR="005F4E55" w:rsidRPr="00247764" w:rsidRDefault="005F4E55" w:rsidP="005F4E55">
            <w:pPr>
              <w:jc w:val="center"/>
              <w:rPr>
                <w:rFonts w:ascii="Arial" w:hAnsi="Arial" w:cs="Arial"/>
                <w:bCs/>
                <w:sz w:val="18"/>
                <w:szCs w:val="18"/>
              </w:rPr>
            </w:pPr>
            <w:r>
              <w:rPr>
                <w:rFonts w:ascii="Arial" w:hAnsi="Arial" w:cs="Arial"/>
                <w:bCs/>
                <w:sz w:val="18"/>
                <w:szCs w:val="18"/>
              </w:rPr>
              <w:t>2</w:t>
            </w:r>
          </w:p>
        </w:tc>
        <w:tc>
          <w:tcPr>
            <w:tcW w:w="512" w:type="pct"/>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6C7263B6" w14:textId="28CDFE46" w:rsidR="005F4E55" w:rsidRPr="00247764" w:rsidRDefault="005F4E55" w:rsidP="005F4E55">
            <w:pPr>
              <w:jc w:val="center"/>
              <w:rPr>
                <w:rFonts w:ascii="Arial" w:hAnsi="Arial" w:cs="Arial"/>
                <w:bCs/>
                <w:sz w:val="18"/>
                <w:szCs w:val="18"/>
              </w:rPr>
            </w:pPr>
            <w:r>
              <w:rPr>
                <w:rFonts w:ascii="Arial" w:hAnsi="Arial" w:cs="Arial"/>
                <w:bCs/>
                <w:sz w:val="18"/>
                <w:szCs w:val="18"/>
              </w:rPr>
              <w:t>731</w:t>
            </w:r>
          </w:p>
        </w:tc>
        <w:tc>
          <w:tcPr>
            <w:tcW w:w="770" w:type="pct"/>
            <w:vMerge/>
            <w:tcBorders>
              <w:left w:val="single" w:sz="4" w:space="0" w:color="auto"/>
              <w:bottom w:val="single" w:sz="4" w:space="0" w:color="auto"/>
              <w:right w:val="single" w:sz="4" w:space="0" w:color="auto"/>
            </w:tcBorders>
            <w:vAlign w:val="center"/>
          </w:tcPr>
          <w:p w14:paraId="7B6825F0" w14:textId="77777777" w:rsidR="005F4E55" w:rsidRPr="00CA0695" w:rsidRDefault="005F4E55" w:rsidP="005F4E55">
            <w:pPr>
              <w:rPr>
                <w:rFonts w:ascii="Arial" w:hAnsi="Arial" w:cs="Arial"/>
                <w:b/>
                <w:bCs/>
                <w:color w:val="000000"/>
                <w:sz w:val="18"/>
                <w:szCs w:val="18"/>
              </w:rPr>
            </w:pPr>
          </w:p>
        </w:tc>
        <w:tc>
          <w:tcPr>
            <w:tcW w:w="556" w:type="pct"/>
            <w:vMerge/>
            <w:tcBorders>
              <w:left w:val="single" w:sz="4" w:space="0" w:color="auto"/>
              <w:bottom w:val="single" w:sz="4" w:space="0" w:color="auto"/>
              <w:right w:val="single" w:sz="4" w:space="0" w:color="auto"/>
            </w:tcBorders>
            <w:vAlign w:val="center"/>
          </w:tcPr>
          <w:p w14:paraId="65846CE2" w14:textId="77777777" w:rsidR="005F4E55" w:rsidRPr="00CA0695" w:rsidRDefault="005F4E55" w:rsidP="005F4E55">
            <w:pPr>
              <w:rPr>
                <w:rFonts w:ascii="Arial" w:hAnsi="Arial" w:cs="Arial"/>
                <w:b/>
                <w:bCs/>
                <w:color w:val="000000"/>
                <w:sz w:val="18"/>
                <w:szCs w:val="18"/>
              </w:rPr>
            </w:pPr>
          </w:p>
        </w:tc>
        <w:tc>
          <w:tcPr>
            <w:tcW w:w="770" w:type="pct"/>
            <w:vMerge/>
            <w:tcBorders>
              <w:left w:val="single" w:sz="4" w:space="0" w:color="auto"/>
              <w:bottom w:val="single" w:sz="4" w:space="0" w:color="auto"/>
              <w:right w:val="single" w:sz="4" w:space="0" w:color="auto"/>
            </w:tcBorders>
            <w:vAlign w:val="center"/>
          </w:tcPr>
          <w:p w14:paraId="24520E51" w14:textId="77777777" w:rsidR="005F4E55" w:rsidRPr="00CA0695" w:rsidRDefault="005F4E55" w:rsidP="005F4E55">
            <w:pPr>
              <w:rPr>
                <w:rFonts w:ascii="Arial" w:hAnsi="Arial" w:cs="Arial"/>
                <w:b/>
                <w:bCs/>
                <w:color w:val="000000"/>
                <w:sz w:val="18"/>
                <w:szCs w:val="18"/>
              </w:rPr>
            </w:pPr>
          </w:p>
        </w:tc>
        <w:tc>
          <w:tcPr>
            <w:tcW w:w="800" w:type="pct"/>
            <w:vMerge/>
            <w:tcBorders>
              <w:left w:val="single" w:sz="4" w:space="0" w:color="auto"/>
              <w:bottom w:val="single" w:sz="4" w:space="0" w:color="auto"/>
              <w:right w:val="single" w:sz="4" w:space="0" w:color="auto"/>
            </w:tcBorders>
            <w:vAlign w:val="center"/>
          </w:tcPr>
          <w:p w14:paraId="7AFC08B2" w14:textId="77777777" w:rsidR="005F4E55" w:rsidRPr="00CA0695" w:rsidRDefault="005F4E55" w:rsidP="005F4E55">
            <w:pPr>
              <w:rPr>
                <w:rFonts w:ascii="Arial" w:hAnsi="Arial" w:cs="Arial"/>
                <w:b/>
                <w:bCs/>
                <w:color w:val="000000"/>
                <w:sz w:val="18"/>
                <w:szCs w:val="18"/>
              </w:rPr>
            </w:pPr>
          </w:p>
        </w:tc>
      </w:tr>
      <w:tr w:rsidR="005F4E55" w:rsidRPr="00CA0695" w14:paraId="3252CE29" w14:textId="77777777" w:rsidTr="001B73EF">
        <w:trPr>
          <w:trHeight w:val="215"/>
          <w:jc w:val="center"/>
        </w:trPr>
        <w:tc>
          <w:tcPr>
            <w:tcW w:w="518" w:type="pct"/>
            <w:vMerge w:val="restart"/>
            <w:tcBorders>
              <w:top w:val="nil"/>
              <w:left w:val="single" w:sz="4" w:space="0" w:color="auto"/>
              <w:bottom w:val="single" w:sz="4" w:space="0" w:color="auto"/>
              <w:right w:val="single" w:sz="4" w:space="0" w:color="auto"/>
            </w:tcBorders>
            <w:shd w:val="clear" w:color="000000" w:fill="C9C9C9"/>
            <w:noWrap/>
            <w:vAlign w:val="center"/>
            <w:hideMark/>
          </w:tcPr>
          <w:p w14:paraId="083D7B8F" w14:textId="77777777" w:rsidR="005F4E55" w:rsidRPr="00CA0695" w:rsidRDefault="005F4E55" w:rsidP="005F4E55">
            <w:pPr>
              <w:jc w:val="center"/>
              <w:rPr>
                <w:rFonts w:ascii="Arial" w:hAnsi="Arial" w:cs="Arial"/>
                <w:b/>
                <w:bCs/>
                <w:color w:val="000000"/>
                <w:sz w:val="18"/>
                <w:szCs w:val="18"/>
              </w:rPr>
            </w:pPr>
            <w:r w:rsidRPr="00CA0695">
              <w:rPr>
                <w:rFonts w:ascii="Arial" w:hAnsi="Arial" w:cs="Arial"/>
                <w:b/>
                <w:bCs/>
                <w:color w:val="000000"/>
                <w:sz w:val="18"/>
                <w:szCs w:val="18"/>
              </w:rPr>
              <w:t>London</w:t>
            </w:r>
          </w:p>
        </w:tc>
        <w:tc>
          <w:tcPr>
            <w:tcW w:w="620" w:type="pct"/>
            <w:tcBorders>
              <w:top w:val="nil"/>
              <w:left w:val="nil"/>
              <w:bottom w:val="single" w:sz="4" w:space="0" w:color="auto"/>
              <w:right w:val="single" w:sz="4" w:space="0" w:color="auto"/>
            </w:tcBorders>
            <w:shd w:val="clear" w:color="auto" w:fill="auto"/>
            <w:noWrap/>
            <w:vAlign w:val="bottom"/>
            <w:hideMark/>
          </w:tcPr>
          <w:p w14:paraId="07D87971"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Treat</w:t>
            </w:r>
          </w:p>
        </w:tc>
        <w:tc>
          <w:tcPr>
            <w:tcW w:w="454" w:type="pct"/>
            <w:tcBorders>
              <w:top w:val="nil"/>
              <w:left w:val="nil"/>
              <w:bottom w:val="single" w:sz="4" w:space="0" w:color="auto"/>
              <w:right w:val="single" w:sz="4" w:space="0" w:color="auto"/>
            </w:tcBorders>
            <w:shd w:val="clear" w:color="auto" w:fill="auto"/>
            <w:noWrap/>
            <w:vAlign w:val="bottom"/>
            <w:hideMark/>
          </w:tcPr>
          <w:p w14:paraId="16B796EE"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26</w:t>
            </w:r>
          </w:p>
        </w:tc>
        <w:tc>
          <w:tcPr>
            <w:tcW w:w="512" w:type="pct"/>
            <w:tcBorders>
              <w:top w:val="nil"/>
              <w:left w:val="single" w:sz="4" w:space="0" w:color="auto"/>
              <w:bottom w:val="single" w:sz="4" w:space="0" w:color="auto"/>
              <w:right w:val="single" w:sz="4" w:space="0" w:color="auto"/>
            </w:tcBorders>
            <w:shd w:val="clear" w:color="auto" w:fill="auto"/>
            <w:noWrap/>
            <w:vAlign w:val="bottom"/>
            <w:hideMark/>
          </w:tcPr>
          <w:p w14:paraId="1C25E8C0"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828</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42E7B8D"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5407279D" w14:textId="3646D7B2"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(0.8</w:t>
            </w:r>
            <w:r>
              <w:rPr>
                <w:rFonts w:ascii="Arial" w:hAnsi="Arial" w:cs="Arial"/>
                <w:color w:val="000000"/>
                <w:sz w:val="18"/>
                <w:szCs w:val="18"/>
              </w:rPr>
              <w:t>7</w:t>
            </w:r>
            <w:r w:rsidRPr="00CA0695">
              <w:rPr>
                <w:rFonts w:ascii="Arial" w:hAnsi="Arial" w:cs="Arial"/>
                <w:color w:val="000000"/>
                <w:sz w:val="18"/>
                <w:szCs w:val="18"/>
              </w:rPr>
              <w:t xml:space="preserve"> to 1.00)</w:t>
            </w:r>
          </w:p>
        </w:tc>
        <w:tc>
          <w:tcPr>
            <w:tcW w:w="5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64FCADA"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0.3</w:t>
            </w:r>
            <w:r>
              <w:rPr>
                <w:rFonts w:ascii="Arial" w:hAnsi="Arial" w:cs="Arial"/>
                <w:color w:val="000000"/>
                <w:sz w:val="18"/>
                <w:szCs w:val="18"/>
              </w:rPr>
              <w:t>6</w:t>
            </w:r>
          </w:p>
          <w:p w14:paraId="3A2A49BC" w14:textId="5E25D965"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(0.34 to 0.39)</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3D04FD6"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0.03</w:t>
            </w:r>
          </w:p>
          <w:p w14:paraId="68C4DD18" w14:textId="4993C1F2" w:rsidR="005F4E55" w:rsidRPr="00CA0695" w:rsidRDefault="005F4E55" w:rsidP="005F4E55">
            <w:pPr>
              <w:jc w:val="center"/>
              <w:rPr>
                <w:rFonts w:ascii="Arial" w:hAnsi="Arial" w:cs="Arial"/>
                <w:color w:val="000000"/>
                <w:sz w:val="18"/>
                <w:szCs w:val="18"/>
              </w:rPr>
            </w:pPr>
            <w:r>
              <w:rPr>
                <w:rFonts w:ascii="Arial" w:hAnsi="Arial" w:cs="Arial"/>
                <w:color w:val="000000"/>
                <w:sz w:val="18"/>
                <w:szCs w:val="18"/>
              </w:rPr>
              <w:t>(0.02 to 0.04</w:t>
            </w:r>
            <w:r w:rsidRPr="00CA0695">
              <w:rPr>
                <w:rFonts w:ascii="Arial" w:hAnsi="Arial" w:cs="Arial"/>
                <w:color w:val="000000"/>
                <w:sz w:val="18"/>
                <w:szCs w:val="18"/>
              </w:rPr>
              <w:t>)</w:t>
            </w:r>
          </w:p>
        </w:tc>
        <w:tc>
          <w:tcPr>
            <w:tcW w:w="8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2CE4D42"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5FEA15CA" w14:textId="5F769C3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(0.99 to 1.00)</w:t>
            </w:r>
          </w:p>
        </w:tc>
      </w:tr>
      <w:tr w:rsidR="005F4E55" w:rsidRPr="00CA0695" w14:paraId="31972B44" w14:textId="77777777" w:rsidTr="001B73EF">
        <w:trPr>
          <w:trHeight w:val="215"/>
          <w:jc w:val="center"/>
        </w:trPr>
        <w:tc>
          <w:tcPr>
            <w:tcW w:w="518" w:type="pct"/>
            <w:vMerge/>
            <w:tcBorders>
              <w:top w:val="nil"/>
              <w:left w:val="single" w:sz="4" w:space="0" w:color="auto"/>
              <w:bottom w:val="single" w:sz="4" w:space="0" w:color="auto"/>
              <w:right w:val="single" w:sz="4" w:space="0" w:color="auto"/>
            </w:tcBorders>
            <w:vAlign w:val="center"/>
            <w:hideMark/>
          </w:tcPr>
          <w:p w14:paraId="2DBBC453" w14:textId="77777777" w:rsidR="005F4E55" w:rsidRPr="00CA0695" w:rsidRDefault="005F4E55" w:rsidP="005F4E55">
            <w:pPr>
              <w:jc w:val="center"/>
              <w:rPr>
                <w:rFonts w:ascii="Arial" w:hAnsi="Arial" w:cs="Arial"/>
                <w:b/>
                <w:bCs/>
                <w:color w:val="000000"/>
                <w:sz w:val="18"/>
                <w:szCs w:val="18"/>
              </w:rPr>
            </w:pPr>
          </w:p>
        </w:tc>
        <w:tc>
          <w:tcPr>
            <w:tcW w:w="620" w:type="pct"/>
            <w:tcBorders>
              <w:top w:val="nil"/>
              <w:left w:val="nil"/>
              <w:bottom w:val="single" w:sz="4" w:space="0" w:color="auto"/>
              <w:right w:val="single" w:sz="4" w:space="0" w:color="auto"/>
            </w:tcBorders>
            <w:shd w:val="clear" w:color="000000" w:fill="EDEDED"/>
            <w:noWrap/>
            <w:vAlign w:val="bottom"/>
            <w:hideMark/>
          </w:tcPr>
          <w:p w14:paraId="7864CA6D"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Do Not Treat</w:t>
            </w:r>
          </w:p>
        </w:tc>
        <w:tc>
          <w:tcPr>
            <w:tcW w:w="454" w:type="pct"/>
            <w:tcBorders>
              <w:top w:val="nil"/>
              <w:left w:val="nil"/>
              <w:bottom w:val="single" w:sz="4" w:space="0" w:color="auto"/>
              <w:right w:val="single" w:sz="4" w:space="0" w:color="auto"/>
            </w:tcBorders>
            <w:shd w:val="clear" w:color="000000" w:fill="EDEDED"/>
            <w:noWrap/>
            <w:vAlign w:val="bottom"/>
            <w:hideMark/>
          </w:tcPr>
          <w:p w14:paraId="4DB6A6DE"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w:t>
            </w:r>
          </w:p>
        </w:tc>
        <w:tc>
          <w:tcPr>
            <w:tcW w:w="512" w:type="pct"/>
            <w:tcBorders>
              <w:top w:val="nil"/>
              <w:left w:val="single" w:sz="4" w:space="0" w:color="auto"/>
              <w:bottom w:val="single" w:sz="4" w:space="0" w:color="auto"/>
              <w:right w:val="single" w:sz="4" w:space="0" w:color="auto"/>
            </w:tcBorders>
            <w:shd w:val="clear" w:color="auto" w:fill="E7E6E6" w:themeFill="background2"/>
            <w:noWrap/>
            <w:vAlign w:val="bottom"/>
            <w:hideMark/>
          </w:tcPr>
          <w:p w14:paraId="732C6272"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475</w:t>
            </w:r>
          </w:p>
        </w:tc>
        <w:tc>
          <w:tcPr>
            <w:tcW w:w="770" w:type="pct"/>
            <w:vMerge/>
            <w:tcBorders>
              <w:top w:val="nil"/>
              <w:left w:val="single" w:sz="4" w:space="0" w:color="auto"/>
              <w:bottom w:val="single" w:sz="4" w:space="0" w:color="auto"/>
              <w:right w:val="single" w:sz="4" w:space="0" w:color="auto"/>
            </w:tcBorders>
            <w:vAlign w:val="center"/>
            <w:hideMark/>
          </w:tcPr>
          <w:p w14:paraId="08C99A6A" w14:textId="77777777" w:rsidR="005F4E55" w:rsidRPr="00CA0695" w:rsidRDefault="005F4E55" w:rsidP="005F4E55">
            <w:pPr>
              <w:rPr>
                <w:rFonts w:ascii="Arial" w:hAnsi="Arial" w:cs="Arial"/>
                <w:color w:val="000000"/>
                <w:sz w:val="18"/>
                <w:szCs w:val="18"/>
              </w:rPr>
            </w:pPr>
          </w:p>
        </w:tc>
        <w:tc>
          <w:tcPr>
            <w:tcW w:w="556" w:type="pct"/>
            <w:vMerge/>
            <w:tcBorders>
              <w:top w:val="nil"/>
              <w:left w:val="single" w:sz="4" w:space="0" w:color="auto"/>
              <w:bottom w:val="single" w:sz="4" w:space="0" w:color="auto"/>
              <w:right w:val="single" w:sz="4" w:space="0" w:color="auto"/>
            </w:tcBorders>
            <w:vAlign w:val="center"/>
            <w:hideMark/>
          </w:tcPr>
          <w:p w14:paraId="393596AC" w14:textId="77777777" w:rsidR="005F4E55" w:rsidRPr="00CA0695" w:rsidRDefault="005F4E55" w:rsidP="005F4E55">
            <w:pPr>
              <w:rPr>
                <w:rFonts w:ascii="Arial" w:hAnsi="Arial" w:cs="Arial"/>
                <w:color w:val="000000"/>
                <w:sz w:val="18"/>
                <w:szCs w:val="18"/>
              </w:rPr>
            </w:pPr>
          </w:p>
        </w:tc>
        <w:tc>
          <w:tcPr>
            <w:tcW w:w="770" w:type="pct"/>
            <w:vMerge/>
            <w:tcBorders>
              <w:top w:val="nil"/>
              <w:left w:val="single" w:sz="4" w:space="0" w:color="auto"/>
              <w:bottom w:val="single" w:sz="4" w:space="0" w:color="auto"/>
              <w:right w:val="single" w:sz="4" w:space="0" w:color="auto"/>
            </w:tcBorders>
            <w:vAlign w:val="center"/>
            <w:hideMark/>
          </w:tcPr>
          <w:p w14:paraId="57E206DF" w14:textId="77777777" w:rsidR="005F4E55" w:rsidRPr="00CA0695" w:rsidRDefault="005F4E55" w:rsidP="005F4E55">
            <w:pPr>
              <w:rPr>
                <w:rFonts w:ascii="Arial" w:hAnsi="Arial" w:cs="Arial"/>
                <w:color w:val="000000"/>
                <w:sz w:val="18"/>
                <w:szCs w:val="18"/>
              </w:rPr>
            </w:pPr>
          </w:p>
        </w:tc>
        <w:tc>
          <w:tcPr>
            <w:tcW w:w="800" w:type="pct"/>
            <w:vMerge/>
            <w:tcBorders>
              <w:top w:val="nil"/>
              <w:left w:val="single" w:sz="4" w:space="0" w:color="auto"/>
              <w:bottom w:val="single" w:sz="4" w:space="0" w:color="auto"/>
              <w:right w:val="single" w:sz="4" w:space="0" w:color="auto"/>
            </w:tcBorders>
            <w:vAlign w:val="center"/>
            <w:hideMark/>
          </w:tcPr>
          <w:p w14:paraId="152E704E" w14:textId="77777777" w:rsidR="005F4E55" w:rsidRPr="00CA0695" w:rsidRDefault="005F4E55" w:rsidP="005F4E55">
            <w:pPr>
              <w:rPr>
                <w:rFonts w:ascii="Arial" w:hAnsi="Arial" w:cs="Arial"/>
                <w:color w:val="000000"/>
                <w:sz w:val="18"/>
                <w:szCs w:val="18"/>
              </w:rPr>
            </w:pPr>
          </w:p>
        </w:tc>
      </w:tr>
      <w:tr w:rsidR="005F4E55" w:rsidRPr="00CA0695" w14:paraId="16CECD5A" w14:textId="77777777" w:rsidTr="001B73EF">
        <w:trPr>
          <w:trHeight w:val="215"/>
          <w:jc w:val="center"/>
        </w:trPr>
        <w:tc>
          <w:tcPr>
            <w:tcW w:w="518" w:type="pct"/>
            <w:vMerge w:val="restart"/>
            <w:tcBorders>
              <w:top w:val="nil"/>
              <w:left w:val="single" w:sz="4" w:space="0" w:color="auto"/>
              <w:bottom w:val="single" w:sz="4" w:space="0" w:color="auto"/>
              <w:right w:val="single" w:sz="4" w:space="0" w:color="auto"/>
            </w:tcBorders>
            <w:shd w:val="clear" w:color="000000" w:fill="C9C9C9"/>
            <w:noWrap/>
            <w:vAlign w:val="center"/>
            <w:hideMark/>
          </w:tcPr>
          <w:p w14:paraId="0F639BC2" w14:textId="77777777" w:rsidR="005F4E55" w:rsidRPr="00CA0695" w:rsidRDefault="005F4E55" w:rsidP="005F4E55">
            <w:pPr>
              <w:jc w:val="center"/>
              <w:rPr>
                <w:rFonts w:ascii="Arial" w:hAnsi="Arial" w:cs="Arial"/>
                <w:b/>
                <w:bCs/>
                <w:color w:val="000000"/>
                <w:sz w:val="18"/>
                <w:szCs w:val="18"/>
              </w:rPr>
            </w:pPr>
            <w:r w:rsidRPr="00CA0695">
              <w:rPr>
                <w:rFonts w:ascii="Arial" w:hAnsi="Arial" w:cs="Arial"/>
                <w:b/>
                <w:bCs/>
                <w:color w:val="000000"/>
                <w:sz w:val="18"/>
                <w:szCs w:val="18"/>
              </w:rPr>
              <w:t>Nottingham</w:t>
            </w:r>
          </w:p>
        </w:tc>
        <w:tc>
          <w:tcPr>
            <w:tcW w:w="620" w:type="pct"/>
            <w:tcBorders>
              <w:top w:val="nil"/>
              <w:left w:val="nil"/>
              <w:bottom w:val="single" w:sz="4" w:space="0" w:color="auto"/>
              <w:right w:val="single" w:sz="4" w:space="0" w:color="auto"/>
            </w:tcBorders>
            <w:shd w:val="clear" w:color="auto" w:fill="auto"/>
            <w:noWrap/>
            <w:vAlign w:val="bottom"/>
            <w:hideMark/>
          </w:tcPr>
          <w:p w14:paraId="624B7E14"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Treat</w:t>
            </w:r>
          </w:p>
        </w:tc>
        <w:tc>
          <w:tcPr>
            <w:tcW w:w="454" w:type="pct"/>
            <w:tcBorders>
              <w:top w:val="nil"/>
              <w:left w:val="nil"/>
              <w:bottom w:val="single" w:sz="4" w:space="0" w:color="auto"/>
              <w:right w:val="single" w:sz="4" w:space="0" w:color="auto"/>
            </w:tcBorders>
            <w:shd w:val="clear" w:color="auto" w:fill="auto"/>
            <w:noWrap/>
            <w:vAlign w:val="bottom"/>
            <w:hideMark/>
          </w:tcPr>
          <w:p w14:paraId="0530BA3C"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26</w:t>
            </w:r>
          </w:p>
        </w:tc>
        <w:tc>
          <w:tcPr>
            <w:tcW w:w="512" w:type="pct"/>
            <w:tcBorders>
              <w:top w:val="nil"/>
              <w:left w:val="single" w:sz="4" w:space="0" w:color="auto"/>
              <w:bottom w:val="single" w:sz="4" w:space="0" w:color="auto"/>
              <w:right w:val="single" w:sz="4" w:space="0" w:color="auto"/>
            </w:tcBorders>
            <w:shd w:val="clear" w:color="auto" w:fill="auto"/>
            <w:noWrap/>
            <w:vAlign w:val="bottom"/>
            <w:hideMark/>
          </w:tcPr>
          <w:p w14:paraId="396531AA"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852</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E4C8CC8"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7D97D887" w14:textId="59C1DDB3"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(0.8</w:t>
            </w:r>
            <w:r>
              <w:rPr>
                <w:rFonts w:ascii="Arial" w:hAnsi="Arial" w:cs="Arial"/>
                <w:color w:val="000000"/>
                <w:sz w:val="18"/>
                <w:szCs w:val="18"/>
              </w:rPr>
              <w:t>7</w:t>
            </w:r>
            <w:r w:rsidRPr="00CA0695">
              <w:rPr>
                <w:rFonts w:ascii="Arial" w:hAnsi="Arial" w:cs="Arial"/>
                <w:color w:val="000000"/>
                <w:sz w:val="18"/>
                <w:szCs w:val="18"/>
              </w:rPr>
              <w:t xml:space="preserve"> to 1.00)</w:t>
            </w:r>
          </w:p>
        </w:tc>
        <w:tc>
          <w:tcPr>
            <w:tcW w:w="5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9C6C893"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0.35</w:t>
            </w:r>
          </w:p>
          <w:p w14:paraId="403170F3" w14:textId="3A09A5B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(0.32 to 0.37)</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6B4302"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0.03</w:t>
            </w:r>
          </w:p>
          <w:p w14:paraId="41902015" w14:textId="56F666DC"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(0.02 to 0.04)</w:t>
            </w:r>
          </w:p>
        </w:tc>
        <w:tc>
          <w:tcPr>
            <w:tcW w:w="8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6E8DBDA"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0EF98E25" w14:textId="7E4709FE"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(0.99 to 1.00)</w:t>
            </w:r>
          </w:p>
        </w:tc>
      </w:tr>
      <w:tr w:rsidR="005F4E55" w:rsidRPr="00CA0695" w14:paraId="037A69FA" w14:textId="77777777" w:rsidTr="001B73EF">
        <w:trPr>
          <w:trHeight w:val="215"/>
          <w:jc w:val="center"/>
        </w:trPr>
        <w:tc>
          <w:tcPr>
            <w:tcW w:w="518" w:type="pct"/>
            <w:vMerge/>
            <w:tcBorders>
              <w:top w:val="nil"/>
              <w:left w:val="single" w:sz="4" w:space="0" w:color="auto"/>
              <w:bottom w:val="single" w:sz="4" w:space="0" w:color="auto"/>
              <w:right w:val="single" w:sz="4" w:space="0" w:color="auto"/>
            </w:tcBorders>
            <w:vAlign w:val="center"/>
            <w:hideMark/>
          </w:tcPr>
          <w:p w14:paraId="16A8BA1C" w14:textId="77777777" w:rsidR="005F4E55" w:rsidRPr="00CA0695" w:rsidRDefault="005F4E55" w:rsidP="005F4E55">
            <w:pPr>
              <w:jc w:val="center"/>
              <w:rPr>
                <w:rFonts w:ascii="Arial" w:hAnsi="Arial" w:cs="Arial"/>
                <w:b/>
                <w:bCs/>
                <w:color w:val="000000"/>
                <w:sz w:val="18"/>
                <w:szCs w:val="18"/>
              </w:rPr>
            </w:pPr>
          </w:p>
        </w:tc>
        <w:tc>
          <w:tcPr>
            <w:tcW w:w="620" w:type="pct"/>
            <w:tcBorders>
              <w:top w:val="nil"/>
              <w:left w:val="nil"/>
              <w:bottom w:val="single" w:sz="4" w:space="0" w:color="auto"/>
              <w:right w:val="single" w:sz="4" w:space="0" w:color="auto"/>
            </w:tcBorders>
            <w:shd w:val="clear" w:color="000000" w:fill="EDEDED"/>
            <w:noWrap/>
            <w:vAlign w:val="bottom"/>
            <w:hideMark/>
          </w:tcPr>
          <w:p w14:paraId="132457B7"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Do Not Treat</w:t>
            </w:r>
          </w:p>
        </w:tc>
        <w:tc>
          <w:tcPr>
            <w:tcW w:w="454" w:type="pct"/>
            <w:tcBorders>
              <w:top w:val="nil"/>
              <w:left w:val="nil"/>
              <w:bottom w:val="single" w:sz="4" w:space="0" w:color="auto"/>
              <w:right w:val="single" w:sz="4" w:space="0" w:color="auto"/>
            </w:tcBorders>
            <w:shd w:val="clear" w:color="000000" w:fill="EDEDED"/>
            <w:noWrap/>
            <w:vAlign w:val="bottom"/>
            <w:hideMark/>
          </w:tcPr>
          <w:p w14:paraId="7445B748"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w:t>
            </w:r>
          </w:p>
        </w:tc>
        <w:tc>
          <w:tcPr>
            <w:tcW w:w="512" w:type="pct"/>
            <w:tcBorders>
              <w:top w:val="nil"/>
              <w:left w:val="single" w:sz="4" w:space="0" w:color="auto"/>
              <w:bottom w:val="single" w:sz="4" w:space="0" w:color="auto"/>
              <w:right w:val="single" w:sz="4" w:space="0" w:color="auto"/>
            </w:tcBorders>
            <w:shd w:val="clear" w:color="auto" w:fill="E7E6E6" w:themeFill="background2"/>
            <w:noWrap/>
            <w:vAlign w:val="bottom"/>
            <w:hideMark/>
          </w:tcPr>
          <w:p w14:paraId="31954104"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451</w:t>
            </w:r>
          </w:p>
        </w:tc>
        <w:tc>
          <w:tcPr>
            <w:tcW w:w="770" w:type="pct"/>
            <w:vMerge/>
            <w:tcBorders>
              <w:top w:val="nil"/>
              <w:left w:val="single" w:sz="4" w:space="0" w:color="auto"/>
              <w:bottom w:val="single" w:sz="4" w:space="0" w:color="auto"/>
              <w:right w:val="single" w:sz="4" w:space="0" w:color="auto"/>
            </w:tcBorders>
            <w:vAlign w:val="center"/>
            <w:hideMark/>
          </w:tcPr>
          <w:p w14:paraId="45EBF3AB" w14:textId="77777777" w:rsidR="005F4E55" w:rsidRPr="00CA0695" w:rsidRDefault="005F4E55" w:rsidP="005F4E55">
            <w:pPr>
              <w:rPr>
                <w:rFonts w:ascii="Arial" w:hAnsi="Arial" w:cs="Arial"/>
                <w:color w:val="000000"/>
                <w:sz w:val="18"/>
                <w:szCs w:val="18"/>
              </w:rPr>
            </w:pPr>
          </w:p>
        </w:tc>
        <w:tc>
          <w:tcPr>
            <w:tcW w:w="556" w:type="pct"/>
            <w:vMerge/>
            <w:tcBorders>
              <w:top w:val="nil"/>
              <w:left w:val="single" w:sz="4" w:space="0" w:color="auto"/>
              <w:bottom w:val="single" w:sz="4" w:space="0" w:color="auto"/>
              <w:right w:val="single" w:sz="4" w:space="0" w:color="auto"/>
            </w:tcBorders>
            <w:vAlign w:val="center"/>
            <w:hideMark/>
          </w:tcPr>
          <w:p w14:paraId="07EFD053" w14:textId="77777777" w:rsidR="005F4E55" w:rsidRPr="00CA0695" w:rsidRDefault="005F4E55" w:rsidP="005F4E55">
            <w:pPr>
              <w:rPr>
                <w:rFonts w:ascii="Arial" w:hAnsi="Arial" w:cs="Arial"/>
                <w:color w:val="000000"/>
                <w:sz w:val="18"/>
                <w:szCs w:val="18"/>
              </w:rPr>
            </w:pPr>
          </w:p>
        </w:tc>
        <w:tc>
          <w:tcPr>
            <w:tcW w:w="770" w:type="pct"/>
            <w:vMerge/>
            <w:tcBorders>
              <w:top w:val="nil"/>
              <w:left w:val="single" w:sz="4" w:space="0" w:color="auto"/>
              <w:bottom w:val="single" w:sz="4" w:space="0" w:color="auto"/>
              <w:right w:val="single" w:sz="4" w:space="0" w:color="auto"/>
            </w:tcBorders>
            <w:vAlign w:val="center"/>
            <w:hideMark/>
          </w:tcPr>
          <w:p w14:paraId="1617B488" w14:textId="77777777" w:rsidR="005F4E55" w:rsidRPr="00CA0695" w:rsidRDefault="005F4E55" w:rsidP="005F4E55">
            <w:pPr>
              <w:rPr>
                <w:rFonts w:ascii="Arial" w:hAnsi="Arial" w:cs="Arial"/>
                <w:color w:val="000000"/>
                <w:sz w:val="18"/>
                <w:szCs w:val="18"/>
              </w:rPr>
            </w:pPr>
          </w:p>
        </w:tc>
        <w:tc>
          <w:tcPr>
            <w:tcW w:w="800" w:type="pct"/>
            <w:vMerge/>
            <w:tcBorders>
              <w:top w:val="nil"/>
              <w:left w:val="single" w:sz="4" w:space="0" w:color="auto"/>
              <w:bottom w:val="single" w:sz="4" w:space="0" w:color="auto"/>
              <w:right w:val="single" w:sz="4" w:space="0" w:color="auto"/>
            </w:tcBorders>
            <w:vAlign w:val="center"/>
            <w:hideMark/>
          </w:tcPr>
          <w:p w14:paraId="2675779C" w14:textId="77777777" w:rsidR="005F4E55" w:rsidRPr="00CA0695" w:rsidRDefault="005F4E55" w:rsidP="005F4E55">
            <w:pPr>
              <w:rPr>
                <w:rFonts w:ascii="Arial" w:hAnsi="Arial" w:cs="Arial"/>
                <w:color w:val="000000"/>
                <w:sz w:val="18"/>
                <w:szCs w:val="18"/>
              </w:rPr>
            </w:pPr>
          </w:p>
        </w:tc>
      </w:tr>
      <w:tr w:rsidR="005F4E55" w:rsidRPr="00CA0695" w14:paraId="46EE11A2" w14:textId="77777777" w:rsidTr="001B73EF">
        <w:trPr>
          <w:trHeight w:val="215"/>
          <w:jc w:val="center"/>
        </w:trPr>
        <w:tc>
          <w:tcPr>
            <w:tcW w:w="518" w:type="pct"/>
            <w:vMerge w:val="restart"/>
            <w:tcBorders>
              <w:top w:val="nil"/>
              <w:left w:val="single" w:sz="4" w:space="0" w:color="auto"/>
              <w:bottom w:val="single" w:sz="4" w:space="0" w:color="auto"/>
              <w:right w:val="single" w:sz="4" w:space="0" w:color="auto"/>
            </w:tcBorders>
            <w:shd w:val="clear" w:color="000000" w:fill="C9C9C9"/>
            <w:noWrap/>
            <w:vAlign w:val="center"/>
            <w:hideMark/>
          </w:tcPr>
          <w:p w14:paraId="0A40482E" w14:textId="77777777" w:rsidR="005F4E55" w:rsidRPr="00CA0695" w:rsidRDefault="005F4E55" w:rsidP="005F4E55">
            <w:pPr>
              <w:jc w:val="center"/>
              <w:rPr>
                <w:rFonts w:ascii="Arial" w:hAnsi="Arial" w:cs="Arial"/>
                <w:b/>
                <w:bCs/>
                <w:color w:val="000000"/>
                <w:sz w:val="18"/>
                <w:szCs w:val="18"/>
              </w:rPr>
            </w:pPr>
            <w:r w:rsidRPr="00CA0695">
              <w:rPr>
                <w:rFonts w:ascii="Arial" w:hAnsi="Arial" w:cs="Arial"/>
                <w:b/>
                <w:bCs/>
                <w:color w:val="000000"/>
                <w:sz w:val="18"/>
                <w:szCs w:val="18"/>
              </w:rPr>
              <w:t>NBL</w:t>
            </w:r>
          </w:p>
        </w:tc>
        <w:tc>
          <w:tcPr>
            <w:tcW w:w="620" w:type="pct"/>
            <w:tcBorders>
              <w:top w:val="single" w:sz="4" w:space="0" w:color="auto"/>
              <w:left w:val="nil"/>
              <w:bottom w:val="single" w:sz="4" w:space="0" w:color="auto"/>
              <w:right w:val="single" w:sz="4" w:space="0" w:color="auto"/>
            </w:tcBorders>
            <w:shd w:val="clear" w:color="auto" w:fill="auto"/>
            <w:noWrap/>
            <w:vAlign w:val="bottom"/>
            <w:hideMark/>
          </w:tcPr>
          <w:p w14:paraId="79B464D2"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Treat</w:t>
            </w:r>
          </w:p>
        </w:tc>
        <w:tc>
          <w:tcPr>
            <w:tcW w:w="454" w:type="pct"/>
            <w:tcBorders>
              <w:top w:val="nil"/>
              <w:left w:val="nil"/>
              <w:bottom w:val="single" w:sz="4" w:space="0" w:color="auto"/>
              <w:right w:val="single" w:sz="4" w:space="0" w:color="auto"/>
            </w:tcBorders>
            <w:shd w:val="clear" w:color="auto" w:fill="auto"/>
            <w:noWrap/>
            <w:vAlign w:val="bottom"/>
            <w:hideMark/>
          </w:tcPr>
          <w:p w14:paraId="188CB3B1"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26</w:t>
            </w:r>
          </w:p>
        </w:tc>
        <w:tc>
          <w:tcPr>
            <w:tcW w:w="512" w:type="pct"/>
            <w:tcBorders>
              <w:top w:val="nil"/>
              <w:left w:val="single" w:sz="4" w:space="0" w:color="auto"/>
              <w:bottom w:val="single" w:sz="4" w:space="0" w:color="auto"/>
              <w:right w:val="single" w:sz="4" w:space="0" w:color="auto"/>
            </w:tcBorders>
            <w:shd w:val="clear" w:color="auto" w:fill="auto"/>
            <w:noWrap/>
            <w:vAlign w:val="bottom"/>
            <w:hideMark/>
          </w:tcPr>
          <w:p w14:paraId="68D65A40"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886</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C497F97"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00DDF6F3" w14:textId="0AB0AC9C"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(0.8</w:t>
            </w:r>
            <w:r>
              <w:rPr>
                <w:rFonts w:ascii="Arial" w:hAnsi="Arial" w:cs="Arial"/>
                <w:color w:val="000000"/>
                <w:sz w:val="18"/>
                <w:szCs w:val="18"/>
              </w:rPr>
              <w:t>7</w:t>
            </w:r>
            <w:r w:rsidRPr="00CA0695">
              <w:rPr>
                <w:rFonts w:ascii="Arial" w:hAnsi="Arial" w:cs="Arial"/>
                <w:color w:val="000000"/>
                <w:sz w:val="18"/>
                <w:szCs w:val="18"/>
              </w:rPr>
              <w:t xml:space="preserve"> to 1.00)</w:t>
            </w:r>
          </w:p>
        </w:tc>
        <w:tc>
          <w:tcPr>
            <w:tcW w:w="5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97717DF"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0.32</w:t>
            </w:r>
          </w:p>
          <w:p w14:paraId="5D4D629E" w14:textId="68DBB86D"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(0.29 to 0.35)</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F298D0C"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0.03</w:t>
            </w:r>
          </w:p>
          <w:p w14:paraId="66277FD2" w14:textId="1814D742"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(0.02 to 0.04)</w:t>
            </w:r>
          </w:p>
        </w:tc>
        <w:tc>
          <w:tcPr>
            <w:tcW w:w="8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E59A83"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2E427778" w14:textId="1A653A2E"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(0.99 to 1.00)</w:t>
            </w:r>
          </w:p>
        </w:tc>
      </w:tr>
      <w:tr w:rsidR="005F4E55" w:rsidRPr="00CA0695" w14:paraId="7BFEF575" w14:textId="77777777" w:rsidTr="001B73EF">
        <w:trPr>
          <w:trHeight w:val="215"/>
          <w:jc w:val="center"/>
        </w:trPr>
        <w:tc>
          <w:tcPr>
            <w:tcW w:w="518" w:type="pct"/>
            <w:vMerge/>
            <w:tcBorders>
              <w:top w:val="nil"/>
              <w:left w:val="single" w:sz="4" w:space="0" w:color="auto"/>
              <w:bottom w:val="single" w:sz="4" w:space="0" w:color="auto"/>
              <w:right w:val="single" w:sz="4" w:space="0" w:color="auto"/>
            </w:tcBorders>
            <w:vAlign w:val="center"/>
            <w:hideMark/>
          </w:tcPr>
          <w:p w14:paraId="362741EE" w14:textId="77777777" w:rsidR="005F4E55" w:rsidRPr="00CA0695" w:rsidRDefault="005F4E55" w:rsidP="005F4E55">
            <w:pPr>
              <w:jc w:val="center"/>
              <w:rPr>
                <w:rFonts w:ascii="Arial" w:hAnsi="Arial" w:cs="Arial"/>
                <w:b/>
                <w:bCs/>
                <w:color w:val="000000"/>
                <w:sz w:val="18"/>
                <w:szCs w:val="18"/>
              </w:rPr>
            </w:pPr>
          </w:p>
        </w:tc>
        <w:tc>
          <w:tcPr>
            <w:tcW w:w="620" w:type="pct"/>
            <w:tcBorders>
              <w:top w:val="nil"/>
              <w:left w:val="nil"/>
              <w:bottom w:val="single" w:sz="4" w:space="0" w:color="auto"/>
              <w:right w:val="single" w:sz="4" w:space="0" w:color="auto"/>
            </w:tcBorders>
            <w:shd w:val="clear" w:color="000000" w:fill="EDEDED"/>
            <w:noWrap/>
            <w:vAlign w:val="bottom"/>
            <w:hideMark/>
          </w:tcPr>
          <w:p w14:paraId="29EC4904"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Do Not Treat</w:t>
            </w:r>
          </w:p>
        </w:tc>
        <w:tc>
          <w:tcPr>
            <w:tcW w:w="454" w:type="pct"/>
            <w:tcBorders>
              <w:top w:val="nil"/>
              <w:left w:val="nil"/>
              <w:bottom w:val="single" w:sz="4" w:space="0" w:color="auto"/>
              <w:right w:val="single" w:sz="4" w:space="0" w:color="auto"/>
            </w:tcBorders>
            <w:shd w:val="clear" w:color="000000" w:fill="EDEDED"/>
            <w:noWrap/>
            <w:vAlign w:val="bottom"/>
            <w:hideMark/>
          </w:tcPr>
          <w:p w14:paraId="68B9D838"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w:t>
            </w:r>
          </w:p>
        </w:tc>
        <w:tc>
          <w:tcPr>
            <w:tcW w:w="512" w:type="pct"/>
            <w:tcBorders>
              <w:top w:val="nil"/>
              <w:left w:val="single" w:sz="4" w:space="0" w:color="auto"/>
              <w:bottom w:val="single" w:sz="4" w:space="0" w:color="auto"/>
              <w:right w:val="single" w:sz="4" w:space="0" w:color="auto"/>
            </w:tcBorders>
            <w:shd w:val="clear" w:color="auto" w:fill="E7E6E6" w:themeFill="background2"/>
            <w:noWrap/>
            <w:vAlign w:val="bottom"/>
            <w:hideMark/>
          </w:tcPr>
          <w:p w14:paraId="3CA8DE45"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417</w:t>
            </w:r>
          </w:p>
        </w:tc>
        <w:tc>
          <w:tcPr>
            <w:tcW w:w="770" w:type="pct"/>
            <w:vMerge/>
            <w:tcBorders>
              <w:top w:val="nil"/>
              <w:left w:val="single" w:sz="4" w:space="0" w:color="auto"/>
              <w:bottom w:val="single" w:sz="4" w:space="0" w:color="auto"/>
              <w:right w:val="single" w:sz="4" w:space="0" w:color="auto"/>
            </w:tcBorders>
            <w:vAlign w:val="center"/>
            <w:hideMark/>
          </w:tcPr>
          <w:p w14:paraId="3563D58F" w14:textId="77777777" w:rsidR="005F4E55" w:rsidRPr="00CA0695" w:rsidRDefault="005F4E55" w:rsidP="005F4E55">
            <w:pPr>
              <w:rPr>
                <w:rFonts w:ascii="Arial" w:hAnsi="Arial" w:cs="Arial"/>
                <w:color w:val="000000"/>
                <w:sz w:val="18"/>
                <w:szCs w:val="18"/>
              </w:rPr>
            </w:pPr>
          </w:p>
        </w:tc>
        <w:tc>
          <w:tcPr>
            <w:tcW w:w="556" w:type="pct"/>
            <w:vMerge/>
            <w:tcBorders>
              <w:top w:val="nil"/>
              <w:left w:val="single" w:sz="4" w:space="0" w:color="auto"/>
              <w:bottom w:val="single" w:sz="4" w:space="0" w:color="auto"/>
              <w:right w:val="single" w:sz="4" w:space="0" w:color="auto"/>
            </w:tcBorders>
            <w:vAlign w:val="center"/>
            <w:hideMark/>
          </w:tcPr>
          <w:p w14:paraId="52049648" w14:textId="77777777" w:rsidR="005F4E55" w:rsidRPr="00CA0695" w:rsidRDefault="005F4E55" w:rsidP="005F4E55">
            <w:pPr>
              <w:rPr>
                <w:rFonts w:ascii="Arial" w:hAnsi="Arial" w:cs="Arial"/>
                <w:color w:val="000000"/>
                <w:sz w:val="18"/>
                <w:szCs w:val="18"/>
              </w:rPr>
            </w:pPr>
          </w:p>
        </w:tc>
        <w:tc>
          <w:tcPr>
            <w:tcW w:w="770" w:type="pct"/>
            <w:vMerge/>
            <w:tcBorders>
              <w:top w:val="nil"/>
              <w:left w:val="single" w:sz="4" w:space="0" w:color="auto"/>
              <w:bottom w:val="single" w:sz="4" w:space="0" w:color="auto"/>
              <w:right w:val="single" w:sz="4" w:space="0" w:color="auto"/>
            </w:tcBorders>
            <w:vAlign w:val="center"/>
            <w:hideMark/>
          </w:tcPr>
          <w:p w14:paraId="15061F00" w14:textId="77777777" w:rsidR="005F4E55" w:rsidRPr="00CA0695" w:rsidRDefault="005F4E55" w:rsidP="005F4E55">
            <w:pPr>
              <w:rPr>
                <w:rFonts w:ascii="Arial" w:hAnsi="Arial" w:cs="Arial"/>
                <w:color w:val="000000"/>
                <w:sz w:val="18"/>
                <w:szCs w:val="18"/>
              </w:rPr>
            </w:pPr>
          </w:p>
        </w:tc>
        <w:tc>
          <w:tcPr>
            <w:tcW w:w="800" w:type="pct"/>
            <w:vMerge/>
            <w:tcBorders>
              <w:top w:val="nil"/>
              <w:left w:val="single" w:sz="4" w:space="0" w:color="auto"/>
              <w:bottom w:val="single" w:sz="4" w:space="0" w:color="auto"/>
              <w:right w:val="single" w:sz="4" w:space="0" w:color="auto"/>
            </w:tcBorders>
            <w:vAlign w:val="center"/>
            <w:hideMark/>
          </w:tcPr>
          <w:p w14:paraId="26E00A7C" w14:textId="77777777" w:rsidR="005F4E55" w:rsidRPr="00CA0695" w:rsidRDefault="005F4E55" w:rsidP="005F4E55">
            <w:pPr>
              <w:rPr>
                <w:rFonts w:ascii="Arial" w:hAnsi="Arial" w:cs="Arial"/>
                <w:color w:val="000000"/>
                <w:sz w:val="18"/>
                <w:szCs w:val="18"/>
              </w:rPr>
            </w:pPr>
          </w:p>
        </w:tc>
      </w:tr>
      <w:tr w:rsidR="005F4E55" w:rsidRPr="00CA0695" w14:paraId="2B5535D8" w14:textId="77777777" w:rsidTr="001B73EF">
        <w:trPr>
          <w:trHeight w:val="215"/>
          <w:jc w:val="center"/>
        </w:trPr>
        <w:tc>
          <w:tcPr>
            <w:tcW w:w="518" w:type="pct"/>
            <w:vMerge w:val="restart"/>
            <w:tcBorders>
              <w:top w:val="nil"/>
              <w:left w:val="single" w:sz="4" w:space="0" w:color="auto"/>
              <w:bottom w:val="single" w:sz="4" w:space="0" w:color="auto"/>
              <w:right w:val="single" w:sz="4" w:space="0" w:color="auto"/>
            </w:tcBorders>
            <w:shd w:val="clear" w:color="000000" w:fill="C9C9C9"/>
            <w:noWrap/>
            <w:vAlign w:val="center"/>
            <w:hideMark/>
          </w:tcPr>
          <w:p w14:paraId="7F1B9577" w14:textId="77777777" w:rsidR="005F4E55" w:rsidRPr="00CA0695" w:rsidRDefault="005F4E55" w:rsidP="005F4E55">
            <w:pPr>
              <w:jc w:val="center"/>
              <w:rPr>
                <w:rFonts w:ascii="Arial" w:hAnsi="Arial" w:cs="Arial"/>
                <w:b/>
                <w:bCs/>
                <w:color w:val="000000"/>
                <w:sz w:val="18"/>
                <w:szCs w:val="18"/>
              </w:rPr>
            </w:pPr>
            <w:r w:rsidRPr="00CA0695">
              <w:rPr>
                <w:rFonts w:ascii="Arial" w:hAnsi="Arial" w:cs="Arial"/>
                <w:b/>
                <w:bCs/>
                <w:color w:val="000000"/>
                <w:sz w:val="18"/>
                <w:szCs w:val="18"/>
              </w:rPr>
              <w:t>Glasgow</w:t>
            </w:r>
          </w:p>
        </w:tc>
        <w:tc>
          <w:tcPr>
            <w:tcW w:w="620" w:type="pct"/>
            <w:tcBorders>
              <w:top w:val="nil"/>
              <w:left w:val="nil"/>
              <w:bottom w:val="single" w:sz="4" w:space="0" w:color="auto"/>
              <w:right w:val="single" w:sz="4" w:space="0" w:color="auto"/>
            </w:tcBorders>
            <w:shd w:val="clear" w:color="auto" w:fill="auto"/>
            <w:noWrap/>
            <w:vAlign w:val="bottom"/>
            <w:hideMark/>
          </w:tcPr>
          <w:p w14:paraId="574B63D7"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Treat</w:t>
            </w:r>
          </w:p>
        </w:tc>
        <w:tc>
          <w:tcPr>
            <w:tcW w:w="454" w:type="pct"/>
            <w:tcBorders>
              <w:top w:val="nil"/>
              <w:left w:val="nil"/>
              <w:bottom w:val="single" w:sz="4" w:space="0" w:color="auto"/>
              <w:right w:val="single" w:sz="4" w:space="0" w:color="auto"/>
            </w:tcBorders>
            <w:shd w:val="clear" w:color="auto" w:fill="auto"/>
            <w:noWrap/>
            <w:vAlign w:val="bottom"/>
            <w:hideMark/>
          </w:tcPr>
          <w:p w14:paraId="02420D4B"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26</w:t>
            </w:r>
          </w:p>
        </w:tc>
        <w:tc>
          <w:tcPr>
            <w:tcW w:w="512" w:type="pct"/>
            <w:tcBorders>
              <w:top w:val="nil"/>
              <w:left w:val="single" w:sz="4" w:space="0" w:color="auto"/>
              <w:bottom w:val="single" w:sz="4" w:space="0" w:color="auto"/>
              <w:right w:val="single" w:sz="4" w:space="0" w:color="auto"/>
            </w:tcBorders>
            <w:shd w:val="clear" w:color="auto" w:fill="auto"/>
            <w:noWrap/>
            <w:vAlign w:val="bottom"/>
            <w:hideMark/>
          </w:tcPr>
          <w:p w14:paraId="3B04B616"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890</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830C108"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6F34BB16" w14:textId="216A040F"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(0.8</w:t>
            </w:r>
            <w:r>
              <w:rPr>
                <w:rFonts w:ascii="Arial" w:hAnsi="Arial" w:cs="Arial"/>
                <w:color w:val="000000"/>
                <w:sz w:val="18"/>
                <w:szCs w:val="18"/>
              </w:rPr>
              <w:t>7</w:t>
            </w:r>
            <w:r w:rsidRPr="00CA0695">
              <w:rPr>
                <w:rFonts w:ascii="Arial" w:hAnsi="Arial" w:cs="Arial"/>
                <w:color w:val="000000"/>
                <w:sz w:val="18"/>
                <w:szCs w:val="18"/>
              </w:rPr>
              <w:t xml:space="preserve"> to 1.00)</w:t>
            </w:r>
          </w:p>
        </w:tc>
        <w:tc>
          <w:tcPr>
            <w:tcW w:w="5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72847D6"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0.32</w:t>
            </w:r>
          </w:p>
          <w:p w14:paraId="1F281A0E" w14:textId="4F58AE7D"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(0.29 to 0.34)</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DBE3CAC"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0.03</w:t>
            </w:r>
          </w:p>
          <w:p w14:paraId="198D0B15" w14:textId="462A5E9D"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(0.02 to 0.04)</w:t>
            </w:r>
          </w:p>
        </w:tc>
        <w:tc>
          <w:tcPr>
            <w:tcW w:w="8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BB42F0D"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314125D5" w14:textId="2A7DDC1E"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(0.99 to 1.00)</w:t>
            </w:r>
          </w:p>
        </w:tc>
      </w:tr>
      <w:tr w:rsidR="005F4E55" w:rsidRPr="00CA0695" w14:paraId="706DAA3A" w14:textId="77777777" w:rsidTr="001B73EF">
        <w:trPr>
          <w:trHeight w:val="215"/>
          <w:jc w:val="center"/>
        </w:trPr>
        <w:tc>
          <w:tcPr>
            <w:tcW w:w="518" w:type="pct"/>
            <w:vMerge/>
            <w:tcBorders>
              <w:top w:val="nil"/>
              <w:left w:val="single" w:sz="4" w:space="0" w:color="auto"/>
              <w:bottom w:val="single" w:sz="4" w:space="0" w:color="auto"/>
              <w:right w:val="single" w:sz="4" w:space="0" w:color="auto"/>
            </w:tcBorders>
            <w:vAlign w:val="center"/>
            <w:hideMark/>
          </w:tcPr>
          <w:p w14:paraId="7EFF74A9" w14:textId="77777777" w:rsidR="005F4E55" w:rsidRPr="00CA0695" w:rsidRDefault="005F4E55" w:rsidP="005F4E55">
            <w:pPr>
              <w:jc w:val="center"/>
              <w:rPr>
                <w:rFonts w:ascii="Arial" w:hAnsi="Arial" w:cs="Arial"/>
                <w:b/>
                <w:bCs/>
                <w:color w:val="000000"/>
                <w:sz w:val="18"/>
                <w:szCs w:val="18"/>
              </w:rPr>
            </w:pPr>
          </w:p>
        </w:tc>
        <w:tc>
          <w:tcPr>
            <w:tcW w:w="620" w:type="pct"/>
            <w:tcBorders>
              <w:top w:val="nil"/>
              <w:left w:val="nil"/>
              <w:bottom w:val="single" w:sz="4" w:space="0" w:color="auto"/>
              <w:right w:val="single" w:sz="4" w:space="0" w:color="auto"/>
            </w:tcBorders>
            <w:shd w:val="clear" w:color="000000" w:fill="EDEDED"/>
            <w:noWrap/>
            <w:vAlign w:val="bottom"/>
            <w:hideMark/>
          </w:tcPr>
          <w:p w14:paraId="00DD79AF"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Do Not Treat</w:t>
            </w:r>
          </w:p>
        </w:tc>
        <w:tc>
          <w:tcPr>
            <w:tcW w:w="454" w:type="pct"/>
            <w:tcBorders>
              <w:top w:val="nil"/>
              <w:left w:val="nil"/>
              <w:bottom w:val="single" w:sz="4" w:space="0" w:color="auto"/>
              <w:right w:val="single" w:sz="4" w:space="0" w:color="auto"/>
            </w:tcBorders>
            <w:shd w:val="clear" w:color="000000" w:fill="EDEDED"/>
            <w:noWrap/>
            <w:vAlign w:val="bottom"/>
            <w:hideMark/>
          </w:tcPr>
          <w:p w14:paraId="4B91E592"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w:t>
            </w:r>
          </w:p>
        </w:tc>
        <w:tc>
          <w:tcPr>
            <w:tcW w:w="512" w:type="pct"/>
            <w:tcBorders>
              <w:top w:val="nil"/>
              <w:left w:val="single" w:sz="4" w:space="0" w:color="auto"/>
              <w:bottom w:val="single" w:sz="4" w:space="0" w:color="auto"/>
              <w:right w:val="single" w:sz="4" w:space="0" w:color="auto"/>
            </w:tcBorders>
            <w:shd w:val="clear" w:color="auto" w:fill="E7E6E6" w:themeFill="background2"/>
            <w:noWrap/>
            <w:vAlign w:val="bottom"/>
            <w:hideMark/>
          </w:tcPr>
          <w:p w14:paraId="3720F851"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413</w:t>
            </w:r>
          </w:p>
        </w:tc>
        <w:tc>
          <w:tcPr>
            <w:tcW w:w="770" w:type="pct"/>
            <w:vMerge/>
            <w:tcBorders>
              <w:top w:val="nil"/>
              <w:left w:val="single" w:sz="4" w:space="0" w:color="auto"/>
              <w:bottom w:val="single" w:sz="4" w:space="0" w:color="auto"/>
              <w:right w:val="single" w:sz="4" w:space="0" w:color="auto"/>
            </w:tcBorders>
            <w:vAlign w:val="center"/>
            <w:hideMark/>
          </w:tcPr>
          <w:p w14:paraId="06E31E69" w14:textId="77777777" w:rsidR="005F4E55" w:rsidRPr="00CA0695" w:rsidRDefault="005F4E55" w:rsidP="005F4E55">
            <w:pPr>
              <w:rPr>
                <w:rFonts w:ascii="Arial" w:hAnsi="Arial" w:cs="Arial"/>
                <w:color w:val="000000"/>
                <w:sz w:val="18"/>
                <w:szCs w:val="18"/>
              </w:rPr>
            </w:pPr>
          </w:p>
        </w:tc>
        <w:tc>
          <w:tcPr>
            <w:tcW w:w="556" w:type="pct"/>
            <w:vMerge/>
            <w:tcBorders>
              <w:top w:val="nil"/>
              <w:left w:val="single" w:sz="4" w:space="0" w:color="auto"/>
              <w:bottom w:val="single" w:sz="4" w:space="0" w:color="auto"/>
              <w:right w:val="single" w:sz="4" w:space="0" w:color="auto"/>
            </w:tcBorders>
            <w:vAlign w:val="center"/>
            <w:hideMark/>
          </w:tcPr>
          <w:p w14:paraId="52125399" w14:textId="77777777" w:rsidR="005F4E55" w:rsidRPr="00CA0695" w:rsidRDefault="005F4E55" w:rsidP="005F4E55">
            <w:pPr>
              <w:rPr>
                <w:rFonts w:ascii="Arial" w:hAnsi="Arial" w:cs="Arial"/>
                <w:color w:val="000000"/>
                <w:sz w:val="18"/>
                <w:szCs w:val="18"/>
              </w:rPr>
            </w:pPr>
          </w:p>
        </w:tc>
        <w:tc>
          <w:tcPr>
            <w:tcW w:w="770" w:type="pct"/>
            <w:vMerge/>
            <w:tcBorders>
              <w:top w:val="nil"/>
              <w:left w:val="single" w:sz="4" w:space="0" w:color="auto"/>
              <w:bottom w:val="single" w:sz="4" w:space="0" w:color="auto"/>
              <w:right w:val="single" w:sz="4" w:space="0" w:color="auto"/>
            </w:tcBorders>
            <w:vAlign w:val="center"/>
            <w:hideMark/>
          </w:tcPr>
          <w:p w14:paraId="241DE9ED" w14:textId="77777777" w:rsidR="005F4E55" w:rsidRPr="00CA0695" w:rsidRDefault="005F4E55" w:rsidP="005F4E55">
            <w:pPr>
              <w:rPr>
                <w:rFonts w:ascii="Arial" w:hAnsi="Arial" w:cs="Arial"/>
                <w:color w:val="000000"/>
                <w:sz w:val="18"/>
                <w:szCs w:val="18"/>
              </w:rPr>
            </w:pPr>
          </w:p>
        </w:tc>
        <w:tc>
          <w:tcPr>
            <w:tcW w:w="800" w:type="pct"/>
            <w:vMerge/>
            <w:tcBorders>
              <w:top w:val="nil"/>
              <w:left w:val="single" w:sz="4" w:space="0" w:color="auto"/>
              <w:bottom w:val="single" w:sz="4" w:space="0" w:color="auto"/>
              <w:right w:val="single" w:sz="4" w:space="0" w:color="auto"/>
            </w:tcBorders>
            <w:vAlign w:val="center"/>
            <w:hideMark/>
          </w:tcPr>
          <w:p w14:paraId="2AA3FEAB" w14:textId="77777777" w:rsidR="005F4E55" w:rsidRPr="00CA0695" w:rsidRDefault="005F4E55" w:rsidP="005F4E55">
            <w:pPr>
              <w:rPr>
                <w:rFonts w:ascii="Arial" w:hAnsi="Arial" w:cs="Arial"/>
                <w:color w:val="000000"/>
                <w:sz w:val="18"/>
                <w:szCs w:val="18"/>
              </w:rPr>
            </w:pPr>
          </w:p>
        </w:tc>
      </w:tr>
      <w:tr w:rsidR="005F4E55" w:rsidRPr="00CA0695" w14:paraId="25648D72" w14:textId="77777777" w:rsidTr="001B73EF">
        <w:trPr>
          <w:trHeight w:val="215"/>
          <w:jc w:val="center"/>
        </w:trPr>
        <w:tc>
          <w:tcPr>
            <w:tcW w:w="518" w:type="pct"/>
            <w:vMerge w:val="restart"/>
            <w:tcBorders>
              <w:top w:val="nil"/>
              <w:left w:val="single" w:sz="4" w:space="0" w:color="auto"/>
              <w:bottom w:val="single" w:sz="4" w:space="0" w:color="auto"/>
              <w:right w:val="single" w:sz="4" w:space="0" w:color="auto"/>
            </w:tcBorders>
            <w:shd w:val="clear" w:color="000000" w:fill="C9C9C9"/>
            <w:noWrap/>
            <w:vAlign w:val="center"/>
            <w:hideMark/>
          </w:tcPr>
          <w:p w14:paraId="3A28778B" w14:textId="77777777" w:rsidR="005F4E55" w:rsidRPr="00CA0695" w:rsidRDefault="005F4E55" w:rsidP="005F4E55">
            <w:pPr>
              <w:jc w:val="center"/>
              <w:rPr>
                <w:rFonts w:ascii="Arial" w:hAnsi="Arial" w:cs="Arial"/>
                <w:b/>
                <w:bCs/>
                <w:color w:val="000000"/>
                <w:sz w:val="18"/>
                <w:szCs w:val="18"/>
              </w:rPr>
            </w:pPr>
            <w:r w:rsidRPr="00CA0695">
              <w:rPr>
                <w:rFonts w:ascii="Arial" w:hAnsi="Arial" w:cs="Arial"/>
                <w:b/>
                <w:bCs/>
                <w:color w:val="000000"/>
                <w:sz w:val="18"/>
                <w:szCs w:val="18"/>
              </w:rPr>
              <w:t>Chester</w:t>
            </w:r>
          </w:p>
        </w:tc>
        <w:tc>
          <w:tcPr>
            <w:tcW w:w="620" w:type="pct"/>
            <w:tcBorders>
              <w:top w:val="nil"/>
              <w:left w:val="nil"/>
              <w:bottom w:val="single" w:sz="4" w:space="0" w:color="auto"/>
              <w:right w:val="single" w:sz="4" w:space="0" w:color="auto"/>
            </w:tcBorders>
            <w:shd w:val="clear" w:color="auto" w:fill="auto"/>
            <w:noWrap/>
            <w:vAlign w:val="bottom"/>
            <w:hideMark/>
          </w:tcPr>
          <w:p w14:paraId="19B60787"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Treat</w:t>
            </w:r>
          </w:p>
        </w:tc>
        <w:tc>
          <w:tcPr>
            <w:tcW w:w="454" w:type="pct"/>
            <w:tcBorders>
              <w:top w:val="nil"/>
              <w:left w:val="nil"/>
              <w:bottom w:val="single" w:sz="4" w:space="0" w:color="auto"/>
              <w:right w:val="single" w:sz="4" w:space="0" w:color="auto"/>
            </w:tcBorders>
            <w:shd w:val="clear" w:color="auto" w:fill="auto"/>
            <w:noWrap/>
            <w:vAlign w:val="bottom"/>
            <w:hideMark/>
          </w:tcPr>
          <w:p w14:paraId="774B88E0"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26</w:t>
            </w:r>
          </w:p>
        </w:tc>
        <w:tc>
          <w:tcPr>
            <w:tcW w:w="512" w:type="pct"/>
            <w:tcBorders>
              <w:top w:val="nil"/>
              <w:left w:val="single" w:sz="4" w:space="0" w:color="auto"/>
              <w:bottom w:val="single" w:sz="4" w:space="0" w:color="auto"/>
              <w:right w:val="single" w:sz="4" w:space="0" w:color="auto"/>
            </w:tcBorders>
            <w:shd w:val="clear" w:color="auto" w:fill="auto"/>
            <w:noWrap/>
            <w:vAlign w:val="bottom"/>
            <w:hideMark/>
          </w:tcPr>
          <w:p w14:paraId="27CEFA7A"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958</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C7F5DF7"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2A549CA3" w14:textId="6D44B015"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(0.8</w:t>
            </w:r>
            <w:r>
              <w:rPr>
                <w:rFonts w:ascii="Arial" w:hAnsi="Arial" w:cs="Arial"/>
                <w:color w:val="000000"/>
                <w:sz w:val="18"/>
                <w:szCs w:val="18"/>
              </w:rPr>
              <w:t>7</w:t>
            </w:r>
            <w:r w:rsidRPr="00CA0695">
              <w:rPr>
                <w:rFonts w:ascii="Arial" w:hAnsi="Arial" w:cs="Arial"/>
                <w:color w:val="000000"/>
                <w:sz w:val="18"/>
                <w:szCs w:val="18"/>
              </w:rPr>
              <w:t xml:space="preserve"> to 1.00)</w:t>
            </w:r>
          </w:p>
        </w:tc>
        <w:tc>
          <w:tcPr>
            <w:tcW w:w="5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5976770"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0.26</w:t>
            </w:r>
          </w:p>
          <w:p w14:paraId="160F0529" w14:textId="3C6809EE"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(0.24 to 0.29)</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308FC1F"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0.03</w:t>
            </w:r>
          </w:p>
          <w:p w14:paraId="6114EC75" w14:textId="2ABCED95"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(0.02 to 0.04)</w:t>
            </w:r>
          </w:p>
        </w:tc>
        <w:tc>
          <w:tcPr>
            <w:tcW w:w="8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7B7D5F"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39A90D00" w14:textId="27855338"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(0.99 to 1.00)</w:t>
            </w:r>
          </w:p>
        </w:tc>
      </w:tr>
      <w:tr w:rsidR="005F4E55" w:rsidRPr="00CA0695" w14:paraId="047C9195" w14:textId="77777777" w:rsidTr="001B73EF">
        <w:trPr>
          <w:trHeight w:val="215"/>
          <w:jc w:val="center"/>
        </w:trPr>
        <w:tc>
          <w:tcPr>
            <w:tcW w:w="518" w:type="pct"/>
            <w:vMerge/>
            <w:tcBorders>
              <w:top w:val="nil"/>
              <w:left w:val="single" w:sz="4" w:space="0" w:color="auto"/>
              <w:bottom w:val="single" w:sz="4" w:space="0" w:color="auto"/>
              <w:right w:val="single" w:sz="4" w:space="0" w:color="auto"/>
            </w:tcBorders>
            <w:vAlign w:val="center"/>
            <w:hideMark/>
          </w:tcPr>
          <w:p w14:paraId="1D931D17" w14:textId="77777777" w:rsidR="005F4E55" w:rsidRPr="00CA0695" w:rsidRDefault="005F4E55" w:rsidP="005F4E55">
            <w:pPr>
              <w:jc w:val="center"/>
              <w:rPr>
                <w:rFonts w:ascii="Arial" w:hAnsi="Arial" w:cs="Arial"/>
                <w:b/>
                <w:bCs/>
                <w:color w:val="000000"/>
                <w:sz w:val="18"/>
                <w:szCs w:val="18"/>
              </w:rPr>
            </w:pPr>
          </w:p>
        </w:tc>
        <w:tc>
          <w:tcPr>
            <w:tcW w:w="620" w:type="pct"/>
            <w:tcBorders>
              <w:top w:val="nil"/>
              <w:left w:val="nil"/>
              <w:bottom w:val="single" w:sz="4" w:space="0" w:color="auto"/>
              <w:right w:val="single" w:sz="4" w:space="0" w:color="auto"/>
            </w:tcBorders>
            <w:shd w:val="clear" w:color="000000" w:fill="EDEDED"/>
            <w:noWrap/>
            <w:vAlign w:val="bottom"/>
            <w:hideMark/>
          </w:tcPr>
          <w:p w14:paraId="519A8333"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Do Not Treat</w:t>
            </w:r>
          </w:p>
        </w:tc>
        <w:tc>
          <w:tcPr>
            <w:tcW w:w="454" w:type="pct"/>
            <w:tcBorders>
              <w:top w:val="nil"/>
              <w:left w:val="nil"/>
              <w:bottom w:val="single" w:sz="4" w:space="0" w:color="auto"/>
              <w:right w:val="single" w:sz="4" w:space="0" w:color="auto"/>
            </w:tcBorders>
            <w:shd w:val="clear" w:color="000000" w:fill="EDEDED"/>
            <w:noWrap/>
            <w:vAlign w:val="bottom"/>
            <w:hideMark/>
          </w:tcPr>
          <w:p w14:paraId="2FA81EA9"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w:t>
            </w:r>
          </w:p>
        </w:tc>
        <w:tc>
          <w:tcPr>
            <w:tcW w:w="512" w:type="pct"/>
            <w:tcBorders>
              <w:top w:val="nil"/>
              <w:left w:val="single" w:sz="4" w:space="0" w:color="auto"/>
              <w:bottom w:val="single" w:sz="4" w:space="0" w:color="auto"/>
              <w:right w:val="single" w:sz="4" w:space="0" w:color="auto"/>
            </w:tcBorders>
            <w:shd w:val="clear" w:color="auto" w:fill="E7E6E6" w:themeFill="background2"/>
            <w:noWrap/>
            <w:vAlign w:val="bottom"/>
            <w:hideMark/>
          </w:tcPr>
          <w:p w14:paraId="5FACF8C8"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345</w:t>
            </w:r>
          </w:p>
        </w:tc>
        <w:tc>
          <w:tcPr>
            <w:tcW w:w="770" w:type="pct"/>
            <w:vMerge/>
            <w:tcBorders>
              <w:top w:val="nil"/>
              <w:left w:val="single" w:sz="4" w:space="0" w:color="auto"/>
              <w:bottom w:val="single" w:sz="4" w:space="0" w:color="auto"/>
              <w:right w:val="single" w:sz="4" w:space="0" w:color="auto"/>
            </w:tcBorders>
            <w:vAlign w:val="center"/>
            <w:hideMark/>
          </w:tcPr>
          <w:p w14:paraId="09D10420" w14:textId="77777777" w:rsidR="005F4E55" w:rsidRPr="00CA0695" w:rsidRDefault="005F4E55" w:rsidP="005F4E55">
            <w:pPr>
              <w:rPr>
                <w:rFonts w:ascii="Arial" w:hAnsi="Arial" w:cs="Arial"/>
                <w:color w:val="000000"/>
                <w:sz w:val="18"/>
                <w:szCs w:val="18"/>
              </w:rPr>
            </w:pPr>
          </w:p>
        </w:tc>
        <w:tc>
          <w:tcPr>
            <w:tcW w:w="556" w:type="pct"/>
            <w:vMerge/>
            <w:tcBorders>
              <w:top w:val="nil"/>
              <w:left w:val="single" w:sz="4" w:space="0" w:color="auto"/>
              <w:bottom w:val="single" w:sz="4" w:space="0" w:color="auto"/>
              <w:right w:val="single" w:sz="4" w:space="0" w:color="auto"/>
            </w:tcBorders>
            <w:vAlign w:val="center"/>
            <w:hideMark/>
          </w:tcPr>
          <w:p w14:paraId="3297EF95" w14:textId="77777777" w:rsidR="005F4E55" w:rsidRPr="00CA0695" w:rsidRDefault="005F4E55" w:rsidP="005F4E55">
            <w:pPr>
              <w:rPr>
                <w:rFonts w:ascii="Arial" w:hAnsi="Arial" w:cs="Arial"/>
                <w:color w:val="000000"/>
                <w:sz w:val="18"/>
                <w:szCs w:val="18"/>
              </w:rPr>
            </w:pPr>
          </w:p>
        </w:tc>
        <w:tc>
          <w:tcPr>
            <w:tcW w:w="770" w:type="pct"/>
            <w:vMerge/>
            <w:tcBorders>
              <w:top w:val="nil"/>
              <w:left w:val="single" w:sz="4" w:space="0" w:color="auto"/>
              <w:bottom w:val="single" w:sz="4" w:space="0" w:color="auto"/>
              <w:right w:val="single" w:sz="4" w:space="0" w:color="auto"/>
            </w:tcBorders>
            <w:vAlign w:val="center"/>
            <w:hideMark/>
          </w:tcPr>
          <w:p w14:paraId="09CEE433" w14:textId="77777777" w:rsidR="005F4E55" w:rsidRPr="00CA0695" w:rsidRDefault="005F4E55" w:rsidP="005F4E55">
            <w:pPr>
              <w:rPr>
                <w:rFonts w:ascii="Arial" w:hAnsi="Arial" w:cs="Arial"/>
                <w:color w:val="000000"/>
                <w:sz w:val="18"/>
                <w:szCs w:val="18"/>
              </w:rPr>
            </w:pPr>
          </w:p>
        </w:tc>
        <w:tc>
          <w:tcPr>
            <w:tcW w:w="800" w:type="pct"/>
            <w:vMerge/>
            <w:tcBorders>
              <w:top w:val="nil"/>
              <w:left w:val="single" w:sz="4" w:space="0" w:color="auto"/>
              <w:bottom w:val="single" w:sz="4" w:space="0" w:color="auto"/>
              <w:right w:val="single" w:sz="4" w:space="0" w:color="auto"/>
            </w:tcBorders>
            <w:vAlign w:val="center"/>
            <w:hideMark/>
          </w:tcPr>
          <w:p w14:paraId="61152D6D" w14:textId="77777777" w:rsidR="005F4E55" w:rsidRPr="00CA0695" w:rsidRDefault="005F4E55" w:rsidP="005F4E55">
            <w:pPr>
              <w:rPr>
                <w:rFonts w:ascii="Arial" w:hAnsi="Arial" w:cs="Arial"/>
                <w:color w:val="000000"/>
                <w:sz w:val="18"/>
                <w:szCs w:val="18"/>
              </w:rPr>
            </w:pPr>
          </w:p>
        </w:tc>
      </w:tr>
      <w:tr w:rsidR="005F4E55" w:rsidRPr="00CA0695" w14:paraId="7FA7D3C4" w14:textId="77777777" w:rsidTr="001B73EF">
        <w:trPr>
          <w:trHeight w:val="215"/>
          <w:jc w:val="center"/>
        </w:trPr>
        <w:tc>
          <w:tcPr>
            <w:tcW w:w="518" w:type="pct"/>
            <w:vMerge w:val="restart"/>
            <w:tcBorders>
              <w:top w:val="nil"/>
              <w:left w:val="single" w:sz="4" w:space="0" w:color="auto"/>
              <w:bottom w:val="single" w:sz="4" w:space="0" w:color="auto"/>
              <w:right w:val="single" w:sz="4" w:space="0" w:color="auto"/>
            </w:tcBorders>
            <w:shd w:val="clear" w:color="000000" w:fill="C9C9C9"/>
            <w:noWrap/>
            <w:vAlign w:val="center"/>
            <w:hideMark/>
          </w:tcPr>
          <w:p w14:paraId="39E9B295" w14:textId="77777777" w:rsidR="005F4E55" w:rsidRPr="00CA0695" w:rsidRDefault="005F4E55" w:rsidP="005F4E55">
            <w:pPr>
              <w:jc w:val="center"/>
              <w:rPr>
                <w:rFonts w:ascii="Arial" w:hAnsi="Arial" w:cs="Arial"/>
                <w:b/>
                <w:bCs/>
                <w:color w:val="000000"/>
                <w:sz w:val="18"/>
                <w:szCs w:val="18"/>
              </w:rPr>
            </w:pPr>
            <w:r w:rsidRPr="00CA0695">
              <w:rPr>
                <w:rFonts w:ascii="Arial" w:hAnsi="Arial" w:cs="Arial"/>
                <w:b/>
                <w:bCs/>
                <w:color w:val="000000"/>
                <w:sz w:val="18"/>
                <w:szCs w:val="18"/>
              </w:rPr>
              <w:t>Bristol</w:t>
            </w:r>
          </w:p>
        </w:tc>
        <w:tc>
          <w:tcPr>
            <w:tcW w:w="620" w:type="pct"/>
            <w:tcBorders>
              <w:top w:val="nil"/>
              <w:left w:val="nil"/>
              <w:bottom w:val="single" w:sz="4" w:space="0" w:color="auto"/>
              <w:right w:val="single" w:sz="4" w:space="0" w:color="auto"/>
            </w:tcBorders>
            <w:shd w:val="clear" w:color="auto" w:fill="auto"/>
            <w:noWrap/>
            <w:vAlign w:val="bottom"/>
            <w:hideMark/>
          </w:tcPr>
          <w:p w14:paraId="538B6527"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Treat</w:t>
            </w:r>
          </w:p>
        </w:tc>
        <w:tc>
          <w:tcPr>
            <w:tcW w:w="454" w:type="pct"/>
            <w:tcBorders>
              <w:top w:val="nil"/>
              <w:left w:val="nil"/>
              <w:bottom w:val="single" w:sz="4" w:space="0" w:color="auto"/>
              <w:right w:val="single" w:sz="4" w:space="0" w:color="auto"/>
            </w:tcBorders>
            <w:shd w:val="clear" w:color="auto" w:fill="auto"/>
            <w:noWrap/>
            <w:vAlign w:val="bottom"/>
            <w:hideMark/>
          </w:tcPr>
          <w:p w14:paraId="25B4675B"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26</w:t>
            </w:r>
          </w:p>
        </w:tc>
        <w:tc>
          <w:tcPr>
            <w:tcW w:w="512" w:type="pct"/>
            <w:tcBorders>
              <w:top w:val="nil"/>
              <w:left w:val="single" w:sz="4" w:space="0" w:color="auto"/>
              <w:bottom w:val="single" w:sz="4" w:space="0" w:color="auto"/>
              <w:right w:val="single" w:sz="4" w:space="0" w:color="auto"/>
            </w:tcBorders>
            <w:shd w:val="clear" w:color="auto" w:fill="auto"/>
            <w:noWrap/>
            <w:vAlign w:val="bottom"/>
            <w:hideMark/>
          </w:tcPr>
          <w:p w14:paraId="14EDCDE7"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1085</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ACF5AEF"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71FCE666" w14:textId="7FE080ED"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(0.8</w:t>
            </w:r>
            <w:r>
              <w:rPr>
                <w:rFonts w:ascii="Arial" w:hAnsi="Arial" w:cs="Arial"/>
                <w:color w:val="000000"/>
                <w:sz w:val="18"/>
                <w:szCs w:val="18"/>
              </w:rPr>
              <w:t>7</w:t>
            </w:r>
            <w:r w:rsidRPr="00CA0695">
              <w:rPr>
                <w:rFonts w:ascii="Arial" w:hAnsi="Arial" w:cs="Arial"/>
                <w:color w:val="000000"/>
                <w:sz w:val="18"/>
                <w:szCs w:val="18"/>
              </w:rPr>
              <w:t xml:space="preserve"> to 1.00)</w:t>
            </w:r>
          </w:p>
        </w:tc>
        <w:tc>
          <w:tcPr>
            <w:tcW w:w="5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5FE360"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0.17</w:t>
            </w:r>
          </w:p>
          <w:p w14:paraId="7298556E" w14:textId="20A2C6D3"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(0.15 to 0.19)</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EE3CAE"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0.02</w:t>
            </w:r>
          </w:p>
          <w:p w14:paraId="2F4814B2" w14:textId="129A99E2"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w:t>
            </w:r>
            <w:r>
              <w:rPr>
                <w:rFonts w:ascii="Arial" w:hAnsi="Arial" w:cs="Arial"/>
                <w:color w:val="000000"/>
                <w:sz w:val="18"/>
                <w:szCs w:val="18"/>
              </w:rPr>
              <w:t>.02</w:t>
            </w:r>
            <w:r w:rsidRPr="00CA0695">
              <w:rPr>
                <w:rFonts w:ascii="Arial" w:hAnsi="Arial" w:cs="Arial"/>
                <w:color w:val="000000"/>
                <w:sz w:val="18"/>
                <w:szCs w:val="18"/>
              </w:rPr>
              <w:t xml:space="preserve"> to 0.03)</w:t>
            </w:r>
          </w:p>
        </w:tc>
        <w:tc>
          <w:tcPr>
            <w:tcW w:w="8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B355E91"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15CD4A4B" w14:textId="5979AC81"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w:t>
            </w:r>
            <w:r>
              <w:rPr>
                <w:rFonts w:ascii="Arial" w:hAnsi="Arial" w:cs="Arial"/>
                <w:color w:val="000000"/>
                <w:sz w:val="18"/>
                <w:szCs w:val="18"/>
              </w:rPr>
              <w:t>.98</w:t>
            </w:r>
            <w:r w:rsidRPr="00CA0695">
              <w:rPr>
                <w:rFonts w:ascii="Arial" w:hAnsi="Arial" w:cs="Arial"/>
                <w:color w:val="000000"/>
                <w:sz w:val="18"/>
                <w:szCs w:val="18"/>
              </w:rPr>
              <w:t xml:space="preserve"> to 1.00)</w:t>
            </w:r>
          </w:p>
        </w:tc>
      </w:tr>
      <w:tr w:rsidR="005F4E55" w:rsidRPr="00CA0695" w14:paraId="4F8B74B5" w14:textId="77777777" w:rsidTr="001B73EF">
        <w:trPr>
          <w:trHeight w:val="215"/>
          <w:jc w:val="center"/>
        </w:trPr>
        <w:tc>
          <w:tcPr>
            <w:tcW w:w="518" w:type="pct"/>
            <w:vMerge/>
            <w:tcBorders>
              <w:top w:val="nil"/>
              <w:left w:val="single" w:sz="4" w:space="0" w:color="auto"/>
              <w:bottom w:val="single" w:sz="4" w:space="0" w:color="auto"/>
              <w:right w:val="single" w:sz="4" w:space="0" w:color="auto"/>
            </w:tcBorders>
            <w:vAlign w:val="center"/>
            <w:hideMark/>
          </w:tcPr>
          <w:p w14:paraId="64741311" w14:textId="77777777" w:rsidR="005F4E55" w:rsidRPr="00CA0695" w:rsidRDefault="005F4E55" w:rsidP="005F4E55">
            <w:pPr>
              <w:jc w:val="center"/>
              <w:rPr>
                <w:rFonts w:ascii="Arial" w:hAnsi="Arial" w:cs="Arial"/>
                <w:b/>
                <w:bCs/>
                <w:color w:val="000000"/>
                <w:sz w:val="18"/>
                <w:szCs w:val="18"/>
              </w:rPr>
            </w:pPr>
          </w:p>
        </w:tc>
        <w:tc>
          <w:tcPr>
            <w:tcW w:w="620" w:type="pct"/>
            <w:tcBorders>
              <w:top w:val="nil"/>
              <w:left w:val="nil"/>
              <w:bottom w:val="single" w:sz="4" w:space="0" w:color="auto"/>
              <w:right w:val="single" w:sz="4" w:space="0" w:color="auto"/>
            </w:tcBorders>
            <w:shd w:val="clear" w:color="000000" w:fill="EDEDED"/>
            <w:noWrap/>
            <w:vAlign w:val="bottom"/>
            <w:hideMark/>
          </w:tcPr>
          <w:p w14:paraId="79BC440D"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Do Not Treat</w:t>
            </w:r>
          </w:p>
        </w:tc>
        <w:tc>
          <w:tcPr>
            <w:tcW w:w="454" w:type="pct"/>
            <w:tcBorders>
              <w:top w:val="nil"/>
              <w:left w:val="nil"/>
              <w:bottom w:val="single" w:sz="4" w:space="0" w:color="auto"/>
              <w:right w:val="single" w:sz="4" w:space="0" w:color="auto"/>
            </w:tcBorders>
            <w:shd w:val="clear" w:color="000000" w:fill="EDEDED"/>
            <w:noWrap/>
            <w:vAlign w:val="bottom"/>
            <w:hideMark/>
          </w:tcPr>
          <w:p w14:paraId="468B8DE6"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w:t>
            </w:r>
          </w:p>
        </w:tc>
        <w:tc>
          <w:tcPr>
            <w:tcW w:w="512" w:type="pct"/>
            <w:tcBorders>
              <w:top w:val="nil"/>
              <w:left w:val="single" w:sz="4" w:space="0" w:color="auto"/>
              <w:bottom w:val="single" w:sz="4" w:space="0" w:color="auto"/>
              <w:right w:val="single" w:sz="4" w:space="0" w:color="auto"/>
            </w:tcBorders>
            <w:shd w:val="clear" w:color="auto" w:fill="E7E6E6" w:themeFill="background2"/>
            <w:noWrap/>
            <w:vAlign w:val="bottom"/>
            <w:hideMark/>
          </w:tcPr>
          <w:p w14:paraId="72CF8F09"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218</w:t>
            </w:r>
          </w:p>
        </w:tc>
        <w:tc>
          <w:tcPr>
            <w:tcW w:w="770" w:type="pct"/>
            <w:vMerge/>
            <w:tcBorders>
              <w:top w:val="nil"/>
              <w:left w:val="single" w:sz="4" w:space="0" w:color="auto"/>
              <w:bottom w:val="single" w:sz="4" w:space="0" w:color="auto"/>
              <w:right w:val="single" w:sz="4" w:space="0" w:color="auto"/>
            </w:tcBorders>
            <w:vAlign w:val="center"/>
            <w:hideMark/>
          </w:tcPr>
          <w:p w14:paraId="1FAF4E59" w14:textId="77777777" w:rsidR="005F4E55" w:rsidRPr="00CA0695" w:rsidRDefault="005F4E55" w:rsidP="005F4E55">
            <w:pPr>
              <w:rPr>
                <w:rFonts w:ascii="Arial" w:hAnsi="Arial" w:cs="Arial"/>
                <w:color w:val="000000"/>
                <w:sz w:val="18"/>
                <w:szCs w:val="18"/>
              </w:rPr>
            </w:pPr>
          </w:p>
        </w:tc>
        <w:tc>
          <w:tcPr>
            <w:tcW w:w="556" w:type="pct"/>
            <w:vMerge/>
            <w:tcBorders>
              <w:top w:val="nil"/>
              <w:left w:val="single" w:sz="4" w:space="0" w:color="auto"/>
              <w:bottom w:val="single" w:sz="4" w:space="0" w:color="auto"/>
              <w:right w:val="single" w:sz="4" w:space="0" w:color="auto"/>
            </w:tcBorders>
            <w:vAlign w:val="center"/>
            <w:hideMark/>
          </w:tcPr>
          <w:p w14:paraId="235D6C66" w14:textId="77777777" w:rsidR="005F4E55" w:rsidRPr="00CA0695" w:rsidRDefault="005F4E55" w:rsidP="005F4E55">
            <w:pPr>
              <w:rPr>
                <w:rFonts w:ascii="Arial" w:hAnsi="Arial" w:cs="Arial"/>
                <w:color w:val="000000"/>
                <w:sz w:val="18"/>
                <w:szCs w:val="18"/>
              </w:rPr>
            </w:pPr>
          </w:p>
        </w:tc>
        <w:tc>
          <w:tcPr>
            <w:tcW w:w="770" w:type="pct"/>
            <w:vMerge/>
            <w:tcBorders>
              <w:top w:val="nil"/>
              <w:left w:val="single" w:sz="4" w:space="0" w:color="auto"/>
              <w:bottom w:val="single" w:sz="4" w:space="0" w:color="auto"/>
              <w:right w:val="single" w:sz="4" w:space="0" w:color="auto"/>
            </w:tcBorders>
            <w:vAlign w:val="center"/>
            <w:hideMark/>
          </w:tcPr>
          <w:p w14:paraId="52144425" w14:textId="77777777" w:rsidR="005F4E55" w:rsidRPr="00CA0695" w:rsidRDefault="005F4E55" w:rsidP="005F4E55">
            <w:pPr>
              <w:rPr>
                <w:rFonts w:ascii="Arial" w:hAnsi="Arial" w:cs="Arial"/>
                <w:color w:val="000000"/>
                <w:sz w:val="18"/>
                <w:szCs w:val="18"/>
              </w:rPr>
            </w:pPr>
          </w:p>
        </w:tc>
        <w:tc>
          <w:tcPr>
            <w:tcW w:w="800" w:type="pct"/>
            <w:vMerge/>
            <w:tcBorders>
              <w:top w:val="nil"/>
              <w:left w:val="single" w:sz="4" w:space="0" w:color="auto"/>
              <w:bottom w:val="single" w:sz="4" w:space="0" w:color="auto"/>
              <w:right w:val="single" w:sz="4" w:space="0" w:color="auto"/>
            </w:tcBorders>
            <w:vAlign w:val="center"/>
            <w:hideMark/>
          </w:tcPr>
          <w:p w14:paraId="6E871708" w14:textId="77777777" w:rsidR="005F4E55" w:rsidRPr="00CA0695" w:rsidRDefault="005F4E55" w:rsidP="005F4E55">
            <w:pPr>
              <w:rPr>
                <w:rFonts w:ascii="Arial" w:hAnsi="Arial" w:cs="Arial"/>
                <w:color w:val="000000"/>
                <w:sz w:val="18"/>
                <w:szCs w:val="18"/>
              </w:rPr>
            </w:pPr>
          </w:p>
        </w:tc>
      </w:tr>
      <w:tr w:rsidR="005F4E55" w:rsidRPr="00CA0695" w14:paraId="4E536767" w14:textId="77777777" w:rsidTr="001B73EF">
        <w:trPr>
          <w:trHeight w:val="215"/>
          <w:jc w:val="center"/>
        </w:trPr>
        <w:tc>
          <w:tcPr>
            <w:tcW w:w="518" w:type="pct"/>
            <w:vMerge w:val="restart"/>
            <w:tcBorders>
              <w:top w:val="nil"/>
              <w:left w:val="single" w:sz="4" w:space="0" w:color="auto"/>
              <w:bottom w:val="single" w:sz="4" w:space="0" w:color="auto"/>
              <w:right w:val="single" w:sz="4" w:space="0" w:color="auto"/>
            </w:tcBorders>
            <w:shd w:val="clear" w:color="000000" w:fill="C9C9C9"/>
            <w:noWrap/>
            <w:vAlign w:val="center"/>
            <w:hideMark/>
          </w:tcPr>
          <w:p w14:paraId="340925B0" w14:textId="77777777" w:rsidR="005F4E55" w:rsidRPr="00CA0695" w:rsidRDefault="005F4E55" w:rsidP="005F4E55">
            <w:pPr>
              <w:jc w:val="center"/>
              <w:rPr>
                <w:rFonts w:ascii="Arial" w:hAnsi="Arial" w:cs="Arial"/>
                <w:b/>
                <w:bCs/>
                <w:color w:val="000000"/>
                <w:sz w:val="18"/>
                <w:szCs w:val="18"/>
              </w:rPr>
            </w:pPr>
            <w:r w:rsidRPr="00CA0695">
              <w:rPr>
                <w:rFonts w:ascii="Arial" w:hAnsi="Arial" w:cs="Arial"/>
                <w:b/>
                <w:bCs/>
                <w:color w:val="000000"/>
                <w:sz w:val="18"/>
                <w:szCs w:val="18"/>
              </w:rPr>
              <w:t>NICE CG102</w:t>
            </w:r>
          </w:p>
        </w:tc>
        <w:tc>
          <w:tcPr>
            <w:tcW w:w="620" w:type="pct"/>
            <w:tcBorders>
              <w:top w:val="nil"/>
              <w:left w:val="nil"/>
              <w:bottom w:val="single" w:sz="4" w:space="0" w:color="auto"/>
              <w:right w:val="single" w:sz="4" w:space="0" w:color="auto"/>
            </w:tcBorders>
            <w:shd w:val="clear" w:color="auto" w:fill="auto"/>
            <w:noWrap/>
            <w:vAlign w:val="bottom"/>
            <w:hideMark/>
          </w:tcPr>
          <w:p w14:paraId="61F36577"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Treat</w:t>
            </w:r>
          </w:p>
        </w:tc>
        <w:tc>
          <w:tcPr>
            <w:tcW w:w="454" w:type="pct"/>
            <w:tcBorders>
              <w:top w:val="nil"/>
              <w:left w:val="nil"/>
              <w:bottom w:val="single" w:sz="4" w:space="0" w:color="auto"/>
              <w:right w:val="single" w:sz="4" w:space="0" w:color="auto"/>
            </w:tcBorders>
            <w:shd w:val="clear" w:color="auto" w:fill="auto"/>
            <w:noWrap/>
            <w:vAlign w:val="bottom"/>
            <w:hideMark/>
          </w:tcPr>
          <w:p w14:paraId="51887BA4"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26</w:t>
            </w:r>
          </w:p>
        </w:tc>
        <w:tc>
          <w:tcPr>
            <w:tcW w:w="512" w:type="pct"/>
            <w:tcBorders>
              <w:top w:val="nil"/>
              <w:left w:val="single" w:sz="4" w:space="0" w:color="auto"/>
              <w:bottom w:val="single" w:sz="4" w:space="0" w:color="auto"/>
              <w:right w:val="single" w:sz="4" w:space="0" w:color="auto"/>
            </w:tcBorders>
            <w:shd w:val="clear" w:color="auto" w:fill="auto"/>
            <w:noWrap/>
            <w:vAlign w:val="bottom"/>
            <w:hideMark/>
          </w:tcPr>
          <w:p w14:paraId="7BFC349E"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1288</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42818F6"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3D6E76A5" w14:textId="31526A43"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(0.8</w:t>
            </w:r>
            <w:r>
              <w:rPr>
                <w:rFonts w:ascii="Arial" w:hAnsi="Arial" w:cs="Arial"/>
                <w:color w:val="000000"/>
                <w:sz w:val="18"/>
                <w:szCs w:val="18"/>
              </w:rPr>
              <w:t>7</w:t>
            </w:r>
            <w:r w:rsidRPr="00CA0695">
              <w:rPr>
                <w:rFonts w:ascii="Arial" w:hAnsi="Arial" w:cs="Arial"/>
                <w:color w:val="000000"/>
                <w:sz w:val="18"/>
                <w:szCs w:val="18"/>
              </w:rPr>
              <w:t xml:space="preserve"> to 1.00)</w:t>
            </w:r>
          </w:p>
        </w:tc>
        <w:tc>
          <w:tcPr>
            <w:tcW w:w="5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F0BB1B3"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0.01</w:t>
            </w:r>
          </w:p>
          <w:p w14:paraId="5EACB521" w14:textId="7EAD2240"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(0.01 to 0.02)</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106550F"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0.02</w:t>
            </w:r>
          </w:p>
          <w:p w14:paraId="77EF07F3" w14:textId="1AFA1DE2"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(0.01 to 0.03)</w:t>
            </w:r>
          </w:p>
        </w:tc>
        <w:tc>
          <w:tcPr>
            <w:tcW w:w="8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DC4ECC8"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2E109C92" w14:textId="66BC9324"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w:t>
            </w:r>
            <w:r>
              <w:rPr>
                <w:rFonts w:ascii="Arial" w:hAnsi="Arial" w:cs="Arial"/>
                <w:color w:val="000000"/>
                <w:sz w:val="18"/>
                <w:szCs w:val="18"/>
              </w:rPr>
              <w:t>.78</w:t>
            </w:r>
            <w:r w:rsidRPr="00CA0695">
              <w:rPr>
                <w:rFonts w:ascii="Arial" w:hAnsi="Arial" w:cs="Arial"/>
                <w:color w:val="000000"/>
                <w:sz w:val="18"/>
                <w:szCs w:val="18"/>
              </w:rPr>
              <w:t xml:space="preserve"> to 1.00)</w:t>
            </w:r>
          </w:p>
        </w:tc>
      </w:tr>
      <w:tr w:rsidR="005F4E55" w:rsidRPr="00CA0695" w14:paraId="374C04FA" w14:textId="77777777" w:rsidTr="001B73EF">
        <w:trPr>
          <w:trHeight w:val="215"/>
          <w:jc w:val="center"/>
        </w:trPr>
        <w:tc>
          <w:tcPr>
            <w:tcW w:w="518" w:type="pct"/>
            <w:vMerge/>
            <w:tcBorders>
              <w:top w:val="nil"/>
              <w:left w:val="single" w:sz="4" w:space="0" w:color="auto"/>
              <w:bottom w:val="single" w:sz="4" w:space="0" w:color="auto"/>
              <w:right w:val="single" w:sz="4" w:space="0" w:color="auto"/>
            </w:tcBorders>
            <w:vAlign w:val="center"/>
            <w:hideMark/>
          </w:tcPr>
          <w:p w14:paraId="70B2B681" w14:textId="77777777" w:rsidR="005F4E55" w:rsidRPr="00CA0695" w:rsidRDefault="005F4E55" w:rsidP="005F4E55">
            <w:pPr>
              <w:jc w:val="center"/>
              <w:rPr>
                <w:rFonts w:ascii="Arial" w:hAnsi="Arial" w:cs="Arial"/>
                <w:b/>
                <w:bCs/>
                <w:color w:val="000000"/>
                <w:sz w:val="18"/>
                <w:szCs w:val="18"/>
              </w:rPr>
            </w:pPr>
          </w:p>
        </w:tc>
        <w:tc>
          <w:tcPr>
            <w:tcW w:w="620" w:type="pct"/>
            <w:tcBorders>
              <w:top w:val="nil"/>
              <w:left w:val="nil"/>
              <w:bottom w:val="single" w:sz="4" w:space="0" w:color="auto"/>
              <w:right w:val="single" w:sz="4" w:space="0" w:color="auto"/>
            </w:tcBorders>
            <w:shd w:val="clear" w:color="000000" w:fill="EDEDED"/>
            <w:noWrap/>
            <w:vAlign w:val="bottom"/>
            <w:hideMark/>
          </w:tcPr>
          <w:p w14:paraId="74B73769"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Do Not Treat</w:t>
            </w:r>
          </w:p>
        </w:tc>
        <w:tc>
          <w:tcPr>
            <w:tcW w:w="454" w:type="pct"/>
            <w:tcBorders>
              <w:top w:val="nil"/>
              <w:left w:val="nil"/>
              <w:bottom w:val="single" w:sz="4" w:space="0" w:color="auto"/>
              <w:right w:val="single" w:sz="4" w:space="0" w:color="auto"/>
            </w:tcBorders>
            <w:shd w:val="clear" w:color="000000" w:fill="EDEDED"/>
            <w:noWrap/>
            <w:vAlign w:val="bottom"/>
            <w:hideMark/>
          </w:tcPr>
          <w:p w14:paraId="33D5B6F9"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w:t>
            </w:r>
          </w:p>
        </w:tc>
        <w:tc>
          <w:tcPr>
            <w:tcW w:w="512" w:type="pct"/>
            <w:tcBorders>
              <w:top w:val="nil"/>
              <w:left w:val="single" w:sz="4" w:space="0" w:color="auto"/>
              <w:bottom w:val="single" w:sz="4" w:space="0" w:color="auto"/>
              <w:right w:val="single" w:sz="4" w:space="0" w:color="auto"/>
            </w:tcBorders>
            <w:shd w:val="clear" w:color="auto" w:fill="E7E6E6" w:themeFill="background2"/>
            <w:noWrap/>
            <w:vAlign w:val="bottom"/>
            <w:hideMark/>
          </w:tcPr>
          <w:p w14:paraId="28D943CD"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15</w:t>
            </w:r>
          </w:p>
        </w:tc>
        <w:tc>
          <w:tcPr>
            <w:tcW w:w="770" w:type="pct"/>
            <w:vMerge/>
            <w:tcBorders>
              <w:top w:val="nil"/>
              <w:left w:val="single" w:sz="4" w:space="0" w:color="auto"/>
              <w:bottom w:val="single" w:sz="4" w:space="0" w:color="auto"/>
              <w:right w:val="single" w:sz="4" w:space="0" w:color="auto"/>
            </w:tcBorders>
            <w:vAlign w:val="center"/>
            <w:hideMark/>
          </w:tcPr>
          <w:p w14:paraId="320AE50B" w14:textId="77777777" w:rsidR="005F4E55" w:rsidRPr="00CA0695" w:rsidRDefault="005F4E55" w:rsidP="005F4E55">
            <w:pPr>
              <w:rPr>
                <w:rFonts w:ascii="Arial" w:hAnsi="Arial" w:cs="Arial"/>
                <w:color w:val="000000"/>
                <w:sz w:val="18"/>
                <w:szCs w:val="18"/>
              </w:rPr>
            </w:pPr>
          </w:p>
        </w:tc>
        <w:tc>
          <w:tcPr>
            <w:tcW w:w="556" w:type="pct"/>
            <w:vMerge/>
            <w:tcBorders>
              <w:top w:val="nil"/>
              <w:left w:val="single" w:sz="4" w:space="0" w:color="auto"/>
              <w:bottom w:val="single" w:sz="4" w:space="0" w:color="auto"/>
              <w:right w:val="single" w:sz="4" w:space="0" w:color="auto"/>
            </w:tcBorders>
            <w:vAlign w:val="center"/>
            <w:hideMark/>
          </w:tcPr>
          <w:p w14:paraId="67019B1B" w14:textId="77777777" w:rsidR="005F4E55" w:rsidRPr="00CA0695" w:rsidRDefault="005F4E55" w:rsidP="005F4E55">
            <w:pPr>
              <w:rPr>
                <w:rFonts w:ascii="Arial" w:hAnsi="Arial" w:cs="Arial"/>
                <w:color w:val="000000"/>
                <w:sz w:val="18"/>
                <w:szCs w:val="18"/>
              </w:rPr>
            </w:pPr>
          </w:p>
        </w:tc>
        <w:tc>
          <w:tcPr>
            <w:tcW w:w="770" w:type="pct"/>
            <w:vMerge/>
            <w:tcBorders>
              <w:top w:val="nil"/>
              <w:left w:val="single" w:sz="4" w:space="0" w:color="auto"/>
              <w:bottom w:val="single" w:sz="4" w:space="0" w:color="auto"/>
              <w:right w:val="single" w:sz="4" w:space="0" w:color="auto"/>
            </w:tcBorders>
            <w:vAlign w:val="center"/>
            <w:hideMark/>
          </w:tcPr>
          <w:p w14:paraId="43A838EB" w14:textId="77777777" w:rsidR="005F4E55" w:rsidRPr="00CA0695" w:rsidRDefault="005F4E55" w:rsidP="005F4E55">
            <w:pPr>
              <w:rPr>
                <w:rFonts w:ascii="Arial" w:hAnsi="Arial" w:cs="Arial"/>
                <w:color w:val="000000"/>
                <w:sz w:val="18"/>
                <w:szCs w:val="18"/>
              </w:rPr>
            </w:pPr>
          </w:p>
        </w:tc>
        <w:tc>
          <w:tcPr>
            <w:tcW w:w="800" w:type="pct"/>
            <w:vMerge/>
            <w:tcBorders>
              <w:top w:val="nil"/>
              <w:left w:val="single" w:sz="4" w:space="0" w:color="auto"/>
              <w:bottom w:val="single" w:sz="4" w:space="0" w:color="auto"/>
              <w:right w:val="single" w:sz="4" w:space="0" w:color="auto"/>
            </w:tcBorders>
            <w:vAlign w:val="center"/>
            <w:hideMark/>
          </w:tcPr>
          <w:p w14:paraId="279C6E9B" w14:textId="77777777" w:rsidR="005F4E55" w:rsidRPr="00CA0695" w:rsidRDefault="005F4E55" w:rsidP="005F4E55">
            <w:pPr>
              <w:rPr>
                <w:rFonts w:ascii="Arial" w:hAnsi="Arial" w:cs="Arial"/>
                <w:color w:val="000000"/>
                <w:sz w:val="18"/>
                <w:szCs w:val="18"/>
              </w:rPr>
            </w:pPr>
          </w:p>
        </w:tc>
      </w:tr>
      <w:tr w:rsidR="005F4E55" w:rsidRPr="00CA0695" w14:paraId="66D9C01D" w14:textId="77777777" w:rsidTr="001B73EF">
        <w:trPr>
          <w:trHeight w:val="215"/>
          <w:jc w:val="center"/>
        </w:trPr>
        <w:tc>
          <w:tcPr>
            <w:tcW w:w="518" w:type="pct"/>
            <w:vMerge w:val="restart"/>
            <w:tcBorders>
              <w:top w:val="nil"/>
              <w:left w:val="single" w:sz="4" w:space="0" w:color="auto"/>
              <w:bottom w:val="single" w:sz="4" w:space="0" w:color="auto"/>
              <w:right w:val="single" w:sz="4" w:space="0" w:color="auto"/>
            </w:tcBorders>
            <w:shd w:val="clear" w:color="000000" w:fill="C9C9C9"/>
            <w:noWrap/>
            <w:vAlign w:val="center"/>
            <w:hideMark/>
          </w:tcPr>
          <w:p w14:paraId="7A67CE66" w14:textId="77777777" w:rsidR="005F4E55" w:rsidRPr="00CA0695" w:rsidRDefault="005F4E55" w:rsidP="005F4E55">
            <w:pPr>
              <w:jc w:val="center"/>
              <w:rPr>
                <w:rFonts w:ascii="Arial" w:hAnsi="Arial" w:cs="Arial"/>
                <w:b/>
                <w:bCs/>
                <w:color w:val="000000"/>
                <w:sz w:val="18"/>
                <w:szCs w:val="18"/>
              </w:rPr>
            </w:pPr>
            <w:r w:rsidRPr="00CA0695">
              <w:rPr>
                <w:rFonts w:ascii="Arial" w:hAnsi="Arial" w:cs="Arial"/>
                <w:b/>
                <w:bCs/>
                <w:color w:val="000000"/>
                <w:sz w:val="18"/>
                <w:szCs w:val="18"/>
              </w:rPr>
              <w:t>NICE NG51</w:t>
            </w:r>
          </w:p>
        </w:tc>
        <w:tc>
          <w:tcPr>
            <w:tcW w:w="620" w:type="pct"/>
            <w:tcBorders>
              <w:top w:val="nil"/>
              <w:left w:val="nil"/>
              <w:bottom w:val="single" w:sz="4" w:space="0" w:color="auto"/>
              <w:right w:val="single" w:sz="4" w:space="0" w:color="auto"/>
            </w:tcBorders>
            <w:shd w:val="clear" w:color="auto" w:fill="auto"/>
            <w:noWrap/>
            <w:vAlign w:val="bottom"/>
            <w:hideMark/>
          </w:tcPr>
          <w:p w14:paraId="7BE3D555" w14:textId="77777777" w:rsidR="005F4E55" w:rsidRPr="00CA0695" w:rsidRDefault="005F4E55" w:rsidP="005F4E55">
            <w:pPr>
              <w:rPr>
                <w:rFonts w:ascii="Arial" w:hAnsi="Arial" w:cs="Arial"/>
                <w:color w:val="000000"/>
                <w:sz w:val="18"/>
                <w:szCs w:val="18"/>
              </w:rPr>
            </w:pPr>
            <w:r w:rsidRPr="00CA0695">
              <w:rPr>
                <w:rFonts w:ascii="Arial" w:hAnsi="Arial" w:cs="Arial"/>
                <w:color w:val="000000"/>
                <w:sz w:val="18"/>
                <w:szCs w:val="18"/>
              </w:rPr>
              <w:t>Treat</w:t>
            </w:r>
          </w:p>
        </w:tc>
        <w:tc>
          <w:tcPr>
            <w:tcW w:w="454" w:type="pct"/>
            <w:tcBorders>
              <w:top w:val="nil"/>
              <w:left w:val="nil"/>
              <w:bottom w:val="single" w:sz="4" w:space="0" w:color="auto"/>
              <w:right w:val="single" w:sz="4" w:space="0" w:color="auto"/>
            </w:tcBorders>
            <w:shd w:val="clear" w:color="auto" w:fill="auto"/>
            <w:noWrap/>
            <w:vAlign w:val="bottom"/>
            <w:hideMark/>
          </w:tcPr>
          <w:p w14:paraId="6E7C1982"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26</w:t>
            </w:r>
          </w:p>
        </w:tc>
        <w:tc>
          <w:tcPr>
            <w:tcW w:w="512" w:type="pct"/>
            <w:tcBorders>
              <w:top w:val="nil"/>
              <w:left w:val="single" w:sz="4" w:space="0" w:color="auto"/>
              <w:bottom w:val="single" w:sz="4" w:space="0" w:color="auto"/>
              <w:right w:val="single" w:sz="4" w:space="0" w:color="auto"/>
            </w:tcBorders>
            <w:shd w:val="clear" w:color="auto" w:fill="auto"/>
            <w:noWrap/>
            <w:vAlign w:val="bottom"/>
            <w:hideMark/>
          </w:tcPr>
          <w:p w14:paraId="29EB8557" w14:textId="77777777"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1303</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5E2D6D0"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1.00</w:t>
            </w:r>
          </w:p>
          <w:p w14:paraId="50C9D14B" w14:textId="5A57A8BA"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(0.8</w:t>
            </w:r>
            <w:r>
              <w:rPr>
                <w:rFonts w:ascii="Arial" w:hAnsi="Arial" w:cs="Arial"/>
                <w:color w:val="000000"/>
                <w:sz w:val="18"/>
                <w:szCs w:val="18"/>
              </w:rPr>
              <w:t>7</w:t>
            </w:r>
            <w:r w:rsidRPr="00CA0695">
              <w:rPr>
                <w:rFonts w:ascii="Arial" w:hAnsi="Arial" w:cs="Arial"/>
                <w:color w:val="000000"/>
                <w:sz w:val="18"/>
                <w:szCs w:val="18"/>
              </w:rPr>
              <w:t xml:space="preserve"> to 1.00)</w:t>
            </w:r>
          </w:p>
        </w:tc>
        <w:tc>
          <w:tcPr>
            <w:tcW w:w="5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2EDC2AC"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w:t>
            </w:r>
          </w:p>
          <w:p w14:paraId="63D14818" w14:textId="7651FC80"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(0.00 to 0.00)</w:t>
            </w:r>
          </w:p>
        </w:tc>
        <w:tc>
          <w:tcPr>
            <w:tcW w:w="77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2EF5A3" w14:textId="77777777" w:rsidR="005F4E55" w:rsidRDefault="005F4E55" w:rsidP="005F4E55">
            <w:pPr>
              <w:jc w:val="center"/>
              <w:rPr>
                <w:rFonts w:ascii="Arial" w:hAnsi="Arial" w:cs="Arial"/>
                <w:color w:val="000000"/>
                <w:sz w:val="18"/>
                <w:szCs w:val="18"/>
              </w:rPr>
            </w:pPr>
            <w:r w:rsidRPr="00CA0695">
              <w:rPr>
                <w:rFonts w:ascii="Arial" w:hAnsi="Arial" w:cs="Arial"/>
                <w:color w:val="000000"/>
                <w:sz w:val="18"/>
                <w:szCs w:val="18"/>
              </w:rPr>
              <w:t>0.02</w:t>
            </w:r>
          </w:p>
          <w:p w14:paraId="6EC79C0E" w14:textId="43923EB0"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(0.01 to 0.03)</w:t>
            </w:r>
          </w:p>
        </w:tc>
        <w:tc>
          <w:tcPr>
            <w:tcW w:w="8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ABAAF08" w14:textId="12F1C189" w:rsidR="005F4E55" w:rsidRPr="00CA0695" w:rsidRDefault="005F4E55" w:rsidP="005F4E55">
            <w:pPr>
              <w:jc w:val="center"/>
              <w:rPr>
                <w:rFonts w:ascii="Arial" w:hAnsi="Arial" w:cs="Arial"/>
                <w:color w:val="000000"/>
                <w:sz w:val="18"/>
                <w:szCs w:val="18"/>
              </w:rPr>
            </w:pPr>
            <w:r w:rsidRPr="00CA0695">
              <w:rPr>
                <w:rFonts w:ascii="Arial" w:hAnsi="Arial" w:cs="Arial"/>
                <w:color w:val="000000"/>
                <w:sz w:val="18"/>
                <w:szCs w:val="18"/>
              </w:rPr>
              <w:t>N/A</w:t>
            </w:r>
          </w:p>
        </w:tc>
      </w:tr>
      <w:tr w:rsidR="001B73EF" w:rsidRPr="00CA0695" w14:paraId="4B721C4E" w14:textId="77777777" w:rsidTr="001B73EF">
        <w:trPr>
          <w:trHeight w:val="215"/>
          <w:jc w:val="center"/>
        </w:trPr>
        <w:tc>
          <w:tcPr>
            <w:tcW w:w="518" w:type="pct"/>
            <w:vMerge/>
            <w:tcBorders>
              <w:top w:val="nil"/>
              <w:left w:val="single" w:sz="4" w:space="0" w:color="auto"/>
              <w:bottom w:val="single" w:sz="4" w:space="0" w:color="auto"/>
              <w:right w:val="single" w:sz="4" w:space="0" w:color="auto"/>
            </w:tcBorders>
            <w:vAlign w:val="center"/>
            <w:hideMark/>
          </w:tcPr>
          <w:p w14:paraId="4AABFC44" w14:textId="77777777" w:rsidR="001B73EF" w:rsidRPr="00CA0695" w:rsidRDefault="001B73EF" w:rsidP="00247764">
            <w:pPr>
              <w:rPr>
                <w:rFonts w:ascii="Arial" w:hAnsi="Arial" w:cs="Arial"/>
                <w:b/>
                <w:bCs/>
                <w:color w:val="000000"/>
                <w:sz w:val="18"/>
                <w:szCs w:val="18"/>
              </w:rPr>
            </w:pPr>
          </w:p>
        </w:tc>
        <w:tc>
          <w:tcPr>
            <w:tcW w:w="620" w:type="pct"/>
            <w:tcBorders>
              <w:top w:val="nil"/>
              <w:left w:val="nil"/>
              <w:bottom w:val="single" w:sz="4" w:space="0" w:color="auto"/>
              <w:right w:val="single" w:sz="4" w:space="0" w:color="auto"/>
            </w:tcBorders>
            <w:shd w:val="clear" w:color="000000" w:fill="EDEDED"/>
            <w:noWrap/>
            <w:vAlign w:val="bottom"/>
            <w:hideMark/>
          </w:tcPr>
          <w:p w14:paraId="7AB553D0" w14:textId="77777777" w:rsidR="001B73EF" w:rsidRPr="00CA0695" w:rsidRDefault="001B73EF" w:rsidP="00247764">
            <w:pPr>
              <w:rPr>
                <w:rFonts w:ascii="Arial" w:hAnsi="Arial" w:cs="Arial"/>
                <w:color w:val="000000"/>
                <w:sz w:val="18"/>
                <w:szCs w:val="18"/>
              </w:rPr>
            </w:pPr>
            <w:r w:rsidRPr="00CA0695">
              <w:rPr>
                <w:rFonts w:ascii="Arial" w:hAnsi="Arial" w:cs="Arial"/>
                <w:color w:val="000000"/>
                <w:sz w:val="18"/>
                <w:szCs w:val="18"/>
              </w:rPr>
              <w:t>Do Not Treat</w:t>
            </w:r>
          </w:p>
        </w:tc>
        <w:tc>
          <w:tcPr>
            <w:tcW w:w="454" w:type="pct"/>
            <w:tcBorders>
              <w:top w:val="nil"/>
              <w:left w:val="nil"/>
              <w:bottom w:val="single" w:sz="4" w:space="0" w:color="auto"/>
              <w:right w:val="single" w:sz="4" w:space="0" w:color="auto"/>
            </w:tcBorders>
            <w:shd w:val="clear" w:color="000000" w:fill="EDEDED"/>
            <w:noWrap/>
            <w:vAlign w:val="bottom"/>
            <w:hideMark/>
          </w:tcPr>
          <w:p w14:paraId="195D523E" w14:textId="77777777" w:rsidR="001B73EF" w:rsidRPr="00CA0695" w:rsidRDefault="001B73EF" w:rsidP="00247764">
            <w:pPr>
              <w:jc w:val="center"/>
              <w:rPr>
                <w:rFonts w:ascii="Arial" w:hAnsi="Arial" w:cs="Arial"/>
                <w:color w:val="000000"/>
                <w:sz w:val="18"/>
                <w:szCs w:val="18"/>
              </w:rPr>
            </w:pPr>
            <w:r w:rsidRPr="00CA0695">
              <w:rPr>
                <w:rFonts w:ascii="Arial" w:hAnsi="Arial" w:cs="Arial"/>
                <w:color w:val="000000"/>
                <w:sz w:val="18"/>
                <w:szCs w:val="18"/>
              </w:rPr>
              <w:t>0</w:t>
            </w:r>
          </w:p>
        </w:tc>
        <w:tc>
          <w:tcPr>
            <w:tcW w:w="512" w:type="pct"/>
            <w:tcBorders>
              <w:top w:val="nil"/>
              <w:left w:val="single" w:sz="4" w:space="0" w:color="auto"/>
              <w:bottom w:val="single" w:sz="4" w:space="0" w:color="auto"/>
              <w:right w:val="single" w:sz="4" w:space="0" w:color="auto"/>
            </w:tcBorders>
            <w:shd w:val="clear" w:color="auto" w:fill="E7E6E6" w:themeFill="background2"/>
            <w:noWrap/>
            <w:vAlign w:val="bottom"/>
            <w:hideMark/>
          </w:tcPr>
          <w:p w14:paraId="2C28DBC8" w14:textId="77777777" w:rsidR="001B73EF" w:rsidRPr="00CA0695" w:rsidRDefault="001B73EF" w:rsidP="00247764">
            <w:pPr>
              <w:jc w:val="center"/>
              <w:rPr>
                <w:rFonts w:ascii="Arial" w:hAnsi="Arial" w:cs="Arial"/>
                <w:color w:val="000000"/>
                <w:sz w:val="18"/>
                <w:szCs w:val="18"/>
              </w:rPr>
            </w:pPr>
            <w:r w:rsidRPr="00CA0695">
              <w:rPr>
                <w:rFonts w:ascii="Arial" w:hAnsi="Arial" w:cs="Arial"/>
                <w:color w:val="000000"/>
                <w:sz w:val="18"/>
                <w:szCs w:val="18"/>
              </w:rPr>
              <w:t>0</w:t>
            </w:r>
          </w:p>
        </w:tc>
        <w:tc>
          <w:tcPr>
            <w:tcW w:w="770" w:type="pct"/>
            <w:vMerge/>
            <w:tcBorders>
              <w:top w:val="nil"/>
              <w:left w:val="single" w:sz="4" w:space="0" w:color="auto"/>
              <w:bottom w:val="single" w:sz="4" w:space="0" w:color="auto"/>
              <w:right w:val="single" w:sz="4" w:space="0" w:color="auto"/>
            </w:tcBorders>
            <w:vAlign w:val="center"/>
            <w:hideMark/>
          </w:tcPr>
          <w:p w14:paraId="36845788" w14:textId="77777777" w:rsidR="001B73EF" w:rsidRPr="00CA0695" w:rsidRDefault="001B73EF" w:rsidP="00247764">
            <w:pPr>
              <w:rPr>
                <w:rFonts w:ascii="Arial" w:hAnsi="Arial" w:cs="Arial"/>
                <w:color w:val="000000"/>
                <w:sz w:val="18"/>
                <w:szCs w:val="18"/>
              </w:rPr>
            </w:pPr>
          </w:p>
        </w:tc>
        <w:tc>
          <w:tcPr>
            <w:tcW w:w="556" w:type="pct"/>
            <w:vMerge/>
            <w:tcBorders>
              <w:top w:val="nil"/>
              <w:left w:val="single" w:sz="4" w:space="0" w:color="auto"/>
              <w:bottom w:val="single" w:sz="4" w:space="0" w:color="auto"/>
              <w:right w:val="single" w:sz="4" w:space="0" w:color="auto"/>
            </w:tcBorders>
            <w:vAlign w:val="center"/>
            <w:hideMark/>
          </w:tcPr>
          <w:p w14:paraId="0E1EC803" w14:textId="77777777" w:rsidR="001B73EF" w:rsidRPr="00CA0695" w:rsidRDefault="001B73EF" w:rsidP="00247764">
            <w:pPr>
              <w:rPr>
                <w:rFonts w:ascii="Arial" w:hAnsi="Arial" w:cs="Arial"/>
                <w:color w:val="000000"/>
                <w:sz w:val="18"/>
                <w:szCs w:val="18"/>
              </w:rPr>
            </w:pPr>
          </w:p>
        </w:tc>
        <w:tc>
          <w:tcPr>
            <w:tcW w:w="770" w:type="pct"/>
            <w:vMerge/>
            <w:tcBorders>
              <w:top w:val="nil"/>
              <w:left w:val="single" w:sz="4" w:space="0" w:color="auto"/>
              <w:bottom w:val="single" w:sz="4" w:space="0" w:color="auto"/>
              <w:right w:val="single" w:sz="4" w:space="0" w:color="auto"/>
            </w:tcBorders>
            <w:vAlign w:val="center"/>
            <w:hideMark/>
          </w:tcPr>
          <w:p w14:paraId="4DEBD921" w14:textId="77777777" w:rsidR="001B73EF" w:rsidRPr="00CA0695" w:rsidRDefault="001B73EF" w:rsidP="00247764">
            <w:pPr>
              <w:rPr>
                <w:rFonts w:ascii="Arial" w:hAnsi="Arial" w:cs="Arial"/>
                <w:color w:val="000000"/>
                <w:sz w:val="18"/>
                <w:szCs w:val="18"/>
              </w:rPr>
            </w:pPr>
          </w:p>
        </w:tc>
        <w:tc>
          <w:tcPr>
            <w:tcW w:w="800" w:type="pct"/>
            <w:vMerge/>
            <w:tcBorders>
              <w:top w:val="nil"/>
              <w:left w:val="single" w:sz="4" w:space="0" w:color="auto"/>
              <w:bottom w:val="single" w:sz="4" w:space="0" w:color="auto"/>
              <w:right w:val="single" w:sz="4" w:space="0" w:color="auto"/>
            </w:tcBorders>
            <w:vAlign w:val="center"/>
            <w:hideMark/>
          </w:tcPr>
          <w:p w14:paraId="6BF5B01C" w14:textId="77777777" w:rsidR="001B73EF" w:rsidRPr="00CA0695" w:rsidRDefault="001B73EF" w:rsidP="00247764">
            <w:pPr>
              <w:rPr>
                <w:rFonts w:ascii="Arial" w:hAnsi="Arial" w:cs="Arial"/>
                <w:color w:val="000000"/>
                <w:sz w:val="18"/>
                <w:szCs w:val="18"/>
              </w:rPr>
            </w:pPr>
          </w:p>
        </w:tc>
      </w:tr>
    </w:tbl>
    <w:p w14:paraId="3873DC62" w14:textId="77777777" w:rsidR="00EF3D6E" w:rsidRDefault="00EF3D6E" w:rsidP="00010CD8">
      <w:pPr>
        <w:widowControl w:val="0"/>
        <w:autoSpaceDE w:val="0"/>
        <w:autoSpaceDN w:val="0"/>
        <w:adjustRightInd w:val="0"/>
        <w:rPr>
          <w:rFonts w:ascii="Arial" w:hAnsi="Arial" w:cs="Arial"/>
          <w:color w:val="333333"/>
          <w:sz w:val="20"/>
          <w:szCs w:val="20"/>
          <w:shd w:val="clear" w:color="auto" w:fill="FFFFFF"/>
        </w:rPr>
      </w:pPr>
    </w:p>
    <w:p w14:paraId="0B50FC4B" w14:textId="77777777" w:rsidR="00EF3D6E" w:rsidRDefault="00EF3D6E" w:rsidP="00010CD8">
      <w:pPr>
        <w:widowControl w:val="0"/>
        <w:autoSpaceDE w:val="0"/>
        <w:autoSpaceDN w:val="0"/>
        <w:adjustRightInd w:val="0"/>
        <w:rPr>
          <w:rFonts w:ascii="Arial" w:hAnsi="Arial" w:cs="Arial"/>
          <w:color w:val="333333"/>
          <w:sz w:val="20"/>
          <w:szCs w:val="20"/>
          <w:shd w:val="clear" w:color="auto" w:fill="FFFFFF"/>
        </w:rPr>
      </w:pPr>
    </w:p>
    <w:p w14:paraId="46FDAE2A" w14:textId="77777777" w:rsidR="00EF3D6E" w:rsidRDefault="00EF3D6E" w:rsidP="00010CD8">
      <w:pPr>
        <w:widowControl w:val="0"/>
        <w:autoSpaceDE w:val="0"/>
        <w:autoSpaceDN w:val="0"/>
        <w:adjustRightInd w:val="0"/>
        <w:rPr>
          <w:rFonts w:ascii="Arial" w:hAnsi="Arial" w:cs="Arial"/>
          <w:color w:val="333333"/>
          <w:sz w:val="20"/>
          <w:szCs w:val="20"/>
          <w:shd w:val="clear" w:color="auto" w:fill="FFFFFF"/>
        </w:rPr>
      </w:pPr>
    </w:p>
    <w:p w14:paraId="4DDDA4AF" w14:textId="4B03B919" w:rsidR="007404CE" w:rsidRDefault="007404CE" w:rsidP="002E2BF0">
      <w:pPr>
        <w:widowControl w:val="0"/>
        <w:autoSpaceDE w:val="0"/>
        <w:autoSpaceDN w:val="0"/>
        <w:adjustRightInd w:val="0"/>
        <w:rPr>
          <w:rFonts w:ascii="Arial" w:hAnsi="Arial" w:cs="Arial"/>
          <w:color w:val="333333"/>
          <w:sz w:val="20"/>
          <w:szCs w:val="20"/>
          <w:shd w:val="clear" w:color="auto" w:fill="FFFFFF"/>
        </w:rPr>
      </w:pPr>
    </w:p>
    <w:p w14:paraId="3A38E266" w14:textId="4F543F87" w:rsidR="00DB6CA2" w:rsidRDefault="00EF3D6E" w:rsidP="002E2BF0">
      <w:pPr>
        <w:widowControl w:val="0"/>
        <w:autoSpaceDE w:val="0"/>
        <w:autoSpaceDN w:val="0"/>
        <w:adjustRightInd w:val="0"/>
        <w:rPr>
          <w:rFonts w:asciiTheme="minorHAnsi" w:eastAsiaTheme="minorHAnsi" w:hAnsiTheme="minorHAnsi" w:cstheme="minorBidi"/>
          <w:lang w:eastAsia="en-US"/>
        </w:rPr>
      </w:pPr>
      <w:r>
        <w:rPr>
          <w:shd w:val="clear" w:color="auto" w:fill="FFFFFF"/>
        </w:rPr>
        <w:fldChar w:fldCharType="begin"/>
      </w:r>
      <w:r>
        <w:rPr>
          <w:shd w:val="clear" w:color="auto" w:fill="FFFFFF"/>
        </w:rPr>
        <w:instrText xml:space="preserve"> LINK </w:instrText>
      </w:r>
      <w:r w:rsidR="00466670">
        <w:rPr>
          <w:shd w:val="clear" w:color="auto" w:fill="FFFFFF"/>
        </w:rPr>
        <w:instrText xml:space="preserve">Excel.Sheet.12 "/Users/TomWaterfield/Desktop/PiC Final/CPG Performance Stats/Validation Table.xlsx" Sheet3!R4C2:R21C10 </w:instrText>
      </w:r>
      <w:r>
        <w:rPr>
          <w:shd w:val="clear" w:color="auto" w:fill="FFFFFF"/>
        </w:rPr>
        <w:instrText xml:space="preserve">\a \f 4 \h  \* MERGEFORMAT </w:instrText>
      </w:r>
      <w:r>
        <w:rPr>
          <w:shd w:val="clear" w:color="auto" w:fill="FFFFFF"/>
        </w:rPr>
        <w:fldChar w:fldCharType="separate"/>
      </w:r>
    </w:p>
    <w:p w14:paraId="68E0C0A8" w14:textId="05439959" w:rsidR="007404CE" w:rsidRDefault="00EF3D6E" w:rsidP="002E2BF0">
      <w:pPr>
        <w:widowControl w:val="0"/>
        <w:autoSpaceDE w:val="0"/>
        <w:autoSpaceDN w:val="0"/>
        <w:adjustRightInd w:val="0"/>
        <w:rPr>
          <w:rFonts w:ascii="Arial" w:hAnsi="Arial" w:cs="Arial"/>
          <w:color w:val="333333"/>
          <w:sz w:val="20"/>
          <w:szCs w:val="20"/>
          <w:shd w:val="clear" w:color="auto" w:fill="FFFFFF"/>
        </w:rPr>
      </w:pPr>
      <w:r>
        <w:rPr>
          <w:rFonts w:ascii="Arial" w:hAnsi="Arial" w:cs="Arial"/>
          <w:color w:val="333333"/>
          <w:sz w:val="20"/>
          <w:szCs w:val="20"/>
          <w:shd w:val="clear" w:color="auto" w:fill="FFFFFF"/>
        </w:rPr>
        <w:fldChar w:fldCharType="end"/>
      </w:r>
    </w:p>
    <w:p w14:paraId="26C24086" w14:textId="0487DD70" w:rsidR="007404CE" w:rsidRDefault="007404CE" w:rsidP="002E2BF0">
      <w:pPr>
        <w:widowControl w:val="0"/>
        <w:autoSpaceDE w:val="0"/>
        <w:autoSpaceDN w:val="0"/>
        <w:adjustRightInd w:val="0"/>
        <w:rPr>
          <w:rFonts w:ascii="Arial" w:hAnsi="Arial" w:cs="Arial"/>
          <w:color w:val="333333"/>
          <w:sz w:val="20"/>
          <w:szCs w:val="20"/>
          <w:shd w:val="clear" w:color="auto" w:fill="FFFFFF"/>
        </w:rPr>
      </w:pPr>
    </w:p>
    <w:p w14:paraId="6B46D6EB" w14:textId="17AFEF48" w:rsidR="00EF3D6E" w:rsidRDefault="00EF3D6E" w:rsidP="002E2BF0">
      <w:pPr>
        <w:widowControl w:val="0"/>
        <w:autoSpaceDE w:val="0"/>
        <w:autoSpaceDN w:val="0"/>
        <w:adjustRightInd w:val="0"/>
        <w:rPr>
          <w:rFonts w:ascii="Arial" w:hAnsi="Arial" w:cs="Arial"/>
          <w:color w:val="333333"/>
          <w:sz w:val="20"/>
          <w:szCs w:val="20"/>
          <w:shd w:val="clear" w:color="auto" w:fill="FFFFFF"/>
        </w:rPr>
      </w:pPr>
    </w:p>
    <w:p w14:paraId="537B6503" w14:textId="3FDF0559" w:rsidR="00EF3D6E" w:rsidRDefault="00EF3D6E" w:rsidP="002E2BF0">
      <w:pPr>
        <w:widowControl w:val="0"/>
        <w:autoSpaceDE w:val="0"/>
        <w:autoSpaceDN w:val="0"/>
        <w:adjustRightInd w:val="0"/>
        <w:rPr>
          <w:rFonts w:ascii="Arial" w:hAnsi="Arial" w:cs="Arial"/>
          <w:color w:val="333333"/>
          <w:sz w:val="20"/>
          <w:szCs w:val="20"/>
          <w:shd w:val="clear" w:color="auto" w:fill="FFFFFF"/>
        </w:rPr>
      </w:pPr>
    </w:p>
    <w:p w14:paraId="69DCF854" w14:textId="5D2F95EA" w:rsidR="00EF3D6E" w:rsidRDefault="00EF3D6E" w:rsidP="002E2BF0">
      <w:pPr>
        <w:widowControl w:val="0"/>
        <w:autoSpaceDE w:val="0"/>
        <w:autoSpaceDN w:val="0"/>
        <w:adjustRightInd w:val="0"/>
        <w:rPr>
          <w:rFonts w:ascii="Arial" w:hAnsi="Arial" w:cs="Arial"/>
          <w:color w:val="333333"/>
          <w:sz w:val="20"/>
          <w:szCs w:val="20"/>
          <w:shd w:val="clear" w:color="auto" w:fill="FFFFFF"/>
        </w:rPr>
      </w:pPr>
    </w:p>
    <w:p w14:paraId="4E75F84B" w14:textId="77777777" w:rsidR="002F7471" w:rsidRDefault="002F7471" w:rsidP="002E2BF0">
      <w:pPr>
        <w:widowControl w:val="0"/>
        <w:autoSpaceDE w:val="0"/>
        <w:autoSpaceDN w:val="0"/>
        <w:adjustRightInd w:val="0"/>
        <w:rPr>
          <w:rFonts w:ascii="Arial" w:hAnsi="Arial" w:cs="Arial"/>
          <w:color w:val="333333"/>
          <w:sz w:val="20"/>
          <w:szCs w:val="20"/>
          <w:shd w:val="clear" w:color="auto" w:fill="FFFFFF"/>
        </w:rPr>
        <w:sectPr w:rsidR="002F7471" w:rsidSect="00642C8B">
          <w:pgSz w:w="16840" w:h="11900" w:orient="landscape"/>
          <w:pgMar w:top="1440" w:right="1440" w:bottom="1440" w:left="1440" w:header="113" w:footer="170" w:gutter="0"/>
          <w:cols w:space="720"/>
          <w:docGrid w:linePitch="360"/>
        </w:sectPr>
      </w:pPr>
    </w:p>
    <w:p w14:paraId="7101780E" w14:textId="6067A60C" w:rsidR="007404CE" w:rsidRDefault="007404CE" w:rsidP="002E2BF0">
      <w:pPr>
        <w:widowControl w:val="0"/>
        <w:autoSpaceDE w:val="0"/>
        <w:autoSpaceDN w:val="0"/>
        <w:adjustRightInd w:val="0"/>
        <w:rPr>
          <w:rFonts w:ascii="Arial" w:hAnsi="Arial" w:cs="Arial"/>
          <w:color w:val="333333"/>
          <w:sz w:val="20"/>
          <w:szCs w:val="20"/>
          <w:shd w:val="clear" w:color="auto" w:fill="FFFFFF"/>
        </w:rPr>
      </w:pPr>
    </w:p>
    <w:p w14:paraId="0D9E12D5" w14:textId="77777777" w:rsidR="00ED0564" w:rsidRDefault="00ED0564" w:rsidP="00E72D9E">
      <w:pPr>
        <w:pStyle w:val="NormalWeb"/>
        <w:shd w:val="clear" w:color="auto" w:fill="EDDDF7"/>
        <w:jc w:val="both"/>
      </w:pPr>
      <w:r>
        <w:rPr>
          <w:rFonts w:ascii="Shaker2Lancet" w:hAnsi="Shaker2Lancet"/>
          <w:b/>
          <w:bCs/>
          <w:color w:val="7500BC"/>
          <w:sz w:val="18"/>
          <w:szCs w:val="18"/>
        </w:rPr>
        <w:t xml:space="preserve">Research in context </w:t>
      </w:r>
    </w:p>
    <w:p w14:paraId="044523D7" w14:textId="77777777" w:rsidR="00ED0564" w:rsidRDefault="00ED0564" w:rsidP="00D31305">
      <w:pPr>
        <w:pStyle w:val="NormalWeb"/>
        <w:shd w:val="clear" w:color="auto" w:fill="EDDDF7"/>
        <w:jc w:val="both"/>
      </w:pPr>
      <w:r>
        <w:rPr>
          <w:rFonts w:ascii="Shaker2Lancet" w:hAnsi="Shaker2Lancet"/>
          <w:b/>
          <w:bCs/>
          <w:sz w:val="16"/>
          <w:szCs w:val="16"/>
        </w:rPr>
        <w:t xml:space="preserve">Evidence before this study </w:t>
      </w:r>
    </w:p>
    <w:p w14:paraId="1ED6AAE3" w14:textId="2D52314E" w:rsidR="00E20336" w:rsidRDefault="006E029E" w:rsidP="00D31305">
      <w:pPr>
        <w:pStyle w:val="NormalWeb"/>
        <w:shd w:val="clear" w:color="auto" w:fill="EDDDF7"/>
        <w:jc w:val="both"/>
        <w:rPr>
          <w:rFonts w:ascii="Shaker2Lancet" w:hAnsi="Shaker2Lancet"/>
          <w:sz w:val="16"/>
          <w:szCs w:val="16"/>
        </w:rPr>
      </w:pPr>
      <w:r>
        <w:rPr>
          <w:rFonts w:ascii="Shaker2Lancet" w:hAnsi="Shaker2Lancet"/>
          <w:sz w:val="16"/>
          <w:szCs w:val="16"/>
        </w:rPr>
        <w:t xml:space="preserve">Historically it has been reported that between 10% and 20% of children with fever and a non-blanching </w:t>
      </w:r>
      <w:r w:rsidR="002918E3">
        <w:rPr>
          <w:rFonts w:ascii="Shaker2Lancet" w:hAnsi="Shaker2Lancet"/>
          <w:sz w:val="16"/>
          <w:szCs w:val="16"/>
        </w:rPr>
        <w:t>rash will</w:t>
      </w:r>
      <w:r>
        <w:rPr>
          <w:rFonts w:ascii="Shaker2Lancet" w:hAnsi="Shaker2Lancet"/>
          <w:sz w:val="16"/>
          <w:szCs w:val="16"/>
        </w:rPr>
        <w:t xml:space="preserve"> have an underlying meningococcal infection</w:t>
      </w:r>
      <w:r w:rsidR="005E4E53">
        <w:rPr>
          <w:rFonts w:ascii="Shaker2Lancet" w:hAnsi="Shaker2Lancet"/>
          <w:sz w:val="16"/>
          <w:szCs w:val="16"/>
        </w:rPr>
        <w:t xml:space="preserve">. </w:t>
      </w:r>
      <w:r>
        <w:rPr>
          <w:rFonts w:ascii="Shaker2Lancet" w:hAnsi="Shaker2Lancet"/>
          <w:sz w:val="16"/>
          <w:szCs w:val="16"/>
        </w:rPr>
        <w:t>Due to this reported high risk of meningococcal disease many clinical practice guidelines advocate an aggressive approach to investigation and treatment of any child with a history of fever and a non-blanching rash</w:t>
      </w:r>
      <w:r w:rsidR="005E4E53">
        <w:rPr>
          <w:rFonts w:ascii="Shaker2Lancet" w:hAnsi="Shaker2Lancet"/>
          <w:sz w:val="16"/>
          <w:szCs w:val="16"/>
        </w:rPr>
        <w:t xml:space="preserve">. </w:t>
      </w:r>
      <w:r w:rsidR="00692DA7">
        <w:rPr>
          <w:rFonts w:ascii="Shaker2Lancet" w:hAnsi="Shaker2Lancet"/>
          <w:sz w:val="16"/>
          <w:szCs w:val="16"/>
        </w:rPr>
        <w:t>This leads to many children undergoing painful procedures and receiving parenteral antibiotics</w:t>
      </w:r>
      <w:r w:rsidR="005E4E53">
        <w:rPr>
          <w:rFonts w:ascii="Shaker2Lancet" w:hAnsi="Shaker2Lancet"/>
          <w:sz w:val="16"/>
          <w:szCs w:val="16"/>
        </w:rPr>
        <w:t xml:space="preserve">. </w:t>
      </w:r>
      <w:r>
        <w:rPr>
          <w:rFonts w:ascii="Shaker2Lancet" w:hAnsi="Shaker2Lancet"/>
          <w:sz w:val="16"/>
          <w:szCs w:val="16"/>
        </w:rPr>
        <w:t xml:space="preserve">Unfortunately the studies on which these guidelines are based were </w:t>
      </w:r>
      <w:r w:rsidR="00177D48">
        <w:rPr>
          <w:rFonts w:ascii="Shaker2Lancet" w:hAnsi="Shaker2Lancet"/>
          <w:sz w:val="16"/>
          <w:szCs w:val="16"/>
        </w:rPr>
        <w:t xml:space="preserve">poorly </w:t>
      </w:r>
      <w:r>
        <w:rPr>
          <w:rFonts w:ascii="Shaker2Lancet" w:hAnsi="Shaker2Lancet"/>
          <w:sz w:val="16"/>
          <w:szCs w:val="16"/>
        </w:rPr>
        <w:t>conducted prior to the introduction of meningococcal vaccinations</w:t>
      </w:r>
      <w:r w:rsidR="003B7898">
        <w:rPr>
          <w:rFonts w:ascii="Shaker2Lancet" w:hAnsi="Shaker2Lancet"/>
          <w:sz w:val="16"/>
          <w:szCs w:val="16"/>
        </w:rPr>
        <w:t>,</w:t>
      </w:r>
      <w:r>
        <w:rPr>
          <w:rFonts w:ascii="Shaker2Lancet" w:hAnsi="Shaker2Lancet"/>
          <w:sz w:val="16"/>
          <w:szCs w:val="16"/>
        </w:rPr>
        <w:t xml:space="preserve"> </w:t>
      </w:r>
      <w:r w:rsidR="00692DA7">
        <w:rPr>
          <w:rFonts w:ascii="Shaker2Lancet" w:hAnsi="Shaker2Lancet"/>
          <w:sz w:val="16"/>
          <w:szCs w:val="16"/>
        </w:rPr>
        <w:t xml:space="preserve">on </w:t>
      </w:r>
      <w:r>
        <w:rPr>
          <w:rFonts w:ascii="Shaker2Lancet" w:hAnsi="Shaker2Lancet"/>
          <w:sz w:val="16"/>
          <w:szCs w:val="16"/>
        </w:rPr>
        <w:t>small population</w:t>
      </w:r>
      <w:r w:rsidR="00692DA7">
        <w:rPr>
          <w:rFonts w:ascii="Shaker2Lancet" w:hAnsi="Shaker2Lancet"/>
          <w:sz w:val="16"/>
          <w:szCs w:val="16"/>
        </w:rPr>
        <w:t>s</w:t>
      </w:r>
      <w:r>
        <w:rPr>
          <w:rFonts w:ascii="Shaker2Lancet" w:hAnsi="Shaker2Lancet"/>
          <w:sz w:val="16"/>
          <w:szCs w:val="16"/>
        </w:rPr>
        <w:t xml:space="preserve"> </w:t>
      </w:r>
      <w:r w:rsidR="00692DA7">
        <w:rPr>
          <w:rFonts w:ascii="Shaker2Lancet" w:hAnsi="Shaker2Lancet"/>
          <w:sz w:val="16"/>
          <w:szCs w:val="16"/>
        </w:rPr>
        <w:t xml:space="preserve">of </w:t>
      </w:r>
      <w:r w:rsidR="002918E3">
        <w:rPr>
          <w:rFonts w:ascii="Shaker2Lancet" w:hAnsi="Shaker2Lancet"/>
          <w:sz w:val="16"/>
          <w:szCs w:val="16"/>
        </w:rPr>
        <w:t xml:space="preserve">inpatient </w:t>
      </w:r>
      <w:r w:rsidR="00692DA7">
        <w:rPr>
          <w:rFonts w:ascii="Shaker2Lancet" w:hAnsi="Shaker2Lancet"/>
          <w:sz w:val="16"/>
          <w:szCs w:val="16"/>
        </w:rPr>
        <w:t xml:space="preserve">children </w:t>
      </w:r>
      <w:r>
        <w:rPr>
          <w:rFonts w:ascii="Shaker2Lancet" w:hAnsi="Shaker2Lancet"/>
          <w:sz w:val="16"/>
          <w:szCs w:val="16"/>
        </w:rPr>
        <w:t>using convenience sampling or retrospective data collection</w:t>
      </w:r>
      <w:r w:rsidR="005E4E53">
        <w:rPr>
          <w:rFonts w:ascii="Shaker2Lancet" w:hAnsi="Shaker2Lancet"/>
          <w:sz w:val="16"/>
          <w:szCs w:val="16"/>
        </w:rPr>
        <w:t xml:space="preserve">. </w:t>
      </w:r>
    </w:p>
    <w:p w14:paraId="67691BE4" w14:textId="1334191D" w:rsidR="00E3099B" w:rsidRDefault="006E029E" w:rsidP="00D31305">
      <w:pPr>
        <w:pStyle w:val="NormalWeb"/>
        <w:shd w:val="clear" w:color="auto" w:fill="EDDDF7"/>
        <w:jc w:val="both"/>
        <w:rPr>
          <w:rFonts w:ascii="Shaker2Lancet" w:hAnsi="Shaker2Lancet"/>
          <w:sz w:val="16"/>
          <w:szCs w:val="16"/>
        </w:rPr>
      </w:pPr>
      <w:r>
        <w:rPr>
          <w:rFonts w:ascii="Shaker2Lancet" w:hAnsi="Shaker2Lancet"/>
          <w:sz w:val="16"/>
          <w:szCs w:val="16"/>
        </w:rPr>
        <w:t>The vast majority of clinical practice guideline</w:t>
      </w:r>
      <w:r w:rsidR="00692DA7">
        <w:rPr>
          <w:rFonts w:ascii="Shaker2Lancet" w:hAnsi="Shaker2Lancet"/>
          <w:sz w:val="16"/>
          <w:szCs w:val="16"/>
        </w:rPr>
        <w:t xml:space="preserve">s </w:t>
      </w:r>
      <w:r>
        <w:rPr>
          <w:rFonts w:ascii="Shaker2Lancet" w:hAnsi="Shaker2Lancet"/>
          <w:sz w:val="16"/>
          <w:szCs w:val="16"/>
        </w:rPr>
        <w:t>currently in use in the UK have never been validated and none have been validated in a vaccinated population</w:t>
      </w:r>
      <w:r w:rsidR="007218B3">
        <w:rPr>
          <w:rFonts w:ascii="Shaker2Lancet" w:hAnsi="Shaker2Lancet"/>
          <w:sz w:val="16"/>
          <w:szCs w:val="16"/>
        </w:rPr>
        <w:t xml:space="preserve">. </w:t>
      </w:r>
      <w:r>
        <w:rPr>
          <w:rFonts w:ascii="Shaker2Lancet" w:hAnsi="Shaker2Lancet"/>
          <w:sz w:val="16"/>
          <w:szCs w:val="16"/>
        </w:rPr>
        <w:t xml:space="preserve"> </w:t>
      </w:r>
      <w:r w:rsidR="00E20336">
        <w:rPr>
          <w:rFonts w:ascii="Shaker2Lancet" w:hAnsi="Shaker2Lancet"/>
          <w:sz w:val="16"/>
          <w:szCs w:val="16"/>
        </w:rPr>
        <w:t>The only previously published validation exercise relied on using retrospective data collected from 1998 to 2001. The vast majority of children in that study had not received the Meningococcal C vaccination (which became available in 1999 in the UK).</w:t>
      </w:r>
    </w:p>
    <w:p w14:paraId="385B4648" w14:textId="77777777" w:rsidR="002918E3" w:rsidRDefault="00ED0564" w:rsidP="00D31305">
      <w:pPr>
        <w:pStyle w:val="NormalWeb"/>
        <w:shd w:val="clear" w:color="auto" w:fill="EDDDF7"/>
        <w:jc w:val="both"/>
      </w:pPr>
      <w:r>
        <w:rPr>
          <w:rFonts w:ascii="Shaker2Lancet" w:hAnsi="Shaker2Lancet"/>
          <w:b/>
          <w:bCs/>
          <w:sz w:val="16"/>
          <w:szCs w:val="16"/>
        </w:rPr>
        <w:t xml:space="preserve">Added value of this study </w:t>
      </w:r>
    </w:p>
    <w:p w14:paraId="141D6C6B" w14:textId="663D7029" w:rsidR="00E3099B" w:rsidRDefault="006E029E" w:rsidP="00D31305">
      <w:pPr>
        <w:pStyle w:val="NormalWeb"/>
        <w:shd w:val="clear" w:color="auto" w:fill="EDDDF7"/>
        <w:jc w:val="both"/>
        <w:rPr>
          <w:rFonts w:ascii="Shaker2Lancet" w:hAnsi="Shaker2Lancet"/>
          <w:sz w:val="16"/>
          <w:szCs w:val="16"/>
        </w:rPr>
      </w:pPr>
      <w:r>
        <w:rPr>
          <w:rFonts w:ascii="Shaker2Lancet" w:hAnsi="Shaker2Lancet"/>
          <w:sz w:val="16"/>
          <w:szCs w:val="16"/>
        </w:rPr>
        <w:t xml:space="preserve">This study is the largest study of fever of non-blanching rash conducted </w:t>
      </w:r>
      <w:r w:rsidR="003B7898">
        <w:rPr>
          <w:rFonts w:ascii="Shaker2Lancet" w:hAnsi="Shaker2Lancet"/>
          <w:sz w:val="16"/>
          <w:szCs w:val="16"/>
        </w:rPr>
        <w:t xml:space="preserve">to date </w:t>
      </w:r>
      <w:r>
        <w:rPr>
          <w:rFonts w:ascii="Shaker2Lancet" w:hAnsi="Shaker2Lancet"/>
          <w:sz w:val="16"/>
          <w:szCs w:val="16"/>
        </w:rPr>
        <w:t>and the first to be conducted in a vaccinated population</w:t>
      </w:r>
      <w:r w:rsidR="00E3099B">
        <w:rPr>
          <w:rFonts w:ascii="Shaker2Lancet" w:hAnsi="Shaker2Lancet"/>
          <w:sz w:val="16"/>
          <w:szCs w:val="16"/>
        </w:rPr>
        <w:t xml:space="preserve"> with the majority of children in this study having received the Meningococcal B (70%) and Meningococcal C (73%) vaccinations. </w:t>
      </w:r>
      <w:r w:rsidR="00692DA7">
        <w:rPr>
          <w:rFonts w:ascii="Shaker2Lancet" w:hAnsi="Shaker2Lancet"/>
          <w:sz w:val="16"/>
          <w:szCs w:val="16"/>
        </w:rPr>
        <w:t>This study has shown that</w:t>
      </w:r>
      <w:r w:rsidR="00E72D9E">
        <w:rPr>
          <w:rFonts w:ascii="Shaker2Lancet" w:hAnsi="Shaker2Lancet"/>
          <w:sz w:val="16"/>
          <w:szCs w:val="16"/>
        </w:rPr>
        <w:t>,</w:t>
      </w:r>
      <w:r w:rsidR="003B7898">
        <w:rPr>
          <w:rFonts w:ascii="Shaker2Lancet" w:hAnsi="Shaker2Lancet"/>
          <w:sz w:val="16"/>
          <w:szCs w:val="16"/>
        </w:rPr>
        <w:t xml:space="preserve"> </w:t>
      </w:r>
      <w:r w:rsidR="00692DA7">
        <w:rPr>
          <w:rFonts w:ascii="Shaker2Lancet" w:hAnsi="Shaker2Lancet"/>
          <w:sz w:val="16"/>
          <w:szCs w:val="16"/>
        </w:rPr>
        <w:t>currently in the UK</w:t>
      </w:r>
      <w:r w:rsidR="00E72D9E">
        <w:rPr>
          <w:rFonts w:ascii="Shaker2Lancet" w:hAnsi="Shaker2Lancet"/>
          <w:sz w:val="16"/>
          <w:szCs w:val="16"/>
        </w:rPr>
        <w:t>,</w:t>
      </w:r>
      <w:r w:rsidR="00692DA7">
        <w:rPr>
          <w:rFonts w:ascii="Shaker2Lancet" w:hAnsi="Shaker2Lancet"/>
          <w:sz w:val="16"/>
          <w:szCs w:val="16"/>
        </w:rPr>
        <w:t xml:space="preserve"> meningococcal disease is a rare cause of fever and non-blanching rash</w:t>
      </w:r>
      <w:r w:rsidR="003B7898">
        <w:rPr>
          <w:rFonts w:ascii="Shaker2Lancet" w:hAnsi="Shaker2Lancet"/>
          <w:sz w:val="16"/>
          <w:szCs w:val="16"/>
        </w:rPr>
        <w:t>,</w:t>
      </w:r>
      <w:r w:rsidR="00692DA7">
        <w:rPr>
          <w:rFonts w:ascii="Shaker2Lancet" w:hAnsi="Shaker2Lancet"/>
          <w:sz w:val="16"/>
          <w:szCs w:val="16"/>
        </w:rPr>
        <w:t xml:space="preserve"> accounting for just 1.</w:t>
      </w:r>
      <w:r w:rsidR="00202A7B">
        <w:rPr>
          <w:rFonts w:ascii="Shaker2Lancet" w:hAnsi="Shaker2Lancet"/>
          <w:sz w:val="16"/>
          <w:szCs w:val="16"/>
        </w:rPr>
        <w:t>4</w:t>
      </w:r>
      <w:r w:rsidR="00692DA7">
        <w:rPr>
          <w:rFonts w:ascii="Shaker2Lancet" w:hAnsi="Shaker2Lancet"/>
          <w:sz w:val="16"/>
          <w:szCs w:val="16"/>
        </w:rPr>
        <w:t>% of</w:t>
      </w:r>
      <w:r w:rsidR="00177D48">
        <w:rPr>
          <w:rFonts w:ascii="Shaker2Lancet" w:hAnsi="Shaker2Lancet"/>
          <w:sz w:val="16"/>
          <w:szCs w:val="16"/>
        </w:rPr>
        <w:t xml:space="preserve"> cases</w:t>
      </w:r>
      <w:r w:rsidR="00E3099B">
        <w:rPr>
          <w:rFonts w:ascii="Shaker2Lancet" w:hAnsi="Shaker2Lancet"/>
          <w:sz w:val="16"/>
          <w:szCs w:val="16"/>
        </w:rPr>
        <w:t>.</w:t>
      </w:r>
      <w:r w:rsidR="00E20336">
        <w:rPr>
          <w:rFonts w:ascii="Shaker2Lancet" w:hAnsi="Shaker2Lancet"/>
          <w:sz w:val="16"/>
          <w:szCs w:val="16"/>
        </w:rPr>
        <w:t xml:space="preserve"> In</w:t>
      </w:r>
      <w:r w:rsidR="00177D48">
        <w:rPr>
          <w:rFonts w:ascii="Shaker2Lancet" w:hAnsi="Shaker2Lancet"/>
          <w:sz w:val="16"/>
          <w:szCs w:val="16"/>
        </w:rPr>
        <w:t xml:space="preserve"> this study</w:t>
      </w:r>
      <w:r w:rsidR="00E20336">
        <w:rPr>
          <w:rFonts w:ascii="Shaker2Lancet" w:hAnsi="Shaker2Lancet"/>
          <w:sz w:val="16"/>
          <w:szCs w:val="16"/>
        </w:rPr>
        <w:t xml:space="preserve"> a tailored approach was superior to NICE guidelines CG102 and NG51 with no missed cases of meningococcal disease, fewer investigations, fewer parenteral antibiotics used and a lower cost per patient. </w:t>
      </w:r>
    </w:p>
    <w:p w14:paraId="7D2246C4" w14:textId="77777777" w:rsidR="00E72D9E" w:rsidRDefault="00ED0564" w:rsidP="00D31305">
      <w:pPr>
        <w:pStyle w:val="NormalWeb"/>
        <w:shd w:val="clear" w:color="auto" w:fill="EDDDF7"/>
        <w:rPr>
          <w:rFonts w:ascii="Shaker2Lancet" w:hAnsi="Shaker2Lancet"/>
          <w:b/>
          <w:bCs/>
          <w:sz w:val="16"/>
          <w:szCs w:val="16"/>
        </w:rPr>
      </w:pPr>
      <w:r>
        <w:rPr>
          <w:rFonts w:ascii="Shaker2Lancet" w:hAnsi="Shaker2Lancet"/>
          <w:sz w:val="16"/>
          <w:szCs w:val="16"/>
        </w:rPr>
        <w:br/>
      </w:r>
      <w:r>
        <w:rPr>
          <w:rFonts w:ascii="Shaker2Lancet" w:hAnsi="Shaker2Lancet"/>
          <w:b/>
          <w:bCs/>
          <w:sz w:val="16"/>
          <w:szCs w:val="16"/>
        </w:rPr>
        <w:t>Implications of all the available evidence</w:t>
      </w:r>
    </w:p>
    <w:p w14:paraId="31DD0B82" w14:textId="05901043" w:rsidR="00692DA7" w:rsidRDefault="00692DA7" w:rsidP="00D31305">
      <w:pPr>
        <w:pStyle w:val="NormalWeb"/>
        <w:shd w:val="clear" w:color="auto" w:fill="EDDDF7"/>
        <w:jc w:val="both"/>
        <w:rPr>
          <w:rFonts w:ascii="Shaker2Lancet" w:hAnsi="Shaker2Lancet"/>
          <w:bCs/>
          <w:sz w:val="16"/>
          <w:szCs w:val="16"/>
        </w:rPr>
      </w:pPr>
      <w:r>
        <w:rPr>
          <w:rFonts w:ascii="Shaker2Lancet" w:hAnsi="Shaker2Lancet"/>
          <w:sz w:val="16"/>
          <w:szCs w:val="16"/>
        </w:rPr>
        <w:t>This study supports a change</w:t>
      </w:r>
      <w:r w:rsidR="00E72D9E">
        <w:rPr>
          <w:rFonts w:ascii="Shaker2Lancet" w:hAnsi="Shaker2Lancet"/>
          <w:sz w:val="16"/>
          <w:szCs w:val="16"/>
        </w:rPr>
        <w:t>,</w:t>
      </w:r>
      <w:r>
        <w:rPr>
          <w:rFonts w:ascii="Shaker2Lancet" w:hAnsi="Shaker2Lancet"/>
          <w:sz w:val="16"/>
          <w:szCs w:val="16"/>
        </w:rPr>
        <w:t xml:space="preserve"> in the </w:t>
      </w:r>
      <w:r w:rsidR="00D31305">
        <w:rPr>
          <w:rFonts w:ascii="Shaker2Lancet" w:hAnsi="Shaker2Lancet"/>
          <w:sz w:val="16"/>
          <w:szCs w:val="16"/>
        </w:rPr>
        <w:t>UK, from current NICE guidance to a more tailored approach</w:t>
      </w:r>
      <w:r w:rsidR="005E4E53">
        <w:rPr>
          <w:rFonts w:ascii="Shaker2Lancet" w:hAnsi="Shaker2Lancet"/>
          <w:bCs/>
          <w:sz w:val="16"/>
          <w:szCs w:val="16"/>
        </w:rPr>
        <w:t>.</w:t>
      </w:r>
      <w:r w:rsidR="00D31305">
        <w:rPr>
          <w:rFonts w:ascii="Shaker2Lancet" w:hAnsi="Shaker2Lancet"/>
          <w:bCs/>
          <w:sz w:val="16"/>
          <w:szCs w:val="16"/>
        </w:rPr>
        <w:t xml:space="preserve"> Changing to a tailored approach as exemplified by the London CPG would have resulted in </w:t>
      </w:r>
      <w:r w:rsidR="00D31305" w:rsidRPr="00D31305">
        <w:rPr>
          <w:rFonts w:ascii="Shaker2Lancet" w:hAnsi="Shaker2Lancet"/>
          <w:bCs/>
          <w:sz w:val="16"/>
          <w:szCs w:val="16"/>
        </w:rPr>
        <w:t xml:space="preserve">332 fewer children requiring blood tests, 475 fewer children requiring parenteral antibiotics and </w:t>
      </w:r>
      <w:r w:rsidR="006567A4">
        <w:rPr>
          <w:rFonts w:ascii="Shaker2Lancet" w:hAnsi="Shaker2Lancet"/>
          <w:bCs/>
          <w:sz w:val="16"/>
          <w:szCs w:val="16"/>
        </w:rPr>
        <w:t>cost savin</w:t>
      </w:r>
      <w:r w:rsidR="00177D48">
        <w:rPr>
          <w:rFonts w:ascii="Shaker2Lancet" w:hAnsi="Shaker2Lancet"/>
          <w:bCs/>
          <w:sz w:val="16"/>
          <w:szCs w:val="16"/>
        </w:rPr>
        <w:t>g per patient of £170</w:t>
      </w:r>
      <w:r w:rsidR="00D31305">
        <w:rPr>
          <w:rFonts w:ascii="Shaker2Lancet" w:hAnsi="Shaker2Lancet"/>
          <w:bCs/>
          <w:sz w:val="16"/>
          <w:szCs w:val="16"/>
        </w:rPr>
        <w:t xml:space="preserve"> (compared to NICE NG51).</w:t>
      </w:r>
    </w:p>
    <w:p w14:paraId="0B7C9D2B" w14:textId="77777777" w:rsidR="00E72D9E" w:rsidRPr="00E72D9E" w:rsidRDefault="00E72D9E" w:rsidP="00E72D9E">
      <w:pPr>
        <w:pStyle w:val="NormalWeb"/>
        <w:shd w:val="clear" w:color="auto" w:fill="EDDDF7"/>
        <w:jc w:val="both"/>
        <w:rPr>
          <w:rFonts w:ascii="Shaker2Lancet" w:hAnsi="Shaker2Lancet"/>
          <w:sz w:val="16"/>
          <w:szCs w:val="16"/>
        </w:rPr>
      </w:pPr>
    </w:p>
    <w:p w14:paraId="035A0908" w14:textId="3019363F" w:rsidR="007404CE" w:rsidRDefault="007404CE" w:rsidP="002E2BF0">
      <w:pPr>
        <w:widowControl w:val="0"/>
        <w:autoSpaceDE w:val="0"/>
        <w:autoSpaceDN w:val="0"/>
        <w:adjustRightInd w:val="0"/>
        <w:rPr>
          <w:rFonts w:ascii="Arial" w:hAnsi="Arial" w:cs="Arial"/>
          <w:color w:val="333333"/>
          <w:sz w:val="20"/>
          <w:szCs w:val="20"/>
          <w:shd w:val="clear" w:color="auto" w:fill="FFFFFF"/>
        </w:rPr>
      </w:pPr>
    </w:p>
    <w:p w14:paraId="1032595A" w14:textId="769A84DE" w:rsidR="007404CE" w:rsidRDefault="007404CE" w:rsidP="002E2BF0">
      <w:pPr>
        <w:widowControl w:val="0"/>
        <w:autoSpaceDE w:val="0"/>
        <w:autoSpaceDN w:val="0"/>
        <w:adjustRightInd w:val="0"/>
        <w:rPr>
          <w:rFonts w:ascii="Arial" w:hAnsi="Arial" w:cs="Arial"/>
          <w:color w:val="333333"/>
          <w:sz w:val="20"/>
          <w:szCs w:val="20"/>
          <w:shd w:val="clear" w:color="auto" w:fill="FFFFFF"/>
        </w:rPr>
      </w:pPr>
    </w:p>
    <w:p w14:paraId="61C6834F" w14:textId="002A8F72" w:rsidR="00EF3D6E" w:rsidRDefault="00E3099B" w:rsidP="00E3099B">
      <w:pPr>
        <w:widowControl w:val="0"/>
        <w:autoSpaceDE w:val="0"/>
        <w:autoSpaceDN w:val="0"/>
        <w:adjustRightInd w:val="0"/>
        <w:rPr>
          <w:rFonts w:ascii="Arial" w:hAnsi="Arial" w:cs="Arial"/>
          <w:color w:val="333333"/>
          <w:sz w:val="20"/>
          <w:szCs w:val="20"/>
          <w:shd w:val="clear" w:color="auto" w:fill="FFFFFF"/>
        </w:rPr>
      </w:pPr>
      <w:bookmarkStart w:id="0" w:name="_GoBack"/>
      <w:bookmarkEnd w:id="0"/>
      <w:r w:rsidRPr="00CC40D1">
        <w:rPr>
          <w:rFonts w:ascii="Arial" w:hAnsi="Arial" w:cs="Arial"/>
          <w:sz w:val="20"/>
          <w:szCs w:val="20"/>
        </w:rPr>
        <w:br/>
      </w:r>
      <w:r w:rsidRPr="00CC40D1">
        <w:rPr>
          <w:rFonts w:ascii="Arial" w:hAnsi="Arial" w:cs="Arial"/>
          <w:sz w:val="20"/>
          <w:szCs w:val="20"/>
        </w:rPr>
        <w:br/>
      </w:r>
    </w:p>
    <w:p w14:paraId="602701A4" w14:textId="77777777" w:rsidR="006A5538" w:rsidRDefault="006A5538" w:rsidP="002E2BF0">
      <w:pPr>
        <w:widowControl w:val="0"/>
        <w:autoSpaceDE w:val="0"/>
        <w:autoSpaceDN w:val="0"/>
        <w:adjustRightInd w:val="0"/>
        <w:rPr>
          <w:rFonts w:ascii="Arial" w:hAnsi="Arial" w:cs="Arial"/>
          <w:color w:val="333333"/>
          <w:sz w:val="20"/>
          <w:szCs w:val="20"/>
          <w:shd w:val="clear" w:color="auto" w:fill="FFFFFF"/>
        </w:rPr>
      </w:pPr>
    </w:p>
    <w:p w14:paraId="74808C6A" w14:textId="77777777" w:rsidR="00681B13" w:rsidRDefault="00681B13" w:rsidP="002E2BF0">
      <w:pPr>
        <w:widowControl w:val="0"/>
        <w:autoSpaceDE w:val="0"/>
        <w:autoSpaceDN w:val="0"/>
        <w:adjustRightInd w:val="0"/>
        <w:rPr>
          <w:rFonts w:ascii="Arial" w:hAnsi="Arial" w:cs="Arial"/>
          <w:color w:val="333333"/>
          <w:sz w:val="20"/>
          <w:szCs w:val="20"/>
          <w:shd w:val="clear" w:color="auto" w:fill="FFFFFF"/>
        </w:rPr>
      </w:pPr>
    </w:p>
    <w:p w14:paraId="108DB41C" w14:textId="77777777" w:rsidR="00681B13" w:rsidRDefault="00681B13" w:rsidP="002E2BF0">
      <w:pPr>
        <w:widowControl w:val="0"/>
        <w:autoSpaceDE w:val="0"/>
        <w:autoSpaceDN w:val="0"/>
        <w:adjustRightInd w:val="0"/>
        <w:rPr>
          <w:rFonts w:ascii="Arial" w:hAnsi="Arial" w:cs="Arial"/>
          <w:color w:val="333333"/>
          <w:sz w:val="20"/>
          <w:szCs w:val="20"/>
          <w:shd w:val="clear" w:color="auto" w:fill="FFFFFF"/>
        </w:rPr>
      </w:pPr>
    </w:p>
    <w:p w14:paraId="29F60B65" w14:textId="3EEED006" w:rsidR="00681B13" w:rsidRDefault="00681B13" w:rsidP="002E2BF0">
      <w:pPr>
        <w:widowControl w:val="0"/>
        <w:autoSpaceDE w:val="0"/>
        <w:autoSpaceDN w:val="0"/>
        <w:adjustRightInd w:val="0"/>
        <w:rPr>
          <w:rFonts w:ascii="Arial" w:hAnsi="Arial" w:cs="Arial"/>
          <w:color w:val="333333"/>
          <w:sz w:val="20"/>
          <w:szCs w:val="20"/>
          <w:shd w:val="clear" w:color="auto" w:fill="FFFFFF"/>
        </w:rPr>
      </w:pPr>
    </w:p>
    <w:p w14:paraId="38306280" w14:textId="1280F46A" w:rsidR="002E2BF0" w:rsidRDefault="002E2BF0" w:rsidP="002E2BF0">
      <w:pPr>
        <w:widowControl w:val="0"/>
        <w:autoSpaceDE w:val="0"/>
        <w:autoSpaceDN w:val="0"/>
        <w:adjustRightInd w:val="0"/>
        <w:rPr>
          <w:rFonts w:ascii="Arial" w:hAnsi="Arial" w:cs="Arial"/>
          <w:color w:val="333333"/>
          <w:sz w:val="20"/>
          <w:szCs w:val="20"/>
          <w:shd w:val="clear" w:color="auto" w:fill="FFFFFF"/>
        </w:rPr>
      </w:pPr>
      <w:r>
        <w:rPr>
          <w:rFonts w:ascii="Arial" w:hAnsi="Arial" w:cs="Arial"/>
          <w:color w:val="333333"/>
          <w:sz w:val="20"/>
          <w:szCs w:val="20"/>
          <w:shd w:val="clear" w:color="auto" w:fill="FFFFFF"/>
        </w:rPr>
        <w:t>Figure 1: Study Flow Diagram</w:t>
      </w:r>
    </w:p>
    <w:p w14:paraId="7A031A89" w14:textId="77777777" w:rsidR="00B412A7" w:rsidRDefault="00B412A7" w:rsidP="00B412A7">
      <w:pPr>
        <w:widowControl w:val="0"/>
        <w:autoSpaceDE w:val="0"/>
        <w:autoSpaceDN w:val="0"/>
        <w:adjustRightInd w:val="0"/>
        <w:rPr>
          <w:rFonts w:ascii="Arial" w:hAnsi="Arial" w:cs="Arial"/>
          <w:color w:val="333333"/>
          <w:sz w:val="20"/>
          <w:szCs w:val="20"/>
          <w:shd w:val="clear" w:color="auto" w:fill="FFFFFF"/>
        </w:rPr>
      </w:pPr>
    </w:p>
    <w:p w14:paraId="782D44C5" w14:textId="77777777" w:rsidR="00B412A7" w:rsidRPr="00C03552" w:rsidRDefault="00B412A7" w:rsidP="002E2BF0">
      <w:pPr>
        <w:widowControl w:val="0"/>
        <w:autoSpaceDE w:val="0"/>
        <w:autoSpaceDN w:val="0"/>
        <w:adjustRightInd w:val="0"/>
        <w:rPr>
          <w:rFonts w:ascii="Arial" w:hAnsi="Arial" w:cs="Arial"/>
          <w:color w:val="333333"/>
          <w:sz w:val="20"/>
          <w:szCs w:val="20"/>
          <w:shd w:val="clear" w:color="auto" w:fill="FFFFFF"/>
        </w:rPr>
      </w:pPr>
    </w:p>
    <w:p w14:paraId="68A9E2FB" w14:textId="37575090" w:rsidR="002E2BF0" w:rsidRDefault="002E2BF0" w:rsidP="00CA5388">
      <w:pPr>
        <w:widowControl w:val="0"/>
        <w:autoSpaceDE w:val="0"/>
        <w:autoSpaceDN w:val="0"/>
        <w:adjustRightInd w:val="0"/>
        <w:rPr>
          <w:rFonts w:ascii="Arial" w:hAnsi="Arial" w:cs="Arial"/>
          <w:color w:val="333333"/>
          <w:sz w:val="26"/>
          <w:szCs w:val="26"/>
          <w:shd w:val="clear" w:color="auto" w:fill="FFFFFF"/>
        </w:rPr>
      </w:pPr>
    </w:p>
    <w:p w14:paraId="33BEE888" w14:textId="738496CF" w:rsidR="002E2BF0" w:rsidRDefault="002E2BF0" w:rsidP="00CA5388">
      <w:pPr>
        <w:widowControl w:val="0"/>
        <w:autoSpaceDE w:val="0"/>
        <w:autoSpaceDN w:val="0"/>
        <w:adjustRightInd w:val="0"/>
        <w:rPr>
          <w:rFonts w:ascii="Arial" w:hAnsi="Arial" w:cs="Arial"/>
          <w:color w:val="333333"/>
          <w:sz w:val="26"/>
          <w:szCs w:val="26"/>
          <w:shd w:val="clear" w:color="auto" w:fill="FFFFFF"/>
        </w:rPr>
      </w:pPr>
    </w:p>
    <w:sectPr w:rsidR="002E2BF0" w:rsidSect="00681B13">
      <w:pgSz w:w="11900" w:h="16840"/>
      <w:pgMar w:top="1440" w:right="1440" w:bottom="1440" w:left="1440" w:header="113" w:footer="17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32A7A" w16cid:durableId="22457336"/>
  <w16cid:commentId w16cid:paraId="785DBF40" w16cid:durableId="22457337"/>
  <w16cid:commentId w16cid:paraId="50BE2EEC" w16cid:durableId="22457338"/>
  <w16cid:commentId w16cid:paraId="59F640B0" w16cid:durableId="22457339"/>
  <w16cid:commentId w16cid:paraId="2ADE5A46" w16cid:durableId="2245733A"/>
  <w16cid:commentId w16cid:paraId="043EB6B7" w16cid:durableId="2245733B"/>
  <w16cid:commentId w16cid:paraId="32A6216D" w16cid:durableId="2245733C"/>
  <w16cid:commentId w16cid:paraId="3C42F6F1" w16cid:durableId="2245733D"/>
  <w16cid:commentId w16cid:paraId="184D839F" w16cid:durableId="2245733E"/>
  <w16cid:commentId w16cid:paraId="1F23A6AE" w16cid:durableId="2245733F"/>
  <w16cid:commentId w16cid:paraId="640BF9EF" w16cid:durableId="22457340"/>
  <w16cid:commentId w16cid:paraId="1A1DCE65" w16cid:durableId="22457341"/>
  <w16cid:commentId w16cid:paraId="0BA064B0" w16cid:durableId="22457342"/>
  <w16cid:commentId w16cid:paraId="768BF191" w16cid:durableId="22457344"/>
  <w16cid:commentId w16cid:paraId="36FE98B0" w16cid:durableId="22457345"/>
  <w16cid:commentId w16cid:paraId="14FFCF92" w16cid:durableId="22457346"/>
  <w16cid:commentId w16cid:paraId="4BFFF599" w16cid:durableId="22457347"/>
  <w16cid:commentId w16cid:paraId="732C32F4" w16cid:durableId="22457348"/>
  <w16cid:commentId w16cid:paraId="5938A371" w16cid:durableId="224573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EBA42" w14:textId="77777777" w:rsidR="00BA0A10" w:rsidRDefault="00BA0A10" w:rsidP="00C52F4F">
      <w:r>
        <w:separator/>
      </w:r>
    </w:p>
  </w:endnote>
  <w:endnote w:type="continuationSeparator" w:id="0">
    <w:p w14:paraId="3E189A7A" w14:textId="77777777" w:rsidR="00BA0A10" w:rsidRDefault="00BA0A10" w:rsidP="00C52F4F">
      <w:r>
        <w:continuationSeparator/>
      </w:r>
    </w:p>
  </w:endnote>
  <w:endnote w:type="continuationNotice" w:id="1">
    <w:p w14:paraId="66A7AC99" w14:textId="77777777" w:rsidR="00BA0A10" w:rsidRDefault="00BA0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aker2Lance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9016E" w14:textId="77777777" w:rsidR="00BA0A10" w:rsidRDefault="00BA0A10" w:rsidP="00C52F4F">
      <w:r>
        <w:separator/>
      </w:r>
    </w:p>
  </w:footnote>
  <w:footnote w:type="continuationSeparator" w:id="0">
    <w:p w14:paraId="1B41D4CB" w14:textId="77777777" w:rsidR="00BA0A10" w:rsidRDefault="00BA0A10" w:rsidP="00C52F4F">
      <w:r>
        <w:continuationSeparator/>
      </w:r>
    </w:p>
  </w:footnote>
  <w:footnote w:type="continuationNotice" w:id="1">
    <w:p w14:paraId="0F925098" w14:textId="77777777" w:rsidR="00BA0A10" w:rsidRDefault="00BA0A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4831546"/>
      <w:docPartObj>
        <w:docPartGallery w:val="Page Numbers (Top of Page)"/>
        <w:docPartUnique/>
      </w:docPartObj>
    </w:sdtPr>
    <w:sdtContent>
      <w:p w14:paraId="778F69DD" w14:textId="77777777" w:rsidR="00C32A19" w:rsidRDefault="00C32A19" w:rsidP="001C35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DD43A3" w14:textId="77777777" w:rsidR="00C32A19" w:rsidRDefault="00C32A19" w:rsidP="00C52F4F">
    <w:pPr>
      <w:pStyle w:val="Header"/>
      <w:ind w:right="360"/>
    </w:pPr>
  </w:p>
  <w:p w14:paraId="089923BD" w14:textId="77777777" w:rsidR="00C32A19" w:rsidRDefault="00C32A19"/>
  <w:p w14:paraId="44484E96" w14:textId="77777777" w:rsidR="00C32A19" w:rsidRDefault="00C32A1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76570422"/>
      <w:docPartObj>
        <w:docPartGallery w:val="Page Numbers (Top of Page)"/>
        <w:docPartUnique/>
      </w:docPartObj>
    </w:sdtPr>
    <w:sdtContent>
      <w:p w14:paraId="313486AC" w14:textId="0544796B" w:rsidR="00C32A19" w:rsidRDefault="00C32A19" w:rsidP="001C35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77D48">
          <w:rPr>
            <w:rStyle w:val="PageNumber"/>
            <w:noProof/>
          </w:rPr>
          <w:t>1</w:t>
        </w:r>
        <w:r>
          <w:rPr>
            <w:rStyle w:val="PageNumber"/>
          </w:rPr>
          <w:fldChar w:fldCharType="end"/>
        </w:r>
      </w:p>
    </w:sdtContent>
  </w:sdt>
  <w:p w14:paraId="471F3F56" w14:textId="77777777" w:rsidR="00C32A19" w:rsidRDefault="00C32A19" w:rsidP="00C52F4F">
    <w:pPr>
      <w:pStyle w:val="Header"/>
      <w:ind w:right="360"/>
    </w:pPr>
  </w:p>
  <w:p w14:paraId="358311AA" w14:textId="77777777" w:rsidR="00C32A19" w:rsidRDefault="00C32A19"/>
  <w:p w14:paraId="088A445E" w14:textId="77777777" w:rsidR="00C32A19" w:rsidRDefault="00C32A1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D77"/>
    <w:multiLevelType w:val="hybridMultilevel"/>
    <w:tmpl w:val="09C0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15053"/>
    <w:multiLevelType w:val="hybridMultilevel"/>
    <w:tmpl w:val="7F28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D28B6"/>
    <w:multiLevelType w:val="hybridMultilevel"/>
    <w:tmpl w:val="12BE58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311D60"/>
    <w:multiLevelType w:val="hybridMultilevel"/>
    <w:tmpl w:val="5DCC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D15DC"/>
    <w:multiLevelType w:val="hybridMultilevel"/>
    <w:tmpl w:val="9ABA3E9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15:restartNumberingAfterBreak="0">
    <w:nsid w:val="13E60676"/>
    <w:multiLevelType w:val="hybridMultilevel"/>
    <w:tmpl w:val="3202E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C104B"/>
    <w:multiLevelType w:val="hybridMultilevel"/>
    <w:tmpl w:val="BA4450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6C7BE4"/>
    <w:multiLevelType w:val="multilevel"/>
    <w:tmpl w:val="564C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96DA7"/>
    <w:multiLevelType w:val="hybridMultilevel"/>
    <w:tmpl w:val="BE74E9B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27534E5E"/>
    <w:multiLevelType w:val="hybridMultilevel"/>
    <w:tmpl w:val="6C48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63D96"/>
    <w:multiLevelType w:val="multilevel"/>
    <w:tmpl w:val="A9B2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95610"/>
    <w:multiLevelType w:val="hybridMultilevel"/>
    <w:tmpl w:val="FD0C67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6337A0"/>
    <w:multiLevelType w:val="hybridMultilevel"/>
    <w:tmpl w:val="74123036"/>
    <w:lvl w:ilvl="0" w:tplc="CBDC6D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865486"/>
    <w:multiLevelType w:val="hybridMultilevel"/>
    <w:tmpl w:val="B3F6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20CD2"/>
    <w:multiLevelType w:val="multilevel"/>
    <w:tmpl w:val="137E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51673"/>
    <w:multiLevelType w:val="hybridMultilevel"/>
    <w:tmpl w:val="4548368E"/>
    <w:lvl w:ilvl="0" w:tplc="0809000F">
      <w:start w:val="1"/>
      <w:numFmt w:val="decimal"/>
      <w:lvlText w:val="%1."/>
      <w:lvlJc w:val="left"/>
      <w:pPr>
        <w:ind w:left="1440" w:hanging="360"/>
      </w:p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63A156D"/>
    <w:multiLevelType w:val="hybridMultilevel"/>
    <w:tmpl w:val="6C64C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BB7175"/>
    <w:multiLevelType w:val="multilevel"/>
    <w:tmpl w:val="C30C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F4E12"/>
    <w:multiLevelType w:val="hybridMultilevel"/>
    <w:tmpl w:val="9E941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9A2A87"/>
    <w:multiLevelType w:val="hybridMultilevel"/>
    <w:tmpl w:val="53C6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25C0A"/>
    <w:multiLevelType w:val="hybridMultilevel"/>
    <w:tmpl w:val="7FAC815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1" w15:restartNumberingAfterBreak="0">
    <w:nsid w:val="3B2C5452"/>
    <w:multiLevelType w:val="hybridMultilevel"/>
    <w:tmpl w:val="4A4CC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F922BB"/>
    <w:multiLevelType w:val="hybridMultilevel"/>
    <w:tmpl w:val="17AA5480"/>
    <w:lvl w:ilvl="0" w:tplc="3872B97A">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3951A7"/>
    <w:multiLevelType w:val="hybridMultilevel"/>
    <w:tmpl w:val="605C1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E3E55"/>
    <w:multiLevelType w:val="hybridMultilevel"/>
    <w:tmpl w:val="10B2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A6351"/>
    <w:multiLevelType w:val="hybridMultilevel"/>
    <w:tmpl w:val="B6A4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604E2"/>
    <w:multiLevelType w:val="hybridMultilevel"/>
    <w:tmpl w:val="B1128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5F6FB8"/>
    <w:multiLevelType w:val="hybridMultilevel"/>
    <w:tmpl w:val="9D8694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E7653E"/>
    <w:multiLevelType w:val="hybridMultilevel"/>
    <w:tmpl w:val="BA4450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9D3EE3"/>
    <w:multiLevelType w:val="hybridMultilevel"/>
    <w:tmpl w:val="7E9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637F8C"/>
    <w:multiLevelType w:val="multilevel"/>
    <w:tmpl w:val="E42AA9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4A903E3"/>
    <w:multiLevelType w:val="hybridMultilevel"/>
    <w:tmpl w:val="B9C41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0E149C"/>
    <w:multiLevelType w:val="hybridMultilevel"/>
    <w:tmpl w:val="CBB6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00BF5"/>
    <w:multiLevelType w:val="hybridMultilevel"/>
    <w:tmpl w:val="E7E2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D3058F"/>
    <w:multiLevelType w:val="hybridMultilevel"/>
    <w:tmpl w:val="AEA45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0C70ED"/>
    <w:multiLevelType w:val="hybridMultilevel"/>
    <w:tmpl w:val="E38AE5D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6" w15:restartNumberingAfterBreak="0">
    <w:nsid w:val="749F392C"/>
    <w:multiLevelType w:val="hybridMultilevel"/>
    <w:tmpl w:val="2D50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33D7F"/>
    <w:multiLevelType w:val="multilevel"/>
    <w:tmpl w:val="F1084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8F47ED"/>
    <w:multiLevelType w:val="hybridMultilevel"/>
    <w:tmpl w:val="0062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B71CA2"/>
    <w:multiLevelType w:val="hybridMultilevel"/>
    <w:tmpl w:val="4596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163A27"/>
    <w:multiLevelType w:val="hybridMultilevel"/>
    <w:tmpl w:val="328E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6642A3"/>
    <w:multiLevelType w:val="hybridMultilevel"/>
    <w:tmpl w:val="F3EEAAE8"/>
    <w:lvl w:ilvl="0" w:tplc="8170457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4"/>
  </w:num>
  <w:num w:numId="2">
    <w:abstractNumId w:val="19"/>
  </w:num>
  <w:num w:numId="3">
    <w:abstractNumId w:val="13"/>
  </w:num>
  <w:num w:numId="4">
    <w:abstractNumId w:val="8"/>
  </w:num>
  <w:num w:numId="5">
    <w:abstractNumId w:val="41"/>
  </w:num>
  <w:num w:numId="6">
    <w:abstractNumId w:val="3"/>
  </w:num>
  <w:num w:numId="7">
    <w:abstractNumId w:val="37"/>
  </w:num>
  <w:num w:numId="8">
    <w:abstractNumId w:val="31"/>
  </w:num>
  <w:num w:numId="9">
    <w:abstractNumId w:val="32"/>
  </w:num>
  <w:num w:numId="10">
    <w:abstractNumId w:val="33"/>
  </w:num>
  <w:num w:numId="11">
    <w:abstractNumId w:val="1"/>
  </w:num>
  <w:num w:numId="12">
    <w:abstractNumId w:val="34"/>
  </w:num>
  <w:num w:numId="13">
    <w:abstractNumId w:val="7"/>
    <w:lvlOverride w:ilvl="0">
      <w:lvl w:ilvl="0">
        <w:numFmt w:val="decimal"/>
        <w:lvlText w:val="%1."/>
        <w:lvlJc w:val="left"/>
      </w:lvl>
    </w:lvlOverride>
  </w:num>
  <w:num w:numId="14">
    <w:abstractNumId w:val="14"/>
    <w:lvlOverride w:ilvl="0">
      <w:lvl w:ilvl="0">
        <w:numFmt w:val="decimal"/>
        <w:lvlText w:val="%1."/>
        <w:lvlJc w:val="left"/>
      </w:lvl>
    </w:lvlOverride>
  </w:num>
  <w:num w:numId="15">
    <w:abstractNumId w:val="17"/>
    <w:lvlOverride w:ilvl="0">
      <w:lvl w:ilvl="0">
        <w:numFmt w:val="decimal"/>
        <w:lvlText w:val="%1."/>
        <w:lvlJc w:val="left"/>
      </w:lvl>
    </w:lvlOverride>
  </w:num>
  <w:num w:numId="16">
    <w:abstractNumId w:val="10"/>
    <w:lvlOverride w:ilvl="0">
      <w:lvl w:ilvl="0">
        <w:numFmt w:val="decimal"/>
        <w:lvlText w:val="%1."/>
        <w:lvlJc w:val="left"/>
      </w:lvl>
    </w:lvlOverride>
  </w:num>
  <w:num w:numId="17">
    <w:abstractNumId w:val="22"/>
  </w:num>
  <w:num w:numId="18">
    <w:abstractNumId w:val="30"/>
  </w:num>
  <w:num w:numId="19">
    <w:abstractNumId w:val="4"/>
  </w:num>
  <w:num w:numId="20">
    <w:abstractNumId w:val="39"/>
  </w:num>
  <w:num w:numId="21">
    <w:abstractNumId w:val="12"/>
  </w:num>
  <w:num w:numId="22">
    <w:abstractNumId w:val="20"/>
  </w:num>
  <w:num w:numId="23">
    <w:abstractNumId w:val="23"/>
  </w:num>
  <w:num w:numId="24">
    <w:abstractNumId w:val="6"/>
  </w:num>
  <w:num w:numId="25">
    <w:abstractNumId w:val="28"/>
  </w:num>
  <w:num w:numId="26">
    <w:abstractNumId w:val="0"/>
  </w:num>
  <w:num w:numId="27">
    <w:abstractNumId w:val="15"/>
  </w:num>
  <w:num w:numId="28">
    <w:abstractNumId w:val="25"/>
  </w:num>
  <w:num w:numId="29">
    <w:abstractNumId w:val="2"/>
  </w:num>
  <w:num w:numId="30">
    <w:abstractNumId w:val="11"/>
  </w:num>
  <w:num w:numId="31">
    <w:abstractNumId w:val="27"/>
  </w:num>
  <w:num w:numId="32">
    <w:abstractNumId w:val="38"/>
  </w:num>
  <w:num w:numId="33">
    <w:abstractNumId w:val="9"/>
  </w:num>
  <w:num w:numId="34">
    <w:abstractNumId w:val="40"/>
  </w:num>
  <w:num w:numId="35">
    <w:abstractNumId w:val="16"/>
  </w:num>
  <w:num w:numId="36">
    <w:abstractNumId w:val="5"/>
  </w:num>
  <w:num w:numId="37">
    <w:abstractNumId w:val="21"/>
  </w:num>
  <w:num w:numId="38">
    <w:abstractNumId w:val="35"/>
  </w:num>
  <w:num w:numId="39">
    <w:abstractNumId w:val="26"/>
  </w:num>
  <w:num w:numId="40">
    <w:abstractNumId w:val="36"/>
  </w:num>
  <w:num w:numId="41">
    <w:abstractNumId w:val="1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5F"/>
    <w:rsid w:val="00000043"/>
    <w:rsid w:val="000017E0"/>
    <w:rsid w:val="0000216D"/>
    <w:rsid w:val="000044A8"/>
    <w:rsid w:val="000049DF"/>
    <w:rsid w:val="00005E2F"/>
    <w:rsid w:val="00006814"/>
    <w:rsid w:val="00007A9D"/>
    <w:rsid w:val="00010CD8"/>
    <w:rsid w:val="000114AF"/>
    <w:rsid w:val="00011B8D"/>
    <w:rsid w:val="00017CF9"/>
    <w:rsid w:val="000218D1"/>
    <w:rsid w:val="00022F2F"/>
    <w:rsid w:val="000237A2"/>
    <w:rsid w:val="00024F2A"/>
    <w:rsid w:val="00025E1C"/>
    <w:rsid w:val="00027B78"/>
    <w:rsid w:val="00030A54"/>
    <w:rsid w:val="00030A92"/>
    <w:rsid w:val="00031B8F"/>
    <w:rsid w:val="00033996"/>
    <w:rsid w:val="00034026"/>
    <w:rsid w:val="00034C9C"/>
    <w:rsid w:val="00035D51"/>
    <w:rsid w:val="00036A28"/>
    <w:rsid w:val="0004089C"/>
    <w:rsid w:val="000426A3"/>
    <w:rsid w:val="00046EF2"/>
    <w:rsid w:val="00047250"/>
    <w:rsid w:val="000513F9"/>
    <w:rsid w:val="00051E13"/>
    <w:rsid w:val="00054937"/>
    <w:rsid w:val="000629B2"/>
    <w:rsid w:val="00062D70"/>
    <w:rsid w:val="00064399"/>
    <w:rsid w:val="00066A61"/>
    <w:rsid w:val="00067871"/>
    <w:rsid w:val="0007178B"/>
    <w:rsid w:val="0007585D"/>
    <w:rsid w:val="0008316E"/>
    <w:rsid w:val="00083C50"/>
    <w:rsid w:val="0008778E"/>
    <w:rsid w:val="0009003F"/>
    <w:rsid w:val="00090B40"/>
    <w:rsid w:val="00091C8B"/>
    <w:rsid w:val="00092AD9"/>
    <w:rsid w:val="00095D3F"/>
    <w:rsid w:val="000A394B"/>
    <w:rsid w:val="000A3E4F"/>
    <w:rsid w:val="000A55EE"/>
    <w:rsid w:val="000A5968"/>
    <w:rsid w:val="000A6CD8"/>
    <w:rsid w:val="000B18F4"/>
    <w:rsid w:val="000B2EE5"/>
    <w:rsid w:val="000B4D8F"/>
    <w:rsid w:val="000B4DE6"/>
    <w:rsid w:val="000C04FD"/>
    <w:rsid w:val="000C0C27"/>
    <w:rsid w:val="000C2355"/>
    <w:rsid w:val="000C7588"/>
    <w:rsid w:val="000C77A9"/>
    <w:rsid w:val="000D0B20"/>
    <w:rsid w:val="000E3D88"/>
    <w:rsid w:val="000E6C5F"/>
    <w:rsid w:val="000E796D"/>
    <w:rsid w:val="000F3DD4"/>
    <w:rsid w:val="000F50F8"/>
    <w:rsid w:val="000F5189"/>
    <w:rsid w:val="001000EC"/>
    <w:rsid w:val="00101E79"/>
    <w:rsid w:val="00102533"/>
    <w:rsid w:val="00104624"/>
    <w:rsid w:val="00104F90"/>
    <w:rsid w:val="001158BA"/>
    <w:rsid w:val="0012005E"/>
    <w:rsid w:val="0012065E"/>
    <w:rsid w:val="00121158"/>
    <w:rsid w:val="00122761"/>
    <w:rsid w:val="001232D0"/>
    <w:rsid w:val="00123A17"/>
    <w:rsid w:val="001242B1"/>
    <w:rsid w:val="00124A17"/>
    <w:rsid w:val="00124AC2"/>
    <w:rsid w:val="00124D01"/>
    <w:rsid w:val="00131BA8"/>
    <w:rsid w:val="001414C8"/>
    <w:rsid w:val="0014191D"/>
    <w:rsid w:val="00143112"/>
    <w:rsid w:val="0014415B"/>
    <w:rsid w:val="00145E6E"/>
    <w:rsid w:val="001460CC"/>
    <w:rsid w:val="00146F3D"/>
    <w:rsid w:val="00147613"/>
    <w:rsid w:val="001479C3"/>
    <w:rsid w:val="00150F32"/>
    <w:rsid w:val="00151F25"/>
    <w:rsid w:val="0015482F"/>
    <w:rsid w:val="00156440"/>
    <w:rsid w:val="00162BF4"/>
    <w:rsid w:val="00163299"/>
    <w:rsid w:val="00165BBC"/>
    <w:rsid w:val="00166080"/>
    <w:rsid w:val="00170935"/>
    <w:rsid w:val="001726D2"/>
    <w:rsid w:val="00172DBF"/>
    <w:rsid w:val="001767E0"/>
    <w:rsid w:val="00177D48"/>
    <w:rsid w:val="001802B4"/>
    <w:rsid w:val="0018317C"/>
    <w:rsid w:val="0018380F"/>
    <w:rsid w:val="00186169"/>
    <w:rsid w:val="00187945"/>
    <w:rsid w:val="00195CC5"/>
    <w:rsid w:val="00197AC2"/>
    <w:rsid w:val="001A04CE"/>
    <w:rsid w:val="001A327A"/>
    <w:rsid w:val="001A39B5"/>
    <w:rsid w:val="001A6CE9"/>
    <w:rsid w:val="001A7119"/>
    <w:rsid w:val="001B41BB"/>
    <w:rsid w:val="001B5388"/>
    <w:rsid w:val="001B6021"/>
    <w:rsid w:val="001B73EF"/>
    <w:rsid w:val="001B7919"/>
    <w:rsid w:val="001C258B"/>
    <w:rsid w:val="001C35EB"/>
    <w:rsid w:val="001C3BB2"/>
    <w:rsid w:val="001C42F3"/>
    <w:rsid w:val="001C4C68"/>
    <w:rsid w:val="001C77E9"/>
    <w:rsid w:val="001C7A23"/>
    <w:rsid w:val="001D20BB"/>
    <w:rsid w:val="001D2E26"/>
    <w:rsid w:val="001D3CA1"/>
    <w:rsid w:val="001D4448"/>
    <w:rsid w:val="001D6E44"/>
    <w:rsid w:val="001E158F"/>
    <w:rsid w:val="001E3C24"/>
    <w:rsid w:val="001E5A21"/>
    <w:rsid w:val="001F1330"/>
    <w:rsid w:val="001F2230"/>
    <w:rsid w:val="001F2CBD"/>
    <w:rsid w:val="001F53C9"/>
    <w:rsid w:val="00202197"/>
    <w:rsid w:val="0020244B"/>
    <w:rsid w:val="00202A7B"/>
    <w:rsid w:val="00202ED6"/>
    <w:rsid w:val="0020390D"/>
    <w:rsid w:val="00205131"/>
    <w:rsid w:val="00205D0E"/>
    <w:rsid w:val="00207E3B"/>
    <w:rsid w:val="00215C63"/>
    <w:rsid w:val="002162F9"/>
    <w:rsid w:val="002168BA"/>
    <w:rsid w:val="00220754"/>
    <w:rsid w:val="00221FE7"/>
    <w:rsid w:val="00224CE4"/>
    <w:rsid w:val="0022566F"/>
    <w:rsid w:val="002317B0"/>
    <w:rsid w:val="00232C62"/>
    <w:rsid w:val="00233593"/>
    <w:rsid w:val="002336CB"/>
    <w:rsid w:val="002345D0"/>
    <w:rsid w:val="0023677D"/>
    <w:rsid w:val="00240AF7"/>
    <w:rsid w:val="00241148"/>
    <w:rsid w:val="00242B0F"/>
    <w:rsid w:val="0024656F"/>
    <w:rsid w:val="00246FFC"/>
    <w:rsid w:val="00247764"/>
    <w:rsid w:val="002510DF"/>
    <w:rsid w:val="00255358"/>
    <w:rsid w:val="00256A89"/>
    <w:rsid w:val="00260B0C"/>
    <w:rsid w:val="00261A2D"/>
    <w:rsid w:val="002620C5"/>
    <w:rsid w:val="00262D1C"/>
    <w:rsid w:val="00263531"/>
    <w:rsid w:val="00265B7B"/>
    <w:rsid w:val="00265BB7"/>
    <w:rsid w:val="00265BE0"/>
    <w:rsid w:val="002709F0"/>
    <w:rsid w:val="00272B79"/>
    <w:rsid w:val="002737C5"/>
    <w:rsid w:val="0028299E"/>
    <w:rsid w:val="00290FFF"/>
    <w:rsid w:val="002918E3"/>
    <w:rsid w:val="00293014"/>
    <w:rsid w:val="00295759"/>
    <w:rsid w:val="00297023"/>
    <w:rsid w:val="002A0261"/>
    <w:rsid w:val="002A0E14"/>
    <w:rsid w:val="002A2661"/>
    <w:rsid w:val="002A3EB4"/>
    <w:rsid w:val="002A498B"/>
    <w:rsid w:val="002A4CD6"/>
    <w:rsid w:val="002A4FD1"/>
    <w:rsid w:val="002A7FAF"/>
    <w:rsid w:val="002B1C54"/>
    <w:rsid w:val="002B68D2"/>
    <w:rsid w:val="002C4ECE"/>
    <w:rsid w:val="002C69A4"/>
    <w:rsid w:val="002D24A8"/>
    <w:rsid w:val="002D2524"/>
    <w:rsid w:val="002D3192"/>
    <w:rsid w:val="002D3B80"/>
    <w:rsid w:val="002D4DDB"/>
    <w:rsid w:val="002D561B"/>
    <w:rsid w:val="002D7992"/>
    <w:rsid w:val="002E2575"/>
    <w:rsid w:val="002E26DF"/>
    <w:rsid w:val="002E2BF0"/>
    <w:rsid w:val="002E37BF"/>
    <w:rsid w:val="002E5A33"/>
    <w:rsid w:val="002E6BDC"/>
    <w:rsid w:val="002F218C"/>
    <w:rsid w:val="002F5FAC"/>
    <w:rsid w:val="002F629C"/>
    <w:rsid w:val="002F68E8"/>
    <w:rsid w:val="002F7471"/>
    <w:rsid w:val="002F74F1"/>
    <w:rsid w:val="003011FF"/>
    <w:rsid w:val="00307D7D"/>
    <w:rsid w:val="00310A97"/>
    <w:rsid w:val="003110C0"/>
    <w:rsid w:val="00311A2D"/>
    <w:rsid w:val="00311DFE"/>
    <w:rsid w:val="00312123"/>
    <w:rsid w:val="00314D23"/>
    <w:rsid w:val="0031587C"/>
    <w:rsid w:val="00315E8E"/>
    <w:rsid w:val="003205BB"/>
    <w:rsid w:val="00324E98"/>
    <w:rsid w:val="00325B70"/>
    <w:rsid w:val="003342A8"/>
    <w:rsid w:val="003421CF"/>
    <w:rsid w:val="003447D6"/>
    <w:rsid w:val="003456F8"/>
    <w:rsid w:val="00346256"/>
    <w:rsid w:val="003464B8"/>
    <w:rsid w:val="00346F86"/>
    <w:rsid w:val="00347BC1"/>
    <w:rsid w:val="00347D56"/>
    <w:rsid w:val="0035139C"/>
    <w:rsid w:val="003516B8"/>
    <w:rsid w:val="00353BB5"/>
    <w:rsid w:val="003555D1"/>
    <w:rsid w:val="003615D2"/>
    <w:rsid w:val="003616AD"/>
    <w:rsid w:val="00363919"/>
    <w:rsid w:val="00363B8D"/>
    <w:rsid w:val="00366760"/>
    <w:rsid w:val="00370D58"/>
    <w:rsid w:val="0037410F"/>
    <w:rsid w:val="00374B7E"/>
    <w:rsid w:val="00376D53"/>
    <w:rsid w:val="00377E19"/>
    <w:rsid w:val="00382199"/>
    <w:rsid w:val="003823E2"/>
    <w:rsid w:val="00382B5E"/>
    <w:rsid w:val="00383A9D"/>
    <w:rsid w:val="003862CF"/>
    <w:rsid w:val="0038783B"/>
    <w:rsid w:val="0039520E"/>
    <w:rsid w:val="00395388"/>
    <w:rsid w:val="00397397"/>
    <w:rsid w:val="003974C9"/>
    <w:rsid w:val="003A0298"/>
    <w:rsid w:val="003A0B23"/>
    <w:rsid w:val="003A1BCB"/>
    <w:rsid w:val="003A1F3E"/>
    <w:rsid w:val="003A31D1"/>
    <w:rsid w:val="003A47E0"/>
    <w:rsid w:val="003A53D2"/>
    <w:rsid w:val="003A5C7A"/>
    <w:rsid w:val="003A64E9"/>
    <w:rsid w:val="003A7A15"/>
    <w:rsid w:val="003B03CC"/>
    <w:rsid w:val="003B0DD3"/>
    <w:rsid w:val="003B2281"/>
    <w:rsid w:val="003B31CC"/>
    <w:rsid w:val="003B5B23"/>
    <w:rsid w:val="003B618C"/>
    <w:rsid w:val="003B77B1"/>
    <w:rsid w:val="003B7898"/>
    <w:rsid w:val="003C1447"/>
    <w:rsid w:val="003C14F9"/>
    <w:rsid w:val="003C17A7"/>
    <w:rsid w:val="003C1D58"/>
    <w:rsid w:val="003C3F11"/>
    <w:rsid w:val="003D13A5"/>
    <w:rsid w:val="003D665F"/>
    <w:rsid w:val="003D6A84"/>
    <w:rsid w:val="003E0584"/>
    <w:rsid w:val="003E2D15"/>
    <w:rsid w:val="003F3EFE"/>
    <w:rsid w:val="003F436D"/>
    <w:rsid w:val="003F4D29"/>
    <w:rsid w:val="003F5FB5"/>
    <w:rsid w:val="003F695F"/>
    <w:rsid w:val="003F734F"/>
    <w:rsid w:val="003F76C2"/>
    <w:rsid w:val="00404910"/>
    <w:rsid w:val="00406CA2"/>
    <w:rsid w:val="004147A1"/>
    <w:rsid w:val="00414A17"/>
    <w:rsid w:val="00414D2E"/>
    <w:rsid w:val="00416E1C"/>
    <w:rsid w:val="00425F08"/>
    <w:rsid w:val="0042614E"/>
    <w:rsid w:val="00426BF4"/>
    <w:rsid w:val="00433344"/>
    <w:rsid w:val="00433D49"/>
    <w:rsid w:val="00437670"/>
    <w:rsid w:val="004430DC"/>
    <w:rsid w:val="0044694A"/>
    <w:rsid w:val="00446DEA"/>
    <w:rsid w:val="00450596"/>
    <w:rsid w:val="004512B5"/>
    <w:rsid w:val="00452C48"/>
    <w:rsid w:val="00453364"/>
    <w:rsid w:val="00453A4E"/>
    <w:rsid w:val="00454DD3"/>
    <w:rsid w:val="0045576F"/>
    <w:rsid w:val="0045614F"/>
    <w:rsid w:val="00456A07"/>
    <w:rsid w:val="00457D59"/>
    <w:rsid w:val="004601FA"/>
    <w:rsid w:val="00465198"/>
    <w:rsid w:val="00466057"/>
    <w:rsid w:val="00466670"/>
    <w:rsid w:val="0047067E"/>
    <w:rsid w:val="004715C9"/>
    <w:rsid w:val="00475275"/>
    <w:rsid w:val="004755C1"/>
    <w:rsid w:val="00480611"/>
    <w:rsid w:val="00480DED"/>
    <w:rsid w:val="00482888"/>
    <w:rsid w:val="00486C17"/>
    <w:rsid w:val="00490641"/>
    <w:rsid w:val="0049163D"/>
    <w:rsid w:val="00492D32"/>
    <w:rsid w:val="004936F2"/>
    <w:rsid w:val="00493B72"/>
    <w:rsid w:val="004A0A8C"/>
    <w:rsid w:val="004A203B"/>
    <w:rsid w:val="004A4FF9"/>
    <w:rsid w:val="004A6F45"/>
    <w:rsid w:val="004B030D"/>
    <w:rsid w:val="004B04CD"/>
    <w:rsid w:val="004B0944"/>
    <w:rsid w:val="004B2F00"/>
    <w:rsid w:val="004B3544"/>
    <w:rsid w:val="004C1816"/>
    <w:rsid w:val="004C1946"/>
    <w:rsid w:val="004C37D4"/>
    <w:rsid w:val="004C5EEB"/>
    <w:rsid w:val="004C61C3"/>
    <w:rsid w:val="004C6823"/>
    <w:rsid w:val="004D09E5"/>
    <w:rsid w:val="004D3F18"/>
    <w:rsid w:val="004D6515"/>
    <w:rsid w:val="004D794A"/>
    <w:rsid w:val="004E672F"/>
    <w:rsid w:val="004E742F"/>
    <w:rsid w:val="004F026C"/>
    <w:rsid w:val="004F17D3"/>
    <w:rsid w:val="004F3094"/>
    <w:rsid w:val="00502532"/>
    <w:rsid w:val="005031AB"/>
    <w:rsid w:val="0050360A"/>
    <w:rsid w:val="00503B9E"/>
    <w:rsid w:val="00503ED8"/>
    <w:rsid w:val="00505F38"/>
    <w:rsid w:val="0050609B"/>
    <w:rsid w:val="0050648F"/>
    <w:rsid w:val="005072CF"/>
    <w:rsid w:val="00507463"/>
    <w:rsid w:val="0051073B"/>
    <w:rsid w:val="005112D8"/>
    <w:rsid w:val="0051175F"/>
    <w:rsid w:val="005148A0"/>
    <w:rsid w:val="00514F3C"/>
    <w:rsid w:val="00516682"/>
    <w:rsid w:val="00516962"/>
    <w:rsid w:val="00517C29"/>
    <w:rsid w:val="00520B96"/>
    <w:rsid w:val="00525B4A"/>
    <w:rsid w:val="00526053"/>
    <w:rsid w:val="00530B22"/>
    <w:rsid w:val="00530E47"/>
    <w:rsid w:val="005317E5"/>
    <w:rsid w:val="00531E6B"/>
    <w:rsid w:val="0053258F"/>
    <w:rsid w:val="00535A36"/>
    <w:rsid w:val="00537920"/>
    <w:rsid w:val="005401BE"/>
    <w:rsid w:val="00540CF6"/>
    <w:rsid w:val="00543BB3"/>
    <w:rsid w:val="0054480B"/>
    <w:rsid w:val="005454D5"/>
    <w:rsid w:val="005476CA"/>
    <w:rsid w:val="005536AE"/>
    <w:rsid w:val="00553DAF"/>
    <w:rsid w:val="00553F71"/>
    <w:rsid w:val="00554738"/>
    <w:rsid w:val="005571C4"/>
    <w:rsid w:val="00557BB4"/>
    <w:rsid w:val="00561F38"/>
    <w:rsid w:val="00562B83"/>
    <w:rsid w:val="00564314"/>
    <w:rsid w:val="005643C6"/>
    <w:rsid w:val="00565EE0"/>
    <w:rsid w:val="00566647"/>
    <w:rsid w:val="00571F69"/>
    <w:rsid w:val="00574F0C"/>
    <w:rsid w:val="00584B13"/>
    <w:rsid w:val="00585E3E"/>
    <w:rsid w:val="0059041C"/>
    <w:rsid w:val="00590AAC"/>
    <w:rsid w:val="00591990"/>
    <w:rsid w:val="00595998"/>
    <w:rsid w:val="005960D9"/>
    <w:rsid w:val="00597987"/>
    <w:rsid w:val="00597AE4"/>
    <w:rsid w:val="005A01A2"/>
    <w:rsid w:val="005A041E"/>
    <w:rsid w:val="005A1F82"/>
    <w:rsid w:val="005A20A8"/>
    <w:rsid w:val="005A7A14"/>
    <w:rsid w:val="005B0A13"/>
    <w:rsid w:val="005B1160"/>
    <w:rsid w:val="005B3AAD"/>
    <w:rsid w:val="005B41BE"/>
    <w:rsid w:val="005B7F29"/>
    <w:rsid w:val="005C0CCA"/>
    <w:rsid w:val="005C20B7"/>
    <w:rsid w:val="005C32E2"/>
    <w:rsid w:val="005C401C"/>
    <w:rsid w:val="005C519B"/>
    <w:rsid w:val="005D082A"/>
    <w:rsid w:val="005D0B0F"/>
    <w:rsid w:val="005D0D2E"/>
    <w:rsid w:val="005D1C31"/>
    <w:rsid w:val="005D2029"/>
    <w:rsid w:val="005D3072"/>
    <w:rsid w:val="005D3907"/>
    <w:rsid w:val="005D61B9"/>
    <w:rsid w:val="005E0A88"/>
    <w:rsid w:val="005E2ABB"/>
    <w:rsid w:val="005E3D03"/>
    <w:rsid w:val="005E4E53"/>
    <w:rsid w:val="005F0E4F"/>
    <w:rsid w:val="005F2903"/>
    <w:rsid w:val="005F4335"/>
    <w:rsid w:val="005F4E55"/>
    <w:rsid w:val="005F65CB"/>
    <w:rsid w:val="0060133F"/>
    <w:rsid w:val="00605E77"/>
    <w:rsid w:val="00607CCC"/>
    <w:rsid w:val="00613297"/>
    <w:rsid w:val="00614D87"/>
    <w:rsid w:val="00616742"/>
    <w:rsid w:val="00621676"/>
    <w:rsid w:val="00624F6E"/>
    <w:rsid w:val="006257D8"/>
    <w:rsid w:val="00634334"/>
    <w:rsid w:val="006343FC"/>
    <w:rsid w:val="00640E37"/>
    <w:rsid w:val="00641691"/>
    <w:rsid w:val="00641A4E"/>
    <w:rsid w:val="00642C8B"/>
    <w:rsid w:val="00644902"/>
    <w:rsid w:val="00645C4E"/>
    <w:rsid w:val="006461D7"/>
    <w:rsid w:val="0065168A"/>
    <w:rsid w:val="006552B7"/>
    <w:rsid w:val="006567A4"/>
    <w:rsid w:val="00657EB6"/>
    <w:rsid w:val="00660850"/>
    <w:rsid w:val="0066174A"/>
    <w:rsid w:val="00662D94"/>
    <w:rsid w:val="0066441B"/>
    <w:rsid w:val="006657F9"/>
    <w:rsid w:val="006669CA"/>
    <w:rsid w:val="00670C20"/>
    <w:rsid w:val="00671D80"/>
    <w:rsid w:val="00672D96"/>
    <w:rsid w:val="00675EA8"/>
    <w:rsid w:val="0068003B"/>
    <w:rsid w:val="00680164"/>
    <w:rsid w:val="00680E38"/>
    <w:rsid w:val="00680F64"/>
    <w:rsid w:val="00681B13"/>
    <w:rsid w:val="00681BE0"/>
    <w:rsid w:val="006857EB"/>
    <w:rsid w:val="00691DCE"/>
    <w:rsid w:val="0069229B"/>
    <w:rsid w:val="00692DA7"/>
    <w:rsid w:val="00693CC3"/>
    <w:rsid w:val="00696785"/>
    <w:rsid w:val="00696CCB"/>
    <w:rsid w:val="00696DDE"/>
    <w:rsid w:val="00697382"/>
    <w:rsid w:val="006A2585"/>
    <w:rsid w:val="006A5538"/>
    <w:rsid w:val="006A6B22"/>
    <w:rsid w:val="006B5208"/>
    <w:rsid w:val="006B7CB9"/>
    <w:rsid w:val="006C10B5"/>
    <w:rsid w:val="006C616B"/>
    <w:rsid w:val="006C66E0"/>
    <w:rsid w:val="006D042C"/>
    <w:rsid w:val="006D1DE5"/>
    <w:rsid w:val="006D66E6"/>
    <w:rsid w:val="006D72D0"/>
    <w:rsid w:val="006E029E"/>
    <w:rsid w:val="006E1A19"/>
    <w:rsid w:val="006E1FF1"/>
    <w:rsid w:val="006E42C1"/>
    <w:rsid w:val="006E5257"/>
    <w:rsid w:val="006E65F0"/>
    <w:rsid w:val="006F08EA"/>
    <w:rsid w:val="006F31BA"/>
    <w:rsid w:val="007059AA"/>
    <w:rsid w:val="0070765D"/>
    <w:rsid w:val="00712057"/>
    <w:rsid w:val="00712223"/>
    <w:rsid w:val="0071585F"/>
    <w:rsid w:val="0072045A"/>
    <w:rsid w:val="00720A1E"/>
    <w:rsid w:val="007218B3"/>
    <w:rsid w:val="00721C3B"/>
    <w:rsid w:val="00725540"/>
    <w:rsid w:val="007322BD"/>
    <w:rsid w:val="00732E9A"/>
    <w:rsid w:val="00734DB3"/>
    <w:rsid w:val="0073714A"/>
    <w:rsid w:val="007404CE"/>
    <w:rsid w:val="00742D51"/>
    <w:rsid w:val="00745B73"/>
    <w:rsid w:val="00746EE7"/>
    <w:rsid w:val="0075294B"/>
    <w:rsid w:val="00755AE0"/>
    <w:rsid w:val="00761282"/>
    <w:rsid w:val="00766204"/>
    <w:rsid w:val="00766D8A"/>
    <w:rsid w:val="0077043C"/>
    <w:rsid w:val="007707BF"/>
    <w:rsid w:val="00770931"/>
    <w:rsid w:val="007731E2"/>
    <w:rsid w:val="00773BF8"/>
    <w:rsid w:val="0077426F"/>
    <w:rsid w:val="00774C39"/>
    <w:rsid w:val="00782544"/>
    <w:rsid w:val="00782B7F"/>
    <w:rsid w:val="00782F06"/>
    <w:rsid w:val="007851B1"/>
    <w:rsid w:val="00786619"/>
    <w:rsid w:val="007903DC"/>
    <w:rsid w:val="00792220"/>
    <w:rsid w:val="00793964"/>
    <w:rsid w:val="007940CD"/>
    <w:rsid w:val="007941D7"/>
    <w:rsid w:val="00794367"/>
    <w:rsid w:val="0079588B"/>
    <w:rsid w:val="007A2B66"/>
    <w:rsid w:val="007A6F6C"/>
    <w:rsid w:val="007B0600"/>
    <w:rsid w:val="007B38B9"/>
    <w:rsid w:val="007B7870"/>
    <w:rsid w:val="007B78B5"/>
    <w:rsid w:val="007C1CD0"/>
    <w:rsid w:val="007C23BB"/>
    <w:rsid w:val="007C448A"/>
    <w:rsid w:val="007C545B"/>
    <w:rsid w:val="007D0CE0"/>
    <w:rsid w:val="007D249D"/>
    <w:rsid w:val="007D32F2"/>
    <w:rsid w:val="007D54CB"/>
    <w:rsid w:val="007D6014"/>
    <w:rsid w:val="007E08AF"/>
    <w:rsid w:val="007E1A49"/>
    <w:rsid w:val="007E2AF0"/>
    <w:rsid w:val="007E4751"/>
    <w:rsid w:val="007E7C79"/>
    <w:rsid w:val="007F2BCD"/>
    <w:rsid w:val="007F52FC"/>
    <w:rsid w:val="007F5A40"/>
    <w:rsid w:val="00801E66"/>
    <w:rsid w:val="00803488"/>
    <w:rsid w:val="00814551"/>
    <w:rsid w:val="00817D41"/>
    <w:rsid w:val="00820490"/>
    <w:rsid w:val="00822122"/>
    <w:rsid w:val="0082656E"/>
    <w:rsid w:val="008300A3"/>
    <w:rsid w:val="008327BA"/>
    <w:rsid w:val="00832BBF"/>
    <w:rsid w:val="008345E1"/>
    <w:rsid w:val="00840651"/>
    <w:rsid w:val="008433D5"/>
    <w:rsid w:val="0084429D"/>
    <w:rsid w:val="00844518"/>
    <w:rsid w:val="0085315E"/>
    <w:rsid w:val="00853434"/>
    <w:rsid w:val="008579DB"/>
    <w:rsid w:val="00866218"/>
    <w:rsid w:val="0087148D"/>
    <w:rsid w:val="008772FE"/>
    <w:rsid w:val="00877612"/>
    <w:rsid w:val="00880D53"/>
    <w:rsid w:val="0088133D"/>
    <w:rsid w:val="00881356"/>
    <w:rsid w:val="008844E6"/>
    <w:rsid w:val="00884ADC"/>
    <w:rsid w:val="0088564A"/>
    <w:rsid w:val="00887510"/>
    <w:rsid w:val="008A087E"/>
    <w:rsid w:val="008A1914"/>
    <w:rsid w:val="008A553E"/>
    <w:rsid w:val="008A58E1"/>
    <w:rsid w:val="008A6E89"/>
    <w:rsid w:val="008B34B4"/>
    <w:rsid w:val="008B7152"/>
    <w:rsid w:val="008C1C12"/>
    <w:rsid w:val="008C2151"/>
    <w:rsid w:val="008C2428"/>
    <w:rsid w:val="008C33F7"/>
    <w:rsid w:val="008C4D2B"/>
    <w:rsid w:val="008C6CD4"/>
    <w:rsid w:val="008C6DC1"/>
    <w:rsid w:val="008C7BB1"/>
    <w:rsid w:val="008D11CE"/>
    <w:rsid w:val="008D16D6"/>
    <w:rsid w:val="008D24EF"/>
    <w:rsid w:val="008D48FA"/>
    <w:rsid w:val="008D4AB7"/>
    <w:rsid w:val="008D5C24"/>
    <w:rsid w:val="008E350D"/>
    <w:rsid w:val="008E3E28"/>
    <w:rsid w:val="008E3E72"/>
    <w:rsid w:val="008E610C"/>
    <w:rsid w:val="008E70CC"/>
    <w:rsid w:val="008F0E57"/>
    <w:rsid w:val="008F3422"/>
    <w:rsid w:val="008F5012"/>
    <w:rsid w:val="008F5047"/>
    <w:rsid w:val="008F60A6"/>
    <w:rsid w:val="008F664A"/>
    <w:rsid w:val="009073CE"/>
    <w:rsid w:val="009077ED"/>
    <w:rsid w:val="009100B8"/>
    <w:rsid w:val="0091141B"/>
    <w:rsid w:val="0091165D"/>
    <w:rsid w:val="009130E8"/>
    <w:rsid w:val="00914CFC"/>
    <w:rsid w:val="009156AB"/>
    <w:rsid w:val="00921414"/>
    <w:rsid w:val="00923904"/>
    <w:rsid w:val="0092391A"/>
    <w:rsid w:val="00923DBC"/>
    <w:rsid w:val="00924D66"/>
    <w:rsid w:val="00925EDA"/>
    <w:rsid w:val="00932038"/>
    <w:rsid w:val="00932E39"/>
    <w:rsid w:val="00936B40"/>
    <w:rsid w:val="00941B65"/>
    <w:rsid w:val="00942A27"/>
    <w:rsid w:val="00943BB1"/>
    <w:rsid w:val="00947EBA"/>
    <w:rsid w:val="00952393"/>
    <w:rsid w:val="00953B4C"/>
    <w:rsid w:val="00954FE0"/>
    <w:rsid w:val="00960448"/>
    <w:rsid w:val="00964296"/>
    <w:rsid w:val="009645DF"/>
    <w:rsid w:val="009655A8"/>
    <w:rsid w:val="0096633F"/>
    <w:rsid w:val="00966FA5"/>
    <w:rsid w:val="00971342"/>
    <w:rsid w:val="00971ECA"/>
    <w:rsid w:val="00973CA8"/>
    <w:rsid w:val="0097486B"/>
    <w:rsid w:val="00981934"/>
    <w:rsid w:val="00987E51"/>
    <w:rsid w:val="00991585"/>
    <w:rsid w:val="00992088"/>
    <w:rsid w:val="009935B1"/>
    <w:rsid w:val="0099557E"/>
    <w:rsid w:val="00995807"/>
    <w:rsid w:val="009A0137"/>
    <w:rsid w:val="009A1371"/>
    <w:rsid w:val="009A1E22"/>
    <w:rsid w:val="009A35A5"/>
    <w:rsid w:val="009A3E58"/>
    <w:rsid w:val="009A5DC9"/>
    <w:rsid w:val="009A7C07"/>
    <w:rsid w:val="009B7A0E"/>
    <w:rsid w:val="009B7B6E"/>
    <w:rsid w:val="009C0BEA"/>
    <w:rsid w:val="009C4553"/>
    <w:rsid w:val="009C56AF"/>
    <w:rsid w:val="009D420C"/>
    <w:rsid w:val="009D42D9"/>
    <w:rsid w:val="009D6736"/>
    <w:rsid w:val="009E3009"/>
    <w:rsid w:val="009F1425"/>
    <w:rsid w:val="00A00E9E"/>
    <w:rsid w:val="00A03081"/>
    <w:rsid w:val="00A04F8D"/>
    <w:rsid w:val="00A06CCF"/>
    <w:rsid w:val="00A118C4"/>
    <w:rsid w:val="00A1492B"/>
    <w:rsid w:val="00A14B2A"/>
    <w:rsid w:val="00A16497"/>
    <w:rsid w:val="00A22529"/>
    <w:rsid w:val="00A23D51"/>
    <w:rsid w:val="00A2417A"/>
    <w:rsid w:val="00A2509F"/>
    <w:rsid w:val="00A25828"/>
    <w:rsid w:val="00A301C8"/>
    <w:rsid w:val="00A31CD8"/>
    <w:rsid w:val="00A320CA"/>
    <w:rsid w:val="00A40698"/>
    <w:rsid w:val="00A40B46"/>
    <w:rsid w:val="00A40F78"/>
    <w:rsid w:val="00A44FDD"/>
    <w:rsid w:val="00A463DC"/>
    <w:rsid w:val="00A46B00"/>
    <w:rsid w:val="00A476C2"/>
    <w:rsid w:val="00A5020C"/>
    <w:rsid w:val="00A51EC7"/>
    <w:rsid w:val="00A52EB2"/>
    <w:rsid w:val="00A539FD"/>
    <w:rsid w:val="00A557C1"/>
    <w:rsid w:val="00A565E2"/>
    <w:rsid w:val="00A67008"/>
    <w:rsid w:val="00A71A54"/>
    <w:rsid w:val="00A776AB"/>
    <w:rsid w:val="00A84352"/>
    <w:rsid w:val="00A862DD"/>
    <w:rsid w:val="00A87F18"/>
    <w:rsid w:val="00A90288"/>
    <w:rsid w:val="00A916BD"/>
    <w:rsid w:val="00A91D49"/>
    <w:rsid w:val="00A91EA4"/>
    <w:rsid w:val="00A922BC"/>
    <w:rsid w:val="00A9383A"/>
    <w:rsid w:val="00A955CE"/>
    <w:rsid w:val="00AA0562"/>
    <w:rsid w:val="00AA2007"/>
    <w:rsid w:val="00AA32CB"/>
    <w:rsid w:val="00AA36D4"/>
    <w:rsid w:val="00AA3D7D"/>
    <w:rsid w:val="00AA417C"/>
    <w:rsid w:val="00AA4B5D"/>
    <w:rsid w:val="00AA5368"/>
    <w:rsid w:val="00AA77B0"/>
    <w:rsid w:val="00AB0727"/>
    <w:rsid w:val="00AB08DD"/>
    <w:rsid w:val="00AB10A5"/>
    <w:rsid w:val="00AB1441"/>
    <w:rsid w:val="00AB1888"/>
    <w:rsid w:val="00AB2B0F"/>
    <w:rsid w:val="00AB30BF"/>
    <w:rsid w:val="00AB3803"/>
    <w:rsid w:val="00AB4C9A"/>
    <w:rsid w:val="00AD00DA"/>
    <w:rsid w:val="00AD055A"/>
    <w:rsid w:val="00AD5B72"/>
    <w:rsid w:val="00AD75A1"/>
    <w:rsid w:val="00AD76E2"/>
    <w:rsid w:val="00AE395A"/>
    <w:rsid w:val="00AE3F66"/>
    <w:rsid w:val="00AE50F1"/>
    <w:rsid w:val="00AF121F"/>
    <w:rsid w:val="00AF2C76"/>
    <w:rsid w:val="00B01CAE"/>
    <w:rsid w:val="00B02264"/>
    <w:rsid w:val="00B0490A"/>
    <w:rsid w:val="00B0566A"/>
    <w:rsid w:val="00B1551F"/>
    <w:rsid w:val="00B16B75"/>
    <w:rsid w:val="00B20E9E"/>
    <w:rsid w:val="00B22CF8"/>
    <w:rsid w:val="00B2379C"/>
    <w:rsid w:val="00B259A8"/>
    <w:rsid w:val="00B259EA"/>
    <w:rsid w:val="00B25AAF"/>
    <w:rsid w:val="00B26328"/>
    <w:rsid w:val="00B30386"/>
    <w:rsid w:val="00B32548"/>
    <w:rsid w:val="00B36B12"/>
    <w:rsid w:val="00B37700"/>
    <w:rsid w:val="00B412A7"/>
    <w:rsid w:val="00B4190F"/>
    <w:rsid w:val="00B43424"/>
    <w:rsid w:val="00B44305"/>
    <w:rsid w:val="00B44E06"/>
    <w:rsid w:val="00B458F1"/>
    <w:rsid w:val="00B51F0B"/>
    <w:rsid w:val="00B55D62"/>
    <w:rsid w:val="00B56FD6"/>
    <w:rsid w:val="00B57483"/>
    <w:rsid w:val="00B63E8D"/>
    <w:rsid w:val="00B65715"/>
    <w:rsid w:val="00B66867"/>
    <w:rsid w:val="00B725D8"/>
    <w:rsid w:val="00B747B7"/>
    <w:rsid w:val="00B754CB"/>
    <w:rsid w:val="00B76447"/>
    <w:rsid w:val="00B8059D"/>
    <w:rsid w:val="00B813BB"/>
    <w:rsid w:val="00B8703A"/>
    <w:rsid w:val="00B87D1D"/>
    <w:rsid w:val="00B93D3A"/>
    <w:rsid w:val="00B94370"/>
    <w:rsid w:val="00B96992"/>
    <w:rsid w:val="00BA0766"/>
    <w:rsid w:val="00BA0A10"/>
    <w:rsid w:val="00BA28F1"/>
    <w:rsid w:val="00BA2B4E"/>
    <w:rsid w:val="00BB13D6"/>
    <w:rsid w:val="00BB24B2"/>
    <w:rsid w:val="00BB3DDB"/>
    <w:rsid w:val="00BB423B"/>
    <w:rsid w:val="00BB5E6D"/>
    <w:rsid w:val="00BC1D75"/>
    <w:rsid w:val="00BC5552"/>
    <w:rsid w:val="00BC6A92"/>
    <w:rsid w:val="00BD0181"/>
    <w:rsid w:val="00BD1015"/>
    <w:rsid w:val="00BD3D48"/>
    <w:rsid w:val="00BD5358"/>
    <w:rsid w:val="00BD7293"/>
    <w:rsid w:val="00BE5155"/>
    <w:rsid w:val="00BE7F1E"/>
    <w:rsid w:val="00BF022F"/>
    <w:rsid w:val="00BF0714"/>
    <w:rsid w:val="00BF3D3C"/>
    <w:rsid w:val="00C00188"/>
    <w:rsid w:val="00C0039F"/>
    <w:rsid w:val="00C00618"/>
    <w:rsid w:val="00C02D53"/>
    <w:rsid w:val="00C02F41"/>
    <w:rsid w:val="00C03552"/>
    <w:rsid w:val="00C042B1"/>
    <w:rsid w:val="00C046BD"/>
    <w:rsid w:val="00C11BA5"/>
    <w:rsid w:val="00C164F2"/>
    <w:rsid w:val="00C2328D"/>
    <w:rsid w:val="00C23DC8"/>
    <w:rsid w:val="00C25DD2"/>
    <w:rsid w:val="00C316BC"/>
    <w:rsid w:val="00C32A19"/>
    <w:rsid w:val="00C32A40"/>
    <w:rsid w:val="00C32F98"/>
    <w:rsid w:val="00C34D61"/>
    <w:rsid w:val="00C3611E"/>
    <w:rsid w:val="00C36823"/>
    <w:rsid w:val="00C37D80"/>
    <w:rsid w:val="00C405E5"/>
    <w:rsid w:val="00C4291A"/>
    <w:rsid w:val="00C441D3"/>
    <w:rsid w:val="00C4505F"/>
    <w:rsid w:val="00C46BD8"/>
    <w:rsid w:val="00C52F4F"/>
    <w:rsid w:val="00C54E56"/>
    <w:rsid w:val="00C54F26"/>
    <w:rsid w:val="00C569B1"/>
    <w:rsid w:val="00C61D61"/>
    <w:rsid w:val="00C62EB8"/>
    <w:rsid w:val="00C63627"/>
    <w:rsid w:val="00C63749"/>
    <w:rsid w:val="00C64B10"/>
    <w:rsid w:val="00C65ED0"/>
    <w:rsid w:val="00C67B10"/>
    <w:rsid w:val="00C72A64"/>
    <w:rsid w:val="00C73CF5"/>
    <w:rsid w:val="00C73D65"/>
    <w:rsid w:val="00C748CF"/>
    <w:rsid w:val="00C75CCB"/>
    <w:rsid w:val="00C76B3E"/>
    <w:rsid w:val="00C823C5"/>
    <w:rsid w:val="00C82688"/>
    <w:rsid w:val="00C85D8A"/>
    <w:rsid w:val="00C8698F"/>
    <w:rsid w:val="00C87EBD"/>
    <w:rsid w:val="00C90787"/>
    <w:rsid w:val="00C91E1A"/>
    <w:rsid w:val="00C95B17"/>
    <w:rsid w:val="00C95BC8"/>
    <w:rsid w:val="00CA1DA6"/>
    <w:rsid w:val="00CA1E29"/>
    <w:rsid w:val="00CA23C7"/>
    <w:rsid w:val="00CA4CC3"/>
    <w:rsid w:val="00CA5388"/>
    <w:rsid w:val="00CA64EA"/>
    <w:rsid w:val="00CB5455"/>
    <w:rsid w:val="00CC334C"/>
    <w:rsid w:val="00CC39A5"/>
    <w:rsid w:val="00CC3E98"/>
    <w:rsid w:val="00CC4CA6"/>
    <w:rsid w:val="00CD0918"/>
    <w:rsid w:val="00CD50E8"/>
    <w:rsid w:val="00CD528D"/>
    <w:rsid w:val="00CD7917"/>
    <w:rsid w:val="00CE3403"/>
    <w:rsid w:val="00CE4300"/>
    <w:rsid w:val="00CE5AD7"/>
    <w:rsid w:val="00CF143A"/>
    <w:rsid w:val="00CF153F"/>
    <w:rsid w:val="00CF39B8"/>
    <w:rsid w:val="00CF7D80"/>
    <w:rsid w:val="00D005D6"/>
    <w:rsid w:val="00D00EC2"/>
    <w:rsid w:val="00D01880"/>
    <w:rsid w:val="00D01991"/>
    <w:rsid w:val="00D03776"/>
    <w:rsid w:val="00D03ED9"/>
    <w:rsid w:val="00D05D15"/>
    <w:rsid w:val="00D1133E"/>
    <w:rsid w:val="00D127FC"/>
    <w:rsid w:val="00D26A31"/>
    <w:rsid w:val="00D276AC"/>
    <w:rsid w:val="00D27AC3"/>
    <w:rsid w:val="00D31305"/>
    <w:rsid w:val="00D33492"/>
    <w:rsid w:val="00D33A42"/>
    <w:rsid w:val="00D34D9F"/>
    <w:rsid w:val="00D34FCA"/>
    <w:rsid w:val="00D35F3A"/>
    <w:rsid w:val="00D37CF0"/>
    <w:rsid w:val="00D37EB6"/>
    <w:rsid w:val="00D406AA"/>
    <w:rsid w:val="00D40DAD"/>
    <w:rsid w:val="00D41B61"/>
    <w:rsid w:val="00D42322"/>
    <w:rsid w:val="00D45F55"/>
    <w:rsid w:val="00D51175"/>
    <w:rsid w:val="00D53C9A"/>
    <w:rsid w:val="00D56A8F"/>
    <w:rsid w:val="00D627F2"/>
    <w:rsid w:val="00D62E0A"/>
    <w:rsid w:val="00D65A87"/>
    <w:rsid w:val="00D719F1"/>
    <w:rsid w:val="00D741C9"/>
    <w:rsid w:val="00D745C0"/>
    <w:rsid w:val="00D77235"/>
    <w:rsid w:val="00D801F0"/>
    <w:rsid w:val="00D822D8"/>
    <w:rsid w:val="00D82F30"/>
    <w:rsid w:val="00D85097"/>
    <w:rsid w:val="00D906CA"/>
    <w:rsid w:val="00D9179E"/>
    <w:rsid w:val="00D9292C"/>
    <w:rsid w:val="00D95470"/>
    <w:rsid w:val="00D957C4"/>
    <w:rsid w:val="00D9616F"/>
    <w:rsid w:val="00D97280"/>
    <w:rsid w:val="00DA1143"/>
    <w:rsid w:val="00DA380A"/>
    <w:rsid w:val="00DA44FB"/>
    <w:rsid w:val="00DB1EA0"/>
    <w:rsid w:val="00DB3053"/>
    <w:rsid w:val="00DB58EF"/>
    <w:rsid w:val="00DB5D21"/>
    <w:rsid w:val="00DB6CA2"/>
    <w:rsid w:val="00DC2AF5"/>
    <w:rsid w:val="00DC59C0"/>
    <w:rsid w:val="00DC5AC9"/>
    <w:rsid w:val="00DC73DA"/>
    <w:rsid w:val="00DD34AB"/>
    <w:rsid w:val="00DD467D"/>
    <w:rsid w:val="00DD7113"/>
    <w:rsid w:val="00DF11D8"/>
    <w:rsid w:val="00DF2088"/>
    <w:rsid w:val="00E01085"/>
    <w:rsid w:val="00E03798"/>
    <w:rsid w:val="00E07F51"/>
    <w:rsid w:val="00E13FAB"/>
    <w:rsid w:val="00E163B9"/>
    <w:rsid w:val="00E177D4"/>
    <w:rsid w:val="00E17CAD"/>
    <w:rsid w:val="00E20336"/>
    <w:rsid w:val="00E3099B"/>
    <w:rsid w:val="00E31107"/>
    <w:rsid w:val="00E326AF"/>
    <w:rsid w:val="00E347B8"/>
    <w:rsid w:val="00E352CB"/>
    <w:rsid w:val="00E401B3"/>
    <w:rsid w:val="00E41006"/>
    <w:rsid w:val="00E47B74"/>
    <w:rsid w:val="00E47E6E"/>
    <w:rsid w:val="00E51468"/>
    <w:rsid w:val="00E52E4C"/>
    <w:rsid w:val="00E54CE3"/>
    <w:rsid w:val="00E55C99"/>
    <w:rsid w:val="00E57AFA"/>
    <w:rsid w:val="00E62100"/>
    <w:rsid w:val="00E65868"/>
    <w:rsid w:val="00E65C98"/>
    <w:rsid w:val="00E672C2"/>
    <w:rsid w:val="00E72D9E"/>
    <w:rsid w:val="00E76818"/>
    <w:rsid w:val="00E76FFE"/>
    <w:rsid w:val="00E81D87"/>
    <w:rsid w:val="00E83D93"/>
    <w:rsid w:val="00E85EA1"/>
    <w:rsid w:val="00E875CE"/>
    <w:rsid w:val="00E903FE"/>
    <w:rsid w:val="00EA7539"/>
    <w:rsid w:val="00EB034A"/>
    <w:rsid w:val="00EB4E66"/>
    <w:rsid w:val="00EC183F"/>
    <w:rsid w:val="00ED0564"/>
    <w:rsid w:val="00ED0BEF"/>
    <w:rsid w:val="00ED22F8"/>
    <w:rsid w:val="00ED3566"/>
    <w:rsid w:val="00ED45E2"/>
    <w:rsid w:val="00ED4F77"/>
    <w:rsid w:val="00ED6060"/>
    <w:rsid w:val="00ED7643"/>
    <w:rsid w:val="00EE23DC"/>
    <w:rsid w:val="00EF07C6"/>
    <w:rsid w:val="00EF3D6E"/>
    <w:rsid w:val="00EF4514"/>
    <w:rsid w:val="00EF65F0"/>
    <w:rsid w:val="00EF7457"/>
    <w:rsid w:val="00EF76B8"/>
    <w:rsid w:val="00F00296"/>
    <w:rsid w:val="00F00C76"/>
    <w:rsid w:val="00F028F4"/>
    <w:rsid w:val="00F02903"/>
    <w:rsid w:val="00F03402"/>
    <w:rsid w:val="00F03C0B"/>
    <w:rsid w:val="00F063F1"/>
    <w:rsid w:val="00F06D4A"/>
    <w:rsid w:val="00F075DE"/>
    <w:rsid w:val="00F07BD4"/>
    <w:rsid w:val="00F07DCA"/>
    <w:rsid w:val="00F1014E"/>
    <w:rsid w:val="00F10366"/>
    <w:rsid w:val="00F11D20"/>
    <w:rsid w:val="00F13002"/>
    <w:rsid w:val="00F15485"/>
    <w:rsid w:val="00F16172"/>
    <w:rsid w:val="00F26CA6"/>
    <w:rsid w:val="00F27BFC"/>
    <w:rsid w:val="00F33E7A"/>
    <w:rsid w:val="00F35CAF"/>
    <w:rsid w:val="00F36746"/>
    <w:rsid w:val="00F3714B"/>
    <w:rsid w:val="00F42202"/>
    <w:rsid w:val="00F439B3"/>
    <w:rsid w:val="00F45197"/>
    <w:rsid w:val="00F519B5"/>
    <w:rsid w:val="00F5467F"/>
    <w:rsid w:val="00F556F1"/>
    <w:rsid w:val="00F5739F"/>
    <w:rsid w:val="00F579CC"/>
    <w:rsid w:val="00F61B7D"/>
    <w:rsid w:val="00F61F37"/>
    <w:rsid w:val="00F65236"/>
    <w:rsid w:val="00F65383"/>
    <w:rsid w:val="00F730AF"/>
    <w:rsid w:val="00F73921"/>
    <w:rsid w:val="00F7516A"/>
    <w:rsid w:val="00F80BB8"/>
    <w:rsid w:val="00F81E7E"/>
    <w:rsid w:val="00F84487"/>
    <w:rsid w:val="00F853D8"/>
    <w:rsid w:val="00F85D7E"/>
    <w:rsid w:val="00F87D79"/>
    <w:rsid w:val="00F90222"/>
    <w:rsid w:val="00F913AD"/>
    <w:rsid w:val="00F95634"/>
    <w:rsid w:val="00F95869"/>
    <w:rsid w:val="00F95FFC"/>
    <w:rsid w:val="00FA0D0C"/>
    <w:rsid w:val="00FA0F1C"/>
    <w:rsid w:val="00FA57C9"/>
    <w:rsid w:val="00FA5D07"/>
    <w:rsid w:val="00FA620C"/>
    <w:rsid w:val="00FB2DF0"/>
    <w:rsid w:val="00FB563F"/>
    <w:rsid w:val="00FB5CCB"/>
    <w:rsid w:val="00FB60E4"/>
    <w:rsid w:val="00FB67BB"/>
    <w:rsid w:val="00FC045A"/>
    <w:rsid w:val="00FC3427"/>
    <w:rsid w:val="00FC5875"/>
    <w:rsid w:val="00FC7753"/>
    <w:rsid w:val="00FD225C"/>
    <w:rsid w:val="00FD3C62"/>
    <w:rsid w:val="00FD52EF"/>
    <w:rsid w:val="00FD5688"/>
    <w:rsid w:val="00FD6F63"/>
    <w:rsid w:val="00FE2295"/>
    <w:rsid w:val="00FE279E"/>
    <w:rsid w:val="00FE5180"/>
    <w:rsid w:val="00FE55C4"/>
    <w:rsid w:val="00FE601E"/>
    <w:rsid w:val="00FF142B"/>
    <w:rsid w:val="00FF1A73"/>
    <w:rsid w:val="00FF309E"/>
    <w:rsid w:val="00FF343D"/>
    <w:rsid w:val="00FF61E0"/>
    <w:rsid w:val="00FF7A31"/>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C26E8"/>
  <w14:defaultImageDpi w14:val="32767"/>
  <w15:chartTrackingRefBased/>
  <w15:docId w15:val="{A51532FF-91FD-F341-803B-27E873B5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1D8"/>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D627F2"/>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0E6C5F"/>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B8059D"/>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unhideWhenUsed/>
    <w:qFormat/>
    <w:rsid w:val="00866218"/>
    <w:pPr>
      <w:keepNext/>
      <w:keepLines/>
      <w:spacing w:before="40"/>
      <w:outlineLvl w:val="6"/>
    </w:pPr>
    <w:rPr>
      <w:rFonts w:asciiTheme="majorHAnsi" w:eastAsiaTheme="majorEastAsia" w:hAnsiTheme="majorHAnsi" w:cstheme="majorBidi"/>
      <w:i/>
      <w:iCs/>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6C5F"/>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0E6C5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E6C5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E6C5F"/>
    <w:rPr>
      <w:color w:val="0000FF"/>
      <w:u w:val="single"/>
    </w:rPr>
  </w:style>
  <w:style w:type="character" w:customStyle="1" w:styleId="apple-converted-space">
    <w:name w:val="apple-converted-space"/>
    <w:basedOn w:val="DefaultParagraphFont"/>
    <w:rsid w:val="000E6C5F"/>
  </w:style>
  <w:style w:type="character" w:styleId="CommentReference">
    <w:name w:val="annotation reference"/>
    <w:basedOn w:val="DefaultParagraphFont"/>
    <w:uiPriority w:val="99"/>
    <w:semiHidden/>
    <w:unhideWhenUsed/>
    <w:rsid w:val="000E6C5F"/>
    <w:rPr>
      <w:sz w:val="16"/>
      <w:szCs w:val="16"/>
    </w:rPr>
  </w:style>
  <w:style w:type="paragraph" w:styleId="CommentText">
    <w:name w:val="annotation text"/>
    <w:basedOn w:val="Normal"/>
    <w:link w:val="CommentTextChar"/>
    <w:uiPriority w:val="99"/>
    <w:unhideWhenUsed/>
    <w:rsid w:val="000E6C5F"/>
    <w:rPr>
      <w:sz w:val="20"/>
      <w:szCs w:val="20"/>
      <w:lang w:eastAsia="en-US"/>
    </w:rPr>
  </w:style>
  <w:style w:type="character" w:customStyle="1" w:styleId="CommentTextChar">
    <w:name w:val="Comment Text Char"/>
    <w:basedOn w:val="DefaultParagraphFont"/>
    <w:link w:val="CommentText"/>
    <w:uiPriority w:val="99"/>
    <w:rsid w:val="000E6C5F"/>
    <w:rPr>
      <w:sz w:val="20"/>
      <w:szCs w:val="20"/>
    </w:rPr>
  </w:style>
  <w:style w:type="paragraph" w:styleId="CommentSubject">
    <w:name w:val="annotation subject"/>
    <w:basedOn w:val="CommentText"/>
    <w:next w:val="CommentText"/>
    <w:link w:val="CommentSubjectChar"/>
    <w:uiPriority w:val="99"/>
    <w:semiHidden/>
    <w:unhideWhenUsed/>
    <w:rsid w:val="000E6C5F"/>
    <w:rPr>
      <w:b/>
      <w:bCs/>
    </w:rPr>
  </w:style>
  <w:style w:type="character" w:customStyle="1" w:styleId="CommentSubjectChar">
    <w:name w:val="Comment Subject Char"/>
    <w:basedOn w:val="CommentTextChar"/>
    <w:link w:val="CommentSubject"/>
    <w:uiPriority w:val="99"/>
    <w:semiHidden/>
    <w:rsid w:val="000E6C5F"/>
    <w:rPr>
      <w:b/>
      <w:bCs/>
      <w:sz w:val="20"/>
      <w:szCs w:val="20"/>
    </w:rPr>
  </w:style>
  <w:style w:type="paragraph" w:styleId="BalloonText">
    <w:name w:val="Balloon Text"/>
    <w:basedOn w:val="Normal"/>
    <w:link w:val="BalloonTextChar"/>
    <w:uiPriority w:val="99"/>
    <w:semiHidden/>
    <w:unhideWhenUsed/>
    <w:rsid w:val="000E6C5F"/>
    <w:rPr>
      <w:sz w:val="18"/>
      <w:szCs w:val="18"/>
      <w:lang w:eastAsia="en-US"/>
    </w:rPr>
  </w:style>
  <w:style w:type="character" w:customStyle="1" w:styleId="BalloonTextChar">
    <w:name w:val="Balloon Text Char"/>
    <w:basedOn w:val="DefaultParagraphFont"/>
    <w:link w:val="BalloonText"/>
    <w:uiPriority w:val="99"/>
    <w:semiHidden/>
    <w:rsid w:val="000E6C5F"/>
    <w:rPr>
      <w:rFonts w:ascii="Times New Roman" w:hAnsi="Times New Roman" w:cs="Times New Roman"/>
      <w:sz w:val="18"/>
      <w:szCs w:val="18"/>
    </w:rPr>
  </w:style>
  <w:style w:type="character" w:customStyle="1" w:styleId="Heading3Char">
    <w:name w:val="Heading 3 Char"/>
    <w:basedOn w:val="DefaultParagraphFont"/>
    <w:link w:val="Heading3"/>
    <w:uiPriority w:val="9"/>
    <w:rsid w:val="00B8059D"/>
    <w:rPr>
      <w:rFonts w:asciiTheme="majorHAnsi" w:eastAsiaTheme="majorEastAsia" w:hAnsiTheme="majorHAnsi" w:cstheme="majorBidi"/>
      <w:color w:val="1F3763" w:themeColor="accent1" w:themeShade="7F"/>
    </w:rPr>
  </w:style>
  <w:style w:type="paragraph" w:customStyle="1" w:styleId="p">
    <w:name w:val="p"/>
    <w:basedOn w:val="Normal"/>
    <w:rsid w:val="00B8059D"/>
    <w:pPr>
      <w:spacing w:before="100" w:beforeAutospacing="1" w:after="100" w:afterAutospacing="1"/>
    </w:pPr>
    <w:rPr>
      <w:lang w:eastAsia="en-US"/>
    </w:rPr>
  </w:style>
  <w:style w:type="character" w:styleId="FollowedHyperlink">
    <w:name w:val="FollowedHyperlink"/>
    <w:basedOn w:val="DefaultParagraphFont"/>
    <w:uiPriority w:val="99"/>
    <w:semiHidden/>
    <w:unhideWhenUsed/>
    <w:rsid w:val="00272B79"/>
    <w:rPr>
      <w:color w:val="954F72" w:themeColor="followedHyperlink"/>
      <w:u w:val="single"/>
    </w:rPr>
  </w:style>
  <w:style w:type="table" w:styleId="TableGrid">
    <w:name w:val="Table Grid"/>
    <w:basedOn w:val="TableNormal"/>
    <w:uiPriority w:val="39"/>
    <w:rsid w:val="00AB1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05D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agraph">
    <w:name w:val="Table Paragraph"/>
    <w:basedOn w:val="Normal"/>
    <w:uiPriority w:val="1"/>
    <w:qFormat/>
    <w:rsid w:val="00E17CAD"/>
    <w:pPr>
      <w:widowControl w:val="0"/>
      <w:autoSpaceDE w:val="0"/>
      <w:autoSpaceDN w:val="0"/>
      <w:ind w:left="102"/>
    </w:pPr>
    <w:rPr>
      <w:rFonts w:ascii="Calibri" w:eastAsia="Calibri" w:hAnsi="Calibri" w:cs="Calibri"/>
      <w:sz w:val="22"/>
      <w:szCs w:val="22"/>
      <w:lang w:val="en-US" w:eastAsia="en-US"/>
    </w:rPr>
  </w:style>
  <w:style w:type="character" w:customStyle="1" w:styleId="Heading1Char">
    <w:name w:val="Heading 1 Char"/>
    <w:basedOn w:val="DefaultParagraphFont"/>
    <w:link w:val="Heading1"/>
    <w:uiPriority w:val="9"/>
    <w:rsid w:val="00D627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61A2D"/>
    <w:pPr>
      <w:ind w:left="720"/>
      <w:contextualSpacing/>
    </w:pPr>
    <w:rPr>
      <w:lang w:eastAsia="en-US"/>
    </w:rPr>
  </w:style>
  <w:style w:type="paragraph" w:styleId="Revision">
    <w:name w:val="Revision"/>
    <w:hidden/>
    <w:uiPriority w:val="99"/>
    <w:semiHidden/>
    <w:rsid w:val="006F08EA"/>
    <w:rPr>
      <w:rFonts w:ascii="Times New Roman" w:eastAsia="Times New Roman" w:hAnsi="Times New Roman" w:cs="Times New Roman"/>
    </w:rPr>
  </w:style>
  <w:style w:type="paragraph" w:styleId="Header">
    <w:name w:val="header"/>
    <w:basedOn w:val="Normal"/>
    <w:link w:val="HeaderChar"/>
    <w:uiPriority w:val="99"/>
    <w:unhideWhenUsed/>
    <w:rsid w:val="00C52F4F"/>
    <w:pPr>
      <w:tabs>
        <w:tab w:val="center" w:pos="4513"/>
        <w:tab w:val="right" w:pos="9026"/>
      </w:tabs>
    </w:pPr>
    <w:rPr>
      <w:lang w:eastAsia="en-US"/>
    </w:rPr>
  </w:style>
  <w:style w:type="character" w:customStyle="1" w:styleId="HeaderChar">
    <w:name w:val="Header Char"/>
    <w:basedOn w:val="DefaultParagraphFont"/>
    <w:link w:val="Header"/>
    <w:uiPriority w:val="99"/>
    <w:rsid w:val="00C52F4F"/>
    <w:rPr>
      <w:rFonts w:ascii="Times New Roman" w:eastAsia="Times New Roman" w:hAnsi="Times New Roman" w:cs="Times New Roman"/>
    </w:rPr>
  </w:style>
  <w:style w:type="character" w:styleId="PageNumber">
    <w:name w:val="page number"/>
    <w:basedOn w:val="DefaultParagraphFont"/>
    <w:uiPriority w:val="99"/>
    <w:semiHidden/>
    <w:unhideWhenUsed/>
    <w:rsid w:val="00C52F4F"/>
  </w:style>
  <w:style w:type="character" w:customStyle="1" w:styleId="UnresolvedMention1">
    <w:name w:val="Unresolved Mention1"/>
    <w:basedOn w:val="DefaultParagraphFont"/>
    <w:uiPriority w:val="99"/>
    <w:semiHidden/>
    <w:unhideWhenUsed/>
    <w:rsid w:val="00E62100"/>
    <w:rPr>
      <w:color w:val="605E5C"/>
      <w:shd w:val="clear" w:color="auto" w:fill="E1DFDD"/>
    </w:rPr>
  </w:style>
  <w:style w:type="character" w:customStyle="1" w:styleId="UnresolvedMention2">
    <w:name w:val="Unresolved Mention2"/>
    <w:basedOn w:val="DefaultParagraphFont"/>
    <w:uiPriority w:val="99"/>
    <w:rsid w:val="00F87D79"/>
    <w:rPr>
      <w:color w:val="605E5C"/>
      <w:shd w:val="clear" w:color="auto" w:fill="E1DFDD"/>
    </w:rPr>
  </w:style>
  <w:style w:type="character" w:customStyle="1" w:styleId="Heading7Char">
    <w:name w:val="Heading 7 Char"/>
    <w:basedOn w:val="DefaultParagraphFont"/>
    <w:link w:val="Heading7"/>
    <w:uiPriority w:val="9"/>
    <w:rsid w:val="00866218"/>
    <w:rPr>
      <w:rFonts w:asciiTheme="majorHAnsi" w:eastAsiaTheme="majorEastAsia" w:hAnsiTheme="majorHAnsi" w:cstheme="majorBidi"/>
      <w:i/>
      <w:iCs/>
      <w:color w:val="1F3763" w:themeColor="accent1" w:themeShade="7F"/>
    </w:rPr>
  </w:style>
  <w:style w:type="paragraph" w:styleId="NormalWeb">
    <w:name w:val="Normal (Web)"/>
    <w:basedOn w:val="Normal"/>
    <w:uiPriority w:val="99"/>
    <w:semiHidden/>
    <w:unhideWhenUsed/>
    <w:rsid w:val="001802B4"/>
    <w:pPr>
      <w:spacing w:before="100" w:beforeAutospacing="1" w:after="100" w:afterAutospacing="1"/>
    </w:pPr>
  </w:style>
  <w:style w:type="paragraph" w:styleId="BodyText">
    <w:name w:val="Body Text"/>
    <w:basedOn w:val="Normal"/>
    <w:link w:val="BodyTextChar"/>
    <w:uiPriority w:val="1"/>
    <w:qFormat/>
    <w:rsid w:val="009655A8"/>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9655A8"/>
    <w:rPr>
      <w:rFonts w:ascii="Arial" w:eastAsia="Arial" w:hAnsi="Arial" w:cs="Arial"/>
      <w:sz w:val="22"/>
      <w:szCs w:val="22"/>
      <w:lang w:val="en-US"/>
    </w:rPr>
  </w:style>
  <w:style w:type="character" w:styleId="Strong">
    <w:name w:val="Strong"/>
    <w:basedOn w:val="DefaultParagraphFont"/>
    <w:uiPriority w:val="22"/>
    <w:qFormat/>
    <w:rsid w:val="009655A8"/>
    <w:rPr>
      <w:b/>
      <w:bCs/>
    </w:rPr>
  </w:style>
  <w:style w:type="table" w:styleId="GridTable1Light-Accent1">
    <w:name w:val="Grid Table 1 Light Accent 1"/>
    <w:basedOn w:val="TableNormal"/>
    <w:uiPriority w:val="46"/>
    <w:rsid w:val="00C0355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B37700"/>
    <w:rPr>
      <w:color w:val="605E5C"/>
      <w:shd w:val="clear" w:color="auto" w:fill="E1DFDD"/>
    </w:rPr>
  </w:style>
  <w:style w:type="paragraph" w:styleId="Footer">
    <w:name w:val="footer"/>
    <w:basedOn w:val="Normal"/>
    <w:link w:val="FooterChar"/>
    <w:uiPriority w:val="99"/>
    <w:unhideWhenUsed/>
    <w:rsid w:val="005401BE"/>
    <w:pPr>
      <w:tabs>
        <w:tab w:val="center" w:pos="4513"/>
        <w:tab w:val="right" w:pos="9026"/>
      </w:tabs>
    </w:pPr>
    <w:rPr>
      <w:lang w:eastAsia="en-US"/>
    </w:rPr>
  </w:style>
  <w:style w:type="character" w:customStyle="1" w:styleId="FooterChar">
    <w:name w:val="Footer Char"/>
    <w:basedOn w:val="DefaultParagraphFont"/>
    <w:link w:val="Footer"/>
    <w:uiPriority w:val="99"/>
    <w:rsid w:val="005401BE"/>
    <w:rPr>
      <w:rFonts w:ascii="Times New Roman" w:eastAsia="Times New Roman" w:hAnsi="Times New Roman" w:cs="Times New Roman"/>
    </w:rPr>
  </w:style>
  <w:style w:type="character" w:customStyle="1" w:styleId="UnresolvedMention4">
    <w:name w:val="Unresolved Mention4"/>
    <w:basedOn w:val="DefaultParagraphFont"/>
    <w:uiPriority w:val="99"/>
    <w:semiHidden/>
    <w:unhideWhenUsed/>
    <w:rsid w:val="001E158F"/>
    <w:rPr>
      <w:color w:val="605E5C"/>
      <w:shd w:val="clear" w:color="auto" w:fill="E1DFDD"/>
    </w:rPr>
  </w:style>
  <w:style w:type="character" w:customStyle="1" w:styleId="highwire-citation-authors">
    <w:name w:val="highwire-citation-authors"/>
    <w:basedOn w:val="DefaultParagraphFont"/>
    <w:rsid w:val="00D127FC"/>
  </w:style>
  <w:style w:type="character" w:customStyle="1" w:styleId="highwire-citation-author">
    <w:name w:val="highwire-citation-author"/>
    <w:basedOn w:val="DefaultParagraphFont"/>
    <w:rsid w:val="00D127FC"/>
  </w:style>
  <w:style w:type="character" w:customStyle="1" w:styleId="nlm-surname">
    <w:name w:val="nlm-surname"/>
    <w:basedOn w:val="DefaultParagraphFont"/>
    <w:rsid w:val="00D127FC"/>
  </w:style>
  <w:style w:type="character" w:customStyle="1" w:styleId="citation-et">
    <w:name w:val="citation-et"/>
    <w:basedOn w:val="DefaultParagraphFont"/>
    <w:rsid w:val="00D127FC"/>
  </w:style>
  <w:style w:type="character" w:customStyle="1" w:styleId="highwire-cite-metadata-journal">
    <w:name w:val="highwire-cite-metadata-journal"/>
    <w:basedOn w:val="DefaultParagraphFont"/>
    <w:rsid w:val="00D127FC"/>
  </w:style>
  <w:style w:type="character" w:customStyle="1" w:styleId="highwire-cite-metadata-year">
    <w:name w:val="highwire-cite-metadata-year"/>
    <w:basedOn w:val="DefaultParagraphFont"/>
    <w:rsid w:val="00D127FC"/>
  </w:style>
  <w:style w:type="character" w:customStyle="1" w:styleId="highwire-cite-metadata-volume">
    <w:name w:val="highwire-cite-metadata-volume"/>
    <w:basedOn w:val="DefaultParagraphFont"/>
    <w:rsid w:val="00D127FC"/>
  </w:style>
  <w:style w:type="character" w:customStyle="1" w:styleId="highwire-cite-metadata-pages">
    <w:name w:val="highwire-cite-metadata-pages"/>
    <w:basedOn w:val="DefaultParagraphFont"/>
    <w:rsid w:val="00D127FC"/>
  </w:style>
  <w:style w:type="table" w:styleId="PlainTable3">
    <w:name w:val="Plain Table 3"/>
    <w:basedOn w:val="TableNormal"/>
    <w:uiPriority w:val="43"/>
    <w:rsid w:val="006B7CB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162B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2678">
      <w:bodyDiv w:val="1"/>
      <w:marLeft w:val="0"/>
      <w:marRight w:val="0"/>
      <w:marTop w:val="0"/>
      <w:marBottom w:val="0"/>
      <w:divBdr>
        <w:top w:val="none" w:sz="0" w:space="0" w:color="auto"/>
        <w:left w:val="none" w:sz="0" w:space="0" w:color="auto"/>
        <w:bottom w:val="none" w:sz="0" w:space="0" w:color="auto"/>
        <w:right w:val="none" w:sz="0" w:space="0" w:color="auto"/>
      </w:divBdr>
    </w:div>
    <w:div w:id="19286617">
      <w:bodyDiv w:val="1"/>
      <w:marLeft w:val="0"/>
      <w:marRight w:val="0"/>
      <w:marTop w:val="0"/>
      <w:marBottom w:val="0"/>
      <w:divBdr>
        <w:top w:val="none" w:sz="0" w:space="0" w:color="auto"/>
        <w:left w:val="none" w:sz="0" w:space="0" w:color="auto"/>
        <w:bottom w:val="none" w:sz="0" w:space="0" w:color="auto"/>
        <w:right w:val="none" w:sz="0" w:space="0" w:color="auto"/>
      </w:divBdr>
    </w:div>
    <w:div w:id="31880636">
      <w:bodyDiv w:val="1"/>
      <w:marLeft w:val="0"/>
      <w:marRight w:val="0"/>
      <w:marTop w:val="0"/>
      <w:marBottom w:val="0"/>
      <w:divBdr>
        <w:top w:val="none" w:sz="0" w:space="0" w:color="auto"/>
        <w:left w:val="none" w:sz="0" w:space="0" w:color="auto"/>
        <w:bottom w:val="none" w:sz="0" w:space="0" w:color="auto"/>
        <w:right w:val="none" w:sz="0" w:space="0" w:color="auto"/>
      </w:divBdr>
    </w:div>
    <w:div w:id="32312597">
      <w:bodyDiv w:val="1"/>
      <w:marLeft w:val="0"/>
      <w:marRight w:val="0"/>
      <w:marTop w:val="0"/>
      <w:marBottom w:val="0"/>
      <w:divBdr>
        <w:top w:val="none" w:sz="0" w:space="0" w:color="auto"/>
        <w:left w:val="none" w:sz="0" w:space="0" w:color="auto"/>
        <w:bottom w:val="none" w:sz="0" w:space="0" w:color="auto"/>
        <w:right w:val="none" w:sz="0" w:space="0" w:color="auto"/>
      </w:divBdr>
    </w:div>
    <w:div w:id="35787550">
      <w:bodyDiv w:val="1"/>
      <w:marLeft w:val="0"/>
      <w:marRight w:val="0"/>
      <w:marTop w:val="0"/>
      <w:marBottom w:val="0"/>
      <w:divBdr>
        <w:top w:val="none" w:sz="0" w:space="0" w:color="auto"/>
        <w:left w:val="none" w:sz="0" w:space="0" w:color="auto"/>
        <w:bottom w:val="none" w:sz="0" w:space="0" w:color="auto"/>
        <w:right w:val="none" w:sz="0" w:space="0" w:color="auto"/>
      </w:divBdr>
    </w:div>
    <w:div w:id="43798100">
      <w:bodyDiv w:val="1"/>
      <w:marLeft w:val="0"/>
      <w:marRight w:val="0"/>
      <w:marTop w:val="0"/>
      <w:marBottom w:val="0"/>
      <w:divBdr>
        <w:top w:val="none" w:sz="0" w:space="0" w:color="auto"/>
        <w:left w:val="none" w:sz="0" w:space="0" w:color="auto"/>
        <w:bottom w:val="none" w:sz="0" w:space="0" w:color="auto"/>
        <w:right w:val="none" w:sz="0" w:space="0" w:color="auto"/>
      </w:divBdr>
    </w:div>
    <w:div w:id="46682501">
      <w:bodyDiv w:val="1"/>
      <w:marLeft w:val="0"/>
      <w:marRight w:val="0"/>
      <w:marTop w:val="0"/>
      <w:marBottom w:val="0"/>
      <w:divBdr>
        <w:top w:val="none" w:sz="0" w:space="0" w:color="auto"/>
        <w:left w:val="none" w:sz="0" w:space="0" w:color="auto"/>
        <w:bottom w:val="none" w:sz="0" w:space="0" w:color="auto"/>
        <w:right w:val="none" w:sz="0" w:space="0" w:color="auto"/>
      </w:divBdr>
    </w:div>
    <w:div w:id="48044037">
      <w:bodyDiv w:val="1"/>
      <w:marLeft w:val="0"/>
      <w:marRight w:val="0"/>
      <w:marTop w:val="0"/>
      <w:marBottom w:val="0"/>
      <w:divBdr>
        <w:top w:val="none" w:sz="0" w:space="0" w:color="auto"/>
        <w:left w:val="none" w:sz="0" w:space="0" w:color="auto"/>
        <w:bottom w:val="none" w:sz="0" w:space="0" w:color="auto"/>
        <w:right w:val="none" w:sz="0" w:space="0" w:color="auto"/>
      </w:divBdr>
    </w:div>
    <w:div w:id="56629353">
      <w:bodyDiv w:val="1"/>
      <w:marLeft w:val="0"/>
      <w:marRight w:val="0"/>
      <w:marTop w:val="0"/>
      <w:marBottom w:val="0"/>
      <w:divBdr>
        <w:top w:val="none" w:sz="0" w:space="0" w:color="auto"/>
        <w:left w:val="none" w:sz="0" w:space="0" w:color="auto"/>
        <w:bottom w:val="none" w:sz="0" w:space="0" w:color="auto"/>
        <w:right w:val="none" w:sz="0" w:space="0" w:color="auto"/>
      </w:divBdr>
    </w:div>
    <w:div w:id="58989898">
      <w:bodyDiv w:val="1"/>
      <w:marLeft w:val="0"/>
      <w:marRight w:val="0"/>
      <w:marTop w:val="0"/>
      <w:marBottom w:val="0"/>
      <w:divBdr>
        <w:top w:val="none" w:sz="0" w:space="0" w:color="auto"/>
        <w:left w:val="none" w:sz="0" w:space="0" w:color="auto"/>
        <w:bottom w:val="none" w:sz="0" w:space="0" w:color="auto"/>
        <w:right w:val="none" w:sz="0" w:space="0" w:color="auto"/>
      </w:divBdr>
    </w:div>
    <w:div w:id="61492982">
      <w:bodyDiv w:val="1"/>
      <w:marLeft w:val="0"/>
      <w:marRight w:val="0"/>
      <w:marTop w:val="0"/>
      <w:marBottom w:val="0"/>
      <w:divBdr>
        <w:top w:val="none" w:sz="0" w:space="0" w:color="auto"/>
        <w:left w:val="none" w:sz="0" w:space="0" w:color="auto"/>
        <w:bottom w:val="none" w:sz="0" w:space="0" w:color="auto"/>
        <w:right w:val="none" w:sz="0" w:space="0" w:color="auto"/>
      </w:divBdr>
    </w:div>
    <w:div w:id="69425215">
      <w:bodyDiv w:val="1"/>
      <w:marLeft w:val="0"/>
      <w:marRight w:val="0"/>
      <w:marTop w:val="0"/>
      <w:marBottom w:val="0"/>
      <w:divBdr>
        <w:top w:val="none" w:sz="0" w:space="0" w:color="auto"/>
        <w:left w:val="none" w:sz="0" w:space="0" w:color="auto"/>
        <w:bottom w:val="none" w:sz="0" w:space="0" w:color="auto"/>
        <w:right w:val="none" w:sz="0" w:space="0" w:color="auto"/>
      </w:divBdr>
    </w:div>
    <w:div w:id="84692606">
      <w:bodyDiv w:val="1"/>
      <w:marLeft w:val="0"/>
      <w:marRight w:val="0"/>
      <w:marTop w:val="0"/>
      <w:marBottom w:val="0"/>
      <w:divBdr>
        <w:top w:val="none" w:sz="0" w:space="0" w:color="auto"/>
        <w:left w:val="none" w:sz="0" w:space="0" w:color="auto"/>
        <w:bottom w:val="none" w:sz="0" w:space="0" w:color="auto"/>
        <w:right w:val="none" w:sz="0" w:space="0" w:color="auto"/>
      </w:divBdr>
    </w:div>
    <w:div w:id="106193418">
      <w:bodyDiv w:val="1"/>
      <w:marLeft w:val="0"/>
      <w:marRight w:val="0"/>
      <w:marTop w:val="0"/>
      <w:marBottom w:val="0"/>
      <w:divBdr>
        <w:top w:val="none" w:sz="0" w:space="0" w:color="auto"/>
        <w:left w:val="none" w:sz="0" w:space="0" w:color="auto"/>
        <w:bottom w:val="none" w:sz="0" w:space="0" w:color="auto"/>
        <w:right w:val="none" w:sz="0" w:space="0" w:color="auto"/>
      </w:divBdr>
    </w:div>
    <w:div w:id="120392884">
      <w:bodyDiv w:val="1"/>
      <w:marLeft w:val="0"/>
      <w:marRight w:val="0"/>
      <w:marTop w:val="0"/>
      <w:marBottom w:val="0"/>
      <w:divBdr>
        <w:top w:val="none" w:sz="0" w:space="0" w:color="auto"/>
        <w:left w:val="none" w:sz="0" w:space="0" w:color="auto"/>
        <w:bottom w:val="none" w:sz="0" w:space="0" w:color="auto"/>
        <w:right w:val="none" w:sz="0" w:space="0" w:color="auto"/>
      </w:divBdr>
    </w:div>
    <w:div w:id="128279960">
      <w:bodyDiv w:val="1"/>
      <w:marLeft w:val="0"/>
      <w:marRight w:val="0"/>
      <w:marTop w:val="0"/>
      <w:marBottom w:val="0"/>
      <w:divBdr>
        <w:top w:val="none" w:sz="0" w:space="0" w:color="auto"/>
        <w:left w:val="none" w:sz="0" w:space="0" w:color="auto"/>
        <w:bottom w:val="none" w:sz="0" w:space="0" w:color="auto"/>
        <w:right w:val="none" w:sz="0" w:space="0" w:color="auto"/>
      </w:divBdr>
    </w:div>
    <w:div w:id="131678759">
      <w:bodyDiv w:val="1"/>
      <w:marLeft w:val="0"/>
      <w:marRight w:val="0"/>
      <w:marTop w:val="0"/>
      <w:marBottom w:val="0"/>
      <w:divBdr>
        <w:top w:val="none" w:sz="0" w:space="0" w:color="auto"/>
        <w:left w:val="none" w:sz="0" w:space="0" w:color="auto"/>
        <w:bottom w:val="none" w:sz="0" w:space="0" w:color="auto"/>
        <w:right w:val="none" w:sz="0" w:space="0" w:color="auto"/>
      </w:divBdr>
    </w:div>
    <w:div w:id="146215715">
      <w:bodyDiv w:val="1"/>
      <w:marLeft w:val="0"/>
      <w:marRight w:val="0"/>
      <w:marTop w:val="0"/>
      <w:marBottom w:val="0"/>
      <w:divBdr>
        <w:top w:val="none" w:sz="0" w:space="0" w:color="auto"/>
        <w:left w:val="none" w:sz="0" w:space="0" w:color="auto"/>
        <w:bottom w:val="none" w:sz="0" w:space="0" w:color="auto"/>
        <w:right w:val="none" w:sz="0" w:space="0" w:color="auto"/>
      </w:divBdr>
    </w:div>
    <w:div w:id="149374531">
      <w:bodyDiv w:val="1"/>
      <w:marLeft w:val="0"/>
      <w:marRight w:val="0"/>
      <w:marTop w:val="0"/>
      <w:marBottom w:val="0"/>
      <w:divBdr>
        <w:top w:val="none" w:sz="0" w:space="0" w:color="auto"/>
        <w:left w:val="none" w:sz="0" w:space="0" w:color="auto"/>
        <w:bottom w:val="none" w:sz="0" w:space="0" w:color="auto"/>
        <w:right w:val="none" w:sz="0" w:space="0" w:color="auto"/>
      </w:divBdr>
    </w:div>
    <w:div w:id="200634997">
      <w:bodyDiv w:val="1"/>
      <w:marLeft w:val="0"/>
      <w:marRight w:val="0"/>
      <w:marTop w:val="0"/>
      <w:marBottom w:val="0"/>
      <w:divBdr>
        <w:top w:val="none" w:sz="0" w:space="0" w:color="auto"/>
        <w:left w:val="none" w:sz="0" w:space="0" w:color="auto"/>
        <w:bottom w:val="none" w:sz="0" w:space="0" w:color="auto"/>
        <w:right w:val="none" w:sz="0" w:space="0" w:color="auto"/>
      </w:divBdr>
    </w:div>
    <w:div w:id="200943852">
      <w:bodyDiv w:val="1"/>
      <w:marLeft w:val="0"/>
      <w:marRight w:val="0"/>
      <w:marTop w:val="0"/>
      <w:marBottom w:val="0"/>
      <w:divBdr>
        <w:top w:val="none" w:sz="0" w:space="0" w:color="auto"/>
        <w:left w:val="none" w:sz="0" w:space="0" w:color="auto"/>
        <w:bottom w:val="none" w:sz="0" w:space="0" w:color="auto"/>
        <w:right w:val="none" w:sz="0" w:space="0" w:color="auto"/>
      </w:divBdr>
    </w:div>
    <w:div w:id="206987642">
      <w:bodyDiv w:val="1"/>
      <w:marLeft w:val="0"/>
      <w:marRight w:val="0"/>
      <w:marTop w:val="0"/>
      <w:marBottom w:val="0"/>
      <w:divBdr>
        <w:top w:val="none" w:sz="0" w:space="0" w:color="auto"/>
        <w:left w:val="none" w:sz="0" w:space="0" w:color="auto"/>
        <w:bottom w:val="none" w:sz="0" w:space="0" w:color="auto"/>
        <w:right w:val="none" w:sz="0" w:space="0" w:color="auto"/>
      </w:divBdr>
    </w:div>
    <w:div w:id="277762050">
      <w:bodyDiv w:val="1"/>
      <w:marLeft w:val="0"/>
      <w:marRight w:val="0"/>
      <w:marTop w:val="0"/>
      <w:marBottom w:val="0"/>
      <w:divBdr>
        <w:top w:val="none" w:sz="0" w:space="0" w:color="auto"/>
        <w:left w:val="none" w:sz="0" w:space="0" w:color="auto"/>
        <w:bottom w:val="none" w:sz="0" w:space="0" w:color="auto"/>
        <w:right w:val="none" w:sz="0" w:space="0" w:color="auto"/>
      </w:divBdr>
    </w:div>
    <w:div w:id="283926942">
      <w:bodyDiv w:val="1"/>
      <w:marLeft w:val="0"/>
      <w:marRight w:val="0"/>
      <w:marTop w:val="0"/>
      <w:marBottom w:val="0"/>
      <w:divBdr>
        <w:top w:val="none" w:sz="0" w:space="0" w:color="auto"/>
        <w:left w:val="none" w:sz="0" w:space="0" w:color="auto"/>
        <w:bottom w:val="none" w:sz="0" w:space="0" w:color="auto"/>
        <w:right w:val="none" w:sz="0" w:space="0" w:color="auto"/>
      </w:divBdr>
    </w:div>
    <w:div w:id="295840083">
      <w:bodyDiv w:val="1"/>
      <w:marLeft w:val="0"/>
      <w:marRight w:val="0"/>
      <w:marTop w:val="0"/>
      <w:marBottom w:val="0"/>
      <w:divBdr>
        <w:top w:val="none" w:sz="0" w:space="0" w:color="auto"/>
        <w:left w:val="none" w:sz="0" w:space="0" w:color="auto"/>
        <w:bottom w:val="none" w:sz="0" w:space="0" w:color="auto"/>
        <w:right w:val="none" w:sz="0" w:space="0" w:color="auto"/>
      </w:divBdr>
    </w:div>
    <w:div w:id="298190271">
      <w:bodyDiv w:val="1"/>
      <w:marLeft w:val="0"/>
      <w:marRight w:val="0"/>
      <w:marTop w:val="0"/>
      <w:marBottom w:val="0"/>
      <w:divBdr>
        <w:top w:val="none" w:sz="0" w:space="0" w:color="auto"/>
        <w:left w:val="none" w:sz="0" w:space="0" w:color="auto"/>
        <w:bottom w:val="none" w:sz="0" w:space="0" w:color="auto"/>
        <w:right w:val="none" w:sz="0" w:space="0" w:color="auto"/>
      </w:divBdr>
    </w:div>
    <w:div w:id="313143712">
      <w:bodyDiv w:val="1"/>
      <w:marLeft w:val="0"/>
      <w:marRight w:val="0"/>
      <w:marTop w:val="0"/>
      <w:marBottom w:val="0"/>
      <w:divBdr>
        <w:top w:val="none" w:sz="0" w:space="0" w:color="auto"/>
        <w:left w:val="none" w:sz="0" w:space="0" w:color="auto"/>
        <w:bottom w:val="none" w:sz="0" w:space="0" w:color="auto"/>
        <w:right w:val="none" w:sz="0" w:space="0" w:color="auto"/>
      </w:divBdr>
    </w:div>
    <w:div w:id="329063032">
      <w:bodyDiv w:val="1"/>
      <w:marLeft w:val="0"/>
      <w:marRight w:val="0"/>
      <w:marTop w:val="0"/>
      <w:marBottom w:val="0"/>
      <w:divBdr>
        <w:top w:val="none" w:sz="0" w:space="0" w:color="auto"/>
        <w:left w:val="none" w:sz="0" w:space="0" w:color="auto"/>
        <w:bottom w:val="none" w:sz="0" w:space="0" w:color="auto"/>
        <w:right w:val="none" w:sz="0" w:space="0" w:color="auto"/>
      </w:divBdr>
    </w:div>
    <w:div w:id="357967911">
      <w:bodyDiv w:val="1"/>
      <w:marLeft w:val="0"/>
      <w:marRight w:val="0"/>
      <w:marTop w:val="0"/>
      <w:marBottom w:val="0"/>
      <w:divBdr>
        <w:top w:val="none" w:sz="0" w:space="0" w:color="auto"/>
        <w:left w:val="none" w:sz="0" w:space="0" w:color="auto"/>
        <w:bottom w:val="none" w:sz="0" w:space="0" w:color="auto"/>
        <w:right w:val="none" w:sz="0" w:space="0" w:color="auto"/>
      </w:divBdr>
    </w:div>
    <w:div w:id="363100256">
      <w:bodyDiv w:val="1"/>
      <w:marLeft w:val="0"/>
      <w:marRight w:val="0"/>
      <w:marTop w:val="0"/>
      <w:marBottom w:val="0"/>
      <w:divBdr>
        <w:top w:val="none" w:sz="0" w:space="0" w:color="auto"/>
        <w:left w:val="none" w:sz="0" w:space="0" w:color="auto"/>
        <w:bottom w:val="none" w:sz="0" w:space="0" w:color="auto"/>
        <w:right w:val="none" w:sz="0" w:space="0" w:color="auto"/>
      </w:divBdr>
    </w:div>
    <w:div w:id="391271890">
      <w:bodyDiv w:val="1"/>
      <w:marLeft w:val="0"/>
      <w:marRight w:val="0"/>
      <w:marTop w:val="0"/>
      <w:marBottom w:val="0"/>
      <w:divBdr>
        <w:top w:val="none" w:sz="0" w:space="0" w:color="auto"/>
        <w:left w:val="none" w:sz="0" w:space="0" w:color="auto"/>
        <w:bottom w:val="none" w:sz="0" w:space="0" w:color="auto"/>
        <w:right w:val="none" w:sz="0" w:space="0" w:color="auto"/>
      </w:divBdr>
    </w:div>
    <w:div w:id="400251785">
      <w:bodyDiv w:val="1"/>
      <w:marLeft w:val="0"/>
      <w:marRight w:val="0"/>
      <w:marTop w:val="0"/>
      <w:marBottom w:val="0"/>
      <w:divBdr>
        <w:top w:val="none" w:sz="0" w:space="0" w:color="auto"/>
        <w:left w:val="none" w:sz="0" w:space="0" w:color="auto"/>
        <w:bottom w:val="none" w:sz="0" w:space="0" w:color="auto"/>
        <w:right w:val="none" w:sz="0" w:space="0" w:color="auto"/>
      </w:divBdr>
    </w:div>
    <w:div w:id="407966897">
      <w:bodyDiv w:val="1"/>
      <w:marLeft w:val="0"/>
      <w:marRight w:val="0"/>
      <w:marTop w:val="0"/>
      <w:marBottom w:val="0"/>
      <w:divBdr>
        <w:top w:val="none" w:sz="0" w:space="0" w:color="auto"/>
        <w:left w:val="none" w:sz="0" w:space="0" w:color="auto"/>
        <w:bottom w:val="none" w:sz="0" w:space="0" w:color="auto"/>
        <w:right w:val="none" w:sz="0" w:space="0" w:color="auto"/>
      </w:divBdr>
    </w:div>
    <w:div w:id="410005865">
      <w:bodyDiv w:val="1"/>
      <w:marLeft w:val="0"/>
      <w:marRight w:val="0"/>
      <w:marTop w:val="0"/>
      <w:marBottom w:val="0"/>
      <w:divBdr>
        <w:top w:val="none" w:sz="0" w:space="0" w:color="auto"/>
        <w:left w:val="none" w:sz="0" w:space="0" w:color="auto"/>
        <w:bottom w:val="none" w:sz="0" w:space="0" w:color="auto"/>
        <w:right w:val="none" w:sz="0" w:space="0" w:color="auto"/>
      </w:divBdr>
    </w:div>
    <w:div w:id="435639851">
      <w:bodyDiv w:val="1"/>
      <w:marLeft w:val="0"/>
      <w:marRight w:val="0"/>
      <w:marTop w:val="0"/>
      <w:marBottom w:val="0"/>
      <w:divBdr>
        <w:top w:val="none" w:sz="0" w:space="0" w:color="auto"/>
        <w:left w:val="none" w:sz="0" w:space="0" w:color="auto"/>
        <w:bottom w:val="none" w:sz="0" w:space="0" w:color="auto"/>
        <w:right w:val="none" w:sz="0" w:space="0" w:color="auto"/>
      </w:divBdr>
    </w:div>
    <w:div w:id="436486084">
      <w:bodyDiv w:val="1"/>
      <w:marLeft w:val="0"/>
      <w:marRight w:val="0"/>
      <w:marTop w:val="0"/>
      <w:marBottom w:val="0"/>
      <w:divBdr>
        <w:top w:val="none" w:sz="0" w:space="0" w:color="auto"/>
        <w:left w:val="none" w:sz="0" w:space="0" w:color="auto"/>
        <w:bottom w:val="none" w:sz="0" w:space="0" w:color="auto"/>
        <w:right w:val="none" w:sz="0" w:space="0" w:color="auto"/>
      </w:divBdr>
    </w:div>
    <w:div w:id="453712059">
      <w:bodyDiv w:val="1"/>
      <w:marLeft w:val="0"/>
      <w:marRight w:val="0"/>
      <w:marTop w:val="0"/>
      <w:marBottom w:val="0"/>
      <w:divBdr>
        <w:top w:val="none" w:sz="0" w:space="0" w:color="auto"/>
        <w:left w:val="none" w:sz="0" w:space="0" w:color="auto"/>
        <w:bottom w:val="none" w:sz="0" w:space="0" w:color="auto"/>
        <w:right w:val="none" w:sz="0" w:space="0" w:color="auto"/>
      </w:divBdr>
    </w:div>
    <w:div w:id="459687586">
      <w:bodyDiv w:val="1"/>
      <w:marLeft w:val="0"/>
      <w:marRight w:val="0"/>
      <w:marTop w:val="0"/>
      <w:marBottom w:val="0"/>
      <w:divBdr>
        <w:top w:val="none" w:sz="0" w:space="0" w:color="auto"/>
        <w:left w:val="none" w:sz="0" w:space="0" w:color="auto"/>
        <w:bottom w:val="none" w:sz="0" w:space="0" w:color="auto"/>
        <w:right w:val="none" w:sz="0" w:space="0" w:color="auto"/>
      </w:divBdr>
    </w:div>
    <w:div w:id="500042864">
      <w:bodyDiv w:val="1"/>
      <w:marLeft w:val="0"/>
      <w:marRight w:val="0"/>
      <w:marTop w:val="0"/>
      <w:marBottom w:val="0"/>
      <w:divBdr>
        <w:top w:val="none" w:sz="0" w:space="0" w:color="auto"/>
        <w:left w:val="none" w:sz="0" w:space="0" w:color="auto"/>
        <w:bottom w:val="none" w:sz="0" w:space="0" w:color="auto"/>
        <w:right w:val="none" w:sz="0" w:space="0" w:color="auto"/>
      </w:divBdr>
      <w:divsChild>
        <w:div w:id="2006324586">
          <w:marLeft w:val="0"/>
          <w:marRight w:val="0"/>
          <w:marTop w:val="0"/>
          <w:marBottom w:val="0"/>
          <w:divBdr>
            <w:top w:val="none" w:sz="0" w:space="0" w:color="auto"/>
            <w:left w:val="none" w:sz="0" w:space="0" w:color="auto"/>
            <w:bottom w:val="none" w:sz="0" w:space="0" w:color="auto"/>
            <w:right w:val="none" w:sz="0" w:space="0" w:color="auto"/>
          </w:divBdr>
          <w:divsChild>
            <w:div w:id="427310631">
              <w:marLeft w:val="0"/>
              <w:marRight w:val="0"/>
              <w:marTop w:val="0"/>
              <w:marBottom w:val="0"/>
              <w:divBdr>
                <w:top w:val="none" w:sz="0" w:space="0" w:color="auto"/>
                <w:left w:val="none" w:sz="0" w:space="0" w:color="auto"/>
                <w:bottom w:val="none" w:sz="0" w:space="0" w:color="auto"/>
                <w:right w:val="none" w:sz="0" w:space="0" w:color="auto"/>
              </w:divBdr>
              <w:divsChild>
                <w:div w:id="1856377631">
                  <w:marLeft w:val="0"/>
                  <w:marRight w:val="0"/>
                  <w:marTop w:val="0"/>
                  <w:marBottom w:val="0"/>
                  <w:divBdr>
                    <w:top w:val="none" w:sz="0" w:space="0" w:color="auto"/>
                    <w:left w:val="none" w:sz="0" w:space="0" w:color="auto"/>
                    <w:bottom w:val="none" w:sz="0" w:space="0" w:color="auto"/>
                    <w:right w:val="none" w:sz="0" w:space="0" w:color="auto"/>
                  </w:divBdr>
                  <w:divsChild>
                    <w:div w:id="1772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142148">
      <w:bodyDiv w:val="1"/>
      <w:marLeft w:val="0"/>
      <w:marRight w:val="0"/>
      <w:marTop w:val="0"/>
      <w:marBottom w:val="0"/>
      <w:divBdr>
        <w:top w:val="none" w:sz="0" w:space="0" w:color="auto"/>
        <w:left w:val="none" w:sz="0" w:space="0" w:color="auto"/>
        <w:bottom w:val="none" w:sz="0" w:space="0" w:color="auto"/>
        <w:right w:val="none" w:sz="0" w:space="0" w:color="auto"/>
      </w:divBdr>
    </w:div>
    <w:div w:id="538586905">
      <w:bodyDiv w:val="1"/>
      <w:marLeft w:val="0"/>
      <w:marRight w:val="0"/>
      <w:marTop w:val="0"/>
      <w:marBottom w:val="0"/>
      <w:divBdr>
        <w:top w:val="none" w:sz="0" w:space="0" w:color="auto"/>
        <w:left w:val="none" w:sz="0" w:space="0" w:color="auto"/>
        <w:bottom w:val="none" w:sz="0" w:space="0" w:color="auto"/>
        <w:right w:val="none" w:sz="0" w:space="0" w:color="auto"/>
      </w:divBdr>
    </w:div>
    <w:div w:id="541405294">
      <w:bodyDiv w:val="1"/>
      <w:marLeft w:val="0"/>
      <w:marRight w:val="0"/>
      <w:marTop w:val="0"/>
      <w:marBottom w:val="0"/>
      <w:divBdr>
        <w:top w:val="none" w:sz="0" w:space="0" w:color="auto"/>
        <w:left w:val="none" w:sz="0" w:space="0" w:color="auto"/>
        <w:bottom w:val="none" w:sz="0" w:space="0" w:color="auto"/>
        <w:right w:val="none" w:sz="0" w:space="0" w:color="auto"/>
      </w:divBdr>
    </w:div>
    <w:div w:id="564755805">
      <w:bodyDiv w:val="1"/>
      <w:marLeft w:val="0"/>
      <w:marRight w:val="0"/>
      <w:marTop w:val="0"/>
      <w:marBottom w:val="0"/>
      <w:divBdr>
        <w:top w:val="none" w:sz="0" w:space="0" w:color="auto"/>
        <w:left w:val="none" w:sz="0" w:space="0" w:color="auto"/>
        <w:bottom w:val="none" w:sz="0" w:space="0" w:color="auto"/>
        <w:right w:val="none" w:sz="0" w:space="0" w:color="auto"/>
      </w:divBdr>
    </w:div>
    <w:div w:id="589627694">
      <w:bodyDiv w:val="1"/>
      <w:marLeft w:val="0"/>
      <w:marRight w:val="0"/>
      <w:marTop w:val="0"/>
      <w:marBottom w:val="0"/>
      <w:divBdr>
        <w:top w:val="none" w:sz="0" w:space="0" w:color="auto"/>
        <w:left w:val="none" w:sz="0" w:space="0" w:color="auto"/>
        <w:bottom w:val="none" w:sz="0" w:space="0" w:color="auto"/>
        <w:right w:val="none" w:sz="0" w:space="0" w:color="auto"/>
      </w:divBdr>
    </w:div>
    <w:div w:id="596063386">
      <w:bodyDiv w:val="1"/>
      <w:marLeft w:val="0"/>
      <w:marRight w:val="0"/>
      <w:marTop w:val="0"/>
      <w:marBottom w:val="0"/>
      <w:divBdr>
        <w:top w:val="none" w:sz="0" w:space="0" w:color="auto"/>
        <w:left w:val="none" w:sz="0" w:space="0" w:color="auto"/>
        <w:bottom w:val="none" w:sz="0" w:space="0" w:color="auto"/>
        <w:right w:val="none" w:sz="0" w:space="0" w:color="auto"/>
      </w:divBdr>
    </w:div>
    <w:div w:id="608247240">
      <w:bodyDiv w:val="1"/>
      <w:marLeft w:val="0"/>
      <w:marRight w:val="0"/>
      <w:marTop w:val="0"/>
      <w:marBottom w:val="0"/>
      <w:divBdr>
        <w:top w:val="none" w:sz="0" w:space="0" w:color="auto"/>
        <w:left w:val="none" w:sz="0" w:space="0" w:color="auto"/>
        <w:bottom w:val="none" w:sz="0" w:space="0" w:color="auto"/>
        <w:right w:val="none" w:sz="0" w:space="0" w:color="auto"/>
      </w:divBdr>
    </w:div>
    <w:div w:id="618416114">
      <w:bodyDiv w:val="1"/>
      <w:marLeft w:val="0"/>
      <w:marRight w:val="0"/>
      <w:marTop w:val="0"/>
      <w:marBottom w:val="0"/>
      <w:divBdr>
        <w:top w:val="none" w:sz="0" w:space="0" w:color="auto"/>
        <w:left w:val="none" w:sz="0" w:space="0" w:color="auto"/>
        <w:bottom w:val="none" w:sz="0" w:space="0" w:color="auto"/>
        <w:right w:val="none" w:sz="0" w:space="0" w:color="auto"/>
      </w:divBdr>
    </w:div>
    <w:div w:id="623852456">
      <w:bodyDiv w:val="1"/>
      <w:marLeft w:val="0"/>
      <w:marRight w:val="0"/>
      <w:marTop w:val="0"/>
      <w:marBottom w:val="0"/>
      <w:divBdr>
        <w:top w:val="none" w:sz="0" w:space="0" w:color="auto"/>
        <w:left w:val="none" w:sz="0" w:space="0" w:color="auto"/>
        <w:bottom w:val="none" w:sz="0" w:space="0" w:color="auto"/>
        <w:right w:val="none" w:sz="0" w:space="0" w:color="auto"/>
      </w:divBdr>
    </w:div>
    <w:div w:id="626857096">
      <w:bodyDiv w:val="1"/>
      <w:marLeft w:val="0"/>
      <w:marRight w:val="0"/>
      <w:marTop w:val="0"/>
      <w:marBottom w:val="0"/>
      <w:divBdr>
        <w:top w:val="none" w:sz="0" w:space="0" w:color="auto"/>
        <w:left w:val="none" w:sz="0" w:space="0" w:color="auto"/>
        <w:bottom w:val="none" w:sz="0" w:space="0" w:color="auto"/>
        <w:right w:val="none" w:sz="0" w:space="0" w:color="auto"/>
      </w:divBdr>
      <w:divsChild>
        <w:div w:id="1091511860">
          <w:marLeft w:val="0"/>
          <w:marRight w:val="0"/>
          <w:marTop w:val="0"/>
          <w:marBottom w:val="0"/>
          <w:divBdr>
            <w:top w:val="none" w:sz="0" w:space="0" w:color="auto"/>
            <w:left w:val="none" w:sz="0" w:space="0" w:color="auto"/>
            <w:bottom w:val="none" w:sz="0" w:space="0" w:color="auto"/>
            <w:right w:val="none" w:sz="0" w:space="0" w:color="auto"/>
          </w:divBdr>
          <w:divsChild>
            <w:div w:id="985546755">
              <w:marLeft w:val="0"/>
              <w:marRight w:val="0"/>
              <w:marTop w:val="0"/>
              <w:marBottom w:val="0"/>
              <w:divBdr>
                <w:top w:val="none" w:sz="0" w:space="0" w:color="auto"/>
                <w:left w:val="none" w:sz="0" w:space="0" w:color="auto"/>
                <w:bottom w:val="none" w:sz="0" w:space="0" w:color="auto"/>
                <w:right w:val="none" w:sz="0" w:space="0" w:color="auto"/>
              </w:divBdr>
              <w:divsChild>
                <w:div w:id="1914705289">
                  <w:marLeft w:val="0"/>
                  <w:marRight w:val="0"/>
                  <w:marTop w:val="0"/>
                  <w:marBottom w:val="0"/>
                  <w:divBdr>
                    <w:top w:val="none" w:sz="0" w:space="0" w:color="auto"/>
                    <w:left w:val="none" w:sz="0" w:space="0" w:color="auto"/>
                    <w:bottom w:val="none" w:sz="0" w:space="0" w:color="auto"/>
                    <w:right w:val="none" w:sz="0" w:space="0" w:color="auto"/>
                  </w:divBdr>
                  <w:divsChild>
                    <w:div w:id="5795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13446">
      <w:bodyDiv w:val="1"/>
      <w:marLeft w:val="0"/>
      <w:marRight w:val="0"/>
      <w:marTop w:val="0"/>
      <w:marBottom w:val="0"/>
      <w:divBdr>
        <w:top w:val="none" w:sz="0" w:space="0" w:color="auto"/>
        <w:left w:val="none" w:sz="0" w:space="0" w:color="auto"/>
        <w:bottom w:val="none" w:sz="0" w:space="0" w:color="auto"/>
        <w:right w:val="none" w:sz="0" w:space="0" w:color="auto"/>
      </w:divBdr>
    </w:div>
    <w:div w:id="691996270">
      <w:bodyDiv w:val="1"/>
      <w:marLeft w:val="0"/>
      <w:marRight w:val="0"/>
      <w:marTop w:val="0"/>
      <w:marBottom w:val="0"/>
      <w:divBdr>
        <w:top w:val="none" w:sz="0" w:space="0" w:color="auto"/>
        <w:left w:val="none" w:sz="0" w:space="0" w:color="auto"/>
        <w:bottom w:val="none" w:sz="0" w:space="0" w:color="auto"/>
        <w:right w:val="none" w:sz="0" w:space="0" w:color="auto"/>
      </w:divBdr>
    </w:div>
    <w:div w:id="698118237">
      <w:bodyDiv w:val="1"/>
      <w:marLeft w:val="0"/>
      <w:marRight w:val="0"/>
      <w:marTop w:val="0"/>
      <w:marBottom w:val="0"/>
      <w:divBdr>
        <w:top w:val="none" w:sz="0" w:space="0" w:color="auto"/>
        <w:left w:val="none" w:sz="0" w:space="0" w:color="auto"/>
        <w:bottom w:val="none" w:sz="0" w:space="0" w:color="auto"/>
        <w:right w:val="none" w:sz="0" w:space="0" w:color="auto"/>
      </w:divBdr>
    </w:div>
    <w:div w:id="725378612">
      <w:bodyDiv w:val="1"/>
      <w:marLeft w:val="0"/>
      <w:marRight w:val="0"/>
      <w:marTop w:val="0"/>
      <w:marBottom w:val="0"/>
      <w:divBdr>
        <w:top w:val="none" w:sz="0" w:space="0" w:color="auto"/>
        <w:left w:val="none" w:sz="0" w:space="0" w:color="auto"/>
        <w:bottom w:val="none" w:sz="0" w:space="0" w:color="auto"/>
        <w:right w:val="none" w:sz="0" w:space="0" w:color="auto"/>
      </w:divBdr>
    </w:div>
    <w:div w:id="733967141">
      <w:bodyDiv w:val="1"/>
      <w:marLeft w:val="0"/>
      <w:marRight w:val="0"/>
      <w:marTop w:val="0"/>
      <w:marBottom w:val="0"/>
      <w:divBdr>
        <w:top w:val="none" w:sz="0" w:space="0" w:color="auto"/>
        <w:left w:val="none" w:sz="0" w:space="0" w:color="auto"/>
        <w:bottom w:val="none" w:sz="0" w:space="0" w:color="auto"/>
        <w:right w:val="none" w:sz="0" w:space="0" w:color="auto"/>
      </w:divBdr>
      <w:divsChild>
        <w:div w:id="1721173302">
          <w:marLeft w:val="0"/>
          <w:marRight w:val="0"/>
          <w:marTop w:val="0"/>
          <w:marBottom w:val="0"/>
          <w:divBdr>
            <w:top w:val="none" w:sz="0" w:space="0" w:color="auto"/>
            <w:left w:val="none" w:sz="0" w:space="0" w:color="auto"/>
            <w:bottom w:val="none" w:sz="0" w:space="0" w:color="auto"/>
            <w:right w:val="none" w:sz="0" w:space="0" w:color="auto"/>
          </w:divBdr>
          <w:divsChild>
            <w:div w:id="1060589796">
              <w:marLeft w:val="0"/>
              <w:marRight w:val="0"/>
              <w:marTop w:val="0"/>
              <w:marBottom w:val="0"/>
              <w:divBdr>
                <w:top w:val="none" w:sz="0" w:space="0" w:color="auto"/>
                <w:left w:val="none" w:sz="0" w:space="0" w:color="auto"/>
                <w:bottom w:val="none" w:sz="0" w:space="0" w:color="auto"/>
                <w:right w:val="none" w:sz="0" w:space="0" w:color="auto"/>
              </w:divBdr>
              <w:divsChild>
                <w:div w:id="16206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8174">
          <w:marLeft w:val="0"/>
          <w:marRight w:val="0"/>
          <w:marTop w:val="0"/>
          <w:marBottom w:val="0"/>
          <w:divBdr>
            <w:top w:val="none" w:sz="0" w:space="0" w:color="auto"/>
            <w:left w:val="none" w:sz="0" w:space="0" w:color="auto"/>
            <w:bottom w:val="none" w:sz="0" w:space="0" w:color="auto"/>
            <w:right w:val="none" w:sz="0" w:space="0" w:color="auto"/>
          </w:divBdr>
          <w:divsChild>
            <w:div w:id="1126699345">
              <w:marLeft w:val="0"/>
              <w:marRight w:val="0"/>
              <w:marTop w:val="0"/>
              <w:marBottom w:val="0"/>
              <w:divBdr>
                <w:top w:val="none" w:sz="0" w:space="0" w:color="auto"/>
                <w:left w:val="none" w:sz="0" w:space="0" w:color="auto"/>
                <w:bottom w:val="none" w:sz="0" w:space="0" w:color="auto"/>
                <w:right w:val="none" w:sz="0" w:space="0" w:color="auto"/>
              </w:divBdr>
              <w:divsChild>
                <w:div w:id="1733887402">
                  <w:marLeft w:val="0"/>
                  <w:marRight w:val="0"/>
                  <w:marTop w:val="0"/>
                  <w:marBottom w:val="0"/>
                  <w:divBdr>
                    <w:top w:val="none" w:sz="0" w:space="0" w:color="auto"/>
                    <w:left w:val="none" w:sz="0" w:space="0" w:color="auto"/>
                    <w:bottom w:val="none" w:sz="0" w:space="0" w:color="auto"/>
                    <w:right w:val="none" w:sz="0" w:space="0" w:color="auto"/>
                  </w:divBdr>
                </w:div>
              </w:divsChild>
            </w:div>
            <w:div w:id="1541894951">
              <w:marLeft w:val="0"/>
              <w:marRight w:val="0"/>
              <w:marTop w:val="0"/>
              <w:marBottom w:val="0"/>
              <w:divBdr>
                <w:top w:val="none" w:sz="0" w:space="0" w:color="auto"/>
                <w:left w:val="none" w:sz="0" w:space="0" w:color="auto"/>
                <w:bottom w:val="none" w:sz="0" w:space="0" w:color="auto"/>
                <w:right w:val="none" w:sz="0" w:space="0" w:color="auto"/>
              </w:divBdr>
              <w:divsChild>
                <w:div w:id="1847864299">
                  <w:marLeft w:val="0"/>
                  <w:marRight w:val="0"/>
                  <w:marTop w:val="0"/>
                  <w:marBottom w:val="0"/>
                  <w:divBdr>
                    <w:top w:val="none" w:sz="0" w:space="0" w:color="auto"/>
                    <w:left w:val="none" w:sz="0" w:space="0" w:color="auto"/>
                    <w:bottom w:val="none" w:sz="0" w:space="0" w:color="auto"/>
                    <w:right w:val="none" w:sz="0" w:space="0" w:color="auto"/>
                  </w:divBdr>
                </w:div>
              </w:divsChild>
            </w:div>
            <w:div w:id="22361681">
              <w:marLeft w:val="0"/>
              <w:marRight w:val="0"/>
              <w:marTop w:val="0"/>
              <w:marBottom w:val="0"/>
              <w:divBdr>
                <w:top w:val="none" w:sz="0" w:space="0" w:color="auto"/>
                <w:left w:val="none" w:sz="0" w:space="0" w:color="auto"/>
                <w:bottom w:val="none" w:sz="0" w:space="0" w:color="auto"/>
                <w:right w:val="none" w:sz="0" w:space="0" w:color="auto"/>
              </w:divBdr>
              <w:divsChild>
                <w:div w:id="1091392291">
                  <w:marLeft w:val="0"/>
                  <w:marRight w:val="0"/>
                  <w:marTop w:val="0"/>
                  <w:marBottom w:val="0"/>
                  <w:divBdr>
                    <w:top w:val="none" w:sz="0" w:space="0" w:color="auto"/>
                    <w:left w:val="none" w:sz="0" w:space="0" w:color="auto"/>
                    <w:bottom w:val="none" w:sz="0" w:space="0" w:color="auto"/>
                    <w:right w:val="none" w:sz="0" w:space="0" w:color="auto"/>
                  </w:divBdr>
                </w:div>
                <w:div w:id="2019578020">
                  <w:marLeft w:val="0"/>
                  <w:marRight w:val="0"/>
                  <w:marTop w:val="0"/>
                  <w:marBottom w:val="0"/>
                  <w:divBdr>
                    <w:top w:val="none" w:sz="0" w:space="0" w:color="auto"/>
                    <w:left w:val="none" w:sz="0" w:space="0" w:color="auto"/>
                    <w:bottom w:val="none" w:sz="0" w:space="0" w:color="auto"/>
                    <w:right w:val="none" w:sz="0" w:space="0" w:color="auto"/>
                  </w:divBdr>
                </w:div>
                <w:div w:id="1233614196">
                  <w:marLeft w:val="0"/>
                  <w:marRight w:val="0"/>
                  <w:marTop w:val="0"/>
                  <w:marBottom w:val="0"/>
                  <w:divBdr>
                    <w:top w:val="none" w:sz="0" w:space="0" w:color="auto"/>
                    <w:left w:val="none" w:sz="0" w:space="0" w:color="auto"/>
                    <w:bottom w:val="none" w:sz="0" w:space="0" w:color="auto"/>
                    <w:right w:val="none" w:sz="0" w:space="0" w:color="auto"/>
                  </w:divBdr>
                </w:div>
                <w:div w:id="227040516">
                  <w:marLeft w:val="0"/>
                  <w:marRight w:val="0"/>
                  <w:marTop w:val="0"/>
                  <w:marBottom w:val="0"/>
                  <w:divBdr>
                    <w:top w:val="none" w:sz="0" w:space="0" w:color="auto"/>
                    <w:left w:val="none" w:sz="0" w:space="0" w:color="auto"/>
                    <w:bottom w:val="none" w:sz="0" w:space="0" w:color="auto"/>
                    <w:right w:val="none" w:sz="0" w:space="0" w:color="auto"/>
                  </w:divBdr>
                </w:div>
              </w:divsChild>
            </w:div>
            <w:div w:id="549926787">
              <w:marLeft w:val="0"/>
              <w:marRight w:val="0"/>
              <w:marTop w:val="0"/>
              <w:marBottom w:val="0"/>
              <w:divBdr>
                <w:top w:val="none" w:sz="0" w:space="0" w:color="auto"/>
                <w:left w:val="none" w:sz="0" w:space="0" w:color="auto"/>
                <w:bottom w:val="none" w:sz="0" w:space="0" w:color="auto"/>
                <w:right w:val="none" w:sz="0" w:space="0" w:color="auto"/>
              </w:divBdr>
              <w:divsChild>
                <w:div w:id="11975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77632">
      <w:bodyDiv w:val="1"/>
      <w:marLeft w:val="0"/>
      <w:marRight w:val="0"/>
      <w:marTop w:val="0"/>
      <w:marBottom w:val="0"/>
      <w:divBdr>
        <w:top w:val="none" w:sz="0" w:space="0" w:color="auto"/>
        <w:left w:val="none" w:sz="0" w:space="0" w:color="auto"/>
        <w:bottom w:val="none" w:sz="0" w:space="0" w:color="auto"/>
        <w:right w:val="none" w:sz="0" w:space="0" w:color="auto"/>
      </w:divBdr>
    </w:div>
    <w:div w:id="762532785">
      <w:bodyDiv w:val="1"/>
      <w:marLeft w:val="0"/>
      <w:marRight w:val="0"/>
      <w:marTop w:val="0"/>
      <w:marBottom w:val="0"/>
      <w:divBdr>
        <w:top w:val="none" w:sz="0" w:space="0" w:color="auto"/>
        <w:left w:val="none" w:sz="0" w:space="0" w:color="auto"/>
        <w:bottom w:val="none" w:sz="0" w:space="0" w:color="auto"/>
        <w:right w:val="none" w:sz="0" w:space="0" w:color="auto"/>
      </w:divBdr>
    </w:div>
    <w:div w:id="794254861">
      <w:bodyDiv w:val="1"/>
      <w:marLeft w:val="0"/>
      <w:marRight w:val="0"/>
      <w:marTop w:val="0"/>
      <w:marBottom w:val="0"/>
      <w:divBdr>
        <w:top w:val="none" w:sz="0" w:space="0" w:color="auto"/>
        <w:left w:val="none" w:sz="0" w:space="0" w:color="auto"/>
        <w:bottom w:val="none" w:sz="0" w:space="0" w:color="auto"/>
        <w:right w:val="none" w:sz="0" w:space="0" w:color="auto"/>
      </w:divBdr>
    </w:div>
    <w:div w:id="799808145">
      <w:bodyDiv w:val="1"/>
      <w:marLeft w:val="0"/>
      <w:marRight w:val="0"/>
      <w:marTop w:val="0"/>
      <w:marBottom w:val="0"/>
      <w:divBdr>
        <w:top w:val="none" w:sz="0" w:space="0" w:color="auto"/>
        <w:left w:val="none" w:sz="0" w:space="0" w:color="auto"/>
        <w:bottom w:val="none" w:sz="0" w:space="0" w:color="auto"/>
        <w:right w:val="none" w:sz="0" w:space="0" w:color="auto"/>
      </w:divBdr>
    </w:div>
    <w:div w:id="815142623">
      <w:bodyDiv w:val="1"/>
      <w:marLeft w:val="0"/>
      <w:marRight w:val="0"/>
      <w:marTop w:val="0"/>
      <w:marBottom w:val="0"/>
      <w:divBdr>
        <w:top w:val="none" w:sz="0" w:space="0" w:color="auto"/>
        <w:left w:val="none" w:sz="0" w:space="0" w:color="auto"/>
        <w:bottom w:val="none" w:sz="0" w:space="0" w:color="auto"/>
        <w:right w:val="none" w:sz="0" w:space="0" w:color="auto"/>
      </w:divBdr>
    </w:div>
    <w:div w:id="829374304">
      <w:bodyDiv w:val="1"/>
      <w:marLeft w:val="0"/>
      <w:marRight w:val="0"/>
      <w:marTop w:val="0"/>
      <w:marBottom w:val="0"/>
      <w:divBdr>
        <w:top w:val="none" w:sz="0" w:space="0" w:color="auto"/>
        <w:left w:val="none" w:sz="0" w:space="0" w:color="auto"/>
        <w:bottom w:val="none" w:sz="0" w:space="0" w:color="auto"/>
        <w:right w:val="none" w:sz="0" w:space="0" w:color="auto"/>
      </w:divBdr>
    </w:div>
    <w:div w:id="847014243">
      <w:bodyDiv w:val="1"/>
      <w:marLeft w:val="0"/>
      <w:marRight w:val="0"/>
      <w:marTop w:val="0"/>
      <w:marBottom w:val="0"/>
      <w:divBdr>
        <w:top w:val="none" w:sz="0" w:space="0" w:color="auto"/>
        <w:left w:val="none" w:sz="0" w:space="0" w:color="auto"/>
        <w:bottom w:val="none" w:sz="0" w:space="0" w:color="auto"/>
        <w:right w:val="none" w:sz="0" w:space="0" w:color="auto"/>
      </w:divBdr>
    </w:div>
    <w:div w:id="847716477">
      <w:bodyDiv w:val="1"/>
      <w:marLeft w:val="0"/>
      <w:marRight w:val="0"/>
      <w:marTop w:val="0"/>
      <w:marBottom w:val="0"/>
      <w:divBdr>
        <w:top w:val="none" w:sz="0" w:space="0" w:color="auto"/>
        <w:left w:val="none" w:sz="0" w:space="0" w:color="auto"/>
        <w:bottom w:val="none" w:sz="0" w:space="0" w:color="auto"/>
        <w:right w:val="none" w:sz="0" w:space="0" w:color="auto"/>
      </w:divBdr>
    </w:div>
    <w:div w:id="849492698">
      <w:bodyDiv w:val="1"/>
      <w:marLeft w:val="0"/>
      <w:marRight w:val="0"/>
      <w:marTop w:val="0"/>
      <w:marBottom w:val="0"/>
      <w:divBdr>
        <w:top w:val="none" w:sz="0" w:space="0" w:color="auto"/>
        <w:left w:val="none" w:sz="0" w:space="0" w:color="auto"/>
        <w:bottom w:val="none" w:sz="0" w:space="0" w:color="auto"/>
        <w:right w:val="none" w:sz="0" w:space="0" w:color="auto"/>
      </w:divBdr>
    </w:div>
    <w:div w:id="866529818">
      <w:bodyDiv w:val="1"/>
      <w:marLeft w:val="0"/>
      <w:marRight w:val="0"/>
      <w:marTop w:val="0"/>
      <w:marBottom w:val="0"/>
      <w:divBdr>
        <w:top w:val="none" w:sz="0" w:space="0" w:color="auto"/>
        <w:left w:val="none" w:sz="0" w:space="0" w:color="auto"/>
        <w:bottom w:val="none" w:sz="0" w:space="0" w:color="auto"/>
        <w:right w:val="none" w:sz="0" w:space="0" w:color="auto"/>
      </w:divBdr>
    </w:div>
    <w:div w:id="904296133">
      <w:bodyDiv w:val="1"/>
      <w:marLeft w:val="0"/>
      <w:marRight w:val="0"/>
      <w:marTop w:val="0"/>
      <w:marBottom w:val="0"/>
      <w:divBdr>
        <w:top w:val="none" w:sz="0" w:space="0" w:color="auto"/>
        <w:left w:val="none" w:sz="0" w:space="0" w:color="auto"/>
        <w:bottom w:val="none" w:sz="0" w:space="0" w:color="auto"/>
        <w:right w:val="none" w:sz="0" w:space="0" w:color="auto"/>
      </w:divBdr>
    </w:div>
    <w:div w:id="908031587">
      <w:bodyDiv w:val="1"/>
      <w:marLeft w:val="0"/>
      <w:marRight w:val="0"/>
      <w:marTop w:val="0"/>
      <w:marBottom w:val="0"/>
      <w:divBdr>
        <w:top w:val="none" w:sz="0" w:space="0" w:color="auto"/>
        <w:left w:val="none" w:sz="0" w:space="0" w:color="auto"/>
        <w:bottom w:val="none" w:sz="0" w:space="0" w:color="auto"/>
        <w:right w:val="none" w:sz="0" w:space="0" w:color="auto"/>
      </w:divBdr>
    </w:div>
    <w:div w:id="932588220">
      <w:bodyDiv w:val="1"/>
      <w:marLeft w:val="0"/>
      <w:marRight w:val="0"/>
      <w:marTop w:val="0"/>
      <w:marBottom w:val="0"/>
      <w:divBdr>
        <w:top w:val="none" w:sz="0" w:space="0" w:color="auto"/>
        <w:left w:val="none" w:sz="0" w:space="0" w:color="auto"/>
        <w:bottom w:val="none" w:sz="0" w:space="0" w:color="auto"/>
        <w:right w:val="none" w:sz="0" w:space="0" w:color="auto"/>
      </w:divBdr>
      <w:divsChild>
        <w:div w:id="1221938541">
          <w:marLeft w:val="0"/>
          <w:marRight w:val="0"/>
          <w:marTop w:val="0"/>
          <w:marBottom w:val="0"/>
          <w:divBdr>
            <w:top w:val="none" w:sz="0" w:space="0" w:color="auto"/>
            <w:left w:val="none" w:sz="0" w:space="0" w:color="auto"/>
            <w:bottom w:val="none" w:sz="0" w:space="0" w:color="auto"/>
            <w:right w:val="none" w:sz="0" w:space="0" w:color="auto"/>
          </w:divBdr>
        </w:div>
        <w:div w:id="1746299987">
          <w:marLeft w:val="0"/>
          <w:marRight w:val="0"/>
          <w:marTop w:val="0"/>
          <w:marBottom w:val="0"/>
          <w:divBdr>
            <w:top w:val="none" w:sz="0" w:space="0" w:color="auto"/>
            <w:left w:val="none" w:sz="0" w:space="0" w:color="auto"/>
            <w:bottom w:val="none" w:sz="0" w:space="0" w:color="auto"/>
            <w:right w:val="none" w:sz="0" w:space="0" w:color="auto"/>
          </w:divBdr>
        </w:div>
        <w:div w:id="1438402259">
          <w:marLeft w:val="0"/>
          <w:marRight w:val="0"/>
          <w:marTop w:val="0"/>
          <w:marBottom w:val="0"/>
          <w:divBdr>
            <w:top w:val="none" w:sz="0" w:space="0" w:color="auto"/>
            <w:left w:val="none" w:sz="0" w:space="0" w:color="auto"/>
            <w:bottom w:val="none" w:sz="0" w:space="0" w:color="auto"/>
            <w:right w:val="none" w:sz="0" w:space="0" w:color="auto"/>
          </w:divBdr>
        </w:div>
      </w:divsChild>
    </w:div>
    <w:div w:id="933127100">
      <w:bodyDiv w:val="1"/>
      <w:marLeft w:val="0"/>
      <w:marRight w:val="0"/>
      <w:marTop w:val="0"/>
      <w:marBottom w:val="0"/>
      <w:divBdr>
        <w:top w:val="none" w:sz="0" w:space="0" w:color="auto"/>
        <w:left w:val="none" w:sz="0" w:space="0" w:color="auto"/>
        <w:bottom w:val="none" w:sz="0" w:space="0" w:color="auto"/>
        <w:right w:val="none" w:sz="0" w:space="0" w:color="auto"/>
      </w:divBdr>
    </w:div>
    <w:div w:id="964193259">
      <w:bodyDiv w:val="1"/>
      <w:marLeft w:val="0"/>
      <w:marRight w:val="0"/>
      <w:marTop w:val="0"/>
      <w:marBottom w:val="0"/>
      <w:divBdr>
        <w:top w:val="none" w:sz="0" w:space="0" w:color="auto"/>
        <w:left w:val="none" w:sz="0" w:space="0" w:color="auto"/>
        <w:bottom w:val="none" w:sz="0" w:space="0" w:color="auto"/>
        <w:right w:val="none" w:sz="0" w:space="0" w:color="auto"/>
      </w:divBdr>
    </w:div>
    <w:div w:id="964626085">
      <w:bodyDiv w:val="1"/>
      <w:marLeft w:val="0"/>
      <w:marRight w:val="0"/>
      <w:marTop w:val="0"/>
      <w:marBottom w:val="0"/>
      <w:divBdr>
        <w:top w:val="none" w:sz="0" w:space="0" w:color="auto"/>
        <w:left w:val="none" w:sz="0" w:space="0" w:color="auto"/>
        <w:bottom w:val="none" w:sz="0" w:space="0" w:color="auto"/>
        <w:right w:val="none" w:sz="0" w:space="0" w:color="auto"/>
      </w:divBdr>
    </w:div>
    <w:div w:id="973758424">
      <w:bodyDiv w:val="1"/>
      <w:marLeft w:val="0"/>
      <w:marRight w:val="0"/>
      <w:marTop w:val="0"/>
      <w:marBottom w:val="0"/>
      <w:divBdr>
        <w:top w:val="none" w:sz="0" w:space="0" w:color="auto"/>
        <w:left w:val="none" w:sz="0" w:space="0" w:color="auto"/>
        <w:bottom w:val="none" w:sz="0" w:space="0" w:color="auto"/>
        <w:right w:val="none" w:sz="0" w:space="0" w:color="auto"/>
      </w:divBdr>
    </w:div>
    <w:div w:id="978653936">
      <w:bodyDiv w:val="1"/>
      <w:marLeft w:val="0"/>
      <w:marRight w:val="0"/>
      <w:marTop w:val="0"/>
      <w:marBottom w:val="0"/>
      <w:divBdr>
        <w:top w:val="none" w:sz="0" w:space="0" w:color="auto"/>
        <w:left w:val="none" w:sz="0" w:space="0" w:color="auto"/>
        <w:bottom w:val="none" w:sz="0" w:space="0" w:color="auto"/>
        <w:right w:val="none" w:sz="0" w:space="0" w:color="auto"/>
      </w:divBdr>
    </w:div>
    <w:div w:id="1009910630">
      <w:bodyDiv w:val="1"/>
      <w:marLeft w:val="0"/>
      <w:marRight w:val="0"/>
      <w:marTop w:val="0"/>
      <w:marBottom w:val="0"/>
      <w:divBdr>
        <w:top w:val="none" w:sz="0" w:space="0" w:color="auto"/>
        <w:left w:val="none" w:sz="0" w:space="0" w:color="auto"/>
        <w:bottom w:val="none" w:sz="0" w:space="0" w:color="auto"/>
        <w:right w:val="none" w:sz="0" w:space="0" w:color="auto"/>
      </w:divBdr>
    </w:div>
    <w:div w:id="1013459416">
      <w:bodyDiv w:val="1"/>
      <w:marLeft w:val="0"/>
      <w:marRight w:val="0"/>
      <w:marTop w:val="0"/>
      <w:marBottom w:val="0"/>
      <w:divBdr>
        <w:top w:val="none" w:sz="0" w:space="0" w:color="auto"/>
        <w:left w:val="none" w:sz="0" w:space="0" w:color="auto"/>
        <w:bottom w:val="none" w:sz="0" w:space="0" w:color="auto"/>
        <w:right w:val="none" w:sz="0" w:space="0" w:color="auto"/>
      </w:divBdr>
      <w:divsChild>
        <w:div w:id="1386179326">
          <w:marLeft w:val="0"/>
          <w:marRight w:val="0"/>
          <w:marTop w:val="0"/>
          <w:marBottom w:val="0"/>
          <w:divBdr>
            <w:top w:val="none" w:sz="0" w:space="0" w:color="auto"/>
            <w:left w:val="none" w:sz="0" w:space="0" w:color="auto"/>
            <w:bottom w:val="none" w:sz="0" w:space="0" w:color="auto"/>
            <w:right w:val="none" w:sz="0" w:space="0" w:color="auto"/>
          </w:divBdr>
          <w:divsChild>
            <w:div w:id="5898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0305">
      <w:bodyDiv w:val="1"/>
      <w:marLeft w:val="0"/>
      <w:marRight w:val="0"/>
      <w:marTop w:val="0"/>
      <w:marBottom w:val="0"/>
      <w:divBdr>
        <w:top w:val="none" w:sz="0" w:space="0" w:color="auto"/>
        <w:left w:val="none" w:sz="0" w:space="0" w:color="auto"/>
        <w:bottom w:val="none" w:sz="0" w:space="0" w:color="auto"/>
        <w:right w:val="none" w:sz="0" w:space="0" w:color="auto"/>
      </w:divBdr>
      <w:divsChild>
        <w:div w:id="159204070">
          <w:marLeft w:val="0"/>
          <w:marRight w:val="0"/>
          <w:marTop w:val="0"/>
          <w:marBottom w:val="75"/>
          <w:divBdr>
            <w:top w:val="none" w:sz="0" w:space="0" w:color="auto"/>
            <w:left w:val="none" w:sz="0" w:space="0" w:color="auto"/>
            <w:bottom w:val="none" w:sz="0" w:space="0" w:color="auto"/>
            <w:right w:val="none" w:sz="0" w:space="0" w:color="auto"/>
          </w:divBdr>
        </w:div>
        <w:div w:id="133568626">
          <w:marLeft w:val="0"/>
          <w:marRight w:val="0"/>
          <w:marTop w:val="0"/>
          <w:marBottom w:val="75"/>
          <w:divBdr>
            <w:top w:val="none" w:sz="0" w:space="0" w:color="auto"/>
            <w:left w:val="none" w:sz="0" w:space="0" w:color="auto"/>
            <w:bottom w:val="none" w:sz="0" w:space="0" w:color="auto"/>
            <w:right w:val="none" w:sz="0" w:space="0" w:color="auto"/>
          </w:divBdr>
        </w:div>
        <w:div w:id="1350596504">
          <w:marLeft w:val="0"/>
          <w:marRight w:val="0"/>
          <w:marTop w:val="0"/>
          <w:marBottom w:val="75"/>
          <w:divBdr>
            <w:top w:val="none" w:sz="0" w:space="0" w:color="auto"/>
            <w:left w:val="none" w:sz="0" w:space="0" w:color="auto"/>
            <w:bottom w:val="none" w:sz="0" w:space="0" w:color="auto"/>
            <w:right w:val="none" w:sz="0" w:space="0" w:color="auto"/>
          </w:divBdr>
        </w:div>
        <w:div w:id="807940161">
          <w:marLeft w:val="0"/>
          <w:marRight w:val="0"/>
          <w:marTop w:val="0"/>
          <w:marBottom w:val="75"/>
          <w:divBdr>
            <w:top w:val="none" w:sz="0" w:space="0" w:color="auto"/>
            <w:left w:val="none" w:sz="0" w:space="0" w:color="auto"/>
            <w:bottom w:val="none" w:sz="0" w:space="0" w:color="auto"/>
            <w:right w:val="none" w:sz="0" w:space="0" w:color="auto"/>
          </w:divBdr>
        </w:div>
      </w:divsChild>
    </w:div>
    <w:div w:id="1030835692">
      <w:bodyDiv w:val="1"/>
      <w:marLeft w:val="0"/>
      <w:marRight w:val="0"/>
      <w:marTop w:val="0"/>
      <w:marBottom w:val="0"/>
      <w:divBdr>
        <w:top w:val="none" w:sz="0" w:space="0" w:color="auto"/>
        <w:left w:val="none" w:sz="0" w:space="0" w:color="auto"/>
        <w:bottom w:val="none" w:sz="0" w:space="0" w:color="auto"/>
        <w:right w:val="none" w:sz="0" w:space="0" w:color="auto"/>
      </w:divBdr>
    </w:div>
    <w:div w:id="1058744449">
      <w:bodyDiv w:val="1"/>
      <w:marLeft w:val="0"/>
      <w:marRight w:val="0"/>
      <w:marTop w:val="0"/>
      <w:marBottom w:val="0"/>
      <w:divBdr>
        <w:top w:val="none" w:sz="0" w:space="0" w:color="auto"/>
        <w:left w:val="none" w:sz="0" w:space="0" w:color="auto"/>
        <w:bottom w:val="none" w:sz="0" w:space="0" w:color="auto"/>
        <w:right w:val="none" w:sz="0" w:space="0" w:color="auto"/>
      </w:divBdr>
    </w:div>
    <w:div w:id="1060714040">
      <w:bodyDiv w:val="1"/>
      <w:marLeft w:val="0"/>
      <w:marRight w:val="0"/>
      <w:marTop w:val="0"/>
      <w:marBottom w:val="0"/>
      <w:divBdr>
        <w:top w:val="none" w:sz="0" w:space="0" w:color="auto"/>
        <w:left w:val="none" w:sz="0" w:space="0" w:color="auto"/>
        <w:bottom w:val="none" w:sz="0" w:space="0" w:color="auto"/>
        <w:right w:val="none" w:sz="0" w:space="0" w:color="auto"/>
      </w:divBdr>
    </w:div>
    <w:div w:id="1061102682">
      <w:bodyDiv w:val="1"/>
      <w:marLeft w:val="0"/>
      <w:marRight w:val="0"/>
      <w:marTop w:val="0"/>
      <w:marBottom w:val="0"/>
      <w:divBdr>
        <w:top w:val="none" w:sz="0" w:space="0" w:color="auto"/>
        <w:left w:val="none" w:sz="0" w:space="0" w:color="auto"/>
        <w:bottom w:val="none" w:sz="0" w:space="0" w:color="auto"/>
        <w:right w:val="none" w:sz="0" w:space="0" w:color="auto"/>
      </w:divBdr>
    </w:div>
    <w:div w:id="1095440426">
      <w:bodyDiv w:val="1"/>
      <w:marLeft w:val="0"/>
      <w:marRight w:val="0"/>
      <w:marTop w:val="0"/>
      <w:marBottom w:val="0"/>
      <w:divBdr>
        <w:top w:val="none" w:sz="0" w:space="0" w:color="auto"/>
        <w:left w:val="none" w:sz="0" w:space="0" w:color="auto"/>
        <w:bottom w:val="none" w:sz="0" w:space="0" w:color="auto"/>
        <w:right w:val="none" w:sz="0" w:space="0" w:color="auto"/>
      </w:divBdr>
    </w:div>
    <w:div w:id="1117866610">
      <w:bodyDiv w:val="1"/>
      <w:marLeft w:val="0"/>
      <w:marRight w:val="0"/>
      <w:marTop w:val="0"/>
      <w:marBottom w:val="0"/>
      <w:divBdr>
        <w:top w:val="none" w:sz="0" w:space="0" w:color="auto"/>
        <w:left w:val="none" w:sz="0" w:space="0" w:color="auto"/>
        <w:bottom w:val="none" w:sz="0" w:space="0" w:color="auto"/>
        <w:right w:val="none" w:sz="0" w:space="0" w:color="auto"/>
      </w:divBdr>
    </w:div>
    <w:div w:id="1142967312">
      <w:bodyDiv w:val="1"/>
      <w:marLeft w:val="0"/>
      <w:marRight w:val="0"/>
      <w:marTop w:val="0"/>
      <w:marBottom w:val="0"/>
      <w:divBdr>
        <w:top w:val="none" w:sz="0" w:space="0" w:color="auto"/>
        <w:left w:val="none" w:sz="0" w:space="0" w:color="auto"/>
        <w:bottom w:val="none" w:sz="0" w:space="0" w:color="auto"/>
        <w:right w:val="none" w:sz="0" w:space="0" w:color="auto"/>
      </w:divBdr>
    </w:div>
    <w:div w:id="1146435668">
      <w:bodyDiv w:val="1"/>
      <w:marLeft w:val="0"/>
      <w:marRight w:val="0"/>
      <w:marTop w:val="0"/>
      <w:marBottom w:val="0"/>
      <w:divBdr>
        <w:top w:val="none" w:sz="0" w:space="0" w:color="auto"/>
        <w:left w:val="none" w:sz="0" w:space="0" w:color="auto"/>
        <w:bottom w:val="none" w:sz="0" w:space="0" w:color="auto"/>
        <w:right w:val="none" w:sz="0" w:space="0" w:color="auto"/>
      </w:divBdr>
    </w:div>
    <w:div w:id="1168053470">
      <w:bodyDiv w:val="1"/>
      <w:marLeft w:val="0"/>
      <w:marRight w:val="0"/>
      <w:marTop w:val="0"/>
      <w:marBottom w:val="0"/>
      <w:divBdr>
        <w:top w:val="none" w:sz="0" w:space="0" w:color="auto"/>
        <w:left w:val="none" w:sz="0" w:space="0" w:color="auto"/>
        <w:bottom w:val="none" w:sz="0" w:space="0" w:color="auto"/>
        <w:right w:val="none" w:sz="0" w:space="0" w:color="auto"/>
      </w:divBdr>
    </w:div>
    <w:div w:id="1176381933">
      <w:bodyDiv w:val="1"/>
      <w:marLeft w:val="0"/>
      <w:marRight w:val="0"/>
      <w:marTop w:val="0"/>
      <w:marBottom w:val="0"/>
      <w:divBdr>
        <w:top w:val="none" w:sz="0" w:space="0" w:color="auto"/>
        <w:left w:val="none" w:sz="0" w:space="0" w:color="auto"/>
        <w:bottom w:val="none" w:sz="0" w:space="0" w:color="auto"/>
        <w:right w:val="none" w:sz="0" w:space="0" w:color="auto"/>
      </w:divBdr>
    </w:div>
    <w:div w:id="1181552998">
      <w:bodyDiv w:val="1"/>
      <w:marLeft w:val="0"/>
      <w:marRight w:val="0"/>
      <w:marTop w:val="0"/>
      <w:marBottom w:val="0"/>
      <w:divBdr>
        <w:top w:val="none" w:sz="0" w:space="0" w:color="auto"/>
        <w:left w:val="none" w:sz="0" w:space="0" w:color="auto"/>
        <w:bottom w:val="none" w:sz="0" w:space="0" w:color="auto"/>
        <w:right w:val="none" w:sz="0" w:space="0" w:color="auto"/>
      </w:divBdr>
    </w:div>
    <w:div w:id="1189222413">
      <w:bodyDiv w:val="1"/>
      <w:marLeft w:val="0"/>
      <w:marRight w:val="0"/>
      <w:marTop w:val="0"/>
      <w:marBottom w:val="0"/>
      <w:divBdr>
        <w:top w:val="none" w:sz="0" w:space="0" w:color="auto"/>
        <w:left w:val="none" w:sz="0" w:space="0" w:color="auto"/>
        <w:bottom w:val="none" w:sz="0" w:space="0" w:color="auto"/>
        <w:right w:val="none" w:sz="0" w:space="0" w:color="auto"/>
      </w:divBdr>
      <w:divsChild>
        <w:div w:id="1967740045">
          <w:marLeft w:val="0"/>
          <w:marRight w:val="0"/>
          <w:marTop w:val="0"/>
          <w:marBottom w:val="0"/>
          <w:divBdr>
            <w:top w:val="none" w:sz="0" w:space="0" w:color="auto"/>
            <w:left w:val="none" w:sz="0" w:space="0" w:color="auto"/>
            <w:bottom w:val="none" w:sz="0" w:space="0" w:color="auto"/>
            <w:right w:val="none" w:sz="0" w:space="0" w:color="auto"/>
          </w:divBdr>
        </w:div>
      </w:divsChild>
    </w:div>
    <w:div w:id="1216895211">
      <w:bodyDiv w:val="1"/>
      <w:marLeft w:val="0"/>
      <w:marRight w:val="0"/>
      <w:marTop w:val="0"/>
      <w:marBottom w:val="0"/>
      <w:divBdr>
        <w:top w:val="none" w:sz="0" w:space="0" w:color="auto"/>
        <w:left w:val="none" w:sz="0" w:space="0" w:color="auto"/>
        <w:bottom w:val="none" w:sz="0" w:space="0" w:color="auto"/>
        <w:right w:val="none" w:sz="0" w:space="0" w:color="auto"/>
      </w:divBdr>
      <w:divsChild>
        <w:div w:id="388773039">
          <w:marLeft w:val="0"/>
          <w:marRight w:val="0"/>
          <w:marTop w:val="0"/>
          <w:marBottom w:val="0"/>
          <w:divBdr>
            <w:top w:val="none" w:sz="0" w:space="0" w:color="auto"/>
            <w:left w:val="none" w:sz="0" w:space="0" w:color="auto"/>
            <w:bottom w:val="none" w:sz="0" w:space="0" w:color="auto"/>
            <w:right w:val="none" w:sz="0" w:space="0" w:color="auto"/>
          </w:divBdr>
        </w:div>
        <w:div w:id="695620173">
          <w:marLeft w:val="0"/>
          <w:marRight w:val="0"/>
          <w:marTop w:val="0"/>
          <w:marBottom w:val="0"/>
          <w:divBdr>
            <w:top w:val="none" w:sz="0" w:space="0" w:color="auto"/>
            <w:left w:val="none" w:sz="0" w:space="0" w:color="auto"/>
            <w:bottom w:val="none" w:sz="0" w:space="0" w:color="auto"/>
            <w:right w:val="none" w:sz="0" w:space="0" w:color="auto"/>
          </w:divBdr>
        </w:div>
        <w:div w:id="1917132864">
          <w:marLeft w:val="0"/>
          <w:marRight w:val="0"/>
          <w:marTop w:val="0"/>
          <w:marBottom w:val="0"/>
          <w:divBdr>
            <w:top w:val="none" w:sz="0" w:space="0" w:color="auto"/>
            <w:left w:val="none" w:sz="0" w:space="0" w:color="auto"/>
            <w:bottom w:val="none" w:sz="0" w:space="0" w:color="auto"/>
            <w:right w:val="none" w:sz="0" w:space="0" w:color="auto"/>
          </w:divBdr>
        </w:div>
      </w:divsChild>
    </w:div>
    <w:div w:id="1218012639">
      <w:bodyDiv w:val="1"/>
      <w:marLeft w:val="0"/>
      <w:marRight w:val="0"/>
      <w:marTop w:val="0"/>
      <w:marBottom w:val="0"/>
      <w:divBdr>
        <w:top w:val="none" w:sz="0" w:space="0" w:color="auto"/>
        <w:left w:val="none" w:sz="0" w:space="0" w:color="auto"/>
        <w:bottom w:val="none" w:sz="0" w:space="0" w:color="auto"/>
        <w:right w:val="none" w:sz="0" w:space="0" w:color="auto"/>
      </w:divBdr>
    </w:div>
    <w:div w:id="1223566082">
      <w:bodyDiv w:val="1"/>
      <w:marLeft w:val="0"/>
      <w:marRight w:val="0"/>
      <w:marTop w:val="0"/>
      <w:marBottom w:val="0"/>
      <w:divBdr>
        <w:top w:val="none" w:sz="0" w:space="0" w:color="auto"/>
        <w:left w:val="none" w:sz="0" w:space="0" w:color="auto"/>
        <w:bottom w:val="none" w:sz="0" w:space="0" w:color="auto"/>
        <w:right w:val="none" w:sz="0" w:space="0" w:color="auto"/>
      </w:divBdr>
    </w:div>
    <w:div w:id="1262907297">
      <w:bodyDiv w:val="1"/>
      <w:marLeft w:val="0"/>
      <w:marRight w:val="0"/>
      <w:marTop w:val="0"/>
      <w:marBottom w:val="0"/>
      <w:divBdr>
        <w:top w:val="none" w:sz="0" w:space="0" w:color="auto"/>
        <w:left w:val="none" w:sz="0" w:space="0" w:color="auto"/>
        <w:bottom w:val="none" w:sz="0" w:space="0" w:color="auto"/>
        <w:right w:val="none" w:sz="0" w:space="0" w:color="auto"/>
      </w:divBdr>
    </w:div>
    <w:div w:id="1268276366">
      <w:bodyDiv w:val="1"/>
      <w:marLeft w:val="0"/>
      <w:marRight w:val="0"/>
      <w:marTop w:val="0"/>
      <w:marBottom w:val="0"/>
      <w:divBdr>
        <w:top w:val="none" w:sz="0" w:space="0" w:color="auto"/>
        <w:left w:val="none" w:sz="0" w:space="0" w:color="auto"/>
        <w:bottom w:val="none" w:sz="0" w:space="0" w:color="auto"/>
        <w:right w:val="none" w:sz="0" w:space="0" w:color="auto"/>
      </w:divBdr>
    </w:div>
    <w:div w:id="1312632735">
      <w:bodyDiv w:val="1"/>
      <w:marLeft w:val="0"/>
      <w:marRight w:val="0"/>
      <w:marTop w:val="0"/>
      <w:marBottom w:val="0"/>
      <w:divBdr>
        <w:top w:val="none" w:sz="0" w:space="0" w:color="auto"/>
        <w:left w:val="none" w:sz="0" w:space="0" w:color="auto"/>
        <w:bottom w:val="none" w:sz="0" w:space="0" w:color="auto"/>
        <w:right w:val="none" w:sz="0" w:space="0" w:color="auto"/>
      </w:divBdr>
    </w:div>
    <w:div w:id="1361273032">
      <w:bodyDiv w:val="1"/>
      <w:marLeft w:val="0"/>
      <w:marRight w:val="0"/>
      <w:marTop w:val="0"/>
      <w:marBottom w:val="0"/>
      <w:divBdr>
        <w:top w:val="none" w:sz="0" w:space="0" w:color="auto"/>
        <w:left w:val="none" w:sz="0" w:space="0" w:color="auto"/>
        <w:bottom w:val="none" w:sz="0" w:space="0" w:color="auto"/>
        <w:right w:val="none" w:sz="0" w:space="0" w:color="auto"/>
      </w:divBdr>
    </w:div>
    <w:div w:id="1364359359">
      <w:bodyDiv w:val="1"/>
      <w:marLeft w:val="0"/>
      <w:marRight w:val="0"/>
      <w:marTop w:val="0"/>
      <w:marBottom w:val="0"/>
      <w:divBdr>
        <w:top w:val="none" w:sz="0" w:space="0" w:color="auto"/>
        <w:left w:val="none" w:sz="0" w:space="0" w:color="auto"/>
        <w:bottom w:val="none" w:sz="0" w:space="0" w:color="auto"/>
        <w:right w:val="none" w:sz="0" w:space="0" w:color="auto"/>
      </w:divBdr>
    </w:div>
    <w:div w:id="1379470083">
      <w:bodyDiv w:val="1"/>
      <w:marLeft w:val="0"/>
      <w:marRight w:val="0"/>
      <w:marTop w:val="0"/>
      <w:marBottom w:val="0"/>
      <w:divBdr>
        <w:top w:val="none" w:sz="0" w:space="0" w:color="auto"/>
        <w:left w:val="none" w:sz="0" w:space="0" w:color="auto"/>
        <w:bottom w:val="none" w:sz="0" w:space="0" w:color="auto"/>
        <w:right w:val="none" w:sz="0" w:space="0" w:color="auto"/>
      </w:divBdr>
    </w:div>
    <w:div w:id="1397583408">
      <w:bodyDiv w:val="1"/>
      <w:marLeft w:val="0"/>
      <w:marRight w:val="0"/>
      <w:marTop w:val="0"/>
      <w:marBottom w:val="0"/>
      <w:divBdr>
        <w:top w:val="none" w:sz="0" w:space="0" w:color="auto"/>
        <w:left w:val="none" w:sz="0" w:space="0" w:color="auto"/>
        <w:bottom w:val="none" w:sz="0" w:space="0" w:color="auto"/>
        <w:right w:val="none" w:sz="0" w:space="0" w:color="auto"/>
      </w:divBdr>
    </w:div>
    <w:div w:id="1406953629">
      <w:bodyDiv w:val="1"/>
      <w:marLeft w:val="0"/>
      <w:marRight w:val="0"/>
      <w:marTop w:val="0"/>
      <w:marBottom w:val="0"/>
      <w:divBdr>
        <w:top w:val="none" w:sz="0" w:space="0" w:color="auto"/>
        <w:left w:val="none" w:sz="0" w:space="0" w:color="auto"/>
        <w:bottom w:val="none" w:sz="0" w:space="0" w:color="auto"/>
        <w:right w:val="none" w:sz="0" w:space="0" w:color="auto"/>
      </w:divBdr>
    </w:div>
    <w:div w:id="1425803720">
      <w:bodyDiv w:val="1"/>
      <w:marLeft w:val="0"/>
      <w:marRight w:val="0"/>
      <w:marTop w:val="0"/>
      <w:marBottom w:val="0"/>
      <w:divBdr>
        <w:top w:val="none" w:sz="0" w:space="0" w:color="auto"/>
        <w:left w:val="none" w:sz="0" w:space="0" w:color="auto"/>
        <w:bottom w:val="none" w:sz="0" w:space="0" w:color="auto"/>
        <w:right w:val="none" w:sz="0" w:space="0" w:color="auto"/>
      </w:divBdr>
    </w:div>
    <w:div w:id="1439134022">
      <w:bodyDiv w:val="1"/>
      <w:marLeft w:val="0"/>
      <w:marRight w:val="0"/>
      <w:marTop w:val="0"/>
      <w:marBottom w:val="0"/>
      <w:divBdr>
        <w:top w:val="none" w:sz="0" w:space="0" w:color="auto"/>
        <w:left w:val="none" w:sz="0" w:space="0" w:color="auto"/>
        <w:bottom w:val="none" w:sz="0" w:space="0" w:color="auto"/>
        <w:right w:val="none" w:sz="0" w:space="0" w:color="auto"/>
      </w:divBdr>
    </w:div>
    <w:div w:id="1440023169">
      <w:bodyDiv w:val="1"/>
      <w:marLeft w:val="0"/>
      <w:marRight w:val="0"/>
      <w:marTop w:val="0"/>
      <w:marBottom w:val="0"/>
      <w:divBdr>
        <w:top w:val="none" w:sz="0" w:space="0" w:color="auto"/>
        <w:left w:val="none" w:sz="0" w:space="0" w:color="auto"/>
        <w:bottom w:val="none" w:sz="0" w:space="0" w:color="auto"/>
        <w:right w:val="none" w:sz="0" w:space="0" w:color="auto"/>
      </w:divBdr>
    </w:div>
    <w:div w:id="1458452398">
      <w:bodyDiv w:val="1"/>
      <w:marLeft w:val="0"/>
      <w:marRight w:val="0"/>
      <w:marTop w:val="0"/>
      <w:marBottom w:val="0"/>
      <w:divBdr>
        <w:top w:val="none" w:sz="0" w:space="0" w:color="auto"/>
        <w:left w:val="none" w:sz="0" w:space="0" w:color="auto"/>
        <w:bottom w:val="none" w:sz="0" w:space="0" w:color="auto"/>
        <w:right w:val="none" w:sz="0" w:space="0" w:color="auto"/>
      </w:divBdr>
    </w:div>
    <w:div w:id="1473714633">
      <w:bodyDiv w:val="1"/>
      <w:marLeft w:val="0"/>
      <w:marRight w:val="0"/>
      <w:marTop w:val="0"/>
      <w:marBottom w:val="0"/>
      <w:divBdr>
        <w:top w:val="none" w:sz="0" w:space="0" w:color="auto"/>
        <w:left w:val="none" w:sz="0" w:space="0" w:color="auto"/>
        <w:bottom w:val="none" w:sz="0" w:space="0" w:color="auto"/>
        <w:right w:val="none" w:sz="0" w:space="0" w:color="auto"/>
      </w:divBdr>
    </w:div>
    <w:div w:id="1477797838">
      <w:bodyDiv w:val="1"/>
      <w:marLeft w:val="0"/>
      <w:marRight w:val="0"/>
      <w:marTop w:val="0"/>
      <w:marBottom w:val="0"/>
      <w:divBdr>
        <w:top w:val="none" w:sz="0" w:space="0" w:color="auto"/>
        <w:left w:val="none" w:sz="0" w:space="0" w:color="auto"/>
        <w:bottom w:val="none" w:sz="0" w:space="0" w:color="auto"/>
        <w:right w:val="none" w:sz="0" w:space="0" w:color="auto"/>
      </w:divBdr>
    </w:div>
    <w:div w:id="1483309055">
      <w:bodyDiv w:val="1"/>
      <w:marLeft w:val="0"/>
      <w:marRight w:val="0"/>
      <w:marTop w:val="0"/>
      <w:marBottom w:val="0"/>
      <w:divBdr>
        <w:top w:val="none" w:sz="0" w:space="0" w:color="auto"/>
        <w:left w:val="none" w:sz="0" w:space="0" w:color="auto"/>
        <w:bottom w:val="none" w:sz="0" w:space="0" w:color="auto"/>
        <w:right w:val="none" w:sz="0" w:space="0" w:color="auto"/>
      </w:divBdr>
    </w:div>
    <w:div w:id="1490636936">
      <w:bodyDiv w:val="1"/>
      <w:marLeft w:val="0"/>
      <w:marRight w:val="0"/>
      <w:marTop w:val="0"/>
      <w:marBottom w:val="0"/>
      <w:divBdr>
        <w:top w:val="none" w:sz="0" w:space="0" w:color="auto"/>
        <w:left w:val="none" w:sz="0" w:space="0" w:color="auto"/>
        <w:bottom w:val="none" w:sz="0" w:space="0" w:color="auto"/>
        <w:right w:val="none" w:sz="0" w:space="0" w:color="auto"/>
      </w:divBdr>
    </w:div>
    <w:div w:id="1514223111">
      <w:bodyDiv w:val="1"/>
      <w:marLeft w:val="0"/>
      <w:marRight w:val="0"/>
      <w:marTop w:val="0"/>
      <w:marBottom w:val="0"/>
      <w:divBdr>
        <w:top w:val="none" w:sz="0" w:space="0" w:color="auto"/>
        <w:left w:val="none" w:sz="0" w:space="0" w:color="auto"/>
        <w:bottom w:val="none" w:sz="0" w:space="0" w:color="auto"/>
        <w:right w:val="none" w:sz="0" w:space="0" w:color="auto"/>
      </w:divBdr>
    </w:div>
    <w:div w:id="1542867244">
      <w:bodyDiv w:val="1"/>
      <w:marLeft w:val="0"/>
      <w:marRight w:val="0"/>
      <w:marTop w:val="0"/>
      <w:marBottom w:val="0"/>
      <w:divBdr>
        <w:top w:val="none" w:sz="0" w:space="0" w:color="auto"/>
        <w:left w:val="none" w:sz="0" w:space="0" w:color="auto"/>
        <w:bottom w:val="none" w:sz="0" w:space="0" w:color="auto"/>
        <w:right w:val="none" w:sz="0" w:space="0" w:color="auto"/>
      </w:divBdr>
    </w:div>
    <w:div w:id="1607300291">
      <w:bodyDiv w:val="1"/>
      <w:marLeft w:val="0"/>
      <w:marRight w:val="0"/>
      <w:marTop w:val="0"/>
      <w:marBottom w:val="0"/>
      <w:divBdr>
        <w:top w:val="none" w:sz="0" w:space="0" w:color="auto"/>
        <w:left w:val="none" w:sz="0" w:space="0" w:color="auto"/>
        <w:bottom w:val="none" w:sz="0" w:space="0" w:color="auto"/>
        <w:right w:val="none" w:sz="0" w:space="0" w:color="auto"/>
      </w:divBdr>
    </w:div>
    <w:div w:id="1620642900">
      <w:bodyDiv w:val="1"/>
      <w:marLeft w:val="0"/>
      <w:marRight w:val="0"/>
      <w:marTop w:val="0"/>
      <w:marBottom w:val="0"/>
      <w:divBdr>
        <w:top w:val="none" w:sz="0" w:space="0" w:color="auto"/>
        <w:left w:val="none" w:sz="0" w:space="0" w:color="auto"/>
        <w:bottom w:val="none" w:sz="0" w:space="0" w:color="auto"/>
        <w:right w:val="none" w:sz="0" w:space="0" w:color="auto"/>
      </w:divBdr>
    </w:div>
    <w:div w:id="1621034148">
      <w:bodyDiv w:val="1"/>
      <w:marLeft w:val="0"/>
      <w:marRight w:val="0"/>
      <w:marTop w:val="0"/>
      <w:marBottom w:val="0"/>
      <w:divBdr>
        <w:top w:val="none" w:sz="0" w:space="0" w:color="auto"/>
        <w:left w:val="none" w:sz="0" w:space="0" w:color="auto"/>
        <w:bottom w:val="none" w:sz="0" w:space="0" w:color="auto"/>
        <w:right w:val="none" w:sz="0" w:space="0" w:color="auto"/>
      </w:divBdr>
    </w:div>
    <w:div w:id="1658877674">
      <w:bodyDiv w:val="1"/>
      <w:marLeft w:val="0"/>
      <w:marRight w:val="0"/>
      <w:marTop w:val="0"/>
      <w:marBottom w:val="0"/>
      <w:divBdr>
        <w:top w:val="none" w:sz="0" w:space="0" w:color="auto"/>
        <w:left w:val="none" w:sz="0" w:space="0" w:color="auto"/>
        <w:bottom w:val="none" w:sz="0" w:space="0" w:color="auto"/>
        <w:right w:val="none" w:sz="0" w:space="0" w:color="auto"/>
      </w:divBdr>
    </w:div>
    <w:div w:id="1659461404">
      <w:bodyDiv w:val="1"/>
      <w:marLeft w:val="0"/>
      <w:marRight w:val="0"/>
      <w:marTop w:val="0"/>
      <w:marBottom w:val="0"/>
      <w:divBdr>
        <w:top w:val="none" w:sz="0" w:space="0" w:color="auto"/>
        <w:left w:val="none" w:sz="0" w:space="0" w:color="auto"/>
        <w:bottom w:val="none" w:sz="0" w:space="0" w:color="auto"/>
        <w:right w:val="none" w:sz="0" w:space="0" w:color="auto"/>
      </w:divBdr>
    </w:div>
    <w:div w:id="1705716692">
      <w:bodyDiv w:val="1"/>
      <w:marLeft w:val="0"/>
      <w:marRight w:val="0"/>
      <w:marTop w:val="0"/>
      <w:marBottom w:val="0"/>
      <w:divBdr>
        <w:top w:val="none" w:sz="0" w:space="0" w:color="auto"/>
        <w:left w:val="none" w:sz="0" w:space="0" w:color="auto"/>
        <w:bottom w:val="none" w:sz="0" w:space="0" w:color="auto"/>
        <w:right w:val="none" w:sz="0" w:space="0" w:color="auto"/>
      </w:divBdr>
    </w:div>
    <w:div w:id="1726636040">
      <w:bodyDiv w:val="1"/>
      <w:marLeft w:val="0"/>
      <w:marRight w:val="0"/>
      <w:marTop w:val="0"/>
      <w:marBottom w:val="0"/>
      <w:divBdr>
        <w:top w:val="none" w:sz="0" w:space="0" w:color="auto"/>
        <w:left w:val="none" w:sz="0" w:space="0" w:color="auto"/>
        <w:bottom w:val="none" w:sz="0" w:space="0" w:color="auto"/>
        <w:right w:val="none" w:sz="0" w:space="0" w:color="auto"/>
      </w:divBdr>
    </w:div>
    <w:div w:id="1729037509">
      <w:bodyDiv w:val="1"/>
      <w:marLeft w:val="0"/>
      <w:marRight w:val="0"/>
      <w:marTop w:val="0"/>
      <w:marBottom w:val="0"/>
      <w:divBdr>
        <w:top w:val="none" w:sz="0" w:space="0" w:color="auto"/>
        <w:left w:val="none" w:sz="0" w:space="0" w:color="auto"/>
        <w:bottom w:val="none" w:sz="0" w:space="0" w:color="auto"/>
        <w:right w:val="none" w:sz="0" w:space="0" w:color="auto"/>
      </w:divBdr>
    </w:div>
    <w:div w:id="1729568745">
      <w:bodyDiv w:val="1"/>
      <w:marLeft w:val="0"/>
      <w:marRight w:val="0"/>
      <w:marTop w:val="0"/>
      <w:marBottom w:val="0"/>
      <w:divBdr>
        <w:top w:val="none" w:sz="0" w:space="0" w:color="auto"/>
        <w:left w:val="none" w:sz="0" w:space="0" w:color="auto"/>
        <w:bottom w:val="none" w:sz="0" w:space="0" w:color="auto"/>
        <w:right w:val="none" w:sz="0" w:space="0" w:color="auto"/>
      </w:divBdr>
    </w:div>
    <w:div w:id="1735548586">
      <w:bodyDiv w:val="1"/>
      <w:marLeft w:val="0"/>
      <w:marRight w:val="0"/>
      <w:marTop w:val="0"/>
      <w:marBottom w:val="0"/>
      <w:divBdr>
        <w:top w:val="none" w:sz="0" w:space="0" w:color="auto"/>
        <w:left w:val="none" w:sz="0" w:space="0" w:color="auto"/>
        <w:bottom w:val="none" w:sz="0" w:space="0" w:color="auto"/>
        <w:right w:val="none" w:sz="0" w:space="0" w:color="auto"/>
      </w:divBdr>
    </w:div>
    <w:div w:id="1736734085">
      <w:bodyDiv w:val="1"/>
      <w:marLeft w:val="0"/>
      <w:marRight w:val="0"/>
      <w:marTop w:val="0"/>
      <w:marBottom w:val="0"/>
      <w:divBdr>
        <w:top w:val="none" w:sz="0" w:space="0" w:color="auto"/>
        <w:left w:val="none" w:sz="0" w:space="0" w:color="auto"/>
        <w:bottom w:val="none" w:sz="0" w:space="0" w:color="auto"/>
        <w:right w:val="none" w:sz="0" w:space="0" w:color="auto"/>
      </w:divBdr>
    </w:div>
    <w:div w:id="1744259717">
      <w:bodyDiv w:val="1"/>
      <w:marLeft w:val="0"/>
      <w:marRight w:val="0"/>
      <w:marTop w:val="0"/>
      <w:marBottom w:val="0"/>
      <w:divBdr>
        <w:top w:val="none" w:sz="0" w:space="0" w:color="auto"/>
        <w:left w:val="none" w:sz="0" w:space="0" w:color="auto"/>
        <w:bottom w:val="none" w:sz="0" w:space="0" w:color="auto"/>
        <w:right w:val="none" w:sz="0" w:space="0" w:color="auto"/>
      </w:divBdr>
    </w:div>
    <w:div w:id="1766263024">
      <w:bodyDiv w:val="1"/>
      <w:marLeft w:val="0"/>
      <w:marRight w:val="0"/>
      <w:marTop w:val="0"/>
      <w:marBottom w:val="0"/>
      <w:divBdr>
        <w:top w:val="none" w:sz="0" w:space="0" w:color="auto"/>
        <w:left w:val="none" w:sz="0" w:space="0" w:color="auto"/>
        <w:bottom w:val="none" w:sz="0" w:space="0" w:color="auto"/>
        <w:right w:val="none" w:sz="0" w:space="0" w:color="auto"/>
      </w:divBdr>
    </w:div>
    <w:div w:id="1791824283">
      <w:bodyDiv w:val="1"/>
      <w:marLeft w:val="0"/>
      <w:marRight w:val="0"/>
      <w:marTop w:val="0"/>
      <w:marBottom w:val="0"/>
      <w:divBdr>
        <w:top w:val="none" w:sz="0" w:space="0" w:color="auto"/>
        <w:left w:val="none" w:sz="0" w:space="0" w:color="auto"/>
        <w:bottom w:val="none" w:sz="0" w:space="0" w:color="auto"/>
        <w:right w:val="none" w:sz="0" w:space="0" w:color="auto"/>
      </w:divBdr>
    </w:div>
    <w:div w:id="1800299836">
      <w:bodyDiv w:val="1"/>
      <w:marLeft w:val="0"/>
      <w:marRight w:val="0"/>
      <w:marTop w:val="0"/>
      <w:marBottom w:val="0"/>
      <w:divBdr>
        <w:top w:val="none" w:sz="0" w:space="0" w:color="auto"/>
        <w:left w:val="none" w:sz="0" w:space="0" w:color="auto"/>
        <w:bottom w:val="none" w:sz="0" w:space="0" w:color="auto"/>
        <w:right w:val="none" w:sz="0" w:space="0" w:color="auto"/>
      </w:divBdr>
    </w:div>
    <w:div w:id="1812595413">
      <w:bodyDiv w:val="1"/>
      <w:marLeft w:val="0"/>
      <w:marRight w:val="0"/>
      <w:marTop w:val="0"/>
      <w:marBottom w:val="0"/>
      <w:divBdr>
        <w:top w:val="none" w:sz="0" w:space="0" w:color="auto"/>
        <w:left w:val="none" w:sz="0" w:space="0" w:color="auto"/>
        <w:bottom w:val="none" w:sz="0" w:space="0" w:color="auto"/>
        <w:right w:val="none" w:sz="0" w:space="0" w:color="auto"/>
      </w:divBdr>
    </w:div>
    <w:div w:id="1814829310">
      <w:bodyDiv w:val="1"/>
      <w:marLeft w:val="0"/>
      <w:marRight w:val="0"/>
      <w:marTop w:val="0"/>
      <w:marBottom w:val="0"/>
      <w:divBdr>
        <w:top w:val="none" w:sz="0" w:space="0" w:color="auto"/>
        <w:left w:val="none" w:sz="0" w:space="0" w:color="auto"/>
        <w:bottom w:val="none" w:sz="0" w:space="0" w:color="auto"/>
        <w:right w:val="none" w:sz="0" w:space="0" w:color="auto"/>
      </w:divBdr>
    </w:div>
    <w:div w:id="1819757932">
      <w:bodyDiv w:val="1"/>
      <w:marLeft w:val="0"/>
      <w:marRight w:val="0"/>
      <w:marTop w:val="0"/>
      <w:marBottom w:val="0"/>
      <w:divBdr>
        <w:top w:val="none" w:sz="0" w:space="0" w:color="auto"/>
        <w:left w:val="none" w:sz="0" w:space="0" w:color="auto"/>
        <w:bottom w:val="none" w:sz="0" w:space="0" w:color="auto"/>
        <w:right w:val="none" w:sz="0" w:space="0" w:color="auto"/>
      </w:divBdr>
      <w:divsChild>
        <w:div w:id="176970995">
          <w:marLeft w:val="0"/>
          <w:marRight w:val="0"/>
          <w:marTop w:val="0"/>
          <w:marBottom w:val="0"/>
          <w:divBdr>
            <w:top w:val="none" w:sz="0" w:space="0" w:color="auto"/>
            <w:left w:val="none" w:sz="0" w:space="0" w:color="auto"/>
            <w:bottom w:val="none" w:sz="0" w:space="0" w:color="auto"/>
            <w:right w:val="none" w:sz="0" w:space="0" w:color="auto"/>
          </w:divBdr>
          <w:divsChild>
            <w:div w:id="1479999638">
              <w:marLeft w:val="0"/>
              <w:marRight w:val="0"/>
              <w:marTop w:val="0"/>
              <w:marBottom w:val="0"/>
              <w:divBdr>
                <w:top w:val="none" w:sz="0" w:space="0" w:color="auto"/>
                <w:left w:val="none" w:sz="0" w:space="0" w:color="auto"/>
                <w:bottom w:val="none" w:sz="0" w:space="0" w:color="auto"/>
                <w:right w:val="none" w:sz="0" w:space="0" w:color="auto"/>
              </w:divBdr>
              <w:divsChild>
                <w:div w:id="602154289">
                  <w:marLeft w:val="0"/>
                  <w:marRight w:val="0"/>
                  <w:marTop w:val="0"/>
                  <w:marBottom w:val="0"/>
                  <w:divBdr>
                    <w:top w:val="none" w:sz="0" w:space="0" w:color="auto"/>
                    <w:left w:val="none" w:sz="0" w:space="0" w:color="auto"/>
                    <w:bottom w:val="none" w:sz="0" w:space="0" w:color="auto"/>
                    <w:right w:val="none" w:sz="0" w:space="0" w:color="auto"/>
                  </w:divBdr>
                  <w:divsChild>
                    <w:div w:id="15964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5039">
      <w:bodyDiv w:val="1"/>
      <w:marLeft w:val="0"/>
      <w:marRight w:val="0"/>
      <w:marTop w:val="0"/>
      <w:marBottom w:val="0"/>
      <w:divBdr>
        <w:top w:val="none" w:sz="0" w:space="0" w:color="auto"/>
        <w:left w:val="none" w:sz="0" w:space="0" w:color="auto"/>
        <w:bottom w:val="none" w:sz="0" w:space="0" w:color="auto"/>
        <w:right w:val="none" w:sz="0" w:space="0" w:color="auto"/>
      </w:divBdr>
      <w:divsChild>
        <w:div w:id="459230380">
          <w:marLeft w:val="0"/>
          <w:marRight w:val="0"/>
          <w:marTop w:val="0"/>
          <w:marBottom w:val="0"/>
          <w:divBdr>
            <w:top w:val="none" w:sz="0" w:space="0" w:color="auto"/>
            <w:left w:val="none" w:sz="0" w:space="0" w:color="auto"/>
            <w:bottom w:val="none" w:sz="0" w:space="0" w:color="auto"/>
            <w:right w:val="none" w:sz="0" w:space="0" w:color="auto"/>
          </w:divBdr>
          <w:divsChild>
            <w:div w:id="6484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5262">
      <w:bodyDiv w:val="1"/>
      <w:marLeft w:val="0"/>
      <w:marRight w:val="0"/>
      <w:marTop w:val="0"/>
      <w:marBottom w:val="0"/>
      <w:divBdr>
        <w:top w:val="none" w:sz="0" w:space="0" w:color="auto"/>
        <w:left w:val="none" w:sz="0" w:space="0" w:color="auto"/>
        <w:bottom w:val="none" w:sz="0" w:space="0" w:color="auto"/>
        <w:right w:val="none" w:sz="0" w:space="0" w:color="auto"/>
      </w:divBdr>
    </w:div>
    <w:div w:id="1898735498">
      <w:bodyDiv w:val="1"/>
      <w:marLeft w:val="0"/>
      <w:marRight w:val="0"/>
      <w:marTop w:val="0"/>
      <w:marBottom w:val="0"/>
      <w:divBdr>
        <w:top w:val="none" w:sz="0" w:space="0" w:color="auto"/>
        <w:left w:val="none" w:sz="0" w:space="0" w:color="auto"/>
        <w:bottom w:val="none" w:sz="0" w:space="0" w:color="auto"/>
        <w:right w:val="none" w:sz="0" w:space="0" w:color="auto"/>
      </w:divBdr>
    </w:div>
    <w:div w:id="1901402327">
      <w:bodyDiv w:val="1"/>
      <w:marLeft w:val="0"/>
      <w:marRight w:val="0"/>
      <w:marTop w:val="0"/>
      <w:marBottom w:val="0"/>
      <w:divBdr>
        <w:top w:val="none" w:sz="0" w:space="0" w:color="auto"/>
        <w:left w:val="none" w:sz="0" w:space="0" w:color="auto"/>
        <w:bottom w:val="none" w:sz="0" w:space="0" w:color="auto"/>
        <w:right w:val="none" w:sz="0" w:space="0" w:color="auto"/>
      </w:divBdr>
    </w:div>
    <w:div w:id="1904095790">
      <w:bodyDiv w:val="1"/>
      <w:marLeft w:val="0"/>
      <w:marRight w:val="0"/>
      <w:marTop w:val="0"/>
      <w:marBottom w:val="0"/>
      <w:divBdr>
        <w:top w:val="none" w:sz="0" w:space="0" w:color="auto"/>
        <w:left w:val="none" w:sz="0" w:space="0" w:color="auto"/>
        <w:bottom w:val="none" w:sz="0" w:space="0" w:color="auto"/>
        <w:right w:val="none" w:sz="0" w:space="0" w:color="auto"/>
      </w:divBdr>
    </w:div>
    <w:div w:id="1904171931">
      <w:bodyDiv w:val="1"/>
      <w:marLeft w:val="0"/>
      <w:marRight w:val="0"/>
      <w:marTop w:val="0"/>
      <w:marBottom w:val="0"/>
      <w:divBdr>
        <w:top w:val="none" w:sz="0" w:space="0" w:color="auto"/>
        <w:left w:val="none" w:sz="0" w:space="0" w:color="auto"/>
        <w:bottom w:val="none" w:sz="0" w:space="0" w:color="auto"/>
        <w:right w:val="none" w:sz="0" w:space="0" w:color="auto"/>
      </w:divBdr>
    </w:div>
    <w:div w:id="1906798905">
      <w:bodyDiv w:val="1"/>
      <w:marLeft w:val="0"/>
      <w:marRight w:val="0"/>
      <w:marTop w:val="0"/>
      <w:marBottom w:val="0"/>
      <w:divBdr>
        <w:top w:val="none" w:sz="0" w:space="0" w:color="auto"/>
        <w:left w:val="none" w:sz="0" w:space="0" w:color="auto"/>
        <w:bottom w:val="none" w:sz="0" w:space="0" w:color="auto"/>
        <w:right w:val="none" w:sz="0" w:space="0" w:color="auto"/>
      </w:divBdr>
    </w:div>
    <w:div w:id="1911235332">
      <w:bodyDiv w:val="1"/>
      <w:marLeft w:val="0"/>
      <w:marRight w:val="0"/>
      <w:marTop w:val="0"/>
      <w:marBottom w:val="0"/>
      <w:divBdr>
        <w:top w:val="none" w:sz="0" w:space="0" w:color="auto"/>
        <w:left w:val="none" w:sz="0" w:space="0" w:color="auto"/>
        <w:bottom w:val="none" w:sz="0" w:space="0" w:color="auto"/>
        <w:right w:val="none" w:sz="0" w:space="0" w:color="auto"/>
      </w:divBdr>
    </w:div>
    <w:div w:id="1931429382">
      <w:bodyDiv w:val="1"/>
      <w:marLeft w:val="0"/>
      <w:marRight w:val="0"/>
      <w:marTop w:val="0"/>
      <w:marBottom w:val="0"/>
      <w:divBdr>
        <w:top w:val="none" w:sz="0" w:space="0" w:color="auto"/>
        <w:left w:val="none" w:sz="0" w:space="0" w:color="auto"/>
        <w:bottom w:val="none" w:sz="0" w:space="0" w:color="auto"/>
        <w:right w:val="none" w:sz="0" w:space="0" w:color="auto"/>
      </w:divBdr>
    </w:div>
    <w:div w:id="1935631104">
      <w:bodyDiv w:val="1"/>
      <w:marLeft w:val="0"/>
      <w:marRight w:val="0"/>
      <w:marTop w:val="0"/>
      <w:marBottom w:val="0"/>
      <w:divBdr>
        <w:top w:val="none" w:sz="0" w:space="0" w:color="auto"/>
        <w:left w:val="none" w:sz="0" w:space="0" w:color="auto"/>
        <w:bottom w:val="none" w:sz="0" w:space="0" w:color="auto"/>
        <w:right w:val="none" w:sz="0" w:space="0" w:color="auto"/>
      </w:divBdr>
    </w:div>
    <w:div w:id="1940213398">
      <w:bodyDiv w:val="1"/>
      <w:marLeft w:val="0"/>
      <w:marRight w:val="0"/>
      <w:marTop w:val="0"/>
      <w:marBottom w:val="0"/>
      <w:divBdr>
        <w:top w:val="none" w:sz="0" w:space="0" w:color="auto"/>
        <w:left w:val="none" w:sz="0" w:space="0" w:color="auto"/>
        <w:bottom w:val="none" w:sz="0" w:space="0" w:color="auto"/>
        <w:right w:val="none" w:sz="0" w:space="0" w:color="auto"/>
      </w:divBdr>
    </w:div>
    <w:div w:id="1940483188">
      <w:bodyDiv w:val="1"/>
      <w:marLeft w:val="0"/>
      <w:marRight w:val="0"/>
      <w:marTop w:val="0"/>
      <w:marBottom w:val="0"/>
      <w:divBdr>
        <w:top w:val="none" w:sz="0" w:space="0" w:color="auto"/>
        <w:left w:val="none" w:sz="0" w:space="0" w:color="auto"/>
        <w:bottom w:val="none" w:sz="0" w:space="0" w:color="auto"/>
        <w:right w:val="none" w:sz="0" w:space="0" w:color="auto"/>
      </w:divBdr>
    </w:div>
    <w:div w:id="1967083263">
      <w:bodyDiv w:val="1"/>
      <w:marLeft w:val="0"/>
      <w:marRight w:val="0"/>
      <w:marTop w:val="0"/>
      <w:marBottom w:val="0"/>
      <w:divBdr>
        <w:top w:val="none" w:sz="0" w:space="0" w:color="auto"/>
        <w:left w:val="none" w:sz="0" w:space="0" w:color="auto"/>
        <w:bottom w:val="none" w:sz="0" w:space="0" w:color="auto"/>
        <w:right w:val="none" w:sz="0" w:space="0" w:color="auto"/>
      </w:divBdr>
    </w:div>
    <w:div w:id="1982419295">
      <w:bodyDiv w:val="1"/>
      <w:marLeft w:val="0"/>
      <w:marRight w:val="0"/>
      <w:marTop w:val="0"/>
      <w:marBottom w:val="0"/>
      <w:divBdr>
        <w:top w:val="none" w:sz="0" w:space="0" w:color="auto"/>
        <w:left w:val="none" w:sz="0" w:space="0" w:color="auto"/>
        <w:bottom w:val="none" w:sz="0" w:space="0" w:color="auto"/>
        <w:right w:val="none" w:sz="0" w:space="0" w:color="auto"/>
      </w:divBdr>
    </w:div>
    <w:div w:id="1997612565">
      <w:bodyDiv w:val="1"/>
      <w:marLeft w:val="0"/>
      <w:marRight w:val="0"/>
      <w:marTop w:val="0"/>
      <w:marBottom w:val="0"/>
      <w:divBdr>
        <w:top w:val="none" w:sz="0" w:space="0" w:color="auto"/>
        <w:left w:val="none" w:sz="0" w:space="0" w:color="auto"/>
        <w:bottom w:val="none" w:sz="0" w:space="0" w:color="auto"/>
        <w:right w:val="none" w:sz="0" w:space="0" w:color="auto"/>
      </w:divBdr>
    </w:div>
    <w:div w:id="1998721769">
      <w:bodyDiv w:val="1"/>
      <w:marLeft w:val="0"/>
      <w:marRight w:val="0"/>
      <w:marTop w:val="0"/>
      <w:marBottom w:val="0"/>
      <w:divBdr>
        <w:top w:val="none" w:sz="0" w:space="0" w:color="auto"/>
        <w:left w:val="none" w:sz="0" w:space="0" w:color="auto"/>
        <w:bottom w:val="none" w:sz="0" w:space="0" w:color="auto"/>
        <w:right w:val="none" w:sz="0" w:space="0" w:color="auto"/>
      </w:divBdr>
    </w:div>
    <w:div w:id="2015523767">
      <w:bodyDiv w:val="1"/>
      <w:marLeft w:val="0"/>
      <w:marRight w:val="0"/>
      <w:marTop w:val="0"/>
      <w:marBottom w:val="0"/>
      <w:divBdr>
        <w:top w:val="none" w:sz="0" w:space="0" w:color="auto"/>
        <w:left w:val="none" w:sz="0" w:space="0" w:color="auto"/>
        <w:bottom w:val="none" w:sz="0" w:space="0" w:color="auto"/>
        <w:right w:val="none" w:sz="0" w:space="0" w:color="auto"/>
      </w:divBdr>
    </w:div>
    <w:div w:id="2022465925">
      <w:bodyDiv w:val="1"/>
      <w:marLeft w:val="0"/>
      <w:marRight w:val="0"/>
      <w:marTop w:val="0"/>
      <w:marBottom w:val="0"/>
      <w:divBdr>
        <w:top w:val="none" w:sz="0" w:space="0" w:color="auto"/>
        <w:left w:val="none" w:sz="0" w:space="0" w:color="auto"/>
        <w:bottom w:val="none" w:sz="0" w:space="0" w:color="auto"/>
        <w:right w:val="none" w:sz="0" w:space="0" w:color="auto"/>
      </w:divBdr>
    </w:div>
    <w:div w:id="2034450150">
      <w:bodyDiv w:val="1"/>
      <w:marLeft w:val="0"/>
      <w:marRight w:val="0"/>
      <w:marTop w:val="0"/>
      <w:marBottom w:val="0"/>
      <w:divBdr>
        <w:top w:val="none" w:sz="0" w:space="0" w:color="auto"/>
        <w:left w:val="none" w:sz="0" w:space="0" w:color="auto"/>
        <w:bottom w:val="none" w:sz="0" w:space="0" w:color="auto"/>
        <w:right w:val="none" w:sz="0" w:space="0" w:color="auto"/>
      </w:divBdr>
    </w:div>
    <w:div w:id="2040667192">
      <w:bodyDiv w:val="1"/>
      <w:marLeft w:val="0"/>
      <w:marRight w:val="0"/>
      <w:marTop w:val="0"/>
      <w:marBottom w:val="0"/>
      <w:divBdr>
        <w:top w:val="none" w:sz="0" w:space="0" w:color="auto"/>
        <w:left w:val="none" w:sz="0" w:space="0" w:color="auto"/>
        <w:bottom w:val="none" w:sz="0" w:space="0" w:color="auto"/>
        <w:right w:val="none" w:sz="0" w:space="0" w:color="auto"/>
      </w:divBdr>
    </w:div>
    <w:div w:id="2041317975">
      <w:bodyDiv w:val="1"/>
      <w:marLeft w:val="0"/>
      <w:marRight w:val="0"/>
      <w:marTop w:val="0"/>
      <w:marBottom w:val="0"/>
      <w:divBdr>
        <w:top w:val="none" w:sz="0" w:space="0" w:color="auto"/>
        <w:left w:val="none" w:sz="0" w:space="0" w:color="auto"/>
        <w:bottom w:val="none" w:sz="0" w:space="0" w:color="auto"/>
        <w:right w:val="none" w:sz="0" w:space="0" w:color="auto"/>
      </w:divBdr>
    </w:div>
    <w:div w:id="2048485713">
      <w:bodyDiv w:val="1"/>
      <w:marLeft w:val="0"/>
      <w:marRight w:val="0"/>
      <w:marTop w:val="0"/>
      <w:marBottom w:val="0"/>
      <w:divBdr>
        <w:top w:val="none" w:sz="0" w:space="0" w:color="auto"/>
        <w:left w:val="none" w:sz="0" w:space="0" w:color="auto"/>
        <w:bottom w:val="none" w:sz="0" w:space="0" w:color="auto"/>
        <w:right w:val="none" w:sz="0" w:space="0" w:color="auto"/>
      </w:divBdr>
    </w:div>
    <w:div w:id="2074043904">
      <w:bodyDiv w:val="1"/>
      <w:marLeft w:val="0"/>
      <w:marRight w:val="0"/>
      <w:marTop w:val="0"/>
      <w:marBottom w:val="0"/>
      <w:divBdr>
        <w:top w:val="none" w:sz="0" w:space="0" w:color="auto"/>
        <w:left w:val="none" w:sz="0" w:space="0" w:color="auto"/>
        <w:bottom w:val="none" w:sz="0" w:space="0" w:color="auto"/>
        <w:right w:val="none" w:sz="0" w:space="0" w:color="auto"/>
      </w:divBdr>
    </w:div>
    <w:div w:id="2080130880">
      <w:bodyDiv w:val="1"/>
      <w:marLeft w:val="0"/>
      <w:marRight w:val="0"/>
      <w:marTop w:val="0"/>
      <w:marBottom w:val="0"/>
      <w:divBdr>
        <w:top w:val="none" w:sz="0" w:space="0" w:color="auto"/>
        <w:left w:val="none" w:sz="0" w:space="0" w:color="auto"/>
        <w:bottom w:val="none" w:sz="0" w:space="0" w:color="auto"/>
        <w:right w:val="none" w:sz="0" w:space="0" w:color="auto"/>
      </w:divBdr>
    </w:div>
    <w:div w:id="2090227018">
      <w:bodyDiv w:val="1"/>
      <w:marLeft w:val="0"/>
      <w:marRight w:val="0"/>
      <w:marTop w:val="0"/>
      <w:marBottom w:val="0"/>
      <w:divBdr>
        <w:top w:val="none" w:sz="0" w:space="0" w:color="auto"/>
        <w:left w:val="none" w:sz="0" w:space="0" w:color="auto"/>
        <w:bottom w:val="none" w:sz="0" w:space="0" w:color="auto"/>
        <w:right w:val="none" w:sz="0" w:space="0" w:color="auto"/>
      </w:divBdr>
    </w:div>
    <w:div w:id="2095201632">
      <w:bodyDiv w:val="1"/>
      <w:marLeft w:val="0"/>
      <w:marRight w:val="0"/>
      <w:marTop w:val="0"/>
      <w:marBottom w:val="0"/>
      <w:divBdr>
        <w:top w:val="none" w:sz="0" w:space="0" w:color="auto"/>
        <w:left w:val="none" w:sz="0" w:space="0" w:color="auto"/>
        <w:bottom w:val="none" w:sz="0" w:space="0" w:color="auto"/>
        <w:right w:val="none" w:sz="0" w:space="0" w:color="auto"/>
      </w:divBdr>
    </w:div>
    <w:div w:id="2101098119">
      <w:bodyDiv w:val="1"/>
      <w:marLeft w:val="0"/>
      <w:marRight w:val="0"/>
      <w:marTop w:val="0"/>
      <w:marBottom w:val="0"/>
      <w:divBdr>
        <w:top w:val="none" w:sz="0" w:space="0" w:color="auto"/>
        <w:left w:val="none" w:sz="0" w:space="0" w:color="auto"/>
        <w:bottom w:val="none" w:sz="0" w:space="0" w:color="auto"/>
        <w:right w:val="none" w:sz="0" w:space="0" w:color="auto"/>
      </w:divBdr>
    </w:div>
    <w:div w:id="2109110117">
      <w:bodyDiv w:val="1"/>
      <w:marLeft w:val="0"/>
      <w:marRight w:val="0"/>
      <w:marTop w:val="0"/>
      <w:marBottom w:val="0"/>
      <w:divBdr>
        <w:top w:val="none" w:sz="0" w:space="0" w:color="auto"/>
        <w:left w:val="none" w:sz="0" w:space="0" w:color="auto"/>
        <w:bottom w:val="none" w:sz="0" w:space="0" w:color="auto"/>
        <w:right w:val="none" w:sz="0" w:space="0" w:color="auto"/>
      </w:divBdr>
    </w:div>
    <w:div w:id="2120836068">
      <w:bodyDiv w:val="1"/>
      <w:marLeft w:val="0"/>
      <w:marRight w:val="0"/>
      <w:marTop w:val="0"/>
      <w:marBottom w:val="0"/>
      <w:divBdr>
        <w:top w:val="none" w:sz="0" w:space="0" w:color="auto"/>
        <w:left w:val="none" w:sz="0" w:space="0" w:color="auto"/>
        <w:bottom w:val="none" w:sz="0" w:space="0" w:color="auto"/>
        <w:right w:val="none" w:sz="0" w:space="0" w:color="auto"/>
      </w:divBdr>
    </w:div>
    <w:div w:id="2137600581">
      <w:bodyDiv w:val="1"/>
      <w:marLeft w:val="0"/>
      <w:marRight w:val="0"/>
      <w:marTop w:val="0"/>
      <w:marBottom w:val="0"/>
      <w:divBdr>
        <w:top w:val="none" w:sz="0" w:space="0" w:color="auto"/>
        <w:left w:val="none" w:sz="0" w:space="0" w:color="auto"/>
        <w:bottom w:val="none" w:sz="0" w:space="0" w:color="auto"/>
        <w:right w:val="none" w:sz="0" w:space="0" w:color="auto"/>
      </w:divBdr>
    </w:div>
    <w:div w:id="214126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aterfield@qub.ac.uk" TargetMode="External"/><Relationship Id="rId13" Type="http://schemas.openxmlformats.org/officeDocument/2006/relationships/hyperlink" Target="http://www.plosone.org/article/fetchObject.action?uri=info:doi/10.1371/journal.pone.0122922&amp;representation=PDF" TargetMode="External"/><Relationship Id="rId18" Type="http://schemas.openxmlformats.org/officeDocument/2006/relationships/hyperlink" Target="http://ovidsp.ovid.com/ovidweb.cgi?T=JS&amp;PAGE=reference&amp;D=med4&amp;NEWS=N&amp;AN=114619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cbi.nlm.nih.gov/pubmed/31175126" TargetMode="External"/><Relationship Id="rId7" Type="http://schemas.openxmlformats.org/officeDocument/2006/relationships/endnotes" Target="endnotes.xml"/><Relationship Id="rId12" Type="http://schemas.openxmlformats.org/officeDocument/2006/relationships/hyperlink" Target="https://www.nice.org.uk/guidance/cg102" TargetMode="External"/><Relationship Id="rId17" Type="http://schemas.openxmlformats.org/officeDocument/2006/relationships/hyperlink" Target="http://ovidsp.ovid.com/ovidweb.cgi?T=JS&amp;PAGE=reference&amp;D=med4&amp;NEWS=N&amp;AN=115710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vidsp.ovid.com/ovidweb.cgi?T=JS&amp;PAGE=reference&amp;D=med4&amp;NEWS=N&amp;AN=9329416" TargetMode="External"/><Relationship Id="rId20" Type="http://schemas.openxmlformats.org/officeDocument/2006/relationships/hyperlink" Target="http://www.ncbi.nlm.nih.gov/pubmed/246156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bmj.com/content/early/2019/10/16/archdischild-2019-31772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ovidsp.ovid.com/ovidweb.cgi?T=JS&amp;PAGE=reference&amp;D=med4&amp;NEWS=N&amp;AN=11087287" TargetMode="External"/><Relationship Id="rId23" Type="http://schemas.openxmlformats.org/officeDocument/2006/relationships/header" Target="header1.xml"/><Relationship Id="rId10" Type="http://schemas.openxmlformats.org/officeDocument/2006/relationships/hyperlink" Target="http://www.ncbi.nlm.nih.gov/pubmed/27566800" TargetMode="External"/><Relationship Id="rId19" Type="http://schemas.openxmlformats.org/officeDocument/2006/relationships/hyperlink" Target="http://www.ncbi.nlm.nih.gov/pubmed/30060751" TargetMode="External"/><Relationship Id="rId4" Type="http://schemas.openxmlformats.org/officeDocument/2006/relationships/settings" Target="settings.xml"/><Relationship Id="rId9" Type="http://schemas.openxmlformats.org/officeDocument/2006/relationships/hyperlink" Target="https://www.meningitis.org/getmedia/cf777153-9427-4464-89e2-fb58199174b6/gp_booklet-UK-sept-16" TargetMode="External"/><Relationship Id="rId14" Type="http://schemas.openxmlformats.org/officeDocument/2006/relationships/hyperlink" Target="http://dx.doi.org/10.1016/j.diagmicrobio.2011.03.018" TargetMode="External"/><Relationship Id="rId22" Type="http://schemas.openxmlformats.org/officeDocument/2006/relationships/hyperlink" Target="http://www.ncbi.nlm.nih.gov/pubmed/18929686"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960A2-F45E-4423-8B81-05EEC0DC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6870</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Waterfield</dc:creator>
  <cp:keywords/>
  <dc:description/>
  <cp:lastModifiedBy>Tom Waterfield</cp:lastModifiedBy>
  <cp:revision>4</cp:revision>
  <cp:lastPrinted>2019-12-17T11:02:00Z</cp:lastPrinted>
  <dcterms:created xsi:type="dcterms:W3CDTF">2020-05-22T11:02:00Z</dcterms:created>
  <dcterms:modified xsi:type="dcterms:W3CDTF">2020-05-22T11:28:00Z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a84b88d2-11c6-3d6f-bee3-65d0e2855f98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