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AACDE1" w14:textId="77777777" w:rsidR="009C6D89" w:rsidRPr="00201571" w:rsidRDefault="009C6D89" w:rsidP="009C6D89">
      <w:pPr>
        <w:spacing w:after="0" w:line="480" w:lineRule="auto"/>
      </w:pPr>
      <w:bookmarkStart w:id="0" w:name="_GoBack"/>
      <w:bookmarkEnd w:id="0"/>
    </w:p>
    <w:p w14:paraId="71AEC530" w14:textId="119F6BEB" w:rsidR="009C6D89" w:rsidRPr="000F2EAD" w:rsidRDefault="00931A1C" w:rsidP="009C6D89">
      <w:pPr>
        <w:spacing w:after="0" w:line="480" w:lineRule="auto"/>
        <w:jc w:val="center"/>
        <w:rPr>
          <w:sz w:val="32"/>
        </w:rPr>
      </w:pPr>
      <w:r>
        <w:rPr>
          <w:sz w:val="32"/>
        </w:rPr>
        <w:t>P</w:t>
      </w:r>
      <w:r w:rsidR="003925F4">
        <w:rPr>
          <w:sz w:val="32"/>
        </w:rPr>
        <w:t xml:space="preserve">aediatric rotavirus </w:t>
      </w:r>
      <w:r>
        <w:rPr>
          <w:sz w:val="32"/>
        </w:rPr>
        <w:t xml:space="preserve">vaccination, </w:t>
      </w:r>
      <w:r w:rsidR="009C6D89" w:rsidRPr="000F2EAD">
        <w:rPr>
          <w:sz w:val="32"/>
        </w:rPr>
        <w:t>coeliac disease</w:t>
      </w:r>
      <w:r>
        <w:rPr>
          <w:sz w:val="32"/>
        </w:rPr>
        <w:t xml:space="preserve"> and</w:t>
      </w:r>
      <w:r w:rsidR="000C48A0">
        <w:rPr>
          <w:sz w:val="32"/>
        </w:rPr>
        <w:t xml:space="preserve"> type 1</w:t>
      </w:r>
      <w:r w:rsidR="009C6D89">
        <w:rPr>
          <w:sz w:val="32"/>
        </w:rPr>
        <w:t xml:space="preserve"> diabetes</w:t>
      </w:r>
      <w:r w:rsidR="0014315B">
        <w:rPr>
          <w:sz w:val="32"/>
        </w:rPr>
        <w:t xml:space="preserve"> in children</w:t>
      </w:r>
      <w:r w:rsidR="005836CE">
        <w:rPr>
          <w:sz w:val="32"/>
        </w:rPr>
        <w:t>:</w:t>
      </w:r>
      <w:r w:rsidR="009C6D89">
        <w:rPr>
          <w:sz w:val="32"/>
        </w:rPr>
        <w:t xml:space="preserve"> A</w:t>
      </w:r>
      <w:r w:rsidR="005836CE">
        <w:rPr>
          <w:sz w:val="32"/>
        </w:rPr>
        <w:t xml:space="preserve"> population</w:t>
      </w:r>
      <w:r w:rsidR="003925F4">
        <w:rPr>
          <w:sz w:val="32"/>
        </w:rPr>
        <w:t xml:space="preserve">-based </w:t>
      </w:r>
      <w:r w:rsidR="009C6D89">
        <w:rPr>
          <w:sz w:val="32"/>
        </w:rPr>
        <w:t>cohort study</w:t>
      </w:r>
    </w:p>
    <w:p w14:paraId="58CFC363" w14:textId="77777777" w:rsidR="009C6D89" w:rsidRDefault="009C6D89" w:rsidP="009C6D89">
      <w:pPr>
        <w:spacing w:after="0" w:line="480" w:lineRule="auto"/>
      </w:pPr>
    </w:p>
    <w:p w14:paraId="2EC6766B" w14:textId="77777777" w:rsidR="009C6D89" w:rsidRDefault="009C6D89" w:rsidP="009C6D89">
      <w:pPr>
        <w:spacing w:after="0" w:line="480" w:lineRule="auto"/>
      </w:pPr>
    </w:p>
    <w:p w14:paraId="0EB9B4BA" w14:textId="77777777" w:rsidR="009C6D89" w:rsidRDefault="009C6D89" w:rsidP="009C6D89">
      <w:pPr>
        <w:spacing w:after="0" w:line="480" w:lineRule="auto"/>
      </w:pPr>
    </w:p>
    <w:p w14:paraId="0556EC7C" w14:textId="77777777" w:rsidR="009C6D89" w:rsidRDefault="009C6D89" w:rsidP="009C6D89">
      <w:pPr>
        <w:spacing w:after="0" w:line="480" w:lineRule="auto"/>
      </w:pPr>
      <w:r>
        <w:t>Authors</w:t>
      </w:r>
    </w:p>
    <w:p w14:paraId="72BB0B43" w14:textId="3F22CA7D" w:rsidR="009C6D89" w:rsidRDefault="009C6D89" w:rsidP="009C6D89">
      <w:pPr>
        <w:spacing w:after="0" w:line="480" w:lineRule="auto"/>
      </w:pPr>
      <w:r>
        <w:t>Thomas Inns</w:t>
      </w:r>
      <w:r w:rsidRPr="00A00919">
        <w:rPr>
          <w:vertAlign w:val="superscript"/>
        </w:rPr>
        <w:t>1,2</w:t>
      </w:r>
      <w:r>
        <w:t>, Kate M Fleming</w:t>
      </w:r>
      <w:r w:rsidRPr="00A00919">
        <w:rPr>
          <w:vertAlign w:val="superscript"/>
        </w:rPr>
        <w:t>3</w:t>
      </w:r>
      <w:r>
        <w:t xml:space="preserve">, Miren </w:t>
      </w:r>
      <w:r w:rsidRPr="00B64627">
        <w:t>Iturriza-Gomara</w:t>
      </w:r>
      <w:r w:rsidRPr="00B64627">
        <w:rPr>
          <w:vertAlign w:val="superscript"/>
        </w:rPr>
        <w:t>2,4</w:t>
      </w:r>
      <w:r w:rsidR="00C0419E">
        <w:rPr>
          <w:vertAlign w:val="superscript"/>
        </w:rPr>
        <w:t>,5</w:t>
      </w:r>
      <w:r>
        <w:t>, Daniel Hungerford</w:t>
      </w:r>
      <w:r>
        <w:rPr>
          <w:vertAlign w:val="superscript"/>
        </w:rPr>
        <w:t>2,4</w:t>
      </w:r>
      <w:r w:rsidR="0047412B">
        <w:rPr>
          <w:vertAlign w:val="superscript"/>
        </w:rPr>
        <w:t>*</w:t>
      </w:r>
    </w:p>
    <w:p w14:paraId="0CAC0EB7" w14:textId="77777777" w:rsidR="009C6D89" w:rsidRDefault="009C6D89" w:rsidP="009C6D89">
      <w:pPr>
        <w:spacing w:after="0" w:line="480" w:lineRule="auto"/>
      </w:pPr>
    </w:p>
    <w:p w14:paraId="5AA33477" w14:textId="77777777" w:rsidR="009C6D89" w:rsidRDefault="009C6D89" w:rsidP="009C6D89">
      <w:pPr>
        <w:spacing w:after="0" w:line="480" w:lineRule="auto"/>
      </w:pPr>
      <w:r>
        <w:t>Affiliations</w:t>
      </w:r>
    </w:p>
    <w:p w14:paraId="4220A14E" w14:textId="77777777" w:rsidR="009C6D89" w:rsidRDefault="009C6D89" w:rsidP="009C6D89">
      <w:pPr>
        <w:pStyle w:val="ListParagraph"/>
        <w:numPr>
          <w:ilvl w:val="0"/>
          <w:numId w:val="11"/>
        </w:numPr>
        <w:spacing w:after="0" w:line="480" w:lineRule="auto"/>
      </w:pPr>
      <w:r w:rsidRPr="00A00919">
        <w:t>St Helens and Knowsley Teaching Hospitals NHS Trust, Merseyside, UK</w:t>
      </w:r>
    </w:p>
    <w:p w14:paraId="78D912A3" w14:textId="191BC45C" w:rsidR="009C6D89" w:rsidRDefault="009C6D89" w:rsidP="009C6D89">
      <w:pPr>
        <w:pStyle w:val="ListParagraph"/>
        <w:numPr>
          <w:ilvl w:val="0"/>
          <w:numId w:val="11"/>
        </w:numPr>
        <w:spacing w:after="0" w:line="480" w:lineRule="auto"/>
      </w:pPr>
      <w:r w:rsidRPr="00A00919">
        <w:t>NIHR HPRU in Gastrointestinal Infections at University of Liverpool</w:t>
      </w:r>
      <w:r>
        <w:t>, Liverpool, UK</w:t>
      </w:r>
    </w:p>
    <w:p w14:paraId="3AACE73C" w14:textId="77777777" w:rsidR="009C6D89" w:rsidRDefault="009C6D89" w:rsidP="009C6D89">
      <w:pPr>
        <w:pStyle w:val="ListParagraph"/>
        <w:numPr>
          <w:ilvl w:val="0"/>
          <w:numId w:val="11"/>
        </w:numPr>
        <w:spacing w:after="0" w:line="480" w:lineRule="auto"/>
      </w:pPr>
      <w:r w:rsidRPr="00A00919">
        <w:t xml:space="preserve">Institute of </w:t>
      </w:r>
      <w:r>
        <w:t>Population</w:t>
      </w:r>
      <w:r w:rsidRPr="00A00919">
        <w:t xml:space="preserve"> Health</w:t>
      </w:r>
      <w:r>
        <w:t>,</w:t>
      </w:r>
      <w:r w:rsidRPr="00A00919">
        <w:t xml:space="preserve"> </w:t>
      </w:r>
      <w:r>
        <w:t>University of Liverpool, Liverpool, UK</w:t>
      </w:r>
    </w:p>
    <w:p w14:paraId="162FB18E" w14:textId="559D2EE1" w:rsidR="009C6D89" w:rsidRDefault="009C6D89" w:rsidP="009C6D89">
      <w:pPr>
        <w:pStyle w:val="ListParagraph"/>
        <w:numPr>
          <w:ilvl w:val="0"/>
          <w:numId w:val="11"/>
        </w:numPr>
        <w:spacing w:after="0" w:line="480" w:lineRule="auto"/>
      </w:pPr>
      <w:r>
        <w:t>Department of Clinical Infection, Microbiology and Immunology,</w:t>
      </w:r>
      <w:r w:rsidRPr="00A00919">
        <w:t xml:space="preserve"> </w:t>
      </w:r>
      <w:r>
        <w:t>University of Liverpool, Liverpool</w:t>
      </w:r>
      <w:r w:rsidR="001E313D">
        <w:t xml:space="preserve">, </w:t>
      </w:r>
      <w:r>
        <w:t>UK</w:t>
      </w:r>
    </w:p>
    <w:p w14:paraId="1DD46C8C" w14:textId="3056DE38" w:rsidR="00C0419E" w:rsidRDefault="00C0419E" w:rsidP="00C0419E">
      <w:pPr>
        <w:pStyle w:val="ListParagraph"/>
        <w:numPr>
          <w:ilvl w:val="0"/>
          <w:numId w:val="11"/>
        </w:numPr>
        <w:spacing w:after="0" w:line="480" w:lineRule="auto"/>
      </w:pPr>
      <w:r>
        <w:t xml:space="preserve">Centre for Vaccine Innovation and Access, PATH, </w:t>
      </w:r>
      <w:r w:rsidRPr="00C0419E">
        <w:t>Geneva, Switzerland</w:t>
      </w:r>
    </w:p>
    <w:p w14:paraId="3EBB5660" w14:textId="77777777" w:rsidR="009C6D89" w:rsidRDefault="009C6D89" w:rsidP="009C6D89">
      <w:pPr>
        <w:spacing w:after="0" w:line="480" w:lineRule="auto"/>
      </w:pPr>
    </w:p>
    <w:p w14:paraId="73B41940" w14:textId="77777777" w:rsidR="0047412B" w:rsidRDefault="009C6D89" w:rsidP="0047412B">
      <w:pPr>
        <w:spacing w:after="0" w:line="480" w:lineRule="auto"/>
      </w:pPr>
      <w:r>
        <w:t xml:space="preserve">Corresponding author: </w:t>
      </w:r>
      <w:r w:rsidR="001E313D">
        <w:t xml:space="preserve">Daniel Hungerford, </w:t>
      </w:r>
      <w:r w:rsidR="0047412B">
        <w:t>Institute of Infection, Veterinary &amp; Ecological Sciences, Department of Clinical Infection, Microbiology and Immunology, University of Liverpool, The Ronald Ross Building, 8 West Derby Street, Liverpool, L69 7BE</w:t>
      </w:r>
    </w:p>
    <w:p w14:paraId="2B842A50" w14:textId="77777777" w:rsidR="00473A69" w:rsidRDefault="0047412B" w:rsidP="0047412B">
      <w:pPr>
        <w:spacing w:after="0" w:line="480" w:lineRule="auto"/>
      </w:pPr>
      <w:r>
        <w:t>E: d.hungerford@liverpool.ac.uk | T:0151 795 1455</w:t>
      </w:r>
    </w:p>
    <w:p w14:paraId="74EED1BB" w14:textId="2E318CB5" w:rsidR="00B96FD7" w:rsidRDefault="00B96FD7"/>
    <w:p w14:paraId="0A5A4860" w14:textId="77777777" w:rsidR="00943C00" w:rsidRDefault="00943C00"/>
    <w:p w14:paraId="7DB2024C" w14:textId="77777777" w:rsidR="00271850" w:rsidRDefault="00271850"/>
    <w:p w14:paraId="25EA6212" w14:textId="77777777" w:rsidR="00943C00" w:rsidRDefault="00943C00"/>
    <w:p w14:paraId="163F3BBC" w14:textId="77777777" w:rsidR="00943C00" w:rsidRDefault="00943C00"/>
    <w:p w14:paraId="70444EF8" w14:textId="77777777" w:rsidR="0047665E" w:rsidRPr="005123A3" w:rsidRDefault="009A3E19" w:rsidP="0004191E">
      <w:pPr>
        <w:spacing w:after="0" w:line="480" w:lineRule="auto"/>
        <w:rPr>
          <w:i/>
        </w:rPr>
      </w:pPr>
      <w:r w:rsidRPr="005123A3">
        <w:rPr>
          <w:i/>
        </w:rPr>
        <w:lastRenderedPageBreak/>
        <w:t>Background</w:t>
      </w:r>
    </w:p>
    <w:p w14:paraId="33AAD699" w14:textId="52BBEB61" w:rsidR="004B5408" w:rsidRPr="005123A3" w:rsidRDefault="00405B22" w:rsidP="0004191E">
      <w:pPr>
        <w:spacing w:after="0" w:line="480" w:lineRule="auto"/>
      </w:pPr>
      <w:r w:rsidRPr="005123A3">
        <w:t xml:space="preserve">Rotavirus infection has been </w:t>
      </w:r>
      <w:r w:rsidR="00872937" w:rsidRPr="005123A3">
        <w:t>proposed</w:t>
      </w:r>
      <w:r w:rsidRPr="005123A3">
        <w:t xml:space="preserve"> as a risk factor for coeliac disease (CD) and type 1 diabetes (T1D). The UK introduced </w:t>
      </w:r>
      <w:r w:rsidR="009908FB">
        <w:t>infant</w:t>
      </w:r>
      <w:r w:rsidR="009908FB" w:rsidRPr="005123A3">
        <w:t xml:space="preserve"> </w:t>
      </w:r>
      <w:r w:rsidRPr="005123A3">
        <w:t xml:space="preserve">rotavirus vaccination in 2013. </w:t>
      </w:r>
      <w:r w:rsidR="009A1951">
        <w:t>W</w:t>
      </w:r>
      <w:r w:rsidR="009A1951" w:rsidRPr="009A1951">
        <w:t>e have previously shown that rotavirus vaccination can have beneficial off-target effects on syndromes, such as hospitalised seizures</w:t>
      </w:r>
      <w:r w:rsidR="009A1951">
        <w:t>.</w:t>
      </w:r>
      <w:r w:rsidR="009A1951" w:rsidRPr="009A1951">
        <w:t xml:space="preserve"> </w:t>
      </w:r>
      <w:r w:rsidRPr="005123A3">
        <w:t xml:space="preserve">We therefore investigated whether rotavirus vaccination </w:t>
      </w:r>
      <w:r w:rsidR="00991192">
        <w:t>prevents</w:t>
      </w:r>
      <w:r w:rsidRPr="005123A3">
        <w:t xml:space="preserve"> CD and T1D in the UK. </w:t>
      </w:r>
    </w:p>
    <w:p w14:paraId="3BF76B46" w14:textId="77777777" w:rsidR="009A3E19" w:rsidRPr="005123A3" w:rsidRDefault="009A3E19" w:rsidP="0004191E">
      <w:pPr>
        <w:spacing w:after="0" w:line="480" w:lineRule="auto"/>
        <w:rPr>
          <w:i/>
        </w:rPr>
      </w:pPr>
      <w:r w:rsidRPr="005123A3">
        <w:rPr>
          <w:i/>
        </w:rPr>
        <w:t>Methods</w:t>
      </w:r>
    </w:p>
    <w:p w14:paraId="059B8235" w14:textId="0B5B6B5D" w:rsidR="00B545A6" w:rsidRDefault="00B545A6" w:rsidP="0004191E">
      <w:pPr>
        <w:spacing w:after="0" w:line="480" w:lineRule="auto"/>
      </w:pPr>
      <w:r w:rsidRPr="00B545A6">
        <w:t xml:space="preserve">A cohort study of children born between 2010 and 2015 was conducted using primary care records from the Clinical Practice Research Datalink. Children were followed-up from </w:t>
      </w:r>
      <w:r w:rsidR="00A93374">
        <w:t>six</w:t>
      </w:r>
      <w:r w:rsidR="00A93374" w:rsidRPr="00B545A6">
        <w:t xml:space="preserve"> </w:t>
      </w:r>
      <w:r w:rsidRPr="00B545A6">
        <w:t>months to seven years old, with censoring for outcome, death or leaving the practice. CD was defined as diagnosis of CD or the prescription of gluten-free goods. T1D was defined as a T1D diagnosis. The exposure was rotavirus vaccination, defined as one or more doses. Mixed-effects Cox regression was used to estimate Hazard ratios (HR) and 95% confidence intervals (CIs). Models were adjusted for potential confounders and included random intercepts for general practices.</w:t>
      </w:r>
    </w:p>
    <w:p w14:paraId="6B39DFF1" w14:textId="39DED4FD" w:rsidR="009A3E19" w:rsidRPr="005123A3" w:rsidRDefault="002414E2" w:rsidP="0004191E">
      <w:pPr>
        <w:spacing w:after="0" w:line="480" w:lineRule="auto"/>
        <w:rPr>
          <w:i/>
        </w:rPr>
      </w:pPr>
      <w:r>
        <w:rPr>
          <w:i/>
        </w:rPr>
        <w:t>Results</w:t>
      </w:r>
    </w:p>
    <w:p w14:paraId="20277757" w14:textId="4E8A74BA" w:rsidR="00B545A6" w:rsidRDefault="00B545A6" w:rsidP="0004191E">
      <w:pPr>
        <w:spacing w:after="0" w:line="480" w:lineRule="auto"/>
      </w:pPr>
      <w:r>
        <w:t>There were 880,629 children in the cohort (48.</w:t>
      </w:r>
      <w:r w:rsidRPr="00B545A6">
        <w:t xml:space="preserve">8% </w:t>
      </w:r>
      <w:r>
        <w:t>female). A total of 343,113 (39.</w:t>
      </w:r>
      <w:r w:rsidRPr="00B545A6">
        <w:t>0%) participants received rotavirus vaccine; among those born after the introducti</w:t>
      </w:r>
      <w:r>
        <w:t>on of rotavirus vaccination, 93.</w:t>
      </w:r>
      <w:r w:rsidRPr="00B545A6">
        <w:t>4% were vaccinated. S</w:t>
      </w:r>
      <w:r>
        <w:t xml:space="preserve">tudy participants contributed </w:t>
      </w:r>
      <w:r w:rsidR="00883E6A" w:rsidRPr="00883E6A">
        <w:t>4</w:t>
      </w:r>
      <w:r w:rsidR="00883E6A">
        <w:t>,</w:t>
      </w:r>
      <w:r w:rsidR="00883E6A" w:rsidRPr="00883E6A">
        <w:t>388</w:t>
      </w:r>
      <w:r w:rsidR="00883E6A">
        <w:t>,</w:t>
      </w:r>
      <w:r w:rsidR="00883E6A" w:rsidRPr="00883E6A">
        <w:t>35</w:t>
      </w:r>
      <w:r w:rsidR="00883E6A">
        <w:t>5</w:t>
      </w:r>
      <w:r w:rsidRPr="00B545A6">
        <w:t xml:space="preserve"> person-years, with median follow-up </w:t>
      </w:r>
      <w:r>
        <w:t>5.</w:t>
      </w:r>
      <w:r w:rsidR="00D668CE">
        <w:t xml:space="preserve">66 </w:t>
      </w:r>
      <w:r>
        <w:t>person-years. There were 1</w:t>
      </w:r>
      <w:r w:rsidRPr="00B545A6">
        <w:t xml:space="preserve">657 CD cases, an </w:t>
      </w:r>
      <w:r>
        <w:t xml:space="preserve">incidence of </w:t>
      </w:r>
      <w:r w:rsidR="00D668CE">
        <w:t>38</w:t>
      </w:r>
      <w:r>
        <w:t>.</w:t>
      </w:r>
      <w:r w:rsidR="00D668CE">
        <w:t>0</w:t>
      </w:r>
      <w:r>
        <w:t xml:space="preserve"> cases per 100,</w:t>
      </w:r>
      <w:r w:rsidRPr="00B545A6">
        <w:t>000 person-years. Compared with unvaccinated children the adjusted HR for a CD was 1</w:t>
      </w:r>
      <w:r>
        <w:t>.</w:t>
      </w:r>
      <w:r w:rsidR="00D668CE" w:rsidRPr="00B545A6">
        <w:t>0</w:t>
      </w:r>
      <w:r w:rsidR="00D668CE">
        <w:t>5</w:t>
      </w:r>
      <w:r w:rsidR="00D668CE" w:rsidRPr="00B545A6">
        <w:t xml:space="preserve"> </w:t>
      </w:r>
      <w:r w:rsidRPr="00B545A6">
        <w:t>(95% CI 0</w:t>
      </w:r>
      <w:r>
        <w:t>.</w:t>
      </w:r>
      <w:r w:rsidRPr="00B545A6">
        <w:t>8</w:t>
      </w:r>
      <w:r w:rsidR="00D668CE">
        <w:t>6</w:t>
      </w:r>
      <w:r w:rsidRPr="00B545A6">
        <w:t>-1</w:t>
      </w:r>
      <w:r>
        <w:t>.</w:t>
      </w:r>
      <w:r w:rsidR="00D668CE" w:rsidRPr="00B545A6">
        <w:t>2</w:t>
      </w:r>
      <w:r w:rsidR="00D668CE">
        <w:t>8</w:t>
      </w:r>
      <w:r w:rsidRPr="00B545A6">
        <w:t xml:space="preserve">) for vaccinated children. Females had a 40% higher hazard than males. T1D was recorded for 733 participants, an </w:t>
      </w:r>
      <w:r>
        <w:t>incidence of 1</w:t>
      </w:r>
      <w:r w:rsidR="00D668CE">
        <w:t>7</w:t>
      </w:r>
      <w:r>
        <w:t>.</w:t>
      </w:r>
      <w:r w:rsidR="00D668CE">
        <w:t>1</w:t>
      </w:r>
      <w:r>
        <w:t xml:space="preserve"> cases per 100,</w:t>
      </w:r>
      <w:r w:rsidRPr="00B545A6">
        <w:t xml:space="preserve">000 person-years. In adjusted analysis rotavirus vaccination was not </w:t>
      </w:r>
      <w:r w:rsidR="00057491">
        <w:t>associated with risk of T1D (HR=</w:t>
      </w:r>
      <w:r w:rsidRPr="00B545A6">
        <w:t>0</w:t>
      </w:r>
      <w:r>
        <w:t>.</w:t>
      </w:r>
      <w:r w:rsidR="00D668CE">
        <w:t>8</w:t>
      </w:r>
      <w:r w:rsidRPr="00B545A6">
        <w:t>9, 95% CI 0</w:t>
      </w:r>
      <w:r>
        <w:t>.</w:t>
      </w:r>
      <w:r w:rsidRPr="00B545A6">
        <w:t>6</w:t>
      </w:r>
      <w:r w:rsidR="00D668CE">
        <w:t>8</w:t>
      </w:r>
      <w:r w:rsidRPr="00B545A6">
        <w:t>-1</w:t>
      </w:r>
      <w:r>
        <w:t>.</w:t>
      </w:r>
      <w:r w:rsidR="00D668CE">
        <w:t>19</w:t>
      </w:r>
      <w:r w:rsidRPr="00B545A6">
        <w:t>).</w:t>
      </w:r>
    </w:p>
    <w:p w14:paraId="471CAD7A" w14:textId="00F4AF94" w:rsidR="008F5722" w:rsidRPr="005123A3" w:rsidRDefault="002414E2" w:rsidP="0004191E">
      <w:pPr>
        <w:spacing w:after="0" w:line="480" w:lineRule="auto"/>
        <w:rPr>
          <w:i/>
        </w:rPr>
      </w:pPr>
      <w:r>
        <w:rPr>
          <w:i/>
        </w:rPr>
        <w:t>Conclusion</w:t>
      </w:r>
      <w:r w:rsidR="002F4CC6">
        <w:rPr>
          <w:i/>
        </w:rPr>
        <w:t>s</w:t>
      </w:r>
    </w:p>
    <w:p w14:paraId="4CEC79D9" w14:textId="1546601F" w:rsidR="000D1E17" w:rsidRDefault="00473D5D" w:rsidP="0004191E">
      <w:pPr>
        <w:spacing w:after="0" w:line="480" w:lineRule="auto"/>
      </w:pPr>
      <w:r w:rsidRPr="00473D5D">
        <w:t xml:space="preserve">Rotavirus vaccination has reduced diarrhoeal disease morbidity and mortality substantial since licensing in 2006. </w:t>
      </w:r>
      <w:r w:rsidR="00026443" w:rsidRPr="00026443">
        <w:t xml:space="preserve">Our finding from </w:t>
      </w:r>
      <w:r w:rsidR="00243B84">
        <w:t>this</w:t>
      </w:r>
      <w:r w:rsidR="00026443" w:rsidRPr="00026443">
        <w:t xml:space="preserve"> large cohort study </w:t>
      </w:r>
      <w:r w:rsidR="001F1BE6" w:rsidRPr="00F74130">
        <w:t xml:space="preserve">did not provide evidence that rotavirus </w:t>
      </w:r>
      <w:r w:rsidR="001F1BE6" w:rsidRPr="00F74130">
        <w:lastRenderedPageBreak/>
        <w:t xml:space="preserve">vaccination </w:t>
      </w:r>
      <w:r w:rsidR="00931A1C">
        <w:t>prevents</w:t>
      </w:r>
      <w:r w:rsidR="005747FD" w:rsidRPr="00F74130">
        <w:t xml:space="preserve"> CD or T1</w:t>
      </w:r>
      <w:r w:rsidR="00F74130">
        <w:t>D</w:t>
      </w:r>
      <w:r w:rsidR="00510108">
        <w:t>,</w:t>
      </w:r>
      <w:r w:rsidR="00931A1C">
        <w:t xml:space="preserve"> nor is it associated with increased risk</w:t>
      </w:r>
      <w:r w:rsidR="005123A3" w:rsidRPr="00F74130">
        <w:t>, delivering f</w:t>
      </w:r>
      <w:r w:rsidR="00D65804" w:rsidRPr="00F74130">
        <w:t>urther evidence of rotavirus vaccin</w:t>
      </w:r>
      <w:r w:rsidR="00510108">
        <w:t>e</w:t>
      </w:r>
      <w:r w:rsidR="009908FB" w:rsidRPr="009908FB">
        <w:t xml:space="preserve"> </w:t>
      </w:r>
      <w:r w:rsidR="009908FB" w:rsidRPr="00F74130">
        <w:t>safety</w:t>
      </w:r>
      <w:r w:rsidR="00D65804" w:rsidRPr="00F74130">
        <w:t>.</w:t>
      </w:r>
    </w:p>
    <w:p w14:paraId="66E8BD01" w14:textId="77777777" w:rsidR="00026443" w:rsidRDefault="00026443" w:rsidP="0004191E">
      <w:pPr>
        <w:spacing w:after="0" w:line="480" w:lineRule="auto"/>
      </w:pPr>
    </w:p>
    <w:p w14:paraId="09FEB151" w14:textId="1577A6B1" w:rsidR="007E0D59" w:rsidRDefault="0052425F" w:rsidP="00B96FD7">
      <w:pPr>
        <w:spacing w:after="0" w:line="480" w:lineRule="auto"/>
        <w:ind w:left="1134" w:hanging="1134"/>
      </w:pPr>
      <w:r>
        <w:t>Keywords:</w:t>
      </w:r>
      <w:r>
        <w:tab/>
        <w:t>coeliac d</w:t>
      </w:r>
      <w:r w:rsidR="007E0D59">
        <w:t xml:space="preserve">isease, </w:t>
      </w:r>
      <w:r w:rsidR="009C6D89">
        <w:t xml:space="preserve">type I diabetes, </w:t>
      </w:r>
      <w:r w:rsidR="007E0D59">
        <w:t xml:space="preserve">rotavirus vaccine, </w:t>
      </w:r>
      <w:r>
        <w:t xml:space="preserve">vaccines, </w:t>
      </w:r>
      <w:r w:rsidR="00B545A6">
        <w:t xml:space="preserve">cohort study, survival </w:t>
      </w:r>
      <w:r w:rsidR="007E0D59">
        <w:t>analysis</w:t>
      </w:r>
      <w:r w:rsidR="0078114F">
        <w:t>, observation study, infectious disease</w:t>
      </w:r>
    </w:p>
    <w:p w14:paraId="5C2872B4" w14:textId="77777777" w:rsidR="00026443" w:rsidRDefault="00026443" w:rsidP="00B96FD7">
      <w:pPr>
        <w:spacing w:after="0" w:line="480" w:lineRule="auto"/>
        <w:ind w:left="1134" w:hanging="1134"/>
      </w:pPr>
    </w:p>
    <w:p w14:paraId="1C8A479D" w14:textId="00578334" w:rsidR="0007417F" w:rsidRDefault="00586051" w:rsidP="00586051">
      <w:pPr>
        <w:spacing w:after="0" w:line="480" w:lineRule="auto"/>
        <w:rPr>
          <w:b/>
        </w:rPr>
      </w:pPr>
      <w:r w:rsidRPr="00586051">
        <w:rPr>
          <w:b/>
        </w:rPr>
        <w:t>Background</w:t>
      </w:r>
    </w:p>
    <w:p w14:paraId="040EB296" w14:textId="577F17C5" w:rsidR="00E10DE1" w:rsidRDefault="00F96E51" w:rsidP="00586051">
      <w:pPr>
        <w:spacing w:after="0" w:line="480" w:lineRule="auto"/>
      </w:pPr>
      <w:r w:rsidRPr="00F96E51">
        <w:t>Coeliac Disease (CD), is a chronic</w:t>
      </w:r>
      <w:r>
        <w:t xml:space="preserve"> autoimmune</w:t>
      </w:r>
      <w:r w:rsidRPr="00F96E51">
        <w:t xml:space="preserve"> inflammatory intestinal disease that is induced by exposure to gluten.</w:t>
      </w:r>
      <w:r>
        <w:fldChar w:fldCharType="begin"/>
      </w:r>
      <w:r w:rsidR="00A4266C">
        <w:instrText xml:space="preserve"> ADDIN ZOTERO_ITEM CSL_CITATION {"citationID":"tVboiBj5","properties":{"formattedCitation":"[1]","plainCitation":"[1]","noteIndex":0},"citationItems":[{"id":"f5DPIqS8/1oe6hMAQ","uris":["http://zotero.org/users/5856738/items/MDZT5DH7"],"uri":["http://zotero.org/users/5856738/items/MDZT5DH7"],"itemData":{"id":2158,"type":"article-journal","abstract":"&lt;h3&gt;Background &amp; Aims&lt;/h3&gt;&lt;p&gt;Celiac disease is a major public health problem worldwide. Although initially it was reported from countries with predominant Caucasian populations, it now has been reported from other parts of the world. The exact global prevalence of celiac disease is not known. We conducted a systematic review and meta-analysis to estimate the global prevalence of celiac disease.&lt;/p&gt;&lt;h3&gt;Methods&lt;/h3&gt;&lt;p&gt;We searched Medline, PubMed, and EMBASE for the keywords celiac disease, celiac, celiac disease, tissue transglutaminase antibody, anti-endomysium antibody, endomysial antibody, and prevalence for studies published from January 1991 through March 2016. Each article was cross-referenced with the words Asia, Europe, Africa, South America, North America, and Australia. The diagnosis of celiac disease was based on European Society of Pediatric Gastroenterology, Hepatology, and Nutrition guidelines. Of 3843 articles, 96 articles were included in the final analysis.&lt;/p&gt;&lt;h3&gt;Results&lt;/h3&gt;&lt;p&gt;The pooled global prevalence of celiac disease was 1.4% (95% confidence interval, 1.1%–1.7%) in 275,818 individuals, based on positive results from tests for anti–tissue transglutaminase and/or anti-endomysial antibodies (called &lt;i&gt;seroprevalence&lt;/i&gt;). The pooled global prevalence of biopsy-confirmed celiac disease was 0.7% (95% confidence interval, 0.5%–0.9%) in 138,792 individuals. The prevalence values for celiac disease were 0.4% in South America, 0.5% in Africa and North America, 0.6% in Asia, and 0.8% in Europe and Oceania; the prevalence was higher in female vs male individuals (0.6% vs 0.4%; &lt;i&gt;P&lt;/i&gt; &lt; .001). The prevalence of celiac disease was significantly greater in children than adults (0.9% vs 0.5%; &lt;i&gt;P&lt;/i&gt; &lt; .001).&lt;/p&gt;&lt;h3&gt;Conclusions&lt;/h3&gt;&lt;p&gt;In a systematic review and meta-analysis, we found celiac disease to be reported worldwide. The prevalence of celiac disease based on serologic test results is 1.4% and based on biopsy results is 0.7%. The prevalence of celiac disease varies with sex, age, and location. There is a need for population-based prevalence studies in many countries.&lt;/p&gt;","container-title":"Clinical Gastroenterology and Hepatology","DOI":"10.1016/j.cgh.2017.06.037","ISSN":"1542-3565, 1542-7714","issue":"6","journalAbbreviation":"Clinical Gastroenterology and Hepatology","language":"English","note":"PMID: 29551598","page":"823-836.e2","source":"www.cghjournal.org","title":"Global Prevalence of Celiac Disease: Systematic Review and Meta-analysis","title-short":"Global Prevalence of Celiac Disease","volume":"16","author":[{"family":"Singh","given":"Prashant"},{"family":"Arora","given":"Ananya"},{"family":"Strand","given":"Tor A."},{"family":"Leffler","given":"Daniel A."},{"family":"Catassi","given":"Carlo"},{"family":"Green","given":"Peter H."},{"family":"Kelly","given":"Ciaran P."},{"family":"Ahuja","given":"Vineet"},{"family":"Makharia","given":"Govind K."}],"issued":{"date-parts":[["2018",6,1]]}}}],"schema":"https://github.com/citation-style-language/schema/raw/master/csl-citation.json"} </w:instrText>
      </w:r>
      <w:r>
        <w:fldChar w:fldCharType="separate"/>
      </w:r>
      <w:r w:rsidR="001B04AA" w:rsidRPr="001B04AA">
        <w:rPr>
          <w:rFonts w:ascii="Calibri" w:hAnsi="Calibri" w:cs="Calibri"/>
        </w:rPr>
        <w:t>[1]</w:t>
      </w:r>
      <w:r>
        <w:fldChar w:fldCharType="end"/>
      </w:r>
      <w:r>
        <w:t xml:space="preserve"> </w:t>
      </w:r>
      <w:r w:rsidRPr="00F96E51">
        <w:t xml:space="preserve">The global prevalence of CD </w:t>
      </w:r>
      <w:r>
        <w:t>is</w:t>
      </w:r>
      <w:r w:rsidRPr="00F96E51">
        <w:t xml:space="preserve"> estimated to be 1</w:t>
      </w:r>
      <w:r w:rsidR="0085732A">
        <w:t>.</w:t>
      </w:r>
      <w:r w:rsidRPr="00F96E51">
        <w:t>4%</w:t>
      </w:r>
      <w:r>
        <w:t>, causing a substantial burden of morbidity.</w:t>
      </w:r>
      <w:r>
        <w:fldChar w:fldCharType="begin"/>
      </w:r>
      <w:r w:rsidR="00A4266C">
        <w:instrText xml:space="preserve"> ADDIN ZOTERO_ITEM CSL_CITATION {"citationID":"vEUDhrmy","properties":{"formattedCitation":"[1]","plainCitation":"[1]","noteIndex":0},"citationItems":[{"id":"f5DPIqS8/1oe6hMAQ","uris":["http://zotero.org/users/5856738/items/MDZT5DH7"],"uri":["http://zotero.org/users/5856738/items/MDZT5DH7"],"itemData":{"id":2158,"type":"article-journal","abstract":"&lt;h3&gt;Background &amp; Aims&lt;/h3&gt;&lt;p&gt;Celiac disease is a major public health problem worldwide. Although initially it was reported from countries with predominant Caucasian populations, it now has been reported from other parts of the world. The exact global prevalence of celiac disease is not known. We conducted a systematic review and meta-analysis to estimate the global prevalence of celiac disease.&lt;/p&gt;&lt;h3&gt;Methods&lt;/h3&gt;&lt;p&gt;We searched Medline, PubMed, and EMBASE for the keywords celiac disease, celiac, celiac disease, tissue transglutaminase antibody, anti-endomysium antibody, endomysial antibody, and prevalence for studies published from January 1991 through March 2016. Each article was cross-referenced with the words Asia, Europe, Africa, South America, North America, and Australia. The diagnosis of celiac disease was based on European Society of Pediatric Gastroenterology, Hepatology, and Nutrition guidelines. Of 3843 articles, 96 articles were included in the final analysis.&lt;/p&gt;&lt;h3&gt;Results&lt;/h3&gt;&lt;p&gt;The pooled global prevalence of celiac disease was 1.4% (95% confidence interval, 1.1%–1.7%) in 275,818 individuals, based on positive results from tests for anti–tissue transglutaminase and/or anti-endomysial antibodies (called &lt;i&gt;seroprevalence&lt;/i&gt;). The pooled global prevalence of biopsy-confirmed celiac disease was 0.7% (95% confidence interval, 0.5%–0.9%) in 138,792 individuals. The prevalence values for celiac disease were 0.4% in South America, 0.5% in Africa and North America, 0.6% in Asia, and 0.8% in Europe and Oceania; the prevalence was higher in female vs male individuals (0.6% vs 0.4%; &lt;i&gt;P&lt;/i&gt; &lt; .001). The prevalence of celiac disease was significantly greater in children than adults (0.9% vs 0.5%; &lt;i&gt;P&lt;/i&gt; &lt; .001).&lt;/p&gt;&lt;h3&gt;Conclusions&lt;/h3&gt;&lt;p&gt;In a systematic review and meta-analysis, we found celiac disease to be reported worldwide. The prevalence of celiac disease based on serologic test results is 1.4% and based on biopsy results is 0.7%. The prevalence of celiac disease varies with sex, age, and location. There is a need for population-based prevalence studies in many countries.&lt;/p&gt;","container-title":"Clinical Gastroenterology and Hepatology","DOI":"10.1016/j.cgh.2017.06.037","ISSN":"1542-3565, 1542-7714","issue":"6","journalAbbreviation":"Clinical Gastroenterology and Hepatology","language":"English","note":"PMID: 29551598","page":"823-836.e2","source":"www.cghjournal.org","title":"Global Prevalence of Celiac Disease: Systematic Review and Meta-analysis","title-short":"Global Prevalence of Celiac Disease","volume":"16","author":[{"family":"Singh","given":"Prashant"},{"family":"Arora","given":"Ananya"},{"family":"Strand","given":"Tor A."},{"family":"Leffler","given":"Daniel A."},{"family":"Catassi","given":"Carlo"},{"family":"Green","given":"Peter H."},{"family":"Kelly","given":"Ciaran P."},{"family":"Ahuja","given":"Vineet"},{"family":"Makharia","given":"Govind K."}],"issued":{"date-parts":[["2018",6,1]]}}}],"schema":"https://github.com/citation-style-language/schema/raw/master/csl-citation.json"} </w:instrText>
      </w:r>
      <w:r>
        <w:fldChar w:fldCharType="separate"/>
      </w:r>
      <w:r w:rsidR="001B04AA" w:rsidRPr="001B04AA">
        <w:rPr>
          <w:rFonts w:ascii="Calibri" w:hAnsi="Calibri" w:cs="Calibri"/>
        </w:rPr>
        <w:t>[1]</w:t>
      </w:r>
      <w:r>
        <w:fldChar w:fldCharType="end"/>
      </w:r>
      <w:r>
        <w:t xml:space="preserve"> In England, the incidence of CD has increased over the last 30 years and is now </w:t>
      </w:r>
      <w:r w:rsidRPr="00F96E51">
        <w:t>19</w:t>
      </w:r>
      <w:r w:rsidR="0085732A">
        <w:t>.</w:t>
      </w:r>
      <w:r w:rsidRPr="00F96E51">
        <w:t>1</w:t>
      </w:r>
      <w:r>
        <w:t xml:space="preserve"> cases</w:t>
      </w:r>
      <w:r w:rsidRPr="00F96E51">
        <w:t xml:space="preserve"> per 100</w:t>
      </w:r>
      <w:r w:rsidR="00FF05F4">
        <w:t>,</w:t>
      </w:r>
      <w:r w:rsidRPr="00F96E51">
        <w:t>000 person-years</w:t>
      </w:r>
      <w:r w:rsidR="00D1726D">
        <w:t xml:space="preserve">, with </w:t>
      </w:r>
      <w:r w:rsidR="0036394E">
        <w:t xml:space="preserve">incidence </w:t>
      </w:r>
      <w:r w:rsidR="00D1726D">
        <w:t xml:space="preserve">highest in children under 5 years of age </w:t>
      </w:r>
      <w:r w:rsidR="006B0AD6">
        <w:t>(15</w:t>
      </w:r>
      <w:r w:rsidR="0085732A">
        <w:t>.</w:t>
      </w:r>
      <w:r w:rsidR="006B0AD6">
        <w:t>3 cases</w:t>
      </w:r>
      <w:r w:rsidR="006B0AD6" w:rsidRPr="00F96E51">
        <w:t xml:space="preserve"> per 100</w:t>
      </w:r>
      <w:r w:rsidR="00FF05F4">
        <w:t>,</w:t>
      </w:r>
      <w:r w:rsidR="006B0AD6" w:rsidRPr="00F96E51">
        <w:t>000 person-years</w:t>
      </w:r>
      <w:r w:rsidR="006B0AD6">
        <w:t xml:space="preserve">) </w:t>
      </w:r>
      <w:r w:rsidR="00D1726D">
        <w:t>and older adults</w:t>
      </w:r>
      <w:r w:rsidRPr="00F96E51">
        <w:t>.</w:t>
      </w:r>
      <w:r>
        <w:fldChar w:fldCharType="begin"/>
      </w:r>
      <w:r w:rsidR="00A4266C">
        <w:instrText xml:space="preserve"> ADDIN ZOTERO_ITEM CSL_CITATION {"citationID":"NL8p3EZd","properties":{"formattedCitation":"[2]","plainCitation":"[2]","noteIndex":0},"citationItems":[{"id":"f5DPIqS8/R9isqeB7","uris":["http://zotero.org/users/5856738/items/6E9HDPQE"],"uri":["http://zotero.org/users/5856738/items/6E9HDPQE"],"itemData":{"id":2014,"type":"article-journal","abstract":"OBJECTIVES: Few studies have quantified the incidence and prevalence of celiac disease (CD) and dermatitis herpetiformis (DH) nationally and regionally by time and age groups. Understanding this epidemiology is crucial for hypothesizing about causes and quantifying the burden of disease.\nMETHODS: Patients with CD or DH were identified in the Clinical Practice Research Datalink between 1990 and 2011. Incidence rates and prevalence were calculated by age, sex, year, and region of residence. Incidence rate ratios (IRR) adjusted for age, sex, and region were calculated with Poisson regression.\nRESULTS: A total of 9,087 incident cases of CD and 809 incident cases of DH were identified. Between 1990 and 2011, the incidence rate of CD increased from 5.2 per 100,000 (95% confidence interval (CI), 3.8-6.8) to 19.1 per 100,000 person-years (95% CI, 17.8-20.5; IRR, 3.6; 95% CI, 2.7-4.8). The incidence of DH decreased over the same time period from 1.8 per 100,000 to 0.8 per 100,000 person-years (average annual IRR, 0.96; 95% CI, 0.94-0.97). The absolute incidence of CD per 100,000 person-years ranged from 22.3 in Northern Ireland to 10 in London. There were large regional variations in prevalence for CD but not DH.\nCONCLUSIONS: We found a fourfold increase in the incidence of CD in the United Kingdom over 22 years, with large regional variations in prevalence. This contrasted with a 4% annual decrease in the incidence of DH, with minimal regional variations in prevalence. These contrasts could reflect differences in diagnosis between CD (serological diagnosis and case finding) and DH (symptomatic presentation) or the possibility that diagnosing and treating CD prevents the development of DH.","container-title":"The American Journal of Gastroenterology","DOI":"10.1038/ajg.2014.55","ISSN":"1572-0241","issue":"5","journalAbbreviation":"Am. J. Gastroenterol.","language":"eng","note":"PMID: 24667576\nPMCID: PMC4012300","page":"757-768","source":"PubMed","title":"Incidence and prevalence of celiac disease and dermatitis herpetiformis in the UK over two decades: population-based study","title-short":"Incidence and prevalence of celiac disease and dermatitis herpetiformis in the UK over two decades","volume":"109","author":[{"family":"West","given":"Joe"},{"family":"Fleming","given":"Kate M."},{"family":"Tata","given":"Laila J."},{"family":"Card","given":"Timothy R."},{"family":"Crooks","given":"Colin J."}],"issued":{"date-parts":[["2014",5]]}}}],"schema":"https://github.com/citation-style-language/schema/raw/master/csl-citation.json"} </w:instrText>
      </w:r>
      <w:r>
        <w:fldChar w:fldCharType="separate"/>
      </w:r>
      <w:r w:rsidR="001B04AA" w:rsidRPr="001B04AA">
        <w:rPr>
          <w:rFonts w:ascii="Calibri" w:hAnsi="Calibri" w:cs="Calibri"/>
        </w:rPr>
        <w:t>[2]</w:t>
      </w:r>
      <w:r>
        <w:fldChar w:fldCharType="end"/>
      </w:r>
      <w:r>
        <w:t xml:space="preserve"> </w:t>
      </w:r>
      <w:r w:rsidR="00C91A07" w:rsidRPr="00C91A07">
        <w:t>Type 1 diabetes</w:t>
      </w:r>
      <w:r w:rsidR="00C91A07">
        <w:t xml:space="preserve"> (T1D)</w:t>
      </w:r>
      <w:r w:rsidR="00C91A07" w:rsidRPr="00C91A07">
        <w:t xml:space="preserve"> is a</w:t>
      </w:r>
      <w:r w:rsidR="00C91A07">
        <w:t>lso a</w:t>
      </w:r>
      <w:r w:rsidR="00C91A07" w:rsidRPr="00C91A07">
        <w:t xml:space="preserve"> chronic autoimmune disease</w:t>
      </w:r>
      <w:r w:rsidR="00C91A07">
        <w:t xml:space="preserve">, precipitated by </w:t>
      </w:r>
      <w:r w:rsidR="00C91A07" w:rsidRPr="00C91A07">
        <w:t>destruction of insulin-producing pancreatic</w:t>
      </w:r>
      <w:r w:rsidR="00C91A07">
        <w:t xml:space="preserve"> cells,</w:t>
      </w:r>
      <w:r w:rsidR="00C91A07" w:rsidRPr="00C91A07">
        <w:t xml:space="preserve"> </w:t>
      </w:r>
      <w:r w:rsidR="00C91A07">
        <w:t xml:space="preserve">leading to </w:t>
      </w:r>
      <w:r w:rsidR="00C91A07" w:rsidRPr="00C91A07">
        <w:t>insulin deficiency.</w:t>
      </w:r>
      <w:r w:rsidR="00C91A07">
        <w:fldChar w:fldCharType="begin"/>
      </w:r>
      <w:r w:rsidR="00A4266C">
        <w:instrText xml:space="preserve"> ADDIN ZOTERO_ITEM CSL_CITATION {"citationID":"Y9EHoD3h","properties":{"formattedCitation":"[3]","plainCitation":"[3]","noteIndex":0},"citationItems":[{"id":"f5DPIqS8/u1UW6A9c","uris":["http://zotero.org/users/5856738/items/U25GEP44"],"uri":["http://zotero.org/users/5856738/items/U25GEP44"],"itemData":{"id":2708,"type":"article-journal","container-title":"Nature reviews Disease primers","issue":"1","note":"ISBN: 2056-676X\npublisher: Nature Publishing Group","page":"1-17","title":"Type 1 diabetes mellitus","volume":"3","author":[{"family":"Katsarou","given":"Anastasia"},{"family":"Gudbjörnsdottir","given":"Soffia"},{"family":"Rawshani","given":"Araz"},{"family":"Dabelea","given":"Dana"},{"family":"Bonifacio","given":"Ezio"},{"family":"Anderson","given":"Barbara J."},{"family":"Jacobsen","given":"Laura M."},{"family":"Schatz","given":"Desmond A."},{"family":"Lernmark","given":"Åke"}],"issued":{"date-parts":[["2017"]]}}}],"schema":"https://github.com/citation-style-language/schema/raw/master/csl-citation.json"} </w:instrText>
      </w:r>
      <w:r w:rsidR="00C91A07">
        <w:fldChar w:fldCharType="separate"/>
      </w:r>
      <w:r w:rsidR="001B04AA" w:rsidRPr="001B04AA">
        <w:rPr>
          <w:rFonts w:ascii="Calibri" w:hAnsi="Calibri" w:cs="Calibri"/>
        </w:rPr>
        <w:t>[3]</w:t>
      </w:r>
      <w:r w:rsidR="00C91A07">
        <w:fldChar w:fldCharType="end"/>
      </w:r>
      <w:r w:rsidR="00607A83">
        <w:t xml:space="preserve"> Globall</w:t>
      </w:r>
      <w:r w:rsidR="001E313D">
        <w:t xml:space="preserve">y, </w:t>
      </w:r>
      <w:r w:rsidR="00C0419E">
        <w:t>an</w:t>
      </w:r>
      <w:r w:rsidR="001E313D">
        <w:t xml:space="preserve"> estimated 90</w:t>
      </w:r>
      <w:r w:rsidR="00FF05F4">
        <w:t>,</w:t>
      </w:r>
      <w:r w:rsidR="00607A83">
        <w:t xml:space="preserve">000 children </w:t>
      </w:r>
      <w:r w:rsidR="00C0419E">
        <w:t xml:space="preserve">are </w:t>
      </w:r>
      <w:r w:rsidR="00607A83">
        <w:t>diagnosed</w:t>
      </w:r>
      <w:r w:rsidR="003038BA">
        <w:t xml:space="preserve"> with T1D</w:t>
      </w:r>
      <w:r w:rsidR="00607A83">
        <w:t xml:space="preserve"> each year, with incidence rates increasing over time.</w:t>
      </w:r>
      <w:r w:rsidR="009C34B5">
        <w:fldChar w:fldCharType="begin"/>
      </w:r>
      <w:r w:rsidR="00A4266C">
        <w:instrText xml:space="preserve"> ADDIN ZOTERO_ITEM CSL_CITATION {"citationID":"eoUN2uHo","properties":{"formattedCitation":"[3]","plainCitation":"[3]","noteIndex":0},"citationItems":[{"id":"f5DPIqS8/u1UW6A9c","uris":["http://zotero.org/users/5856738/items/U25GEP44"],"uri":["http://zotero.org/users/5856738/items/U25GEP44"],"itemData":{"id":2708,"type":"article-journal","container-title":"Nature reviews Disease primers","issue":"1","note":"ISBN: 2056-676X\npublisher: Nature Publishing Group","page":"1-17","title":"Type 1 diabetes mellitus","volume":"3","author":[{"family":"Katsarou","given":"Anastasia"},{"family":"Gudbjörnsdottir","given":"Soffia"},{"family":"Rawshani","given":"Araz"},{"family":"Dabelea","given":"Dana"},{"family":"Bonifacio","given":"Ezio"},{"family":"Anderson","given":"Barbara J."},{"family":"Jacobsen","given":"Laura M."},{"family":"Schatz","given":"Desmond A."},{"family":"Lernmark","given":"Åke"}],"issued":{"date-parts":[["2017"]]}}}],"schema":"https://github.com/citation-style-language/schema/raw/master/csl-citation.json"} </w:instrText>
      </w:r>
      <w:r w:rsidR="009C34B5">
        <w:fldChar w:fldCharType="separate"/>
      </w:r>
      <w:r w:rsidR="001B04AA" w:rsidRPr="001B04AA">
        <w:rPr>
          <w:rFonts w:ascii="Calibri" w:hAnsi="Calibri" w:cs="Calibri"/>
        </w:rPr>
        <w:t>[3]</w:t>
      </w:r>
      <w:r w:rsidR="009C34B5">
        <w:fldChar w:fldCharType="end"/>
      </w:r>
      <w:r w:rsidR="009C34B5">
        <w:t xml:space="preserve"> The incidence rate of </w:t>
      </w:r>
      <w:r w:rsidR="009C34B5" w:rsidRPr="009C34B5">
        <w:t xml:space="preserve">T1D </w:t>
      </w:r>
      <w:r w:rsidR="006B0AD6">
        <w:t xml:space="preserve">for children </w:t>
      </w:r>
      <w:r w:rsidR="009C34B5">
        <w:t xml:space="preserve">in England </w:t>
      </w:r>
      <w:r w:rsidR="006B0AD6">
        <w:t xml:space="preserve">and Wales </w:t>
      </w:r>
      <w:r w:rsidR="009C34B5">
        <w:t>was estimated to be</w:t>
      </w:r>
      <w:r w:rsidR="001E313D">
        <w:t xml:space="preserve"> </w:t>
      </w:r>
      <w:r w:rsidR="006B0AD6">
        <w:t>24</w:t>
      </w:r>
      <w:r w:rsidR="0085732A">
        <w:t>.</w:t>
      </w:r>
      <w:r w:rsidR="006B0AD6">
        <w:t>5</w:t>
      </w:r>
      <w:r w:rsidR="001E313D">
        <w:t xml:space="preserve"> cases per 100</w:t>
      </w:r>
      <w:r w:rsidR="00FF05F4">
        <w:t>,</w:t>
      </w:r>
      <w:r w:rsidR="009C34B5" w:rsidRPr="009C34B5">
        <w:t>000</w:t>
      </w:r>
      <w:r w:rsidR="009C34B5">
        <w:t xml:space="preserve"> per year</w:t>
      </w:r>
      <w:r w:rsidR="009C34B5" w:rsidRPr="009C34B5">
        <w:t xml:space="preserve"> in </w:t>
      </w:r>
      <w:r w:rsidR="006B0AD6">
        <w:t>2018/19</w:t>
      </w:r>
      <w:r w:rsidR="00331951">
        <w:t xml:space="preserve">, </w:t>
      </w:r>
      <w:bookmarkStart w:id="1" w:name="_Hlk70600241"/>
      <w:r w:rsidR="00331951">
        <w:t>with incidence peaking in those under 5 years of age and again during puberty</w:t>
      </w:r>
      <w:bookmarkEnd w:id="1"/>
      <w:r w:rsidR="009C34B5">
        <w:t>.</w:t>
      </w:r>
      <w:r w:rsidR="004C537B">
        <w:fldChar w:fldCharType="begin"/>
      </w:r>
      <w:r w:rsidR="00A4266C">
        <w:instrText xml:space="preserve"> ADDIN ZOTERO_ITEM CSL_CITATION {"citationID":"OlgZ5Rsp","properties":{"formattedCitation":"[4, 5]","plainCitation":"[4, 5]","noteIndex":0},"citationItems":[{"id":7716,"uris":["http://zotero.org/groups/2736408/items/TRU742C2"],"uri":["http://zotero.org/groups/2736408/items/TRU742C2"],"itemData":{"id":7716,"type":"article","publisher":"Royal College of Paediatrics and Child Health","title":"National Paediatric Diabetes Audit Annual Report 2018-19","URL":"https://www.rcpch.ac.uk/sites/default/files/2020-03/final_npda_core_report_2018-2019.pdf","author":[{"family":"National Paediatric Diabetes Audit","given":""}],"accessed":{"date-parts":[["2021",1,22]]},"issued":{"date-parts":[["2020",3,1]]}}},{"id":7860,"uris":["http://zotero.org/groups/2736408/items/5VJSG62S"],"uri":["http://zotero.org/groups/2736408/items/5VJSG62S"],"itemData":{"id":7860,"type":"article","title":"Type 1 diabetes in adults: diagnosis and management [NG17]","URL":"https://www.nice.org.uk/guidance/ng17/evidence/full-guideline-pdf-435400241","author":[{"family":"National Institute for Health and Care Excellence","given":""}],"accessed":{"date-parts":[["2021",4,29]]},"issued":{"date-parts":[["2015",8,1]]}}}],"schema":"https://github.com/citation-style-language/schema/raw/master/csl-citation.json"} </w:instrText>
      </w:r>
      <w:r w:rsidR="004C537B">
        <w:fldChar w:fldCharType="separate"/>
      </w:r>
      <w:r w:rsidR="001B04AA" w:rsidRPr="001B04AA">
        <w:rPr>
          <w:rFonts w:ascii="Calibri" w:hAnsi="Calibri" w:cs="Calibri"/>
        </w:rPr>
        <w:t>[4, 5]</w:t>
      </w:r>
      <w:r w:rsidR="004C537B">
        <w:fldChar w:fldCharType="end"/>
      </w:r>
      <w:r w:rsidR="009C34B5">
        <w:t xml:space="preserve"> </w:t>
      </w:r>
      <w:r w:rsidR="008C1320">
        <w:t xml:space="preserve">Both CD and T1D have a complex aetiology, </w:t>
      </w:r>
      <w:r w:rsidR="00C0419E">
        <w:t xml:space="preserve">which include </w:t>
      </w:r>
      <w:r>
        <w:t xml:space="preserve">strong </w:t>
      </w:r>
      <w:r w:rsidR="008C1320">
        <w:t>genetic risk factors</w:t>
      </w:r>
      <w:r>
        <w:t xml:space="preserve"> for susceptibility,</w:t>
      </w:r>
      <w:r w:rsidR="008C1320">
        <w:t xml:space="preserve"> </w:t>
      </w:r>
      <w:r w:rsidR="00C0419E">
        <w:t>as well as</w:t>
      </w:r>
      <w:r>
        <w:t xml:space="preserve"> </w:t>
      </w:r>
      <w:r w:rsidR="008C1320">
        <w:t xml:space="preserve">environmental exposures </w:t>
      </w:r>
      <w:r>
        <w:t xml:space="preserve">also </w:t>
      </w:r>
      <w:r w:rsidR="008C1320">
        <w:t xml:space="preserve">being </w:t>
      </w:r>
      <w:r>
        <w:t>influential</w:t>
      </w:r>
      <w:r w:rsidR="008C1320">
        <w:t xml:space="preserve">. One </w:t>
      </w:r>
      <w:r>
        <w:t xml:space="preserve">such </w:t>
      </w:r>
      <w:r w:rsidR="008C1320">
        <w:t>possible risk factor for both is rotavirus infection.</w:t>
      </w:r>
    </w:p>
    <w:p w14:paraId="5CD6E026" w14:textId="77777777" w:rsidR="008C1320" w:rsidRDefault="008C1320" w:rsidP="008C1320">
      <w:pPr>
        <w:spacing w:after="0" w:line="480" w:lineRule="auto"/>
        <w:rPr>
          <w:i/>
        </w:rPr>
      </w:pPr>
    </w:p>
    <w:p w14:paraId="7FD3D4D8" w14:textId="78955010" w:rsidR="009E3C08" w:rsidRDefault="009C34B5" w:rsidP="00586051">
      <w:pPr>
        <w:spacing w:after="0" w:line="480" w:lineRule="auto"/>
      </w:pPr>
      <w:r>
        <w:t>One</w:t>
      </w:r>
      <w:r w:rsidRPr="009C34B5">
        <w:t xml:space="preserve"> study in 2006 found that</w:t>
      </w:r>
      <w:r w:rsidR="001D01B7">
        <w:t xml:space="preserve"> multiple rotavirus infections</w:t>
      </w:r>
      <w:r w:rsidRPr="009C34B5">
        <w:t xml:space="preserve"> increased the risk of CD, adjusted for other risk factors.</w:t>
      </w:r>
      <w:r>
        <w:fldChar w:fldCharType="begin"/>
      </w:r>
      <w:r w:rsidR="00A4266C">
        <w:instrText xml:space="preserve"> ADDIN ZOTERO_ITEM CSL_CITATION {"citationID":"wNu1FCxw","properties":{"formattedCitation":"[6]","plainCitation":"[6]","noteIndex":0},"citationItems":[{"id":"f5DPIqS8/pB8YFWug","uris":["http://zotero.org/users/5856738/items/VGPDBW4T"],"uri":["http://zotero.org/users/5856738/items/VGPDBW4T"],"itemData":{"id":1789,"type":"article-journal","abstract":"OBJECTIVE: Few studies have assessed the role of specific gastrointestinal infections in celiac disease. We investigated whether increased frequency of rotavirus infection, a common cause of gastrointestinal infection and inflammation, predicts increased risk of celiac disease autoimmunity.\nMETHODS: A cohort of 1,931 children from the Denver metropolitan area who carried celiac disease human leukocyte antigen (HLA) risk alleles were followed from infancy for development of celiac disease autoimmunity, defined as positivity at two or more subsequent clinic visits for tissue transglutaminase (tTG) autoantibodies measured using a radioimmunoassay with human recombinant tTG. Blood samples were obtained at ages 9, 15, and 24 months, and annually thereafter. Rotavirus antibodies were assayed using an indirect enzyme immunoassay in serial serum samples from each case and two matched controls. Frequency of infections were estimated by the number of increases (&gt; 2 assay coefficient of variation) in rotavirus antibody between clinic visits.\nRESULTS: Fifty-four cases developed celiac disease autoimmunity at a median age of 4.4 yr. Thirty-six had an intestinal biopsy, of which 27 (75%) were positive for celiac disease. Frequent rotavirus infections predicted a higher risk of celiac disease autoimmunity (compared with zero infections, rate ratio 1.94, 95% confidence interval [CI] 0.39-9.56, for one infection and rate ratio 3.76, 95% CI 0.76-18.7, for &gt; or = 2 infections, rate ratio for trend per increase in number of infections = 1.94, 95% CI 1.04-3.61, p = 0.037). The result was similar after adjustment for gender, ethnic group, maternal education, breast-feeding, day-care attendance, number of siblings, season of birth, and number of HLA DR3-DQ2 haplotypes.\nCONCLUSIONS: This prospective study provides the first indication that a high frequency of rotavirus infections may increase the risk of celiac disease autoimmunity in childhood in genetically predisposed individuals.","container-title":"The American Journal of Gastroenterology","DOI":"10.1111/j.1572-0241.2006.00741.x","ISSN":"0002-9270","issue":"10","journalAbbreviation":"Am. J. Gastroenterol.","language":"eng","note":"PMID: 17032199","page":"2333-2340","source":"PubMed","title":"Rotavirus infection frequency and risk of celiac disease autoimmunity in early childhood: a longitudinal study","title-short":"Rotavirus infection frequency and risk of celiac disease autoimmunity in early childhood","volume":"101","author":[{"family":"Stene","given":"Lars C."},{"family":"Honeyman","given":"Margo C."},{"family":"Hoffenberg","given":"Edward J."},{"family":"Haas","given":"Joel E."},{"family":"Sokol","given":"Ronald J."},{"family":"Emery","given":"Lisa"},{"family":"Taki","given":"Iman"},{"family":"Norris","given":"Jill M."},{"family":"Erlich","given":"Henry A."},{"family":"Eisenbarth","given":"George S."},{"family":"Rewers","given":"Marian"}],"issued":{"date-parts":[["2006",10]]}}}],"schema":"https://github.com/citation-style-language/schema/raw/master/csl-citation.json"} </w:instrText>
      </w:r>
      <w:r>
        <w:fldChar w:fldCharType="separate"/>
      </w:r>
      <w:r w:rsidR="001B04AA" w:rsidRPr="001B04AA">
        <w:rPr>
          <w:rFonts w:ascii="Calibri" w:hAnsi="Calibri" w:cs="Calibri"/>
        </w:rPr>
        <w:t>[6]</w:t>
      </w:r>
      <w:r>
        <w:fldChar w:fldCharType="end"/>
      </w:r>
      <w:r w:rsidRPr="009C34B5">
        <w:t xml:space="preserve"> This was supported by an immunological study which showed the similarity between a coeliac peptide and a key rotavirus protein.</w:t>
      </w:r>
      <w:r w:rsidR="00A5769A">
        <w:fldChar w:fldCharType="begin"/>
      </w:r>
      <w:r w:rsidR="00A4266C">
        <w:instrText xml:space="preserve"> ADDIN ZOTERO_ITEM CSL_CITATION {"citationID":"C9aUu9NY","properties":{"formattedCitation":"[7]","plainCitation":"[7]","noteIndex":0},"citationItems":[{"id":"f5DPIqS8/IMzK84Tm","uris":["http://zotero.org/users/5856738/items/6PKIR6WD"],"uri":["http://zotero.org/users/5856738/items/6PKIR6WD"],"itemData":{"id":1793,"type":"article-journal","abstract":"BACKGROUND: Celiac disease is a small intestine inflammatory disorder with multiple organ involvement, sustained by an inappropriate immune response to dietary gluten. Anti-transglutaminase antibodies are a typical serological marker in patients with active disease, and may disappear during a gluten-free diet treatment. Involvement of infectious agents and innate immunity has been suggested but never proven. Molecular mimicry is one of the mechanisms that links infection and autoimmunity.\nMETHODS AND FINDINGS: In our attempt to clarify the pathogenesis of celiac disease, we screened a random peptide library with pooled sera of patients affected by active disease after a pre-screening with the sera of the same patients on a gluten-free diet. We identified a peptide recognized by serum immunoglobulins of patients with active disease, but not by those of patients on a gluten-free diet. This peptide shares homology with the rotavirus major neutralizing protein VP-7 and with the self-antigens tissue transglutaminase, human heat shock protein 60, desmoglein 1, and Toll-like receptor 4. We show that antibodies against the peptide affinity-purified from the sera of patients with active disease recognize the viral product and self-antigens in ELISA and Western blot. These antibodies were able to induce increased epithelial cell permeability evaluated by transepithelial flux of [(3)H] mannitol in the T84 human intestinal epithelial cell line. Finally, the purified antibodies induced monocyte activation upon binding Toll-like receptor 4, evaluated both by surface expression of activation markers and by production of pro-inflammatory cytokines.\nCONCLUSIONS: Our findings show that in active celiac disease, a subset of anti-transglutaminase IgA antibodies recognize the viral protein VP-7, suggesting a possible involvement of rotavirus infection in the pathogenesis of the disease, through a mechanism of molecular mimicry. Moreover, such antibodies recognize self-antigens and are functionally active, able to increase intestinal permeability and induce monocyte activation. We therefore provide evidence for the involvement of innate immunity in the pathogenesis of celiac disease through a previously unknown mechanism of engagement of Toll-like receptor 4.","container-title":"PLoS medicine","DOI":"10.1371/journal.pmed.0030358","ISSN":"1549-1676","issue":"9","journalAbbreviation":"PLoS Med.","language":"eng","note":"PMID: 16984219\nPMCID: PMC1569884","page":"e358","source":"PubMed","title":"In celiac disease, a subset of autoantibodies against transglutaminase binds toll-like receptor 4 and induces activation of monocytes","volume":"3","author":[{"family":"Zanoni","given":"Giovanna"},{"family":"Navone","given":"Riccardo"},{"family":"Lunardi","given":"Claudio"},{"family":"Tridente","given":"Giuseppe"},{"family":"Bason","given":"Caterina"},{"family":"Sivori","given":"Simona"},{"family":"Beri","given":"Ruggero"},{"family":"Dolcino","given":"Marzia"},{"family":"Valletta","given":"Enrico"},{"family":"Corrocher","given":"Roberto"},{"family":"Puccetti","given":"Antonio"}],"issued":{"date-parts":[["2006",9]]}}}],"schema":"https://github.com/citation-style-language/schema/raw/master/csl-citation.json"} </w:instrText>
      </w:r>
      <w:r w:rsidR="00A5769A">
        <w:fldChar w:fldCharType="separate"/>
      </w:r>
      <w:r w:rsidR="001B04AA" w:rsidRPr="001B04AA">
        <w:rPr>
          <w:rFonts w:ascii="Calibri" w:hAnsi="Calibri" w:cs="Calibri"/>
        </w:rPr>
        <w:t>[7]</w:t>
      </w:r>
      <w:r w:rsidR="00A5769A">
        <w:fldChar w:fldCharType="end"/>
      </w:r>
      <w:r w:rsidR="00A5769A">
        <w:t xml:space="preserve"> Similarly, </w:t>
      </w:r>
      <w:r w:rsidR="00B46E2A">
        <w:t xml:space="preserve">a </w:t>
      </w:r>
      <w:r w:rsidR="00A5769A">
        <w:t xml:space="preserve">potential </w:t>
      </w:r>
      <w:r w:rsidR="00B46E2A">
        <w:t xml:space="preserve">biological basis </w:t>
      </w:r>
      <w:r w:rsidR="00A5769A">
        <w:t xml:space="preserve">for </w:t>
      </w:r>
      <w:r w:rsidR="00B46E2A">
        <w:t>rotavirus infection increasing the risk of T1D</w:t>
      </w:r>
      <w:r w:rsidR="00A5769A">
        <w:t xml:space="preserve"> was provided by</w:t>
      </w:r>
      <w:r w:rsidR="00B46E2A">
        <w:t xml:space="preserve"> </w:t>
      </w:r>
      <w:r w:rsidR="00A5769A">
        <w:t>s</w:t>
      </w:r>
      <w:r w:rsidR="00B46E2A">
        <w:t xml:space="preserve">tudies in genetically-susceptible mice </w:t>
      </w:r>
      <w:r w:rsidR="00A5769A">
        <w:t>that</w:t>
      </w:r>
      <w:r w:rsidR="00B46E2A">
        <w:t xml:space="preserve"> show</w:t>
      </w:r>
      <w:r w:rsidR="00A5769A">
        <w:t>ed</w:t>
      </w:r>
      <w:r w:rsidR="00B46E2A">
        <w:t xml:space="preserve"> the immune mechanism behind the acceleration of T1D by rotavirus.</w:t>
      </w:r>
      <w:r w:rsidR="00B46E2A">
        <w:fldChar w:fldCharType="begin"/>
      </w:r>
      <w:r w:rsidR="00A4266C">
        <w:instrText xml:space="preserve"> ADDIN ZOTERO_ITEM CSL_CITATION {"citationID":"lI5VNmP9","properties":{"formattedCitation":"[8]","plainCitation":"[8]","noteIndex":0},"citationItems":[{"id":"f5DPIqS8/C9L4mJWC","uris":["http://zotero.org/users/5856738/items/EP639IFP"],"uri":["http://zotero.org/users/5856738/items/EP639IFP"],"itemData":{"id":2695,"type":"article-journal","abstract":"Rotavirus infection has been proposed to enhance progression towards type 1 diabetes in at-risk children. Rhesus monkey rotavirus (RRV) accelerates diabetes onset in non-obese diabetic (NOD) and T cell receptor transgenic NOD8.3 mice. Infected NOD mice show virus spread to pancreatic lymph nodes (PLN) and mesenteric lymph nodes (MLN), induction of a serum T helper 1-biased specific antibody response and proinflammatory cytokine mRNA expression in PLN and islets. Here, we analysed the effects of RRV infection on intestinal responses and the activation of antigen presenting cells (APC), T cells and B cells in PLN, MLN, spleen and islets. Diabetes acceleration by RRV was associated with minimal immune activation in Peyer's patches. Increased proinflammatory cytokine expression by APC, including dendritic cells, was observed exclusively in the PLN, while cytokine expression by T cells was detected in islets, PLN, MLN and spleen. RRV infection of NOD8.3 mice increased IFNγ expression by CD8+ T cells, which primarily recognise an islet autoantigen. A peptide corresponding to RRV VP7 amino acids 5–13, with sequence similarity to this islet autoantigen, did not induce activation or proliferation of NOD8.3 mouse T cells. RRV infection of NOD mice elevated B cell MHC I expression in PLN and MLN, and increased the B cell-mediated proliferation of islet antigen-specific CD8+ T cells. These studies demonstrate that RRV infection of NOD mice activates APC, T cells and B cells at sites where autoreactive lymphocytes accumulate, in association with proinflammatory cytokine expression and an increased capacity to present antigen. Taken together with previous findings, these data support a possible role for bystander activation in type 1 diabetes acceleration by RRV.","container-title":"Virus Research","DOI":"10.1016/j.virusres.2013.11.009","ISSN":"0168-1702","journalAbbreviation":"Virus Research","language":"en","page":"73-84","source":"ScienceDirect","title":"Rotavirus acceleration of murine type 1 diabetes is associated with increased MHC class I-restricted antigen presentation by B cells and elevated proinflammatory cytokine expression by T cells","volume":"179","author":[{"family":"Pane","given":"Jessica A."},{"family":"Webster","given":"Nicole L."},{"family":"Zufferey","given":"Christel"},{"family":"Coulson","given":"Barbara S."}],"issued":{"date-parts":[["2014",1,22]]}}}],"schema":"https://github.com/citation-style-language/schema/raw/master/csl-citation.json"} </w:instrText>
      </w:r>
      <w:r w:rsidR="00B46E2A">
        <w:fldChar w:fldCharType="separate"/>
      </w:r>
      <w:r w:rsidR="001B04AA" w:rsidRPr="001B04AA">
        <w:rPr>
          <w:rFonts w:ascii="Calibri" w:hAnsi="Calibri" w:cs="Calibri"/>
        </w:rPr>
        <w:t>[8]</w:t>
      </w:r>
      <w:r w:rsidR="00B46E2A">
        <w:fldChar w:fldCharType="end"/>
      </w:r>
      <w:r w:rsidR="00B46E2A">
        <w:t xml:space="preserve"> This </w:t>
      </w:r>
      <w:r w:rsidR="00C0419E">
        <w:t xml:space="preserve">was further </w:t>
      </w:r>
      <w:r w:rsidR="00B46E2A">
        <w:t xml:space="preserve">supported by an association </w:t>
      </w:r>
      <w:r w:rsidR="00D93974" w:rsidRPr="00D93974">
        <w:t xml:space="preserve">between </w:t>
      </w:r>
      <w:r w:rsidR="00D93974">
        <w:t>rotavirus</w:t>
      </w:r>
      <w:r w:rsidR="00D93974" w:rsidRPr="00D93974">
        <w:t xml:space="preserve"> seroconversion and increases in </w:t>
      </w:r>
      <w:r w:rsidR="00D93974">
        <w:t>islet</w:t>
      </w:r>
      <w:r w:rsidR="00D93974" w:rsidRPr="00D93974">
        <w:t xml:space="preserve"> </w:t>
      </w:r>
      <w:r w:rsidR="00D93974" w:rsidRPr="00D93974">
        <w:lastRenderedPageBreak/>
        <w:t>antibodies</w:t>
      </w:r>
      <w:r w:rsidR="00B46E2A">
        <w:t xml:space="preserve"> found in children,</w:t>
      </w:r>
      <w:r w:rsidR="00D93974">
        <w:fldChar w:fldCharType="begin"/>
      </w:r>
      <w:r w:rsidR="00A4266C">
        <w:instrText xml:space="preserve"> ADDIN ZOTERO_ITEM CSL_CITATION {"citationID":"TN05MZhq","properties":{"formattedCitation":"[9]","plainCitation":"[9]","noteIndex":0},"citationItems":[{"id":"f5DPIqS8/0U26OQGu","uris":["http://zotero.org/users/5856738/items/BAXCFTKT"],"uri":["http://zotero.org/users/5856738/items/BAXCFTKT"],"itemData":{"id":2696,"type":"article-journal","abstract":"Pancreatic islet autoimmunity leading to type 1 diabetes could be triggered by viruses in genetically susceptible individuals. Rotavirus (RV), the most common cause of childhood gastroenteritis, contains peptide sequences highly similar to T-cell epitopes in the islet autoantigens GAD and tyrosine phosphatase IA-2 (IA-2), suggesting T-cells to RV could trigger islet autoimmunity by molecular mimicry. We therefore sought an association between RV infection and islet autoantibody markers in children at risk for diabetes who were followed from birth. There was a specific and highly significant association between RV seroconversion and increases in any of these antibodies: 86% of antibodies to IA-2, 62% to insulin, and 50% to GAD first appeared or increased with increases in RV IgG or IgA. RV infection may therefore trigger or exacerbate islet autoimmunity in genetically susceptible children.","container-title":"Diabetes","DOI":"10.2337/diabetes.49.8.1319","ISSN":"0012-1797, 1939-327X","issue":"8","language":"en","note":"publisher: American Diabetes Association\nPMID: 10923632","page":"1319-1324","source":"diabetes.diabetesjournals.org","title":"Association between rotavirus infection and pancreatic islet autoimmunity in children at risk of developing type 1 diabetes.","volume":"49","author":[{"family":"Honeyman","given":"M. C."},{"family":"Coulson","given":"B. S."},{"family":"Stone","given":"N. L."},{"family":"Gellert","given":"S. A."},{"family":"Goldwater","given":"P. N."},{"family":"Steele","given":"C. E."},{"family":"Couper","given":"J. J."},{"family":"Tait","given":"B. D."},{"family":"Colman","given":"P. G."},{"family":"Harrison","given":"L. C."}],"issued":{"date-parts":[["2000",8,1]]}}}],"schema":"https://github.com/citation-style-language/schema/raw/master/csl-citation.json"} </w:instrText>
      </w:r>
      <w:r w:rsidR="00D93974">
        <w:fldChar w:fldCharType="separate"/>
      </w:r>
      <w:r w:rsidR="001B04AA" w:rsidRPr="001B04AA">
        <w:rPr>
          <w:rFonts w:ascii="Calibri" w:hAnsi="Calibri" w:cs="Calibri"/>
        </w:rPr>
        <w:t>[9]</w:t>
      </w:r>
      <w:r w:rsidR="00D93974">
        <w:fldChar w:fldCharType="end"/>
      </w:r>
      <w:r w:rsidR="00B46E2A">
        <w:t xml:space="preserve"> and epidemiological evidence from a cohort </w:t>
      </w:r>
      <w:r w:rsidR="00FA05BB">
        <w:t xml:space="preserve">of children which found </w:t>
      </w:r>
      <w:r w:rsidR="00C0419E">
        <w:t xml:space="preserve">that an </w:t>
      </w:r>
      <w:r w:rsidR="00FA05BB">
        <w:t>increased risk of T1D was associated with a greater number of gastrointestinal infections, such as rotavirus.</w:t>
      </w:r>
      <w:r w:rsidR="00FA05BB">
        <w:fldChar w:fldCharType="begin"/>
      </w:r>
      <w:r w:rsidR="00A4266C">
        <w:instrText xml:space="preserve"> ADDIN ZOTERO_ITEM CSL_CITATION {"citationID":"xLF5gRHp","properties":{"formattedCitation":"[10]","plainCitation":"[10]","noteIndex":0},"citationItems":[{"id":"f5DPIqS8/ZRVGecUI","uris":["http://zotero.org/users/5856738/items/5N88WDYC"],"uri":["http://zotero.org/users/5856738/items/5N88WDYC"],"itemData":{"id":2698,"type":"article-journal","abstract":"OBJECTIVE Type 1 diabetes is a common chronic childhood disease, and the incidence is increasing globally. Childhood infections are considered a potential environmental trigger of type 1 diabetes. Alternatively, improved hygiene and reduced childhood infections could explain the increase in type 1 diabetes in developed countries. The association of reported illnesses during infancy and later development of islet autoimmunity (IA) were examined in the Diabetes Autoimmunity Study in the Young.\nRESEARCH DESIGN AND METHODS Complete illness interviews through 9 months of age were collected for 1,729 children—1,174 without a family history of type 1 diabetes and 555 with a first-degree relative with type 1 diabetes. Persistent IA was defined as positive antibodies to insulin, glutamic acid decarboxylase, or tyrosine phosphatase on at least two consecutive study visits.\nRESULTS There were 109 children with persistent IA among the 1,729 children with illness records. A greater number of gastrointestinal illnesses were associated with an increased risk of IA, but only among children who were exposed to gluten-containing grains (wheat or barley) either &lt;4 months of age (hazard ratio 1.37 [95% CI 1.22–1.55]; P &lt; 0.0001) or ≥7 months of age (1.12 [1.05–1.19]; P = 0.0005) compared with 4–6 months of age (P for interaction = 0.02). There were no associations of upper respiratory symptoms, respiratory illnesses, or fevers with IA.\nCONCLUSIONS Specific pathogens such as enteroviruses or rotavirus may increase the risk of IA in the presence of existing inflammation induced by diet.","container-title":"Diabetes Care","DOI":"10.2337/dc12-0423","ISSN":"0149-5992, 1935-5548","issue":"12","language":"en","note":"publisher: American Diabetes Association\nsection: Original Research\nPMID: 23043167","page":"2553-2558","source":"care.diabetesjournals.org","title":"Early Childhood Infections and the Risk of Islet Autoimmunity: The Diabetes Autoimmunity Study in the Young (DAISY)","title-short":"Early Childhood Infections and the Risk of Islet Autoimmunity","volume":"35","author":[{"family":"Snell-Bergeon","given":"Janet K."},{"family":"Smith","given":"Jennifer"},{"family":"Dong","given":"Fran"},{"family":"Barón","given":"Anna E."},{"family":"Barriga","given":"Kathy"},{"family":"Norris","given":"Jill M."},{"family":"Rewers","given":"Marian"}],"issued":{"date-parts":[["2012",12,1]]}}}],"schema":"https://github.com/citation-style-language/schema/raw/master/csl-citation.json"} </w:instrText>
      </w:r>
      <w:r w:rsidR="00FA05BB">
        <w:fldChar w:fldCharType="separate"/>
      </w:r>
      <w:r w:rsidR="001B04AA" w:rsidRPr="001B04AA">
        <w:rPr>
          <w:rFonts w:ascii="Calibri" w:hAnsi="Calibri" w:cs="Calibri"/>
        </w:rPr>
        <w:t>[10]</w:t>
      </w:r>
      <w:r w:rsidR="00FA05BB">
        <w:fldChar w:fldCharType="end"/>
      </w:r>
      <w:r w:rsidR="00B46E2A">
        <w:t xml:space="preserve"> </w:t>
      </w:r>
    </w:p>
    <w:p w14:paraId="667C2721" w14:textId="63DE1DE9" w:rsidR="008917C0" w:rsidRDefault="008917C0" w:rsidP="00586051">
      <w:pPr>
        <w:spacing w:after="0" w:line="480" w:lineRule="auto"/>
      </w:pPr>
    </w:p>
    <w:p w14:paraId="5B2E6ECA" w14:textId="607B5046" w:rsidR="009C34B5" w:rsidRDefault="00C0419E" w:rsidP="00586051">
      <w:pPr>
        <w:spacing w:after="0" w:line="480" w:lineRule="auto"/>
      </w:pPr>
      <w:r>
        <w:t>Considering</w:t>
      </w:r>
      <w:r w:rsidR="00BD5FF3">
        <w:t xml:space="preserve"> rotavirus infection as a potential risk factor for CD and T1D, it has </w:t>
      </w:r>
      <w:r>
        <w:t xml:space="preserve">led to the </w:t>
      </w:r>
      <w:r w:rsidR="00BD5FF3">
        <w:t>hypothes</w:t>
      </w:r>
      <w:r>
        <w:t>is</w:t>
      </w:r>
      <w:r w:rsidR="00BD5FF3">
        <w:t xml:space="preserve"> that rotavirus vaccination could be an effective intervention to reduce the incidence of these diseases in children. </w:t>
      </w:r>
      <w:r w:rsidR="0072265B">
        <w:t>In the UK the live attenuated rotavirus vaccine (Rotarix) was</w:t>
      </w:r>
      <w:r w:rsidR="00F61E90">
        <w:t xml:space="preserve"> first licenced in 2006 and </w:t>
      </w:r>
      <w:r w:rsidR="0008400B">
        <w:t>available</w:t>
      </w:r>
      <w:r w:rsidR="00F61E90">
        <w:t xml:space="preserve"> on the private market, before being</w:t>
      </w:r>
      <w:r w:rsidR="0072265B">
        <w:t xml:space="preserve"> introduced into the paediatric immunisation programme in July 2013, </w:t>
      </w:r>
      <w:r w:rsidR="0072265B" w:rsidRPr="0072265B">
        <w:t>with two doses delivered at 8 and 12 weeks of age</w:t>
      </w:r>
      <w:r w:rsidR="00DA4C89">
        <w:t>.</w:t>
      </w:r>
      <w:r w:rsidR="00E52F30">
        <w:fldChar w:fldCharType="begin"/>
      </w:r>
      <w:r w:rsidR="00A4266C">
        <w:instrText xml:space="preserve"> ADDIN ZOTERO_ITEM CSL_CITATION {"citationID":"MqbaP5xQ","properties":{"formattedCitation":"[11]","plainCitation":"[11]","noteIndex":0},"citationItems":[{"id":14,"uris":["http://zotero.org/users/1755126/items/PFD66IHJ"],"uri":["http://zotero.org/users/1755126/items/PFD66IHJ"],"itemData":{"id":14,"type":"article-journal","container-title":"BMJ (Clinical research ed.)","ISSN":"1756-1833","journalAbbreviation":"BMJ","language":"eng","note":"PMID: 23587749","page":"f2347","source":"PubMed","title":"Rotavirus vaccine: a welcome addition to the immunisation schedule in the UK","title-short":"Rotavirus vaccine","volume":"346","author":[{"family":"Iturriza-Gómara","given":"Miren"},{"family":"Cunliffe","given":"Nigel"}],"issued":{"date-parts":[["2013"]]}}}],"schema":"https://github.com/citation-style-language/schema/raw/master/csl-citation.json"} </w:instrText>
      </w:r>
      <w:r w:rsidR="00E52F30">
        <w:fldChar w:fldCharType="separate"/>
      </w:r>
      <w:r w:rsidR="001B04AA" w:rsidRPr="001B04AA">
        <w:rPr>
          <w:rFonts w:ascii="Calibri" w:hAnsi="Calibri" w:cs="Calibri"/>
        </w:rPr>
        <w:t>[11]</w:t>
      </w:r>
      <w:r w:rsidR="00E52F30">
        <w:fldChar w:fldCharType="end"/>
      </w:r>
      <w:r w:rsidR="0072265B">
        <w:t xml:space="preserve"> </w:t>
      </w:r>
      <w:r w:rsidR="00F04278">
        <w:t>Vaccine uptake is high, estimated at 90% for two doses</w:t>
      </w:r>
      <w:r w:rsidR="00766A94">
        <w:t>.</w:t>
      </w:r>
      <w:r w:rsidR="00F551C9">
        <w:fldChar w:fldCharType="begin"/>
      </w:r>
      <w:r w:rsidR="00A4266C">
        <w:instrText xml:space="preserve"> ADDIN ZOTERO_ITEM CSL_CITATION {"citationID":"0YC04HoA","properties":{"formattedCitation":"[12]","plainCitation":"[12]","noteIndex":0},"citationItems":[{"id":"f5DPIqS8/UqSUYZe1","uris":["http://zotero.org/users/5856738/items/P9WAAF93"],"uri":["http://zotero.org/users/5856738/items/P9WAAF93"],"itemData":{"id":2663,"type":"article","title":"Childhood Vaccination Coverage Statistics 2019-20","URL":"https://digital.nhs.uk/data-and-information/publications/statistical/nhs-immunisation-statistics/england---2019-20","author":[{"family":"NHS Digital","given":""}],"accessed":{"date-parts":[["2021",1,21]]},"issued":{"date-parts":[["2020",9,24]]}}}],"schema":"https://github.com/citation-style-language/schema/raw/master/csl-citation.json"} </w:instrText>
      </w:r>
      <w:r w:rsidR="00F551C9">
        <w:fldChar w:fldCharType="separate"/>
      </w:r>
      <w:r w:rsidR="001B04AA" w:rsidRPr="001B04AA">
        <w:rPr>
          <w:rFonts w:ascii="Calibri" w:hAnsi="Calibri" w:cs="Calibri"/>
        </w:rPr>
        <w:t>[12]</w:t>
      </w:r>
      <w:r w:rsidR="00F551C9">
        <w:fldChar w:fldCharType="end"/>
      </w:r>
      <w:r w:rsidR="00F04278">
        <w:t xml:space="preserve"> </w:t>
      </w:r>
      <w:r w:rsidR="0072265B" w:rsidRPr="0072265B">
        <w:t>Since introduction, there have been large reductions in laboratory detections and hospitalisations for rota</w:t>
      </w:r>
      <w:r w:rsidR="0072265B">
        <w:t>virus gastroenteritis (RVGE)</w:t>
      </w:r>
      <w:r w:rsidR="00F04278">
        <w:t>, as well as reductions in primary care</w:t>
      </w:r>
      <w:r w:rsidR="0072265B">
        <w:t>.</w:t>
      </w:r>
      <w:r w:rsidR="00F551C9">
        <w:fldChar w:fldCharType="begin"/>
      </w:r>
      <w:r w:rsidR="00A4266C">
        <w:instrText xml:space="preserve"> ADDIN ZOTERO_ITEM CSL_CITATION {"citationID":"N10buecS","properties":{"formattedCitation":"[13, 14]","plainCitation":"[13, 14]","noteIndex":0},"citationItems":[{"id":"f5DPIqS8/RB2xD8CD","uris":["http://zotero.org/users/5856738/items/CAAXJTDA"],"uri":["http://zotero.org/users/5856738/items/CAAXJTDA"],"itemData":{"id":2653,"type":"article-journal","abstract":"Abstract.  Background. The oral infant rotavirus vaccine, Rotarix, was introduced in England and Wales in July 2013. We estimated the impact on laboratory-confi","container-title":"The Journal of Infectious Diseases","DOI":"10.1093/infdis/jiv398","ISSN":"0022-1899","issue":"2","journalAbbreviation":"J Infect Dis","language":"en","note":"publisher: Oxford Academic","page":"243-249","source":"academic.oup.com","title":"Rapid Declines in Age Group–Specific Rotavirus Infection and Acute Gastroenteritis Among Vaccinated and Unvaccinated Individuals Within 1 Year of Rotavirus Vaccine Introduction in England and Wales","volume":"213","author":[{"family":"Atchison","given":"Christina J."},{"family":"Stowe","given":"Julia"},{"family":"Andrews","given":"Nick"},{"family":"Collins","given":"Sarah"},{"family":"Allen","given":"David J."},{"family":"Nawaz","given":"Sameena"},{"family":"Brown","given":"David"},{"family":"Ramsay","given":"Mary E."},{"family":"Ladhani","given":"Shamez N."}],"issued":{"date-parts":[["2016",1,15]]}}},{"id":"f5DPIqS8/6x0z7DXO","uris":["http://zotero.org/users/5856738/items/PZIA2DA7"],"uri":["http://zotero.org/users/5856738/items/PZIA2DA7"],"itemData":{"id":2661,"type":"article-journal","abstract":"Rotavirus causes severe gastroenteritis in infants and young children worldwide. The UK introduced the monovalent rotavirus vaccine (Rotarix®) in July 2013. Vaccination is free of charge to parents, with two doses delivered at 8 and 12 weeks of age. We evaluated vaccine impact across a health system in relation to socioeconomic deprivation.","container-title":"BMC Medicine","DOI":"10.1186/s12916-017-0989-z","ISSN":"1741-7015","issue":"1","journalAbbreviation":"BMC Med","language":"en","page":"10","source":"Springer Link","title":"Rotavirus vaccine impact and socioeconomic deprivation: an interrupted time-series analysis of gastrointestinal disease outcomes across primary and secondary care in the UK","title-short":"Rotavirus vaccine impact and socioeconomic deprivation","volume":"16","author":[{"family":"Hungerford","given":"Daniel"},{"family":"Vivancos","given":"Roberto"},{"family":"Read","given":"Jonathan M."},{"family":"Iturriza-Gόmara","given":"Miren"},{"family":"French","given":"Neil"},{"family":"Cunliffe","given":"Nigel A."}],"issued":{"date-parts":[["2018",1,29]]}}}],"schema":"https://github.com/citation-style-language/schema/raw/master/csl-citation.json"} </w:instrText>
      </w:r>
      <w:r w:rsidR="00F551C9">
        <w:fldChar w:fldCharType="separate"/>
      </w:r>
      <w:r w:rsidR="001B04AA" w:rsidRPr="001B04AA">
        <w:rPr>
          <w:rFonts w:ascii="Calibri" w:hAnsi="Calibri" w:cs="Calibri"/>
        </w:rPr>
        <w:t>[13, 14]</w:t>
      </w:r>
      <w:r w:rsidR="00F551C9">
        <w:fldChar w:fldCharType="end"/>
      </w:r>
      <w:r w:rsidR="0072265B" w:rsidRPr="0072265B">
        <w:t xml:space="preserve"> </w:t>
      </w:r>
      <w:r w:rsidR="00C81EF9">
        <w:t>There has also been evidence that rotavirus vaccination has beneficial off-target effects, such as reducing seizures in children.</w:t>
      </w:r>
      <w:r w:rsidR="009D0A5E">
        <w:fldChar w:fldCharType="begin"/>
      </w:r>
      <w:r w:rsidR="00A4266C">
        <w:instrText xml:space="preserve"> ADDIN ZOTERO_ITEM CSL_CITATION {"citationID":"6htosIO6","properties":{"formattedCitation":"[15]","plainCitation":"[15]","noteIndex":0},"citationItems":[{"id":5310,"uris":["http://zotero.org/users/1755126/items/UE22M3MQ"],"uri":["http://zotero.org/users/1755126/items/UE22M3MQ"],"itemData":{"id":5310,"type":"article-journal","abstract":"Introduction The incidence of severe childhood diarrhoea has fallen substantially following the introduction of rotavirus vaccine in the UK in July 2013. Since children with rotavirus infection may experience febrile and afebrile seizures, we evaluated the impact of rotavirus vaccination on seizure hospitalisations in children in England.\nMethods Using data from Hospital Episode Statistics, we employed interrupted time-series analyses to assess changes in monthly hospital admissions for seizures among children aged &lt;5 years from July 2000 to June 2017. Outcome measures comprised all seizures and febrile seizures, with and without a co-diagnosis of acute gastroenteritis (AGE). Models were adjusted for pneumococcal conjugate vaccine (PCV) introduction. Change-point analysis was used to independently identify step-changes in the time-series.\nResults Among hospitalised children aged &lt;5 years, the incidence of any seizures and febrile seizures with AGE decreased post-vaccine introduction by 23% (95% CI: 11% to 33%) and 31% (95% CI: 19% to 41%), respectively. For febrile seizures with AGE, a single change-point was identified in July 2013 (95% CI: June 2013 to December 2013). Reductions in seizure incidence were higher during the rotavirus season (49%, 95% CI: 37% to 58%) compared with out-of-season (13%, 95% CI: −4 to 28%) and showed no relation to PCV introduction. There were small reductions in any seizures with any co-diagnosis (4%, 95% CI: 0% to 8%) and in febrile seizures with any co-diagnosis (10%, 95% CI: 2% to 16%).\nConclusion Rotavirus vaccination has reduced hospitalisations for seizures associated with AGE in England, providing additional evidence of population-level impact of rotavirus vaccination on seizure incidence in high-income countries.","container-title":"J Epidemiol Community Health","DOI":"10.1136/jech-2019-213055","ISSN":"0143-005X, 1470-2738","issue":"11","journalAbbreviation":"J Epidemiol Community Health","language":"en","note":"PMID: 31511311","page":"1020-1025","source":"jech-bmj-com.liverpool.idm.oclc.org","title":"Reduction in hospitalisations for acute gastroenteritis-associated childhood seizures since introduction of rotavirus vaccination: a time-series and change-point analysis of hospital admissions in England","title-short":"Reduction in hospitalisations for acute gastroenteritis-associated childhood seizures since introduction of rotavirus vaccination","volume":"73","author":[{"family":"Hungerford","given":"Daniel James"},{"family":"French","given":"Neil"},{"family":"Iturriza-Gómara","given":"Miren"},{"family":"Read","given":"Jonathan M."},{"family":"Cunliffe","given":"Nigel A."},{"family":"Vivancos","given":"Roberto"}],"issued":{"date-parts":[["2019",11,1]]}}}],"schema":"https://github.com/citation-style-language/schema/raw/master/csl-citation.json"} </w:instrText>
      </w:r>
      <w:r w:rsidR="009D0A5E">
        <w:fldChar w:fldCharType="separate"/>
      </w:r>
      <w:r w:rsidR="001B04AA" w:rsidRPr="001B04AA">
        <w:rPr>
          <w:rFonts w:ascii="Calibri" w:hAnsi="Calibri" w:cs="Calibri"/>
        </w:rPr>
        <w:t>[15]</w:t>
      </w:r>
      <w:r w:rsidR="009D0A5E">
        <w:fldChar w:fldCharType="end"/>
      </w:r>
      <w:r w:rsidR="00C81EF9">
        <w:t xml:space="preserve"> </w:t>
      </w:r>
      <w:r w:rsidR="0072265B">
        <w:t>So far t</w:t>
      </w:r>
      <w:r w:rsidR="00BD5FF3">
        <w:t>hree studies have examined the possible protective effect of rotavirus vaccination on CD, however a recent systematic review of this topic found that these were of low quality and did not produce consistent findings.</w:t>
      </w:r>
      <w:r w:rsidR="00BD5FF3">
        <w:fldChar w:fldCharType="begin"/>
      </w:r>
      <w:r w:rsidR="00A4266C">
        <w:instrText xml:space="preserve"> ADDIN ZOTERO_ITEM CSL_CITATION {"citationID":"zgRl40DQ","properties":{"formattedCitation":"[16]","plainCitation":"[16]","noteIndex":0},"citationItems":[{"id":"f5DPIqS8/Y165WOyQ","uris":["http://zotero.org/users/5856738/items/PHN25SMV"],"uri":["http://zotero.org/users/5856738/items/PHN25SMV"],"itemData":{"id":2709,"type":"article-journal","abstract":"&lt;h3&gt;Abstract&lt;/h3&gt; &lt;h3&gt;Background&lt;/h3&gt; &lt;p&gt;There is some evidence that rotavirus infection leads to an increased risk of coeliac disease (CD), and some immunological and biological plausibility for the human immune system recognising rotavirus particles and gluten proteins in a similar way. It is therefore plausible that rotavirus vaccine could have a role in preventing CD. However, such evidence has not previously been summarised in a systematic way to present a coherent picture. We conducted this systematic literature review to address this gap in the evidence. The aim of this research was to determine the nature of any association between rotavirus infection, or rotavirus vaccination, and risk of CD.&lt;/p&gt;&lt;h3&gt;Methods&lt;/h3&gt; &lt;p&gt;We searched Scopus, MEDLINE, Europe PMC and medRxiv for studies published between 01 January 1980 and 31 July 2020, using terms related to CD and rotavirus. Publications were screened independently by two reviewers using exclusion criteria. We extracted data from included papers using a standardized data extraction form and assessed risk of bias using the Newcastle-Ottawa Scale. Outcomes were descriptions of the settings and methods reported in included papers, and any estimates of effect.&lt;/p&gt;&lt;h3&gt;Results&lt;/h3&gt; &lt;p&gt;After exclusions, we reviewed five papers of which two used the exposure of rotavirus infection and three used the exposure of rotavirus vaccination. One paper found that rotavirus infection increased the risk of CD and that this was statistically significant. None of the three publications studying the association between rotavirus vaccination and CD were graded as high quality. All found a protective effect of RotaTeq&lt;sup&gt;®&lt;/sup&gt; rotavirus vaccination, but this was only statistically significant in two studies.&lt;/p&gt;&lt;h3&gt;Conclusions&lt;/h3&gt; &lt;p&gt;Few studies have been published on this research question. Those that have been published are not of sufficient quality and did not use comparable methods. Due to differences in study results there remains uncertainty regarding the relationship between rotavirus infection, vaccination and CD.&lt;/p&gt;","container-title":"medRxiv","DOI":"10.1101/2020.12.01.20241869","language":"en","note":"publisher: Cold Spring Harbor Laboratory Press","page":"2020.12.01.20241869","source":"www.medrxiv.org","title":"Systematic review of the association between rotavirus infection, or rotavirus vaccination and coeliac disease","author":[{"family":"Inns","given":"Thomas"},{"family":"Fleming","given":"Kate M."},{"family":"Iturriza-Gomara","given":"Miren"},{"family":"Hungerford","given":"Daniel"}],"issued":{"date-parts":[["2020",12,4]]}}}],"schema":"https://github.com/citation-style-language/schema/raw/master/csl-citation.json"} </w:instrText>
      </w:r>
      <w:r w:rsidR="00BD5FF3">
        <w:fldChar w:fldCharType="separate"/>
      </w:r>
      <w:r w:rsidR="001B04AA" w:rsidRPr="001B04AA">
        <w:rPr>
          <w:rFonts w:ascii="Calibri" w:hAnsi="Calibri" w:cs="Calibri"/>
        </w:rPr>
        <w:t>[16]</w:t>
      </w:r>
      <w:r w:rsidR="00BD5FF3">
        <w:fldChar w:fldCharType="end"/>
      </w:r>
      <w:r w:rsidR="00BD5FF3">
        <w:t xml:space="preserve"> Similarly, a recent narrative review found that there were differences in the small number of studies examining the association between rotavirus vaccination and T1D, and that further data were required to understand this relationship.</w:t>
      </w:r>
      <w:r w:rsidR="00BD5FF3">
        <w:fldChar w:fldCharType="begin"/>
      </w:r>
      <w:r w:rsidR="00A4266C">
        <w:instrText xml:space="preserve"> ADDIN ZOTERO_ITEM CSL_CITATION {"citationID":"cJ35X3CV","properties":{"formattedCitation":"[17]","plainCitation":"[17]","noteIndex":0},"citationItems":[{"id":"f5DPIqS8/BVlRzjQK","uris":["http://zotero.org/users/5856738/items/7MYMHLSA"],"uri":["http://zotero.org/users/5856738/items/7MYMHLSA"],"itemData":{"id":2711,"type":"article-journal","abstract":"Although the etiology of type 1 diabetes (T1D) is not well understood, it is believed to comprise both genetic and environmental factors. Viruses are the most well studied environmental trigger, and there is a small but growing body of research on the potential influence of rotavirus on T1D. Rotavirus infections were initially identified as possible triggers of T1D given similarities between viral peptide sequences and T1D autoantigen peptide sequences. Furthermore, rotavirus infection has been shown to modify T1D risk in T1D-prone mice. However, research into associations of rotavirus infections with T1D development in humans have yielded mixed findings and suggested interactions with age and diet. As global availability of rotavirus vaccines increases, recent studies have assessed whether rotavirus vaccination modifies T1D development, finding null or protective associations. Overall, evidence to date suggests a possible triggering relationship between some wild-type rotavirus infections and T1D, but the potential effect of rotavirus vaccination remains unclear.","container-title":"The Journal of Infectious Diseases","DOI":"10.1093/infdis/jiaa168","ISSN":"0022-1899","issue":"7","journalAbbreviation":"The Journal of Infectious Diseases","page":"1076-1083","source":"Silverchair","title":"Rotavirus and Type 1 Diabetes—Is There a Connection? A Synthesis of the Evidence","title-short":"Rotavirus and Type 1 Diabetes—Is There a Connection?","volume":"222","author":[{"family":"Burke","given":"Rachel M"},{"family":"Tate","given":"Jacqueline E"},{"family":"Jiang","given":"Baoming"},{"family":"Parashar","given":"Umesh D"}],"issued":{"date-parts":[["2020",9,1]]}}}],"schema":"https://github.com/citation-style-language/schema/raw/master/csl-citation.json"} </w:instrText>
      </w:r>
      <w:r w:rsidR="00BD5FF3">
        <w:fldChar w:fldCharType="separate"/>
      </w:r>
      <w:r w:rsidR="001B04AA" w:rsidRPr="001B04AA">
        <w:rPr>
          <w:rFonts w:ascii="Calibri" w:hAnsi="Calibri" w:cs="Calibri"/>
        </w:rPr>
        <w:t>[17]</w:t>
      </w:r>
      <w:r w:rsidR="00BD5FF3">
        <w:fldChar w:fldCharType="end"/>
      </w:r>
    </w:p>
    <w:p w14:paraId="0C9E9F3E" w14:textId="77777777" w:rsidR="00BD5FF3" w:rsidRDefault="00BD5FF3" w:rsidP="00586051">
      <w:pPr>
        <w:spacing w:after="0" w:line="480" w:lineRule="auto"/>
      </w:pPr>
    </w:p>
    <w:p w14:paraId="5AEE0BB2" w14:textId="47385D45" w:rsidR="00BD5FF3" w:rsidRDefault="00A6230E" w:rsidP="00A6230E">
      <w:pPr>
        <w:spacing w:after="0" w:line="480" w:lineRule="auto"/>
      </w:pPr>
      <w:r>
        <w:t>In this study, we aim</w:t>
      </w:r>
      <w:r w:rsidR="004F6BB4">
        <w:t>ed</w:t>
      </w:r>
      <w:r>
        <w:t xml:space="preserve"> to address </w:t>
      </w:r>
      <w:r w:rsidR="00C0419E">
        <w:t xml:space="preserve">the </w:t>
      </w:r>
      <w:r>
        <w:t xml:space="preserve">uncertainty in the evidence around these potential associations by researching whether children born in England between 2010 and 2015 who received rotavirus vaccination (Rotarix®) </w:t>
      </w:r>
      <w:r w:rsidR="005747FD">
        <w:t>have a different risk of developing</w:t>
      </w:r>
      <w:r>
        <w:t xml:space="preserve"> CD and T1D than those without this vaccination.</w:t>
      </w:r>
    </w:p>
    <w:p w14:paraId="54335033" w14:textId="52E60DE6" w:rsidR="00E651BA" w:rsidRDefault="00E651BA"/>
    <w:p w14:paraId="4C9873F7" w14:textId="169EB365" w:rsidR="00586051" w:rsidRDefault="00586051" w:rsidP="00586051">
      <w:pPr>
        <w:spacing w:after="0" w:line="480" w:lineRule="auto"/>
        <w:rPr>
          <w:b/>
        </w:rPr>
      </w:pPr>
      <w:r w:rsidRPr="00586051">
        <w:rPr>
          <w:b/>
        </w:rPr>
        <w:t>Methods</w:t>
      </w:r>
    </w:p>
    <w:p w14:paraId="4E081BC6" w14:textId="629B385F" w:rsidR="0007417F" w:rsidRPr="00586051" w:rsidRDefault="00276F1B" w:rsidP="00586051">
      <w:pPr>
        <w:rPr>
          <w:i/>
        </w:rPr>
      </w:pPr>
      <w:bookmarkStart w:id="2" w:name="_Toc50542546"/>
      <w:r w:rsidRPr="00586051">
        <w:rPr>
          <w:i/>
        </w:rPr>
        <w:t>Study design</w:t>
      </w:r>
      <w:r w:rsidR="0099144E" w:rsidRPr="00586051">
        <w:rPr>
          <w:i/>
        </w:rPr>
        <w:t xml:space="preserve"> and setting</w:t>
      </w:r>
      <w:bookmarkEnd w:id="2"/>
    </w:p>
    <w:p w14:paraId="2F141653" w14:textId="1688DF79" w:rsidR="002A0716" w:rsidRDefault="00DA7BA5" w:rsidP="009809EE">
      <w:pPr>
        <w:spacing w:after="0" w:line="480" w:lineRule="auto"/>
      </w:pPr>
      <w:r>
        <w:lastRenderedPageBreak/>
        <w:t>We applied</w:t>
      </w:r>
      <w:r w:rsidR="00B13E12">
        <w:t xml:space="preserve"> a </w:t>
      </w:r>
      <w:r w:rsidR="00D0377A" w:rsidRPr="00D0377A">
        <w:t xml:space="preserve">cohort </w:t>
      </w:r>
      <w:r w:rsidR="00B13E12">
        <w:t>design</w:t>
      </w:r>
      <w:r w:rsidR="00D0377A" w:rsidRPr="00D0377A">
        <w:t xml:space="preserve"> </w:t>
      </w:r>
      <w:r w:rsidR="00B13E12">
        <w:t>to</w:t>
      </w:r>
      <w:r w:rsidR="00D0377A" w:rsidRPr="00D0377A">
        <w:t xml:space="preserve"> </w:t>
      </w:r>
      <w:r w:rsidR="00AC1DE1">
        <w:t xml:space="preserve">prospectively </w:t>
      </w:r>
      <w:r w:rsidR="00D0377A" w:rsidRPr="00D0377A">
        <w:t>collected healthcare data</w:t>
      </w:r>
      <w:r w:rsidR="009E229F">
        <w:t xml:space="preserve"> from the Clinical Practice Research Datalink (CPRD)</w:t>
      </w:r>
      <w:r w:rsidR="00215631">
        <w:t xml:space="preserve"> Aurum</w:t>
      </w:r>
      <w:r w:rsidR="00D0377A">
        <w:t>.</w:t>
      </w:r>
      <w:r w:rsidR="0099144E" w:rsidRPr="0099144E">
        <w:t xml:space="preserve"> </w:t>
      </w:r>
      <w:r w:rsidR="0099144E">
        <w:t>CPRD</w:t>
      </w:r>
      <w:r w:rsidR="00215631">
        <w:t xml:space="preserve"> Aurum </w:t>
      </w:r>
      <w:r w:rsidR="0099144E">
        <w:t xml:space="preserve">contains data </w:t>
      </w:r>
      <w:r w:rsidR="00AC1DE1">
        <w:t xml:space="preserve">relating to health and healthcare utilisation </w:t>
      </w:r>
      <w:r w:rsidR="0099144E">
        <w:t xml:space="preserve">from people registered at a network of </w:t>
      </w:r>
      <w:r>
        <w:t>general</w:t>
      </w:r>
      <w:r w:rsidR="0099144E">
        <w:t xml:space="preserve"> practices across the UK. This is a de-identified register of approximately 13 million current patients</w:t>
      </w:r>
      <w:r w:rsidR="00C93B02">
        <w:t xml:space="preserve"> across the UK</w:t>
      </w:r>
      <w:r w:rsidR="0099144E">
        <w:t>.</w:t>
      </w:r>
      <w:r w:rsidR="00AB75ED">
        <w:fldChar w:fldCharType="begin"/>
      </w:r>
      <w:r w:rsidR="00A4266C">
        <w:instrText xml:space="preserve"> ADDIN ZOTERO_ITEM CSL_CITATION {"citationID":"mSoJZvrj","properties":{"formattedCitation":"[18]","plainCitation":"[18]","noteIndex":0},"citationItems":[{"id":"f5DPIqS8/o32A7TZH","uris":["http://zotero.org/users/5856738/items/VJ8TY7KK"],"uri":["http://zotero.org/users/5856738/items/VJ8TY7KK"],"itemData":{"id":2668,"type":"article-journal","container-title":"International Journal of Epidemiology","issue":"3","note":"ISBN: 1464-3685\npublisher: Oxford University Press","page":"827-836","title":"Data resource profile: clinical practice research datalink (CPRD)","volume":"44","author":[{"family":"Herrett","given":"Emily"},{"family":"Gallagher","given":"Arlene M."},{"family":"Bhaskaran","given":"Krishnan"},{"family":"Forbes","given":"Harriet"},{"family":"Mathur","given":"Rohini"},{"family":"Van Staa","given":"Tjeerd"},{"family":"Smeeth","given":"Liam"}],"issued":{"date-parts":[["2015"]]}}}],"schema":"https://github.com/citation-style-language/schema/raw/master/csl-citation.json"} </w:instrText>
      </w:r>
      <w:r w:rsidR="00AB75ED">
        <w:fldChar w:fldCharType="separate"/>
      </w:r>
      <w:r w:rsidR="001B04AA" w:rsidRPr="001B04AA">
        <w:rPr>
          <w:rFonts w:ascii="Calibri" w:hAnsi="Calibri" w:cs="Calibri"/>
        </w:rPr>
        <w:t>[18]</w:t>
      </w:r>
      <w:r w:rsidR="00AB75ED">
        <w:fldChar w:fldCharType="end"/>
      </w:r>
      <w:r w:rsidR="0099144E" w:rsidRPr="0099144E">
        <w:t xml:space="preserve"> </w:t>
      </w:r>
      <w:r w:rsidR="00C93B02">
        <w:t>Patients registered in CPRD Aurum are representative of the population with regard to demographic factors, geographical distribution and level of deprivation.</w:t>
      </w:r>
      <w:r w:rsidR="00C93B02">
        <w:fldChar w:fldCharType="begin"/>
      </w:r>
      <w:r w:rsidR="00A4266C">
        <w:instrText xml:space="preserve"> ADDIN ZOTERO_ITEM CSL_CITATION {"citationID":"n9MaELlb","properties":{"formattedCitation":"[19]","plainCitation":"[19]","noteIndex":0},"citationItems":[{"id":"f5DPIqS8/mnuieAFE","uris":["http://zotero.org/users/5856738/items/MI3P7MHN"],"uri":["http://zotero.org/users/5856738/items/MI3P7MHN"],"itemData":{"id":2633,"type":"article-journal","abstract":"Clinical Practice Research Datalink (CPRD) is a UK government, not-for-profit research service that has been supplying anonymized primary care data for public h","container-title":"International Journal of Epidemiology","DOI":"10.1093/ije/dyz034","ISSN":"0300-5771","issue":"6","journalAbbreviation":"Int J Epidemiol","language":"en","note":"publisher: Oxford Academic","page":"1740-1740g","source":"academic.oup.com","title":"Data resource profile: Clinical Practice Research Datalink (CPRD) Aurum","title-short":"Data resource profile","volume":"48","author":[{"family":"Wolf","given":"Achim"},{"family":"Dedman","given":"Daniel"},{"family":"Campbell","given":"Jennifer"},{"family":"Booth","given":"Helen"},{"family":"Lunn","given":"Darren"},{"family":"Chapman","given":"Jennifer"},{"family":"Myles","given":"Puja"}],"issued":{"date-parts":[["2019",12,1]]}}}],"schema":"https://github.com/citation-style-language/schema/raw/master/csl-citation.json"} </w:instrText>
      </w:r>
      <w:r w:rsidR="00C93B02">
        <w:fldChar w:fldCharType="separate"/>
      </w:r>
      <w:r w:rsidR="001B04AA" w:rsidRPr="001B04AA">
        <w:rPr>
          <w:rFonts w:ascii="Calibri" w:hAnsi="Calibri" w:cs="Calibri"/>
        </w:rPr>
        <w:t>[19]</w:t>
      </w:r>
      <w:r w:rsidR="00C93B02">
        <w:fldChar w:fldCharType="end"/>
      </w:r>
      <w:r w:rsidR="00C93B02">
        <w:t xml:space="preserve"> </w:t>
      </w:r>
      <w:r w:rsidR="0099144E">
        <w:t xml:space="preserve">Individual-level de-identified data were extracted from </w:t>
      </w:r>
      <w:r w:rsidR="0099144E" w:rsidRPr="006064D7">
        <w:t>CPRD</w:t>
      </w:r>
      <w:r w:rsidR="00215631">
        <w:t xml:space="preserve"> Aurum</w:t>
      </w:r>
      <w:r w:rsidR="0099144E" w:rsidRPr="006064D7">
        <w:t xml:space="preserve"> in May 2020.</w:t>
      </w:r>
    </w:p>
    <w:p w14:paraId="69444441" w14:textId="77777777" w:rsidR="00271850" w:rsidRDefault="00271850" w:rsidP="009809EE">
      <w:pPr>
        <w:spacing w:after="0" w:line="480" w:lineRule="auto"/>
      </w:pPr>
    </w:p>
    <w:p w14:paraId="29C509D4" w14:textId="2782BEBB" w:rsidR="00276F1B" w:rsidRPr="00DA7BA5" w:rsidRDefault="00276F1B" w:rsidP="00DA7BA5">
      <w:pPr>
        <w:rPr>
          <w:i/>
        </w:rPr>
      </w:pPr>
      <w:bookmarkStart w:id="3" w:name="_Toc50542547"/>
      <w:r w:rsidRPr="00DA7BA5">
        <w:rPr>
          <w:i/>
        </w:rPr>
        <w:t xml:space="preserve">Study </w:t>
      </w:r>
      <w:r w:rsidR="00633839" w:rsidRPr="00DA7BA5">
        <w:rPr>
          <w:i/>
        </w:rPr>
        <w:t>participants</w:t>
      </w:r>
      <w:bookmarkEnd w:id="3"/>
    </w:p>
    <w:p w14:paraId="146997A6" w14:textId="6986C5EE" w:rsidR="006309CE" w:rsidRDefault="0099144E" w:rsidP="009809EE">
      <w:pPr>
        <w:spacing w:after="0" w:line="480" w:lineRule="auto"/>
      </w:pPr>
      <w:r>
        <w:t xml:space="preserve">In this study, </w:t>
      </w:r>
      <w:r w:rsidR="00DA7BA5">
        <w:t>we</w:t>
      </w:r>
      <w:r>
        <w:t xml:space="preserve"> included</w:t>
      </w:r>
      <w:r w:rsidR="00D0377A">
        <w:t xml:space="preserve"> children </w:t>
      </w:r>
      <w:r>
        <w:t xml:space="preserve">registered </w:t>
      </w:r>
      <w:r w:rsidR="00AA3990">
        <w:t>with</w:t>
      </w:r>
      <w:r>
        <w:t xml:space="preserve"> CPRD</w:t>
      </w:r>
      <w:r w:rsidR="000A2223">
        <w:t xml:space="preserve"> </w:t>
      </w:r>
      <w:r w:rsidR="00215631">
        <w:t xml:space="preserve">Aurum </w:t>
      </w:r>
      <w:r>
        <w:t xml:space="preserve">who were </w:t>
      </w:r>
      <w:r w:rsidR="00D0377A">
        <w:t xml:space="preserve">born in the UK between 01 </w:t>
      </w:r>
      <w:r w:rsidR="009E229F">
        <w:t>January 201</w:t>
      </w:r>
      <w:r w:rsidR="00D0377A" w:rsidRPr="00D0377A">
        <w:t xml:space="preserve">0 and </w:t>
      </w:r>
      <w:r w:rsidR="00D0377A">
        <w:t xml:space="preserve">31 </w:t>
      </w:r>
      <w:r w:rsidR="009E229F">
        <w:t>December 2015</w:t>
      </w:r>
      <w:r w:rsidR="006064D7">
        <w:t xml:space="preserve"> and registered at a CPRD GP practice within 14 weeks of birth</w:t>
      </w:r>
      <w:r w:rsidR="006309CE">
        <w:t xml:space="preserve">. Additionally, </w:t>
      </w:r>
      <w:r w:rsidR="00DA7BA5">
        <w:t>we</w:t>
      </w:r>
      <w:r w:rsidR="006309CE">
        <w:t xml:space="preserve"> only included participant records</w:t>
      </w:r>
      <w:r w:rsidR="00633839">
        <w:t xml:space="preserve"> w</w:t>
      </w:r>
      <w:r w:rsidR="006309CE">
        <w:t>hich</w:t>
      </w:r>
      <w:r w:rsidR="00633839">
        <w:t xml:space="preserve"> </w:t>
      </w:r>
      <w:r w:rsidR="006309CE">
        <w:t xml:space="preserve">met </w:t>
      </w:r>
      <w:r w:rsidR="00633839" w:rsidRPr="00633839">
        <w:t>CPRD</w:t>
      </w:r>
      <w:r w:rsidR="00215631">
        <w:t xml:space="preserve"> Aurum </w:t>
      </w:r>
      <w:r w:rsidR="00633839" w:rsidRPr="00633839">
        <w:t>quality sta</w:t>
      </w:r>
      <w:r w:rsidR="00633839">
        <w:t xml:space="preserve">ndards </w:t>
      </w:r>
      <w:r w:rsidR="006309CE">
        <w:t>regarding</w:t>
      </w:r>
      <w:r w:rsidR="00633839">
        <w:t xml:space="preserve"> valid age, sex and</w:t>
      </w:r>
      <w:r w:rsidR="00633839" w:rsidRPr="00633839">
        <w:t xml:space="preserve"> registration period</w:t>
      </w:r>
      <w:r w:rsidR="00633839">
        <w:t xml:space="preserve">. </w:t>
      </w:r>
      <w:r w:rsidR="00F76760">
        <w:t>In order to account for vaccine hesitancy as a potentially confounding factor, we only included children in the study with a record of DTaP/IPV vaccination.</w:t>
      </w:r>
      <w:r w:rsidR="00F551C9">
        <w:fldChar w:fldCharType="begin"/>
      </w:r>
      <w:r w:rsidR="00A4266C">
        <w:instrText xml:space="preserve"> ADDIN ZOTERO_ITEM CSL_CITATION {"citationID":"hR38XRxM","properties":{"formattedCitation":"[20, 21]","plainCitation":"[20, 21]","noteIndex":0},"citationItems":[{"id":"f5DPIqS8/gZDOb7jH","uris":["http://zotero.org/users/5856738/items/2CU4F5Z8"],"uri":["http://zotero.org/users/5856738/items/2CU4F5Z8"],"itemData":{"id":2023,"type":"article-journal","abstract":"BACKGROUND: Measuring vaccine effectiveness (VE) relies on the use of observational study designs. However, achieving robust estimates of direct and indirect VE is frequently compromised by bias, particularly when using syndromic diagnoses of low-specificity.\nMETHODS: In order to mitigate confounding between the measured outcome and vaccine uptake, we developed a method to balance comparator populations using individual-level propensity scoring derived from the vaccine-exposed population, and applied it to the unexposed comparator population. Indirect VE was estimated by comparing the unvaccinated vaccine-exposed group with a propensity score-simulated unvaccinated, unexposed group. Direct VE was derived by removing indirect VE from the overall VE. We applied this method to an evaluation of the effectiveness of infant rotavirus vaccination in the UK. Using a general practice cohort of 45,259 live births between May 2010 and December 2015, we calculated indirect and direct VE against consultations for acute gastroenteritis using conventional and vaccination-propensity adjustment comparator populations.\nRESULTS: The overall VE during the rotavirus-season (January-May) calculated using mixed-effects Cox regression was 30% [95% confidence intervals (95% CI: 25,35%)]. Use of conventional comparator populations resulted in implausible VE estimates -14% (95% CI: -41,7%) for direct and 29% (95% CI: 14,42%) for indirect effects. Applying our alternative method, direct VE was 26% (95% CI: 1,45%) and indirect VE was 8% (95% CI: -19,29%).\nCONCLUSIONS: Estimating VE using propensity score simulated comparator populations, particularly for studies using routine health data with syndromic, low-specificity endpoints will aid accurate measurement of the broader public health impact of a vaccine programme.","container-title":"Vaccine","DOI":"10.1016/j.vaccine.2018.09.051","ISSN":"1873-2518","issue":"45","journalAbbreviation":"Vaccine","language":"eng","note":"PMID: 30293764","page":"6674-6682","source":"PubMed","title":"Mitigating bias in observational vaccine effectiveness studies using simulated comparator populations: Application to rotavirus vaccination in the UK","title-short":"Mitigating bias in observational vaccine effectiveness studies using simulated comparator populations","volume":"36","author":[{"family":"Hungerford","given":"Daniel"},{"family":"Vivancos","given":"Roberto"},{"family":"Read","given":"Jonathan M."},{"family":"Bonnett","given":"Laura J."},{"family":"Bar-Zeev","given":"Naor"},{"family":"Iturriza-Gómara","given":"Miren"},{"family":"Cunliffe","given":"Nigel A."},{"family":"French","given":"Neil"}],"issued":{"date-parts":[["2018"]],"season":"29"}}},{"id":375,"uris":["http://zotero.org/users/1755126/items/B7BPCMTG"],"uri":["http://zotero.org/users/1755126/items/B7BPCMTG"],"itemData":{"id":375,"type":"article-journal","abstract":"We demonstrate how direct, indirect, total, and overall effectiveness estimates and absolute benefits of rotavirus vaccines vary through the years following vaccine introduction. Privately insured US children in a large claims database were followed from age 8 months until they 1) experienced a hospitalization for rotavirus or acute gastroenteritis; 2) lost continuous health plan enrollment; 3) turned 20 months of age; or 4) reached the end of the study period. Vaccine effectiveness estimates in preventing rotavirus and acute gastroenteritis hospitalizations were estimated using Cox proportional hazards regression, stratified by calendar year and adjusted for birth month. Incidence rate differences were estimated to determine the absolute number of gastroenteritis hospitalizations prevented in the cohort. Among 905,718 children, 51%, 66%, 80%, and 86% received 1 or more doses of rotavirus vaccine in each year from 2007 to 2010. The direct vaccine effectiveness of 1 or more doses of rotavirus vaccine in preventing rotavirus gastroenteritis hospitalizations ranged from 87% to 92% each year. Accounting for indirect protection increased estimates of vaccine effectiveness by an additional 3%-8% among those vaccinated. Failing to account for population-level vaccine benefits in 2010, when circulation of rotavirus was low, could underestimate the sustained impact of the vaccine program.","container-title":"American journal of epidemiology","DOI":"10.1093/aje/kwu001","ISSN":"1476-6256","issue":"7","journalAbbreviation":"Am. J. Epidemiol.","language":"eng","note":"PMID: 24578359 \nPMCID: PMC3969536","page":"895-909","source":"NCBI PubMed","title":"Direct, Indirect, Total, and Overall Effectiveness of the Rotavirus Vaccines for the Prevention of Gastroenteritis Hospitalizations in Privately Insured US Children, 2007-2010","volume":"179","author":[{"family":"Panozzo","given":"Catherine A"},{"family":"Becker-Dreps","given":"Sylvia"},{"family":"Pate","given":"Virginia"},{"family":"Weber","given":"David J"},{"family":"Jonsson Funk","given":"Michele"},{"family":"Stürmer","given":"Til"},{"family":"Brookhart","given":"M Alan"}],"issued":{"date-parts":[["2014",4,1]]}}}],"schema":"https://github.com/citation-style-language/schema/raw/master/csl-citation.json"} </w:instrText>
      </w:r>
      <w:r w:rsidR="00F551C9">
        <w:fldChar w:fldCharType="separate"/>
      </w:r>
      <w:r w:rsidR="001B04AA" w:rsidRPr="001B04AA">
        <w:rPr>
          <w:rFonts w:ascii="Calibri" w:hAnsi="Calibri" w:cs="Calibri"/>
        </w:rPr>
        <w:t>[20, 21]</w:t>
      </w:r>
      <w:r w:rsidR="00F551C9">
        <w:fldChar w:fldCharType="end"/>
      </w:r>
      <w:r w:rsidR="00F76760">
        <w:t xml:space="preserve"> We</w:t>
      </w:r>
      <w:r w:rsidR="00F76760" w:rsidRPr="002B703E">
        <w:t xml:space="preserve"> used</w:t>
      </w:r>
      <w:r w:rsidR="00F76760">
        <w:t xml:space="preserve"> this as a proxy measure of vaccine hesitancy because this vaccine has been </w:t>
      </w:r>
      <w:r w:rsidR="00D95085">
        <w:t xml:space="preserve">a long-standing </w:t>
      </w:r>
      <w:r w:rsidR="00F76760">
        <w:t>part of the routine childhood immunisation schedule in the UK</w:t>
      </w:r>
      <w:r w:rsidR="00D95085">
        <w:t>.</w:t>
      </w:r>
      <w:r w:rsidR="00F76760">
        <w:t xml:space="preserve"> </w:t>
      </w:r>
      <w:r w:rsidR="005E6314">
        <w:t xml:space="preserve">All </w:t>
      </w:r>
      <w:r w:rsidR="006309CE">
        <w:t>participants</w:t>
      </w:r>
      <w:r w:rsidR="005E6314">
        <w:t xml:space="preserve"> who m</w:t>
      </w:r>
      <w:r w:rsidR="00633839">
        <w:t>et these criteria w</w:t>
      </w:r>
      <w:r w:rsidR="005E6314">
        <w:t>ere</w:t>
      </w:r>
      <w:r w:rsidR="00633839">
        <w:t xml:space="preserve"> included in the cohort. </w:t>
      </w:r>
    </w:p>
    <w:p w14:paraId="31EB68A3" w14:textId="77777777" w:rsidR="006309CE" w:rsidRDefault="006309CE" w:rsidP="009809EE">
      <w:pPr>
        <w:spacing w:after="0" w:line="480" w:lineRule="auto"/>
      </w:pPr>
    </w:p>
    <w:p w14:paraId="2F1A0AEF" w14:textId="08D0E0D8" w:rsidR="005E6314" w:rsidRDefault="00633839" w:rsidP="009809EE">
      <w:pPr>
        <w:spacing w:after="0" w:line="480" w:lineRule="auto"/>
      </w:pPr>
      <w:r>
        <w:t>Participants enter</w:t>
      </w:r>
      <w:r w:rsidR="005E6314">
        <w:t>ed</w:t>
      </w:r>
      <w:r>
        <w:t xml:space="preserve"> the follow-up period at </w:t>
      </w:r>
      <w:r w:rsidR="00FB7AC0">
        <w:t xml:space="preserve">six </w:t>
      </w:r>
      <w:r>
        <w:t xml:space="preserve">months of age (UK vaccination schedule </w:t>
      </w:r>
      <w:r w:rsidR="00FB7AC0">
        <w:t xml:space="preserve">upper limit </w:t>
      </w:r>
      <w:r>
        <w:t>for second dose of Rotarix</w:t>
      </w:r>
      <w:r w:rsidR="00406814" w:rsidRPr="000B0C1F">
        <w:t>®</w:t>
      </w:r>
      <w:r>
        <w:t>).</w:t>
      </w:r>
      <w:r w:rsidR="00F70866">
        <w:t xml:space="preserve"> Participants exit</w:t>
      </w:r>
      <w:r w:rsidR="00AB75ED">
        <w:t>ed</w:t>
      </w:r>
      <w:r w:rsidR="00F70866">
        <w:t xml:space="preserve"> the cohort if they </w:t>
      </w:r>
      <w:r w:rsidR="005E6314">
        <w:t>we</w:t>
      </w:r>
      <w:r w:rsidR="00F70866">
        <w:t xml:space="preserve">re recorded as having the outcome, or </w:t>
      </w:r>
      <w:r w:rsidR="005E6314">
        <w:t>on their seventh birthday if they did not have the outcome. If the participants transferred out from the GP practice, died</w:t>
      </w:r>
      <w:r w:rsidR="00EB34F9">
        <w:t>, were recorded as experiencing rotavirus gastroenteritis</w:t>
      </w:r>
      <w:r w:rsidR="005E6314">
        <w:t xml:space="preserve"> or had a last recorded </w:t>
      </w:r>
      <w:r w:rsidR="00EB34F9">
        <w:t xml:space="preserve">data </w:t>
      </w:r>
      <w:r w:rsidR="005E6314">
        <w:t>collection date before their seventh birthday, they exited the cohort.</w:t>
      </w:r>
    </w:p>
    <w:p w14:paraId="152244E0" w14:textId="0DB3F338" w:rsidR="00454531" w:rsidRDefault="00454531" w:rsidP="009809EE">
      <w:pPr>
        <w:spacing w:after="0" w:line="480" w:lineRule="auto"/>
      </w:pPr>
    </w:p>
    <w:p w14:paraId="5EB8F4E1" w14:textId="6BB251D4" w:rsidR="00454531" w:rsidRPr="00DA7BA5" w:rsidRDefault="00DA7BA5" w:rsidP="00DA7BA5">
      <w:pPr>
        <w:rPr>
          <w:i/>
        </w:rPr>
      </w:pPr>
      <w:bookmarkStart w:id="4" w:name="_Toc50542548"/>
      <w:r w:rsidRPr="00DA7BA5">
        <w:rPr>
          <w:i/>
        </w:rPr>
        <w:t>Study v</w:t>
      </w:r>
      <w:r w:rsidR="00454531" w:rsidRPr="00DA7BA5">
        <w:rPr>
          <w:i/>
        </w:rPr>
        <w:t>ariables</w:t>
      </w:r>
      <w:bookmarkEnd w:id="4"/>
    </w:p>
    <w:p w14:paraId="5CDAF5D5" w14:textId="53240263" w:rsidR="00163585" w:rsidRDefault="00163585" w:rsidP="009809EE">
      <w:pPr>
        <w:spacing w:after="0" w:line="480" w:lineRule="auto"/>
      </w:pPr>
      <w:r>
        <w:lastRenderedPageBreak/>
        <w:t>In this study, the primary outcome</w:t>
      </w:r>
      <w:r w:rsidR="00DA7BA5">
        <w:t>s</w:t>
      </w:r>
      <w:r>
        <w:t xml:space="preserve"> w</w:t>
      </w:r>
      <w:r w:rsidR="00DA7BA5">
        <w:t>ere</w:t>
      </w:r>
      <w:r>
        <w:t xml:space="preserve"> </w:t>
      </w:r>
      <w:r w:rsidR="00DA7BA5">
        <w:t>CD and T1D</w:t>
      </w:r>
      <w:r w:rsidR="006C2D90">
        <w:t xml:space="preserve">. </w:t>
      </w:r>
      <w:r w:rsidR="0054418A">
        <w:t>CD</w:t>
      </w:r>
      <w:r w:rsidR="006C2D90" w:rsidRPr="006C2D90">
        <w:t xml:space="preserve"> </w:t>
      </w:r>
      <w:r w:rsidR="006C2D90">
        <w:t>was</w:t>
      </w:r>
      <w:r w:rsidR="006C2D90" w:rsidRPr="006C2D90">
        <w:t xml:space="preserve"> defined</w:t>
      </w:r>
      <w:r w:rsidR="00A91E47">
        <w:t xml:space="preserve"> based on </w:t>
      </w:r>
      <w:r w:rsidR="00AB75ED">
        <w:t>either a recorded diagnos</w:t>
      </w:r>
      <w:r w:rsidR="00A91E47">
        <w:t>i</w:t>
      </w:r>
      <w:r w:rsidR="00AB75ED">
        <w:t>s of CD</w:t>
      </w:r>
      <w:r w:rsidR="00A91E47">
        <w:t xml:space="preserve"> </w:t>
      </w:r>
      <w:r w:rsidR="00AB75ED">
        <w:t>or the</w:t>
      </w:r>
      <w:r w:rsidR="0054418A">
        <w:t xml:space="preserve"> prescription of gluten-free goods</w:t>
      </w:r>
      <w:r w:rsidR="006C2D90" w:rsidRPr="006C2D90">
        <w:t>.</w:t>
      </w:r>
      <w:r w:rsidR="00F551C9">
        <w:fldChar w:fldCharType="begin"/>
      </w:r>
      <w:r w:rsidR="00A4266C">
        <w:instrText xml:space="preserve"> ADDIN ZOTERO_ITEM CSL_CITATION {"citationID":"2VoTurMy","properties":{"formattedCitation":"[22]","plainCitation":"[22]","noteIndex":0},"citationItems":[{"id":"f5DPIqS8/0S6omvYk","uris":["http://zotero.org/users/5856738/items/YWLUV5AY"],"uri":["http://zotero.org/users/5856738/items/YWLUV5AY"],"itemData":{"id":2017,"type":"article-journal","abstract":"Background Despite the considerable health impact of coeliac disease (CD), reliable estimates of the impact of diagnosis on health care use and costs are lacking. Aims To quantify the volume, type and costs, in a United Kingdom primary care setting, of healthcare resources used by individuals diagnosed with CD up to ten years before and after diagnosis, and to estimate medical costs associated with CD. Methods A cohort of 3,646 CD cases and a parallel cohort of 32,973 matched controls, extracted from the General Practice Research Database (GPRD) over the period 1987–2005 were used i) to evaluate the impact of diagnosis on the average resource use and costs of cases; ii) to assess direct healthcare costs due to CD by comparing average resource use and costs incurred by cases vs. controls. Results Average annual healthcare costs per patient increased by £310 (95% CI £299, £320) after diagnosis. CD cases experienced higher healthcare costs than controls both before diagnosis (mean difference £91; 95% CI: £86, £97) and after diagnosis (mean difference £354; 95% CI: £347, £361). These differences were driven mainly by higher test and referral costs before diagnosis, and by increased prescription costs after diagnosis. Conclusions This study shows significant additional primary care costs associated with coeliac disease. It provides novel evidence that will assist researchers evaluating interventions in this area, and will challenge policymakers, clinicians, researchers and the public to develop strategies that maximise the health benefits of the resources associated with this disease.","container-title":"PLOS ONE","DOI":"10.1371/journal.pone.0041308","ISSN":"1932-6203","issue":"7","journalAbbreviation":"PLOS ONE","language":"en","page":"e41308","source":"PLoS Journals","title":"Resource Use and Costs Associated with Coeliac Disease before and after Diagnosis in 3,646 Cases: Results of a UK Primary Care Database Analysis","title-short":"Resource Use and Costs Associated with Coeliac Disease before and after Diagnosis in 3,646 Cases","volume":"7","author":[{"family":"Violato","given":"Mara"},{"family":"Gray","given":"Alastair"},{"family":"Papanicolas","given":"Irini"},{"family":"Ouellet","given":"Melissa"}],"issued":{"date-parts":[["2012",7,17]]}}}],"schema":"https://github.com/citation-style-language/schema/raw/master/csl-citation.json"} </w:instrText>
      </w:r>
      <w:r w:rsidR="00F551C9">
        <w:fldChar w:fldCharType="separate"/>
      </w:r>
      <w:r w:rsidR="001B04AA" w:rsidRPr="001B04AA">
        <w:rPr>
          <w:rFonts w:ascii="Calibri" w:hAnsi="Calibri" w:cs="Calibri"/>
        </w:rPr>
        <w:t>[22]</w:t>
      </w:r>
      <w:r w:rsidR="00F551C9">
        <w:fldChar w:fldCharType="end"/>
      </w:r>
      <w:r w:rsidR="00DA7BA5">
        <w:t xml:space="preserve"> T1D was defined based on a recorded diagnosis of T1D.</w:t>
      </w:r>
      <w:r w:rsidR="00F551C9">
        <w:fldChar w:fldCharType="begin"/>
      </w:r>
      <w:r w:rsidR="00A4266C">
        <w:instrText xml:space="preserve"> ADDIN ZOTERO_ITEM CSL_CITATION {"citationID":"phb1AlYH","properties":{"formattedCitation":"[23]","plainCitation":"[23]","noteIndex":0},"citationItems":[{"id":"f5DPIqS8/RCOJZC45","uris":["http://zotero.org/users/5856738/items/BJ53PDDV"],"uri":["http://zotero.org/users/5856738/items/BJ53PDDV"],"itemData":{"id":2717,"type":"article-journal","abstract":"&lt;h2&gt;Summary&lt;/h2&gt;&lt;h3&gt;Background&lt;/h3&gt;&lt;p&gt;To effectively prevent, detect, and treat health conditions that affect people during their lifecourse, health-care professionals and researchers need to know which sections of the population are susceptible to which health conditions and at which ages. Hence, we aimed to map the course of human health by identifying the 50 most common health conditions in each decade of life and estimating the median age at first diagnosis.&lt;/p&gt;&lt;h3&gt;Methods&lt;/h3&gt;&lt;p&gt;We developed phenotyping algorithms and codelists for physical and mental health conditions that involve intensive use of health-care resources. Individuals older than 1 year were included in the study if their primary-care and hospital-admission records met research standards set by the Clinical Practice Research Datalink and they had been registered in a general practice in England contributing up-to-standard data for at least 1 year during the study period. We used linked records of individuals from the CALIBER platform to calculate the sex-standardised cumulative incidence for these conditions by 10-year age groups between April 1, 2010, and March 31, 2015. We also derived the median age at diagnosis and prevalence estimates stratified by age, sex, and ethnicity (black, white, south Asian) over the study period from the primary-care and secondary-care records of patients.&lt;/p&gt;&lt;h3&gt;Findings&lt;/h3&gt;&lt;p&gt;We developed case definitions for 308 disease phenotypes. We used records of 2 784 138 patients for the calculation of cumulative incidence and of 3 872 451 patients for the calculation of period prevalence and median age at diagnosis of these conditions. Conditions that first gained prominence at key stages of life were: atopic conditions and infections that led to hospital admission in children (&lt;10 years); acne and menstrual disorders in the teenage years (10–19 years); mental health conditions, obesity, and migraine in individuals aged 20–29 years; soft-tissue disorders and gastro-oesophageal reflux disease in individuals aged 30–39 years; dyslipidaemia, hypertension, and erectile dysfunction in individuals aged 40–59 years; cancer, osteoarthritis, benign prostatic hyperplasia, cataract, diverticular disease, type 2 diabetes, and deafness in individuals aged 60–79 years; and atrial fibrillation, dementia, acute and chronic kidney disease, heart failure, ischaemic heart disease, anaemia, and osteoporosis in individuals aged 80 years or older. Black or south-Asian individuals were diagnosed earlier than white individuals for 258 (84%) of the 308 conditions. Bone fractures and atopic conditions were recorded earlier in male individuals, whereas female individuals were diagnosed at younger ages with nutritional anaemias, tubulointerstitial nephritis, and urinary disorders.&lt;/p&gt;&lt;h3&gt;Interpretation&lt;/h3&gt;&lt;p&gt;We have produced the first chronological map of human health with cumulative-incidence and period-prevalence estimates for multiple morbidities in parallel from birth to advanced age. This can guide clinicians, policy makers, and researchers on how to formulate differential diagnoses, allocate resources, and target research priorities on the basis of the knowledge of who gets which diseases when. We have published our phenotyping algorithms on the CALIBER open-access Portal which will facilitate future research by providing a curated list of reusable case definitions.&lt;/p&gt;&lt;h3&gt;Funding&lt;/h3&gt;&lt;p&gt;Wellcome Trust, National Institute for Health Research, Medical Research Council, Arthritis Research UK, British Heart Foundation, Cancer Research UK, Chief Scientist Office of the Scottish Government Health and Social Care Directorates, Department of Health and Social Care (England), Health and Social Care Research and Development Division (Welsh Government), Public Health Agency (Northern Ireland), Economic and Social Research Council, Engineering and Physical Sciences Research Council, National Institute for Social Care and Health Research, and The Alan Turing Institute.&lt;/p&gt;","container-title":"The Lancet Digital Health","DOI":"10.1016/S2589-7500(19)30012-3","ISSN":"2589-7500","issue":"2","journalAbbreviation":"The Lancet Digital Health","language":"English","note":"publisher: Elsevier\nPMID: 31650125","page":"e63-e77","source":"www.thelancet.com","title":"A chronological map of 308 physical and mental health conditions from 4 million individuals in the English National Health Service","volume":"1","author":[{"family":"Kuan","given":"Valerie"},{"family":"Denaxas","given":"Spiros"},{"family":"Gonzalez-Izquierdo","given":"Arturo"},{"family":"Direk","given":"Kenan"},{"family":"Bhatti","given":"Osman"},{"family":"Husain","given":"Shanaz"},{"family":"Sutaria","given":"Shailen"},{"family":"Hingorani","given":"Melanie"},{"family":"Nitsch","given":"Dorothea"},{"family":"Parisinos","given":"Constantinos A."},{"family":"Lumbers","given":"R. Thomas"},{"family":"Mathur","given":"Rohini"},{"family":"Sofat","given":"Reecha"},{"family":"Casas","given":"Juan P."},{"family":"Wong","given":"Ian C. K."},{"family":"Hemingway","given":"Harry"},{"family":"Hingorani","given":"Aroon D."}],"issued":{"date-parts":[["2019",6,1]]}}}],"schema":"https://github.com/citation-style-language/schema/raw/master/csl-citation.json"} </w:instrText>
      </w:r>
      <w:r w:rsidR="00F551C9">
        <w:fldChar w:fldCharType="separate"/>
      </w:r>
      <w:r w:rsidR="001B04AA" w:rsidRPr="001B04AA">
        <w:rPr>
          <w:rFonts w:ascii="Calibri" w:hAnsi="Calibri" w:cs="Calibri"/>
        </w:rPr>
        <w:t>[23]</w:t>
      </w:r>
      <w:r w:rsidR="00F551C9">
        <w:fldChar w:fldCharType="end"/>
      </w:r>
      <w:r w:rsidR="006C2D90" w:rsidRPr="006C2D90">
        <w:t xml:space="preserve"> </w:t>
      </w:r>
      <w:r w:rsidRPr="002B703E">
        <w:t>The</w:t>
      </w:r>
      <w:r>
        <w:t xml:space="preserve"> primary exposure </w:t>
      </w:r>
      <w:r w:rsidR="006C2D90">
        <w:t xml:space="preserve">was rotavirus vaccination, </w:t>
      </w:r>
      <w:r w:rsidR="00FB7AC0">
        <w:t xml:space="preserve">a binary variable </w:t>
      </w:r>
      <w:r w:rsidR="006C2D90">
        <w:t>defined as having a record of one or more doses of Rotarix</w:t>
      </w:r>
      <w:r w:rsidR="00406814" w:rsidRPr="000B0C1F">
        <w:t>®</w:t>
      </w:r>
      <w:r w:rsidR="006C2D90">
        <w:t xml:space="preserve"> in CPRD</w:t>
      </w:r>
      <w:r w:rsidR="00215631">
        <w:t xml:space="preserve"> Aurum</w:t>
      </w:r>
      <w:r w:rsidR="006C2D90">
        <w:t xml:space="preserve"> </w:t>
      </w:r>
      <w:r w:rsidR="00A91E47">
        <w:t>records</w:t>
      </w:r>
      <w:r w:rsidR="006C2D90">
        <w:t xml:space="preserve">. </w:t>
      </w:r>
      <w:r w:rsidR="00045B0C">
        <w:t>The list of CPRD</w:t>
      </w:r>
      <w:r w:rsidR="00215631">
        <w:t xml:space="preserve"> Aurum</w:t>
      </w:r>
      <w:r w:rsidR="00045B0C">
        <w:t xml:space="preserve"> codes used to classify the primary exposure variable</w:t>
      </w:r>
      <w:r w:rsidR="00F76760">
        <w:t>,</w:t>
      </w:r>
      <w:r w:rsidR="00045B0C">
        <w:t xml:space="preserve"> the two outcome</w:t>
      </w:r>
      <w:r w:rsidR="00F76760">
        <w:t xml:space="preserve"> variables and DTaP/IPV vaccination status for study inclusion</w:t>
      </w:r>
      <w:r w:rsidR="00045B0C">
        <w:t xml:space="preserve"> ha</w:t>
      </w:r>
      <w:r w:rsidR="00F76760">
        <w:t>ve</w:t>
      </w:r>
      <w:r w:rsidR="00045B0C">
        <w:t xml:space="preserve"> been published as an open-source document</w:t>
      </w:r>
      <w:r w:rsidR="00045B0C" w:rsidRPr="002B703E">
        <w:t>.</w:t>
      </w:r>
      <w:r w:rsidR="00045B0C">
        <w:fldChar w:fldCharType="begin"/>
      </w:r>
      <w:r w:rsidR="00A4266C">
        <w:instrText xml:space="preserve"> ADDIN ZOTERO_ITEM CSL_CITATION {"citationID":"N0sFFTMO","properties":{"formattedCitation":"[24]","plainCitation":"[24]","noteIndex":0},"citationItems":[{"id":"f5DPIqS8/BJY0rtY7","uris":["http://zotero.org/users/5856738/items/S36NL8AE"],"uri":["http://zotero.org/users/5856738/items/S36NL8AE"],"itemData":{"id":2690,"type":"article","abstract":"Codes used in medcode and prodcode fields of CPRD Aurum data","note":"DOI: 10.5281/zenodo.4431770\ntype: dataset","publisher":"Zenodo","source":"Zenodo","title":"Codes used to extract coeliac disease, type I diabetes, rotavirus vaccination and DTP vaccination from CPRD Aurum","URL":"https://zenodo.org/record/4431770/export/hx","author":[{"family":"Inns","given":"Thomas"}],"accessed":{"date-parts":[["2021",1,11]]},"issued":{"date-parts":[["2020",8,19]]}}}],"schema":"https://github.com/citation-style-language/schema/raw/master/csl-citation.json"} </w:instrText>
      </w:r>
      <w:r w:rsidR="00045B0C">
        <w:fldChar w:fldCharType="separate"/>
      </w:r>
      <w:r w:rsidR="001B04AA" w:rsidRPr="001B04AA">
        <w:rPr>
          <w:rFonts w:ascii="Calibri" w:hAnsi="Calibri" w:cs="Calibri"/>
        </w:rPr>
        <w:t>[24]</w:t>
      </w:r>
      <w:r w:rsidR="00045B0C">
        <w:fldChar w:fldCharType="end"/>
      </w:r>
      <w:r w:rsidR="00045B0C" w:rsidRPr="002B703E">
        <w:t xml:space="preserve"> </w:t>
      </w:r>
    </w:p>
    <w:p w14:paraId="5715CD1C" w14:textId="77777777" w:rsidR="00163585" w:rsidRDefault="00163585" w:rsidP="009809EE">
      <w:pPr>
        <w:spacing w:after="0" w:line="480" w:lineRule="auto"/>
      </w:pPr>
    </w:p>
    <w:p w14:paraId="4B27BFC2" w14:textId="0B141A5B" w:rsidR="00862221" w:rsidRDefault="00F76760" w:rsidP="009809EE">
      <w:pPr>
        <w:spacing w:after="0" w:line="480" w:lineRule="auto"/>
      </w:pPr>
      <w:r>
        <w:t xml:space="preserve">There were a range of potentially confounding factors for the associations between this exposure and these outcomes which we identified </w:t>
      </w:r>
      <w:r w:rsidRPr="00FF1603">
        <w:rPr>
          <w:i/>
        </w:rPr>
        <w:t>a priori</w:t>
      </w:r>
      <w:r w:rsidRPr="00045B0C">
        <w:rPr>
          <w:i/>
        </w:rPr>
        <w:t>.</w:t>
      </w:r>
      <w:r>
        <w:rPr>
          <w:i/>
        </w:rPr>
        <w:t xml:space="preserve"> </w:t>
      </w:r>
      <w:r w:rsidR="00045B0C">
        <w:t>We</w:t>
      </w:r>
      <w:r w:rsidR="00862221">
        <w:t xml:space="preserve"> identified h</w:t>
      </w:r>
      <w:r w:rsidR="0036687C">
        <w:t>ealthcare</w:t>
      </w:r>
      <w:r w:rsidR="009A1B95">
        <w:t>-</w:t>
      </w:r>
      <w:r w:rsidR="00862221">
        <w:t xml:space="preserve">seeking behaviour as a potentially confounding factor. To adjust for this, </w:t>
      </w:r>
      <w:r w:rsidR="00045B0C">
        <w:t>we</w:t>
      </w:r>
      <w:r w:rsidR="00862221">
        <w:t xml:space="preserve"> calculate</w:t>
      </w:r>
      <w:r w:rsidR="00073071">
        <w:t>d</w:t>
      </w:r>
      <w:r w:rsidR="00862221">
        <w:t xml:space="preserve"> a rate of GP consultations per person-year based on unique consultation events recorded in CPRD</w:t>
      </w:r>
      <w:r w:rsidR="00215631">
        <w:t xml:space="preserve"> Aurum</w:t>
      </w:r>
      <w:r w:rsidR="00862221">
        <w:t>.</w:t>
      </w:r>
      <w:r w:rsidR="005919B7" w:rsidRPr="005919B7">
        <w:t xml:space="preserve"> </w:t>
      </w:r>
      <w:r w:rsidR="00045B0C">
        <w:t>We</w:t>
      </w:r>
      <w:r w:rsidR="005919B7">
        <w:t xml:space="preserve"> included sex as a variable, as recorded in CPRD</w:t>
      </w:r>
      <w:r w:rsidR="00215631">
        <w:t xml:space="preserve"> Aurum</w:t>
      </w:r>
      <w:r w:rsidR="005919B7">
        <w:t>. Geography of residence was assigned to one of ten regions of England, as used by CPRD</w:t>
      </w:r>
      <w:r w:rsidR="00215631">
        <w:t xml:space="preserve"> Aurum</w:t>
      </w:r>
      <w:r w:rsidR="00AC1DE1">
        <w:t>.</w:t>
      </w:r>
      <w:r w:rsidR="005919B7">
        <w:t xml:space="preserve"> </w:t>
      </w:r>
      <w:r w:rsidR="00C41B4C">
        <w:t>We adjusted for socio-economic status using English Index of Multiple Deprivation (IMD) quintiles, as assigned by CPRD</w:t>
      </w:r>
      <w:r w:rsidR="00215631">
        <w:t xml:space="preserve"> Aurum</w:t>
      </w:r>
      <w:r w:rsidR="00C41B4C">
        <w:t xml:space="preserve"> using participant residence</w:t>
      </w:r>
      <w:r w:rsidR="00EB36F8">
        <w:t xml:space="preserve"> at the time of primary care registration</w:t>
      </w:r>
      <w:r w:rsidR="00C41B4C">
        <w:t>.</w:t>
      </w:r>
      <w:r w:rsidR="00EB36F8">
        <w:t xml:space="preserve"> </w:t>
      </w:r>
      <w:r w:rsidR="00BE149B">
        <w:t>IMD quintiles were categorised from 1 (least deprived) to 5 (most deprived).</w:t>
      </w:r>
      <w:r w:rsidR="00C41B4C">
        <w:t xml:space="preserve"> </w:t>
      </w:r>
      <w:r w:rsidR="00045B0C">
        <w:t>We</w:t>
      </w:r>
      <w:r w:rsidR="005919B7">
        <w:t xml:space="preserve"> also used year of birth as a variable to adjust by proxy for changes in diagnosis patterns</w:t>
      </w:r>
      <w:r w:rsidR="00045B0C">
        <w:t xml:space="preserve"> of the outcomes</w:t>
      </w:r>
      <w:r w:rsidR="005919B7">
        <w:t xml:space="preserve"> over time.</w:t>
      </w:r>
      <w:r w:rsidR="005919B7" w:rsidRPr="005919B7">
        <w:t xml:space="preserve"> </w:t>
      </w:r>
      <w:r w:rsidR="005919B7">
        <w:t xml:space="preserve">Additionally, </w:t>
      </w:r>
      <w:r w:rsidR="00045B0C">
        <w:t>we</w:t>
      </w:r>
      <w:r w:rsidR="005919B7">
        <w:t xml:space="preserve"> used GP practice as a variable, based on the unique practice code within CPRD</w:t>
      </w:r>
      <w:r w:rsidR="00215631">
        <w:t xml:space="preserve"> Aurum</w:t>
      </w:r>
      <w:r w:rsidR="005919B7">
        <w:t>.</w:t>
      </w:r>
    </w:p>
    <w:p w14:paraId="6800F7E3" w14:textId="77777777" w:rsidR="009F1D5B" w:rsidRDefault="009F1D5B" w:rsidP="009809EE">
      <w:pPr>
        <w:spacing w:after="0" w:line="480" w:lineRule="auto"/>
      </w:pPr>
    </w:p>
    <w:p w14:paraId="08329EDA" w14:textId="6EA356EB" w:rsidR="00454531" w:rsidRPr="00CA249B" w:rsidRDefault="00454531" w:rsidP="00CA249B">
      <w:pPr>
        <w:rPr>
          <w:i/>
        </w:rPr>
      </w:pPr>
      <w:bookmarkStart w:id="5" w:name="_Toc50542549"/>
      <w:r w:rsidRPr="00CA249B">
        <w:rPr>
          <w:i/>
        </w:rPr>
        <w:t>Bias</w:t>
      </w:r>
      <w:bookmarkEnd w:id="5"/>
    </w:p>
    <w:p w14:paraId="684A1D06" w14:textId="42F3D351" w:rsidR="003242AF" w:rsidRDefault="003242AF" w:rsidP="009809EE">
      <w:pPr>
        <w:spacing w:after="0" w:line="480" w:lineRule="auto"/>
      </w:pPr>
      <w:r>
        <w:t xml:space="preserve">One of the key potential biases in this study was the increased awareness and diagnostic testing for </w:t>
      </w:r>
      <w:r w:rsidR="00CA249B">
        <w:t>both outcomes</w:t>
      </w:r>
      <w:r>
        <w:t xml:space="preserve"> over this time period. In order to adjust for this, </w:t>
      </w:r>
      <w:r w:rsidR="00CA249B">
        <w:t>we</w:t>
      </w:r>
      <w:r>
        <w:t xml:space="preserve"> included a year</w:t>
      </w:r>
      <w:r w:rsidR="007D2614">
        <w:t xml:space="preserve"> of birth</w:t>
      </w:r>
      <w:r>
        <w:t xml:space="preserve"> variable in </w:t>
      </w:r>
      <w:r w:rsidR="00CA249B">
        <w:t>our</w:t>
      </w:r>
      <w:r w:rsidR="00862221">
        <w:t xml:space="preserve"> analysis</w:t>
      </w:r>
      <w:r w:rsidR="0099144E">
        <w:t xml:space="preserve"> and </w:t>
      </w:r>
      <w:r>
        <w:t xml:space="preserve">also conducted sensitivity analyses </w:t>
      </w:r>
      <w:r w:rsidR="0099144E">
        <w:t>including</w:t>
      </w:r>
      <w:r>
        <w:t xml:space="preserve"> only those</w:t>
      </w:r>
      <w:r w:rsidR="0099144E">
        <w:t xml:space="preserve"> born</w:t>
      </w:r>
      <w:r>
        <w:t xml:space="preserve"> post</w:t>
      </w:r>
      <w:r w:rsidR="00510D4E">
        <w:t xml:space="preserve"> </w:t>
      </w:r>
      <w:r>
        <w:t>vaccine introduction in 2013.</w:t>
      </w:r>
    </w:p>
    <w:p w14:paraId="7E485920" w14:textId="77777777" w:rsidR="00454531" w:rsidRDefault="00454531" w:rsidP="009809EE">
      <w:pPr>
        <w:spacing w:after="0" w:line="480" w:lineRule="auto"/>
      </w:pPr>
    </w:p>
    <w:p w14:paraId="38901AAF" w14:textId="3A64C06F" w:rsidR="003242AF" w:rsidRDefault="003242AF" w:rsidP="009809EE">
      <w:pPr>
        <w:spacing w:after="0" w:line="480" w:lineRule="auto"/>
      </w:pPr>
      <w:r>
        <w:lastRenderedPageBreak/>
        <w:t>Another potential bias affecting observational studies assessing vaccines with high uptake is the bias related to healthcare access. This bias has previously been demonstrated in a study assessing rotavirus vaccine effectiveness in the UK.</w:t>
      </w:r>
      <w:r>
        <w:fldChar w:fldCharType="begin"/>
      </w:r>
      <w:r w:rsidR="00A4266C">
        <w:instrText xml:space="preserve"> ADDIN ZOTERO_ITEM CSL_CITATION {"citationID":"fPIouInI","properties":{"formattedCitation":"[20]","plainCitation":"[20]","noteIndex":0},"citationItems":[{"id":"f5DPIqS8/gZDOb7jH","uris":["http://zotero.org/users/5856738/items/2CU4F5Z8"],"uri":["http://zotero.org/users/5856738/items/2CU4F5Z8"],"itemData":{"id":2023,"type":"article-journal","abstract":"BACKGROUND: Measuring vaccine effectiveness (VE) relies on the use of observational study designs. However, achieving robust estimates of direct and indirect VE is frequently compromised by bias, particularly when using syndromic diagnoses of low-specificity.\nMETHODS: In order to mitigate confounding between the measured outcome and vaccine uptake, we developed a method to balance comparator populations using individual-level propensity scoring derived from the vaccine-exposed population, and applied it to the unexposed comparator population. Indirect VE was estimated by comparing the unvaccinated vaccine-exposed group with a propensity score-simulated unvaccinated, unexposed group. Direct VE was derived by removing indirect VE from the overall VE. We applied this method to an evaluation of the effectiveness of infant rotavirus vaccination in the UK. Using a general practice cohort of 45,259 live births between May 2010 and December 2015, we calculated indirect and direct VE against consultations for acute gastroenteritis using conventional and vaccination-propensity adjustment comparator populations.\nRESULTS: The overall VE during the rotavirus-season (January-May) calculated using mixed-effects Cox regression was 30% [95% confidence intervals (95% CI: 25,35%)]. Use of conventional comparator populations resulted in implausible VE estimates -14% (95% CI: -41,7%) for direct and 29% (95% CI: 14,42%) for indirect effects. Applying our alternative method, direct VE was 26% (95% CI: 1,45%) and indirect VE was 8% (95% CI: -19,29%).\nCONCLUSIONS: Estimating VE using propensity score simulated comparator populations, particularly for studies using routine health data with syndromic, low-specificity endpoints will aid accurate measurement of the broader public health impact of a vaccine programme.","container-title":"Vaccine","DOI":"10.1016/j.vaccine.2018.09.051","ISSN":"1873-2518","issue":"45","journalAbbreviation":"Vaccine","language":"eng","note":"PMID: 30293764","page":"6674-6682","source":"PubMed","title":"Mitigating bias in observational vaccine effectiveness studies using simulated comparator populations: Application to rotavirus vaccination in the UK","title-short":"Mitigating bias in observational vaccine effectiveness studies using simulated comparator populations","volume":"36","author":[{"family":"Hungerford","given":"Daniel"},{"family":"Vivancos","given":"Roberto"},{"family":"Read","given":"Jonathan M."},{"family":"Bonnett","given":"Laura J."},{"family":"Bar-Zeev","given":"Naor"},{"family":"Iturriza-Gómara","given":"Miren"},{"family":"Cunliffe","given":"Nigel A."},{"family":"French","given":"Neil"}],"issued":{"date-parts":[["2018"]],"season":"29"}}}],"schema":"https://github.com/citation-style-language/schema/raw/master/csl-citation.json"} </w:instrText>
      </w:r>
      <w:r>
        <w:fldChar w:fldCharType="separate"/>
      </w:r>
      <w:r w:rsidR="001B04AA" w:rsidRPr="001B04AA">
        <w:rPr>
          <w:rFonts w:ascii="Calibri" w:hAnsi="Calibri" w:cs="Calibri"/>
        </w:rPr>
        <w:t>[20]</w:t>
      </w:r>
      <w:r>
        <w:fldChar w:fldCharType="end"/>
      </w:r>
      <w:r>
        <w:t xml:space="preserve"> </w:t>
      </w:r>
      <w:r w:rsidR="009C50BF">
        <w:t xml:space="preserve">Given that </w:t>
      </w:r>
      <w:r w:rsidR="00CA249B">
        <w:t>both outcomes are</w:t>
      </w:r>
      <w:r w:rsidR="009C50BF">
        <w:t xml:space="preserve"> chronic condition</w:t>
      </w:r>
      <w:r w:rsidR="00CA249B">
        <w:t>s</w:t>
      </w:r>
      <w:r w:rsidR="00E61373">
        <w:t xml:space="preserve"> rather than an acute illness</w:t>
      </w:r>
      <w:r w:rsidR="00CA249B">
        <w:t>es</w:t>
      </w:r>
      <w:r w:rsidR="009C50BF">
        <w:t xml:space="preserve">, </w:t>
      </w:r>
      <w:r w:rsidR="00CA249B">
        <w:t>they</w:t>
      </w:r>
      <w:r w:rsidR="009C50BF">
        <w:t xml:space="preserve"> may not have been present in the same way. </w:t>
      </w:r>
      <w:r w:rsidR="00CA249B">
        <w:t>We</w:t>
      </w:r>
      <w:r w:rsidR="009C50BF">
        <w:t xml:space="preserve"> assessed the potential presence of this bias</w:t>
      </w:r>
      <w:r w:rsidR="00E61373">
        <w:t xml:space="preserve"> by estimating the association between </w:t>
      </w:r>
      <w:r w:rsidR="00862221">
        <w:t>the rate of GP consultations</w:t>
      </w:r>
      <w:r w:rsidR="00E61373">
        <w:t xml:space="preserve"> and </w:t>
      </w:r>
      <w:r w:rsidR="00BE149B">
        <w:t>both primary outcomes (</w:t>
      </w:r>
      <w:r w:rsidR="00862221">
        <w:t>CD</w:t>
      </w:r>
      <w:r w:rsidR="00BE149B">
        <w:t xml:space="preserve"> and T1D)</w:t>
      </w:r>
      <w:r w:rsidR="00E61373">
        <w:t>.</w:t>
      </w:r>
      <w:r w:rsidR="00862221">
        <w:t xml:space="preserve"> </w:t>
      </w:r>
    </w:p>
    <w:p w14:paraId="3FCC8BA7" w14:textId="77777777" w:rsidR="009758E3" w:rsidRDefault="009758E3" w:rsidP="009809EE">
      <w:pPr>
        <w:spacing w:after="0" w:line="480" w:lineRule="auto"/>
      </w:pPr>
    </w:p>
    <w:p w14:paraId="76DBCC29" w14:textId="53F4AA15" w:rsidR="00454531" w:rsidRPr="00CA249B" w:rsidRDefault="00454531" w:rsidP="00CA249B">
      <w:pPr>
        <w:rPr>
          <w:i/>
        </w:rPr>
      </w:pPr>
      <w:bookmarkStart w:id="6" w:name="_Toc50542550"/>
      <w:r w:rsidRPr="00CA249B">
        <w:rPr>
          <w:i/>
        </w:rPr>
        <w:t>Sample size</w:t>
      </w:r>
      <w:bookmarkEnd w:id="6"/>
    </w:p>
    <w:p w14:paraId="137BBBCD" w14:textId="62D0BF39" w:rsidR="00F90D96" w:rsidRDefault="00CA249B" w:rsidP="009809EE">
      <w:pPr>
        <w:spacing w:after="0" w:line="480" w:lineRule="auto"/>
        <w:rPr>
          <w:rFonts w:cs="Arial"/>
        </w:rPr>
      </w:pPr>
      <w:r>
        <w:rPr>
          <w:rFonts w:cs="Arial"/>
        </w:rPr>
        <w:t>We</w:t>
      </w:r>
      <w:r w:rsidR="004134F5">
        <w:rPr>
          <w:rFonts w:cs="Arial"/>
        </w:rPr>
        <w:t xml:space="preserve"> estimated sample sizes in Stata 15</w:t>
      </w:r>
      <w:r w:rsidR="00873449">
        <w:rPr>
          <w:rFonts w:cs="Arial"/>
        </w:rPr>
        <w:t xml:space="preserve"> (</w:t>
      </w:r>
      <w:r w:rsidR="00873449" w:rsidRPr="00873449">
        <w:rPr>
          <w:rFonts w:cs="Arial"/>
        </w:rPr>
        <w:t>StataCorp LLC</w:t>
      </w:r>
      <w:r w:rsidR="00873449">
        <w:rPr>
          <w:rFonts w:cs="Arial"/>
        </w:rPr>
        <w:t>:</w:t>
      </w:r>
      <w:r w:rsidR="00873449" w:rsidRPr="00873449">
        <w:rPr>
          <w:rFonts w:cs="Arial"/>
        </w:rPr>
        <w:t xml:space="preserve"> </w:t>
      </w:r>
      <w:r w:rsidR="00873449">
        <w:rPr>
          <w:rFonts w:cs="Arial"/>
        </w:rPr>
        <w:t>College Station, Texas)</w:t>
      </w:r>
      <w:r w:rsidR="004134F5">
        <w:rPr>
          <w:rFonts w:cs="Arial"/>
        </w:rPr>
        <w:t>, u</w:t>
      </w:r>
      <w:r w:rsidR="00F90D96">
        <w:rPr>
          <w:rFonts w:cs="Arial"/>
        </w:rPr>
        <w:t xml:space="preserve">sing the </w:t>
      </w:r>
      <w:r w:rsidR="00F90D96" w:rsidRPr="0014725C">
        <w:rPr>
          <w:rFonts w:cs="Arial"/>
        </w:rPr>
        <w:t>exponential test comparing two independent hazard rates</w:t>
      </w:r>
      <w:r w:rsidR="00450DC7">
        <w:rPr>
          <w:rFonts w:cs="Arial"/>
        </w:rPr>
        <w:t xml:space="preserve">. </w:t>
      </w:r>
      <w:r>
        <w:rPr>
          <w:rFonts w:cs="Arial"/>
        </w:rPr>
        <w:t>We</w:t>
      </w:r>
      <w:r w:rsidR="00450DC7">
        <w:rPr>
          <w:rFonts w:cs="Arial"/>
        </w:rPr>
        <w:t xml:space="preserve"> specified a</w:t>
      </w:r>
      <w:r w:rsidR="00F90D96">
        <w:rPr>
          <w:rFonts w:cs="Arial"/>
        </w:rPr>
        <w:t xml:space="preserve"> follow-up period of </w:t>
      </w:r>
      <w:r w:rsidR="009F1F64">
        <w:rPr>
          <w:rFonts w:cs="Arial"/>
        </w:rPr>
        <w:t>six</w:t>
      </w:r>
      <w:r w:rsidR="00F90D96">
        <w:rPr>
          <w:rFonts w:cs="Arial"/>
        </w:rPr>
        <w:t xml:space="preserve"> years, with loss to follow-up of 0</w:t>
      </w:r>
      <w:r w:rsidR="0085732A">
        <w:t>.</w:t>
      </w:r>
      <w:r w:rsidR="00F90D96">
        <w:rPr>
          <w:rFonts w:cs="Arial"/>
        </w:rPr>
        <w:t xml:space="preserve">5 over </w:t>
      </w:r>
      <w:r w:rsidR="009F1F64">
        <w:rPr>
          <w:rFonts w:cs="Arial"/>
        </w:rPr>
        <w:t>three</w:t>
      </w:r>
      <w:r w:rsidR="00F90D96">
        <w:rPr>
          <w:rFonts w:cs="Arial"/>
        </w:rPr>
        <w:t xml:space="preserve"> years</w:t>
      </w:r>
      <w:r w:rsidR="00873449">
        <w:rPr>
          <w:rFonts w:cs="Arial"/>
        </w:rPr>
        <w:t xml:space="preserve">, </w:t>
      </w:r>
      <w:r w:rsidR="00873449">
        <w:rPr>
          <w:rFonts w:cstheme="minorHAnsi"/>
        </w:rPr>
        <w:t>α</w:t>
      </w:r>
      <w:r w:rsidR="00873449">
        <w:rPr>
          <w:rFonts w:cs="Arial"/>
        </w:rPr>
        <w:t xml:space="preserve"> of 0</w:t>
      </w:r>
      <w:r w:rsidR="0085732A">
        <w:t>.</w:t>
      </w:r>
      <w:r w:rsidR="00873449">
        <w:rPr>
          <w:rFonts w:cs="Arial"/>
        </w:rPr>
        <w:t>05</w:t>
      </w:r>
      <w:r w:rsidR="006B29EE">
        <w:rPr>
          <w:rFonts w:cs="Arial"/>
        </w:rPr>
        <w:t xml:space="preserve">, </w:t>
      </w:r>
      <w:r w:rsidR="00F90D96">
        <w:rPr>
          <w:rFonts w:cs="Arial"/>
        </w:rPr>
        <w:t>u</w:t>
      </w:r>
      <w:r w:rsidR="00450DC7">
        <w:rPr>
          <w:rFonts w:cs="Arial"/>
        </w:rPr>
        <w:t>sing</w:t>
      </w:r>
      <w:r w:rsidR="00F90D96">
        <w:rPr>
          <w:rFonts w:cs="Arial"/>
        </w:rPr>
        <w:t xml:space="preserve"> 80% power</w:t>
      </w:r>
      <w:r w:rsidR="006B29EE">
        <w:rPr>
          <w:rFonts w:cs="Arial"/>
        </w:rPr>
        <w:t xml:space="preserve"> and a 1:1 </w:t>
      </w:r>
      <w:r w:rsidR="00450DC7">
        <w:rPr>
          <w:rFonts w:cs="Arial"/>
        </w:rPr>
        <w:t>r</w:t>
      </w:r>
      <w:r w:rsidR="00F90D96">
        <w:rPr>
          <w:rFonts w:cs="Arial"/>
        </w:rPr>
        <w:t>atio of comparison groups</w:t>
      </w:r>
      <w:r w:rsidR="00576D63">
        <w:rPr>
          <w:rFonts w:cs="Arial"/>
        </w:rPr>
        <w:t>.</w:t>
      </w:r>
      <w:r w:rsidR="00F90D96">
        <w:rPr>
          <w:rFonts w:cs="Arial"/>
        </w:rPr>
        <w:t xml:space="preserve"> </w:t>
      </w:r>
    </w:p>
    <w:p w14:paraId="14BD9D15" w14:textId="3A77912E" w:rsidR="00F90D96" w:rsidRDefault="00F90D96" w:rsidP="009809EE">
      <w:pPr>
        <w:spacing w:after="0" w:line="480" w:lineRule="auto"/>
        <w:rPr>
          <w:rFonts w:cs="Arial"/>
        </w:rPr>
      </w:pPr>
      <w:r w:rsidRPr="00027005">
        <w:rPr>
          <w:rFonts w:cs="Arial"/>
        </w:rPr>
        <w:t xml:space="preserve">Prevalence of CD in children under the age of </w:t>
      </w:r>
      <w:r w:rsidR="001F6BA4">
        <w:rPr>
          <w:rFonts w:cs="Arial"/>
        </w:rPr>
        <w:t>seven</w:t>
      </w:r>
      <w:r w:rsidRPr="00027005">
        <w:rPr>
          <w:rFonts w:cs="Arial"/>
        </w:rPr>
        <w:t xml:space="preserve"> is estimated to be 1%.</w:t>
      </w:r>
      <w:r>
        <w:rPr>
          <w:rFonts w:cs="Arial"/>
        </w:rPr>
        <w:fldChar w:fldCharType="begin"/>
      </w:r>
      <w:r w:rsidR="00A4266C">
        <w:rPr>
          <w:rFonts w:cs="Arial"/>
        </w:rPr>
        <w:instrText xml:space="preserve"> ADDIN ZOTERO_ITEM CSL_CITATION {"citationID":"qMcfaHg3","properties":{"formattedCitation":"[25, 26]","plainCitation":"[25, 26]","noteIndex":0},"citationItems":[{"id":"f5DPIqS8/4f5QBrMR","uris":["http://zotero.org/users/5856738/items/GC7STZS6"],"uri":["http://zotero.org/users/5856738/items/GC7STZS6"],"itemData":{"id":1775,"type":"article-journal","abstract":"Background:Rotavirus (RV) infection has been proposed to trigger type 1 diabetes mellitus (DM1) and celiac disease (CD) by molecular mimicry in genetically susceptible children. If so, a live attenuated oral RV vaccine could also trigger these autoimmune diseases, or else, prevent the effect of wild","container-title":"The Pediatric Infectious Disease Journal","DOI":"10.1097/INF.0000000000002281","ISSN":"0891-3668","issue":"5","language":"ENGLISH","note":"PMID: 30986791","page":"539-541","source":"insights.ovid.com","title":"Rotavirus Vaccination Does Not Increase Type 1 Diabetes and May Decrease Celiac Disease in Children and Adolescents","volume":"38","author":[{"family":"Hemming-Harlo","given":"Maria"},{"family":"Lähdeaho","given":"Marja-Leena"},{"family":"Mäki","given":"Markku"},{"family":"Vesikari","given":"Timo"}],"issued":{"date-parts":[["2019",5]]}}},{"id":"f5DPIqS8/PkFr7eyI","uris":["http://zotero.org/users/5856738/items/R2MNE2YC"],"uri":["http://zotero.org/users/5856738/items/R2MNE2YC"],"itemData":{"id":1799,"type":"article-journal","abstract":"The revised BSPGHAN guidelines for the diagnosis and management of coeliac disease represent an important shift in diagnostic strategy, aimed at simplifying and shortening the diagnostic process in selected cases. Guidance is given concerning the indications for testing for coeliac disease, which is still significantly underdiagnosed in the UK. While screening data suggest a likely incidence of 1 in 100 persons, only 10%-20% of this figure is currently being diagnosed.The BSPGHAN guidelines follow the new ESPGHAN guidelines in overall diagnostic strategy, while providing more didactic stratagems, which should be of assistance for paediatricians in specialties other than gastroenterology.","container-title":"Archives of Disease in Childhood","DOI":"10.1136/archdischild-2013-303996","ISSN":"1468-2044","issue":"10","journalAbbreviation":"Arch. Dis. Child.","language":"eng","note":"PMID: 23986560","page":"806-811","source":"PubMed","title":"Joint BSPGHAN and Coeliac UK guidelines for the diagnosis and management of coeliac disease in children","volume":"98","author":[{"family":"Murch","given":"Simon"},{"family":"Jenkins","given":"Huw"},{"family":"Auth","given":"Marcus"},{"family":"Bremner","given":"Ronald"},{"family":"Butt","given":"Assad"},{"family":"France","given":"Stephanie"},{"family":"Furman","given":"Mark"},{"family":"Gillett","given":"Peter"},{"family":"Kiparissi","given":"Fevronia"},{"family":"Lawson","given":"Maureen"},{"family":"McLain","given":"Bruce"},{"family":"Morris","given":"Mary-Anne"},{"family":"Sleet","given":"Sarah"},{"family":"Thorpe","given":"Matthew"},{"literal":"BSPGHAN"}],"issued":{"date-parts":[["2013",10]]}}}],"schema":"https://github.com/citation-style-language/schema/raw/master/csl-citation.json"} </w:instrText>
      </w:r>
      <w:r>
        <w:rPr>
          <w:rFonts w:cs="Arial"/>
        </w:rPr>
        <w:fldChar w:fldCharType="separate"/>
      </w:r>
      <w:r w:rsidR="001B04AA" w:rsidRPr="001B04AA">
        <w:rPr>
          <w:rFonts w:ascii="Calibri" w:hAnsi="Calibri" w:cs="Calibri"/>
        </w:rPr>
        <w:t>[25, 26]</w:t>
      </w:r>
      <w:r>
        <w:rPr>
          <w:rFonts w:cs="Arial"/>
        </w:rPr>
        <w:fldChar w:fldCharType="end"/>
      </w:r>
      <w:r w:rsidRPr="00027005">
        <w:rPr>
          <w:rFonts w:cs="Arial"/>
        </w:rPr>
        <w:t xml:space="preserve"> However, only a quarter of cases are likely to be diagnosed and a recent study estimated </w:t>
      </w:r>
      <w:r w:rsidR="00A65EE4">
        <w:rPr>
          <w:rFonts w:cs="Arial"/>
        </w:rPr>
        <w:t xml:space="preserve">CD </w:t>
      </w:r>
      <w:r w:rsidRPr="00027005">
        <w:rPr>
          <w:rFonts w:cs="Arial"/>
        </w:rPr>
        <w:t xml:space="preserve">prevalence </w:t>
      </w:r>
      <w:r w:rsidR="00873449">
        <w:rPr>
          <w:rFonts w:cs="Arial"/>
        </w:rPr>
        <w:t>to be</w:t>
      </w:r>
      <w:r w:rsidRPr="00027005">
        <w:rPr>
          <w:rFonts w:cs="Arial"/>
        </w:rPr>
        <w:t xml:space="preserve"> 0</w:t>
      </w:r>
      <w:r w:rsidR="0085732A">
        <w:t>.</w:t>
      </w:r>
      <w:r w:rsidRPr="00027005">
        <w:rPr>
          <w:rFonts w:cs="Arial"/>
        </w:rPr>
        <w:t>15%.</w:t>
      </w:r>
      <w:r>
        <w:rPr>
          <w:rFonts w:cs="Arial"/>
        </w:rPr>
        <w:fldChar w:fldCharType="begin"/>
      </w:r>
      <w:r w:rsidR="00A4266C">
        <w:rPr>
          <w:rFonts w:cs="Arial"/>
        </w:rPr>
        <w:instrText xml:space="preserve"> ADDIN ZOTERO_ITEM CSL_CITATION {"citationID":"WbY1FUO8","properties":{"formattedCitation":"[27]","plainCitation":"[27]","noteIndex":0},"citationItems":[{"id":"f5DPIqS8/fXYsWbHb","uris":["http://zotero.org/users/5856738/items/MP6XHS3G"],"uri":["http://zotero.org/users/5856738/items/MP6XHS3G"],"itemData":{"id":2020,"type":"article-journal","abstract":"BACKGROUND: Serological studies indicate that evidence of coeliac disease (CD) exists in about 1% of all children, but we lack estimates of current diagnostic patterns among children and how they vary by socioeconomic group.\nMETHODS: We identified all children aged 0-18 years between 1993 and 2012 who were registered with general practices across the UK that contribute to a large population-based general practice database. The incidence of CD was evaluated in each quintile of the Townsend index of deprivation and stratified by age, sex, country and calendar year.\nRESULTS: Among 2,063,421 children, we identified 1247 CD diagnoses, corresponding to an overall CD incidence of 11.9 per 100,000 person-years, which was similar across the UK countries and higher in girls than in boys. We found a gradient of CD diagnosis across socioeconomic groups, with the rate of diagnosis being 80% higher in children from the least-deprived areas than in those from the most-deprived areas (incident rate ratio 1.80, 95% CI 1.45 to 2.22). This pattern held for both boys and girls and across all ages. Across all four countries of the UK, we found similar associations between CD and socioeconomic status. While CD incidence up to age 2 remained stable over the study period, diagnoses at older ages have almost tripled over the past 20 years.\nCONCLUSIONS: Children living in less socioeconomically deprived areas in the UK are more likely to be diagnosed with CD. Increased implementation of diagnostic guidelines could result in better case identification in more-deprived areas.","container-title":"Archives of Disease in Childhood","DOI":"10.1136/archdischild-2014-307105","ISSN":"1468-2044","issue":"5","journalAbbreviation":"Arch. Dis. Child.","language":"eng","note":"PMID: 25613988\nPMCID: PMC4413865","page":"466-473","source":"PubMed","title":"Socioeconomic variation in the incidence of childhood coeliac disease in the UK","volume":"100","author":[{"family":"Zingone","given":"Fabiana"},{"family":"West","given":"Joe"},{"family":"Crooks","given":"Colin J."},{"family":"Fleming","given":"Kate M."},{"family":"Card","given":"Timothy R."},{"family":"Ciacci","given":"Carolina"},{"family":"Tata","given":"Laila J."}],"issued":{"date-parts":[["2015",5]]}}}],"schema":"https://github.com/citation-style-language/schema/raw/master/csl-citation.json"} </w:instrText>
      </w:r>
      <w:r>
        <w:rPr>
          <w:rFonts w:cs="Arial"/>
        </w:rPr>
        <w:fldChar w:fldCharType="separate"/>
      </w:r>
      <w:r w:rsidR="001B04AA" w:rsidRPr="001B04AA">
        <w:rPr>
          <w:rFonts w:ascii="Calibri" w:hAnsi="Calibri" w:cs="Calibri"/>
        </w:rPr>
        <w:t>[27]</w:t>
      </w:r>
      <w:r>
        <w:rPr>
          <w:rFonts w:cs="Arial"/>
        </w:rPr>
        <w:fldChar w:fldCharType="end"/>
      </w:r>
      <w:r w:rsidRPr="00027005">
        <w:rPr>
          <w:rFonts w:cs="Arial"/>
        </w:rPr>
        <w:t xml:space="preserve"> </w:t>
      </w:r>
      <w:r w:rsidR="00A65EE4">
        <w:rPr>
          <w:rFonts w:cs="Arial"/>
        </w:rPr>
        <w:t xml:space="preserve">For </w:t>
      </w:r>
      <w:r w:rsidR="00A65EE4" w:rsidRPr="00A65EE4">
        <w:rPr>
          <w:rFonts w:cs="Arial"/>
        </w:rPr>
        <w:t>T1D</w:t>
      </w:r>
      <w:r w:rsidR="00A65EE4">
        <w:rPr>
          <w:rFonts w:cs="Arial"/>
        </w:rPr>
        <w:t xml:space="preserve"> in</w:t>
      </w:r>
      <w:r w:rsidR="00A65EE4" w:rsidRPr="00A65EE4">
        <w:rPr>
          <w:rFonts w:cs="Arial"/>
        </w:rPr>
        <w:t xml:space="preserve"> children under the a</w:t>
      </w:r>
      <w:r w:rsidR="00576D63">
        <w:rPr>
          <w:rFonts w:cs="Arial"/>
        </w:rPr>
        <w:t>ge of seven in the UK we assumed a prevalence of</w:t>
      </w:r>
      <w:r w:rsidR="00A65EE4">
        <w:rPr>
          <w:rFonts w:cs="Arial"/>
        </w:rPr>
        <w:t xml:space="preserve"> 0</w:t>
      </w:r>
      <w:r w:rsidR="0085732A">
        <w:t>.</w:t>
      </w:r>
      <w:r w:rsidR="00A65EE4">
        <w:rPr>
          <w:rFonts w:cs="Arial"/>
        </w:rPr>
        <w:t>1%.</w:t>
      </w:r>
      <w:r w:rsidR="00D95085">
        <w:rPr>
          <w:rFonts w:cs="Arial"/>
        </w:rPr>
        <w:fldChar w:fldCharType="begin"/>
      </w:r>
      <w:r w:rsidR="00A4266C">
        <w:rPr>
          <w:rFonts w:cs="Arial"/>
        </w:rPr>
        <w:instrText xml:space="preserve"> ADDIN ZOTERO_ITEM CSL_CITATION {"citationID":"NgPDouBv","properties":{"formattedCitation":"[4]","plainCitation":"[4]","noteIndex":0},"citationItems":[{"id":7716,"uris":["http://zotero.org/groups/2736408/items/TRU742C2"],"uri":["http://zotero.org/groups/2736408/items/TRU742C2"],"itemData":{"id":7716,"type":"article","publisher":"Royal College of Paediatrics and Child Health","title":"National Paediatric Diabetes Audit Annual Report 2018-19","URL":"https://www.rcpch.ac.uk/sites/default/files/2020-03/final_npda_core_report_2018-2019.pdf","author":[{"family":"National Paediatric Diabetes Audit","given":""}],"accessed":{"date-parts":[["2021",1,22]]},"issued":{"date-parts":[["2020",3,1]]}}}],"schema":"https://github.com/citation-style-language/schema/raw/master/csl-citation.json"} </w:instrText>
      </w:r>
      <w:r w:rsidR="00D95085">
        <w:rPr>
          <w:rFonts w:cs="Arial"/>
        </w:rPr>
        <w:fldChar w:fldCharType="separate"/>
      </w:r>
      <w:r w:rsidR="001B04AA" w:rsidRPr="001B04AA">
        <w:rPr>
          <w:rFonts w:ascii="Calibri" w:hAnsi="Calibri" w:cs="Calibri"/>
        </w:rPr>
        <w:t>[4]</w:t>
      </w:r>
      <w:r w:rsidR="00D95085">
        <w:rPr>
          <w:rFonts w:cs="Arial"/>
        </w:rPr>
        <w:fldChar w:fldCharType="end"/>
      </w:r>
      <w:r w:rsidR="00A65EE4" w:rsidRPr="00A65EE4">
        <w:rPr>
          <w:rFonts w:cs="Arial"/>
        </w:rPr>
        <w:t xml:space="preserve"> </w:t>
      </w:r>
      <w:r w:rsidRPr="00027005">
        <w:rPr>
          <w:rFonts w:cs="Arial"/>
        </w:rPr>
        <w:t xml:space="preserve">Therefore, </w:t>
      </w:r>
      <w:r w:rsidR="00CA249B">
        <w:rPr>
          <w:rFonts w:cs="Arial"/>
        </w:rPr>
        <w:t>we</w:t>
      </w:r>
      <w:r w:rsidR="00747197">
        <w:rPr>
          <w:rFonts w:cs="Arial"/>
        </w:rPr>
        <w:t xml:space="preserve"> conducted </w:t>
      </w:r>
      <w:r w:rsidRPr="00027005">
        <w:rPr>
          <w:rFonts w:cs="Arial"/>
        </w:rPr>
        <w:t>sample size calculations assuming 0</w:t>
      </w:r>
      <w:r w:rsidR="0085732A">
        <w:t>.</w:t>
      </w:r>
      <w:r w:rsidRPr="00027005">
        <w:rPr>
          <w:rFonts w:cs="Arial"/>
        </w:rPr>
        <w:t xml:space="preserve">15% </w:t>
      </w:r>
      <w:r w:rsidRPr="002B703E">
        <w:rPr>
          <w:rFonts w:cs="Arial"/>
        </w:rPr>
        <w:t>prevalence</w:t>
      </w:r>
      <w:r w:rsidR="00A65EE4">
        <w:rPr>
          <w:rFonts w:cs="Arial"/>
        </w:rPr>
        <w:t xml:space="preserve"> for CD and 0</w:t>
      </w:r>
      <w:r w:rsidR="0085732A">
        <w:t>.</w:t>
      </w:r>
      <w:r w:rsidR="00A65EE4">
        <w:rPr>
          <w:rFonts w:cs="Arial"/>
        </w:rPr>
        <w:t>1% for TD1</w:t>
      </w:r>
      <w:r w:rsidRPr="002B703E">
        <w:rPr>
          <w:rFonts w:cs="Arial"/>
        </w:rPr>
        <w:t xml:space="preserve">. </w:t>
      </w:r>
      <w:r w:rsidR="00CA249B">
        <w:rPr>
          <w:rFonts w:cs="Arial"/>
        </w:rPr>
        <w:t xml:space="preserve">In order to observe a </w:t>
      </w:r>
      <w:r w:rsidR="00576D63">
        <w:rPr>
          <w:rFonts w:cs="Arial"/>
        </w:rPr>
        <w:t>20</w:t>
      </w:r>
      <w:r w:rsidR="000E4C79">
        <w:rPr>
          <w:rFonts w:cs="Arial"/>
        </w:rPr>
        <w:t>% reduction in h</w:t>
      </w:r>
      <w:r w:rsidR="00CA249B">
        <w:rPr>
          <w:rFonts w:cs="Arial"/>
        </w:rPr>
        <w:t xml:space="preserve">azard, we calculated this would require </w:t>
      </w:r>
      <w:r w:rsidR="00576D63">
        <w:rPr>
          <w:rFonts w:cs="Arial"/>
        </w:rPr>
        <w:t>435</w:t>
      </w:r>
      <w:r w:rsidR="00FF05F4">
        <w:rPr>
          <w:rFonts w:cs="Arial"/>
        </w:rPr>
        <w:t>,</w:t>
      </w:r>
      <w:r w:rsidR="00576D63">
        <w:rPr>
          <w:rFonts w:cs="Arial"/>
        </w:rPr>
        <w:t>470</w:t>
      </w:r>
      <w:r w:rsidR="00CA249B">
        <w:rPr>
          <w:rFonts w:cs="Arial"/>
        </w:rPr>
        <w:t xml:space="preserve"> participants</w:t>
      </w:r>
      <w:r w:rsidR="00394EA4">
        <w:rPr>
          <w:rFonts w:cs="Arial"/>
        </w:rPr>
        <w:t xml:space="preserve"> for CD and </w:t>
      </w:r>
      <w:r w:rsidR="00576D63" w:rsidRPr="00576D63">
        <w:rPr>
          <w:rFonts w:cs="Arial"/>
        </w:rPr>
        <w:t>652</w:t>
      </w:r>
      <w:r w:rsidR="00FF05F4">
        <w:rPr>
          <w:rFonts w:cs="Arial"/>
        </w:rPr>
        <w:t>,</w:t>
      </w:r>
      <w:r w:rsidR="00576D63" w:rsidRPr="00576D63">
        <w:rPr>
          <w:rFonts w:cs="Arial"/>
        </w:rPr>
        <w:t>988</w:t>
      </w:r>
      <w:r w:rsidR="00394EA4">
        <w:rPr>
          <w:rFonts w:cs="Arial"/>
        </w:rPr>
        <w:t xml:space="preserve"> participants for T1D</w:t>
      </w:r>
      <w:r w:rsidR="00CA249B">
        <w:rPr>
          <w:rFonts w:cs="Arial"/>
        </w:rPr>
        <w:t>.</w:t>
      </w:r>
    </w:p>
    <w:p w14:paraId="2D64729A" w14:textId="77777777" w:rsidR="008140AB" w:rsidRDefault="008140AB" w:rsidP="009809EE">
      <w:pPr>
        <w:spacing w:after="0" w:line="480" w:lineRule="auto"/>
      </w:pPr>
    </w:p>
    <w:p w14:paraId="018D5132" w14:textId="1588193C" w:rsidR="00454531" w:rsidRPr="00CA249B" w:rsidRDefault="006B131B" w:rsidP="00CA249B">
      <w:pPr>
        <w:rPr>
          <w:i/>
        </w:rPr>
      </w:pPr>
      <w:bookmarkStart w:id="7" w:name="_Toc50542551"/>
      <w:r w:rsidRPr="00CA249B">
        <w:rPr>
          <w:i/>
        </w:rPr>
        <w:t>Statistical methods</w:t>
      </w:r>
      <w:bookmarkEnd w:id="7"/>
    </w:p>
    <w:p w14:paraId="6B607850" w14:textId="5791BF40" w:rsidR="00747CE2" w:rsidRDefault="00CA249B" w:rsidP="009809EE">
      <w:pPr>
        <w:spacing w:after="0" w:line="480" w:lineRule="auto"/>
      </w:pPr>
      <w:r>
        <w:t>We</w:t>
      </w:r>
      <w:r w:rsidR="009A7008">
        <w:t xml:space="preserve"> described the characteristics of the study cohort, including the distribution of variables and person-years at-risk. </w:t>
      </w:r>
      <w:r>
        <w:t>We</w:t>
      </w:r>
      <w:r w:rsidR="009A7008">
        <w:t xml:space="preserve"> then compared the distribution of these study variables in the exposed and unexposed groups, using statistical tests of the null hypothesis that each variable was equally distributed in each group. For this, </w:t>
      </w:r>
      <w:r>
        <w:t>we</w:t>
      </w:r>
      <w:r w:rsidR="009A7008">
        <w:t xml:space="preserve"> used Chi-squared tests for categorical variables and </w:t>
      </w:r>
      <w:r w:rsidR="009A7008" w:rsidRPr="00CA249B">
        <w:rPr>
          <w:i/>
        </w:rPr>
        <w:t>t</w:t>
      </w:r>
      <w:r w:rsidR="009A7008">
        <w:t xml:space="preserve">-tests for continuous variables. </w:t>
      </w:r>
      <w:r w:rsidR="00747CE2">
        <w:t xml:space="preserve">The explanatory variables identified </w:t>
      </w:r>
      <w:r w:rsidR="00747CE2" w:rsidRPr="00747CE2">
        <w:rPr>
          <w:i/>
        </w:rPr>
        <w:t>a priori</w:t>
      </w:r>
      <w:r w:rsidR="00747CE2">
        <w:t xml:space="preserve"> were: sex, year of birth, </w:t>
      </w:r>
      <w:r w:rsidR="002E5CF2">
        <w:t xml:space="preserve">rate of </w:t>
      </w:r>
      <w:r w:rsidR="00747CE2">
        <w:t xml:space="preserve">GP </w:t>
      </w:r>
      <w:r w:rsidR="00747CE2">
        <w:lastRenderedPageBreak/>
        <w:t>consultation</w:t>
      </w:r>
      <w:r w:rsidR="002E5CF2">
        <w:t>s per year</w:t>
      </w:r>
      <w:r w:rsidR="00747CE2">
        <w:t xml:space="preserve"> and IMD quintile. Region of residence was also included as an explanatory variable. </w:t>
      </w:r>
    </w:p>
    <w:p w14:paraId="6EF4742E" w14:textId="77777777" w:rsidR="009A7008" w:rsidRDefault="009A7008" w:rsidP="009809EE">
      <w:pPr>
        <w:spacing w:after="0" w:line="480" w:lineRule="auto"/>
      </w:pPr>
    </w:p>
    <w:p w14:paraId="13A7093A" w14:textId="6E458699" w:rsidR="00747CE2" w:rsidRDefault="00432DAF" w:rsidP="009809EE">
      <w:pPr>
        <w:spacing w:after="0" w:line="480" w:lineRule="auto"/>
      </w:pPr>
      <w:r>
        <w:t>The primary outcome</w:t>
      </w:r>
      <w:r w:rsidR="00E27F9A">
        <w:t>s</w:t>
      </w:r>
      <w:r>
        <w:t xml:space="preserve"> in </w:t>
      </w:r>
      <w:r w:rsidR="00E27F9A">
        <w:t>this</w:t>
      </w:r>
      <w:r>
        <w:t xml:space="preserve"> analysis w</w:t>
      </w:r>
      <w:r w:rsidR="00E27F9A">
        <w:t>ere</w:t>
      </w:r>
      <w:r>
        <w:t xml:space="preserve"> CD</w:t>
      </w:r>
      <w:r w:rsidR="00E27F9A">
        <w:t xml:space="preserve"> and T1D</w:t>
      </w:r>
      <w:r>
        <w:t>,</w:t>
      </w:r>
      <w:r w:rsidR="00E27F9A">
        <w:t xml:space="preserve"> both</w:t>
      </w:r>
      <w:r>
        <w:t xml:space="preserve"> binary outcome</w:t>
      </w:r>
      <w:r w:rsidR="00E27F9A">
        <w:t>s</w:t>
      </w:r>
      <w:r>
        <w:t xml:space="preserve"> for each participant. </w:t>
      </w:r>
      <w:r w:rsidR="00E27F9A">
        <w:t>We</w:t>
      </w:r>
      <w:r w:rsidR="009A7008">
        <w:t xml:space="preserve"> used a survival analysis to </w:t>
      </w:r>
      <w:r>
        <w:t xml:space="preserve">account for differential person-time at-risk and used Hazard Ratios (HR) as </w:t>
      </w:r>
      <w:r w:rsidR="00E27F9A">
        <w:t>our</w:t>
      </w:r>
      <w:r>
        <w:t xml:space="preserve"> measure of association.</w:t>
      </w:r>
      <w:r w:rsidR="00983D4B">
        <w:t xml:space="preserve"> </w:t>
      </w:r>
      <w:r w:rsidR="00E27F9A">
        <w:t>We</w:t>
      </w:r>
      <w:r w:rsidR="00DA35C9">
        <w:t xml:space="preserve"> used a Kaplan-Meier estimator to visualise the survival function of exposed and unexposed groups.</w:t>
      </w:r>
      <w:r w:rsidR="003248E2">
        <w:t xml:space="preserve"> Time at risk was defined as days since the participant entered the cohort at six months of age.</w:t>
      </w:r>
      <w:r>
        <w:t xml:space="preserve"> </w:t>
      </w:r>
      <w:r w:rsidR="00E27F9A">
        <w:t>We</w:t>
      </w:r>
      <w:r>
        <w:t xml:space="preserve"> used a mixed-effect</w:t>
      </w:r>
      <w:r w:rsidR="00747CE2">
        <w:t>s</w:t>
      </w:r>
      <w:r>
        <w:t xml:space="preserve"> Cox regression model to estimate the relationships between </w:t>
      </w:r>
      <w:r w:rsidR="00E27F9A">
        <w:t xml:space="preserve">the </w:t>
      </w:r>
      <w:r>
        <w:t>Hazard</w:t>
      </w:r>
      <w:r w:rsidR="00E27F9A">
        <w:t>s</w:t>
      </w:r>
      <w:r>
        <w:t xml:space="preserve"> of CD</w:t>
      </w:r>
      <w:r w:rsidR="00E27F9A">
        <w:t>, T1D</w:t>
      </w:r>
      <w:r>
        <w:t xml:space="preserve"> and a range of explanatory variables. Random GP practice-level intercepts were included to accommodate unmeasured differences in explanatory variable and outcome recording between practices. </w:t>
      </w:r>
      <w:r w:rsidR="006F1033">
        <w:t xml:space="preserve">To build the multivariable model, </w:t>
      </w:r>
      <w:r w:rsidR="00E27F9A">
        <w:t>we</w:t>
      </w:r>
      <w:r w:rsidR="001A25BD">
        <w:t xml:space="preserve"> initially included all explanatory variables identified as scientifically relevant, then added other explanatory variables, retaining them in the model if they improved model parsimony, as measured using the Akaike Information C</w:t>
      </w:r>
      <w:r w:rsidR="001A25BD" w:rsidRPr="001A25BD">
        <w:t>riterion</w:t>
      </w:r>
      <w:r w:rsidR="001A25BD">
        <w:t xml:space="preserve"> (AIC). </w:t>
      </w:r>
      <w:r w:rsidR="00E27F9A">
        <w:t>We</w:t>
      </w:r>
      <w:r w:rsidR="001A25BD">
        <w:t xml:space="preserve"> test</w:t>
      </w:r>
      <w:r w:rsidR="004C5C91">
        <w:t>ed the proportional hazards assumption of the semi-parametric Cox model and checked for interactions between explanatory variables.</w:t>
      </w:r>
    </w:p>
    <w:p w14:paraId="0A19ABCC" w14:textId="77777777" w:rsidR="00B12F24" w:rsidRDefault="00B12F24" w:rsidP="009809EE">
      <w:pPr>
        <w:spacing w:after="0" w:line="480" w:lineRule="auto"/>
      </w:pPr>
    </w:p>
    <w:p w14:paraId="4678516B" w14:textId="503BB359" w:rsidR="00E8208C" w:rsidRDefault="004C5C91" w:rsidP="009809EE">
      <w:pPr>
        <w:spacing w:after="0" w:line="480" w:lineRule="auto"/>
      </w:pPr>
      <w:r>
        <w:t xml:space="preserve">In addition, </w:t>
      </w:r>
      <w:r w:rsidR="00E27F9A">
        <w:t>we</w:t>
      </w:r>
      <w:r w:rsidR="00B12F24">
        <w:t xml:space="preserve"> conducted a sensitivity analysis </w:t>
      </w:r>
      <w:r>
        <w:t xml:space="preserve">which </w:t>
      </w:r>
      <w:r w:rsidR="00B12F24">
        <w:t>includ</w:t>
      </w:r>
      <w:r>
        <w:t>ed</w:t>
      </w:r>
      <w:r w:rsidR="00B12F24">
        <w:t xml:space="preserve"> only those born post vaccine introduction in July 2013 in order to analyse to the effect of </w:t>
      </w:r>
      <w:r w:rsidR="00B12F24" w:rsidRPr="00B12F24">
        <w:t xml:space="preserve">increased awareness and diagnostic testing </w:t>
      </w:r>
      <w:r>
        <w:t>in this later</w:t>
      </w:r>
      <w:r w:rsidR="00B12F24">
        <w:t xml:space="preserve"> follow-up period.</w:t>
      </w:r>
      <w:r>
        <w:t xml:space="preserve"> </w:t>
      </w:r>
      <w:r w:rsidR="00E27F9A">
        <w:t>We</w:t>
      </w:r>
      <w:r>
        <w:t xml:space="preserve"> also conducted another sensitivity analysis which did not right-censor person-time at-risk at participants</w:t>
      </w:r>
      <w:r w:rsidR="00656AE3">
        <w:t>’</w:t>
      </w:r>
      <w:r>
        <w:t xml:space="preserve"> seventh birthdays, to examine any potential impact on older children.</w:t>
      </w:r>
      <w:r w:rsidR="00E27F9A">
        <w:t xml:space="preserve"> We </w:t>
      </w:r>
      <w:r w:rsidR="00E8208C">
        <w:t>cond</w:t>
      </w:r>
      <w:r w:rsidR="00865FF4">
        <w:t xml:space="preserve">ucted all analyses using R </w:t>
      </w:r>
      <w:r w:rsidR="00643238">
        <w:t xml:space="preserve">version </w:t>
      </w:r>
      <w:r w:rsidR="00865FF4">
        <w:t>3</w:t>
      </w:r>
      <w:r w:rsidR="0085732A">
        <w:t>.</w:t>
      </w:r>
      <w:r w:rsidR="00865FF4">
        <w:t>6</w:t>
      </w:r>
      <w:r w:rsidR="0085732A">
        <w:t>.</w:t>
      </w:r>
      <w:r w:rsidR="00865FF4">
        <w:t>1</w:t>
      </w:r>
      <w:r w:rsidR="00643238">
        <w:t xml:space="preserve"> (R Core Team</w:t>
      </w:r>
      <w:r w:rsidR="003038BA">
        <w:t>:</w:t>
      </w:r>
      <w:r w:rsidR="00643238">
        <w:t xml:space="preserve"> Vienna, Austria), using the</w:t>
      </w:r>
      <w:r w:rsidR="00E8208C">
        <w:t xml:space="preserve"> survival and coxme packages.</w:t>
      </w:r>
      <w:r w:rsidR="00561D80">
        <w:fldChar w:fldCharType="begin"/>
      </w:r>
      <w:r w:rsidR="00A4266C">
        <w:instrText xml:space="preserve"> ADDIN ZOTERO_ITEM CSL_CITATION {"citationID":"XMEkRiaT","properties":{"formattedCitation":"[28, 29]","plainCitation":"[28, 29]","noteIndex":0},"citationItems":[{"id":7687,"uris":["http://zotero.org/groups/2736408/items/P2B397YJ"],"uri":["http://zotero.org/groups/2736408/items/P2B397YJ"],"itemData":{"id":7687,"type":"article","title":"coxme: Mixed Effects Cox Models","URL":"https://CRAN.R-project.org/package=coxme","author":[{"family":"Therneau","given":"Terry M."}],"accessed":{"date-parts":[["2020",7,23]]},"issued":{"date-parts":[["2020"]]}}},{"id":7686,"uris":["http://zotero.org/groups/2736408/items/CA2PYJL7"],"uri":["http://zotero.org/groups/2736408/items/CA2PYJL7"],"itemData":{"id":7686,"type":"chapter","container-title":"Modeling survival data: extending the Cox model","page":"39-77","publisher":"Springer","title":"The Cox model","author":[{"family":"Therneau","given":"Terry M."},{"family":"Grambsch","given":"Patricia M."}],"issued":{"date-parts":[["2000"]]}}}],"schema":"https://github.com/citation-style-language/schema/raw/master/csl-citation.json"} </w:instrText>
      </w:r>
      <w:r w:rsidR="00561D80">
        <w:fldChar w:fldCharType="separate"/>
      </w:r>
      <w:r w:rsidR="001B04AA" w:rsidRPr="001B04AA">
        <w:rPr>
          <w:rFonts w:ascii="Calibri" w:hAnsi="Calibri" w:cs="Calibri"/>
        </w:rPr>
        <w:t>[28, 29]</w:t>
      </w:r>
      <w:r w:rsidR="00561D80">
        <w:fldChar w:fldCharType="end"/>
      </w:r>
    </w:p>
    <w:p w14:paraId="10D84B11" w14:textId="77777777" w:rsidR="006B131B" w:rsidRDefault="006B131B" w:rsidP="009809EE">
      <w:pPr>
        <w:spacing w:after="0" w:line="480" w:lineRule="auto"/>
      </w:pPr>
    </w:p>
    <w:p w14:paraId="631CCE6B" w14:textId="4F6774A8" w:rsidR="00454531" w:rsidRPr="00E27F9A" w:rsidRDefault="00E27F9A" w:rsidP="00E27F9A">
      <w:pPr>
        <w:spacing w:after="0" w:line="480" w:lineRule="auto"/>
        <w:rPr>
          <w:b/>
        </w:rPr>
      </w:pPr>
      <w:r w:rsidRPr="00E27F9A">
        <w:rPr>
          <w:b/>
        </w:rPr>
        <w:t>Results</w:t>
      </w:r>
    </w:p>
    <w:p w14:paraId="08A6301C" w14:textId="130EF614" w:rsidR="00865FF4" w:rsidRPr="00E27F9A" w:rsidRDefault="00DA35C9" w:rsidP="00E27F9A">
      <w:pPr>
        <w:rPr>
          <w:i/>
        </w:rPr>
      </w:pPr>
      <w:bookmarkStart w:id="8" w:name="_Toc50542554"/>
      <w:r w:rsidRPr="00E27F9A">
        <w:rPr>
          <w:i/>
        </w:rPr>
        <w:t>Study participants</w:t>
      </w:r>
      <w:bookmarkEnd w:id="8"/>
    </w:p>
    <w:p w14:paraId="3C4CC8D5" w14:textId="47705ACC" w:rsidR="00F81919" w:rsidRDefault="00A3064B" w:rsidP="00C91605">
      <w:pPr>
        <w:spacing w:after="0" w:line="480" w:lineRule="auto"/>
      </w:pPr>
      <w:r>
        <w:lastRenderedPageBreak/>
        <w:t xml:space="preserve">The </w:t>
      </w:r>
      <w:r w:rsidR="00E05A37">
        <w:t xml:space="preserve">study </w:t>
      </w:r>
      <w:r>
        <w:t xml:space="preserve">dataset extracted from </w:t>
      </w:r>
      <w:r w:rsidRPr="002B703E">
        <w:t>CPRD</w:t>
      </w:r>
      <w:r w:rsidR="00215631">
        <w:t xml:space="preserve"> Aurum</w:t>
      </w:r>
      <w:r w:rsidRPr="002B703E">
        <w:t xml:space="preserve"> contained 926</w:t>
      </w:r>
      <w:r w:rsidR="00B545A6">
        <w:t>,</w:t>
      </w:r>
      <w:r w:rsidRPr="002B703E">
        <w:t xml:space="preserve">013 participants. After applying </w:t>
      </w:r>
      <w:r w:rsidR="00625183">
        <w:t>study</w:t>
      </w:r>
      <w:r w:rsidR="003F62DE" w:rsidRPr="002B703E">
        <w:t xml:space="preserve"> </w:t>
      </w:r>
      <w:r w:rsidRPr="002B703E">
        <w:t xml:space="preserve">inclusion criteria, </w:t>
      </w:r>
      <w:r w:rsidR="005516C7" w:rsidRPr="002B703E">
        <w:t xml:space="preserve">the cohort contained </w:t>
      </w:r>
      <w:r w:rsidR="00625183" w:rsidRPr="00625183">
        <w:t>880</w:t>
      </w:r>
      <w:r w:rsidR="00B545A6">
        <w:t>,</w:t>
      </w:r>
      <w:r w:rsidR="00625183" w:rsidRPr="00625183">
        <w:t>629</w:t>
      </w:r>
      <w:r w:rsidRPr="002B703E">
        <w:t xml:space="preserve"> participants</w:t>
      </w:r>
      <w:r w:rsidR="005516C7" w:rsidRPr="002B703E">
        <w:t xml:space="preserve">. </w:t>
      </w:r>
      <w:r w:rsidR="00F81919" w:rsidRPr="002B703E">
        <w:t xml:space="preserve">Of these, </w:t>
      </w:r>
      <w:r w:rsidR="00625183" w:rsidRPr="00625183">
        <w:t>429</w:t>
      </w:r>
      <w:r w:rsidR="00B545A6">
        <w:t>,</w:t>
      </w:r>
      <w:r w:rsidR="00625183" w:rsidRPr="00625183">
        <w:t>673</w:t>
      </w:r>
      <w:r w:rsidR="00F81919" w:rsidRPr="002B703E">
        <w:t xml:space="preserve"> (48</w:t>
      </w:r>
      <w:r w:rsidR="0085732A">
        <w:t>.</w:t>
      </w:r>
      <w:r w:rsidR="00F81919" w:rsidRPr="002B703E">
        <w:t xml:space="preserve">8%) were female and the </w:t>
      </w:r>
      <w:r w:rsidR="00BA1E70" w:rsidRPr="002B703E">
        <w:t>most common geographical locations were London (20.</w:t>
      </w:r>
      <w:r w:rsidR="00625183">
        <w:t>6</w:t>
      </w:r>
      <w:r w:rsidR="00BA1E70" w:rsidRPr="002B703E">
        <w:t>%) and West Midlands (16</w:t>
      </w:r>
      <w:r w:rsidR="0085732A">
        <w:t>.</w:t>
      </w:r>
      <w:r w:rsidR="00BA1E70" w:rsidRPr="002B703E">
        <w:t>7%).</w:t>
      </w:r>
      <w:r w:rsidR="00194D0D" w:rsidRPr="002B703E">
        <w:t xml:space="preserve"> Participants were registered at a total of </w:t>
      </w:r>
      <w:r w:rsidR="00FC0152" w:rsidRPr="002B703E">
        <w:t>890</w:t>
      </w:r>
      <w:r w:rsidR="00194D0D" w:rsidRPr="002B703E">
        <w:t xml:space="preserve"> GP practices.</w:t>
      </w:r>
      <w:r w:rsidR="00BA1E70" w:rsidRPr="002B703E">
        <w:t xml:space="preserve"> </w:t>
      </w:r>
      <w:r w:rsidR="00E84334" w:rsidRPr="002B703E">
        <w:t xml:space="preserve">A total of </w:t>
      </w:r>
      <w:r w:rsidR="00E84334" w:rsidRPr="00755EEB">
        <w:t>343</w:t>
      </w:r>
      <w:r w:rsidR="006C4AEE">
        <w:t>,</w:t>
      </w:r>
      <w:r w:rsidR="00E84334" w:rsidRPr="00755EEB">
        <w:t>113</w:t>
      </w:r>
      <w:r w:rsidR="00E84334" w:rsidRPr="002B703E">
        <w:t xml:space="preserve"> (</w:t>
      </w:r>
      <w:r w:rsidR="00E84334">
        <w:t>39</w:t>
      </w:r>
      <w:r w:rsidR="0085732A">
        <w:t>.</w:t>
      </w:r>
      <w:r w:rsidR="00E84334">
        <w:t>0</w:t>
      </w:r>
      <w:r w:rsidR="00E84334" w:rsidRPr="002B703E">
        <w:t>%) participants had rotavirus vaccination; in those born after the introduction of routine rotavirus vaccination, 9</w:t>
      </w:r>
      <w:r w:rsidR="00E84334">
        <w:t>3</w:t>
      </w:r>
      <w:r w:rsidR="0085732A">
        <w:t>.</w:t>
      </w:r>
      <w:r w:rsidR="00E84334">
        <w:t>4</w:t>
      </w:r>
      <w:r w:rsidR="00E84334" w:rsidRPr="002B703E">
        <w:t>% were vaccinated.</w:t>
      </w:r>
      <w:r w:rsidR="007C1DF5">
        <w:t xml:space="preserve"> Of those with rotavirus vaccination, </w:t>
      </w:r>
      <w:r w:rsidR="007C1DF5" w:rsidRPr="007C1DF5">
        <w:t>19</w:t>
      </w:r>
      <w:r w:rsidR="006C4AEE">
        <w:t>,</w:t>
      </w:r>
      <w:r w:rsidR="007C1DF5" w:rsidRPr="007C1DF5">
        <w:t>413</w:t>
      </w:r>
      <w:r w:rsidR="007C1DF5">
        <w:t xml:space="preserve"> (5.7%) received only one dose.</w:t>
      </w:r>
      <w:r w:rsidR="00E84334" w:rsidRPr="002B703E">
        <w:t xml:space="preserve"> </w:t>
      </w:r>
      <w:r w:rsidR="00EB34F9">
        <w:t xml:space="preserve">We also found that participants were recorded having 1317 episodes of rotavirus gastroenteritis. </w:t>
      </w:r>
      <w:r w:rsidR="00BA1E70" w:rsidRPr="002B703E">
        <w:t xml:space="preserve">For a full description of cohort characteristics and explanatory variable distributions, please see Table </w:t>
      </w:r>
      <w:r w:rsidR="00625183">
        <w:t>1</w:t>
      </w:r>
      <w:r w:rsidR="00BA1E70" w:rsidRPr="002B703E">
        <w:t>.</w:t>
      </w:r>
    </w:p>
    <w:p w14:paraId="68C172AF" w14:textId="77777777" w:rsidR="00004BE5" w:rsidRDefault="00004BE5" w:rsidP="00C91605">
      <w:pPr>
        <w:spacing w:after="0" w:line="480" w:lineRule="auto"/>
      </w:pPr>
    </w:p>
    <w:p w14:paraId="6059A593" w14:textId="42BCFE58" w:rsidR="00004BE5" w:rsidRDefault="00C879DD" w:rsidP="00C91605">
      <w:pPr>
        <w:spacing w:after="0" w:line="480" w:lineRule="auto"/>
      </w:pPr>
      <w:r>
        <w:t xml:space="preserve">When </w:t>
      </w:r>
      <w:r w:rsidR="009C6D89">
        <w:t>we</w:t>
      </w:r>
      <w:r>
        <w:t xml:space="preserve"> </w:t>
      </w:r>
      <w:r w:rsidR="00004BE5">
        <w:t>explor</w:t>
      </w:r>
      <w:r>
        <w:t>ed</w:t>
      </w:r>
      <w:r w:rsidR="00004BE5">
        <w:t xml:space="preserve"> the relationship between </w:t>
      </w:r>
      <w:r>
        <w:t>rotavirus vaccination</w:t>
      </w:r>
      <w:r w:rsidR="00004BE5">
        <w:t xml:space="preserve"> and other </w:t>
      </w:r>
      <w:r>
        <w:t xml:space="preserve">explanatory </w:t>
      </w:r>
      <w:r w:rsidR="00004BE5">
        <w:t>variables, all of these v</w:t>
      </w:r>
      <w:r w:rsidR="009841BF">
        <w:t>ariables, apart from sex (p = 0</w:t>
      </w:r>
      <w:r w:rsidR="0085732A">
        <w:t>.</w:t>
      </w:r>
      <w:r w:rsidR="00E3242F">
        <w:t>719</w:t>
      </w:r>
      <w:r w:rsidR="00004BE5">
        <w:t>), were associated</w:t>
      </w:r>
      <w:r w:rsidR="00134181">
        <w:t xml:space="preserve"> with vaccine status</w:t>
      </w:r>
      <w:r w:rsidR="00004BE5">
        <w:t>. Due to the introduction of the rotavirus vaccine into the routine immunisation schedule in 2013, there was a</w:t>
      </w:r>
      <w:r w:rsidR="00134181">
        <w:t>n</w:t>
      </w:r>
      <w:r w:rsidR="00004BE5">
        <w:t xml:space="preserve"> associ</w:t>
      </w:r>
      <w:r w:rsidR="009841BF">
        <w:t>ation with year of birth (p &lt; 0</w:t>
      </w:r>
      <w:r w:rsidR="0085732A">
        <w:t>.</w:t>
      </w:r>
      <w:r w:rsidR="00004BE5">
        <w:t xml:space="preserve">001). </w:t>
      </w:r>
      <w:r w:rsidR="003E21B8">
        <w:t>Children with rotavirus vaccination also had a higher mean rate of GP consultations per year (</w:t>
      </w:r>
      <w:r w:rsidR="00B53FDE">
        <w:t>7</w:t>
      </w:r>
      <w:r w:rsidR="0085732A">
        <w:t>.</w:t>
      </w:r>
      <w:r w:rsidR="00B53FDE">
        <w:t>63</w:t>
      </w:r>
      <w:r w:rsidR="003E21B8">
        <w:t>) than children without rotavirus vaccination (</w:t>
      </w:r>
      <w:r w:rsidR="00B53FDE">
        <w:t>7.08</w:t>
      </w:r>
      <w:r w:rsidR="00134181">
        <w:t xml:space="preserve">, </w:t>
      </w:r>
      <w:r w:rsidR="003E21B8">
        <w:t>(p &lt; 0</w:t>
      </w:r>
      <w:r w:rsidR="0085732A">
        <w:t>.</w:t>
      </w:r>
      <w:r w:rsidR="003E21B8">
        <w:t xml:space="preserve">001). </w:t>
      </w:r>
      <w:r w:rsidR="00134181">
        <w:t xml:space="preserve">There was an association between </w:t>
      </w:r>
      <w:r w:rsidR="00004BE5">
        <w:t xml:space="preserve">rotavirus vaccination </w:t>
      </w:r>
      <w:r w:rsidR="003E21B8">
        <w:t xml:space="preserve">and </w:t>
      </w:r>
      <w:r w:rsidR="009841BF">
        <w:t>geographical location (p &lt; 0</w:t>
      </w:r>
      <w:r w:rsidR="0085732A">
        <w:t>.</w:t>
      </w:r>
      <w:r w:rsidR="003E21B8">
        <w:t xml:space="preserve">001) </w:t>
      </w:r>
      <w:r w:rsidR="00134181">
        <w:t xml:space="preserve">and </w:t>
      </w:r>
      <w:r w:rsidR="00B53FDE">
        <w:t>rotavirus vaccination and</w:t>
      </w:r>
      <w:r w:rsidR="00556FC4">
        <w:t xml:space="preserve"> IMD quintile of residence</w:t>
      </w:r>
      <w:r w:rsidR="009841BF">
        <w:t xml:space="preserve"> (p &lt; 0</w:t>
      </w:r>
      <w:r w:rsidR="0085732A">
        <w:t>.</w:t>
      </w:r>
      <w:r w:rsidR="00B53FDE">
        <w:t>001).</w:t>
      </w:r>
      <w:r w:rsidR="00556FC4">
        <w:t xml:space="preserve"> </w:t>
      </w:r>
    </w:p>
    <w:p w14:paraId="3271CA5E" w14:textId="77777777" w:rsidR="009A1951" w:rsidRDefault="009A1951" w:rsidP="00271850">
      <w:pPr>
        <w:rPr>
          <w:b/>
        </w:rPr>
      </w:pPr>
    </w:p>
    <w:p w14:paraId="3658E4ED" w14:textId="77777777" w:rsidR="00271850" w:rsidRPr="006B27B6" w:rsidRDefault="00271850" w:rsidP="00271850">
      <w:pPr>
        <w:rPr>
          <w:b/>
        </w:rPr>
      </w:pPr>
      <w:r w:rsidRPr="006B27B6">
        <w:rPr>
          <w:b/>
        </w:rPr>
        <w:t>Table 1: Cohort participant characteristics and distribution of explanatory variables, by rotavirus vaccination status</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1951"/>
        <w:gridCol w:w="1700"/>
        <w:gridCol w:w="608"/>
        <w:gridCol w:w="380"/>
        <w:gridCol w:w="608"/>
        <w:gridCol w:w="380"/>
        <w:gridCol w:w="608"/>
        <w:gridCol w:w="380"/>
        <w:gridCol w:w="707"/>
      </w:tblGrid>
      <w:tr w:rsidR="00271850" w:rsidRPr="00C24F78" w14:paraId="0431A598" w14:textId="77777777" w:rsidTr="00F61E90">
        <w:trPr>
          <w:tblHeader/>
          <w:tblCellSpacing w:w="15" w:type="dxa"/>
          <w:jc w:val="center"/>
        </w:trPr>
        <w:tc>
          <w:tcPr>
            <w:tcW w:w="0" w:type="auto"/>
            <w:tcBorders>
              <w:top w:val="single" w:sz="12" w:space="0" w:color="auto"/>
              <w:bottom w:val="single" w:sz="4" w:space="0" w:color="auto"/>
            </w:tcBorders>
            <w:vAlign w:val="center"/>
            <w:hideMark/>
          </w:tcPr>
          <w:p w14:paraId="0B5327D3" w14:textId="77777777" w:rsidR="00271850" w:rsidRPr="00C24F78" w:rsidRDefault="00271850" w:rsidP="00F61E90">
            <w:pPr>
              <w:spacing w:after="0" w:line="240" w:lineRule="auto"/>
              <w:rPr>
                <w:rFonts w:eastAsia="Times New Roman" w:cstheme="minorHAnsi"/>
                <w:b/>
                <w:sz w:val="18"/>
                <w:szCs w:val="18"/>
                <w:lang w:eastAsia="en-GB"/>
              </w:rPr>
            </w:pPr>
            <w:r w:rsidRPr="00C24F78">
              <w:rPr>
                <w:rFonts w:eastAsia="Times New Roman" w:cstheme="minorHAnsi"/>
                <w:b/>
                <w:sz w:val="18"/>
                <w:szCs w:val="18"/>
                <w:lang w:eastAsia="en-GB"/>
              </w:rPr>
              <w:t>Variable</w:t>
            </w:r>
          </w:p>
        </w:tc>
        <w:tc>
          <w:tcPr>
            <w:tcW w:w="0" w:type="auto"/>
            <w:tcBorders>
              <w:top w:val="single" w:sz="12" w:space="0" w:color="auto"/>
              <w:bottom w:val="single" w:sz="4" w:space="0" w:color="auto"/>
            </w:tcBorders>
            <w:vAlign w:val="center"/>
            <w:hideMark/>
          </w:tcPr>
          <w:p w14:paraId="102B8752" w14:textId="77777777" w:rsidR="00271850" w:rsidRPr="00C24F78" w:rsidRDefault="00271850" w:rsidP="00F61E90">
            <w:pPr>
              <w:spacing w:after="0" w:line="240" w:lineRule="auto"/>
              <w:rPr>
                <w:rFonts w:eastAsia="Times New Roman" w:cstheme="minorHAnsi"/>
                <w:bCs/>
                <w:sz w:val="18"/>
                <w:szCs w:val="18"/>
                <w:lang w:eastAsia="en-GB"/>
              </w:rPr>
            </w:pPr>
          </w:p>
        </w:tc>
        <w:tc>
          <w:tcPr>
            <w:tcW w:w="0" w:type="auto"/>
            <w:tcBorders>
              <w:top w:val="single" w:sz="12" w:space="0" w:color="auto"/>
              <w:bottom w:val="single" w:sz="4" w:space="0" w:color="auto"/>
            </w:tcBorders>
            <w:vAlign w:val="center"/>
            <w:hideMark/>
          </w:tcPr>
          <w:p w14:paraId="70F31B12" w14:textId="77777777" w:rsidR="00271850" w:rsidRPr="00C24F78" w:rsidRDefault="00271850" w:rsidP="00F61E90">
            <w:pPr>
              <w:spacing w:after="0" w:line="240" w:lineRule="auto"/>
              <w:rPr>
                <w:rFonts w:eastAsia="Times New Roman" w:cstheme="minorHAnsi"/>
                <w:b/>
                <w:bCs/>
                <w:sz w:val="18"/>
                <w:szCs w:val="18"/>
                <w:lang w:eastAsia="en-GB"/>
              </w:rPr>
            </w:pPr>
            <w:r w:rsidRPr="00C24F78">
              <w:rPr>
                <w:rFonts w:eastAsia="Times New Roman" w:cstheme="minorHAnsi"/>
                <w:b/>
                <w:bCs/>
                <w:sz w:val="18"/>
                <w:szCs w:val="18"/>
                <w:lang w:eastAsia="en-GB"/>
              </w:rPr>
              <w:t>Overall</w:t>
            </w:r>
          </w:p>
        </w:tc>
        <w:tc>
          <w:tcPr>
            <w:tcW w:w="0" w:type="auto"/>
            <w:tcBorders>
              <w:top w:val="single" w:sz="12" w:space="0" w:color="auto"/>
              <w:bottom w:val="single" w:sz="4" w:space="0" w:color="auto"/>
            </w:tcBorders>
          </w:tcPr>
          <w:p w14:paraId="396269EA" w14:textId="77777777" w:rsidR="00271850" w:rsidRPr="00C24F78" w:rsidRDefault="00271850" w:rsidP="00F61E90">
            <w:pPr>
              <w:spacing w:after="0" w:line="240" w:lineRule="auto"/>
              <w:rPr>
                <w:rFonts w:eastAsia="Times New Roman" w:cstheme="minorHAnsi"/>
                <w:b/>
                <w:bCs/>
                <w:sz w:val="18"/>
                <w:szCs w:val="18"/>
                <w:lang w:eastAsia="en-GB"/>
              </w:rPr>
            </w:pPr>
          </w:p>
        </w:tc>
        <w:tc>
          <w:tcPr>
            <w:tcW w:w="0" w:type="auto"/>
            <w:gridSpan w:val="2"/>
            <w:tcBorders>
              <w:top w:val="single" w:sz="12" w:space="0" w:color="auto"/>
              <w:bottom w:val="single" w:sz="4" w:space="0" w:color="auto"/>
            </w:tcBorders>
            <w:vAlign w:val="center"/>
          </w:tcPr>
          <w:p w14:paraId="0F8610E6" w14:textId="77777777" w:rsidR="00271850" w:rsidRPr="00C24F78" w:rsidRDefault="00271850" w:rsidP="00F61E90">
            <w:pPr>
              <w:spacing w:after="0" w:line="240" w:lineRule="auto"/>
              <w:rPr>
                <w:rFonts w:eastAsia="Times New Roman" w:cstheme="minorHAnsi"/>
                <w:b/>
                <w:bCs/>
                <w:sz w:val="18"/>
                <w:szCs w:val="18"/>
                <w:lang w:eastAsia="en-GB"/>
              </w:rPr>
            </w:pPr>
            <w:r w:rsidRPr="00C24F78">
              <w:rPr>
                <w:rFonts w:eastAsia="Times New Roman" w:cstheme="minorHAnsi"/>
                <w:b/>
                <w:bCs/>
                <w:sz w:val="18"/>
                <w:szCs w:val="18"/>
                <w:lang w:eastAsia="en-GB"/>
              </w:rPr>
              <w:t>No rotavirus</w:t>
            </w:r>
          </w:p>
          <w:p w14:paraId="254307B2" w14:textId="77777777" w:rsidR="00271850" w:rsidRPr="00C24F78" w:rsidRDefault="00271850" w:rsidP="00F61E90">
            <w:pPr>
              <w:spacing w:after="0" w:line="240" w:lineRule="auto"/>
              <w:rPr>
                <w:rFonts w:eastAsia="Times New Roman" w:cstheme="minorHAnsi"/>
                <w:b/>
                <w:bCs/>
                <w:sz w:val="18"/>
                <w:szCs w:val="18"/>
                <w:lang w:eastAsia="en-GB"/>
              </w:rPr>
            </w:pPr>
            <w:r w:rsidRPr="00C24F78">
              <w:rPr>
                <w:rFonts w:eastAsia="Times New Roman" w:cstheme="minorHAnsi"/>
                <w:b/>
                <w:bCs/>
                <w:sz w:val="18"/>
                <w:szCs w:val="18"/>
                <w:lang w:eastAsia="en-GB"/>
              </w:rPr>
              <w:t>vaccination</w:t>
            </w:r>
          </w:p>
        </w:tc>
        <w:tc>
          <w:tcPr>
            <w:tcW w:w="0" w:type="auto"/>
            <w:gridSpan w:val="2"/>
            <w:tcBorders>
              <w:top w:val="single" w:sz="12" w:space="0" w:color="auto"/>
              <w:bottom w:val="single" w:sz="4" w:space="0" w:color="auto"/>
            </w:tcBorders>
            <w:vAlign w:val="center"/>
          </w:tcPr>
          <w:p w14:paraId="178AFDBA" w14:textId="77777777" w:rsidR="00271850" w:rsidRPr="00C24F78" w:rsidRDefault="00271850" w:rsidP="00F61E90">
            <w:pPr>
              <w:spacing w:after="0" w:line="240" w:lineRule="auto"/>
              <w:rPr>
                <w:rFonts w:eastAsia="Times New Roman" w:cstheme="minorHAnsi"/>
                <w:b/>
                <w:bCs/>
                <w:sz w:val="18"/>
                <w:szCs w:val="18"/>
                <w:lang w:eastAsia="en-GB"/>
              </w:rPr>
            </w:pPr>
            <w:r w:rsidRPr="00C24F78">
              <w:rPr>
                <w:rFonts w:eastAsia="Times New Roman" w:cstheme="minorHAnsi"/>
                <w:b/>
                <w:bCs/>
                <w:sz w:val="18"/>
                <w:szCs w:val="18"/>
                <w:lang w:eastAsia="en-GB"/>
              </w:rPr>
              <w:t>Rotavirus</w:t>
            </w:r>
          </w:p>
          <w:p w14:paraId="4A3475AD" w14:textId="77777777" w:rsidR="00271850" w:rsidRPr="00C24F78" w:rsidRDefault="00271850" w:rsidP="00F61E90">
            <w:pPr>
              <w:spacing w:after="0" w:line="240" w:lineRule="auto"/>
              <w:rPr>
                <w:rFonts w:eastAsia="Times New Roman" w:cstheme="minorHAnsi"/>
                <w:b/>
                <w:bCs/>
                <w:sz w:val="18"/>
                <w:szCs w:val="18"/>
                <w:lang w:eastAsia="en-GB"/>
              </w:rPr>
            </w:pPr>
            <w:r w:rsidRPr="00C24F78">
              <w:rPr>
                <w:rFonts w:eastAsia="Times New Roman" w:cstheme="minorHAnsi"/>
                <w:b/>
                <w:bCs/>
                <w:sz w:val="18"/>
                <w:szCs w:val="18"/>
                <w:lang w:eastAsia="en-GB"/>
              </w:rPr>
              <w:t>vaccination</w:t>
            </w:r>
          </w:p>
        </w:tc>
        <w:tc>
          <w:tcPr>
            <w:tcW w:w="0" w:type="auto"/>
            <w:tcBorders>
              <w:top w:val="single" w:sz="12" w:space="0" w:color="auto"/>
              <w:bottom w:val="single" w:sz="4" w:space="0" w:color="auto"/>
            </w:tcBorders>
            <w:vAlign w:val="center"/>
          </w:tcPr>
          <w:p w14:paraId="59935506" w14:textId="1780234D" w:rsidR="00271850" w:rsidRPr="00C24F78" w:rsidRDefault="00271850" w:rsidP="00F61E90">
            <w:pPr>
              <w:spacing w:after="0" w:line="240" w:lineRule="auto"/>
              <w:jc w:val="center"/>
              <w:rPr>
                <w:rFonts w:eastAsia="Times New Roman" w:cstheme="minorHAnsi"/>
                <w:b/>
                <w:bCs/>
                <w:sz w:val="18"/>
                <w:szCs w:val="18"/>
                <w:lang w:eastAsia="en-GB"/>
              </w:rPr>
            </w:pPr>
            <w:r w:rsidRPr="00C24F78">
              <w:rPr>
                <w:rFonts w:eastAsia="Times New Roman" w:cstheme="minorHAnsi"/>
                <w:b/>
                <w:bCs/>
                <w:sz w:val="18"/>
                <w:szCs w:val="18"/>
                <w:lang w:eastAsia="en-GB"/>
              </w:rPr>
              <w:t>P value</w:t>
            </w:r>
            <w:r w:rsidR="00BE149B">
              <w:rPr>
                <w:rFonts w:eastAsia="Times New Roman" w:cstheme="minorHAnsi"/>
                <w:b/>
                <w:bCs/>
                <w:sz w:val="18"/>
                <w:szCs w:val="18"/>
                <w:lang w:eastAsia="en-GB"/>
              </w:rPr>
              <w:t>*</w:t>
            </w:r>
          </w:p>
        </w:tc>
      </w:tr>
      <w:tr w:rsidR="00271850" w:rsidRPr="00C24F78" w14:paraId="5CF629FF" w14:textId="77777777" w:rsidTr="00F61E90">
        <w:trPr>
          <w:tblHeader/>
          <w:tblCellSpacing w:w="15" w:type="dxa"/>
          <w:jc w:val="center"/>
        </w:trPr>
        <w:tc>
          <w:tcPr>
            <w:tcW w:w="0" w:type="auto"/>
            <w:vAlign w:val="center"/>
          </w:tcPr>
          <w:p w14:paraId="7FAA6699" w14:textId="77777777" w:rsidR="00271850" w:rsidRPr="00C24F78" w:rsidRDefault="00271850" w:rsidP="00F61E90">
            <w:pPr>
              <w:spacing w:after="0" w:line="240" w:lineRule="auto"/>
              <w:rPr>
                <w:rFonts w:eastAsia="Times New Roman" w:cstheme="minorHAnsi"/>
                <w:sz w:val="18"/>
                <w:szCs w:val="18"/>
                <w:lang w:eastAsia="en-GB"/>
              </w:rPr>
            </w:pPr>
          </w:p>
        </w:tc>
        <w:tc>
          <w:tcPr>
            <w:tcW w:w="0" w:type="auto"/>
            <w:vAlign w:val="center"/>
          </w:tcPr>
          <w:p w14:paraId="472EE621" w14:textId="77777777" w:rsidR="00271850" w:rsidRPr="00C24F78" w:rsidRDefault="00271850" w:rsidP="00F61E90">
            <w:pPr>
              <w:spacing w:after="0" w:line="240" w:lineRule="auto"/>
              <w:rPr>
                <w:rFonts w:eastAsia="Times New Roman" w:cstheme="minorHAnsi"/>
                <w:bCs/>
                <w:sz w:val="18"/>
                <w:szCs w:val="18"/>
                <w:lang w:eastAsia="en-GB"/>
              </w:rPr>
            </w:pPr>
          </w:p>
        </w:tc>
        <w:tc>
          <w:tcPr>
            <w:tcW w:w="0" w:type="auto"/>
            <w:vAlign w:val="center"/>
          </w:tcPr>
          <w:p w14:paraId="6D3F6537" w14:textId="77777777" w:rsidR="00271850" w:rsidRPr="00C24F78" w:rsidRDefault="00271850" w:rsidP="00F61E90">
            <w:pPr>
              <w:spacing w:after="0" w:line="240" w:lineRule="auto"/>
              <w:jc w:val="center"/>
              <w:rPr>
                <w:rFonts w:eastAsia="Times New Roman" w:cstheme="minorHAnsi"/>
                <w:b/>
                <w:bCs/>
                <w:sz w:val="18"/>
                <w:szCs w:val="18"/>
                <w:lang w:eastAsia="en-GB"/>
              </w:rPr>
            </w:pPr>
            <w:r w:rsidRPr="00C24F78">
              <w:rPr>
                <w:rFonts w:eastAsia="Times New Roman" w:cstheme="minorHAnsi"/>
                <w:b/>
                <w:bCs/>
                <w:sz w:val="18"/>
                <w:szCs w:val="18"/>
                <w:lang w:eastAsia="en-GB"/>
              </w:rPr>
              <w:t>N</w:t>
            </w:r>
          </w:p>
        </w:tc>
        <w:tc>
          <w:tcPr>
            <w:tcW w:w="0" w:type="auto"/>
          </w:tcPr>
          <w:p w14:paraId="341AD808" w14:textId="77777777" w:rsidR="00271850" w:rsidRPr="00C24F78" w:rsidRDefault="00271850" w:rsidP="00F61E90">
            <w:pPr>
              <w:spacing w:after="0" w:line="240" w:lineRule="auto"/>
              <w:jc w:val="center"/>
              <w:rPr>
                <w:rFonts w:eastAsia="Times New Roman" w:cstheme="minorHAnsi"/>
                <w:b/>
                <w:bCs/>
                <w:i/>
                <w:sz w:val="18"/>
                <w:szCs w:val="18"/>
                <w:lang w:eastAsia="en-GB"/>
              </w:rPr>
            </w:pPr>
            <w:r w:rsidRPr="00C24F78">
              <w:rPr>
                <w:rFonts w:eastAsia="Times New Roman" w:cstheme="minorHAnsi"/>
                <w:b/>
                <w:bCs/>
                <w:i/>
                <w:sz w:val="18"/>
                <w:szCs w:val="18"/>
                <w:lang w:eastAsia="en-GB"/>
              </w:rPr>
              <w:t>%</w:t>
            </w:r>
          </w:p>
        </w:tc>
        <w:tc>
          <w:tcPr>
            <w:tcW w:w="0" w:type="auto"/>
            <w:vAlign w:val="center"/>
          </w:tcPr>
          <w:p w14:paraId="04DE77DD" w14:textId="77777777" w:rsidR="00271850" w:rsidRPr="00C24F78" w:rsidRDefault="00271850" w:rsidP="00F61E90">
            <w:pPr>
              <w:spacing w:after="0" w:line="240" w:lineRule="auto"/>
              <w:jc w:val="center"/>
              <w:rPr>
                <w:rFonts w:eastAsia="Times New Roman" w:cstheme="minorHAnsi"/>
                <w:b/>
                <w:bCs/>
                <w:sz w:val="18"/>
                <w:szCs w:val="18"/>
                <w:lang w:eastAsia="en-GB"/>
              </w:rPr>
            </w:pPr>
            <w:r w:rsidRPr="00C24F78">
              <w:rPr>
                <w:rFonts w:eastAsia="Times New Roman" w:cstheme="minorHAnsi"/>
                <w:b/>
                <w:bCs/>
                <w:sz w:val="18"/>
                <w:szCs w:val="18"/>
                <w:lang w:eastAsia="en-GB"/>
              </w:rPr>
              <w:t>n</w:t>
            </w:r>
          </w:p>
        </w:tc>
        <w:tc>
          <w:tcPr>
            <w:tcW w:w="0" w:type="auto"/>
          </w:tcPr>
          <w:p w14:paraId="65A8FB4D" w14:textId="77777777" w:rsidR="00271850" w:rsidRPr="00C24F78" w:rsidRDefault="00271850" w:rsidP="00F61E90">
            <w:pPr>
              <w:spacing w:after="0" w:line="240" w:lineRule="auto"/>
              <w:jc w:val="center"/>
              <w:rPr>
                <w:rFonts w:eastAsia="Times New Roman" w:cstheme="minorHAnsi"/>
                <w:b/>
                <w:bCs/>
                <w:i/>
                <w:sz w:val="18"/>
                <w:szCs w:val="18"/>
                <w:lang w:eastAsia="en-GB"/>
              </w:rPr>
            </w:pPr>
            <w:r w:rsidRPr="00C24F78">
              <w:rPr>
                <w:rFonts w:eastAsia="Times New Roman" w:cstheme="minorHAnsi"/>
                <w:b/>
                <w:bCs/>
                <w:i/>
                <w:sz w:val="18"/>
                <w:szCs w:val="18"/>
                <w:lang w:eastAsia="en-GB"/>
              </w:rPr>
              <w:t>%</w:t>
            </w:r>
          </w:p>
        </w:tc>
        <w:tc>
          <w:tcPr>
            <w:tcW w:w="0" w:type="auto"/>
            <w:vAlign w:val="center"/>
          </w:tcPr>
          <w:p w14:paraId="1EBDA4A6" w14:textId="77777777" w:rsidR="00271850" w:rsidRPr="00C24F78" w:rsidRDefault="00271850" w:rsidP="00F61E90">
            <w:pPr>
              <w:spacing w:after="0" w:line="240" w:lineRule="auto"/>
              <w:jc w:val="center"/>
              <w:rPr>
                <w:rFonts w:eastAsia="Times New Roman" w:cstheme="minorHAnsi"/>
                <w:b/>
                <w:bCs/>
                <w:sz w:val="18"/>
                <w:szCs w:val="18"/>
                <w:lang w:eastAsia="en-GB"/>
              </w:rPr>
            </w:pPr>
            <w:r w:rsidRPr="00C24F78">
              <w:rPr>
                <w:rFonts w:eastAsia="Times New Roman" w:cstheme="minorHAnsi"/>
                <w:b/>
                <w:bCs/>
                <w:sz w:val="18"/>
                <w:szCs w:val="18"/>
                <w:lang w:eastAsia="en-GB"/>
              </w:rPr>
              <w:t>n</w:t>
            </w:r>
          </w:p>
        </w:tc>
        <w:tc>
          <w:tcPr>
            <w:tcW w:w="0" w:type="auto"/>
          </w:tcPr>
          <w:p w14:paraId="6C622874" w14:textId="77777777" w:rsidR="00271850" w:rsidRPr="00C24F78" w:rsidRDefault="00271850" w:rsidP="00F61E90">
            <w:pPr>
              <w:spacing w:after="0" w:line="240" w:lineRule="auto"/>
              <w:jc w:val="center"/>
              <w:rPr>
                <w:rFonts w:eastAsia="Times New Roman" w:cstheme="minorHAnsi"/>
                <w:b/>
                <w:bCs/>
                <w:i/>
                <w:sz w:val="18"/>
                <w:szCs w:val="18"/>
                <w:lang w:eastAsia="en-GB"/>
              </w:rPr>
            </w:pPr>
            <w:r w:rsidRPr="00C24F78">
              <w:rPr>
                <w:rFonts w:eastAsia="Times New Roman" w:cstheme="minorHAnsi"/>
                <w:b/>
                <w:bCs/>
                <w:i/>
                <w:sz w:val="18"/>
                <w:szCs w:val="18"/>
                <w:lang w:eastAsia="en-GB"/>
              </w:rPr>
              <w:t>%</w:t>
            </w:r>
          </w:p>
        </w:tc>
        <w:tc>
          <w:tcPr>
            <w:tcW w:w="0" w:type="auto"/>
          </w:tcPr>
          <w:p w14:paraId="0CB6D42B" w14:textId="77777777" w:rsidR="00271850" w:rsidRPr="00C24F78" w:rsidRDefault="00271850" w:rsidP="00F61E90">
            <w:pPr>
              <w:spacing w:after="0" w:line="240" w:lineRule="auto"/>
              <w:rPr>
                <w:rFonts w:eastAsia="Times New Roman" w:cstheme="minorHAnsi"/>
                <w:b/>
                <w:bCs/>
                <w:sz w:val="18"/>
                <w:szCs w:val="18"/>
                <w:lang w:eastAsia="en-GB"/>
              </w:rPr>
            </w:pPr>
          </w:p>
        </w:tc>
      </w:tr>
      <w:tr w:rsidR="00271850" w:rsidRPr="00C24F78" w14:paraId="42DD2428" w14:textId="77777777" w:rsidTr="00F61E90">
        <w:trPr>
          <w:tblCellSpacing w:w="15" w:type="dxa"/>
          <w:jc w:val="center"/>
        </w:trPr>
        <w:tc>
          <w:tcPr>
            <w:tcW w:w="0" w:type="auto"/>
            <w:vAlign w:val="center"/>
            <w:hideMark/>
          </w:tcPr>
          <w:p w14:paraId="6AB5F433" w14:textId="77777777" w:rsidR="00271850" w:rsidRPr="00C24F78" w:rsidRDefault="00271850" w:rsidP="00F61E90">
            <w:pPr>
              <w:spacing w:after="0" w:line="240" w:lineRule="auto"/>
              <w:rPr>
                <w:rFonts w:eastAsia="Times New Roman" w:cstheme="minorHAnsi"/>
                <w:sz w:val="18"/>
                <w:szCs w:val="18"/>
                <w:lang w:eastAsia="en-GB"/>
              </w:rPr>
            </w:pPr>
            <w:r w:rsidRPr="00C24F78">
              <w:rPr>
                <w:rFonts w:eastAsia="Times New Roman" w:cstheme="minorHAnsi"/>
                <w:sz w:val="18"/>
                <w:szCs w:val="18"/>
                <w:lang w:eastAsia="en-GB"/>
              </w:rPr>
              <w:t>Total participants</w:t>
            </w:r>
          </w:p>
        </w:tc>
        <w:tc>
          <w:tcPr>
            <w:tcW w:w="0" w:type="auto"/>
            <w:vAlign w:val="center"/>
            <w:hideMark/>
          </w:tcPr>
          <w:p w14:paraId="61663D30" w14:textId="77777777" w:rsidR="00271850" w:rsidRPr="00C24F78" w:rsidRDefault="00271850" w:rsidP="00F61E90">
            <w:pPr>
              <w:spacing w:after="0" w:line="240" w:lineRule="auto"/>
              <w:rPr>
                <w:rFonts w:eastAsia="Times New Roman" w:cstheme="minorHAnsi"/>
                <w:sz w:val="18"/>
                <w:szCs w:val="18"/>
                <w:lang w:eastAsia="en-GB"/>
              </w:rPr>
            </w:pPr>
          </w:p>
        </w:tc>
        <w:tc>
          <w:tcPr>
            <w:tcW w:w="0" w:type="auto"/>
            <w:vAlign w:val="center"/>
          </w:tcPr>
          <w:p w14:paraId="2A465386" w14:textId="77777777" w:rsidR="00271850" w:rsidRPr="00C24F78" w:rsidRDefault="00271850" w:rsidP="00F61E90">
            <w:pPr>
              <w:spacing w:after="0" w:line="240" w:lineRule="auto"/>
              <w:jc w:val="right"/>
              <w:rPr>
                <w:rFonts w:eastAsia="Times New Roman" w:cstheme="minorHAnsi"/>
                <w:sz w:val="18"/>
                <w:szCs w:val="18"/>
                <w:lang w:eastAsia="en-GB"/>
              </w:rPr>
            </w:pPr>
            <w:r w:rsidRPr="00C24F78">
              <w:rPr>
                <w:rFonts w:eastAsia="Times New Roman" w:cstheme="minorHAnsi"/>
                <w:sz w:val="18"/>
                <w:szCs w:val="18"/>
                <w:lang w:eastAsia="en-GB"/>
              </w:rPr>
              <w:t>880629</w:t>
            </w:r>
          </w:p>
        </w:tc>
        <w:tc>
          <w:tcPr>
            <w:tcW w:w="0" w:type="auto"/>
          </w:tcPr>
          <w:p w14:paraId="66FF0389" w14:textId="77777777" w:rsidR="00271850" w:rsidRPr="00C24F78" w:rsidRDefault="00271850" w:rsidP="00F61E90">
            <w:pPr>
              <w:spacing w:after="0" w:line="240" w:lineRule="auto"/>
              <w:jc w:val="right"/>
              <w:rPr>
                <w:rFonts w:eastAsia="Times New Roman" w:cstheme="minorHAnsi"/>
                <w:sz w:val="18"/>
                <w:szCs w:val="18"/>
                <w:lang w:eastAsia="en-GB"/>
              </w:rPr>
            </w:pPr>
          </w:p>
        </w:tc>
        <w:tc>
          <w:tcPr>
            <w:tcW w:w="0" w:type="auto"/>
            <w:vAlign w:val="center"/>
          </w:tcPr>
          <w:p w14:paraId="60378006" w14:textId="77777777" w:rsidR="00271850" w:rsidRPr="00C24F78" w:rsidRDefault="00271850" w:rsidP="00F61E90">
            <w:pPr>
              <w:spacing w:after="0" w:line="240" w:lineRule="auto"/>
              <w:jc w:val="right"/>
              <w:rPr>
                <w:rFonts w:eastAsia="Times New Roman" w:cstheme="minorHAnsi"/>
                <w:sz w:val="18"/>
                <w:szCs w:val="18"/>
                <w:lang w:eastAsia="en-GB"/>
              </w:rPr>
            </w:pPr>
            <w:r w:rsidRPr="00C24F78">
              <w:rPr>
                <w:rFonts w:eastAsia="Times New Roman" w:cstheme="minorHAnsi"/>
                <w:sz w:val="18"/>
                <w:szCs w:val="18"/>
                <w:lang w:eastAsia="en-GB"/>
              </w:rPr>
              <w:t>537516</w:t>
            </w:r>
          </w:p>
        </w:tc>
        <w:tc>
          <w:tcPr>
            <w:tcW w:w="0" w:type="auto"/>
            <w:vAlign w:val="center"/>
          </w:tcPr>
          <w:p w14:paraId="4C375D8A" w14:textId="77777777" w:rsidR="00271850" w:rsidRPr="00C24F78" w:rsidRDefault="00271850" w:rsidP="00F61E90">
            <w:pPr>
              <w:spacing w:after="0" w:line="240" w:lineRule="auto"/>
              <w:jc w:val="right"/>
              <w:rPr>
                <w:rFonts w:eastAsia="Times New Roman" w:cstheme="minorHAnsi"/>
                <w:sz w:val="18"/>
                <w:szCs w:val="18"/>
                <w:lang w:eastAsia="en-GB"/>
              </w:rPr>
            </w:pPr>
          </w:p>
        </w:tc>
        <w:tc>
          <w:tcPr>
            <w:tcW w:w="0" w:type="auto"/>
            <w:vAlign w:val="center"/>
          </w:tcPr>
          <w:p w14:paraId="030C5E8A" w14:textId="77777777" w:rsidR="00271850" w:rsidRPr="00C24F78" w:rsidRDefault="00271850" w:rsidP="00F61E90">
            <w:pPr>
              <w:spacing w:after="0" w:line="240" w:lineRule="auto"/>
              <w:jc w:val="right"/>
              <w:rPr>
                <w:rFonts w:eastAsia="Times New Roman" w:cstheme="minorHAnsi"/>
                <w:sz w:val="18"/>
                <w:szCs w:val="18"/>
                <w:lang w:eastAsia="en-GB"/>
              </w:rPr>
            </w:pPr>
            <w:r w:rsidRPr="00C24F78">
              <w:rPr>
                <w:rFonts w:eastAsia="Times New Roman" w:cstheme="minorHAnsi"/>
                <w:sz w:val="18"/>
                <w:szCs w:val="18"/>
                <w:lang w:eastAsia="en-GB"/>
              </w:rPr>
              <w:t>343113</w:t>
            </w:r>
          </w:p>
        </w:tc>
        <w:tc>
          <w:tcPr>
            <w:tcW w:w="0" w:type="auto"/>
            <w:vAlign w:val="center"/>
          </w:tcPr>
          <w:p w14:paraId="0C937AB9" w14:textId="77777777" w:rsidR="00271850" w:rsidRPr="00C24F78" w:rsidRDefault="00271850" w:rsidP="00F61E90">
            <w:pPr>
              <w:spacing w:after="0" w:line="240" w:lineRule="auto"/>
              <w:jc w:val="right"/>
              <w:rPr>
                <w:rFonts w:eastAsia="Times New Roman" w:cstheme="minorHAnsi"/>
                <w:sz w:val="18"/>
                <w:szCs w:val="18"/>
                <w:lang w:eastAsia="en-GB"/>
              </w:rPr>
            </w:pPr>
          </w:p>
        </w:tc>
        <w:tc>
          <w:tcPr>
            <w:tcW w:w="0" w:type="auto"/>
            <w:vAlign w:val="center"/>
          </w:tcPr>
          <w:p w14:paraId="10D7D398" w14:textId="77777777" w:rsidR="00271850" w:rsidRPr="00C24F78" w:rsidRDefault="00271850" w:rsidP="00F61E90">
            <w:pPr>
              <w:spacing w:after="0" w:line="240" w:lineRule="auto"/>
              <w:jc w:val="right"/>
              <w:rPr>
                <w:rFonts w:eastAsia="Times New Roman" w:cstheme="minorHAnsi"/>
                <w:sz w:val="18"/>
                <w:szCs w:val="18"/>
                <w:lang w:eastAsia="en-GB"/>
              </w:rPr>
            </w:pPr>
          </w:p>
        </w:tc>
      </w:tr>
      <w:tr w:rsidR="00271850" w:rsidRPr="00C24F78" w14:paraId="185437E1" w14:textId="77777777" w:rsidTr="00F61E90">
        <w:trPr>
          <w:tblCellSpacing w:w="15" w:type="dxa"/>
          <w:jc w:val="center"/>
        </w:trPr>
        <w:tc>
          <w:tcPr>
            <w:tcW w:w="0" w:type="auto"/>
            <w:vAlign w:val="center"/>
            <w:hideMark/>
          </w:tcPr>
          <w:p w14:paraId="38C0FB18" w14:textId="77777777" w:rsidR="00271850" w:rsidRPr="00C24F78" w:rsidRDefault="00271850" w:rsidP="00F61E90">
            <w:pPr>
              <w:spacing w:after="0" w:line="240" w:lineRule="auto"/>
              <w:rPr>
                <w:rFonts w:eastAsia="Times New Roman" w:cstheme="minorHAnsi"/>
                <w:sz w:val="18"/>
                <w:szCs w:val="18"/>
                <w:lang w:eastAsia="en-GB"/>
              </w:rPr>
            </w:pPr>
            <w:r w:rsidRPr="00C24F78">
              <w:rPr>
                <w:rFonts w:eastAsia="Times New Roman" w:cstheme="minorHAnsi"/>
                <w:sz w:val="18"/>
                <w:szCs w:val="18"/>
                <w:lang w:eastAsia="en-GB"/>
              </w:rPr>
              <w:t xml:space="preserve">Sex </w:t>
            </w:r>
          </w:p>
        </w:tc>
        <w:tc>
          <w:tcPr>
            <w:tcW w:w="0" w:type="auto"/>
            <w:vAlign w:val="center"/>
            <w:hideMark/>
          </w:tcPr>
          <w:p w14:paraId="5E6DA0BB" w14:textId="77777777" w:rsidR="00271850" w:rsidRPr="00C24F78" w:rsidRDefault="00271850" w:rsidP="00F61E90">
            <w:pPr>
              <w:spacing w:after="0" w:line="240" w:lineRule="auto"/>
              <w:rPr>
                <w:rFonts w:eastAsia="Times New Roman" w:cstheme="minorHAnsi"/>
                <w:sz w:val="18"/>
                <w:szCs w:val="18"/>
                <w:lang w:eastAsia="en-GB"/>
              </w:rPr>
            </w:pPr>
            <w:r w:rsidRPr="00C24F78">
              <w:rPr>
                <w:rFonts w:eastAsia="Times New Roman" w:cstheme="minorHAnsi"/>
                <w:sz w:val="18"/>
                <w:szCs w:val="18"/>
                <w:lang w:eastAsia="en-GB"/>
              </w:rPr>
              <w:t xml:space="preserve">Male </w:t>
            </w:r>
          </w:p>
        </w:tc>
        <w:tc>
          <w:tcPr>
            <w:tcW w:w="0" w:type="auto"/>
            <w:vAlign w:val="center"/>
          </w:tcPr>
          <w:p w14:paraId="2EBC1E0C" w14:textId="77777777" w:rsidR="00271850" w:rsidRPr="00C24F78" w:rsidRDefault="00271850" w:rsidP="00F61E90">
            <w:pPr>
              <w:spacing w:after="0" w:line="240" w:lineRule="auto"/>
              <w:jc w:val="right"/>
              <w:rPr>
                <w:rFonts w:eastAsia="Times New Roman" w:cstheme="minorHAnsi"/>
                <w:sz w:val="18"/>
                <w:szCs w:val="18"/>
                <w:lang w:eastAsia="en-GB"/>
              </w:rPr>
            </w:pPr>
            <w:r w:rsidRPr="00C24F78">
              <w:rPr>
                <w:rFonts w:eastAsia="Times New Roman" w:cstheme="minorHAnsi"/>
                <w:sz w:val="18"/>
                <w:szCs w:val="18"/>
                <w:lang w:eastAsia="en-GB"/>
              </w:rPr>
              <w:t>450956</w:t>
            </w:r>
          </w:p>
        </w:tc>
        <w:tc>
          <w:tcPr>
            <w:tcW w:w="0" w:type="auto"/>
          </w:tcPr>
          <w:p w14:paraId="01D96C5C" w14:textId="77777777" w:rsidR="00271850" w:rsidRPr="00C24F78" w:rsidRDefault="00271850" w:rsidP="00F61E90">
            <w:pPr>
              <w:spacing w:after="0" w:line="240" w:lineRule="auto"/>
              <w:jc w:val="right"/>
              <w:rPr>
                <w:rFonts w:eastAsia="Times New Roman" w:cstheme="minorHAnsi"/>
                <w:i/>
                <w:sz w:val="18"/>
                <w:szCs w:val="18"/>
                <w:lang w:eastAsia="en-GB"/>
              </w:rPr>
            </w:pPr>
            <w:r w:rsidRPr="00C24F78">
              <w:rPr>
                <w:rFonts w:eastAsia="Times New Roman" w:cstheme="minorHAnsi"/>
                <w:i/>
                <w:sz w:val="18"/>
                <w:szCs w:val="18"/>
                <w:lang w:eastAsia="en-GB"/>
              </w:rPr>
              <w:t>51</w:t>
            </w:r>
            <w:r>
              <w:rPr>
                <w:rFonts w:eastAsia="Times New Roman" w:cstheme="minorHAnsi"/>
                <w:i/>
                <w:sz w:val="18"/>
                <w:szCs w:val="18"/>
                <w:lang w:eastAsia="en-GB"/>
              </w:rPr>
              <w:t>.</w:t>
            </w:r>
            <w:r w:rsidRPr="00C24F78">
              <w:rPr>
                <w:rFonts w:eastAsia="Times New Roman" w:cstheme="minorHAnsi"/>
                <w:i/>
                <w:sz w:val="18"/>
                <w:szCs w:val="18"/>
                <w:lang w:eastAsia="en-GB"/>
              </w:rPr>
              <w:t>2</w:t>
            </w:r>
          </w:p>
        </w:tc>
        <w:tc>
          <w:tcPr>
            <w:tcW w:w="0" w:type="auto"/>
            <w:vAlign w:val="center"/>
          </w:tcPr>
          <w:p w14:paraId="0D1EA92B" w14:textId="77777777" w:rsidR="00271850" w:rsidRPr="00C24F78" w:rsidRDefault="00271850" w:rsidP="00F61E90">
            <w:pPr>
              <w:spacing w:after="0" w:line="240" w:lineRule="auto"/>
              <w:jc w:val="right"/>
              <w:rPr>
                <w:rFonts w:eastAsia="Times New Roman" w:cstheme="minorHAnsi"/>
                <w:sz w:val="18"/>
                <w:szCs w:val="18"/>
                <w:lang w:eastAsia="en-GB"/>
              </w:rPr>
            </w:pPr>
            <w:r w:rsidRPr="00C24F78">
              <w:rPr>
                <w:rFonts w:eastAsia="Times New Roman" w:cstheme="minorHAnsi"/>
                <w:sz w:val="18"/>
                <w:szCs w:val="18"/>
                <w:lang w:eastAsia="en-GB"/>
              </w:rPr>
              <w:t>275336</w:t>
            </w:r>
          </w:p>
        </w:tc>
        <w:tc>
          <w:tcPr>
            <w:tcW w:w="0" w:type="auto"/>
            <w:vAlign w:val="center"/>
          </w:tcPr>
          <w:p w14:paraId="6C4C7C63" w14:textId="77777777" w:rsidR="00271850" w:rsidRPr="00C24F78" w:rsidRDefault="00271850" w:rsidP="00F61E90">
            <w:pPr>
              <w:spacing w:after="0" w:line="240" w:lineRule="auto"/>
              <w:jc w:val="right"/>
              <w:rPr>
                <w:rFonts w:eastAsia="Times New Roman" w:cstheme="minorHAnsi"/>
                <w:i/>
                <w:sz w:val="18"/>
                <w:szCs w:val="18"/>
                <w:lang w:eastAsia="en-GB"/>
              </w:rPr>
            </w:pPr>
            <w:r w:rsidRPr="00C24F78">
              <w:rPr>
                <w:rFonts w:eastAsia="Times New Roman" w:cstheme="minorHAnsi"/>
                <w:i/>
                <w:sz w:val="18"/>
                <w:szCs w:val="18"/>
                <w:lang w:eastAsia="en-GB"/>
              </w:rPr>
              <w:t>51</w:t>
            </w:r>
            <w:r>
              <w:rPr>
                <w:rFonts w:eastAsia="Times New Roman" w:cstheme="minorHAnsi"/>
                <w:i/>
                <w:sz w:val="18"/>
                <w:szCs w:val="18"/>
                <w:lang w:eastAsia="en-GB"/>
              </w:rPr>
              <w:t>.</w:t>
            </w:r>
            <w:r w:rsidRPr="00C24F78">
              <w:rPr>
                <w:rFonts w:eastAsia="Times New Roman" w:cstheme="minorHAnsi"/>
                <w:i/>
                <w:sz w:val="18"/>
                <w:szCs w:val="18"/>
                <w:lang w:eastAsia="en-GB"/>
              </w:rPr>
              <w:t>2</w:t>
            </w:r>
          </w:p>
        </w:tc>
        <w:tc>
          <w:tcPr>
            <w:tcW w:w="0" w:type="auto"/>
            <w:vAlign w:val="center"/>
          </w:tcPr>
          <w:p w14:paraId="4D4CC16A" w14:textId="77777777" w:rsidR="00271850" w:rsidRPr="00C24F78" w:rsidRDefault="00271850" w:rsidP="00F61E90">
            <w:pPr>
              <w:spacing w:after="0" w:line="240" w:lineRule="auto"/>
              <w:jc w:val="right"/>
              <w:rPr>
                <w:rFonts w:eastAsia="Times New Roman" w:cstheme="minorHAnsi"/>
                <w:sz w:val="18"/>
                <w:szCs w:val="18"/>
                <w:lang w:eastAsia="en-GB"/>
              </w:rPr>
            </w:pPr>
            <w:r w:rsidRPr="00C24F78">
              <w:rPr>
                <w:rFonts w:eastAsia="Times New Roman" w:cstheme="minorHAnsi"/>
                <w:sz w:val="18"/>
                <w:szCs w:val="18"/>
                <w:lang w:eastAsia="en-GB"/>
              </w:rPr>
              <w:t>175620</w:t>
            </w:r>
          </w:p>
        </w:tc>
        <w:tc>
          <w:tcPr>
            <w:tcW w:w="0" w:type="auto"/>
            <w:vAlign w:val="center"/>
          </w:tcPr>
          <w:p w14:paraId="14A4D9F3" w14:textId="77777777" w:rsidR="00271850" w:rsidRPr="00C24F78" w:rsidRDefault="00271850" w:rsidP="00F61E90">
            <w:pPr>
              <w:spacing w:after="0" w:line="240" w:lineRule="auto"/>
              <w:jc w:val="right"/>
              <w:rPr>
                <w:rFonts w:eastAsia="Times New Roman" w:cstheme="minorHAnsi"/>
                <w:i/>
                <w:sz w:val="18"/>
                <w:szCs w:val="18"/>
                <w:lang w:eastAsia="en-GB"/>
              </w:rPr>
            </w:pPr>
            <w:r w:rsidRPr="00C24F78">
              <w:rPr>
                <w:rFonts w:eastAsia="Times New Roman" w:cstheme="minorHAnsi"/>
                <w:i/>
                <w:sz w:val="18"/>
                <w:szCs w:val="18"/>
                <w:lang w:eastAsia="en-GB"/>
              </w:rPr>
              <w:t>51</w:t>
            </w:r>
            <w:r>
              <w:rPr>
                <w:rFonts w:eastAsia="Times New Roman" w:cstheme="minorHAnsi"/>
                <w:i/>
                <w:sz w:val="18"/>
                <w:szCs w:val="18"/>
                <w:lang w:eastAsia="en-GB"/>
              </w:rPr>
              <w:t>.</w:t>
            </w:r>
            <w:r w:rsidRPr="00C24F78">
              <w:rPr>
                <w:rFonts w:eastAsia="Times New Roman" w:cstheme="minorHAnsi"/>
                <w:i/>
                <w:sz w:val="18"/>
                <w:szCs w:val="18"/>
                <w:lang w:eastAsia="en-GB"/>
              </w:rPr>
              <w:t>2</w:t>
            </w:r>
          </w:p>
        </w:tc>
        <w:tc>
          <w:tcPr>
            <w:tcW w:w="0" w:type="auto"/>
            <w:vAlign w:val="center"/>
          </w:tcPr>
          <w:p w14:paraId="1349FBF9" w14:textId="77777777" w:rsidR="00271850" w:rsidRPr="00C24F78" w:rsidRDefault="00271850" w:rsidP="00F61E90">
            <w:pPr>
              <w:spacing w:after="0" w:line="240" w:lineRule="auto"/>
              <w:jc w:val="right"/>
              <w:rPr>
                <w:rFonts w:eastAsia="Times New Roman" w:cstheme="minorHAnsi"/>
                <w:sz w:val="18"/>
                <w:szCs w:val="18"/>
                <w:lang w:eastAsia="en-GB"/>
              </w:rPr>
            </w:pPr>
            <w:r w:rsidRPr="00C24F78">
              <w:rPr>
                <w:rFonts w:eastAsia="Times New Roman" w:cstheme="minorHAnsi"/>
                <w:sz w:val="18"/>
                <w:szCs w:val="18"/>
                <w:lang w:eastAsia="en-GB"/>
              </w:rPr>
              <w:t>0</w:t>
            </w:r>
            <w:r>
              <w:rPr>
                <w:rFonts w:eastAsia="Times New Roman" w:cstheme="minorHAnsi"/>
                <w:sz w:val="18"/>
                <w:szCs w:val="18"/>
                <w:lang w:eastAsia="en-GB"/>
              </w:rPr>
              <w:t>.</w:t>
            </w:r>
            <w:r w:rsidRPr="00C24F78">
              <w:rPr>
                <w:rFonts w:eastAsia="Times New Roman" w:cstheme="minorHAnsi"/>
                <w:sz w:val="18"/>
                <w:szCs w:val="18"/>
                <w:lang w:eastAsia="en-GB"/>
              </w:rPr>
              <w:t>719</w:t>
            </w:r>
          </w:p>
        </w:tc>
      </w:tr>
      <w:tr w:rsidR="00271850" w:rsidRPr="00C24F78" w14:paraId="40BF6B02" w14:textId="77777777" w:rsidTr="00F61E90">
        <w:trPr>
          <w:tblCellSpacing w:w="15" w:type="dxa"/>
          <w:jc w:val="center"/>
        </w:trPr>
        <w:tc>
          <w:tcPr>
            <w:tcW w:w="0" w:type="auto"/>
            <w:vAlign w:val="center"/>
            <w:hideMark/>
          </w:tcPr>
          <w:p w14:paraId="71F083F5" w14:textId="77777777" w:rsidR="00271850" w:rsidRPr="00C24F78" w:rsidRDefault="00271850" w:rsidP="00F61E90">
            <w:pPr>
              <w:spacing w:after="0" w:line="240" w:lineRule="auto"/>
              <w:rPr>
                <w:rFonts w:eastAsia="Times New Roman" w:cstheme="minorHAnsi"/>
                <w:sz w:val="18"/>
                <w:szCs w:val="18"/>
                <w:lang w:eastAsia="en-GB"/>
              </w:rPr>
            </w:pPr>
          </w:p>
        </w:tc>
        <w:tc>
          <w:tcPr>
            <w:tcW w:w="0" w:type="auto"/>
            <w:vAlign w:val="center"/>
            <w:hideMark/>
          </w:tcPr>
          <w:p w14:paraId="33034A50" w14:textId="77777777" w:rsidR="00271850" w:rsidRPr="00C24F78" w:rsidRDefault="00271850" w:rsidP="00F61E90">
            <w:pPr>
              <w:spacing w:after="0" w:line="240" w:lineRule="auto"/>
              <w:rPr>
                <w:rFonts w:eastAsia="Times New Roman" w:cstheme="minorHAnsi"/>
                <w:sz w:val="18"/>
                <w:szCs w:val="18"/>
                <w:lang w:eastAsia="en-GB"/>
              </w:rPr>
            </w:pPr>
            <w:r w:rsidRPr="00C24F78">
              <w:rPr>
                <w:rFonts w:eastAsia="Times New Roman" w:cstheme="minorHAnsi"/>
                <w:sz w:val="18"/>
                <w:szCs w:val="18"/>
                <w:lang w:eastAsia="en-GB"/>
              </w:rPr>
              <w:t xml:space="preserve">Female </w:t>
            </w:r>
          </w:p>
        </w:tc>
        <w:tc>
          <w:tcPr>
            <w:tcW w:w="0" w:type="auto"/>
            <w:vAlign w:val="center"/>
          </w:tcPr>
          <w:p w14:paraId="20469FBA" w14:textId="77777777" w:rsidR="00271850" w:rsidRPr="00C24F78" w:rsidRDefault="00271850" w:rsidP="00F61E90">
            <w:pPr>
              <w:spacing w:after="0" w:line="240" w:lineRule="auto"/>
              <w:jc w:val="right"/>
              <w:rPr>
                <w:rFonts w:eastAsia="Times New Roman" w:cstheme="minorHAnsi"/>
                <w:sz w:val="18"/>
                <w:szCs w:val="18"/>
                <w:lang w:eastAsia="en-GB"/>
              </w:rPr>
            </w:pPr>
            <w:r w:rsidRPr="00C24F78">
              <w:rPr>
                <w:rFonts w:eastAsia="Times New Roman" w:cstheme="minorHAnsi"/>
                <w:sz w:val="18"/>
                <w:szCs w:val="18"/>
                <w:lang w:eastAsia="en-GB"/>
              </w:rPr>
              <w:t>429673</w:t>
            </w:r>
          </w:p>
        </w:tc>
        <w:tc>
          <w:tcPr>
            <w:tcW w:w="0" w:type="auto"/>
          </w:tcPr>
          <w:p w14:paraId="506A730B" w14:textId="77777777" w:rsidR="00271850" w:rsidRPr="00C24F78" w:rsidRDefault="00271850" w:rsidP="00F61E90">
            <w:pPr>
              <w:spacing w:after="0" w:line="240" w:lineRule="auto"/>
              <w:jc w:val="right"/>
              <w:rPr>
                <w:rFonts w:eastAsia="Times New Roman" w:cstheme="minorHAnsi"/>
                <w:i/>
                <w:sz w:val="18"/>
                <w:szCs w:val="18"/>
                <w:lang w:eastAsia="en-GB"/>
              </w:rPr>
            </w:pPr>
            <w:r w:rsidRPr="00C24F78">
              <w:rPr>
                <w:rFonts w:eastAsia="Times New Roman" w:cstheme="minorHAnsi"/>
                <w:i/>
                <w:sz w:val="18"/>
                <w:szCs w:val="18"/>
                <w:lang w:eastAsia="en-GB"/>
              </w:rPr>
              <w:t>48</w:t>
            </w:r>
            <w:r>
              <w:rPr>
                <w:rFonts w:eastAsia="Times New Roman" w:cstheme="minorHAnsi"/>
                <w:i/>
                <w:sz w:val="18"/>
                <w:szCs w:val="18"/>
                <w:lang w:eastAsia="en-GB"/>
              </w:rPr>
              <w:t>.</w:t>
            </w:r>
            <w:r w:rsidRPr="00C24F78">
              <w:rPr>
                <w:rFonts w:eastAsia="Times New Roman" w:cstheme="minorHAnsi"/>
                <w:i/>
                <w:sz w:val="18"/>
                <w:szCs w:val="18"/>
                <w:lang w:eastAsia="en-GB"/>
              </w:rPr>
              <w:t>8</w:t>
            </w:r>
          </w:p>
        </w:tc>
        <w:tc>
          <w:tcPr>
            <w:tcW w:w="0" w:type="auto"/>
            <w:vAlign w:val="center"/>
          </w:tcPr>
          <w:p w14:paraId="1ECC49FC" w14:textId="77777777" w:rsidR="00271850" w:rsidRPr="00C24F78" w:rsidRDefault="00271850" w:rsidP="00F61E90">
            <w:pPr>
              <w:spacing w:after="0" w:line="240" w:lineRule="auto"/>
              <w:jc w:val="right"/>
              <w:rPr>
                <w:rFonts w:eastAsia="Times New Roman" w:cstheme="minorHAnsi"/>
                <w:sz w:val="18"/>
                <w:szCs w:val="18"/>
                <w:lang w:eastAsia="en-GB"/>
              </w:rPr>
            </w:pPr>
            <w:r w:rsidRPr="00C24F78">
              <w:rPr>
                <w:rFonts w:eastAsia="Times New Roman" w:cstheme="minorHAnsi"/>
                <w:sz w:val="18"/>
                <w:szCs w:val="18"/>
                <w:lang w:eastAsia="en-GB"/>
              </w:rPr>
              <w:t>262180</w:t>
            </w:r>
          </w:p>
        </w:tc>
        <w:tc>
          <w:tcPr>
            <w:tcW w:w="0" w:type="auto"/>
            <w:vAlign w:val="center"/>
          </w:tcPr>
          <w:p w14:paraId="1E3F0BFC" w14:textId="77777777" w:rsidR="00271850" w:rsidRPr="00C24F78" w:rsidRDefault="00271850" w:rsidP="00F61E90">
            <w:pPr>
              <w:spacing w:after="0" w:line="240" w:lineRule="auto"/>
              <w:jc w:val="right"/>
              <w:rPr>
                <w:rFonts w:eastAsia="Times New Roman" w:cstheme="minorHAnsi"/>
                <w:i/>
                <w:sz w:val="18"/>
                <w:szCs w:val="18"/>
                <w:lang w:eastAsia="en-GB"/>
              </w:rPr>
            </w:pPr>
            <w:r w:rsidRPr="00C24F78">
              <w:rPr>
                <w:rFonts w:eastAsia="Times New Roman" w:cstheme="minorHAnsi"/>
                <w:i/>
                <w:sz w:val="18"/>
                <w:szCs w:val="18"/>
                <w:lang w:eastAsia="en-GB"/>
              </w:rPr>
              <w:t>48</w:t>
            </w:r>
            <w:r>
              <w:rPr>
                <w:rFonts w:eastAsia="Times New Roman" w:cstheme="minorHAnsi"/>
                <w:i/>
                <w:sz w:val="18"/>
                <w:szCs w:val="18"/>
                <w:lang w:eastAsia="en-GB"/>
              </w:rPr>
              <w:t>.</w:t>
            </w:r>
            <w:r w:rsidRPr="00C24F78">
              <w:rPr>
                <w:rFonts w:eastAsia="Times New Roman" w:cstheme="minorHAnsi"/>
                <w:i/>
                <w:sz w:val="18"/>
                <w:szCs w:val="18"/>
                <w:lang w:eastAsia="en-GB"/>
              </w:rPr>
              <w:t>8</w:t>
            </w:r>
          </w:p>
        </w:tc>
        <w:tc>
          <w:tcPr>
            <w:tcW w:w="0" w:type="auto"/>
            <w:vAlign w:val="center"/>
          </w:tcPr>
          <w:p w14:paraId="73BB884D" w14:textId="77777777" w:rsidR="00271850" w:rsidRPr="00C24F78" w:rsidRDefault="00271850" w:rsidP="00F61E90">
            <w:pPr>
              <w:spacing w:after="0" w:line="240" w:lineRule="auto"/>
              <w:jc w:val="right"/>
              <w:rPr>
                <w:rFonts w:eastAsia="Times New Roman" w:cstheme="minorHAnsi"/>
                <w:sz w:val="18"/>
                <w:szCs w:val="18"/>
                <w:lang w:eastAsia="en-GB"/>
              </w:rPr>
            </w:pPr>
            <w:r w:rsidRPr="00C24F78">
              <w:rPr>
                <w:rFonts w:eastAsia="Times New Roman" w:cstheme="minorHAnsi"/>
                <w:sz w:val="18"/>
                <w:szCs w:val="18"/>
                <w:lang w:eastAsia="en-GB"/>
              </w:rPr>
              <w:t>167493</w:t>
            </w:r>
          </w:p>
        </w:tc>
        <w:tc>
          <w:tcPr>
            <w:tcW w:w="0" w:type="auto"/>
            <w:vAlign w:val="center"/>
          </w:tcPr>
          <w:p w14:paraId="7C68F64B" w14:textId="77777777" w:rsidR="00271850" w:rsidRPr="00C24F78" w:rsidRDefault="00271850" w:rsidP="00F61E90">
            <w:pPr>
              <w:spacing w:after="0" w:line="240" w:lineRule="auto"/>
              <w:jc w:val="right"/>
              <w:rPr>
                <w:rFonts w:eastAsia="Times New Roman" w:cstheme="minorHAnsi"/>
                <w:i/>
                <w:sz w:val="18"/>
                <w:szCs w:val="18"/>
                <w:lang w:eastAsia="en-GB"/>
              </w:rPr>
            </w:pPr>
            <w:r w:rsidRPr="00C24F78">
              <w:rPr>
                <w:rFonts w:eastAsia="Times New Roman" w:cstheme="minorHAnsi"/>
                <w:i/>
                <w:sz w:val="18"/>
                <w:szCs w:val="18"/>
                <w:lang w:eastAsia="en-GB"/>
              </w:rPr>
              <w:t>48</w:t>
            </w:r>
            <w:r>
              <w:rPr>
                <w:rFonts w:eastAsia="Times New Roman" w:cstheme="minorHAnsi"/>
                <w:i/>
                <w:sz w:val="18"/>
                <w:szCs w:val="18"/>
                <w:lang w:eastAsia="en-GB"/>
              </w:rPr>
              <w:t>.</w:t>
            </w:r>
            <w:r w:rsidRPr="00C24F78">
              <w:rPr>
                <w:rFonts w:eastAsia="Times New Roman" w:cstheme="minorHAnsi"/>
                <w:i/>
                <w:sz w:val="18"/>
                <w:szCs w:val="18"/>
                <w:lang w:eastAsia="en-GB"/>
              </w:rPr>
              <w:t>8</w:t>
            </w:r>
          </w:p>
        </w:tc>
        <w:tc>
          <w:tcPr>
            <w:tcW w:w="0" w:type="auto"/>
            <w:vAlign w:val="center"/>
          </w:tcPr>
          <w:p w14:paraId="61BD930E" w14:textId="77777777" w:rsidR="00271850" w:rsidRPr="00C24F78" w:rsidRDefault="00271850" w:rsidP="00F61E90">
            <w:pPr>
              <w:spacing w:after="0" w:line="240" w:lineRule="auto"/>
              <w:jc w:val="right"/>
              <w:rPr>
                <w:rFonts w:eastAsia="Times New Roman" w:cstheme="minorHAnsi"/>
                <w:sz w:val="18"/>
                <w:szCs w:val="18"/>
                <w:lang w:eastAsia="en-GB"/>
              </w:rPr>
            </w:pPr>
          </w:p>
        </w:tc>
      </w:tr>
      <w:tr w:rsidR="00271850" w:rsidRPr="00C24F78" w14:paraId="46F14951" w14:textId="77777777" w:rsidTr="00F61E90">
        <w:trPr>
          <w:tblCellSpacing w:w="15" w:type="dxa"/>
          <w:jc w:val="center"/>
        </w:trPr>
        <w:tc>
          <w:tcPr>
            <w:tcW w:w="0" w:type="auto"/>
            <w:vAlign w:val="center"/>
            <w:hideMark/>
          </w:tcPr>
          <w:p w14:paraId="0A790D49" w14:textId="77777777" w:rsidR="00271850" w:rsidRPr="00C24F78" w:rsidRDefault="00271850" w:rsidP="00F61E90">
            <w:pPr>
              <w:spacing w:after="0" w:line="240" w:lineRule="auto"/>
              <w:rPr>
                <w:rFonts w:eastAsia="Times New Roman" w:cstheme="minorHAnsi"/>
                <w:sz w:val="18"/>
                <w:szCs w:val="18"/>
                <w:lang w:eastAsia="en-GB"/>
              </w:rPr>
            </w:pPr>
            <w:r w:rsidRPr="00C24F78">
              <w:rPr>
                <w:rFonts w:eastAsia="Times New Roman" w:cstheme="minorHAnsi"/>
                <w:sz w:val="18"/>
                <w:szCs w:val="18"/>
                <w:lang w:eastAsia="en-GB"/>
              </w:rPr>
              <w:t xml:space="preserve">Year of birth </w:t>
            </w:r>
          </w:p>
        </w:tc>
        <w:tc>
          <w:tcPr>
            <w:tcW w:w="0" w:type="auto"/>
            <w:vAlign w:val="center"/>
            <w:hideMark/>
          </w:tcPr>
          <w:p w14:paraId="60FF7006" w14:textId="77777777" w:rsidR="00271850" w:rsidRPr="00C24F78" w:rsidRDefault="00271850" w:rsidP="00F61E90">
            <w:pPr>
              <w:spacing w:after="0" w:line="240" w:lineRule="auto"/>
              <w:rPr>
                <w:rFonts w:eastAsia="Times New Roman" w:cstheme="minorHAnsi"/>
                <w:sz w:val="18"/>
                <w:szCs w:val="18"/>
                <w:lang w:eastAsia="en-GB"/>
              </w:rPr>
            </w:pPr>
            <w:r w:rsidRPr="00C24F78">
              <w:rPr>
                <w:rFonts w:eastAsia="Times New Roman" w:cstheme="minorHAnsi"/>
                <w:sz w:val="18"/>
                <w:szCs w:val="18"/>
                <w:lang w:eastAsia="en-GB"/>
              </w:rPr>
              <w:t xml:space="preserve">2010 </w:t>
            </w:r>
          </w:p>
        </w:tc>
        <w:tc>
          <w:tcPr>
            <w:tcW w:w="0" w:type="auto"/>
            <w:vAlign w:val="center"/>
          </w:tcPr>
          <w:p w14:paraId="42799376" w14:textId="77777777" w:rsidR="00271850" w:rsidRPr="00C24F78" w:rsidRDefault="00271850" w:rsidP="00F61E90">
            <w:pPr>
              <w:spacing w:after="0" w:line="240" w:lineRule="auto"/>
              <w:jc w:val="right"/>
              <w:rPr>
                <w:rFonts w:eastAsia="Times New Roman" w:cstheme="minorHAnsi"/>
                <w:sz w:val="18"/>
                <w:szCs w:val="18"/>
                <w:lang w:eastAsia="en-GB"/>
              </w:rPr>
            </w:pPr>
            <w:r w:rsidRPr="00C24F78">
              <w:rPr>
                <w:rFonts w:eastAsia="Times New Roman" w:cstheme="minorHAnsi"/>
                <w:sz w:val="18"/>
                <w:szCs w:val="18"/>
                <w:lang w:eastAsia="en-GB"/>
              </w:rPr>
              <w:t>162510</w:t>
            </w:r>
          </w:p>
        </w:tc>
        <w:tc>
          <w:tcPr>
            <w:tcW w:w="0" w:type="auto"/>
          </w:tcPr>
          <w:p w14:paraId="4D1AE451" w14:textId="77777777" w:rsidR="00271850" w:rsidRPr="00C24F78" w:rsidRDefault="00271850" w:rsidP="00F61E90">
            <w:pPr>
              <w:spacing w:after="0" w:line="240" w:lineRule="auto"/>
              <w:jc w:val="right"/>
              <w:rPr>
                <w:rFonts w:eastAsia="Times New Roman" w:cstheme="minorHAnsi"/>
                <w:i/>
                <w:sz w:val="18"/>
                <w:szCs w:val="18"/>
                <w:lang w:eastAsia="en-GB"/>
              </w:rPr>
            </w:pPr>
            <w:r w:rsidRPr="00C24F78">
              <w:rPr>
                <w:rFonts w:eastAsia="Times New Roman" w:cstheme="minorHAnsi"/>
                <w:i/>
                <w:sz w:val="18"/>
                <w:szCs w:val="18"/>
                <w:lang w:eastAsia="en-GB"/>
              </w:rPr>
              <w:t>18</w:t>
            </w:r>
            <w:r>
              <w:rPr>
                <w:rFonts w:eastAsia="Times New Roman" w:cstheme="minorHAnsi"/>
                <w:i/>
                <w:sz w:val="18"/>
                <w:szCs w:val="18"/>
                <w:lang w:eastAsia="en-GB"/>
              </w:rPr>
              <w:t>.</w:t>
            </w:r>
            <w:r w:rsidRPr="00C24F78">
              <w:rPr>
                <w:rFonts w:eastAsia="Times New Roman" w:cstheme="minorHAnsi"/>
                <w:i/>
                <w:sz w:val="18"/>
                <w:szCs w:val="18"/>
                <w:lang w:eastAsia="en-GB"/>
              </w:rPr>
              <w:t>5</w:t>
            </w:r>
          </w:p>
        </w:tc>
        <w:tc>
          <w:tcPr>
            <w:tcW w:w="0" w:type="auto"/>
            <w:vAlign w:val="center"/>
          </w:tcPr>
          <w:p w14:paraId="1BB5D816" w14:textId="77777777" w:rsidR="00271850" w:rsidRPr="00C24F78" w:rsidRDefault="00271850" w:rsidP="00F61E90">
            <w:pPr>
              <w:spacing w:after="0" w:line="240" w:lineRule="auto"/>
              <w:jc w:val="right"/>
              <w:rPr>
                <w:rFonts w:eastAsia="Times New Roman" w:cstheme="minorHAnsi"/>
                <w:sz w:val="18"/>
                <w:szCs w:val="18"/>
                <w:lang w:eastAsia="en-GB"/>
              </w:rPr>
            </w:pPr>
            <w:r w:rsidRPr="00C24F78">
              <w:rPr>
                <w:rFonts w:eastAsia="Times New Roman" w:cstheme="minorHAnsi"/>
                <w:sz w:val="18"/>
                <w:szCs w:val="18"/>
                <w:lang w:eastAsia="en-GB"/>
              </w:rPr>
              <w:t>161049</w:t>
            </w:r>
          </w:p>
        </w:tc>
        <w:tc>
          <w:tcPr>
            <w:tcW w:w="0" w:type="auto"/>
            <w:vAlign w:val="center"/>
          </w:tcPr>
          <w:p w14:paraId="2A2F839C" w14:textId="77777777" w:rsidR="00271850" w:rsidRPr="00C24F78" w:rsidRDefault="00271850" w:rsidP="00F61E90">
            <w:pPr>
              <w:spacing w:after="0" w:line="240" w:lineRule="auto"/>
              <w:jc w:val="right"/>
              <w:rPr>
                <w:rFonts w:eastAsia="Times New Roman" w:cstheme="minorHAnsi"/>
                <w:i/>
                <w:sz w:val="18"/>
                <w:szCs w:val="18"/>
                <w:lang w:eastAsia="en-GB"/>
              </w:rPr>
            </w:pPr>
            <w:r w:rsidRPr="00C24F78">
              <w:rPr>
                <w:rFonts w:eastAsia="Times New Roman" w:cstheme="minorHAnsi"/>
                <w:i/>
                <w:sz w:val="18"/>
                <w:szCs w:val="18"/>
                <w:lang w:eastAsia="en-GB"/>
              </w:rPr>
              <w:t>30</w:t>
            </w:r>
            <w:r>
              <w:rPr>
                <w:rFonts w:eastAsia="Times New Roman" w:cstheme="minorHAnsi"/>
                <w:i/>
                <w:sz w:val="18"/>
                <w:szCs w:val="18"/>
                <w:lang w:eastAsia="en-GB"/>
              </w:rPr>
              <w:t>.</w:t>
            </w:r>
            <w:r w:rsidRPr="00C24F78">
              <w:rPr>
                <w:rFonts w:eastAsia="Times New Roman" w:cstheme="minorHAnsi"/>
                <w:i/>
                <w:sz w:val="18"/>
                <w:szCs w:val="18"/>
                <w:lang w:eastAsia="en-GB"/>
              </w:rPr>
              <w:t>0</w:t>
            </w:r>
          </w:p>
        </w:tc>
        <w:tc>
          <w:tcPr>
            <w:tcW w:w="0" w:type="auto"/>
            <w:vAlign w:val="center"/>
          </w:tcPr>
          <w:p w14:paraId="7BD8B350" w14:textId="77777777" w:rsidR="00271850" w:rsidRPr="00C24F78" w:rsidRDefault="00271850" w:rsidP="00F61E90">
            <w:pPr>
              <w:spacing w:after="0" w:line="240" w:lineRule="auto"/>
              <w:jc w:val="right"/>
              <w:rPr>
                <w:rFonts w:eastAsia="Times New Roman" w:cstheme="minorHAnsi"/>
                <w:sz w:val="18"/>
                <w:szCs w:val="18"/>
                <w:lang w:eastAsia="en-GB"/>
              </w:rPr>
            </w:pPr>
            <w:r w:rsidRPr="00C24F78">
              <w:rPr>
                <w:rFonts w:eastAsia="Times New Roman" w:cstheme="minorHAnsi"/>
                <w:sz w:val="18"/>
                <w:szCs w:val="18"/>
                <w:lang w:eastAsia="en-GB"/>
              </w:rPr>
              <w:t>1461</w:t>
            </w:r>
          </w:p>
        </w:tc>
        <w:tc>
          <w:tcPr>
            <w:tcW w:w="0" w:type="auto"/>
            <w:vAlign w:val="center"/>
          </w:tcPr>
          <w:p w14:paraId="4363F461" w14:textId="77777777" w:rsidR="00271850" w:rsidRPr="00C24F78" w:rsidRDefault="00271850" w:rsidP="00F61E90">
            <w:pPr>
              <w:spacing w:after="0" w:line="240" w:lineRule="auto"/>
              <w:jc w:val="right"/>
              <w:rPr>
                <w:rFonts w:eastAsia="Times New Roman" w:cstheme="minorHAnsi"/>
                <w:i/>
                <w:sz w:val="18"/>
                <w:szCs w:val="18"/>
                <w:lang w:eastAsia="en-GB"/>
              </w:rPr>
            </w:pPr>
            <w:r w:rsidRPr="00C24F78">
              <w:rPr>
                <w:rFonts w:eastAsia="Times New Roman" w:cstheme="minorHAnsi"/>
                <w:i/>
                <w:sz w:val="18"/>
                <w:szCs w:val="18"/>
                <w:lang w:eastAsia="en-GB"/>
              </w:rPr>
              <w:t>0</w:t>
            </w:r>
            <w:r>
              <w:rPr>
                <w:rFonts w:eastAsia="Times New Roman" w:cstheme="minorHAnsi"/>
                <w:i/>
                <w:sz w:val="18"/>
                <w:szCs w:val="18"/>
                <w:lang w:eastAsia="en-GB"/>
              </w:rPr>
              <w:t>.</w:t>
            </w:r>
            <w:r w:rsidRPr="00C24F78">
              <w:rPr>
                <w:rFonts w:eastAsia="Times New Roman" w:cstheme="minorHAnsi"/>
                <w:i/>
                <w:sz w:val="18"/>
                <w:szCs w:val="18"/>
                <w:lang w:eastAsia="en-GB"/>
              </w:rPr>
              <w:t>4</w:t>
            </w:r>
          </w:p>
        </w:tc>
        <w:tc>
          <w:tcPr>
            <w:tcW w:w="0" w:type="auto"/>
            <w:vAlign w:val="center"/>
          </w:tcPr>
          <w:p w14:paraId="6CA311DD" w14:textId="77777777" w:rsidR="00271850" w:rsidRPr="00C24F78" w:rsidRDefault="00271850" w:rsidP="00F61E90">
            <w:pPr>
              <w:spacing w:after="0" w:line="240" w:lineRule="auto"/>
              <w:jc w:val="right"/>
              <w:rPr>
                <w:rFonts w:eastAsia="Times New Roman" w:cstheme="minorHAnsi"/>
                <w:sz w:val="18"/>
                <w:szCs w:val="18"/>
                <w:lang w:eastAsia="en-GB"/>
              </w:rPr>
            </w:pPr>
            <w:r w:rsidRPr="00C24F78">
              <w:rPr>
                <w:rFonts w:eastAsia="Times New Roman" w:cstheme="minorHAnsi"/>
                <w:sz w:val="18"/>
                <w:szCs w:val="18"/>
                <w:lang w:eastAsia="en-GB"/>
              </w:rPr>
              <w:t>&lt;0</w:t>
            </w:r>
            <w:r>
              <w:rPr>
                <w:rFonts w:eastAsia="Times New Roman" w:cstheme="minorHAnsi"/>
                <w:sz w:val="18"/>
                <w:szCs w:val="18"/>
                <w:lang w:eastAsia="en-GB"/>
              </w:rPr>
              <w:t>.</w:t>
            </w:r>
            <w:r w:rsidRPr="00C24F78">
              <w:rPr>
                <w:rFonts w:eastAsia="Times New Roman" w:cstheme="minorHAnsi"/>
                <w:sz w:val="18"/>
                <w:szCs w:val="18"/>
                <w:lang w:eastAsia="en-GB"/>
              </w:rPr>
              <w:t>001</w:t>
            </w:r>
          </w:p>
        </w:tc>
      </w:tr>
      <w:tr w:rsidR="00271850" w:rsidRPr="00C24F78" w14:paraId="7F762C08" w14:textId="77777777" w:rsidTr="00F61E90">
        <w:trPr>
          <w:tblCellSpacing w:w="15" w:type="dxa"/>
          <w:jc w:val="center"/>
        </w:trPr>
        <w:tc>
          <w:tcPr>
            <w:tcW w:w="0" w:type="auto"/>
            <w:vAlign w:val="center"/>
            <w:hideMark/>
          </w:tcPr>
          <w:p w14:paraId="31966FFC" w14:textId="77777777" w:rsidR="00271850" w:rsidRPr="00C24F78" w:rsidRDefault="00271850" w:rsidP="00F61E90">
            <w:pPr>
              <w:spacing w:after="0" w:line="240" w:lineRule="auto"/>
              <w:rPr>
                <w:rFonts w:eastAsia="Times New Roman" w:cstheme="minorHAnsi"/>
                <w:sz w:val="18"/>
                <w:szCs w:val="18"/>
                <w:lang w:eastAsia="en-GB"/>
              </w:rPr>
            </w:pPr>
          </w:p>
        </w:tc>
        <w:tc>
          <w:tcPr>
            <w:tcW w:w="0" w:type="auto"/>
            <w:vAlign w:val="center"/>
            <w:hideMark/>
          </w:tcPr>
          <w:p w14:paraId="7352DBED" w14:textId="77777777" w:rsidR="00271850" w:rsidRPr="00C24F78" w:rsidRDefault="00271850" w:rsidP="00F61E90">
            <w:pPr>
              <w:spacing w:after="0" w:line="240" w:lineRule="auto"/>
              <w:rPr>
                <w:rFonts w:eastAsia="Times New Roman" w:cstheme="minorHAnsi"/>
                <w:sz w:val="18"/>
                <w:szCs w:val="18"/>
                <w:lang w:eastAsia="en-GB"/>
              </w:rPr>
            </w:pPr>
            <w:r w:rsidRPr="00C24F78">
              <w:rPr>
                <w:rFonts w:eastAsia="Times New Roman" w:cstheme="minorHAnsi"/>
                <w:sz w:val="18"/>
                <w:szCs w:val="18"/>
                <w:lang w:eastAsia="en-GB"/>
              </w:rPr>
              <w:t xml:space="preserve">2011 </w:t>
            </w:r>
          </w:p>
        </w:tc>
        <w:tc>
          <w:tcPr>
            <w:tcW w:w="0" w:type="auto"/>
            <w:vAlign w:val="center"/>
          </w:tcPr>
          <w:p w14:paraId="4CCC1AF1" w14:textId="77777777" w:rsidR="00271850" w:rsidRPr="00C24F78" w:rsidRDefault="00271850" w:rsidP="00F61E90">
            <w:pPr>
              <w:spacing w:after="0" w:line="240" w:lineRule="auto"/>
              <w:jc w:val="right"/>
              <w:rPr>
                <w:rFonts w:eastAsia="Times New Roman" w:cstheme="minorHAnsi"/>
                <w:sz w:val="18"/>
                <w:szCs w:val="18"/>
                <w:lang w:eastAsia="en-GB"/>
              </w:rPr>
            </w:pPr>
            <w:r w:rsidRPr="00C24F78">
              <w:rPr>
                <w:rFonts w:eastAsia="Times New Roman" w:cstheme="minorHAnsi"/>
                <w:sz w:val="18"/>
                <w:szCs w:val="18"/>
                <w:lang w:eastAsia="en-GB"/>
              </w:rPr>
              <w:t>158273</w:t>
            </w:r>
          </w:p>
        </w:tc>
        <w:tc>
          <w:tcPr>
            <w:tcW w:w="0" w:type="auto"/>
          </w:tcPr>
          <w:p w14:paraId="4D327587" w14:textId="77777777" w:rsidR="00271850" w:rsidRPr="00C24F78" w:rsidRDefault="00271850" w:rsidP="00F61E90">
            <w:pPr>
              <w:spacing w:after="0" w:line="240" w:lineRule="auto"/>
              <w:jc w:val="right"/>
              <w:rPr>
                <w:rFonts w:eastAsia="Times New Roman" w:cstheme="minorHAnsi"/>
                <w:i/>
                <w:sz w:val="18"/>
                <w:szCs w:val="18"/>
                <w:lang w:eastAsia="en-GB"/>
              </w:rPr>
            </w:pPr>
            <w:r w:rsidRPr="00C24F78">
              <w:rPr>
                <w:rFonts w:eastAsia="Times New Roman" w:cstheme="minorHAnsi"/>
                <w:i/>
                <w:sz w:val="18"/>
                <w:szCs w:val="18"/>
                <w:lang w:eastAsia="en-GB"/>
              </w:rPr>
              <w:t>18</w:t>
            </w:r>
            <w:r>
              <w:rPr>
                <w:rFonts w:eastAsia="Times New Roman" w:cstheme="minorHAnsi"/>
                <w:i/>
                <w:sz w:val="18"/>
                <w:szCs w:val="18"/>
                <w:lang w:eastAsia="en-GB"/>
              </w:rPr>
              <w:t>.</w:t>
            </w:r>
            <w:r w:rsidRPr="00C24F78">
              <w:rPr>
                <w:rFonts w:eastAsia="Times New Roman" w:cstheme="minorHAnsi"/>
                <w:i/>
                <w:sz w:val="18"/>
                <w:szCs w:val="18"/>
                <w:lang w:eastAsia="en-GB"/>
              </w:rPr>
              <w:t>0</w:t>
            </w:r>
          </w:p>
        </w:tc>
        <w:tc>
          <w:tcPr>
            <w:tcW w:w="0" w:type="auto"/>
            <w:vAlign w:val="center"/>
          </w:tcPr>
          <w:p w14:paraId="23D39E0D" w14:textId="77777777" w:rsidR="00271850" w:rsidRPr="00C24F78" w:rsidRDefault="00271850" w:rsidP="00F61E90">
            <w:pPr>
              <w:spacing w:after="0" w:line="240" w:lineRule="auto"/>
              <w:jc w:val="right"/>
              <w:rPr>
                <w:rFonts w:eastAsia="Times New Roman" w:cstheme="minorHAnsi"/>
                <w:sz w:val="18"/>
                <w:szCs w:val="18"/>
                <w:lang w:eastAsia="en-GB"/>
              </w:rPr>
            </w:pPr>
            <w:r w:rsidRPr="00C24F78">
              <w:rPr>
                <w:rFonts w:eastAsia="Times New Roman" w:cstheme="minorHAnsi"/>
                <w:sz w:val="18"/>
                <w:szCs w:val="18"/>
                <w:lang w:eastAsia="en-GB"/>
              </w:rPr>
              <w:t>156413</w:t>
            </w:r>
          </w:p>
        </w:tc>
        <w:tc>
          <w:tcPr>
            <w:tcW w:w="0" w:type="auto"/>
            <w:vAlign w:val="center"/>
          </w:tcPr>
          <w:p w14:paraId="086322AE" w14:textId="77777777" w:rsidR="00271850" w:rsidRPr="00C24F78" w:rsidRDefault="00271850" w:rsidP="00F61E90">
            <w:pPr>
              <w:spacing w:after="0" w:line="240" w:lineRule="auto"/>
              <w:jc w:val="right"/>
              <w:rPr>
                <w:rFonts w:eastAsia="Times New Roman" w:cstheme="minorHAnsi"/>
                <w:i/>
                <w:sz w:val="18"/>
                <w:szCs w:val="18"/>
                <w:lang w:eastAsia="en-GB"/>
              </w:rPr>
            </w:pPr>
            <w:r w:rsidRPr="00C24F78">
              <w:rPr>
                <w:rFonts w:eastAsia="Times New Roman" w:cstheme="minorHAnsi"/>
                <w:i/>
                <w:sz w:val="18"/>
                <w:szCs w:val="18"/>
                <w:lang w:eastAsia="en-GB"/>
              </w:rPr>
              <w:t>29</w:t>
            </w:r>
            <w:r>
              <w:rPr>
                <w:rFonts w:eastAsia="Times New Roman" w:cstheme="minorHAnsi"/>
                <w:i/>
                <w:sz w:val="18"/>
                <w:szCs w:val="18"/>
                <w:lang w:eastAsia="en-GB"/>
              </w:rPr>
              <w:t>.</w:t>
            </w:r>
            <w:r w:rsidRPr="00C24F78">
              <w:rPr>
                <w:rFonts w:eastAsia="Times New Roman" w:cstheme="minorHAnsi"/>
                <w:i/>
                <w:sz w:val="18"/>
                <w:szCs w:val="18"/>
                <w:lang w:eastAsia="en-GB"/>
              </w:rPr>
              <w:t>1</w:t>
            </w:r>
          </w:p>
        </w:tc>
        <w:tc>
          <w:tcPr>
            <w:tcW w:w="0" w:type="auto"/>
            <w:vAlign w:val="center"/>
          </w:tcPr>
          <w:p w14:paraId="5E362B66" w14:textId="77777777" w:rsidR="00271850" w:rsidRPr="00C24F78" w:rsidRDefault="00271850" w:rsidP="00F61E90">
            <w:pPr>
              <w:spacing w:after="0" w:line="240" w:lineRule="auto"/>
              <w:jc w:val="right"/>
              <w:rPr>
                <w:rFonts w:eastAsia="Times New Roman" w:cstheme="minorHAnsi"/>
                <w:sz w:val="18"/>
                <w:szCs w:val="18"/>
                <w:lang w:eastAsia="en-GB"/>
              </w:rPr>
            </w:pPr>
            <w:r w:rsidRPr="00C24F78">
              <w:rPr>
                <w:rFonts w:eastAsia="Times New Roman" w:cstheme="minorHAnsi"/>
                <w:sz w:val="18"/>
                <w:szCs w:val="18"/>
                <w:lang w:eastAsia="en-GB"/>
              </w:rPr>
              <w:t>1860</w:t>
            </w:r>
          </w:p>
        </w:tc>
        <w:tc>
          <w:tcPr>
            <w:tcW w:w="0" w:type="auto"/>
            <w:vAlign w:val="center"/>
          </w:tcPr>
          <w:p w14:paraId="5F2BDF1D" w14:textId="77777777" w:rsidR="00271850" w:rsidRPr="00C24F78" w:rsidRDefault="00271850" w:rsidP="00F61E90">
            <w:pPr>
              <w:spacing w:after="0" w:line="240" w:lineRule="auto"/>
              <w:jc w:val="right"/>
              <w:rPr>
                <w:rFonts w:eastAsia="Times New Roman" w:cstheme="minorHAnsi"/>
                <w:i/>
                <w:sz w:val="18"/>
                <w:szCs w:val="18"/>
                <w:lang w:eastAsia="en-GB"/>
              </w:rPr>
            </w:pPr>
            <w:r w:rsidRPr="00C24F78">
              <w:rPr>
                <w:rFonts w:eastAsia="Times New Roman" w:cstheme="minorHAnsi"/>
                <w:i/>
                <w:sz w:val="18"/>
                <w:szCs w:val="18"/>
                <w:lang w:eastAsia="en-GB"/>
              </w:rPr>
              <w:t>0</w:t>
            </w:r>
            <w:r>
              <w:rPr>
                <w:rFonts w:eastAsia="Times New Roman" w:cstheme="minorHAnsi"/>
                <w:i/>
                <w:sz w:val="18"/>
                <w:szCs w:val="18"/>
                <w:lang w:eastAsia="en-GB"/>
              </w:rPr>
              <w:t>.</w:t>
            </w:r>
            <w:r w:rsidRPr="00C24F78">
              <w:rPr>
                <w:rFonts w:eastAsia="Times New Roman" w:cstheme="minorHAnsi"/>
                <w:i/>
                <w:sz w:val="18"/>
                <w:szCs w:val="18"/>
                <w:lang w:eastAsia="en-GB"/>
              </w:rPr>
              <w:t>5</w:t>
            </w:r>
          </w:p>
        </w:tc>
        <w:tc>
          <w:tcPr>
            <w:tcW w:w="0" w:type="auto"/>
            <w:vAlign w:val="center"/>
          </w:tcPr>
          <w:p w14:paraId="311B4D6D" w14:textId="77777777" w:rsidR="00271850" w:rsidRPr="00C24F78" w:rsidRDefault="00271850" w:rsidP="00F61E90">
            <w:pPr>
              <w:spacing w:after="0" w:line="240" w:lineRule="auto"/>
              <w:jc w:val="right"/>
              <w:rPr>
                <w:rFonts w:eastAsia="Times New Roman" w:cstheme="minorHAnsi"/>
                <w:sz w:val="18"/>
                <w:szCs w:val="18"/>
                <w:lang w:eastAsia="en-GB"/>
              </w:rPr>
            </w:pPr>
          </w:p>
        </w:tc>
      </w:tr>
      <w:tr w:rsidR="00271850" w:rsidRPr="00C24F78" w14:paraId="34665997" w14:textId="77777777" w:rsidTr="00F61E90">
        <w:trPr>
          <w:tblCellSpacing w:w="15" w:type="dxa"/>
          <w:jc w:val="center"/>
        </w:trPr>
        <w:tc>
          <w:tcPr>
            <w:tcW w:w="0" w:type="auto"/>
            <w:vAlign w:val="center"/>
            <w:hideMark/>
          </w:tcPr>
          <w:p w14:paraId="73841C26" w14:textId="77777777" w:rsidR="00271850" w:rsidRPr="00C24F78" w:rsidRDefault="00271850" w:rsidP="00F61E90">
            <w:pPr>
              <w:spacing w:after="0" w:line="240" w:lineRule="auto"/>
              <w:rPr>
                <w:rFonts w:eastAsia="Times New Roman" w:cstheme="minorHAnsi"/>
                <w:sz w:val="18"/>
                <w:szCs w:val="18"/>
                <w:lang w:eastAsia="en-GB"/>
              </w:rPr>
            </w:pPr>
          </w:p>
        </w:tc>
        <w:tc>
          <w:tcPr>
            <w:tcW w:w="0" w:type="auto"/>
            <w:vAlign w:val="center"/>
            <w:hideMark/>
          </w:tcPr>
          <w:p w14:paraId="2E38D7B7" w14:textId="77777777" w:rsidR="00271850" w:rsidRPr="00C24F78" w:rsidRDefault="00271850" w:rsidP="00F61E90">
            <w:pPr>
              <w:spacing w:after="0" w:line="240" w:lineRule="auto"/>
              <w:rPr>
                <w:rFonts w:eastAsia="Times New Roman" w:cstheme="minorHAnsi"/>
                <w:sz w:val="18"/>
                <w:szCs w:val="18"/>
                <w:lang w:eastAsia="en-GB"/>
              </w:rPr>
            </w:pPr>
            <w:r w:rsidRPr="00C24F78">
              <w:rPr>
                <w:rFonts w:eastAsia="Times New Roman" w:cstheme="minorHAnsi"/>
                <w:sz w:val="18"/>
                <w:szCs w:val="18"/>
                <w:lang w:eastAsia="en-GB"/>
              </w:rPr>
              <w:t xml:space="preserve">2012 </w:t>
            </w:r>
          </w:p>
        </w:tc>
        <w:tc>
          <w:tcPr>
            <w:tcW w:w="0" w:type="auto"/>
            <w:vAlign w:val="center"/>
          </w:tcPr>
          <w:p w14:paraId="55B84F56" w14:textId="77777777" w:rsidR="00271850" w:rsidRPr="00C24F78" w:rsidRDefault="00271850" w:rsidP="00F61E90">
            <w:pPr>
              <w:spacing w:after="0" w:line="240" w:lineRule="auto"/>
              <w:jc w:val="right"/>
              <w:rPr>
                <w:rFonts w:eastAsia="Times New Roman" w:cstheme="minorHAnsi"/>
                <w:sz w:val="18"/>
                <w:szCs w:val="18"/>
                <w:lang w:eastAsia="en-GB"/>
              </w:rPr>
            </w:pPr>
            <w:r w:rsidRPr="00C24F78">
              <w:rPr>
                <w:rFonts w:eastAsia="Times New Roman" w:cstheme="minorHAnsi"/>
                <w:sz w:val="18"/>
                <w:szCs w:val="18"/>
                <w:lang w:eastAsia="en-GB"/>
              </w:rPr>
              <w:t>154619</w:t>
            </w:r>
          </w:p>
        </w:tc>
        <w:tc>
          <w:tcPr>
            <w:tcW w:w="0" w:type="auto"/>
          </w:tcPr>
          <w:p w14:paraId="1AC87780" w14:textId="77777777" w:rsidR="00271850" w:rsidRPr="00C24F78" w:rsidRDefault="00271850" w:rsidP="00F61E90">
            <w:pPr>
              <w:spacing w:after="0" w:line="240" w:lineRule="auto"/>
              <w:jc w:val="right"/>
              <w:rPr>
                <w:rFonts w:eastAsia="Times New Roman" w:cstheme="minorHAnsi"/>
                <w:i/>
                <w:sz w:val="18"/>
                <w:szCs w:val="18"/>
                <w:lang w:eastAsia="en-GB"/>
              </w:rPr>
            </w:pPr>
            <w:r w:rsidRPr="00C24F78">
              <w:rPr>
                <w:rFonts w:eastAsia="Times New Roman" w:cstheme="minorHAnsi"/>
                <w:i/>
                <w:sz w:val="18"/>
                <w:szCs w:val="18"/>
                <w:lang w:eastAsia="en-GB"/>
              </w:rPr>
              <w:t>17</w:t>
            </w:r>
            <w:r>
              <w:rPr>
                <w:rFonts w:eastAsia="Times New Roman" w:cstheme="minorHAnsi"/>
                <w:i/>
                <w:sz w:val="18"/>
                <w:szCs w:val="18"/>
                <w:lang w:eastAsia="en-GB"/>
              </w:rPr>
              <w:t>.</w:t>
            </w:r>
            <w:r w:rsidRPr="00C24F78">
              <w:rPr>
                <w:rFonts w:eastAsia="Times New Roman" w:cstheme="minorHAnsi"/>
                <w:i/>
                <w:sz w:val="18"/>
                <w:szCs w:val="18"/>
                <w:lang w:eastAsia="en-GB"/>
              </w:rPr>
              <w:t>6</w:t>
            </w:r>
          </w:p>
        </w:tc>
        <w:tc>
          <w:tcPr>
            <w:tcW w:w="0" w:type="auto"/>
            <w:vAlign w:val="center"/>
          </w:tcPr>
          <w:p w14:paraId="179D3A80" w14:textId="77777777" w:rsidR="00271850" w:rsidRPr="00C24F78" w:rsidRDefault="00271850" w:rsidP="00F61E90">
            <w:pPr>
              <w:spacing w:after="0" w:line="240" w:lineRule="auto"/>
              <w:jc w:val="right"/>
              <w:rPr>
                <w:rFonts w:eastAsia="Times New Roman" w:cstheme="minorHAnsi"/>
                <w:sz w:val="18"/>
                <w:szCs w:val="18"/>
                <w:lang w:eastAsia="en-GB"/>
              </w:rPr>
            </w:pPr>
            <w:r w:rsidRPr="00C24F78">
              <w:rPr>
                <w:rFonts w:eastAsia="Times New Roman" w:cstheme="minorHAnsi"/>
                <w:sz w:val="18"/>
                <w:szCs w:val="18"/>
                <w:lang w:eastAsia="en-GB"/>
              </w:rPr>
              <w:t>152182</w:t>
            </w:r>
          </w:p>
        </w:tc>
        <w:tc>
          <w:tcPr>
            <w:tcW w:w="0" w:type="auto"/>
            <w:vAlign w:val="center"/>
          </w:tcPr>
          <w:p w14:paraId="05DA018B" w14:textId="77777777" w:rsidR="00271850" w:rsidRPr="00C24F78" w:rsidRDefault="00271850" w:rsidP="00F61E90">
            <w:pPr>
              <w:spacing w:after="0" w:line="240" w:lineRule="auto"/>
              <w:jc w:val="right"/>
              <w:rPr>
                <w:rFonts w:eastAsia="Times New Roman" w:cstheme="minorHAnsi"/>
                <w:i/>
                <w:sz w:val="18"/>
                <w:szCs w:val="18"/>
                <w:lang w:eastAsia="en-GB"/>
              </w:rPr>
            </w:pPr>
            <w:r w:rsidRPr="00C24F78">
              <w:rPr>
                <w:rFonts w:eastAsia="Times New Roman" w:cstheme="minorHAnsi"/>
                <w:i/>
                <w:sz w:val="18"/>
                <w:szCs w:val="18"/>
                <w:lang w:eastAsia="en-GB"/>
              </w:rPr>
              <w:t>28</w:t>
            </w:r>
            <w:r>
              <w:rPr>
                <w:rFonts w:eastAsia="Times New Roman" w:cstheme="minorHAnsi"/>
                <w:i/>
                <w:sz w:val="18"/>
                <w:szCs w:val="18"/>
                <w:lang w:eastAsia="en-GB"/>
              </w:rPr>
              <w:t>.</w:t>
            </w:r>
            <w:r w:rsidRPr="00C24F78">
              <w:rPr>
                <w:rFonts w:eastAsia="Times New Roman" w:cstheme="minorHAnsi"/>
                <w:i/>
                <w:sz w:val="18"/>
                <w:szCs w:val="18"/>
                <w:lang w:eastAsia="en-GB"/>
              </w:rPr>
              <w:t>3</w:t>
            </w:r>
          </w:p>
        </w:tc>
        <w:tc>
          <w:tcPr>
            <w:tcW w:w="0" w:type="auto"/>
            <w:vAlign w:val="center"/>
          </w:tcPr>
          <w:p w14:paraId="1779D816" w14:textId="77777777" w:rsidR="00271850" w:rsidRPr="00C24F78" w:rsidRDefault="00271850" w:rsidP="00F61E90">
            <w:pPr>
              <w:spacing w:after="0" w:line="240" w:lineRule="auto"/>
              <w:jc w:val="right"/>
              <w:rPr>
                <w:rFonts w:eastAsia="Times New Roman" w:cstheme="minorHAnsi"/>
                <w:sz w:val="18"/>
                <w:szCs w:val="18"/>
                <w:lang w:eastAsia="en-GB"/>
              </w:rPr>
            </w:pPr>
            <w:r w:rsidRPr="00C24F78">
              <w:rPr>
                <w:rFonts w:eastAsia="Times New Roman" w:cstheme="minorHAnsi"/>
                <w:sz w:val="18"/>
                <w:szCs w:val="18"/>
                <w:lang w:eastAsia="en-GB"/>
              </w:rPr>
              <w:t>2437</w:t>
            </w:r>
          </w:p>
        </w:tc>
        <w:tc>
          <w:tcPr>
            <w:tcW w:w="0" w:type="auto"/>
            <w:vAlign w:val="center"/>
          </w:tcPr>
          <w:p w14:paraId="38638C60" w14:textId="77777777" w:rsidR="00271850" w:rsidRPr="00C24F78" w:rsidRDefault="00271850" w:rsidP="00F61E90">
            <w:pPr>
              <w:spacing w:after="0" w:line="240" w:lineRule="auto"/>
              <w:jc w:val="right"/>
              <w:rPr>
                <w:rFonts w:eastAsia="Times New Roman" w:cstheme="minorHAnsi"/>
                <w:i/>
                <w:sz w:val="18"/>
                <w:szCs w:val="18"/>
                <w:lang w:eastAsia="en-GB"/>
              </w:rPr>
            </w:pPr>
            <w:r w:rsidRPr="00C24F78">
              <w:rPr>
                <w:rFonts w:eastAsia="Times New Roman" w:cstheme="minorHAnsi"/>
                <w:i/>
                <w:sz w:val="18"/>
                <w:szCs w:val="18"/>
                <w:lang w:eastAsia="en-GB"/>
              </w:rPr>
              <w:t>0</w:t>
            </w:r>
            <w:r>
              <w:rPr>
                <w:rFonts w:eastAsia="Times New Roman" w:cstheme="minorHAnsi"/>
                <w:i/>
                <w:sz w:val="18"/>
                <w:szCs w:val="18"/>
                <w:lang w:eastAsia="en-GB"/>
              </w:rPr>
              <w:t>.</w:t>
            </w:r>
            <w:r w:rsidRPr="00C24F78">
              <w:rPr>
                <w:rFonts w:eastAsia="Times New Roman" w:cstheme="minorHAnsi"/>
                <w:i/>
                <w:sz w:val="18"/>
                <w:szCs w:val="18"/>
                <w:lang w:eastAsia="en-GB"/>
              </w:rPr>
              <w:t>7</w:t>
            </w:r>
          </w:p>
        </w:tc>
        <w:tc>
          <w:tcPr>
            <w:tcW w:w="0" w:type="auto"/>
            <w:vAlign w:val="center"/>
          </w:tcPr>
          <w:p w14:paraId="5E0D042F" w14:textId="77777777" w:rsidR="00271850" w:rsidRPr="00C24F78" w:rsidRDefault="00271850" w:rsidP="00F61E90">
            <w:pPr>
              <w:spacing w:after="0" w:line="240" w:lineRule="auto"/>
              <w:jc w:val="right"/>
              <w:rPr>
                <w:rFonts w:eastAsia="Times New Roman" w:cstheme="minorHAnsi"/>
                <w:sz w:val="18"/>
                <w:szCs w:val="18"/>
                <w:lang w:eastAsia="en-GB"/>
              </w:rPr>
            </w:pPr>
          </w:p>
        </w:tc>
      </w:tr>
      <w:tr w:rsidR="00271850" w:rsidRPr="00C24F78" w14:paraId="67A10C2A" w14:textId="77777777" w:rsidTr="00F61E90">
        <w:trPr>
          <w:tblCellSpacing w:w="15" w:type="dxa"/>
          <w:jc w:val="center"/>
        </w:trPr>
        <w:tc>
          <w:tcPr>
            <w:tcW w:w="0" w:type="auto"/>
            <w:vAlign w:val="center"/>
            <w:hideMark/>
          </w:tcPr>
          <w:p w14:paraId="5587B984" w14:textId="77777777" w:rsidR="00271850" w:rsidRPr="00C24F78" w:rsidRDefault="00271850" w:rsidP="00F61E90">
            <w:pPr>
              <w:spacing w:after="0" w:line="240" w:lineRule="auto"/>
              <w:rPr>
                <w:rFonts w:eastAsia="Times New Roman" w:cstheme="minorHAnsi"/>
                <w:sz w:val="18"/>
                <w:szCs w:val="18"/>
                <w:lang w:eastAsia="en-GB"/>
              </w:rPr>
            </w:pPr>
          </w:p>
        </w:tc>
        <w:tc>
          <w:tcPr>
            <w:tcW w:w="0" w:type="auto"/>
            <w:vAlign w:val="center"/>
            <w:hideMark/>
          </w:tcPr>
          <w:p w14:paraId="52E4D79E" w14:textId="77777777" w:rsidR="00271850" w:rsidRPr="00C24F78" w:rsidRDefault="00271850" w:rsidP="00F61E90">
            <w:pPr>
              <w:spacing w:after="0" w:line="240" w:lineRule="auto"/>
              <w:rPr>
                <w:rFonts w:eastAsia="Times New Roman" w:cstheme="minorHAnsi"/>
                <w:sz w:val="18"/>
                <w:szCs w:val="18"/>
                <w:lang w:eastAsia="en-GB"/>
              </w:rPr>
            </w:pPr>
            <w:r w:rsidRPr="00C24F78">
              <w:rPr>
                <w:rFonts w:eastAsia="Times New Roman" w:cstheme="minorHAnsi"/>
                <w:sz w:val="18"/>
                <w:szCs w:val="18"/>
                <w:lang w:eastAsia="en-GB"/>
              </w:rPr>
              <w:t xml:space="preserve">2013 </w:t>
            </w:r>
          </w:p>
        </w:tc>
        <w:tc>
          <w:tcPr>
            <w:tcW w:w="0" w:type="auto"/>
            <w:vAlign w:val="center"/>
          </w:tcPr>
          <w:p w14:paraId="303099FF" w14:textId="77777777" w:rsidR="00271850" w:rsidRPr="00C24F78" w:rsidRDefault="00271850" w:rsidP="00F61E90">
            <w:pPr>
              <w:spacing w:after="0" w:line="240" w:lineRule="auto"/>
              <w:jc w:val="right"/>
              <w:rPr>
                <w:rFonts w:eastAsia="Times New Roman" w:cstheme="minorHAnsi"/>
                <w:sz w:val="18"/>
                <w:szCs w:val="18"/>
                <w:lang w:eastAsia="en-GB"/>
              </w:rPr>
            </w:pPr>
            <w:r w:rsidRPr="00C24F78">
              <w:rPr>
                <w:rFonts w:eastAsia="Times New Roman" w:cstheme="minorHAnsi"/>
                <w:sz w:val="18"/>
                <w:szCs w:val="18"/>
                <w:lang w:eastAsia="en-GB"/>
              </w:rPr>
              <w:t>142384</w:t>
            </w:r>
          </w:p>
        </w:tc>
        <w:tc>
          <w:tcPr>
            <w:tcW w:w="0" w:type="auto"/>
          </w:tcPr>
          <w:p w14:paraId="53909E0F" w14:textId="77777777" w:rsidR="00271850" w:rsidRPr="00C24F78" w:rsidRDefault="00271850" w:rsidP="00F61E90">
            <w:pPr>
              <w:spacing w:after="0" w:line="240" w:lineRule="auto"/>
              <w:jc w:val="right"/>
              <w:rPr>
                <w:rFonts w:eastAsia="Times New Roman" w:cstheme="minorHAnsi"/>
                <w:i/>
                <w:sz w:val="18"/>
                <w:szCs w:val="18"/>
                <w:lang w:eastAsia="en-GB"/>
              </w:rPr>
            </w:pPr>
            <w:r w:rsidRPr="00C24F78">
              <w:rPr>
                <w:rFonts w:eastAsia="Times New Roman" w:cstheme="minorHAnsi"/>
                <w:i/>
                <w:sz w:val="18"/>
                <w:szCs w:val="18"/>
                <w:lang w:eastAsia="en-GB"/>
              </w:rPr>
              <w:t>16</w:t>
            </w:r>
            <w:r>
              <w:rPr>
                <w:rFonts w:eastAsia="Times New Roman" w:cstheme="minorHAnsi"/>
                <w:i/>
                <w:sz w:val="18"/>
                <w:szCs w:val="18"/>
                <w:lang w:eastAsia="en-GB"/>
              </w:rPr>
              <w:t>.</w:t>
            </w:r>
            <w:r w:rsidRPr="00C24F78">
              <w:rPr>
                <w:rFonts w:eastAsia="Times New Roman" w:cstheme="minorHAnsi"/>
                <w:i/>
                <w:sz w:val="18"/>
                <w:szCs w:val="18"/>
                <w:lang w:eastAsia="en-GB"/>
              </w:rPr>
              <w:t>2</w:t>
            </w:r>
          </w:p>
        </w:tc>
        <w:tc>
          <w:tcPr>
            <w:tcW w:w="0" w:type="auto"/>
            <w:vAlign w:val="center"/>
          </w:tcPr>
          <w:p w14:paraId="6E0C77CB" w14:textId="77777777" w:rsidR="00271850" w:rsidRPr="00C24F78" w:rsidRDefault="00271850" w:rsidP="00F61E90">
            <w:pPr>
              <w:spacing w:after="0" w:line="240" w:lineRule="auto"/>
              <w:jc w:val="right"/>
              <w:rPr>
                <w:rFonts w:eastAsia="Times New Roman" w:cstheme="minorHAnsi"/>
                <w:sz w:val="18"/>
                <w:szCs w:val="18"/>
                <w:lang w:eastAsia="en-GB"/>
              </w:rPr>
            </w:pPr>
            <w:r w:rsidRPr="00C24F78">
              <w:rPr>
                <w:rFonts w:eastAsia="Times New Roman" w:cstheme="minorHAnsi"/>
                <w:sz w:val="18"/>
                <w:szCs w:val="18"/>
                <w:lang w:eastAsia="en-GB"/>
              </w:rPr>
              <w:t>50625</w:t>
            </w:r>
          </w:p>
        </w:tc>
        <w:tc>
          <w:tcPr>
            <w:tcW w:w="0" w:type="auto"/>
            <w:vAlign w:val="center"/>
          </w:tcPr>
          <w:p w14:paraId="6F5C987C" w14:textId="77777777" w:rsidR="00271850" w:rsidRPr="00C24F78" w:rsidRDefault="00271850" w:rsidP="00F61E90">
            <w:pPr>
              <w:spacing w:after="0" w:line="240" w:lineRule="auto"/>
              <w:jc w:val="right"/>
              <w:rPr>
                <w:rFonts w:eastAsia="Times New Roman" w:cstheme="minorHAnsi"/>
                <w:i/>
                <w:sz w:val="18"/>
                <w:szCs w:val="18"/>
                <w:lang w:eastAsia="en-GB"/>
              </w:rPr>
            </w:pPr>
            <w:r w:rsidRPr="00C24F78">
              <w:rPr>
                <w:rFonts w:eastAsia="Times New Roman" w:cstheme="minorHAnsi"/>
                <w:i/>
                <w:sz w:val="18"/>
                <w:szCs w:val="18"/>
                <w:lang w:eastAsia="en-GB"/>
              </w:rPr>
              <w:t>9</w:t>
            </w:r>
            <w:r>
              <w:rPr>
                <w:rFonts w:eastAsia="Times New Roman" w:cstheme="minorHAnsi"/>
                <w:i/>
                <w:sz w:val="18"/>
                <w:szCs w:val="18"/>
                <w:lang w:eastAsia="en-GB"/>
              </w:rPr>
              <w:t>.</w:t>
            </w:r>
            <w:r w:rsidRPr="00C24F78">
              <w:rPr>
                <w:rFonts w:eastAsia="Times New Roman" w:cstheme="minorHAnsi"/>
                <w:i/>
                <w:sz w:val="18"/>
                <w:szCs w:val="18"/>
                <w:lang w:eastAsia="en-GB"/>
              </w:rPr>
              <w:t>4</w:t>
            </w:r>
          </w:p>
        </w:tc>
        <w:tc>
          <w:tcPr>
            <w:tcW w:w="0" w:type="auto"/>
            <w:vAlign w:val="center"/>
          </w:tcPr>
          <w:p w14:paraId="4E52C30F" w14:textId="77777777" w:rsidR="00271850" w:rsidRPr="00C24F78" w:rsidRDefault="00271850" w:rsidP="00F61E90">
            <w:pPr>
              <w:spacing w:after="0" w:line="240" w:lineRule="auto"/>
              <w:jc w:val="right"/>
              <w:rPr>
                <w:rFonts w:eastAsia="Times New Roman" w:cstheme="minorHAnsi"/>
                <w:sz w:val="18"/>
                <w:szCs w:val="18"/>
                <w:lang w:eastAsia="en-GB"/>
              </w:rPr>
            </w:pPr>
            <w:r w:rsidRPr="00C24F78">
              <w:rPr>
                <w:rFonts w:eastAsia="Times New Roman" w:cstheme="minorHAnsi"/>
                <w:sz w:val="18"/>
                <w:szCs w:val="18"/>
                <w:lang w:eastAsia="en-GB"/>
              </w:rPr>
              <w:t>91759</w:t>
            </w:r>
          </w:p>
        </w:tc>
        <w:tc>
          <w:tcPr>
            <w:tcW w:w="0" w:type="auto"/>
            <w:vAlign w:val="center"/>
          </w:tcPr>
          <w:p w14:paraId="5811F395" w14:textId="77777777" w:rsidR="00271850" w:rsidRPr="00C24F78" w:rsidRDefault="00271850" w:rsidP="00F61E90">
            <w:pPr>
              <w:spacing w:after="0" w:line="240" w:lineRule="auto"/>
              <w:jc w:val="right"/>
              <w:rPr>
                <w:rFonts w:eastAsia="Times New Roman" w:cstheme="minorHAnsi"/>
                <w:i/>
                <w:sz w:val="18"/>
                <w:szCs w:val="18"/>
                <w:lang w:eastAsia="en-GB"/>
              </w:rPr>
            </w:pPr>
            <w:r w:rsidRPr="00C24F78">
              <w:rPr>
                <w:rFonts w:eastAsia="Times New Roman" w:cstheme="minorHAnsi"/>
                <w:i/>
                <w:sz w:val="18"/>
                <w:szCs w:val="18"/>
                <w:lang w:eastAsia="en-GB"/>
              </w:rPr>
              <w:t>26</w:t>
            </w:r>
            <w:r>
              <w:rPr>
                <w:rFonts w:eastAsia="Times New Roman" w:cstheme="minorHAnsi"/>
                <w:i/>
                <w:sz w:val="18"/>
                <w:szCs w:val="18"/>
                <w:lang w:eastAsia="en-GB"/>
              </w:rPr>
              <w:t>.</w:t>
            </w:r>
            <w:r w:rsidRPr="00C24F78">
              <w:rPr>
                <w:rFonts w:eastAsia="Times New Roman" w:cstheme="minorHAnsi"/>
                <w:i/>
                <w:sz w:val="18"/>
                <w:szCs w:val="18"/>
                <w:lang w:eastAsia="en-GB"/>
              </w:rPr>
              <w:t>7</w:t>
            </w:r>
          </w:p>
        </w:tc>
        <w:tc>
          <w:tcPr>
            <w:tcW w:w="0" w:type="auto"/>
            <w:vAlign w:val="center"/>
          </w:tcPr>
          <w:p w14:paraId="43BA92DD" w14:textId="77777777" w:rsidR="00271850" w:rsidRPr="00C24F78" w:rsidRDefault="00271850" w:rsidP="00F61E90">
            <w:pPr>
              <w:spacing w:after="0" w:line="240" w:lineRule="auto"/>
              <w:jc w:val="right"/>
              <w:rPr>
                <w:rFonts w:eastAsia="Times New Roman" w:cstheme="minorHAnsi"/>
                <w:sz w:val="18"/>
                <w:szCs w:val="18"/>
                <w:lang w:eastAsia="en-GB"/>
              </w:rPr>
            </w:pPr>
          </w:p>
        </w:tc>
      </w:tr>
      <w:tr w:rsidR="00271850" w:rsidRPr="00C24F78" w14:paraId="7F03CFAB" w14:textId="77777777" w:rsidTr="00F61E90">
        <w:trPr>
          <w:tblCellSpacing w:w="15" w:type="dxa"/>
          <w:jc w:val="center"/>
        </w:trPr>
        <w:tc>
          <w:tcPr>
            <w:tcW w:w="0" w:type="auto"/>
            <w:vAlign w:val="center"/>
            <w:hideMark/>
          </w:tcPr>
          <w:p w14:paraId="285C85F8" w14:textId="77777777" w:rsidR="00271850" w:rsidRPr="00C24F78" w:rsidRDefault="00271850" w:rsidP="00F61E90">
            <w:pPr>
              <w:spacing w:after="0" w:line="240" w:lineRule="auto"/>
              <w:rPr>
                <w:rFonts w:eastAsia="Times New Roman" w:cstheme="minorHAnsi"/>
                <w:sz w:val="18"/>
                <w:szCs w:val="18"/>
                <w:lang w:eastAsia="en-GB"/>
              </w:rPr>
            </w:pPr>
          </w:p>
        </w:tc>
        <w:tc>
          <w:tcPr>
            <w:tcW w:w="0" w:type="auto"/>
            <w:vAlign w:val="center"/>
            <w:hideMark/>
          </w:tcPr>
          <w:p w14:paraId="008C455A" w14:textId="77777777" w:rsidR="00271850" w:rsidRPr="00C24F78" w:rsidRDefault="00271850" w:rsidP="00F61E90">
            <w:pPr>
              <w:spacing w:after="0" w:line="240" w:lineRule="auto"/>
              <w:rPr>
                <w:rFonts w:eastAsia="Times New Roman" w:cstheme="minorHAnsi"/>
                <w:sz w:val="18"/>
                <w:szCs w:val="18"/>
                <w:lang w:eastAsia="en-GB"/>
              </w:rPr>
            </w:pPr>
            <w:r w:rsidRPr="00C24F78">
              <w:rPr>
                <w:rFonts w:eastAsia="Times New Roman" w:cstheme="minorHAnsi"/>
                <w:sz w:val="18"/>
                <w:szCs w:val="18"/>
                <w:lang w:eastAsia="en-GB"/>
              </w:rPr>
              <w:t xml:space="preserve">2014 </w:t>
            </w:r>
          </w:p>
        </w:tc>
        <w:tc>
          <w:tcPr>
            <w:tcW w:w="0" w:type="auto"/>
            <w:vAlign w:val="center"/>
          </w:tcPr>
          <w:p w14:paraId="204D4166" w14:textId="77777777" w:rsidR="00271850" w:rsidRPr="00C24F78" w:rsidRDefault="00271850" w:rsidP="00F61E90">
            <w:pPr>
              <w:spacing w:after="0" w:line="240" w:lineRule="auto"/>
              <w:jc w:val="right"/>
              <w:rPr>
                <w:rFonts w:eastAsia="Times New Roman" w:cstheme="minorHAnsi"/>
                <w:sz w:val="18"/>
                <w:szCs w:val="18"/>
                <w:lang w:eastAsia="en-GB"/>
              </w:rPr>
            </w:pPr>
            <w:r w:rsidRPr="00C24F78">
              <w:rPr>
                <w:rFonts w:eastAsia="Times New Roman" w:cstheme="minorHAnsi"/>
                <w:sz w:val="18"/>
                <w:szCs w:val="18"/>
                <w:lang w:eastAsia="en-GB"/>
              </w:rPr>
              <w:t>135007</w:t>
            </w:r>
          </w:p>
        </w:tc>
        <w:tc>
          <w:tcPr>
            <w:tcW w:w="0" w:type="auto"/>
          </w:tcPr>
          <w:p w14:paraId="4ED2A645" w14:textId="77777777" w:rsidR="00271850" w:rsidRPr="00C24F78" w:rsidRDefault="00271850" w:rsidP="00F61E90">
            <w:pPr>
              <w:spacing w:after="0" w:line="240" w:lineRule="auto"/>
              <w:jc w:val="right"/>
              <w:rPr>
                <w:rFonts w:eastAsia="Times New Roman" w:cstheme="minorHAnsi"/>
                <w:i/>
                <w:sz w:val="18"/>
                <w:szCs w:val="18"/>
                <w:lang w:eastAsia="en-GB"/>
              </w:rPr>
            </w:pPr>
            <w:r w:rsidRPr="00C24F78">
              <w:rPr>
                <w:rFonts w:eastAsia="Times New Roman" w:cstheme="minorHAnsi"/>
                <w:i/>
                <w:sz w:val="18"/>
                <w:szCs w:val="18"/>
                <w:lang w:eastAsia="en-GB"/>
              </w:rPr>
              <w:t>15</w:t>
            </w:r>
            <w:r>
              <w:rPr>
                <w:rFonts w:eastAsia="Times New Roman" w:cstheme="minorHAnsi"/>
                <w:i/>
                <w:sz w:val="18"/>
                <w:szCs w:val="18"/>
                <w:lang w:eastAsia="en-GB"/>
              </w:rPr>
              <w:t>.</w:t>
            </w:r>
            <w:r w:rsidRPr="00C24F78">
              <w:rPr>
                <w:rFonts w:eastAsia="Times New Roman" w:cstheme="minorHAnsi"/>
                <w:i/>
                <w:sz w:val="18"/>
                <w:szCs w:val="18"/>
                <w:lang w:eastAsia="en-GB"/>
              </w:rPr>
              <w:t>3</w:t>
            </w:r>
          </w:p>
        </w:tc>
        <w:tc>
          <w:tcPr>
            <w:tcW w:w="0" w:type="auto"/>
            <w:vAlign w:val="center"/>
          </w:tcPr>
          <w:p w14:paraId="02417D99" w14:textId="77777777" w:rsidR="00271850" w:rsidRPr="00C24F78" w:rsidRDefault="00271850" w:rsidP="00F61E90">
            <w:pPr>
              <w:spacing w:after="0" w:line="240" w:lineRule="auto"/>
              <w:jc w:val="right"/>
              <w:rPr>
                <w:rFonts w:eastAsia="Times New Roman" w:cstheme="minorHAnsi"/>
                <w:sz w:val="18"/>
                <w:szCs w:val="18"/>
                <w:lang w:eastAsia="en-GB"/>
              </w:rPr>
            </w:pPr>
            <w:r w:rsidRPr="00C24F78">
              <w:rPr>
                <w:rFonts w:eastAsia="Times New Roman" w:cstheme="minorHAnsi"/>
                <w:sz w:val="18"/>
                <w:szCs w:val="18"/>
                <w:lang w:eastAsia="en-GB"/>
              </w:rPr>
              <w:t>9726</w:t>
            </w:r>
          </w:p>
        </w:tc>
        <w:tc>
          <w:tcPr>
            <w:tcW w:w="0" w:type="auto"/>
            <w:vAlign w:val="center"/>
          </w:tcPr>
          <w:p w14:paraId="257C0E2E" w14:textId="77777777" w:rsidR="00271850" w:rsidRPr="00C24F78" w:rsidRDefault="00271850" w:rsidP="00F61E90">
            <w:pPr>
              <w:spacing w:after="0" w:line="240" w:lineRule="auto"/>
              <w:jc w:val="right"/>
              <w:rPr>
                <w:rFonts w:eastAsia="Times New Roman" w:cstheme="minorHAnsi"/>
                <w:i/>
                <w:sz w:val="18"/>
                <w:szCs w:val="18"/>
                <w:lang w:eastAsia="en-GB"/>
              </w:rPr>
            </w:pPr>
            <w:r w:rsidRPr="00C24F78">
              <w:rPr>
                <w:rFonts w:eastAsia="Times New Roman" w:cstheme="minorHAnsi"/>
                <w:i/>
                <w:sz w:val="18"/>
                <w:szCs w:val="18"/>
                <w:lang w:eastAsia="en-GB"/>
              </w:rPr>
              <w:t>1</w:t>
            </w:r>
            <w:r>
              <w:rPr>
                <w:rFonts w:eastAsia="Times New Roman" w:cstheme="minorHAnsi"/>
                <w:i/>
                <w:sz w:val="18"/>
                <w:szCs w:val="18"/>
                <w:lang w:eastAsia="en-GB"/>
              </w:rPr>
              <w:t>.</w:t>
            </w:r>
            <w:r w:rsidRPr="00C24F78">
              <w:rPr>
                <w:rFonts w:eastAsia="Times New Roman" w:cstheme="minorHAnsi"/>
                <w:i/>
                <w:sz w:val="18"/>
                <w:szCs w:val="18"/>
                <w:lang w:eastAsia="en-GB"/>
              </w:rPr>
              <w:t>8</w:t>
            </w:r>
          </w:p>
        </w:tc>
        <w:tc>
          <w:tcPr>
            <w:tcW w:w="0" w:type="auto"/>
            <w:vAlign w:val="center"/>
          </w:tcPr>
          <w:p w14:paraId="2338CC03" w14:textId="77777777" w:rsidR="00271850" w:rsidRPr="00C24F78" w:rsidRDefault="00271850" w:rsidP="00F61E90">
            <w:pPr>
              <w:spacing w:after="0" w:line="240" w:lineRule="auto"/>
              <w:jc w:val="right"/>
              <w:rPr>
                <w:rFonts w:eastAsia="Times New Roman" w:cstheme="minorHAnsi"/>
                <w:sz w:val="18"/>
                <w:szCs w:val="18"/>
                <w:lang w:eastAsia="en-GB"/>
              </w:rPr>
            </w:pPr>
            <w:r w:rsidRPr="00C24F78">
              <w:rPr>
                <w:rFonts w:eastAsia="Times New Roman" w:cstheme="minorHAnsi"/>
                <w:sz w:val="18"/>
                <w:szCs w:val="18"/>
                <w:lang w:eastAsia="en-GB"/>
              </w:rPr>
              <w:t>125281</w:t>
            </w:r>
          </w:p>
        </w:tc>
        <w:tc>
          <w:tcPr>
            <w:tcW w:w="0" w:type="auto"/>
            <w:vAlign w:val="center"/>
          </w:tcPr>
          <w:p w14:paraId="54F75CA4" w14:textId="77777777" w:rsidR="00271850" w:rsidRPr="00C24F78" w:rsidRDefault="00271850" w:rsidP="00F61E90">
            <w:pPr>
              <w:spacing w:after="0" w:line="240" w:lineRule="auto"/>
              <w:jc w:val="right"/>
              <w:rPr>
                <w:rFonts w:eastAsia="Times New Roman" w:cstheme="minorHAnsi"/>
                <w:i/>
                <w:sz w:val="18"/>
                <w:szCs w:val="18"/>
                <w:lang w:eastAsia="en-GB"/>
              </w:rPr>
            </w:pPr>
            <w:r w:rsidRPr="00C24F78">
              <w:rPr>
                <w:rFonts w:eastAsia="Times New Roman" w:cstheme="minorHAnsi"/>
                <w:i/>
                <w:sz w:val="18"/>
                <w:szCs w:val="18"/>
                <w:lang w:eastAsia="en-GB"/>
              </w:rPr>
              <w:t>36</w:t>
            </w:r>
            <w:r>
              <w:rPr>
                <w:rFonts w:eastAsia="Times New Roman" w:cstheme="minorHAnsi"/>
                <w:i/>
                <w:sz w:val="18"/>
                <w:szCs w:val="18"/>
                <w:lang w:eastAsia="en-GB"/>
              </w:rPr>
              <w:t>.</w:t>
            </w:r>
            <w:r w:rsidRPr="00C24F78">
              <w:rPr>
                <w:rFonts w:eastAsia="Times New Roman" w:cstheme="minorHAnsi"/>
                <w:i/>
                <w:sz w:val="18"/>
                <w:szCs w:val="18"/>
                <w:lang w:eastAsia="en-GB"/>
              </w:rPr>
              <w:t>5</w:t>
            </w:r>
          </w:p>
        </w:tc>
        <w:tc>
          <w:tcPr>
            <w:tcW w:w="0" w:type="auto"/>
            <w:vAlign w:val="center"/>
          </w:tcPr>
          <w:p w14:paraId="30A9D958" w14:textId="77777777" w:rsidR="00271850" w:rsidRPr="00C24F78" w:rsidRDefault="00271850" w:rsidP="00F61E90">
            <w:pPr>
              <w:spacing w:after="0" w:line="240" w:lineRule="auto"/>
              <w:jc w:val="right"/>
              <w:rPr>
                <w:rFonts w:eastAsia="Times New Roman" w:cstheme="minorHAnsi"/>
                <w:sz w:val="18"/>
                <w:szCs w:val="18"/>
                <w:lang w:eastAsia="en-GB"/>
              </w:rPr>
            </w:pPr>
          </w:p>
        </w:tc>
      </w:tr>
      <w:tr w:rsidR="00271850" w:rsidRPr="00C24F78" w14:paraId="771BEF7F" w14:textId="77777777" w:rsidTr="00F61E90">
        <w:trPr>
          <w:tblCellSpacing w:w="15" w:type="dxa"/>
          <w:jc w:val="center"/>
        </w:trPr>
        <w:tc>
          <w:tcPr>
            <w:tcW w:w="0" w:type="auto"/>
            <w:vAlign w:val="center"/>
            <w:hideMark/>
          </w:tcPr>
          <w:p w14:paraId="5042D6FF" w14:textId="77777777" w:rsidR="00271850" w:rsidRPr="00C24F78" w:rsidRDefault="00271850" w:rsidP="00F61E90">
            <w:pPr>
              <w:spacing w:after="0" w:line="240" w:lineRule="auto"/>
              <w:rPr>
                <w:rFonts w:eastAsia="Times New Roman" w:cstheme="minorHAnsi"/>
                <w:sz w:val="18"/>
                <w:szCs w:val="18"/>
                <w:lang w:eastAsia="en-GB"/>
              </w:rPr>
            </w:pPr>
          </w:p>
        </w:tc>
        <w:tc>
          <w:tcPr>
            <w:tcW w:w="0" w:type="auto"/>
            <w:vAlign w:val="center"/>
            <w:hideMark/>
          </w:tcPr>
          <w:p w14:paraId="2F3EC27D" w14:textId="77777777" w:rsidR="00271850" w:rsidRPr="00C24F78" w:rsidRDefault="00271850" w:rsidP="00F61E90">
            <w:pPr>
              <w:spacing w:after="0" w:line="240" w:lineRule="auto"/>
              <w:rPr>
                <w:rFonts w:eastAsia="Times New Roman" w:cstheme="minorHAnsi"/>
                <w:sz w:val="18"/>
                <w:szCs w:val="18"/>
                <w:lang w:eastAsia="en-GB"/>
              </w:rPr>
            </w:pPr>
            <w:r w:rsidRPr="00C24F78">
              <w:rPr>
                <w:rFonts w:eastAsia="Times New Roman" w:cstheme="minorHAnsi"/>
                <w:sz w:val="18"/>
                <w:szCs w:val="18"/>
                <w:lang w:eastAsia="en-GB"/>
              </w:rPr>
              <w:t xml:space="preserve">2015 </w:t>
            </w:r>
          </w:p>
        </w:tc>
        <w:tc>
          <w:tcPr>
            <w:tcW w:w="0" w:type="auto"/>
            <w:vAlign w:val="center"/>
          </w:tcPr>
          <w:p w14:paraId="15B804B0" w14:textId="77777777" w:rsidR="00271850" w:rsidRPr="00C24F78" w:rsidRDefault="00271850" w:rsidP="00F61E90">
            <w:pPr>
              <w:spacing w:after="0" w:line="240" w:lineRule="auto"/>
              <w:jc w:val="right"/>
              <w:rPr>
                <w:rFonts w:eastAsia="Times New Roman" w:cstheme="minorHAnsi"/>
                <w:sz w:val="18"/>
                <w:szCs w:val="18"/>
                <w:lang w:eastAsia="en-GB"/>
              </w:rPr>
            </w:pPr>
            <w:r w:rsidRPr="00C24F78">
              <w:rPr>
                <w:rFonts w:eastAsia="Times New Roman" w:cstheme="minorHAnsi"/>
                <w:sz w:val="18"/>
                <w:szCs w:val="18"/>
                <w:lang w:eastAsia="en-GB"/>
              </w:rPr>
              <w:t>127836</w:t>
            </w:r>
          </w:p>
        </w:tc>
        <w:tc>
          <w:tcPr>
            <w:tcW w:w="0" w:type="auto"/>
          </w:tcPr>
          <w:p w14:paraId="4F988E28" w14:textId="77777777" w:rsidR="00271850" w:rsidRPr="00C24F78" w:rsidRDefault="00271850" w:rsidP="00F61E90">
            <w:pPr>
              <w:spacing w:after="0" w:line="240" w:lineRule="auto"/>
              <w:jc w:val="right"/>
              <w:rPr>
                <w:rFonts w:eastAsia="Times New Roman" w:cstheme="minorHAnsi"/>
                <w:i/>
                <w:sz w:val="18"/>
                <w:szCs w:val="18"/>
                <w:lang w:eastAsia="en-GB"/>
              </w:rPr>
            </w:pPr>
            <w:r w:rsidRPr="00C24F78">
              <w:rPr>
                <w:rFonts w:eastAsia="Times New Roman" w:cstheme="minorHAnsi"/>
                <w:i/>
                <w:sz w:val="18"/>
                <w:szCs w:val="18"/>
                <w:lang w:eastAsia="en-GB"/>
              </w:rPr>
              <w:t>14</w:t>
            </w:r>
            <w:r>
              <w:rPr>
                <w:rFonts w:eastAsia="Times New Roman" w:cstheme="minorHAnsi"/>
                <w:i/>
                <w:sz w:val="18"/>
                <w:szCs w:val="18"/>
                <w:lang w:eastAsia="en-GB"/>
              </w:rPr>
              <w:t>.</w:t>
            </w:r>
            <w:r w:rsidRPr="00C24F78">
              <w:rPr>
                <w:rFonts w:eastAsia="Times New Roman" w:cstheme="minorHAnsi"/>
                <w:i/>
                <w:sz w:val="18"/>
                <w:szCs w:val="18"/>
                <w:lang w:eastAsia="en-GB"/>
              </w:rPr>
              <w:t>5</w:t>
            </w:r>
          </w:p>
        </w:tc>
        <w:tc>
          <w:tcPr>
            <w:tcW w:w="0" w:type="auto"/>
            <w:vAlign w:val="center"/>
          </w:tcPr>
          <w:p w14:paraId="2A92738B" w14:textId="77777777" w:rsidR="00271850" w:rsidRPr="00C24F78" w:rsidRDefault="00271850" w:rsidP="00F61E90">
            <w:pPr>
              <w:spacing w:after="0" w:line="240" w:lineRule="auto"/>
              <w:jc w:val="right"/>
              <w:rPr>
                <w:rFonts w:eastAsia="Times New Roman" w:cstheme="minorHAnsi"/>
                <w:sz w:val="18"/>
                <w:szCs w:val="18"/>
                <w:lang w:eastAsia="en-GB"/>
              </w:rPr>
            </w:pPr>
            <w:r w:rsidRPr="00C24F78">
              <w:rPr>
                <w:rFonts w:eastAsia="Times New Roman" w:cstheme="minorHAnsi"/>
                <w:sz w:val="18"/>
                <w:szCs w:val="18"/>
                <w:lang w:eastAsia="en-GB"/>
              </w:rPr>
              <w:t>7521</w:t>
            </w:r>
          </w:p>
        </w:tc>
        <w:tc>
          <w:tcPr>
            <w:tcW w:w="0" w:type="auto"/>
            <w:vAlign w:val="center"/>
          </w:tcPr>
          <w:p w14:paraId="4F675B42" w14:textId="77777777" w:rsidR="00271850" w:rsidRPr="00C24F78" w:rsidRDefault="00271850" w:rsidP="00F61E90">
            <w:pPr>
              <w:spacing w:after="0" w:line="240" w:lineRule="auto"/>
              <w:jc w:val="right"/>
              <w:rPr>
                <w:rFonts w:eastAsia="Times New Roman" w:cstheme="minorHAnsi"/>
                <w:i/>
                <w:sz w:val="18"/>
                <w:szCs w:val="18"/>
                <w:lang w:eastAsia="en-GB"/>
              </w:rPr>
            </w:pPr>
            <w:r w:rsidRPr="00C24F78">
              <w:rPr>
                <w:rFonts w:eastAsia="Times New Roman" w:cstheme="minorHAnsi"/>
                <w:i/>
                <w:sz w:val="18"/>
                <w:szCs w:val="18"/>
                <w:lang w:eastAsia="en-GB"/>
              </w:rPr>
              <w:t>1</w:t>
            </w:r>
            <w:r>
              <w:rPr>
                <w:rFonts w:eastAsia="Times New Roman" w:cstheme="minorHAnsi"/>
                <w:i/>
                <w:sz w:val="18"/>
                <w:szCs w:val="18"/>
                <w:lang w:eastAsia="en-GB"/>
              </w:rPr>
              <w:t>.</w:t>
            </w:r>
            <w:r w:rsidRPr="00C24F78">
              <w:rPr>
                <w:rFonts w:eastAsia="Times New Roman" w:cstheme="minorHAnsi"/>
                <w:i/>
                <w:sz w:val="18"/>
                <w:szCs w:val="18"/>
                <w:lang w:eastAsia="en-GB"/>
              </w:rPr>
              <w:t>4</w:t>
            </w:r>
          </w:p>
        </w:tc>
        <w:tc>
          <w:tcPr>
            <w:tcW w:w="0" w:type="auto"/>
            <w:vAlign w:val="center"/>
          </w:tcPr>
          <w:p w14:paraId="4B24E2EB" w14:textId="77777777" w:rsidR="00271850" w:rsidRPr="00C24F78" w:rsidRDefault="00271850" w:rsidP="00F61E90">
            <w:pPr>
              <w:spacing w:after="0" w:line="240" w:lineRule="auto"/>
              <w:jc w:val="right"/>
              <w:rPr>
                <w:rFonts w:eastAsia="Times New Roman" w:cstheme="minorHAnsi"/>
                <w:sz w:val="18"/>
                <w:szCs w:val="18"/>
                <w:lang w:eastAsia="en-GB"/>
              </w:rPr>
            </w:pPr>
            <w:r w:rsidRPr="00C24F78">
              <w:rPr>
                <w:rFonts w:eastAsia="Times New Roman" w:cstheme="minorHAnsi"/>
                <w:sz w:val="18"/>
                <w:szCs w:val="18"/>
                <w:lang w:eastAsia="en-GB"/>
              </w:rPr>
              <w:t>120315</w:t>
            </w:r>
          </w:p>
        </w:tc>
        <w:tc>
          <w:tcPr>
            <w:tcW w:w="0" w:type="auto"/>
            <w:vAlign w:val="center"/>
          </w:tcPr>
          <w:p w14:paraId="61223972" w14:textId="77777777" w:rsidR="00271850" w:rsidRPr="00C24F78" w:rsidRDefault="00271850" w:rsidP="00F61E90">
            <w:pPr>
              <w:spacing w:after="0" w:line="240" w:lineRule="auto"/>
              <w:jc w:val="right"/>
              <w:rPr>
                <w:rFonts w:eastAsia="Times New Roman" w:cstheme="minorHAnsi"/>
                <w:i/>
                <w:sz w:val="18"/>
                <w:szCs w:val="18"/>
                <w:lang w:eastAsia="en-GB"/>
              </w:rPr>
            </w:pPr>
            <w:r w:rsidRPr="00C24F78">
              <w:rPr>
                <w:rFonts w:eastAsia="Times New Roman" w:cstheme="minorHAnsi"/>
                <w:i/>
                <w:sz w:val="18"/>
                <w:szCs w:val="18"/>
                <w:lang w:eastAsia="en-GB"/>
              </w:rPr>
              <w:t>35</w:t>
            </w:r>
            <w:r>
              <w:rPr>
                <w:rFonts w:eastAsia="Times New Roman" w:cstheme="minorHAnsi"/>
                <w:i/>
                <w:sz w:val="18"/>
                <w:szCs w:val="18"/>
                <w:lang w:eastAsia="en-GB"/>
              </w:rPr>
              <w:t>.</w:t>
            </w:r>
            <w:r w:rsidRPr="00C24F78">
              <w:rPr>
                <w:rFonts w:eastAsia="Times New Roman" w:cstheme="minorHAnsi"/>
                <w:i/>
                <w:sz w:val="18"/>
                <w:szCs w:val="18"/>
                <w:lang w:eastAsia="en-GB"/>
              </w:rPr>
              <w:t>1</w:t>
            </w:r>
          </w:p>
        </w:tc>
        <w:tc>
          <w:tcPr>
            <w:tcW w:w="0" w:type="auto"/>
            <w:vAlign w:val="center"/>
          </w:tcPr>
          <w:p w14:paraId="7902AFB7" w14:textId="77777777" w:rsidR="00271850" w:rsidRPr="00C24F78" w:rsidRDefault="00271850" w:rsidP="00F61E90">
            <w:pPr>
              <w:spacing w:after="0" w:line="240" w:lineRule="auto"/>
              <w:jc w:val="right"/>
              <w:rPr>
                <w:rFonts w:eastAsia="Times New Roman" w:cstheme="minorHAnsi"/>
                <w:sz w:val="18"/>
                <w:szCs w:val="18"/>
                <w:lang w:eastAsia="en-GB"/>
              </w:rPr>
            </w:pPr>
          </w:p>
        </w:tc>
      </w:tr>
      <w:tr w:rsidR="00271850" w:rsidRPr="00C24F78" w14:paraId="5C9FDF8F" w14:textId="77777777" w:rsidTr="00F61E90">
        <w:trPr>
          <w:tblCellSpacing w:w="15" w:type="dxa"/>
          <w:jc w:val="center"/>
        </w:trPr>
        <w:tc>
          <w:tcPr>
            <w:tcW w:w="0" w:type="auto"/>
            <w:vAlign w:val="center"/>
            <w:hideMark/>
          </w:tcPr>
          <w:p w14:paraId="05BFCA42" w14:textId="77777777" w:rsidR="00271850" w:rsidRPr="00C24F78" w:rsidRDefault="00271850" w:rsidP="00F61E90">
            <w:pPr>
              <w:spacing w:after="0" w:line="240" w:lineRule="auto"/>
              <w:rPr>
                <w:rFonts w:eastAsia="Times New Roman" w:cstheme="minorHAnsi"/>
                <w:sz w:val="18"/>
                <w:szCs w:val="18"/>
                <w:lang w:eastAsia="en-GB"/>
              </w:rPr>
            </w:pPr>
            <w:r w:rsidRPr="00C24F78">
              <w:rPr>
                <w:rFonts w:eastAsia="Times New Roman" w:cstheme="minorHAnsi"/>
                <w:sz w:val="18"/>
                <w:szCs w:val="18"/>
                <w:lang w:eastAsia="en-GB"/>
              </w:rPr>
              <w:t xml:space="preserve">Region </w:t>
            </w:r>
          </w:p>
        </w:tc>
        <w:tc>
          <w:tcPr>
            <w:tcW w:w="0" w:type="auto"/>
            <w:vAlign w:val="center"/>
            <w:hideMark/>
          </w:tcPr>
          <w:p w14:paraId="29BF07D7" w14:textId="77777777" w:rsidR="00271850" w:rsidRPr="00C24F78" w:rsidRDefault="00271850" w:rsidP="00F61E90">
            <w:pPr>
              <w:spacing w:after="0" w:line="240" w:lineRule="auto"/>
              <w:rPr>
                <w:rFonts w:eastAsia="Times New Roman" w:cstheme="minorHAnsi"/>
                <w:sz w:val="18"/>
                <w:szCs w:val="18"/>
                <w:lang w:eastAsia="en-GB"/>
              </w:rPr>
            </w:pPr>
            <w:r w:rsidRPr="00C24F78">
              <w:rPr>
                <w:rFonts w:eastAsia="Times New Roman" w:cstheme="minorHAnsi"/>
                <w:sz w:val="18"/>
                <w:szCs w:val="18"/>
                <w:lang w:eastAsia="en-GB"/>
              </w:rPr>
              <w:t xml:space="preserve">North East </w:t>
            </w:r>
          </w:p>
        </w:tc>
        <w:tc>
          <w:tcPr>
            <w:tcW w:w="0" w:type="auto"/>
            <w:vAlign w:val="center"/>
          </w:tcPr>
          <w:p w14:paraId="209C8FFC" w14:textId="77777777" w:rsidR="00271850" w:rsidRPr="00C24F78" w:rsidRDefault="00271850" w:rsidP="00F61E90">
            <w:pPr>
              <w:spacing w:after="0" w:line="240" w:lineRule="auto"/>
              <w:jc w:val="right"/>
              <w:rPr>
                <w:rFonts w:eastAsia="Times New Roman" w:cstheme="minorHAnsi"/>
                <w:sz w:val="18"/>
                <w:szCs w:val="18"/>
                <w:lang w:eastAsia="en-GB"/>
              </w:rPr>
            </w:pPr>
            <w:r w:rsidRPr="00C24F78">
              <w:rPr>
                <w:rFonts w:eastAsia="Times New Roman" w:cstheme="minorHAnsi"/>
                <w:sz w:val="18"/>
                <w:szCs w:val="18"/>
                <w:lang w:eastAsia="en-GB"/>
              </w:rPr>
              <w:t>34011</w:t>
            </w:r>
          </w:p>
        </w:tc>
        <w:tc>
          <w:tcPr>
            <w:tcW w:w="0" w:type="auto"/>
          </w:tcPr>
          <w:p w14:paraId="314C77F6" w14:textId="77777777" w:rsidR="00271850" w:rsidRPr="00C24F78" w:rsidRDefault="00271850" w:rsidP="00F61E90">
            <w:pPr>
              <w:spacing w:after="0" w:line="240" w:lineRule="auto"/>
              <w:jc w:val="right"/>
              <w:rPr>
                <w:rFonts w:eastAsia="Times New Roman" w:cstheme="minorHAnsi"/>
                <w:i/>
                <w:sz w:val="18"/>
                <w:szCs w:val="18"/>
                <w:lang w:eastAsia="en-GB"/>
              </w:rPr>
            </w:pPr>
            <w:r w:rsidRPr="00C24F78">
              <w:rPr>
                <w:rFonts w:eastAsia="Times New Roman" w:cstheme="minorHAnsi"/>
                <w:i/>
                <w:sz w:val="18"/>
                <w:szCs w:val="18"/>
                <w:lang w:eastAsia="en-GB"/>
              </w:rPr>
              <w:t>3</w:t>
            </w:r>
            <w:r>
              <w:rPr>
                <w:rFonts w:eastAsia="Times New Roman" w:cstheme="minorHAnsi"/>
                <w:i/>
                <w:sz w:val="18"/>
                <w:szCs w:val="18"/>
                <w:lang w:eastAsia="en-GB"/>
              </w:rPr>
              <w:t>.</w:t>
            </w:r>
            <w:r w:rsidRPr="00C24F78">
              <w:rPr>
                <w:rFonts w:eastAsia="Times New Roman" w:cstheme="minorHAnsi"/>
                <w:i/>
                <w:sz w:val="18"/>
                <w:szCs w:val="18"/>
                <w:lang w:eastAsia="en-GB"/>
              </w:rPr>
              <w:t>9</w:t>
            </w:r>
          </w:p>
        </w:tc>
        <w:tc>
          <w:tcPr>
            <w:tcW w:w="0" w:type="auto"/>
            <w:vAlign w:val="center"/>
          </w:tcPr>
          <w:p w14:paraId="5DA2E1CC" w14:textId="77777777" w:rsidR="00271850" w:rsidRPr="00C24F78" w:rsidRDefault="00271850" w:rsidP="00F61E90">
            <w:pPr>
              <w:spacing w:after="0" w:line="240" w:lineRule="auto"/>
              <w:jc w:val="right"/>
              <w:rPr>
                <w:rFonts w:eastAsia="Times New Roman" w:cstheme="minorHAnsi"/>
                <w:sz w:val="18"/>
                <w:szCs w:val="18"/>
                <w:lang w:eastAsia="en-GB"/>
              </w:rPr>
            </w:pPr>
            <w:r w:rsidRPr="00C24F78">
              <w:rPr>
                <w:rFonts w:eastAsia="Times New Roman" w:cstheme="minorHAnsi"/>
                <w:sz w:val="18"/>
                <w:szCs w:val="18"/>
                <w:lang w:eastAsia="en-GB"/>
              </w:rPr>
              <w:t>20654</w:t>
            </w:r>
          </w:p>
        </w:tc>
        <w:tc>
          <w:tcPr>
            <w:tcW w:w="0" w:type="auto"/>
            <w:vAlign w:val="center"/>
          </w:tcPr>
          <w:p w14:paraId="4CBD293F" w14:textId="77777777" w:rsidR="00271850" w:rsidRPr="00C24F78" w:rsidRDefault="00271850" w:rsidP="00F61E90">
            <w:pPr>
              <w:spacing w:after="0" w:line="240" w:lineRule="auto"/>
              <w:jc w:val="right"/>
              <w:rPr>
                <w:rFonts w:eastAsia="Times New Roman" w:cstheme="minorHAnsi"/>
                <w:i/>
                <w:sz w:val="18"/>
                <w:szCs w:val="18"/>
                <w:lang w:eastAsia="en-GB"/>
              </w:rPr>
            </w:pPr>
            <w:r w:rsidRPr="00C24F78">
              <w:rPr>
                <w:rFonts w:eastAsia="Times New Roman" w:cstheme="minorHAnsi"/>
                <w:i/>
                <w:sz w:val="18"/>
                <w:szCs w:val="18"/>
                <w:lang w:eastAsia="en-GB"/>
              </w:rPr>
              <w:t>3</w:t>
            </w:r>
            <w:r>
              <w:rPr>
                <w:rFonts w:eastAsia="Times New Roman" w:cstheme="minorHAnsi"/>
                <w:i/>
                <w:sz w:val="18"/>
                <w:szCs w:val="18"/>
                <w:lang w:eastAsia="en-GB"/>
              </w:rPr>
              <w:t>.</w:t>
            </w:r>
            <w:r w:rsidRPr="00C24F78">
              <w:rPr>
                <w:rFonts w:eastAsia="Times New Roman" w:cstheme="minorHAnsi"/>
                <w:i/>
                <w:sz w:val="18"/>
                <w:szCs w:val="18"/>
                <w:lang w:eastAsia="en-GB"/>
              </w:rPr>
              <w:t>8</w:t>
            </w:r>
          </w:p>
        </w:tc>
        <w:tc>
          <w:tcPr>
            <w:tcW w:w="0" w:type="auto"/>
            <w:vAlign w:val="center"/>
          </w:tcPr>
          <w:p w14:paraId="0FE4436F" w14:textId="77777777" w:rsidR="00271850" w:rsidRPr="00C24F78" w:rsidRDefault="00271850" w:rsidP="00F61E90">
            <w:pPr>
              <w:spacing w:after="0" w:line="240" w:lineRule="auto"/>
              <w:jc w:val="right"/>
              <w:rPr>
                <w:rFonts w:eastAsia="Times New Roman" w:cstheme="minorHAnsi"/>
                <w:sz w:val="18"/>
                <w:szCs w:val="18"/>
                <w:lang w:eastAsia="en-GB"/>
              </w:rPr>
            </w:pPr>
            <w:r w:rsidRPr="00C24F78">
              <w:rPr>
                <w:rFonts w:eastAsia="Times New Roman" w:cstheme="minorHAnsi"/>
                <w:sz w:val="18"/>
                <w:szCs w:val="18"/>
                <w:lang w:eastAsia="en-GB"/>
              </w:rPr>
              <w:t>13357</w:t>
            </w:r>
          </w:p>
        </w:tc>
        <w:tc>
          <w:tcPr>
            <w:tcW w:w="0" w:type="auto"/>
            <w:vAlign w:val="center"/>
          </w:tcPr>
          <w:p w14:paraId="42FBC23B" w14:textId="77777777" w:rsidR="00271850" w:rsidRPr="00C24F78" w:rsidRDefault="00271850" w:rsidP="00F61E90">
            <w:pPr>
              <w:spacing w:after="0" w:line="240" w:lineRule="auto"/>
              <w:jc w:val="right"/>
              <w:rPr>
                <w:rFonts w:eastAsia="Times New Roman" w:cstheme="minorHAnsi"/>
                <w:i/>
                <w:sz w:val="18"/>
                <w:szCs w:val="18"/>
                <w:lang w:eastAsia="en-GB"/>
              </w:rPr>
            </w:pPr>
            <w:r w:rsidRPr="00C24F78">
              <w:rPr>
                <w:rFonts w:eastAsia="Times New Roman" w:cstheme="minorHAnsi"/>
                <w:i/>
                <w:sz w:val="18"/>
                <w:szCs w:val="18"/>
                <w:lang w:eastAsia="en-GB"/>
              </w:rPr>
              <w:t>3</w:t>
            </w:r>
            <w:r>
              <w:rPr>
                <w:rFonts w:eastAsia="Times New Roman" w:cstheme="minorHAnsi"/>
                <w:i/>
                <w:sz w:val="18"/>
                <w:szCs w:val="18"/>
                <w:lang w:eastAsia="en-GB"/>
              </w:rPr>
              <w:t>.</w:t>
            </w:r>
            <w:r w:rsidRPr="00C24F78">
              <w:rPr>
                <w:rFonts w:eastAsia="Times New Roman" w:cstheme="minorHAnsi"/>
                <w:i/>
                <w:sz w:val="18"/>
                <w:szCs w:val="18"/>
                <w:lang w:eastAsia="en-GB"/>
              </w:rPr>
              <w:t>9</w:t>
            </w:r>
          </w:p>
        </w:tc>
        <w:tc>
          <w:tcPr>
            <w:tcW w:w="0" w:type="auto"/>
            <w:vAlign w:val="center"/>
          </w:tcPr>
          <w:p w14:paraId="4F572128" w14:textId="77777777" w:rsidR="00271850" w:rsidRPr="00C24F78" w:rsidRDefault="00271850" w:rsidP="00F61E90">
            <w:pPr>
              <w:spacing w:after="0" w:line="240" w:lineRule="auto"/>
              <w:jc w:val="right"/>
              <w:rPr>
                <w:rFonts w:eastAsia="Times New Roman" w:cstheme="minorHAnsi"/>
                <w:sz w:val="18"/>
                <w:szCs w:val="18"/>
                <w:lang w:eastAsia="en-GB"/>
              </w:rPr>
            </w:pPr>
            <w:r w:rsidRPr="00C24F78">
              <w:rPr>
                <w:rFonts w:eastAsia="Times New Roman" w:cstheme="minorHAnsi"/>
                <w:sz w:val="18"/>
                <w:szCs w:val="18"/>
                <w:lang w:eastAsia="en-GB"/>
              </w:rPr>
              <w:t>&lt;0</w:t>
            </w:r>
            <w:r>
              <w:rPr>
                <w:rFonts w:eastAsia="Times New Roman" w:cstheme="minorHAnsi"/>
                <w:sz w:val="18"/>
                <w:szCs w:val="18"/>
                <w:lang w:eastAsia="en-GB"/>
              </w:rPr>
              <w:t>.</w:t>
            </w:r>
            <w:r w:rsidRPr="00C24F78">
              <w:rPr>
                <w:rFonts w:eastAsia="Times New Roman" w:cstheme="minorHAnsi"/>
                <w:sz w:val="18"/>
                <w:szCs w:val="18"/>
                <w:lang w:eastAsia="en-GB"/>
              </w:rPr>
              <w:t>001</w:t>
            </w:r>
          </w:p>
        </w:tc>
      </w:tr>
      <w:tr w:rsidR="00271850" w:rsidRPr="00C24F78" w14:paraId="4979F1A2" w14:textId="77777777" w:rsidTr="00F61E90">
        <w:trPr>
          <w:tblCellSpacing w:w="15" w:type="dxa"/>
          <w:jc w:val="center"/>
        </w:trPr>
        <w:tc>
          <w:tcPr>
            <w:tcW w:w="0" w:type="auto"/>
            <w:vAlign w:val="center"/>
            <w:hideMark/>
          </w:tcPr>
          <w:p w14:paraId="7C505D98" w14:textId="77777777" w:rsidR="00271850" w:rsidRPr="00C24F78" w:rsidRDefault="00271850" w:rsidP="00F61E90">
            <w:pPr>
              <w:spacing w:after="0" w:line="240" w:lineRule="auto"/>
              <w:rPr>
                <w:rFonts w:eastAsia="Times New Roman" w:cstheme="minorHAnsi"/>
                <w:sz w:val="18"/>
                <w:szCs w:val="18"/>
                <w:lang w:eastAsia="en-GB"/>
              </w:rPr>
            </w:pPr>
          </w:p>
        </w:tc>
        <w:tc>
          <w:tcPr>
            <w:tcW w:w="0" w:type="auto"/>
            <w:vAlign w:val="center"/>
            <w:hideMark/>
          </w:tcPr>
          <w:p w14:paraId="32237898" w14:textId="77777777" w:rsidR="00271850" w:rsidRPr="00C24F78" w:rsidRDefault="00271850" w:rsidP="00F61E90">
            <w:pPr>
              <w:spacing w:after="0" w:line="240" w:lineRule="auto"/>
              <w:rPr>
                <w:rFonts w:eastAsia="Times New Roman" w:cstheme="minorHAnsi"/>
                <w:sz w:val="18"/>
                <w:szCs w:val="18"/>
                <w:lang w:eastAsia="en-GB"/>
              </w:rPr>
            </w:pPr>
            <w:r w:rsidRPr="00C24F78">
              <w:rPr>
                <w:rFonts w:eastAsia="Times New Roman" w:cstheme="minorHAnsi"/>
                <w:sz w:val="18"/>
                <w:szCs w:val="18"/>
                <w:lang w:eastAsia="en-GB"/>
              </w:rPr>
              <w:t xml:space="preserve">North West </w:t>
            </w:r>
          </w:p>
        </w:tc>
        <w:tc>
          <w:tcPr>
            <w:tcW w:w="0" w:type="auto"/>
            <w:vAlign w:val="center"/>
          </w:tcPr>
          <w:p w14:paraId="15D63A1C" w14:textId="77777777" w:rsidR="00271850" w:rsidRPr="00C24F78" w:rsidRDefault="00271850" w:rsidP="00F61E90">
            <w:pPr>
              <w:spacing w:after="0" w:line="240" w:lineRule="auto"/>
              <w:jc w:val="right"/>
              <w:rPr>
                <w:rFonts w:eastAsia="Times New Roman" w:cstheme="minorHAnsi"/>
                <w:sz w:val="18"/>
                <w:szCs w:val="18"/>
                <w:lang w:eastAsia="en-GB"/>
              </w:rPr>
            </w:pPr>
            <w:r w:rsidRPr="00C24F78">
              <w:rPr>
                <w:rFonts w:eastAsia="Times New Roman" w:cstheme="minorHAnsi"/>
                <w:sz w:val="18"/>
                <w:szCs w:val="18"/>
                <w:lang w:eastAsia="en-GB"/>
              </w:rPr>
              <w:t>130546</w:t>
            </w:r>
          </w:p>
        </w:tc>
        <w:tc>
          <w:tcPr>
            <w:tcW w:w="0" w:type="auto"/>
          </w:tcPr>
          <w:p w14:paraId="5680044F" w14:textId="77777777" w:rsidR="00271850" w:rsidRPr="00C24F78" w:rsidRDefault="00271850" w:rsidP="00F61E90">
            <w:pPr>
              <w:spacing w:after="0" w:line="240" w:lineRule="auto"/>
              <w:jc w:val="right"/>
              <w:rPr>
                <w:rFonts w:eastAsia="Times New Roman" w:cstheme="minorHAnsi"/>
                <w:i/>
                <w:sz w:val="18"/>
                <w:szCs w:val="18"/>
                <w:lang w:eastAsia="en-GB"/>
              </w:rPr>
            </w:pPr>
            <w:r w:rsidRPr="00C24F78">
              <w:rPr>
                <w:rFonts w:eastAsia="Times New Roman" w:cstheme="minorHAnsi"/>
                <w:i/>
                <w:sz w:val="18"/>
                <w:szCs w:val="18"/>
                <w:lang w:eastAsia="en-GB"/>
              </w:rPr>
              <w:t>14</w:t>
            </w:r>
            <w:r>
              <w:rPr>
                <w:rFonts w:eastAsia="Times New Roman" w:cstheme="minorHAnsi"/>
                <w:i/>
                <w:sz w:val="18"/>
                <w:szCs w:val="18"/>
                <w:lang w:eastAsia="en-GB"/>
              </w:rPr>
              <w:t>.</w:t>
            </w:r>
            <w:r w:rsidRPr="00C24F78">
              <w:rPr>
                <w:rFonts w:eastAsia="Times New Roman" w:cstheme="minorHAnsi"/>
                <w:i/>
                <w:sz w:val="18"/>
                <w:szCs w:val="18"/>
                <w:lang w:eastAsia="en-GB"/>
              </w:rPr>
              <w:t>8</w:t>
            </w:r>
          </w:p>
        </w:tc>
        <w:tc>
          <w:tcPr>
            <w:tcW w:w="0" w:type="auto"/>
            <w:vAlign w:val="center"/>
          </w:tcPr>
          <w:p w14:paraId="08323720" w14:textId="77777777" w:rsidR="00271850" w:rsidRPr="00C24F78" w:rsidRDefault="00271850" w:rsidP="00F61E90">
            <w:pPr>
              <w:spacing w:after="0" w:line="240" w:lineRule="auto"/>
              <w:jc w:val="right"/>
              <w:rPr>
                <w:rFonts w:eastAsia="Times New Roman" w:cstheme="minorHAnsi"/>
                <w:sz w:val="18"/>
                <w:szCs w:val="18"/>
                <w:lang w:eastAsia="en-GB"/>
              </w:rPr>
            </w:pPr>
            <w:r w:rsidRPr="00C24F78">
              <w:rPr>
                <w:rFonts w:eastAsia="Times New Roman" w:cstheme="minorHAnsi"/>
                <w:sz w:val="18"/>
                <w:szCs w:val="18"/>
                <w:lang w:eastAsia="en-GB"/>
              </w:rPr>
              <w:t>79505</w:t>
            </w:r>
          </w:p>
        </w:tc>
        <w:tc>
          <w:tcPr>
            <w:tcW w:w="0" w:type="auto"/>
            <w:vAlign w:val="center"/>
          </w:tcPr>
          <w:p w14:paraId="097973BC" w14:textId="77777777" w:rsidR="00271850" w:rsidRPr="00C24F78" w:rsidRDefault="00271850" w:rsidP="00F61E90">
            <w:pPr>
              <w:spacing w:after="0" w:line="240" w:lineRule="auto"/>
              <w:jc w:val="right"/>
              <w:rPr>
                <w:rFonts w:eastAsia="Times New Roman" w:cstheme="minorHAnsi"/>
                <w:i/>
                <w:sz w:val="18"/>
                <w:szCs w:val="18"/>
                <w:lang w:eastAsia="en-GB"/>
              </w:rPr>
            </w:pPr>
            <w:r w:rsidRPr="00C24F78">
              <w:rPr>
                <w:rFonts w:eastAsia="Times New Roman" w:cstheme="minorHAnsi"/>
                <w:i/>
                <w:sz w:val="18"/>
                <w:szCs w:val="18"/>
                <w:lang w:eastAsia="en-GB"/>
              </w:rPr>
              <w:t>14</w:t>
            </w:r>
            <w:r>
              <w:rPr>
                <w:rFonts w:eastAsia="Times New Roman" w:cstheme="minorHAnsi"/>
                <w:i/>
                <w:sz w:val="18"/>
                <w:szCs w:val="18"/>
                <w:lang w:eastAsia="en-GB"/>
              </w:rPr>
              <w:t>.</w:t>
            </w:r>
            <w:r w:rsidRPr="00C24F78">
              <w:rPr>
                <w:rFonts w:eastAsia="Times New Roman" w:cstheme="minorHAnsi"/>
                <w:i/>
                <w:sz w:val="18"/>
                <w:szCs w:val="18"/>
                <w:lang w:eastAsia="en-GB"/>
              </w:rPr>
              <w:t>8</w:t>
            </w:r>
          </w:p>
        </w:tc>
        <w:tc>
          <w:tcPr>
            <w:tcW w:w="0" w:type="auto"/>
            <w:vAlign w:val="center"/>
          </w:tcPr>
          <w:p w14:paraId="1359B41D" w14:textId="77777777" w:rsidR="00271850" w:rsidRPr="00C24F78" w:rsidRDefault="00271850" w:rsidP="00F61E90">
            <w:pPr>
              <w:spacing w:after="0" w:line="240" w:lineRule="auto"/>
              <w:jc w:val="right"/>
              <w:rPr>
                <w:rFonts w:eastAsia="Times New Roman" w:cstheme="minorHAnsi"/>
                <w:sz w:val="18"/>
                <w:szCs w:val="18"/>
                <w:lang w:eastAsia="en-GB"/>
              </w:rPr>
            </w:pPr>
            <w:r w:rsidRPr="00C24F78">
              <w:rPr>
                <w:rFonts w:eastAsia="Times New Roman" w:cstheme="minorHAnsi"/>
                <w:sz w:val="18"/>
                <w:szCs w:val="18"/>
                <w:lang w:eastAsia="en-GB"/>
              </w:rPr>
              <w:t>51041</w:t>
            </w:r>
          </w:p>
        </w:tc>
        <w:tc>
          <w:tcPr>
            <w:tcW w:w="0" w:type="auto"/>
            <w:vAlign w:val="center"/>
          </w:tcPr>
          <w:p w14:paraId="735F7494" w14:textId="77777777" w:rsidR="00271850" w:rsidRPr="00C24F78" w:rsidRDefault="00271850" w:rsidP="00F61E90">
            <w:pPr>
              <w:spacing w:after="0" w:line="240" w:lineRule="auto"/>
              <w:jc w:val="right"/>
              <w:rPr>
                <w:rFonts w:eastAsia="Times New Roman" w:cstheme="minorHAnsi"/>
                <w:i/>
                <w:sz w:val="18"/>
                <w:szCs w:val="18"/>
                <w:lang w:eastAsia="en-GB"/>
              </w:rPr>
            </w:pPr>
            <w:r w:rsidRPr="00C24F78">
              <w:rPr>
                <w:rFonts w:eastAsia="Times New Roman" w:cstheme="minorHAnsi"/>
                <w:i/>
                <w:sz w:val="18"/>
                <w:szCs w:val="18"/>
                <w:lang w:eastAsia="en-GB"/>
              </w:rPr>
              <w:t>14</w:t>
            </w:r>
            <w:r>
              <w:rPr>
                <w:rFonts w:eastAsia="Times New Roman" w:cstheme="minorHAnsi"/>
                <w:i/>
                <w:sz w:val="18"/>
                <w:szCs w:val="18"/>
                <w:lang w:eastAsia="en-GB"/>
              </w:rPr>
              <w:t>.</w:t>
            </w:r>
            <w:r w:rsidRPr="00C24F78">
              <w:rPr>
                <w:rFonts w:eastAsia="Times New Roman" w:cstheme="minorHAnsi"/>
                <w:i/>
                <w:sz w:val="18"/>
                <w:szCs w:val="18"/>
                <w:lang w:eastAsia="en-GB"/>
              </w:rPr>
              <w:t>9</w:t>
            </w:r>
          </w:p>
        </w:tc>
        <w:tc>
          <w:tcPr>
            <w:tcW w:w="0" w:type="auto"/>
            <w:vAlign w:val="center"/>
          </w:tcPr>
          <w:p w14:paraId="30084CE0" w14:textId="77777777" w:rsidR="00271850" w:rsidRPr="00C24F78" w:rsidRDefault="00271850" w:rsidP="00F61E90">
            <w:pPr>
              <w:spacing w:after="0" w:line="240" w:lineRule="auto"/>
              <w:jc w:val="right"/>
              <w:rPr>
                <w:rFonts w:eastAsia="Times New Roman" w:cstheme="minorHAnsi"/>
                <w:sz w:val="18"/>
                <w:szCs w:val="18"/>
                <w:lang w:eastAsia="en-GB"/>
              </w:rPr>
            </w:pPr>
          </w:p>
        </w:tc>
      </w:tr>
      <w:tr w:rsidR="00271850" w:rsidRPr="00C24F78" w14:paraId="26C67DD9" w14:textId="77777777" w:rsidTr="00F61E90">
        <w:trPr>
          <w:tblCellSpacing w:w="15" w:type="dxa"/>
          <w:jc w:val="center"/>
        </w:trPr>
        <w:tc>
          <w:tcPr>
            <w:tcW w:w="0" w:type="auto"/>
            <w:vAlign w:val="center"/>
            <w:hideMark/>
          </w:tcPr>
          <w:p w14:paraId="6637BFE5" w14:textId="77777777" w:rsidR="00271850" w:rsidRPr="00C24F78" w:rsidRDefault="00271850" w:rsidP="00F61E90">
            <w:pPr>
              <w:spacing w:after="0" w:line="240" w:lineRule="auto"/>
              <w:rPr>
                <w:rFonts w:eastAsia="Times New Roman" w:cstheme="minorHAnsi"/>
                <w:sz w:val="18"/>
                <w:szCs w:val="18"/>
                <w:lang w:eastAsia="en-GB"/>
              </w:rPr>
            </w:pPr>
          </w:p>
        </w:tc>
        <w:tc>
          <w:tcPr>
            <w:tcW w:w="0" w:type="auto"/>
            <w:vAlign w:val="center"/>
            <w:hideMark/>
          </w:tcPr>
          <w:p w14:paraId="03C9B18D" w14:textId="77777777" w:rsidR="00271850" w:rsidRPr="00C24F78" w:rsidRDefault="00271850" w:rsidP="00F61E90">
            <w:pPr>
              <w:spacing w:after="0" w:line="240" w:lineRule="auto"/>
              <w:rPr>
                <w:rFonts w:eastAsia="Times New Roman" w:cstheme="minorHAnsi"/>
                <w:sz w:val="18"/>
                <w:szCs w:val="18"/>
                <w:lang w:eastAsia="en-GB"/>
              </w:rPr>
            </w:pPr>
            <w:r w:rsidRPr="00C24F78">
              <w:rPr>
                <w:rFonts w:eastAsia="Times New Roman" w:cstheme="minorHAnsi"/>
                <w:sz w:val="18"/>
                <w:szCs w:val="18"/>
                <w:lang w:eastAsia="en-GB"/>
              </w:rPr>
              <w:t xml:space="preserve">Yorkshire and Humber </w:t>
            </w:r>
          </w:p>
        </w:tc>
        <w:tc>
          <w:tcPr>
            <w:tcW w:w="0" w:type="auto"/>
            <w:vAlign w:val="center"/>
          </w:tcPr>
          <w:p w14:paraId="6BAD1D46" w14:textId="77777777" w:rsidR="00271850" w:rsidRPr="00C24F78" w:rsidRDefault="00271850" w:rsidP="00F61E90">
            <w:pPr>
              <w:spacing w:after="0" w:line="240" w:lineRule="auto"/>
              <w:jc w:val="right"/>
              <w:rPr>
                <w:rFonts w:eastAsia="Times New Roman" w:cstheme="minorHAnsi"/>
                <w:sz w:val="18"/>
                <w:szCs w:val="18"/>
                <w:lang w:eastAsia="en-GB"/>
              </w:rPr>
            </w:pPr>
            <w:r w:rsidRPr="00C24F78">
              <w:rPr>
                <w:rFonts w:eastAsia="Times New Roman" w:cstheme="minorHAnsi"/>
                <w:sz w:val="18"/>
                <w:szCs w:val="18"/>
                <w:lang w:eastAsia="en-GB"/>
              </w:rPr>
              <w:t>31402</w:t>
            </w:r>
          </w:p>
        </w:tc>
        <w:tc>
          <w:tcPr>
            <w:tcW w:w="0" w:type="auto"/>
          </w:tcPr>
          <w:p w14:paraId="6B490954" w14:textId="77777777" w:rsidR="00271850" w:rsidRPr="00C24F78" w:rsidRDefault="00271850" w:rsidP="00F61E90">
            <w:pPr>
              <w:spacing w:after="0" w:line="240" w:lineRule="auto"/>
              <w:jc w:val="right"/>
              <w:rPr>
                <w:rFonts w:eastAsia="Times New Roman" w:cstheme="minorHAnsi"/>
                <w:i/>
                <w:sz w:val="18"/>
                <w:szCs w:val="18"/>
                <w:lang w:eastAsia="en-GB"/>
              </w:rPr>
            </w:pPr>
            <w:r w:rsidRPr="00C24F78">
              <w:rPr>
                <w:rFonts w:eastAsia="Times New Roman" w:cstheme="minorHAnsi"/>
                <w:i/>
                <w:sz w:val="18"/>
                <w:szCs w:val="18"/>
                <w:lang w:eastAsia="en-GB"/>
              </w:rPr>
              <w:t>3</w:t>
            </w:r>
            <w:r>
              <w:rPr>
                <w:rFonts w:eastAsia="Times New Roman" w:cstheme="minorHAnsi"/>
                <w:i/>
                <w:sz w:val="18"/>
                <w:szCs w:val="18"/>
                <w:lang w:eastAsia="en-GB"/>
              </w:rPr>
              <w:t>.</w:t>
            </w:r>
            <w:r w:rsidRPr="00C24F78">
              <w:rPr>
                <w:rFonts w:eastAsia="Times New Roman" w:cstheme="minorHAnsi"/>
                <w:i/>
                <w:sz w:val="18"/>
                <w:szCs w:val="18"/>
                <w:lang w:eastAsia="en-GB"/>
              </w:rPr>
              <w:t>6</w:t>
            </w:r>
          </w:p>
        </w:tc>
        <w:tc>
          <w:tcPr>
            <w:tcW w:w="0" w:type="auto"/>
            <w:vAlign w:val="center"/>
          </w:tcPr>
          <w:p w14:paraId="6BF7C1F1" w14:textId="77777777" w:rsidR="00271850" w:rsidRPr="00C24F78" w:rsidRDefault="00271850" w:rsidP="00F61E90">
            <w:pPr>
              <w:spacing w:after="0" w:line="240" w:lineRule="auto"/>
              <w:jc w:val="right"/>
              <w:rPr>
                <w:rFonts w:eastAsia="Times New Roman" w:cstheme="minorHAnsi"/>
                <w:sz w:val="18"/>
                <w:szCs w:val="18"/>
                <w:lang w:eastAsia="en-GB"/>
              </w:rPr>
            </w:pPr>
            <w:r w:rsidRPr="00C24F78">
              <w:rPr>
                <w:rFonts w:eastAsia="Times New Roman" w:cstheme="minorHAnsi"/>
                <w:sz w:val="18"/>
                <w:szCs w:val="18"/>
                <w:lang w:eastAsia="en-GB"/>
              </w:rPr>
              <w:t>19359</w:t>
            </w:r>
          </w:p>
        </w:tc>
        <w:tc>
          <w:tcPr>
            <w:tcW w:w="0" w:type="auto"/>
            <w:vAlign w:val="center"/>
          </w:tcPr>
          <w:p w14:paraId="1AD82015" w14:textId="77777777" w:rsidR="00271850" w:rsidRPr="00C24F78" w:rsidRDefault="00271850" w:rsidP="00F61E90">
            <w:pPr>
              <w:spacing w:after="0" w:line="240" w:lineRule="auto"/>
              <w:jc w:val="right"/>
              <w:rPr>
                <w:rFonts w:eastAsia="Times New Roman" w:cstheme="minorHAnsi"/>
                <w:i/>
                <w:sz w:val="18"/>
                <w:szCs w:val="18"/>
                <w:lang w:eastAsia="en-GB"/>
              </w:rPr>
            </w:pPr>
            <w:r w:rsidRPr="00C24F78">
              <w:rPr>
                <w:rFonts w:eastAsia="Times New Roman" w:cstheme="minorHAnsi"/>
                <w:i/>
                <w:sz w:val="18"/>
                <w:szCs w:val="18"/>
                <w:lang w:eastAsia="en-GB"/>
              </w:rPr>
              <w:t>3</w:t>
            </w:r>
            <w:r>
              <w:rPr>
                <w:rFonts w:eastAsia="Times New Roman" w:cstheme="minorHAnsi"/>
                <w:i/>
                <w:sz w:val="18"/>
                <w:szCs w:val="18"/>
                <w:lang w:eastAsia="en-GB"/>
              </w:rPr>
              <w:t>.</w:t>
            </w:r>
            <w:r w:rsidRPr="00C24F78">
              <w:rPr>
                <w:rFonts w:eastAsia="Times New Roman" w:cstheme="minorHAnsi"/>
                <w:i/>
                <w:sz w:val="18"/>
                <w:szCs w:val="18"/>
                <w:lang w:eastAsia="en-GB"/>
              </w:rPr>
              <w:t>6</w:t>
            </w:r>
          </w:p>
        </w:tc>
        <w:tc>
          <w:tcPr>
            <w:tcW w:w="0" w:type="auto"/>
            <w:vAlign w:val="center"/>
          </w:tcPr>
          <w:p w14:paraId="70537DE6" w14:textId="77777777" w:rsidR="00271850" w:rsidRPr="00C24F78" w:rsidRDefault="00271850" w:rsidP="00F61E90">
            <w:pPr>
              <w:spacing w:after="0" w:line="240" w:lineRule="auto"/>
              <w:jc w:val="right"/>
              <w:rPr>
                <w:rFonts w:eastAsia="Times New Roman" w:cstheme="minorHAnsi"/>
                <w:sz w:val="18"/>
                <w:szCs w:val="18"/>
                <w:lang w:eastAsia="en-GB"/>
              </w:rPr>
            </w:pPr>
            <w:r w:rsidRPr="00C24F78">
              <w:rPr>
                <w:rFonts w:eastAsia="Times New Roman" w:cstheme="minorHAnsi"/>
                <w:sz w:val="18"/>
                <w:szCs w:val="18"/>
                <w:lang w:eastAsia="en-GB"/>
              </w:rPr>
              <w:t>12043</w:t>
            </w:r>
          </w:p>
        </w:tc>
        <w:tc>
          <w:tcPr>
            <w:tcW w:w="0" w:type="auto"/>
            <w:vAlign w:val="center"/>
          </w:tcPr>
          <w:p w14:paraId="4E11CA34" w14:textId="77777777" w:rsidR="00271850" w:rsidRPr="00C24F78" w:rsidRDefault="00271850" w:rsidP="00F61E90">
            <w:pPr>
              <w:spacing w:after="0" w:line="240" w:lineRule="auto"/>
              <w:jc w:val="right"/>
              <w:rPr>
                <w:rFonts w:eastAsia="Times New Roman" w:cstheme="minorHAnsi"/>
                <w:i/>
                <w:sz w:val="18"/>
                <w:szCs w:val="18"/>
                <w:lang w:eastAsia="en-GB"/>
              </w:rPr>
            </w:pPr>
            <w:r w:rsidRPr="00C24F78">
              <w:rPr>
                <w:rFonts w:eastAsia="Times New Roman" w:cstheme="minorHAnsi"/>
                <w:i/>
                <w:sz w:val="18"/>
                <w:szCs w:val="18"/>
                <w:lang w:eastAsia="en-GB"/>
              </w:rPr>
              <w:t>3</w:t>
            </w:r>
            <w:r>
              <w:rPr>
                <w:rFonts w:eastAsia="Times New Roman" w:cstheme="minorHAnsi"/>
                <w:i/>
                <w:sz w:val="18"/>
                <w:szCs w:val="18"/>
                <w:lang w:eastAsia="en-GB"/>
              </w:rPr>
              <w:t>.</w:t>
            </w:r>
            <w:r w:rsidRPr="00C24F78">
              <w:rPr>
                <w:rFonts w:eastAsia="Times New Roman" w:cstheme="minorHAnsi"/>
                <w:i/>
                <w:sz w:val="18"/>
                <w:szCs w:val="18"/>
                <w:lang w:eastAsia="en-GB"/>
              </w:rPr>
              <w:t>5</w:t>
            </w:r>
          </w:p>
        </w:tc>
        <w:tc>
          <w:tcPr>
            <w:tcW w:w="0" w:type="auto"/>
            <w:vAlign w:val="center"/>
          </w:tcPr>
          <w:p w14:paraId="1B870B3A" w14:textId="77777777" w:rsidR="00271850" w:rsidRPr="00C24F78" w:rsidRDefault="00271850" w:rsidP="00F61E90">
            <w:pPr>
              <w:spacing w:after="0" w:line="240" w:lineRule="auto"/>
              <w:jc w:val="right"/>
              <w:rPr>
                <w:rFonts w:eastAsia="Times New Roman" w:cstheme="minorHAnsi"/>
                <w:sz w:val="18"/>
                <w:szCs w:val="18"/>
                <w:lang w:eastAsia="en-GB"/>
              </w:rPr>
            </w:pPr>
          </w:p>
        </w:tc>
      </w:tr>
      <w:tr w:rsidR="00271850" w:rsidRPr="00C24F78" w14:paraId="01681CC7" w14:textId="77777777" w:rsidTr="00F61E90">
        <w:trPr>
          <w:tblCellSpacing w:w="15" w:type="dxa"/>
          <w:jc w:val="center"/>
        </w:trPr>
        <w:tc>
          <w:tcPr>
            <w:tcW w:w="0" w:type="auto"/>
            <w:vAlign w:val="center"/>
            <w:hideMark/>
          </w:tcPr>
          <w:p w14:paraId="27D6B624" w14:textId="77777777" w:rsidR="00271850" w:rsidRPr="00C24F78" w:rsidRDefault="00271850" w:rsidP="00F61E90">
            <w:pPr>
              <w:spacing w:after="0" w:line="240" w:lineRule="auto"/>
              <w:rPr>
                <w:rFonts w:eastAsia="Times New Roman" w:cstheme="minorHAnsi"/>
                <w:sz w:val="18"/>
                <w:szCs w:val="18"/>
                <w:lang w:eastAsia="en-GB"/>
              </w:rPr>
            </w:pPr>
          </w:p>
        </w:tc>
        <w:tc>
          <w:tcPr>
            <w:tcW w:w="0" w:type="auto"/>
            <w:vAlign w:val="center"/>
            <w:hideMark/>
          </w:tcPr>
          <w:p w14:paraId="7316416A" w14:textId="77777777" w:rsidR="00271850" w:rsidRPr="00C24F78" w:rsidRDefault="00271850" w:rsidP="00F61E90">
            <w:pPr>
              <w:spacing w:after="0" w:line="240" w:lineRule="auto"/>
              <w:rPr>
                <w:rFonts w:eastAsia="Times New Roman" w:cstheme="minorHAnsi"/>
                <w:sz w:val="18"/>
                <w:szCs w:val="18"/>
                <w:lang w:eastAsia="en-GB"/>
              </w:rPr>
            </w:pPr>
            <w:r w:rsidRPr="00C24F78">
              <w:rPr>
                <w:rFonts w:eastAsia="Times New Roman" w:cstheme="minorHAnsi"/>
                <w:sz w:val="18"/>
                <w:szCs w:val="18"/>
                <w:lang w:eastAsia="en-GB"/>
              </w:rPr>
              <w:t xml:space="preserve">East Midlands </w:t>
            </w:r>
          </w:p>
        </w:tc>
        <w:tc>
          <w:tcPr>
            <w:tcW w:w="0" w:type="auto"/>
            <w:vAlign w:val="center"/>
          </w:tcPr>
          <w:p w14:paraId="37D88482" w14:textId="77777777" w:rsidR="00271850" w:rsidRPr="00C24F78" w:rsidRDefault="00271850" w:rsidP="00F61E90">
            <w:pPr>
              <w:spacing w:after="0" w:line="240" w:lineRule="auto"/>
              <w:jc w:val="right"/>
              <w:rPr>
                <w:rFonts w:eastAsia="Times New Roman" w:cstheme="minorHAnsi"/>
                <w:sz w:val="18"/>
                <w:szCs w:val="18"/>
                <w:lang w:eastAsia="en-GB"/>
              </w:rPr>
            </w:pPr>
            <w:r w:rsidRPr="00C24F78">
              <w:rPr>
                <w:rFonts w:eastAsia="Times New Roman" w:cstheme="minorHAnsi"/>
                <w:sz w:val="18"/>
                <w:szCs w:val="18"/>
                <w:lang w:eastAsia="en-GB"/>
              </w:rPr>
              <w:t>21895</w:t>
            </w:r>
          </w:p>
        </w:tc>
        <w:tc>
          <w:tcPr>
            <w:tcW w:w="0" w:type="auto"/>
          </w:tcPr>
          <w:p w14:paraId="08603297" w14:textId="77777777" w:rsidR="00271850" w:rsidRPr="00C24F78" w:rsidRDefault="00271850" w:rsidP="00F61E90">
            <w:pPr>
              <w:spacing w:after="0" w:line="240" w:lineRule="auto"/>
              <w:jc w:val="right"/>
              <w:rPr>
                <w:rFonts w:eastAsia="Times New Roman" w:cstheme="minorHAnsi"/>
                <w:i/>
                <w:sz w:val="18"/>
                <w:szCs w:val="18"/>
                <w:lang w:eastAsia="en-GB"/>
              </w:rPr>
            </w:pPr>
            <w:r w:rsidRPr="00C24F78">
              <w:rPr>
                <w:rFonts w:eastAsia="Times New Roman" w:cstheme="minorHAnsi"/>
                <w:i/>
                <w:sz w:val="18"/>
                <w:szCs w:val="18"/>
                <w:lang w:eastAsia="en-GB"/>
              </w:rPr>
              <w:t>2</w:t>
            </w:r>
            <w:r>
              <w:rPr>
                <w:rFonts w:eastAsia="Times New Roman" w:cstheme="minorHAnsi"/>
                <w:i/>
                <w:sz w:val="18"/>
                <w:szCs w:val="18"/>
                <w:lang w:eastAsia="en-GB"/>
              </w:rPr>
              <w:t>.</w:t>
            </w:r>
            <w:r w:rsidRPr="00C24F78">
              <w:rPr>
                <w:rFonts w:eastAsia="Times New Roman" w:cstheme="minorHAnsi"/>
                <w:i/>
                <w:sz w:val="18"/>
                <w:szCs w:val="18"/>
                <w:lang w:eastAsia="en-GB"/>
              </w:rPr>
              <w:t>5</w:t>
            </w:r>
          </w:p>
        </w:tc>
        <w:tc>
          <w:tcPr>
            <w:tcW w:w="0" w:type="auto"/>
            <w:vAlign w:val="center"/>
          </w:tcPr>
          <w:p w14:paraId="6D8189A5" w14:textId="77777777" w:rsidR="00271850" w:rsidRPr="00C24F78" w:rsidRDefault="00271850" w:rsidP="00F61E90">
            <w:pPr>
              <w:spacing w:after="0" w:line="240" w:lineRule="auto"/>
              <w:jc w:val="right"/>
              <w:rPr>
                <w:rFonts w:eastAsia="Times New Roman" w:cstheme="minorHAnsi"/>
                <w:sz w:val="18"/>
                <w:szCs w:val="18"/>
                <w:lang w:eastAsia="en-GB"/>
              </w:rPr>
            </w:pPr>
            <w:r w:rsidRPr="00C24F78">
              <w:rPr>
                <w:rFonts w:eastAsia="Times New Roman" w:cstheme="minorHAnsi"/>
                <w:sz w:val="18"/>
                <w:szCs w:val="18"/>
                <w:lang w:eastAsia="en-GB"/>
              </w:rPr>
              <w:t>13548</w:t>
            </w:r>
          </w:p>
        </w:tc>
        <w:tc>
          <w:tcPr>
            <w:tcW w:w="0" w:type="auto"/>
            <w:vAlign w:val="center"/>
          </w:tcPr>
          <w:p w14:paraId="1D8A6106" w14:textId="77777777" w:rsidR="00271850" w:rsidRPr="00C24F78" w:rsidRDefault="00271850" w:rsidP="00F61E90">
            <w:pPr>
              <w:spacing w:after="0" w:line="240" w:lineRule="auto"/>
              <w:jc w:val="right"/>
              <w:rPr>
                <w:rFonts w:eastAsia="Times New Roman" w:cstheme="minorHAnsi"/>
                <w:i/>
                <w:sz w:val="18"/>
                <w:szCs w:val="18"/>
                <w:lang w:eastAsia="en-GB"/>
              </w:rPr>
            </w:pPr>
            <w:r w:rsidRPr="00C24F78">
              <w:rPr>
                <w:rFonts w:eastAsia="Times New Roman" w:cstheme="minorHAnsi"/>
                <w:i/>
                <w:sz w:val="18"/>
                <w:szCs w:val="18"/>
                <w:lang w:eastAsia="en-GB"/>
              </w:rPr>
              <w:t>2</w:t>
            </w:r>
            <w:r>
              <w:rPr>
                <w:rFonts w:eastAsia="Times New Roman" w:cstheme="minorHAnsi"/>
                <w:i/>
                <w:sz w:val="18"/>
                <w:szCs w:val="18"/>
                <w:lang w:eastAsia="en-GB"/>
              </w:rPr>
              <w:t>.</w:t>
            </w:r>
            <w:r w:rsidRPr="00C24F78">
              <w:rPr>
                <w:rFonts w:eastAsia="Times New Roman" w:cstheme="minorHAnsi"/>
                <w:i/>
                <w:sz w:val="18"/>
                <w:szCs w:val="18"/>
                <w:lang w:eastAsia="en-GB"/>
              </w:rPr>
              <w:t>5</w:t>
            </w:r>
          </w:p>
        </w:tc>
        <w:tc>
          <w:tcPr>
            <w:tcW w:w="0" w:type="auto"/>
            <w:vAlign w:val="center"/>
          </w:tcPr>
          <w:p w14:paraId="60B8F42D" w14:textId="77777777" w:rsidR="00271850" w:rsidRPr="00C24F78" w:rsidRDefault="00271850" w:rsidP="00F61E90">
            <w:pPr>
              <w:spacing w:after="0" w:line="240" w:lineRule="auto"/>
              <w:jc w:val="right"/>
              <w:rPr>
                <w:rFonts w:eastAsia="Times New Roman" w:cstheme="minorHAnsi"/>
                <w:sz w:val="18"/>
                <w:szCs w:val="18"/>
                <w:lang w:eastAsia="en-GB"/>
              </w:rPr>
            </w:pPr>
            <w:r w:rsidRPr="00C24F78">
              <w:rPr>
                <w:rFonts w:eastAsia="Times New Roman" w:cstheme="minorHAnsi"/>
                <w:sz w:val="18"/>
                <w:szCs w:val="18"/>
                <w:lang w:eastAsia="en-GB"/>
              </w:rPr>
              <w:t>8347</w:t>
            </w:r>
          </w:p>
        </w:tc>
        <w:tc>
          <w:tcPr>
            <w:tcW w:w="0" w:type="auto"/>
            <w:vAlign w:val="center"/>
          </w:tcPr>
          <w:p w14:paraId="327C49C0" w14:textId="77777777" w:rsidR="00271850" w:rsidRPr="00C24F78" w:rsidRDefault="00271850" w:rsidP="00F61E90">
            <w:pPr>
              <w:spacing w:after="0" w:line="240" w:lineRule="auto"/>
              <w:jc w:val="right"/>
              <w:rPr>
                <w:rFonts w:eastAsia="Times New Roman" w:cstheme="minorHAnsi"/>
                <w:i/>
                <w:sz w:val="18"/>
                <w:szCs w:val="18"/>
                <w:lang w:eastAsia="en-GB"/>
              </w:rPr>
            </w:pPr>
            <w:r w:rsidRPr="00C24F78">
              <w:rPr>
                <w:rFonts w:eastAsia="Times New Roman" w:cstheme="minorHAnsi"/>
                <w:i/>
                <w:sz w:val="18"/>
                <w:szCs w:val="18"/>
                <w:lang w:eastAsia="en-GB"/>
              </w:rPr>
              <w:t>2</w:t>
            </w:r>
            <w:r>
              <w:rPr>
                <w:rFonts w:eastAsia="Times New Roman" w:cstheme="minorHAnsi"/>
                <w:i/>
                <w:sz w:val="18"/>
                <w:szCs w:val="18"/>
                <w:lang w:eastAsia="en-GB"/>
              </w:rPr>
              <w:t>.</w:t>
            </w:r>
            <w:r w:rsidRPr="00C24F78">
              <w:rPr>
                <w:rFonts w:eastAsia="Times New Roman" w:cstheme="minorHAnsi"/>
                <w:i/>
                <w:sz w:val="18"/>
                <w:szCs w:val="18"/>
                <w:lang w:eastAsia="en-GB"/>
              </w:rPr>
              <w:t>4</w:t>
            </w:r>
          </w:p>
        </w:tc>
        <w:tc>
          <w:tcPr>
            <w:tcW w:w="0" w:type="auto"/>
            <w:vAlign w:val="center"/>
          </w:tcPr>
          <w:p w14:paraId="652617B3" w14:textId="77777777" w:rsidR="00271850" w:rsidRPr="00C24F78" w:rsidRDefault="00271850" w:rsidP="00F61E90">
            <w:pPr>
              <w:spacing w:after="0" w:line="240" w:lineRule="auto"/>
              <w:jc w:val="right"/>
              <w:rPr>
                <w:rFonts w:eastAsia="Times New Roman" w:cstheme="minorHAnsi"/>
                <w:sz w:val="18"/>
                <w:szCs w:val="18"/>
                <w:lang w:eastAsia="en-GB"/>
              </w:rPr>
            </w:pPr>
          </w:p>
        </w:tc>
      </w:tr>
      <w:tr w:rsidR="00271850" w:rsidRPr="00C24F78" w14:paraId="46CC4733" w14:textId="77777777" w:rsidTr="00F61E90">
        <w:trPr>
          <w:tblCellSpacing w:w="15" w:type="dxa"/>
          <w:jc w:val="center"/>
        </w:trPr>
        <w:tc>
          <w:tcPr>
            <w:tcW w:w="0" w:type="auto"/>
            <w:vAlign w:val="center"/>
            <w:hideMark/>
          </w:tcPr>
          <w:p w14:paraId="12249D3E" w14:textId="77777777" w:rsidR="00271850" w:rsidRPr="00C24F78" w:rsidRDefault="00271850" w:rsidP="00F61E90">
            <w:pPr>
              <w:spacing w:after="0" w:line="240" w:lineRule="auto"/>
              <w:rPr>
                <w:rFonts w:eastAsia="Times New Roman" w:cstheme="minorHAnsi"/>
                <w:sz w:val="18"/>
                <w:szCs w:val="18"/>
                <w:lang w:eastAsia="en-GB"/>
              </w:rPr>
            </w:pPr>
          </w:p>
        </w:tc>
        <w:tc>
          <w:tcPr>
            <w:tcW w:w="0" w:type="auto"/>
            <w:vAlign w:val="center"/>
            <w:hideMark/>
          </w:tcPr>
          <w:p w14:paraId="21B107AD" w14:textId="77777777" w:rsidR="00271850" w:rsidRPr="00C24F78" w:rsidRDefault="00271850" w:rsidP="00F61E90">
            <w:pPr>
              <w:spacing w:after="0" w:line="240" w:lineRule="auto"/>
              <w:rPr>
                <w:rFonts w:eastAsia="Times New Roman" w:cstheme="minorHAnsi"/>
                <w:sz w:val="18"/>
                <w:szCs w:val="18"/>
                <w:lang w:eastAsia="en-GB"/>
              </w:rPr>
            </w:pPr>
            <w:r w:rsidRPr="00C24F78">
              <w:rPr>
                <w:rFonts w:eastAsia="Times New Roman" w:cstheme="minorHAnsi"/>
                <w:sz w:val="18"/>
                <w:szCs w:val="18"/>
                <w:lang w:eastAsia="en-GB"/>
              </w:rPr>
              <w:t xml:space="preserve">West Midlands </w:t>
            </w:r>
          </w:p>
        </w:tc>
        <w:tc>
          <w:tcPr>
            <w:tcW w:w="0" w:type="auto"/>
            <w:vAlign w:val="center"/>
          </w:tcPr>
          <w:p w14:paraId="1F804703" w14:textId="77777777" w:rsidR="00271850" w:rsidRPr="00C24F78" w:rsidRDefault="00271850" w:rsidP="00F61E90">
            <w:pPr>
              <w:spacing w:after="0" w:line="240" w:lineRule="auto"/>
              <w:jc w:val="right"/>
              <w:rPr>
                <w:rFonts w:eastAsia="Times New Roman" w:cstheme="minorHAnsi"/>
                <w:sz w:val="18"/>
                <w:szCs w:val="18"/>
                <w:lang w:eastAsia="en-GB"/>
              </w:rPr>
            </w:pPr>
            <w:r w:rsidRPr="00C24F78">
              <w:rPr>
                <w:rFonts w:eastAsia="Times New Roman" w:cstheme="minorHAnsi"/>
                <w:sz w:val="18"/>
                <w:szCs w:val="18"/>
                <w:lang w:eastAsia="en-GB"/>
              </w:rPr>
              <w:t>146977</w:t>
            </w:r>
          </w:p>
        </w:tc>
        <w:tc>
          <w:tcPr>
            <w:tcW w:w="0" w:type="auto"/>
          </w:tcPr>
          <w:p w14:paraId="1731010B" w14:textId="77777777" w:rsidR="00271850" w:rsidRPr="00C24F78" w:rsidRDefault="00271850" w:rsidP="00F61E90">
            <w:pPr>
              <w:spacing w:after="0" w:line="240" w:lineRule="auto"/>
              <w:jc w:val="right"/>
              <w:rPr>
                <w:rFonts w:eastAsia="Times New Roman" w:cstheme="minorHAnsi"/>
                <w:i/>
                <w:sz w:val="18"/>
                <w:szCs w:val="18"/>
                <w:lang w:eastAsia="en-GB"/>
              </w:rPr>
            </w:pPr>
            <w:r w:rsidRPr="00C24F78">
              <w:rPr>
                <w:rFonts w:eastAsia="Times New Roman" w:cstheme="minorHAnsi"/>
                <w:i/>
                <w:sz w:val="18"/>
                <w:szCs w:val="18"/>
                <w:lang w:eastAsia="en-GB"/>
              </w:rPr>
              <w:t>16</w:t>
            </w:r>
            <w:r>
              <w:rPr>
                <w:rFonts w:eastAsia="Times New Roman" w:cstheme="minorHAnsi"/>
                <w:i/>
                <w:sz w:val="18"/>
                <w:szCs w:val="18"/>
                <w:lang w:eastAsia="en-GB"/>
              </w:rPr>
              <w:t>.</w:t>
            </w:r>
            <w:r w:rsidRPr="00C24F78">
              <w:rPr>
                <w:rFonts w:eastAsia="Times New Roman" w:cstheme="minorHAnsi"/>
                <w:i/>
                <w:sz w:val="18"/>
                <w:szCs w:val="18"/>
                <w:lang w:eastAsia="en-GB"/>
              </w:rPr>
              <w:t>7</w:t>
            </w:r>
          </w:p>
        </w:tc>
        <w:tc>
          <w:tcPr>
            <w:tcW w:w="0" w:type="auto"/>
            <w:vAlign w:val="center"/>
          </w:tcPr>
          <w:p w14:paraId="4E01AEA4" w14:textId="77777777" w:rsidR="00271850" w:rsidRPr="00C24F78" w:rsidRDefault="00271850" w:rsidP="00F61E90">
            <w:pPr>
              <w:spacing w:after="0" w:line="240" w:lineRule="auto"/>
              <w:jc w:val="right"/>
              <w:rPr>
                <w:rFonts w:eastAsia="Times New Roman" w:cstheme="minorHAnsi"/>
                <w:sz w:val="18"/>
                <w:szCs w:val="18"/>
                <w:lang w:eastAsia="en-GB"/>
              </w:rPr>
            </w:pPr>
            <w:r w:rsidRPr="00C24F78">
              <w:rPr>
                <w:rFonts w:eastAsia="Times New Roman" w:cstheme="minorHAnsi"/>
                <w:sz w:val="18"/>
                <w:szCs w:val="18"/>
                <w:lang w:eastAsia="en-GB"/>
              </w:rPr>
              <w:t>89481</w:t>
            </w:r>
          </w:p>
        </w:tc>
        <w:tc>
          <w:tcPr>
            <w:tcW w:w="0" w:type="auto"/>
            <w:vAlign w:val="center"/>
          </w:tcPr>
          <w:p w14:paraId="3195AF25" w14:textId="77777777" w:rsidR="00271850" w:rsidRPr="00C24F78" w:rsidRDefault="00271850" w:rsidP="00F61E90">
            <w:pPr>
              <w:spacing w:after="0" w:line="240" w:lineRule="auto"/>
              <w:jc w:val="right"/>
              <w:rPr>
                <w:rFonts w:eastAsia="Times New Roman" w:cstheme="minorHAnsi"/>
                <w:i/>
                <w:sz w:val="18"/>
                <w:szCs w:val="18"/>
                <w:lang w:eastAsia="en-GB"/>
              </w:rPr>
            </w:pPr>
            <w:r w:rsidRPr="00C24F78">
              <w:rPr>
                <w:rFonts w:eastAsia="Times New Roman" w:cstheme="minorHAnsi"/>
                <w:i/>
                <w:sz w:val="18"/>
                <w:szCs w:val="18"/>
                <w:lang w:eastAsia="en-GB"/>
              </w:rPr>
              <w:t>16</w:t>
            </w:r>
            <w:r>
              <w:rPr>
                <w:rFonts w:eastAsia="Times New Roman" w:cstheme="minorHAnsi"/>
                <w:i/>
                <w:sz w:val="18"/>
                <w:szCs w:val="18"/>
                <w:lang w:eastAsia="en-GB"/>
              </w:rPr>
              <w:t>.</w:t>
            </w:r>
            <w:r w:rsidRPr="00C24F78">
              <w:rPr>
                <w:rFonts w:eastAsia="Times New Roman" w:cstheme="minorHAnsi"/>
                <w:i/>
                <w:sz w:val="18"/>
                <w:szCs w:val="18"/>
                <w:lang w:eastAsia="en-GB"/>
              </w:rPr>
              <w:t>7</w:t>
            </w:r>
          </w:p>
        </w:tc>
        <w:tc>
          <w:tcPr>
            <w:tcW w:w="0" w:type="auto"/>
            <w:vAlign w:val="center"/>
          </w:tcPr>
          <w:p w14:paraId="566CED44" w14:textId="77777777" w:rsidR="00271850" w:rsidRPr="00C24F78" w:rsidRDefault="00271850" w:rsidP="00F61E90">
            <w:pPr>
              <w:spacing w:after="0" w:line="240" w:lineRule="auto"/>
              <w:jc w:val="right"/>
              <w:rPr>
                <w:rFonts w:eastAsia="Times New Roman" w:cstheme="minorHAnsi"/>
                <w:sz w:val="18"/>
                <w:szCs w:val="18"/>
                <w:lang w:eastAsia="en-GB"/>
              </w:rPr>
            </w:pPr>
            <w:r w:rsidRPr="00C24F78">
              <w:rPr>
                <w:rFonts w:eastAsia="Times New Roman" w:cstheme="minorHAnsi"/>
                <w:sz w:val="18"/>
                <w:szCs w:val="18"/>
                <w:lang w:eastAsia="en-GB"/>
              </w:rPr>
              <w:t>57496</w:t>
            </w:r>
          </w:p>
        </w:tc>
        <w:tc>
          <w:tcPr>
            <w:tcW w:w="0" w:type="auto"/>
            <w:vAlign w:val="center"/>
          </w:tcPr>
          <w:p w14:paraId="2BD726D7" w14:textId="77777777" w:rsidR="00271850" w:rsidRPr="00C24F78" w:rsidRDefault="00271850" w:rsidP="00F61E90">
            <w:pPr>
              <w:spacing w:after="0" w:line="240" w:lineRule="auto"/>
              <w:jc w:val="right"/>
              <w:rPr>
                <w:rFonts w:eastAsia="Times New Roman" w:cstheme="minorHAnsi"/>
                <w:i/>
                <w:sz w:val="18"/>
                <w:szCs w:val="18"/>
                <w:lang w:eastAsia="en-GB"/>
              </w:rPr>
            </w:pPr>
            <w:r w:rsidRPr="00C24F78">
              <w:rPr>
                <w:rFonts w:eastAsia="Times New Roman" w:cstheme="minorHAnsi"/>
                <w:i/>
                <w:sz w:val="18"/>
                <w:szCs w:val="18"/>
                <w:lang w:eastAsia="en-GB"/>
              </w:rPr>
              <w:t>16</w:t>
            </w:r>
            <w:r>
              <w:rPr>
                <w:rFonts w:eastAsia="Times New Roman" w:cstheme="minorHAnsi"/>
                <w:i/>
                <w:sz w:val="18"/>
                <w:szCs w:val="18"/>
                <w:lang w:eastAsia="en-GB"/>
              </w:rPr>
              <w:t>.</w:t>
            </w:r>
            <w:r w:rsidRPr="00C24F78">
              <w:rPr>
                <w:rFonts w:eastAsia="Times New Roman" w:cstheme="minorHAnsi"/>
                <w:i/>
                <w:sz w:val="18"/>
                <w:szCs w:val="18"/>
                <w:lang w:eastAsia="en-GB"/>
              </w:rPr>
              <w:t>8</w:t>
            </w:r>
          </w:p>
        </w:tc>
        <w:tc>
          <w:tcPr>
            <w:tcW w:w="0" w:type="auto"/>
            <w:vAlign w:val="center"/>
          </w:tcPr>
          <w:p w14:paraId="77F9D779" w14:textId="77777777" w:rsidR="00271850" w:rsidRPr="00C24F78" w:rsidRDefault="00271850" w:rsidP="00F61E90">
            <w:pPr>
              <w:spacing w:after="0" w:line="240" w:lineRule="auto"/>
              <w:jc w:val="right"/>
              <w:rPr>
                <w:rFonts w:eastAsia="Times New Roman" w:cstheme="minorHAnsi"/>
                <w:sz w:val="18"/>
                <w:szCs w:val="18"/>
                <w:lang w:eastAsia="en-GB"/>
              </w:rPr>
            </w:pPr>
          </w:p>
        </w:tc>
      </w:tr>
      <w:tr w:rsidR="00271850" w:rsidRPr="00C24F78" w14:paraId="0C8AAEF4" w14:textId="77777777" w:rsidTr="00F61E90">
        <w:trPr>
          <w:tblCellSpacing w:w="15" w:type="dxa"/>
          <w:jc w:val="center"/>
        </w:trPr>
        <w:tc>
          <w:tcPr>
            <w:tcW w:w="0" w:type="auto"/>
            <w:vAlign w:val="center"/>
            <w:hideMark/>
          </w:tcPr>
          <w:p w14:paraId="25D44E50" w14:textId="77777777" w:rsidR="00271850" w:rsidRPr="00C24F78" w:rsidRDefault="00271850" w:rsidP="00F61E90">
            <w:pPr>
              <w:spacing w:after="0" w:line="240" w:lineRule="auto"/>
              <w:rPr>
                <w:rFonts w:eastAsia="Times New Roman" w:cstheme="minorHAnsi"/>
                <w:sz w:val="18"/>
                <w:szCs w:val="18"/>
                <w:lang w:eastAsia="en-GB"/>
              </w:rPr>
            </w:pPr>
          </w:p>
        </w:tc>
        <w:tc>
          <w:tcPr>
            <w:tcW w:w="0" w:type="auto"/>
            <w:vAlign w:val="center"/>
            <w:hideMark/>
          </w:tcPr>
          <w:p w14:paraId="5CCD2449" w14:textId="77777777" w:rsidR="00271850" w:rsidRPr="00C24F78" w:rsidRDefault="00271850" w:rsidP="00F61E90">
            <w:pPr>
              <w:spacing w:after="0" w:line="240" w:lineRule="auto"/>
              <w:rPr>
                <w:rFonts w:eastAsia="Times New Roman" w:cstheme="minorHAnsi"/>
                <w:sz w:val="18"/>
                <w:szCs w:val="18"/>
                <w:lang w:eastAsia="en-GB"/>
              </w:rPr>
            </w:pPr>
            <w:r w:rsidRPr="00C24F78">
              <w:rPr>
                <w:rFonts w:eastAsia="Times New Roman" w:cstheme="minorHAnsi"/>
                <w:sz w:val="18"/>
                <w:szCs w:val="18"/>
                <w:lang w:eastAsia="en-GB"/>
              </w:rPr>
              <w:t xml:space="preserve">East of England </w:t>
            </w:r>
          </w:p>
        </w:tc>
        <w:tc>
          <w:tcPr>
            <w:tcW w:w="0" w:type="auto"/>
            <w:vAlign w:val="center"/>
          </w:tcPr>
          <w:p w14:paraId="44F5DA76" w14:textId="77777777" w:rsidR="00271850" w:rsidRPr="00C24F78" w:rsidRDefault="00271850" w:rsidP="00F61E90">
            <w:pPr>
              <w:spacing w:after="0" w:line="240" w:lineRule="auto"/>
              <w:jc w:val="right"/>
              <w:rPr>
                <w:rFonts w:eastAsia="Times New Roman" w:cstheme="minorHAnsi"/>
                <w:sz w:val="18"/>
                <w:szCs w:val="18"/>
                <w:lang w:eastAsia="en-GB"/>
              </w:rPr>
            </w:pPr>
            <w:r w:rsidRPr="00C24F78">
              <w:rPr>
                <w:rFonts w:eastAsia="Times New Roman" w:cstheme="minorHAnsi"/>
                <w:sz w:val="18"/>
                <w:szCs w:val="18"/>
                <w:lang w:eastAsia="en-GB"/>
              </w:rPr>
              <w:t>50765</w:t>
            </w:r>
          </w:p>
        </w:tc>
        <w:tc>
          <w:tcPr>
            <w:tcW w:w="0" w:type="auto"/>
          </w:tcPr>
          <w:p w14:paraId="26CAC7D2" w14:textId="77777777" w:rsidR="00271850" w:rsidRPr="00C24F78" w:rsidRDefault="00271850" w:rsidP="00F61E90">
            <w:pPr>
              <w:spacing w:after="0" w:line="240" w:lineRule="auto"/>
              <w:jc w:val="right"/>
              <w:rPr>
                <w:rFonts w:eastAsia="Times New Roman" w:cstheme="minorHAnsi"/>
                <w:i/>
                <w:sz w:val="18"/>
                <w:szCs w:val="18"/>
                <w:lang w:eastAsia="en-GB"/>
              </w:rPr>
            </w:pPr>
            <w:r w:rsidRPr="00C24F78">
              <w:rPr>
                <w:rFonts w:eastAsia="Times New Roman" w:cstheme="minorHAnsi"/>
                <w:i/>
                <w:sz w:val="18"/>
                <w:szCs w:val="18"/>
                <w:lang w:eastAsia="en-GB"/>
              </w:rPr>
              <w:t>5</w:t>
            </w:r>
            <w:r>
              <w:rPr>
                <w:rFonts w:eastAsia="Times New Roman" w:cstheme="minorHAnsi"/>
                <w:i/>
                <w:sz w:val="18"/>
                <w:szCs w:val="18"/>
                <w:lang w:eastAsia="en-GB"/>
              </w:rPr>
              <w:t>.</w:t>
            </w:r>
            <w:r w:rsidRPr="00C24F78">
              <w:rPr>
                <w:rFonts w:eastAsia="Times New Roman" w:cstheme="minorHAnsi"/>
                <w:i/>
                <w:sz w:val="18"/>
                <w:szCs w:val="18"/>
                <w:lang w:eastAsia="en-GB"/>
              </w:rPr>
              <w:t>8</w:t>
            </w:r>
          </w:p>
        </w:tc>
        <w:tc>
          <w:tcPr>
            <w:tcW w:w="0" w:type="auto"/>
            <w:vAlign w:val="center"/>
          </w:tcPr>
          <w:p w14:paraId="4C608CCB" w14:textId="77777777" w:rsidR="00271850" w:rsidRPr="00C24F78" w:rsidRDefault="00271850" w:rsidP="00F61E90">
            <w:pPr>
              <w:spacing w:after="0" w:line="240" w:lineRule="auto"/>
              <w:jc w:val="right"/>
              <w:rPr>
                <w:rFonts w:eastAsia="Times New Roman" w:cstheme="minorHAnsi"/>
                <w:sz w:val="18"/>
                <w:szCs w:val="18"/>
                <w:lang w:eastAsia="en-GB"/>
              </w:rPr>
            </w:pPr>
            <w:r w:rsidRPr="00C24F78">
              <w:rPr>
                <w:rFonts w:eastAsia="Times New Roman" w:cstheme="minorHAnsi"/>
                <w:sz w:val="18"/>
                <w:szCs w:val="18"/>
                <w:lang w:eastAsia="en-GB"/>
              </w:rPr>
              <w:t>30517</w:t>
            </w:r>
          </w:p>
        </w:tc>
        <w:tc>
          <w:tcPr>
            <w:tcW w:w="0" w:type="auto"/>
            <w:vAlign w:val="center"/>
          </w:tcPr>
          <w:p w14:paraId="2F0628DB" w14:textId="77777777" w:rsidR="00271850" w:rsidRPr="00C24F78" w:rsidRDefault="00271850" w:rsidP="00F61E90">
            <w:pPr>
              <w:spacing w:after="0" w:line="240" w:lineRule="auto"/>
              <w:jc w:val="right"/>
              <w:rPr>
                <w:rFonts w:eastAsia="Times New Roman" w:cstheme="minorHAnsi"/>
                <w:i/>
                <w:sz w:val="18"/>
                <w:szCs w:val="18"/>
                <w:lang w:eastAsia="en-GB"/>
              </w:rPr>
            </w:pPr>
            <w:r w:rsidRPr="00C24F78">
              <w:rPr>
                <w:rFonts w:eastAsia="Times New Roman" w:cstheme="minorHAnsi"/>
                <w:i/>
                <w:sz w:val="18"/>
                <w:szCs w:val="18"/>
                <w:lang w:eastAsia="en-GB"/>
              </w:rPr>
              <w:t>5</w:t>
            </w:r>
            <w:r>
              <w:rPr>
                <w:rFonts w:eastAsia="Times New Roman" w:cstheme="minorHAnsi"/>
                <w:i/>
                <w:sz w:val="18"/>
                <w:szCs w:val="18"/>
                <w:lang w:eastAsia="en-GB"/>
              </w:rPr>
              <w:t>.</w:t>
            </w:r>
            <w:r w:rsidRPr="00C24F78">
              <w:rPr>
                <w:rFonts w:eastAsia="Times New Roman" w:cstheme="minorHAnsi"/>
                <w:i/>
                <w:sz w:val="18"/>
                <w:szCs w:val="18"/>
                <w:lang w:eastAsia="en-GB"/>
              </w:rPr>
              <w:t>7</w:t>
            </w:r>
          </w:p>
        </w:tc>
        <w:tc>
          <w:tcPr>
            <w:tcW w:w="0" w:type="auto"/>
            <w:vAlign w:val="center"/>
          </w:tcPr>
          <w:p w14:paraId="1A5A1C9F" w14:textId="77777777" w:rsidR="00271850" w:rsidRPr="00C24F78" w:rsidRDefault="00271850" w:rsidP="00F61E90">
            <w:pPr>
              <w:spacing w:after="0" w:line="240" w:lineRule="auto"/>
              <w:jc w:val="right"/>
              <w:rPr>
                <w:rFonts w:eastAsia="Times New Roman" w:cstheme="minorHAnsi"/>
                <w:sz w:val="18"/>
                <w:szCs w:val="18"/>
                <w:lang w:eastAsia="en-GB"/>
              </w:rPr>
            </w:pPr>
            <w:r w:rsidRPr="00C24F78">
              <w:rPr>
                <w:rFonts w:eastAsia="Times New Roman" w:cstheme="minorHAnsi"/>
                <w:sz w:val="18"/>
                <w:szCs w:val="18"/>
                <w:lang w:eastAsia="en-GB"/>
              </w:rPr>
              <w:t>20248</w:t>
            </w:r>
          </w:p>
        </w:tc>
        <w:tc>
          <w:tcPr>
            <w:tcW w:w="0" w:type="auto"/>
            <w:vAlign w:val="center"/>
          </w:tcPr>
          <w:p w14:paraId="0E08C90C" w14:textId="77777777" w:rsidR="00271850" w:rsidRPr="00C24F78" w:rsidRDefault="00271850" w:rsidP="00F61E90">
            <w:pPr>
              <w:spacing w:after="0" w:line="240" w:lineRule="auto"/>
              <w:jc w:val="right"/>
              <w:rPr>
                <w:rFonts w:eastAsia="Times New Roman" w:cstheme="minorHAnsi"/>
                <w:i/>
                <w:sz w:val="18"/>
                <w:szCs w:val="18"/>
                <w:lang w:eastAsia="en-GB"/>
              </w:rPr>
            </w:pPr>
            <w:r w:rsidRPr="00C24F78">
              <w:rPr>
                <w:rFonts w:eastAsia="Times New Roman" w:cstheme="minorHAnsi"/>
                <w:i/>
                <w:sz w:val="18"/>
                <w:szCs w:val="18"/>
                <w:lang w:eastAsia="en-GB"/>
              </w:rPr>
              <w:t>5</w:t>
            </w:r>
            <w:r>
              <w:rPr>
                <w:rFonts w:eastAsia="Times New Roman" w:cstheme="minorHAnsi"/>
                <w:i/>
                <w:sz w:val="18"/>
                <w:szCs w:val="18"/>
                <w:lang w:eastAsia="en-GB"/>
              </w:rPr>
              <w:t>.</w:t>
            </w:r>
            <w:r w:rsidRPr="00C24F78">
              <w:rPr>
                <w:rFonts w:eastAsia="Times New Roman" w:cstheme="minorHAnsi"/>
                <w:i/>
                <w:sz w:val="18"/>
                <w:szCs w:val="18"/>
                <w:lang w:eastAsia="en-GB"/>
              </w:rPr>
              <w:t>9</w:t>
            </w:r>
          </w:p>
        </w:tc>
        <w:tc>
          <w:tcPr>
            <w:tcW w:w="0" w:type="auto"/>
            <w:vAlign w:val="center"/>
          </w:tcPr>
          <w:p w14:paraId="02157734" w14:textId="77777777" w:rsidR="00271850" w:rsidRPr="00C24F78" w:rsidRDefault="00271850" w:rsidP="00F61E90">
            <w:pPr>
              <w:spacing w:after="0" w:line="240" w:lineRule="auto"/>
              <w:jc w:val="right"/>
              <w:rPr>
                <w:rFonts w:eastAsia="Times New Roman" w:cstheme="minorHAnsi"/>
                <w:sz w:val="18"/>
                <w:szCs w:val="18"/>
                <w:lang w:eastAsia="en-GB"/>
              </w:rPr>
            </w:pPr>
          </w:p>
        </w:tc>
      </w:tr>
      <w:tr w:rsidR="00271850" w:rsidRPr="00C24F78" w14:paraId="5DE3FDA3" w14:textId="77777777" w:rsidTr="00F61E90">
        <w:trPr>
          <w:tblCellSpacing w:w="15" w:type="dxa"/>
          <w:jc w:val="center"/>
        </w:trPr>
        <w:tc>
          <w:tcPr>
            <w:tcW w:w="0" w:type="auto"/>
            <w:vAlign w:val="center"/>
            <w:hideMark/>
          </w:tcPr>
          <w:p w14:paraId="3F668ECD" w14:textId="77777777" w:rsidR="00271850" w:rsidRPr="00C24F78" w:rsidRDefault="00271850" w:rsidP="00F61E90">
            <w:pPr>
              <w:spacing w:after="0" w:line="240" w:lineRule="auto"/>
              <w:rPr>
                <w:rFonts w:eastAsia="Times New Roman" w:cstheme="minorHAnsi"/>
                <w:sz w:val="18"/>
                <w:szCs w:val="18"/>
                <w:lang w:eastAsia="en-GB"/>
              </w:rPr>
            </w:pPr>
          </w:p>
        </w:tc>
        <w:tc>
          <w:tcPr>
            <w:tcW w:w="0" w:type="auto"/>
            <w:vAlign w:val="center"/>
            <w:hideMark/>
          </w:tcPr>
          <w:p w14:paraId="5C8115DE" w14:textId="77777777" w:rsidR="00271850" w:rsidRPr="00C24F78" w:rsidRDefault="00271850" w:rsidP="00F61E90">
            <w:pPr>
              <w:spacing w:after="0" w:line="240" w:lineRule="auto"/>
              <w:rPr>
                <w:rFonts w:eastAsia="Times New Roman" w:cstheme="minorHAnsi"/>
                <w:sz w:val="18"/>
                <w:szCs w:val="18"/>
                <w:lang w:eastAsia="en-GB"/>
              </w:rPr>
            </w:pPr>
            <w:r w:rsidRPr="00C24F78">
              <w:rPr>
                <w:rFonts w:eastAsia="Times New Roman" w:cstheme="minorHAnsi"/>
                <w:sz w:val="18"/>
                <w:szCs w:val="18"/>
                <w:lang w:eastAsia="en-GB"/>
              </w:rPr>
              <w:t xml:space="preserve">South West </w:t>
            </w:r>
          </w:p>
        </w:tc>
        <w:tc>
          <w:tcPr>
            <w:tcW w:w="0" w:type="auto"/>
            <w:vAlign w:val="center"/>
          </w:tcPr>
          <w:p w14:paraId="5F30DA89" w14:textId="77777777" w:rsidR="00271850" w:rsidRPr="00C24F78" w:rsidRDefault="00271850" w:rsidP="00F61E90">
            <w:pPr>
              <w:spacing w:after="0" w:line="240" w:lineRule="auto"/>
              <w:jc w:val="right"/>
              <w:rPr>
                <w:rFonts w:eastAsia="Times New Roman" w:cstheme="minorHAnsi"/>
                <w:sz w:val="18"/>
                <w:szCs w:val="18"/>
                <w:lang w:eastAsia="en-GB"/>
              </w:rPr>
            </w:pPr>
            <w:r w:rsidRPr="00C24F78">
              <w:rPr>
                <w:rFonts w:eastAsia="Times New Roman" w:cstheme="minorHAnsi"/>
                <w:sz w:val="18"/>
                <w:szCs w:val="18"/>
                <w:lang w:eastAsia="en-GB"/>
              </w:rPr>
              <w:t>110315</w:t>
            </w:r>
          </w:p>
        </w:tc>
        <w:tc>
          <w:tcPr>
            <w:tcW w:w="0" w:type="auto"/>
          </w:tcPr>
          <w:p w14:paraId="703CA165" w14:textId="77777777" w:rsidR="00271850" w:rsidRPr="00C24F78" w:rsidRDefault="00271850" w:rsidP="00F61E90">
            <w:pPr>
              <w:spacing w:after="0" w:line="240" w:lineRule="auto"/>
              <w:jc w:val="right"/>
              <w:rPr>
                <w:rFonts w:eastAsia="Times New Roman" w:cstheme="minorHAnsi"/>
                <w:i/>
                <w:sz w:val="18"/>
                <w:szCs w:val="18"/>
                <w:lang w:eastAsia="en-GB"/>
              </w:rPr>
            </w:pPr>
            <w:r w:rsidRPr="00C24F78">
              <w:rPr>
                <w:rFonts w:eastAsia="Times New Roman" w:cstheme="minorHAnsi"/>
                <w:i/>
                <w:sz w:val="18"/>
                <w:szCs w:val="18"/>
                <w:lang w:eastAsia="en-GB"/>
              </w:rPr>
              <w:t>12</w:t>
            </w:r>
            <w:r>
              <w:rPr>
                <w:rFonts w:eastAsia="Times New Roman" w:cstheme="minorHAnsi"/>
                <w:i/>
                <w:sz w:val="18"/>
                <w:szCs w:val="18"/>
                <w:lang w:eastAsia="en-GB"/>
              </w:rPr>
              <w:t>.</w:t>
            </w:r>
            <w:r w:rsidRPr="00C24F78">
              <w:rPr>
                <w:rFonts w:eastAsia="Times New Roman" w:cstheme="minorHAnsi"/>
                <w:i/>
                <w:sz w:val="18"/>
                <w:szCs w:val="18"/>
                <w:lang w:eastAsia="en-GB"/>
              </w:rPr>
              <w:t>5</w:t>
            </w:r>
          </w:p>
        </w:tc>
        <w:tc>
          <w:tcPr>
            <w:tcW w:w="0" w:type="auto"/>
            <w:vAlign w:val="center"/>
          </w:tcPr>
          <w:p w14:paraId="6108818C" w14:textId="77777777" w:rsidR="00271850" w:rsidRPr="00C24F78" w:rsidRDefault="00271850" w:rsidP="00F61E90">
            <w:pPr>
              <w:spacing w:after="0" w:line="240" w:lineRule="auto"/>
              <w:jc w:val="right"/>
              <w:rPr>
                <w:rFonts w:eastAsia="Times New Roman" w:cstheme="minorHAnsi"/>
                <w:sz w:val="18"/>
                <w:szCs w:val="18"/>
                <w:lang w:eastAsia="en-GB"/>
              </w:rPr>
            </w:pPr>
            <w:r w:rsidRPr="00C24F78">
              <w:rPr>
                <w:rFonts w:eastAsia="Times New Roman" w:cstheme="minorHAnsi"/>
                <w:sz w:val="18"/>
                <w:szCs w:val="18"/>
                <w:lang w:eastAsia="en-GB"/>
              </w:rPr>
              <w:t>67537</w:t>
            </w:r>
          </w:p>
        </w:tc>
        <w:tc>
          <w:tcPr>
            <w:tcW w:w="0" w:type="auto"/>
            <w:vAlign w:val="center"/>
          </w:tcPr>
          <w:p w14:paraId="1E5EBA64" w14:textId="77777777" w:rsidR="00271850" w:rsidRPr="00C24F78" w:rsidRDefault="00271850" w:rsidP="00F61E90">
            <w:pPr>
              <w:spacing w:after="0" w:line="240" w:lineRule="auto"/>
              <w:jc w:val="right"/>
              <w:rPr>
                <w:rFonts w:eastAsia="Times New Roman" w:cstheme="minorHAnsi"/>
                <w:i/>
                <w:sz w:val="18"/>
                <w:szCs w:val="18"/>
                <w:lang w:eastAsia="en-GB"/>
              </w:rPr>
            </w:pPr>
            <w:r w:rsidRPr="00C24F78">
              <w:rPr>
                <w:rFonts w:eastAsia="Times New Roman" w:cstheme="minorHAnsi"/>
                <w:i/>
                <w:sz w:val="18"/>
                <w:szCs w:val="18"/>
                <w:lang w:eastAsia="en-GB"/>
              </w:rPr>
              <w:t>12</w:t>
            </w:r>
            <w:r>
              <w:rPr>
                <w:rFonts w:eastAsia="Times New Roman" w:cstheme="minorHAnsi"/>
                <w:i/>
                <w:sz w:val="18"/>
                <w:szCs w:val="18"/>
                <w:lang w:eastAsia="en-GB"/>
              </w:rPr>
              <w:t>.</w:t>
            </w:r>
            <w:r w:rsidRPr="00C24F78">
              <w:rPr>
                <w:rFonts w:eastAsia="Times New Roman" w:cstheme="minorHAnsi"/>
                <w:i/>
                <w:sz w:val="18"/>
                <w:szCs w:val="18"/>
                <w:lang w:eastAsia="en-GB"/>
              </w:rPr>
              <w:t>6</w:t>
            </w:r>
          </w:p>
        </w:tc>
        <w:tc>
          <w:tcPr>
            <w:tcW w:w="0" w:type="auto"/>
            <w:vAlign w:val="center"/>
          </w:tcPr>
          <w:p w14:paraId="332162B3" w14:textId="77777777" w:rsidR="00271850" w:rsidRPr="00C24F78" w:rsidRDefault="00271850" w:rsidP="00F61E90">
            <w:pPr>
              <w:spacing w:after="0" w:line="240" w:lineRule="auto"/>
              <w:jc w:val="right"/>
              <w:rPr>
                <w:rFonts w:eastAsia="Times New Roman" w:cstheme="minorHAnsi"/>
                <w:sz w:val="18"/>
                <w:szCs w:val="18"/>
                <w:lang w:eastAsia="en-GB"/>
              </w:rPr>
            </w:pPr>
            <w:r w:rsidRPr="00C24F78">
              <w:rPr>
                <w:rFonts w:eastAsia="Times New Roman" w:cstheme="minorHAnsi"/>
                <w:sz w:val="18"/>
                <w:szCs w:val="18"/>
                <w:lang w:eastAsia="en-GB"/>
              </w:rPr>
              <w:t>42778</w:t>
            </w:r>
          </w:p>
        </w:tc>
        <w:tc>
          <w:tcPr>
            <w:tcW w:w="0" w:type="auto"/>
            <w:vAlign w:val="center"/>
          </w:tcPr>
          <w:p w14:paraId="22D434BC" w14:textId="77777777" w:rsidR="00271850" w:rsidRPr="00C24F78" w:rsidRDefault="00271850" w:rsidP="00F61E90">
            <w:pPr>
              <w:spacing w:after="0" w:line="240" w:lineRule="auto"/>
              <w:jc w:val="right"/>
              <w:rPr>
                <w:rFonts w:eastAsia="Times New Roman" w:cstheme="minorHAnsi"/>
                <w:i/>
                <w:sz w:val="18"/>
                <w:szCs w:val="18"/>
                <w:lang w:eastAsia="en-GB"/>
              </w:rPr>
            </w:pPr>
            <w:r w:rsidRPr="00C24F78">
              <w:rPr>
                <w:rFonts w:eastAsia="Times New Roman" w:cstheme="minorHAnsi"/>
                <w:i/>
                <w:sz w:val="18"/>
                <w:szCs w:val="18"/>
                <w:lang w:eastAsia="en-GB"/>
              </w:rPr>
              <w:t>12</w:t>
            </w:r>
            <w:r>
              <w:rPr>
                <w:rFonts w:eastAsia="Times New Roman" w:cstheme="minorHAnsi"/>
                <w:i/>
                <w:sz w:val="18"/>
                <w:szCs w:val="18"/>
                <w:lang w:eastAsia="en-GB"/>
              </w:rPr>
              <w:t>.</w:t>
            </w:r>
            <w:r w:rsidRPr="00C24F78">
              <w:rPr>
                <w:rFonts w:eastAsia="Times New Roman" w:cstheme="minorHAnsi"/>
                <w:i/>
                <w:sz w:val="18"/>
                <w:szCs w:val="18"/>
                <w:lang w:eastAsia="en-GB"/>
              </w:rPr>
              <w:t>5</w:t>
            </w:r>
          </w:p>
        </w:tc>
        <w:tc>
          <w:tcPr>
            <w:tcW w:w="0" w:type="auto"/>
            <w:vAlign w:val="center"/>
          </w:tcPr>
          <w:p w14:paraId="41F7E39E" w14:textId="77777777" w:rsidR="00271850" w:rsidRPr="00C24F78" w:rsidRDefault="00271850" w:rsidP="00F61E90">
            <w:pPr>
              <w:spacing w:after="0" w:line="240" w:lineRule="auto"/>
              <w:jc w:val="right"/>
              <w:rPr>
                <w:rFonts w:eastAsia="Times New Roman" w:cstheme="minorHAnsi"/>
                <w:sz w:val="18"/>
                <w:szCs w:val="18"/>
                <w:lang w:eastAsia="en-GB"/>
              </w:rPr>
            </w:pPr>
          </w:p>
        </w:tc>
      </w:tr>
      <w:tr w:rsidR="00271850" w:rsidRPr="00C24F78" w14:paraId="08E91333" w14:textId="77777777" w:rsidTr="00F61E90">
        <w:trPr>
          <w:tblCellSpacing w:w="15" w:type="dxa"/>
          <w:jc w:val="center"/>
        </w:trPr>
        <w:tc>
          <w:tcPr>
            <w:tcW w:w="0" w:type="auto"/>
            <w:vAlign w:val="center"/>
            <w:hideMark/>
          </w:tcPr>
          <w:p w14:paraId="0E863CDF" w14:textId="77777777" w:rsidR="00271850" w:rsidRPr="00C24F78" w:rsidRDefault="00271850" w:rsidP="00F61E90">
            <w:pPr>
              <w:spacing w:after="0" w:line="240" w:lineRule="auto"/>
              <w:rPr>
                <w:rFonts w:eastAsia="Times New Roman" w:cstheme="minorHAnsi"/>
                <w:sz w:val="18"/>
                <w:szCs w:val="18"/>
                <w:lang w:eastAsia="en-GB"/>
              </w:rPr>
            </w:pPr>
          </w:p>
        </w:tc>
        <w:tc>
          <w:tcPr>
            <w:tcW w:w="0" w:type="auto"/>
            <w:vAlign w:val="center"/>
            <w:hideMark/>
          </w:tcPr>
          <w:p w14:paraId="4ED9E4A4" w14:textId="77777777" w:rsidR="00271850" w:rsidRPr="00C24F78" w:rsidRDefault="00271850" w:rsidP="00F61E90">
            <w:pPr>
              <w:spacing w:after="0" w:line="240" w:lineRule="auto"/>
              <w:rPr>
                <w:rFonts w:eastAsia="Times New Roman" w:cstheme="minorHAnsi"/>
                <w:sz w:val="18"/>
                <w:szCs w:val="18"/>
                <w:lang w:eastAsia="en-GB"/>
              </w:rPr>
            </w:pPr>
            <w:r w:rsidRPr="00C24F78">
              <w:rPr>
                <w:rFonts w:eastAsia="Times New Roman" w:cstheme="minorHAnsi"/>
                <w:sz w:val="18"/>
                <w:szCs w:val="18"/>
                <w:lang w:eastAsia="en-GB"/>
              </w:rPr>
              <w:t xml:space="preserve">South Central </w:t>
            </w:r>
          </w:p>
        </w:tc>
        <w:tc>
          <w:tcPr>
            <w:tcW w:w="0" w:type="auto"/>
            <w:vAlign w:val="center"/>
          </w:tcPr>
          <w:p w14:paraId="1825592C" w14:textId="77777777" w:rsidR="00271850" w:rsidRPr="00C24F78" w:rsidRDefault="00271850" w:rsidP="00F61E90">
            <w:pPr>
              <w:spacing w:after="0" w:line="240" w:lineRule="auto"/>
              <w:jc w:val="right"/>
              <w:rPr>
                <w:rFonts w:eastAsia="Times New Roman" w:cstheme="minorHAnsi"/>
                <w:sz w:val="18"/>
                <w:szCs w:val="18"/>
                <w:lang w:eastAsia="en-GB"/>
              </w:rPr>
            </w:pPr>
            <w:r w:rsidRPr="00C24F78">
              <w:rPr>
                <w:rFonts w:eastAsia="Times New Roman" w:cstheme="minorHAnsi"/>
                <w:sz w:val="18"/>
                <w:szCs w:val="18"/>
                <w:lang w:eastAsia="en-GB"/>
              </w:rPr>
              <w:t>109198</w:t>
            </w:r>
          </w:p>
        </w:tc>
        <w:tc>
          <w:tcPr>
            <w:tcW w:w="0" w:type="auto"/>
          </w:tcPr>
          <w:p w14:paraId="6BDAAE8B" w14:textId="77777777" w:rsidR="00271850" w:rsidRPr="00C24F78" w:rsidRDefault="00271850" w:rsidP="00F61E90">
            <w:pPr>
              <w:spacing w:after="0" w:line="240" w:lineRule="auto"/>
              <w:jc w:val="right"/>
              <w:rPr>
                <w:rFonts w:eastAsia="Times New Roman" w:cstheme="minorHAnsi"/>
                <w:i/>
                <w:sz w:val="18"/>
                <w:szCs w:val="18"/>
                <w:lang w:eastAsia="en-GB"/>
              </w:rPr>
            </w:pPr>
            <w:r w:rsidRPr="00C24F78">
              <w:rPr>
                <w:rFonts w:eastAsia="Times New Roman" w:cstheme="minorHAnsi"/>
                <w:i/>
                <w:sz w:val="18"/>
                <w:szCs w:val="18"/>
                <w:lang w:eastAsia="en-GB"/>
              </w:rPr>
              <w:t>12</w:t>
            </w:r>
            <w:r>
              <w:rPr>
                <w:rFonts w:eastAsia="Times New Roman" w:cstheme="minorHAnsi"/>
                <w:i/>
                <w:sz w:val="18"/>
                <w:szCs w:val="18"/>
                <w:lang w:eastAsia="en-GB"/>
              </w:rPr>
              <w:t>.</w:t>
            </w:r>
            <w:r w:rsidRPr="00C24F78">
              <w:rPr>
                <w:rFonts w:eastAsia="Times New Roman" w:cstheme="minorHAnsi"/>
                <w:i/>
                <w:sz w:val="18"/>
                <w:szCs w:val="18"/>
                <w:lang w:eastAsia="en-GB"/>
              </w:rPr>
              <w:t>4</w:t>
            </w:r>
          </w:p>
        </w:tc>
        <w:tc>
          <w:tcPr>
            <w:tcW w:w="0" w:type="auto"/>
            <w:vAlign w:val="center"/>
          </w:tcPr>
          <w:p w14:paraId="3F67083A" w14:textId="77777777" w:rsidR="00271850" w:rsidRPr="00C24F78" w:rsidRDefault="00271850" w:rsidP="00F61E90">
            <w:pPr>
              <w:spacing w:after="0" w:line="240" w:lineRule="auto"/>
              <w:jc w:val="right"/>
              <w:rPr>
                <w:rFonts w:eastAsia="Times New Roman" w:cstheme="minorHAnsi"/>
                <w:sz w:val="18"/>
                <w:szCs w:val="18"/>
                <w:lang w:eastAsia="en-GB"/>
              </w:rPr>
            </w:pPr>
            <w:r w:rsidRPr="00C24F78">
              <w:rPr>
                <w:rFonts w:eastAsia="Times New Roman" w:cstheme="minorHAnsi"/>
                <w:sz w:val="18"/>
                <w:szCs w:val="18"/>
                <w:lang w:eastAsia="en-GB"/>
              </w:rPr>
              <w:t>66514</w:t>
            </w:r>
          </w:p>
        </w:tc>
        <w:tc>
          <w:tcPr>
            <w:tcW w:w="0" w:type="auto"/>
            <w:vAlign w:val="center"/>
          </w:tcPr>
          <w:p w14:paraId="6EB36B1D" w14:textId="77777777" w:rsidR="00271850" w:rsidRPr="00C24F78" w:rsidRDefault="00271850" w:rsidP="00F61E90">
            <w:pPr>
              <w:spacing w:after="0" w:line="240" w:lineRule="auto"/>
              <w:jc w:val="right"/>
              <w:rPr>
                <w:rFonts w:eastAsia="Times New Roman" w:cstheme="minorHAnsi"/>
                <w:i/>
                <w:sz w:val="18"/>
                <w:szCs w:val="18"/>
                <w:lang w:eastAsia="en-GB"/>
              </w:rPr>
            </w:pPr>
            <w:r w:rsidRPr="00C24F78">
              <w:rPr>
                <w:rFonts w:eastAsia="Times New Roman" w:cstheme="minorHAnsi"/>
                <w:i/>
                <w:sz w:val="18"/>
                <w:szCs w:val="18"/>
                <w:lang w:eastAsia="en-GB"/>
              </w:rPr>
              <w:t>12</w:t>
            </w:r>
            <w:r>
              <w:rPr>
                <w:rFonts w:eastAsia="Times New Roman" w:cstheme="minorHAnsi"/>
                <w:i/>
                <w:sz w:val="18"/>
                <w:szCs w:val="18"/>
                <w:lang w:eastAsia="en-GB"/>
              </w:rPr>
              <w:t>.</w:t>
            </w:r>
            <w:r w:rsidRPr="00C24F78">
              <w:rPr>
                <w:rFonts w:eastAsia="Times New Roman" w:cstheme="minorHAnsi"/>
                <w:i/>
                <w:sz w:val="18"/>
                <w:szCs w:val="18"/>
                <w:lang w:eastAsia="en-GB"/>
              </w:rPr>
              <w:t>4</w:t>
            </w:r>
          </w:p>
        </w:tc>
        <w:tc>
          <w:tcPr>
            <w:tcW w:w="0" w:type="auto"/>
            <w:vAlign w:val="center"/>
          </w:tcPr>
          <w:p w14:paraId="742133C3" w14:textId="77777777" w:rsidR="00271850" w:rsidRPr="00C24F78" w:rsidRDefault="00271850" w:rsidP="00F61E90">
            <w:pPr>
              <w:spacing w:after="0" w:line="240" w:lineRule="auto"/>
              <w:jc w:val="right"/>
              <w:rPr>
                <w:rFonts w:eastAsia="Times New Roman" w:cstheme="minorHAnsi"/>
                <w:sz w:val="18"/>
                <w:szCs w:val="18"/>
                <w:lang w:eastAsia="en-GB"/>
              </w:rPr>
            </w:pPr>
            <w:r w:rsidRPr="00C24F78">
              <w:rPr>
                <w:rFonts w:eastAsia="Times New Roman" w:cstheme="minorHAnsi"/>
                <w:sz w:val="18"/>
                <w:szCs w:val="18"/>
                <w:lang w:eastAsia="en-GB"/>
              </w:rPr>
              <w:t>42684</w:t>
            </w:r>
          </w:p>
        </w:tc>
        <w:tc>
          <w:tcPr>
            <w:tcW w:w="0" w:type="auto"/>
            <w:vAlign w:val="center"/>
          </w:tcPr>
          <w:p w14:paraId="38CBC656" w14:textId="77777777" w:rsidR="00271850" w:rsidRPr="00C24F78" w:rsidRDefault="00271850" w:rsidP="00F61E90">
            <w:pPr>
              <w:spacing w:after="0" w:line="240" w:lineRule="auto"/>
              <w:jc w:val="right"/>
              <w:rPr>
                <w:rFonts w:eastAsia="Times New Roman" w:cstheme="minorHAnsi"/>
                <w:i/>
                <w:sz w:val="18"/>
                <w:szCs w:val="18"/>
                <w:lang w:eastAsia="en-GB"/>
              </w:rPr>
            </w:pPr>
            <w:r w:rsidRPr="00C24F78">
              <w:rPr>
                <w:rFonts w:eastAsia="Times New Roman" w:cstheme="minorHAnsi"/>
                <w:i/>
                <w:sz w:val="18"/>
                <w:szCs w:val="18"/>
                <w:lang w:eastAsia="en-GB"/>
              </w:rPr>
              <w:t>12</w:t>
            </w:r>
            <w:r>
              <w:rPr>
                <w:rFonts w:eastAsia="Times New Roman" w:cstheme="minorHAnsi"/>
                <w:i/>
                <w:sz w:val="18"/>
                <w:szCs w:val="18"/>
                <w:lang w:eastAsia="en-GB"/>
              </w:rPr>
              <w:t>.</w:t>
            </w:r>
            <w:r w:rsidRPr="00C24F78">
              <w:rPr>
                <w:rFonts w:eastAsia="Times New Roman" w:cstheme="minorHAnsi"/>
                <w:i/>
                <w:sz w:val="18"/>
                <w:szCs w:val="18"/>
                <w:lang w:eastAsia="en-GB"/>
              </w:rPr>
              <w:t>4</w:t>
            </w:r>
          </w:p>
        </w:tc>
        <w:tc>
          <w:tcPr>
            <w:tcW w:w="0" w:type="auto"/>
            <w:vAlign w:val="center"/>
          </w:tcPr>
          <w:p w14:paraId="7C84ACE0" w14:textId="77777777" w:rsidR="00271850" w:rsidRPr="00C24F78" w:rsidRDefault="00271850" w:rsidP="00F61E90">
            <w:pPr>
              <w:spacing w:after="0" w:line="240" w:lineRule="auto"/>
              <w:jc w:val="right"/>
              <w:rPr>
                <w:rFonts w:eastAsia="Times New Roman" w:cstheme="minorHAnsi"/>
                <w:sz w:val="18"/>
                <w:szCs w:val="18"/>
                <w:lang w:eastAsia="en-GB"/>
              </w:rPr>
            </w:pPr>
          </w:p>
        </w:tc>
      </w:tr>
      <w:tr w:rsidR="00271850" w:rsidRPr="00C24F78" w14:paraId="78831609" w14:textId="77777777" w:rsidTr="00F61E90">
        <w:trPr>
          <w:tblCellSpacing w:w="15" w:type="dxa"/>
          <w:jc w:val="center"/>
        </w:trPr>
        <w:tc>
          <w:tcPr>
            <w:tcW w:w="0" w:type="auto"/>
            <w:vAlign w:val="center"/>
            <w:hideMark/>
          </w:tcPr>
          <w:p w14:paraId="70924EE3" w14:textId="77777777" w:rsidR="00271850" w:rsidRPr="00C24F78" w:rsidRDefault="00271850" w:rsidP="00F61E90">
            <w:pPr>
              <w:spacing w:after="0" w:line="240" w:lineRule="auto"/>
              <w:rPr>
                <w:rFonts w:eastAsia="Times New Roman" w:cstheme="minorHAnsi"/>
                <w:sz w:val="18"/>
                <w:szCs w:val="18"/>
                <w:lang w:eastAsia="en-GB"/>
              </w:rPr>
            </w:pPr>
          </w:p>
        </w:tc>
        <w:tc>
          <w:tcPr>
            <w:tcW w:w="0" w:type="auto"/>
            <w:vAlign w:val="center"/>
            <w:hideMark/>
          </w:tcPr>
          <w:p w14:paraId="37E93F9E" w14:textId="77777777" w:rsidR="00271850" w:rsidRPr="00C24F78" w:rsidRDefault="00271850" w:rsidP="00F61E90">
            <w:pPr>
              <w:spacing w:after="0" w:line="240" w:lineRule="auto"/>
              <w:rPr>
                <w:rFonts w:eastAsia="Times New Roman" w:cstheme="minorHAnsi"/>
                <w:sz w:val="18"/>
                <w:szCs w:val="18"/>
                <w:lang w:eastAsia="en-GB"/>
              </w:rPr>
            </w:pPr>
            <w:r w:rsidRPr="00C24F78">
              <w:rPr>
                <w:rFonts w:eastAsia="Times New Roman" w:cstheme="minorHAnsi"/>
                <w:sz w:val="18"/>
                <w:szCs w:val="18"/>
                <w:lang w:eastAsia="en-GB"/>
              </w:rPr>
              <w:t xml:space="preserve">London </w:t>
            </w:r>
          </w:p>
        </w:tc>
        <w:tc>
          <w:tcPr>
            <w:tcW w:w="0" w:type="auto"/>
            <w:vAlign w:val="center"/>
          </w:tcPr>
          <w:p w14:paraId="0A3A72A2" w14:textId="77777777" w:rsidR="00271850" w:rsidRPr="00C24F78" w:rsidRDefault="00271850" w:rsidP="00F61E90">
            <w:pPr>
              <w:spacing w:after="0" w:line="240" w:lineRule="auto"/>
              <w:jc w:val="right"/>
              <w:rPr>
                <w:rFonts w:eastAsia="Times New Roman" w:cstheme="minorHAnsi"/>
                <w:sz w:val="18"/>
                <w:szCs w:val="18"/>
                <w:lang w:eastAsia="en-GB"/>
              </w:rPr>
            </w:pPr>
            <w:r w:rsidRPr="00C24F78">
              <w:rPr>
                <w:rFonts w:eastAsia="Times New Roman" w:cstheme="minorHAnsi"/>
                <w:sz w:val="18"/>
                <w:szCs w:val="18"/>
                <w:lang w:eastAsia="en-GB"/>
              </w:rPr>
              <w:t>180914</w:t>
            </w:r>
          </w:p>
        </w:tc>
        <w:tc>
          <w:tcPr>
            <w:tcW w:w="0" w:type="auto"/>
          </w:tcPr>
          <w:p w14:paraId="7F4C6958" w14:textId="77777777" w:rsidR="00271850" w:rsidRPr="00C24F78" w:rsidRDefault="00271850" w:rsidP="00F61E90">
            <w:pPr>
              <w:spacing w:after="0" w:line="240" w:lineRule="auto"/>
              <w:jc w:val="right"/>
              <w:rPr>
                <w:rFonts w:eastAsia="Times New Roman" w:cstheme="minorHAnsi"/>
                <w:i/>
                <w:sz w:val="18"/>
                <w:szCs w:val="18"/>
                <w:lang w:eastAsia="en-GB"/>
              </w:rPr>
            </w:pPr>
            <w:r w:rsidRPr="00C24F78">
              <w:rPr>
                <w:rFonts w:eastAsia="Times New Roman" w:cstheme="minorHAnsi"/>
                <w:i/>
                <w:sz w:val="18"/>
                <w:szCs w:val="18"/>
                <w:lang w:eastAsia="en-GB"/>
              </w:rPr>
              <w:t>20</w:t>
            </w:r>
            <w:r>
              <w:rPr>
                <w:rFonts w:eastAsia="Times New Roman" w:cstheme="minorHAnsi"/>
                <w:i/>
                <w:sz w:val="18"/>
                <w:szCs w:val="18"/>
                <w:lang w:eastAsia="en-GB"/>
              </w:rPr>
              <w:t>.</w:t>
            </w:r>
            <w:r w:rsidRPr="00C24F78">
              <w:rPr>
                <w:rFonts w:eastAsia="Times New Roman" w:cstheme="minorHAnsi"/>
                <w:i/>
                <w:sz w:val="18"/>
                <w:szCs w:val="18"/>
                <w:lang w:eastAsia="en-GB"/>
              </w:rPr>
              <w:t>6</w:t>
            </w:r>
          </w:p>
        </w:tc>
        <w:tc>
          <w:tcPr>
            <w:tcW w:w="0" w:type="auto"/>
            <w:vAlign w:val="center"/>
          </w:tcPr>
          <w:p w14:paraId="31725386" w14:textId="77777777" w:rsidR="00271850" w:rsidRPr="00C24F78" w:rsidRDefault="00271850" w:rsidP="00F61E90">
            <w:pPr>
              <w:spacing w:after="0" w:line="240" w:lineRule="auto"/>
              <w:jc w:val="right"/>
              <w:rPr>
                <w:rFonts w:eastAsia="Times New Roman" w:cstheme="minorHAnsi"/>
                <w:sz w:val="18"/>
                <w:szCs w:val="18"/>
                <w:lang w:eastAsia="en-GB"/>
              </w:rPr>
            </w:pPr>
            <w:r w:rsidRPr="00C24F78">
              <w:rPr>
                <w:rFonts w:eastAsia="Times New Roman" w:cstheme="minorHAnsi"/>
                <w:sz w:val="18"/>
                <w:szCs w:val="18"/>
                <w:lang w:eastAsia="en-GB"/>
              </w:rPr>
              <w:t>111218</w:t>
            </w:r>
          </w:p>
        </w:tc>
        <w:tc>
          <w:tcPr>
            <w:tcW w:w="0" w:type="auto"/>
            <w:vAlign w:val="center"/>
          </w:tcPr>
          <w:p w14:paraId="09FB0D94" w14:textId="77777777" w:rsidR="00271850" w:rsidRPr="00C24F78" w:rsidRDefault="00271850" w:rsidP="00F61E90">
            <w:pPr>
              <w:spacing w:after="0" w:line="240" w:lineRule="auto"/>
              <w:jc w:val="right"/>
              <w:rPr>
                <w:rFonts w:eastAsia="Times New Roman" w:cstheme="minorHAnsi"/>
                <w:i/>
                <w:sz w:val="18"/>
                <w:szCs w:val="18"/>
                <w:lang w:eastAsia="en-GB"/>
              </w:rPr>
            </w:pPr>
            <w:r w:rsidRPr="00C24F78">
              <w:rPr>
                <w:rFonts w:eastAsia="Times New Roman" w:cstheme="minorHAnsi"/>
                <w:i/>
                <w:sz w:val="18"/>
                <w:szCs w:val="18"/>
                <w:lang w:eastAsia="en-GB"/>
              </w:rPr>
              <w:t>20</w:t>
            </w:r>
            <w:r>
              <w:rPr>
                <w:rFonts w:eastAsia="Times New Roman" w:cstheme="minorHAnsi"/>
                <w:i/>
                <w:sz w:val="18"/>
                <w:szCs w:val="18"/>
                <w:lang w:eastAsia="en-GB"/>
              </w:rPr>
              <w:t>.</w:t>
            </w:r>
            <w:r w:rsidRPr="00C24F78">
              <w:rPr>
                <w:rFonts w:eastAsia="Times New Roman" w:cstheme="minorHAnsi"/>
                <w:i/>
                <w:sz w:val="18"/>
                <w:szCs w:val="18"/>
                <w:lang w:eastAsia="en-GB"/>
              </w:rPr>
              <w:t>7</w:t>
            </w:r>
          </w:p>
        </w:tc>
        <w:tc>
          <w:tcPr>
            <w:tcW w:w="0" w:type="auto"/>
            <w:vAlign w:val="center"/>
          </w:tcPr>
          <w:p w14:paraId="7F44AEB1" w14:textId="77777777" w:rsidR="00271850" w:rsidRPr="00C24F78" w:rsidRDefault="00271850" w:rsidP="00F61E90">
            <w:pPr>
              <w:spacing w:after="0" w:line="240" w:lineRule="auto"/>
              <w:jc w:val="right"/>
              <w:rPr>
                <w:rFonts w:eastAsia="Times New Roman" w:cstheme="minorHAnsi"/>
                <w:sz w:val="18"/>
                <w:szCs w:val="18"/>
                <w:lang w:eastAsia="en-GB"/>
              </w:rPr>
            </w:pPr>
            <w:r w:rsidRPr="00C24F78">
              <w:rPr>
                <w:rFonts w:eastAsia="Times New Roman" w:cstheme="minorHAnsi"/>
                <w:sz w:val="18"/>
                <w:szCs w:val="18"/>
                <w:lang w:eastAsia="en-GB"/>
              </w:rPr>
              <w:t>69696</w:t>
            </w:r>
          </w:p>
        </w:tc>
        <w:tc>
          <w:tcPr>
            <w:tcW w:w="0" w:type="auto"/>
            <w:vAlign w:val="center"/>
          </w:tcPr>
          <w:p w14:paraId="08EECAE5" w14:textId="77777777" w:rsidR="00271850" w:rsidRPr="00C24F78" w:rsidRDefault="00271850" w:rsidP="00F61E90">
            <w:pPr>
              <w:spacing w:after="0" w:line="240" w:lineRule="auto"/>
              <w:jc w:val="right"/>
              <w:rPr>
                <w:rFonts w:eastAsia="Times New Roman" w:cstheme="minorHAnsi"/>
                <w:i/>
                <w:sz w:val="18"/>
                <w:szCs w:val="18"/>
                <w:lang w:eastAsia="en-GB"/>
              </w:rPr>
            </w:pPr>
            <w:r w:rsidRPr="00C24F78">
              <w:rPr>
                <w:rFonts w:eastAsia="Times New Roman" w:cstheme="minorHAnsi"/>
                <w:i/>
                <w:sz w:val="18"/>
                <w:szCs w:val="18"/>
                <w:lang w:eastAsia="en-GB"/>
              </w:rPr>
              <w:t>20</w:t>
            </w:r>
            <w:r>
              <w:rPr>
                <w:rFonts w:eastAsia="Times New Roman" w:cstheme="minorHAnsi"/>
                <w:i/>
                <w:sz w:val="18"/>
                <w:szCs w:val="18"/>
                <w:lang w:eastAsia="en-GB"/>
              </w:rPr>
              <w:t>.</w:t>
            </w:r>
            <w:r w:rsidRPr="00C24F78">
              <w:rPr>
                <w:rFonts w:eastAsia="Times New Roman" w:cstheme="minorHAnsi"/>
                <w:i/>
                <w:sz w:val="18"/>
                <w:szCs w:val="18"/>
                <w:lang w:eastAsia="en-GB"/>
              </w:rPr>
              <w:t>3</w:t>
            </w:r>
          </w:p>
        </w:tc>
        <w:tc>
          <w:tcPr>
            <w:tcW w:w="0" w:type="auto"/>
            <w:vAlign w:val="center"/>
          </w:tcPr>
          <w:p w14:paraId="4BEA59C7" w14:textId="77777777" w:rsidR="00271850" w:rsidRPr="00C24F78" w:rsidRDefault="00271850" w:rsidP="00F61E90">
            <w:pPr>
              <w:spacing w:after="0" w:line="240" w:lineRule="auto"/>
              <w:jc w:val="right"/>
              <w:rPr>
                <w:rFonts w:eastAsia="Times New Roman" w:cstheme="minorHAnsi"/>
                <w:sz w:val="18"/>
                <w:szCs w:val="18"/>
                <w:lang w:eastAsia="en-GB"/>
              </w:rPr>
            </w:pPr>
          </w:p>
        </w:tc>
      </w:tr>
      <w:tr w:rsidR="00271850" w:rsidRPr="00C24F78" w14:paraId="73413E7E" w14:textId="77777777" w:rsidTr="00F61E90">
        <w:trPr>
          <w:tblCellSpacing w:w="15" w:type="dxa"/>
          <w:jc w:val="center"/>
        </w:trPr>
        <w:tc>
          <w:tcPr>
            <w:tcW w:w="0" w:type="auto"/>
            <w:vAlign w:val="center"/>
            <w:hideMark/>
          </w:tcPr>
          <w:p w14:paraId="57F142F1" w14:textId="77777777" w:rsidR="00271850" w:rsidRPr="00C24F78" w:rsidRDefault="00271850" w:rsidP="00F61E90">
            <w:pPr>
              <w:spacing w:after="0" w:line="240" w:lineRule="auto"/>
              <w:rPr>
                <w:rFonts w:eastAsia="Times New Roman" w:cstheme="minorHAnsi"/>
                <w:sz w:val="18"/>
                <w:szCs w:val="18"/>
                <w:lang w:eastAsia="en-GB"/>
              </w:rPr>
            </w:pPr>
          </w:p>
        </w:tc>
        <w:tc>
          <w:tcPr>
            <w:tcW w:w="0" w:type="auto"/>
            <w:vAlign w:val="center"/>
            <w:hideMark/>
          </w:tcPr>
          <w:p w14:paraId="5DA1F223" w14:textId="77777777" w:rsidR="00271850" w:rsidRPr="00C24F78" w:rsidRDefault="00271850" w:rsidP="00F61E90">
            <w:pPr>
              <w:spacing w:after="0" w:line="240" w:lineRule="auto"/>
              <w:rPr>
                <w:rFonts w:eastAsia="Times New Roman" w:cstheme="minorHAnsi"/>
                <w:sz w:val="18"/>
                <w:szCs w:val="18"/>
                <w:lang w:eastAsia="en-GB"/>
              </w:rPr>
            </w:pPr>
            <w:r w:rsidRPr="00C24F78">
              <w:rPr>
                <w:rFonts w:eastAsia="Times New Roman" w:cstheme="minorHAnsi"/>
                <w:sz w:val="18"/>
                <w:szCs w:val="18"/>
                <w:lang w:eastAsia="en-GB"/>
              </w:rPr>
              <w:t xml:space="preserve">South East Coast </w:t>
            </w:r>
          </w:p>
        </w:tc>
        <w:tc>
          <w:tcPr>
            <w:tcW w:w="0" w:type="auto"/>
            <w:vAlign w:val="center"/>
          </w:tcPr>
          <w:p w14:paraId="28D319B5" w14:textId="77777777" w:rsidR="00271850" w:rsidRPr="00C24F78" w:rsidRDefault="00271850" w:rsidP="00F61E90">
            <w:pPr>
              <w:spacing w:after="0" w:line="240" w:lineRule="auto"/>
              <w:jc w:val="right"/>
              <w:rPr>
                <w:rFonts w:eastAsia="Times New Roman" w:cstheme="minorHAnsi"/>
                <w:sz w:val="18"/>
                <w:szCs w:val="18"/>
                <w:lang w:eastAsia="en-GB"/>
              </w:rPr>
            </w:pPr>
            <w:r w:rsidRPr="00C24F78">
              <w:rPr>
                <w:rFonts w:eastAsia="Times New Roman" w:cstheme="minorHAnsi"/>
                <w:sz w:val="18"/>
                <w:szCs w:val="18"/>
                <w:lang w:eastAsia="en-GB"/>
              </w:rPr>
              <w:t>64231</w:t>
            </w:r>
          </w:p>
        </w:tc>
        <w:tc>
          <w:tcPr>
            <w:tcW w:w="0" w:type="auto"/>
          </w:tcPr>
          <w:p w14:paraId="458E0B4C" w14:textId="77777777" w:rsidR="00271850" w:rsidRPr="00C24F78" w:rsidRDefault="00271850" w:rsidP="00F61E90">
            <w:pPr>
              <w:spacing w:after="0" w:line="240" w:lineRule="auto"/>
              <w:jc w:val="right"/>
              <w:rPr>
                <w:rFonts w:eastAsia="Times New Roman" w:cstheme="minorHAnsi"/>
                <w:i/>
                <w:sz w:val="18"/>
                <w:szCs w:val="18"/>
                <w:lang w:eastAsia="en-GB"/>
              </w:rPr>
            </w:pPr>
            <w:r w:rsidRPr="00C24F78">
              <w:rPr>
                <w:rFonts w:eastAsia="Times New Roman" w:cstheme="minorHAnsi"/>
                <w:i/>
                <w:sz w:val="18"/>
                <w:szCs w:val="18"/>
                <w:lang w:eastAsia="en-GB"/>
              </w:rPr>
              <w:t>7</w:t>
            </w:r>
            <w:r>
              <w:rPr>
                <w:rFonts w:eastAsia="Times New Roman" w:cstheme="minorHAnsi"/>
                <w:i/>
                <w:sz w:val="18"/>
                <w:szCs w:val="18"/>
                <w:lang w:eastAsia="en-GB"/>
              </w:rPr>
              <w:t>.</w:t>
            </w:r>
            <w:r w:rsidRPr="00C24F78">
              <w:rPr>
                <w:rFonts w:eastAsia="Times New Roman" w:cstheme="minorHAnsi"/>
                <w:i/>
                <w:sz w:val="18"/>
                <w:szCs w:val="18"/>
                <w:lang w:eastAsia="en-GB"/>
              </w:rPr>
              <w:t>3</w:t>
            </w:r>
          </w:p>
        </w:tc>
        <w:tc>
          <w:tcPr>
            <w:tcW w:w="0" w:type="auto"/>
            <w:vAlign w:val="center"/>
          </w:tcPr>
          <w:p w14:paraId="75543494" w14:textId="77777777" w:rsidR="00271850" w:rsidRPr="00C24F78" w:rsidRDefault="00271850" w:rsidP="00F61E90">
            <w:pPr>
              <w:spacing w:after="0" w:line="240" w:lineRule="auto"/>
              <w:jc w:val="right"/>
              <w:rPr>
                <w:rFonts w:eastAsia="Times New Roman" w:cstheme="minorHAnsi"/>
                <w:sz w:val="18"/>
                <w:szCs w:val="18"/>
                <w:lang w:eastAsia="en-GB"/>
              </w:rPr>
            </w:pPr>
            <w:r w:rsidRPr="00C24F78">
              <w:rPr>
                <w:rFonts w:eastAsia="Times New Roman" w:cstheme="minorHAnsi"/>
                <w:sz w:val="18"/>
                <w:szCs w:val="18"/>
                <w:lang w:eastAsia="en-GB"/>
              </w:rPr>
              <w:t>38920</w:t>
            </w:r>
          </w:p>
        </w:tc>
        <w:tc>
          <w:tcPr>
            <w:tcW w:w="0" w:type="auto"/>
            <w:vAlign w:val="center"/>
          </w:tcPr>
          <w:p w14:paraId="3A720707" w14:textId="77777777" w:rsidR="00271850" w:rsidRPr="00C24F78" w:rsidRDefault="00271850" w:rsidP="00F61E90">
            <w:pPr>
              <w:spacing w:after="0" w:line="240" w:lineRule="auto"/>
              <w:jc w:val="right"/>
              <w:rPr>
                <w:rFonts w:eastAsia="Times New Roman" w:cstheme="minorHAnsi"/>
                <w:i/>
                <w:sz w:val="18"/>
                <w:szCs w:val="18"/>
                <w:lang w:eastAsia="en-GB"/>
              </w:rPr>
            </w:pPr>
            <w:r w:rsidRPr="00C24F78">
              <w:rPr>
                <w:rFonts w:eastAsia="Times New Roman" w:cstheme="minorHAnsi"/>
                <w:i/>
                <w:sz w:val="18"/>
                <w:szCs w:val="18"/>
                <w:lang w:eastAsia="en-GB"/>
              </w:rPr>
              <w:t>7</w:t>
            </w:r>
            <w:r>
              <w:rPr>
                <w:rFonts w:eastAsia="Times New Roman" w:cstheme="minorHAnsi"/>
                <w:i/>
                <w:sz w:val="18"/>
                <w:szCs w:val="18"/>
                <w:lang w:eastAsia="en-GB"/>
              </w:rPr>
              <w:t>.</w:t>
            </w:r>
            <w:r w:rsidRPr="00C24F78">
              <w:rPr>
                <w:rFonts w:eastAsia="Times New Roman" w:cstheme="minorHAnsi"/>
                <w:i/>
                <w:sz w:val="18"/>
                <w:szCs w:val="18"/>
                <w:lang w:eastAsia="en-GB"/>
              </w:rPr>
              <w:t>2</w:t>
            </w:r>
          </w:p>
        </w:tc>
        <w:tc>
          <w:tcPr>
            <w:tcW w:w="0" w:type="auto"/>
            <w:vAlign w:val="center"/>
          </w:tcPr>
          <w:p w14:paraId="43847BB9" w14:textId="77777777" w:rsidR="00271850" w:rsidRPr="00C24F78" w:rsidRDefault="00271850" w:rsidP="00F61E90">
            <w:pPr>
              <w:spacing w:after="0" w:line="240" w:lineRule="auto"/>
              <w:jc w:val="right"/>
              <w:rPr>
                <w:rFonts w:eastAsia="Times New Roman" w:cstheme="minorHAnsi"/>
                <w:sz w:val="18"/>
                <w:szCs w:val="18"/>
                <w:lang w:eastAsia="en-GB"/>
              </w:rPr>
            </w:pPr>
            <w:r w:rsidRPr="00C24F78">
              <w:rPr>
                <w:rFonts w:eastAsia="Times New Roman" w:cstheme="minorHAnsi"/>
                <w:sz w:val="18"/>
                <w:szCs w:val="18"/>
                <w:lang w:eastAsia="en-GB"/>
              </w:rPr>
              <w:t>25311</w:t>
            </w:r>
          </w:p>
        </w:tc>
        <w:tc>
          <w:tcPr>
            <w:tcW w:w="0" w:type="auto"/>
            <w:vAlign w:val="center"/>
          </w:tcPr>
          <w:p w14:paraId="4C8B3C6D" w14:textId="77777777" w:rsidR="00271850" w:rsidRPr="00C24F78" w:rsidRDefault="00271850" w:rsidP="00F61E90">
            <w:pPr>
              <w:spacing w:after="0" w:line="240" w:lineRule="auto"/>
              <w:jc w:val="right"/>
              <w:rPr>
                <w:rFonts w:eastAsia="Times New Roman" w:cstheme="minorHAnsi"/>
                <w:i/>
                <w:sz w:val="18"/>
                <w:szCs w:val="18"/>
                <w:lang w:eastAsia="en-GB"/>
              </w:rPr>
            </w:pPr>
            <w:r w:rsidRPr="00C24F78">
              <w:rPr>
                <w:rFonts w:eastAsia="Times New Roman" w:cstheme="minorHAnsi"/>
                <w:i/>
                <w:sz w:val="18"/>
                <w:szCs w:val="18"/>
                <w:lang w:eastAsia="en-GB"/>
              </w:rPr>
              <w:t>7</w:t>
            </w:r>
            <w:r>
              <w:rPr>
                <w:rFonts w:eastAsia="Times New Roman" w:cstheme="minorHAnsi"/>
                <w:i/>
                <w:sz w:val="18"/>
                <w:szCs w:val="18"/>
                <w:lang w:eastAsia="en-GB"/>
              </w:rPr>
              <w:t>.</w:t>
            </w:r>
            <w:r w:rsidRPr="00C24F78">
              <w:rPr>
                <w:rFonts w:eastAsia="Times New Roman" w:cstheme="minorHAnsi"/>
                <w:i/>
                <w:sz w:val="18"/>
                <w:szCs w:val="18"/>
                <w:lang w:eastAsia="en-GB"/>
              </w:rPr>
              <w:t>4</w:t>
            </w:r>
          </w:p>
        </w:tc>
        <w:tc>
          <w:tcPr>
            <w:tcW w:w="0" w:type="auto"/>
            <w:vAlign w:val="center"/>
          </w:tcPr>
          <w:p w14:paraId="149A01BC" w14:textId="77777777" w:rsidR="00271850" w:rsidRPr="00C24F78" w:rsidRDefault="00271850" w:rsidP="00F61E90">
            <w:pPr>
              <w:spacing w:after="0" w:line="240" w:lineRule="auto"/>
              <w:jc w:val="right"/>
              <w:rPr>
                <w:rFonts w:eastAsia="Times New Roman" w:cstheme="minorHAnsi"/>
                <w:sz w:val="18"/>
                <w:szCs w:val="18"/>
                <w:lang w:eastAsia="en-GB"/>
              </w:rPr>
            </w:pPr>
          </w:p>
        </w:tc>
      </w:tr>
      <w:tr w:rsidR="00271850" w:rsidRPr="00C24F78" w14:paraId="4C9F0EFC" w14:textId="77777777" w:rsidTr="00F61E90">
        <w:trPr>
          <w:tblCellSpacing w:w="15" w:type="dxa"/>
          <w:jc w:val="center"/>
        </w:trPr>
        <w:tc>
          <w:tcPr>
            <w:tcW w:w="0" w:type="auto"/>
            <w:vAlign w:val="center"/>
            <w:hideMark/>
          </w:tcPr>
          <w:p w14:paraId="290766A1" w14:textId="77777777" w:rsidR="00271850" w:rsidRPr="00C24F78" w:rsidRDefault="00271850" w:rsidP="00F61E90">
            <w:pPr>
              <w:spacing w:after="0" w:line="240" w:lineRule="auto"/>
              <w:rPr>
                <w:rFonts w:eastAsia="Times New Roman" w:cstheme="minorHAnsi"/>
                <w:sz w:val="18"/>
                <w:szCs w:val="18"/>
                <w:lang w:eastAsia="en-GB"/>
              </w:rPr>
            </w:pPr>
            <w:r w:rsidRPr="00C24F78">
              <w:rPr>
                <w:sz w:val="18"/>
                <w:szCs w:val="18"/>
              </w:rPr>
              <w:t>IMD quintile</w:t>
            </w:r>
            <w:r w:rsidRPr="00C24F78">
              <w:rPr>
                <w:rFonts w:eastAsia="Times New Roman" w:cstheme="minorHAnsi"/>
                <w:sz w:val="18"/>
                <w:szCs w:val="18"/>
                <w:lang w:eastAsia="en-GB"/>
              </w:rPr>
              <w:t xml:space="preserve"> </w:t>
            </w:r>
          </w:p>
        </w:tc>
        <w:tc>
          <w:tcPr>
            <w:tcW w:w="0" w:type="auto"/>
            <w:vAlign w:val="center"/>
            <w:hideMark/>
          </w:tcPr>
          <w:p w14:paraId="1BF8F5E6" w14:textId="77777777" w:rsidR="00271850" w:rsidRPr="00C24F78" w:rsidRDefault="00271850" w:rsidP="00F61E90">
            <w:pPr>
              <w:spacing w:after="0" w:line="240" w:lineRule="auto"/>
              <w:rPr>
                <w:rFonts w:eastAsia="Times New Roman" w:cstheme="minorHAnsi"/>
                <w:sz w:val="18"/>
                <w:szCs w:val="18"/>
                <w:lang w:eastAsia="en-GB"/>
              </w:rPr>
            </w:pPr>
            <w:r w:rsidRPr="00C24F78">
              <w:rPr>
                <w:rFonts w:eastAsia="Times New Roman" w:cstheme="minorHAnsi"/>
                <w:sz w:val="18"/>
                <w:szCs w:val="18"/>
                <w:lang w:eastAsia="en-GB"/>
              </w:rPr>
              <w:t xml:space="preserve">1 </w:t>
            </w:r>
          </w:p>
        </w:tc>
        <w:tc>
          <w:tcPr>
            <w:tcW w:w="0" w:type="auto"/>
            <w:vAlign w:val="center"/>
          </w:tcPr>
          <w:p w14:paraId="38FE3001" w14:textId="77777777" w:rsidR="00271850" w:rsidRPr="00C24F78" w:rsidRDefault="00271850" w:rsidP="00F61E90">
            <w:pPr>
              <w:spacing w:after="0" w:line="240" w:lineRule="auto"/>
              <w:jc w:val="right"/>
              <w:rPr>
                <w:rFonts w:eastAsia="Times New Roman" w:cstheme="minorHAnsi"/>
                <w:sz w:val="18"/>
                <w:szCs w:val="18"/>
                <w:lang w:eastAsia="en-GB"/>
              </w:rPr>
            </w:pPr>
            <w:r w:rsidRPr="00C24F78">
              <w:rPr>
                <w:rFonts w:eastAsia="Times New Roman" w:cstheme="minorHAnsi"/>
                <w:sz w:val="18"/>
                <w:szCs w:val="18"/>
                <w:lang w:eastAsia="en-GB"/>
              </w:rPr>
              <w:t>173439</w:t>
            </w:r>
          </w:p>
        </w:tc>
        <w:tc>
          <w:tcPr>
            <w:tcW w:w="0" w:type="auto"/>
          </w:tcPr>
          <w:p w14:paraId="0A8459BA" w14:textId="77777777" w:rsidR="00271850" w:rsidRPr="00C24F78" w:rsidRDefault="00271850" w:rsidP="00F61E90">
            <w:pPr>
              <w:spacing w:after="0" w:line="240" w:lineRule="auto"/>
              <w:jc w:val="right"/>
              <w:rPr>
                <w:rFonts w:eastAsia="Times New Roman" w:cstheme="minorHAnsi"/>
                <w:i/>
                <w:sz w:val="18"/>
                <w:szCs w:val="18"/>
                <w:lang w:eastAsia="en-GB"/>
              </w:rPr>
            </w:pPr>
            <w:r w:rsidRPr="00C24F78">
              <w:rPr>
                <w:rFonts w:eastAsia="Times New Roman" w:cstheme="minorHAnsi"/>
                <w:i/>
                <w:sz w:val="18"/>
                <w:szCs w:val="18"/>
                <w:lang w:eastAsia="en-GB"/>
              </w:rPr>
              <w:t>19</w:t>
            </w:r>
            <w:r>
              <w:rPr>
                <w:rFonts w:eastAsia="Times New Roman" w:cstheme="minorHAnsi"/>
                <w:i/>
                <w:sz w:val="18"/>
                <w:szCs w:val="18"/>
                <w:lang w:eastAsia="en-GB"/>
              </w:rPr>
              <w:t>.</w:t>
            </w:r>
            <w:r w:rsidRPr="00C24F78">
              <w:rPr>
                <w:rFonts w:eastAsia="Times New Roman" w:cstheme="minorHAnsi"/>
                <w:i/>
                <w:sz w:val="18"/>
                <w:szCs w:val="18"/>
                <w:lang w:eastAsia="en-GB"/>
              </w:rPr>
              <w:t>7</w:t>
            </w:r>
          </w:p>
        </w:tc>
        <w:tc>
          <w:tcPr>
            <w:tcW w:w="0" w:type="auto"/>
            <w:vAlign w:val="center"/>
          </w:tcPr>
          <w:p w14:paraId="1272F35D" w14:textId="77777777" w:rsidR="00271850" w:rsidRPr="00C24F78" w:rsidRDefault="00271850" w:rsidP="00F61E90">
            <w:pPr>
              <w:spacing w:after="0" w:line="240" w:lineRule="auto"/>
              <w:jc w:val="right"/>
              <w:rPr>
                <w:rFonts w:eastAsia="Times New Roman" w:cstheme="minorHAnsi"/>
                <w:sz w:val="18"/>
                <w:szCs w:val="18"/>
                <w:lang w:eastAsia="en-GB"/>
              </w:rPr>
            </w:pPr>
            <w:r w:rsidRPr="00C24F78">
              <w:rPr>
                <w:rFonts w:eastAsia="Times New Roman" w:cstheme="minorHAnsi"/>
                <w:sz w:val="18"/>
                <w:szCs w:val="18"/>
                <w:lang w:eastAsia="en-GB"/>
              </w:rPr>
              <w:t>104602</w:t>
            </w:r>
          </w:p>
        </w:tc>
        <w:tc>
          <w:tcPr>
            <w:tcW w:w="0" w:type="auto"/>
            <w:vAlign w:val="center"/>
          </w:tcPr>
          <w:p w14:paraId="5EEEF280" w14:textId="77777777" w:rsidR="00271850" w:rsidRPr="00C24F78" w:rsidRDefault="00271850" w:rsidP="00F61E90">
            <w:pPr>
              <w:spacing w:after="0" w:line="240" w:lineRule="auto"/>
              <w:jc w:val="right"/>
              <w:rPr>
                <w:rFonts w:eastAsia="Times New Roman" w:cstheme="minorHAnsi"/>
                <w:i/>
                <w:sz w:val="18"/>
                <w:szCs w:val="18"/>
                <w:lang w:eastAsia="en-GB"/>
              </w:rPr>
            </w:pPr>
            <w:r w:rsidRPr="00C24F78">
              <w:rPr>
                <w:rFonts w:eastAsia="Times New Roman" w:cstheme="minorHAnsi"/>
                <w:i/>
                <w:sz w:val="18"/>
                <w:szCs w:val="18"/>
                <w:lang w:eastAsia="en-GB"/>
              </w:rPr>
              <w:t>19</w:t>
            </w:r>
            <w:r>
              <w:rPr>
                <w:rFonts w:eastAsia="Times New Roman" w:cstheme="minorHAnsi"/>
                <w:i/>
                <w:sz w:val="18"/>
                <w:szCs w:val="18"/>
                <w:lang w:eastAsia="en-GB"/>
              </w:rPr>
              <w:t>.</w:t>
            </w:r>
            <w:r w:rsidRPr="00C24F78">
              <w:rPr>
                <w:rFonts w:eastAsia="Times New Roman" w:cstheme="minorHAnsi"/>
                <w:i/>
                <w:sz w:val="18"/>
                <w:szCs w:val="18"/>
                <w:lang w:eastAsia="en-GB"/>
              </w:rPr>
              <w:t>5</w:t>
            </w:r>
          </w:p>
        </w:tc>
        <w:tc>
          <w:tcPr>
            <w:tcW w:w="0" w:type="auto"/>
            <w:vAlign w:val="center"/>
          </w:tcPr>
          <w:p w14:paraId="0FDA0FCA" w14:textId="77777777" w:rsidR="00271850" w:rsidRPr="00C24F78" w:rsidRDefault="00271850" w:rsidP="00F61E90">
            <w:pPr>
              <w:spacing w:after="0" w:line="240" w:lineRule="auto"/>
              <w:jc w:val="right"/>
              <w:rPr>
                <w:rFonts w:eastAsia="Times New Roman" w:cstheme="minorHAnsi"/>
                <w:sz w:val="18"/>
                <w:szCs w:val="18"/>
                <w:lang w:eastAsia="en-GB"/>
              </w:rPr>
            </w:pPr>
            <w:r w:rsidRPr="00C24F78">
              <w:rPr>
                <w:rFonts w:eastAsia="Times New Roman" w:cstheme="minorHAnsi"/>
                <w:sz w:val="18"/>
                <w:szCs w:val="18"/>
                <w:lang w:eastAsia="en-GB"/>
              </w:rPr>
              <w:t>68837</w:t>
            </w:r>
          </w:p>
        </w:tc>
        <w:tc>
          <w:tcPr>
            <w:tcW w:w="0" w:type="auto"/>
            <w:vAlign w:val="center"/>
          </w:tcPr>
          <w:p w14:paraId="3B9C7274" w14:textId="77777777" w:rsidR="00271850" w:rsidRPr="00C24F78" w:rsidRDefault="00271850" w:rsidP="00F61E90">
            <w:pPr>
              <w:spacing w:after="0" w:line="240" w:lineRule="auto"/>
              <w:jc w:val="right"/>
              <w:rPr>
                <w:rFonts w:eastAsia="Times New Roman" w:cstheme="minorHAnsi"/>
                <w:i/>
                <w:sz w:val="18"/>
                <w:szCs w:val="18"/>
                <w:lang w:eastAsia="en-GB"/>
              </w:rPr>
            </w:pPr>
            <w:r w:rsidRPr="00C24F78">
              <w:rPr>
                <w:rFonts w:eastAsia="Times New Roman" w:cstheme="minorHAnsi"/>
                <w:i/>
                <w:sz w:val="18"/>
                <w:szCs w:val="18"/>
                <w:lang w:eastAsia="en-GB"/>
              </w:rPr>
              <w:t>20</w:t>
            </w:r>
            <w:r>
              <w:rPr>
                <w:rFonts w:eastAsia="Times New Roman" w:cstheme="minorHAnsi"/>
                <w:i/>
                <w:sz w:val="18"/>
                <w:szCs w:val="18"/>
                <w:lang w:eastAsia="en-GB"/>
              </w:rPr>
              <w:t>.</w:t>
            </w:r>
            <w:r w:rsidRPr="00C24F78">
              <w:rPr>
                <w:rFonts w:eastAsia="Times New Roman" w:cstheme="minorHAnsi"/>
                <w:i/>
                <w:sz w:val="18"/>
                <w:szCs w:val="18"/>
                <w:lang w:eastAsia="en-GB"/>
              </w:rPr>
              <w:t>1</w:t>
            </w:r>
          </w:p>
        </w:tc>
        <w:tc>
          <w:tcPr>
            <w:tcW w:w="0" w:type="auto"/>
            <w:vAlign w:val="center"/>
          </w:tcPr>
          <w:p w14:paraId="7BDF9D36" w14:textId="77777777" w:rsidR="00271850" w:rsidRPr="00C24F78" w:rsidRDefault="00271850" w:rsidP="00F61E90">
            <w:pPr>
              <w:spacing w:after="0" w:line="240" w:lineRule="auto"/>
              <w:jc w:val="right"/>
              <w:rPr>
                <w:rFonts w:eastAsia="Times New Roman" w:cstheme="minorHAnsi"/>
                <w:sz w:val="18"/>
                <w:szCs w:val="18"/>
                <w:lang w:eastAsia="en-GB"/>
              </w:rPr>
            </w:pPr>
            <w:r w:rsidRPr="00C24F78">
              <w:rPr>
                <w:rFonts w:eastAsia="Times New Roman" w:cstheme="minorHAnsi"/>
                <w:sz w:val="18"/>
                <w:szCs w:val="18"/>
                <w:lang w:eastAsia="en-GB"/>
              </w:rPr>
              <w:t>&lt;0</w:t>
            </w:r>
            <w:r>
              <w:rPr>
                <w:rFonts w:eastAsia="Times New Roman" w:cstheme="minorHAnsi"/>
                <w:sz w:val="18"/>
                <w:szCs w:val="18"/>
                <w:lang w:eastAsia="en-GB"/>
              </w:rPr>
              <w:t>.</w:t>
            </w:r>
            <w:r w:rsidRPr="00C24F78">
              <w:rPr>
                <w:rFonts w:eastAsia="Times New Roman" w:cstheme="minorHAnsi"/>
                <w:sz w:val="18"/>
                <w:szCs w:val="18"/>
                <w:lang w:eastAsia="en-GB"/>
              </w:rPr>
              <w:t>001</w:t>
            </w:r>
          </w:p>
        </w:tc>
      </w:tr>
      <w:tr w:rsidR="00271850" w:rsidRPr="00C24F78" w14:paraId="42181223" w14:textId="77777777" w:rsidTr="00F61E90">
        <w:trPr>
          <w:tblCellSpacing w:w="15" w:type="dxa"/>
          <w:jc w:val="center"/>
        </w:trPr>
        <w:tc>
          <w:tcPr>
            <w:tcW w:w="0" w:type="auto"/>
            <w:vAlign w:val="center"/>
            <w:hideMark/>
          </w:tcPr>
          <w:p w14:paraId="0D0EC8D2" w14:textId="77777777" w:rsidR="00271850" w:rsidRPr="00C24F78" w:rsidRDefault="00271850" w:rsidP="00F61E90">
            <w:pPr>
              <w:spacing w:after="0" w:line="240" w:lineRule="auto"/>
              <w:rPr>
                <w:rFonts w:eastAsia="Times New Roman" w:cstheme="minorHAnsi"/>
                <w:sz w:val="18"/>
                <w:szCs w:val="18"/>
                <w:lang w:eastAsia="en-GB"/>
              </w:rPr>
            </w:pPr>
          </w:p>
        </w:tc>
        <w:tc>
          <w:tcPr>
            <w:tcW w:w="0" w:type="auto"/>
            <w:vAlign w:val="center"/>
            <w:hideMark/>
          </w:tcPr>
          <w:p w14:paraId="0B3AC9A7" w14:textId="77777777" w:rsidR="00271850" w:rsidRPr="00C24F78" w:rsidRDefault="00271850" w:rsidP="00F61E90">
            <w:pPr>
              <w:spacing w:after="0" w:line="240" w:lineRule="auto"/>
              <w:rPr>
                <w:rFonts w:eastAsia="Times New Roman" w:cstheme="minorHAnsi"/>
                <w:sz w:val="18"/>
                <w:szCs w:val="18"/>
                <w:lang w:eastAsia="en-GB"/>
              </w:rPr>
            </w:pPr>
            <w:r w:rsidRPr="00C24F78">
              <w:rPr>
                <w:rFonts w:eastAsia="Times New Roman" w:cstheme="minorHAnsi"/>
                <w:sz w:val="18"/>
                <w:szCs w:val="18"/>
                <w:lang w:eastAsia="en-GB"/>
              </w:rPr>
              <w:t>2</w:t>
            </w:r>
          </w:p>
        </w:tc>
        <w:tc>
          <w:tcPr>
            <w:tcW w:w="0" w:type="auto"/>
            <w:vAlign w:val="center"/>
          </w:tcPr>
          <w:p w14:paraId="6956C955" w14:textId="77777777" w:rsidR="00271850" w:rsidRPr="00C24F78" w:rsidRDefault="00271850" w:rsidP="00F61E90">
            <w:pPr>
              <w:spacing w:after="0" w:line="240" w:lineRule="auto"/>
              <w:jc w:val="right"/>
              <w:rPr>
                <w:rFonts w:eastAsia="Times New Roman" w:cstheme="minorHAnsi"/>
                <w:sz w:val="18"/>
                <w:szCs w:val="18"/>
                <w:lang w:eastAsia="en-GB"/>
              </w:rPr>
            </w:pPr>
            <w:r w:rsidRPr="00C24F78">
              <w:rPr>
                <w:rFonts w:eastAsia="Times New Roman" w:cstheme="minorHAnsi"/>
                <w:sz w:val="18"/>
                <w:szCs w:val="18"/>
                <w:lang w:eastAsia="en-GB"/>
              </w:rPr>
              <w:t>158821</w:t>
            </w:r>
          </w:p>
        </w:tc>
        <w:tc>
          <w:tcPr>
            <w:tcW w:w="0" w:type="auto"/>
          </w:tcPr>
          <w:p w14:paraId="4176AE86" w14:textId="77777777" w:rsidR="00271850" w:rsidRPr="00C24F78" w:rsidRDefault="00271850" w:rsidP="00F61E90">
            <w:pPr>
              <w:spacing w:after="0" w:line="240" w:lineRule="auto"/>
              <w:jc w:val="right"/>
              <w:rPr>
                <w:rFonts w:eastAsia="Times New Roman" w:cstheme="minorHAnsi"/>
                <w:i/>
                <w:sz w:val="18"/>
                <w:szCs w:val="18"/>
                <w:lang w:eastAsia="en-GB"/>
              </w:rPr>
            </w:pPr>
            <w:r w:rsidRPr="00C24F78">
              <w:rPr>
                <w:rFonts w:eastAsia="Times New Roman" w:cstheme="minorHAnsi"/>
                <w:i/>
                <w:sz w:val="18"/>
                <w:szCs w:val="18"/>
                <w:lang w:eastAsia="en-GB"/>
              </w:rPr>
              <w:t>18</w:t>
            </w:r>
            <w:r>
              <w:rPr>
                <w:rFonts w:eastAsia="Times New Roman" w:cstheme="minorHAnsi"/>
                <w:i/>
                <w:sz w:val="18"/>
                <w:szCs w:val="18"/>
                <w:lang w:eastAsia="en-GB"/>
              </w:rPr>
              <w:t>.</w:t>
            </w:r>
            <w:r w:rsidRPr="00C24F78">
              <w:rPr>
                <w:rFonts w:eastAsia="Times New Roman" w:cstheme="minorHAnsi"/>
                <w:i/>
                <w:sz w:val="18"/>
                <w:szCs w:val="18"/>
                <w:lang w:eastAsia="en-GB"/>
              </w:rPr>
              <w:t>1</w:t>
            </w:r>
          </w:p>
        </w:tc>
        <w:tc>
          <w:tcPr>
            <w:tcW w:w="0" w:type="auto"/>
            <w:vAlign w:val="center"/>
          </w:tcPr>
          <w:p w14:paraId="0112330F" w14:textId="77777777" w:rsidR="00271850" w:rsidRPr="00C24F78" w:rsidRDefault="00271850" w:rsidP="00F61E90">
            <w:pPr>
              <w:spacing w:after="0" w:line="240" w:lineRule="auto"/>
              <w:jc w:val="right"/>
              <w:rPr>
                <w:rFonts w:eastAsia="Times New Roman" w:cstheme="minorHAnsi"/>
                <w:sz w:val="18"/>
                <w:szCs w:val="18"/>
                <w:lang w:eastAsia="en-GB"/>
              </w:rPr>
            </w:pPr>
            <w:r w:rsidRPr="00C24F78">
              <w:rPr>
                <w:rFonts w:eastAsia="Times New Roman" w:cstheme="minorHAnsi"/>
                <w:sz w:val="18"/>
                <w:szCs w:val="18"/>
                <w:lang w:eastAsia="en-GB"/>
              </w:rPr>
              <w:t>95364</w:t>
            </w:r>
          </w:p>
        </w:tc>
        <w:tc>
          <w:tcPr>
            <w:tcW w:w="0" w:type="auto"/>
            <w:vAlign w:val="center"/>
          </w:tcPr>
          <w:p w14:paraId="323D7AE6" w14:textId="77777777" w:rsidR="00271850" w:rsidRPr="00C24F78" w:rsidRDefault="00271850" w:rsidP="00F61E90">
            <w:pPr>
              <w:spacing w:after="0" w:line="240" w:lineRule="auto"/>
              <w:jc w:val="right"/>
              <w:rPr>
                <w:rFonts w:eastAsia="Times New Roman" w:cstheme="minorHAnsi"/>
                <w:i/>
                <w:sz w:val="18"/>
                <w:szCs w:val="18"/>
                <w:lang w:eastAsia="en-GB"/>
              </w:rPr>
            </w:pPr>
            <w:r w:rsidRPr="00C24F78">
              <w:rPr>
                <w:rFonts w:eastAsia="Times New Roman" w:cstheme="minorHAnsi"/>
                <w:i/>
                <w:sz w:val="18"/>
                <w:szCs w:val="18"/>
                <w:lang w:eastAsia="en-GB"/>
              </w:rPr>
              <w:t>17</w:t>
            </w:r>
            <w:r>
              <w:rPr>
                <w:rFonts w:eastAsia="Times New Roman" w:cstheme="minorHAnsi"/>
                <w:i/>
                <w:sz w:val="18"/>
                <w:szCs w:val="18"/>
                <w:lang w:eastAsia="en-GB"/>
              </w:rPr>
              <w:t>.</w:t>
            </w:r>
            <w:r w:rsidRPr="00C24F78">
              <w:rPr>
                <w:rFonts w:eastAsia="Times New Roman" w:cstheme="minorHAnsi"/>
                <w:i/>
                <w:sz w:val="18"/>
                <w:szCs w:val="18"/>
                <w:lang w:eastAsia="en-GB"/>
              </w:rPr>
              <w:t>8</w:t>
            </w:r>
          </w:p>
        </w:tc>
        <w:tc>
          <w:tcPr>
            <w:tcW w:w="0" w:type="auto"/>
            <w:vAlign w:val="center"/>
          </w:tcPr>
          <w:p w14:paraId="7BA0A916" w14:textId="77777777" w:rsidR="00271850" w:rsidRPr="00C24F78" w:rsidRDefault="00271850" w:rsidP="00F61E90">
            <w:pPr>
              <w:spacing w:after="0" w:line="240" w:lineRule="auto"/>
              <w:jc w:val="right"/>
              <w:rPr>
                <w:rFonts w:eastAsia="Times New Roman" w:cstheme="minorHAnsi"/>
                <w:sz w:val="18"/>
                <w:szCs w:val="18"/>
                <w:lang w:eastAsia="en-GB"/>
              </w:rPr>
            </w:pPr>
            <w:r w:rsidRPr="00C24F78">
              <w:rPr>
                <w:rFonts w:eastAsia="Times New Roman" w:cstheme="minorHAnsi"/>
                <w:sz w:val="18"/>
                <w:szCs w:val="18"/>
                <w:lang w:eastAsia="en-GB"/>
              </w:rPr>
              <w:t>63457</w:t>
            </w:r>
          </w:p>
        </w:tc>
        <w:tc>
          <w:tcPr>
            <w:tcW w:w="0" w:type="auto"/>
            <w:vAlign w:val="center"/>
          </w:tcPr>
          <w:p w14:paraId="5D83AD09" w14:textId="77777777" w:rsidR="00271850" w:rsidRPr="00C24F78" w:rsidRDefault="00271850" w:rsidP="00F61E90">
            <w:pPr>
              <w:spacing w:after="0" w:line="240" w:lineRule="auto"/>
              <w:jc w:val="right"/>
              <w:rPr>
                <w:rFonts w:eastAsia="Times New Roman" w:cstheme="minorHAnsi"/>
                <w:i/>
                <w:sz w:val="18"/>
                <w:szCs w:val="18"/>
                <w:lang w:eastAsia="en-GB"/>
              </w:rPr>
            </w:pPr>
            <w:r w:rsidRPr="00C24F78">
              <w:rPr>
                <w:rFonts w:eastAsia="Times New Roman" w:cstheme="minorHAnsi"/>
                <w:i/>
                <w:sz w:val="18"/>
                <w:szCs w:val="18"/>
                <w:lang w:eastAsia="en-GB"/>
              </w:rPr>
              <w:t>18</w:t>
            </w:r>
            <w:r>
              <w:rPr>
                <w:rFonts w:eastAsia="Times New Roman" w:cstheme="minorHAnsi"/>
                <w:i/>
                <w:sz w:val="18"/>
                <w:szCs w:val="18"/>
                <w:lang w:eastAsia="en-GB"/>
              </w:rPr>
              <w:t>.</w:t>
            </w:r>
            <w:r w:rsidRPr="00C24F78">
              <w:rPr>
                <w:rFonts w:eastAsia="Times New Roman" w:cstheme="minorHAnsi"/>
                <w:i/>
                <w:sz w:val="18"/>
                <w:szCs w:val="18"/>
                <w:lang w:eastAsia="en-GB"/>
              </w:rPr>
              <w:t>5</w:t>
            </w:r>
          </w:p>
        </w:tc>
        <w:tc>
          <w:tcPr>
            <w:tcW w:w="0" w:type="auto"/>
            <w:vAlign w:val="center"/>
          </w:tcPr>
          <w:p w14:paraId="1F92140E" w14:textId="77777777" w:rsidR="00271850" w:rsidRPr="00C24F78" w:rsidRDefault="00271850" w:rsidP="00F61E90">
            <w:pPr>
              <w:spacing w:after="0" w:line="240" w:lineRule="auto"/>
              <w:jc w:val="right"/>
              <w:rPr>
                <w:rFonts w:eastAsia="Times New Roman" w:cstheme="minorHAnsi"/>
                <w:sz w:val="18"/>
                <w:szCs w:val="18"/>
                <w:lang w:eastAsia="en-GB"/>
              </w:rPr>
            </w:pPr>
          </w:p>
        </w:tc>
      </w:tr>
      <w:tr w:rsidR="00271850" w:rsidRPr="00C24F78" w14:paraId="5389B382" w14:textId="77777777" w:rsidTr="00F61E90">
        <w:trPr>
          <w:tblCellSpacing w:w="15" w:type="dxa"/>
          <w:jc w:val="center"/>
        </w:trPr>
        <w:tc>
          <w:tcPr>
            <w:tcW w:w="0" w:type="auto"/>
            <w:vAlign w:val="center"/>
          </w:tcPr>
          <w:p w14:paraId="307C9345" w14:textId="77777777" w:rsidR="00271850" w:rsidRPr="00C24F78" w:rsidRDefault="00271850" w:rsidP="00F61E90">
            <w:pPr>
              <w:spacing w:after="0" w:line="240" w:lineRule="auto"/>
              <w:rPr>
                <w:rFonts w:eastAsia="Times New Roman" w:cstheme="minorHAnsi"/>
                <w:sz w:val="18"/>
                <w:szCs w:val="18"/>
                <w:lang w:eastAsia="en-GB"/>
              </w:rPr>
            </w:pPr>
          </w:p>
        </w:tc>
        <w:tc>
          <w:tcPr>
            <w:tcW w:w="0" w:type="auto"/>
            <w:vAlign w:val="center"/>
          </w:tcPr>
          <w:p w14:paraId="362A8DA4" w14:textId="77777777" w:rsidR="00271850" w:rsidRPr="00C24F78" w:rsidRDefault="00271850" w:rsidP="00F61E90">
            <w:pPr>
              <w:spacing w:after="0" w:line="240" w:lineRule="auto"/>
              <w:rPr>
                <w:rFonts w:eastAsia="Times New Roman" w:cstheme="minorHAnsi"/>
                <w:sz w:val="18"/>
                <w:szCs w:val="18"/>
                <w:lang w:eastAsia="en-GB"/>
              </w:rPr>
            </w:pPr>
            <w:r w:rsidRPr="00C24F78">
              <w:rPr>
                <w:rFonts w:eastAsia="Times New Roman" w:cstheme="minorHAnsi"/>
                <w:sz w:val="18"/>
                <w:szCs w:val="18"/>
                <w:lang w:eastAsia="en-GB"/>
              </w:rPr>
              <w:t>3</w:t>
            </w:r>
          </w:p>
        </w:tc>
        <w:tc>
          <w:tcPr>
            <w:tcW w:w="0" w:type="auto"/>
            <w:vAlign w:val="center"/>
          </w:tcPr>
          <w:p w14:paraId="1988A2AC" w14:textId="77777777" w:rsidR="00271850" w:rsidRPr="00C24F78" w:rsidRDefault="00271850" w:rsidP="00F61E90">
            <w:pPr>
              <w:spacing w:after="0" w:line="240" w:lineRule="auto"/>
              <w:jc w:val="right"/>
              <w:rPr>
                <w:rFonts w:eastAsia="Times New Roman" w:cstheme="minorHAnsi"/>
                <w:sz w:val="18"/>
                <w:szCs w:val="18"/>
                <w:lang w:eastAsia="en-GB"/>
              </w:rPr>
            </w:pPr>
            <w:r w:rsidRPr="00C24F78">
              <w:rPr>
                <w:rFonts w:eastAsia="Times New Roman" w:cstheme="minorHAnsi"/>
                <w:sz w:val="18"/>
                <w:szCs w:val="18"/>
                <w:lang w:eastAsia="en-GB"/>
              </w:rPr>
              <w:t>161999</w:t>
            </w:r>
          </w:p>
        </w:tc>
        <w:tc>
          <w:tcPr>
            <w:tcW w:w="0" w:type="auto"/>
          </w:tcPr>
          <w:p w14:paraId="29D56F03" w14:textId="77777777" w:rsidR="00271850" w:rsidRPr="00C24F78" w:rsidRDefault="00271850" w:rsidP="00F61E90">
            <w:pPr>
              <w:spacing w:after="0" w:line="240" w:lineRule="auto"/>
              <w:jc w:val="right"/>
              <w:rPr>
                <w:rFonts w:eastAsia="Times New Roman" w:cstheme="minorHAnsi"/>
                <w:i/>
                <w:sz w:val="18"/>
                <w:szCs w:val="18"/>
                <w:lang w:eastAsia="en-GB"/>
              </w:rPr>
            </w:pPr>
            <w:r w:rsidRPr="00C24F78">
              <w:rPr>
                <w:rFonts w:eastAsia="Times New Roman" w:cstheme="minorHAnsi"/>
                <w:i/>
                <w:sz w:val="18"/>
                <w:szCs w:val="18"/>
                <w:lang w:eastAsia="en-GB"/>
              </w:rPr>
              <w:t>18</w:t>
            </w:r>
            <w:r>
              <w:rPr>
                <w:rFonts w:eastAsia="Times New Roman" w:cstheme="minorHAnsi"/>
                <w:i/>
                <w:sz w:val="18"/>
                <w:szCs w:val="18"/>
                <w:lang w:eastAsia="en-GB"/>
              </w:rPr>
              <w:t>.</w:t>
            </w:r>
            <w:r w:rsidRPr="00C24F78">
              <w:rPr>
                <w:rFonts w:eastAsia="Times New Roman" w:cstheme="minorHAnsi"/>
                <w:i/>
                <w:sz w:val="18"/>
                <w:szCs w:val="18"/>
                <w:lang w:eastAsia="en-GB"/>
              </w:rPr>
              <w:t>4</w:t>
            </w:r>
          </w:p>
        </w:tc>
        <w:tc>
          <w:tcPr>
            <w:tcW w:w="0" w:type="auto"/>
            <w:vAlign w:val="center"/>
          </w:tcPr>
          <w:p w14:paraId="7C108759" w14:textId="77777777" w:rsidR="00271850" w:rsidRPr="00C24F78" w:rsidRDefault="00271850" w:rsidP="00F61E90">
            <w:pPr>
              <w:spacing w:after="0" w:line="240" w:lineRule="auto"/>
              <w:jc w:val="right"/>
              <w:rPr>
                <w:rFonts w:eastAsia="Times New Roman" w:cstheme="minorHAnsi"/>
                <w:sz w:val="18"/>
                <w:szCs w:val="18"/>
                <w:lang w:eastAsia="en-GB"/>
              </w:rPr>
            </w:pPr>
            <w:r w:rsidRPr="00C24F78">
              <w:rPr>
                <w:rFonts w:eastAsia="Times New Roman" w:cstheme="minorHAnsi"/>
                <w:sz w:val="18"/>
                <w:szCs w:val="18"/>
                <w:lang w:eastAsia="en-GB"/>
              </w:rPr>
              <w:t>98331</w:t>
            </w:r>
          </w:p>
        </w:tc>
        <w:tc>
          <w:tcPr>
            <w:tcW w:w="0" w:type="auto"/>
            <w:vAlign w:val="center"/>
          </w:tcPr>
          <w:p w14:paraId="2125698E" w14:textId="77777777" w:rsidR="00271850" w:rsidRPr="00C24F78" w:rsidRDefault="00271850" w:rsidP="00F61E90">
            <w:pPr>
              <w:spacing w:after="0" w:line="240" w:lineRule="auto"/>
              <w:jc w:val="right"/>
              <w:rPr>
                <w:rFonts w:eastAsia="Times New Roman" w:cstheme="minorHAnsi"/>
                <w:i/>
                <w:sz w:val="18"/>
                <w:szCs w:val="18"/>
                <w:lang w:eastAsia="en-GB"/>
              </w:rPr>
            </w:pPr>
            <w:r w:rsidRPr="00C24F78">
              <w:rPr>
                <w:rFonts w:eastAsia="Times New Roman" w:cstheme="minorHAnsi"/>
                <w:i/>
                <w:sz w:val="18"/>
                <w:szCs w:val="18"/>
                <w:lang w:eastAsia="en-GB"/>
              </w:rPr>
              <w:t>18</w:t>
            </w:r>
            <w:r>
              <w:rPr>
                <w:rFonts w:eastAsia="Times New Roman" w:cstheme="minorHAnsi"/>
                <w:i/>
                <w:sz w:val="18"/>
                <w:szCs w:val="18"/>
                <w:lang w:eastAsia="en-GB"/>
              </w:rPr>
              <w:t>.</w:t>
            </w:r>
            <w:r w:rsidRPr="00C24F78">
              <w:rPr>
                <w:rFonts w:eastAsia="Times New Roman" w:cstheme="minorHAnsi"/>
                <w:i/>
                <w:sz w:val="18"/>
                <w:szCs w:val="18"/>
                <w:lang w:eastAsia="en-GB"/>
              </w:rPr>
              <w:t>3</w:t>
            </w:r>
          </w:p>
        </w:tc>
        <w:tc>
          <w:tcPr>
            <w:tcW w:w="0" w:type="auto"/>
            <w:vAlign w:val="center"/>
          </w:tcPr>
          <w:p w14:paraId="334F28C1" w14:textId="77777777" w:rsidR="00271850" w:rsidRPr="00C24F78" w:rsidRDefault="00271850" w:rsidP="00F61E90">
            <w:pPr>
              <w:spacing w:after="0" w:line="240" w:lineRule="auto"/>
              <w:jc w:val="right"/>
              <w:rPr>
                <w:rFonts w:eastAsia="Times New Roman" w:cstheme="minorHAnsi"/>
                <w:sz w:val="18"/>
                <w:szCs w:val="18"/>
                <w:lang w:eastAsia="en-GB"/>
              </w:rPr>
            </w:pPr>
            <w:r w:rsidRPr="00C24F78">
              <w:rPr>
                <w:rFonts w:eastAsia="Times New Roman" w:cstheme="minorHAnsi"/>
                <w:sz w:val="18"/>
                <w:szCs w:val="18"/>
                <w:lang w:eastAsia="en-GB"/>
              </w:rPr>
              <w:t>63668</w:t>
            </w:r>
          </w:p>
        </w:tc>
        <w:tc>
          <w:tcPr>
            <w:tcW w:w="0" w:type="auto"/>
            <w:vAlign w:val="center"/>
          </w:tcPr>
          <w:p w14:paraId="7EDB487B" w14:textId="77777777" w:rsidR="00271850" w:rsidRPr="00C24F78" w:rsidRDefault="00271850" w:rsidP="00F61E90">
            <w:pPr>
              <w:spacing w:after="0" w:line="240" w:lineRule="auto"/>
              <w:jc w:val="right"/>
              <w:rPr>
                <w:rFonts w:eastAsia="Times New Roman" w:cstheme="minorHAnsi"/>
                <w:i/>
                <w:sz w:val="18"/>
                <w:szCs w:val="18"/>
                <w:lang w:eastAsia="en-GB"/>
              </w:rPr>
            </w:pPr>
            <w:r w:rsidRPr="00C24F78">
              <w:rPr>
                <w:rFonts w:eastAsia="Times New Roman" w:cstheme="minorHAnsi"/>
                <w:i/>
                <w:sz w:val="18"/>
                <w:szCs w:val="18"/>
                <w:lang w:eastAsia="en-GB"/>
              </w:rPr>
              <w:t>18</w:t>
            </w:r>
            <w:r>
              <w:rPr>
                <w:rFonts w:eastAsia="Times New Roman" w:cstheme="minorHAnsi"/>
                <w:i/>
                <w:sz w:val="18"/>
                <w:szCs w:val="18"/>
                <w:lang w:eastAsia="en-GB"/>
              </w:rPr>
              <w:t>.</w:t>
            </w:r>
            <w:r w:rsidRPr="00C24F78">
              <w:rPr>
                <w:rFonts w:eastAsia="Times New Roman" w:cstheme="minorHAnsi"/>
                <w:i/>
                <w:sz w:val="18"/>
                <w:szCs w:val="18"/>
                <w:lang w:eastAsia="en-GB"/>
              </w:rPr>
              <w:t>6</w:t>
            </w:r>
          </w:p>
        </w:tc>
        <w:tc>
          <w:tcPr>
            <w:tcW w:w="0" w:type="auto"/>
            <w:vAlign w:val="center"/>
          </w:tcPr>
          <w:p w14:paraId="3D7884C1" w14:textId="77777777" w:rsidR="00271850" w:rsidRPr="00C24F78" w:rsidRDefault="00271850" w:rsidP="00F61E90">
            <w:pPr>
              <w:spacing w:after="0" w:line="240" w:lineRule="auto"/>
              <w:jc w:val="right"/>
              <w:rPr>
                <w:rFonts w:eastAsia="Times New Roman" w:cstheme="minorHAnsi"/>
                <w:sz w:val="18"/>
                <w:szCs w:val="18"/>
                <w:lang w:eastAsia="en-GB"/>
              </w:rPr>
            </w:pPr>
          </w:p>
        </w:tc>
      </w:tr>
      <w:tr w:rsidR="00271850" w:rsidRPr="00C24F78" w14:paraId="61D0192B" w14:textId="77777777" w:rsidTr="00F61E90">
        <w:trPr>
          <w:tblCellSpacing w:w="15" w:type="dxa"/>
          <w:jc w:val="center"/>
        </w:trPr>
        <w:tc>
          <w:tcPr>
            <w:tcW w:w="0" w:type="auto"/>
            <w:vAlign w:val="center"/>
          </w:tcPr>
          <w:p w14:paraId="64B8626F" w14:textId="77777777" w:rsidR="00271850" w:rsidRPr="00C24F78" w:rsidRDefault="00271850" w:rsidP="00F61E90">
            <w:pPr>
              <w:spacing w:after="0" w:line="240" w:lineRule="auto"/>
              <w:rPr>
                <w:rFonts w:eastAsia="Times New Roman" w:cstheme="minorHAnsi"/>
                <w:sz w:val="18"/>
                <w:szCs w:val="18"/>
                <w:lang w:eastAsia="en-GB"/>
              </w:rPr>
            </w:pPr>
          </w:p>
        </w:tc>
        <w:tc>
          <w:tcPr>
            <w:tcW w:w="0" w:type="auto"/>
            <w:vAlign w:val="center"/>
          </w:tcPr>
          <w:p w14:paraId="10A51EDC" w14:textId="77777777" w:rsidR="00271850" w:rsidRPr="00C24F78" w:rsidRDefault="00271850" w:rsidP="00F61E90">
            <w:pPr>
              <w:spacing w:after="0" w:line="240" w:lineRule="auto"/>
              <w:rPr>
                <w:rFonts w:eastAsia="Times New Roman" w:cstheme="minorHAnsi"/>
                <w:sz w:val="18"/>
                <w:szCs w:val="18"/>
                <w:lang w:eastAsia="en-GB"/>
              </w:rPr>
            </w:pPr>
            <w:r w:rsidRPr="00C24F78">
              <w:rPr>
                <w:rFonts w:eastAsia="Times New Roman" w:cstheme="minorHAnsi"/>
                <w:sz w:val="18"/>
                <w:szCs w:val="18"/>
                <w:lang w:eastAsia="en-GB"/>
              </w:rPr>
              <w:t>4</w:t>
            </w:r>
          </w:p>
        </w:tc>
        <w:tc>
          <w:tcPr>
            <w:tcW w:w="0" w:type="auto"/>
            <w:vAlign w:val="center"/>
          </w:tcPr>
          <w:p w14:paraId="299D8BEE" w14:textId="77777777" w:rsidR="00271850" w:rsidRPr="00C24F78" w:rsidRDefault="00271850" w:rsidP="00F61E90">
            <w:pPr>
              <w:spacing w:after="0" w:line="240" w:lineRule="auto"/>
              <w:jc w:val="right"/>
              <w:rPr>
                <w:rFonts w:eastAsia="Times New Roman" w:cstheme="minorHAnsi"/>
                <w:sz w:val="18"/>
                <w:szCs w:val="18"/>
                <w:lang w:eastAsia="en-GB"/>
              </w:rPr>
            </w:pPr>
            <w:r w:rsidRPr="00C24F78">
              <w:rPr>
                <w:rFonts w:eastAsia="Times New Roman" w:cstheme="minorHAnsi"/>
                <w:sz w:val="18"/>
                <w:szCs w:val="18"/>
                <w:lang w:eastAsia="en-GB"/>
              </w:rPr>
              <w:t>182182</w:t>
            </w:r>
          </w:p>
        </w:tc>
        <w:tc>
          <w:tcPr>
            <w:tcW w:w="0" w:type="auto"/>
          </w:tcPr>
          <w:p w14:paraId="1C0DF12B" w14:textId="77777777" w:rsidR="00271850" w:rsidRPr="00C24F78" w:rsidRDefault="00271850" w:rsidP="00F61E90">
            <w:pPr>
              <w:spacing w:after="0" w:line="240" w:lineRule="auto"/>
              <w:jc w:val="right"/>
              <w:rPr>
                <w:rFonts w:eastAsia="Times New Roman" w:cstheme="minorHAnsi"/>
                <w:i/>
                <w:sz w:val="18"/>
                <w:szCs w:val="18"/>
                <w:lang w:eastAsia="en-GB"/>
              </w:rPr>
            </w:pPr>
            <w:r w:rsidRPr="00C24F78">
              <w:rPr>
                <w:rFonts w:eastAsia="Times New Roman" w:cstheme="minorHAnsi"/>
                <w:i/>
                <w:sz w:val="18"/>
                <w:szCs w:val="18"/>
                <w:lang w:eastAsia="en-GB"/>
              </w:rPr>
              <w:t>20</w:t>
            </w:r>
            <w:r>
              <w:rPr>
                <w:rFonts w:eastAsia="Times New Roman" w:cstheme="minorHAnsi"/>
                <w:i/>
                <w:sz w:val="18"/>
                <w:szCs w:val="18"/>
                <w:lang w:eastAsia="en-GB"/>
              </w:rPr>
              <w:t>.</w:t>
            </w:r>
            <w:r w:rsidRPr="00C24F78">
              <w:rPr>
                <w:rFonts w:eastAsia="Times New Roman" w:cstheme="minorHAnsi"/>
                <w:i/>
                <w:sz w:val="18"/>
                <w:szCs w:val="18"/>
                <w:lang w:eastAsia="en-GB"/>
              </w:rPr>
              <w:t>7</w:t>
            </w:r>
          </w:p>
        </w:tc>
        <w:tc>
          <w:tcPr>
            <w:tcW w:w="0" w:type="auto"/>
            <w:vAlign w:val="center"/>
          </w:tcPr>
          <w:p w14:paraId="5DE9D1F1" w14:textId="77777777" w:rsidR="00271850" w:rsidRPr="00C24F78" w:rsidRDefault="00271850" w:rsidP="00F61E90">
            <w:pPr>
              <w:spacing w:after="0" w:line="240" w:lineRule="auto"/>
              <w:jc w:val="right"/>
              <w:rPr>
                <w:rFonts w:eastAsia="Times New Roman" w:cstheme="minorHAnsi"/>
                <w:sz w:val="18"/>
                <w:szCs w:val="18"/>
                <w:lang w:eastAsia="en-GB"/>
              </w:rPr>
            </w:pPr>
            <w:r w:rsidRPr="00C24F78">
              <w:rPr>
                <w:rFonts w:eastAsia="Times New Roman" w:cstheme="minorHAnsi"/>
                <w:sz w:val="18"/>
                <w:szCs w:val="18"/>
                <w:lang w:eastAsia="en-GB"/>
              </w:rPr>
              <w:t>111907</w:t>
            </w:r>
          </w:p>
        </w:tc>
        <w:tc>
          <w:tcPr>
            <w:tcW w:w="0" w:type="auto"/>
            <w:vAlign w:val="center"/>
          </w:tcPr>
          <w:p w14:paraId="6E27E3CA" w14:textId="77777777" w:rsidR="00271850" w:rsidRPr="00C24F78" w:rsidRDefault="00271850" w:rsidP="00F61E90">
            <w:pPr>
              <w:spacing w:after="0" w:line="240" w:lineRule="auto"/>
              <w:jc w:val="right"/>
              <w:rPr>
                <w:rFonts w:eastAsia="Times New Roman" w:cstheme="minorHAnsi"/>
                <w:i/>
                <w:sz w:val="18"/>
                <w:szCs w:val="18"/>
                <w:lang w:eastAsia="en-GB"/>
              </w:rPr>
            </w:pPr>
            <w:r w:rsidRPr="00C24F78">
              <w:rPr>
                <w:rFonts w:eastAsia="Times New Roman" w:cstheme="minorHAnsi"/>
                <w:i/>
                <w:sz w:val="18"/>
                <w:szCs w:val="18"/>
                <w:lang w:eastAsia="en-GB"/>
              </w:rPr>
              <w:t>20</w:t>
            </w:r>
            <w:r>
              <w:rPr>
                <w:rFonts w:eastAsia="Times New Roman" w:cstheme="minorHAnsi"/>
                <w:i/>
                <w:sz w:val="18"/>
                <w:szCs w:val="18"/>
                <w:lang w:eastAsia="en-GB"/>
              </w:rPr>
              <w:t>.</w:t>
            </w:r>
            <w:r w:rsidRPr="00C24F78">
              <w:rPr>
                <w:rFonts w:eastAsia="Times New Roman" w:cstheme="minorHAnsi"/>
                <w:i/>
                <w:sz w:val="18"/>
                <w:szCs w:val="18"/>
                <w:lang w:eastAsia="en-GB"/>
              </w:rPr>
              <w:t>8</w:t>
            </w:r>
          </w:p>
        </w:tc>
        <w:tc>
          <w:tcPr>
            <w:tcW w:w="0" w:type="auto"/>
            <w:vAlign w:val="center"/>
          </w:tcPr>
          <w:p w14:paraId="0B5AA30A" w14:textId="77777777" w:rsidR="00271850" w:rsidRPr="00C24F78" w:rsidRDefault="00271850" w:rsidP="00F61E90">
            <w:pPr>
              <w:spacing w:after="0" w:line="240" w:lineRule="auto"/>
              <w:jc w:val="right"/>
              <w:rPr>
                <w:rFonts w:eastAsia="Times New Roman" w:cstheme="minorHAnsi"/>
                <w:sz w:val="18"/>
                <w:szCs w:val="18"/>
                <w:lang w:eastAsia="en-GB"/>
              </w:rPr>
            </w:pPr>
            <w:r w:rsidRPr="00C24F78">
              <w:rPr>
                <w:rFonts w:eastAsia="Times New Roman" w:cstheme="minorHAnsi"/>
                <w:sz w:val="18"/>
                <w:szCs w:val="18"/>
                <w:lang w:eastAsia="en-GB"/>
              </w:rPr>
              <w:t>70275</w:t>
            </w:r>
          </w:p>
        </w:tc>
        <w:tc>
          <w:tcPr>
            <w:tcW w:w="0" w:type="auto"/>
            <w:vAlign w:val="center"/>
          </w:tcPr>
          <w:p w14:paraId="2F2D646A" w14:textId="77777777" w:rsidR="00271850" w:rsidRPr="00C24F78" w:rsidRDefault="00271850" w:rsidP="00F61E90">
            <w:pPr>
              <w:spacing w:after="0" w:line="240" w:lineRule="auto"/>
              <w:jc w:val="right"/>
              <w:rPr>
                <w:rFonts w:eastAsia="Times New Roman" w:cstheme="minorHAnsi"/>
                <w:i/>
                <w:sz w:val="18"/>
                <w:szCs w:val="18"/>
                <w:lang w:eastAsia="en-GB"/>
              </w:rPr>
            </w:pPr>
            <w:r w:rsidRPr="00C24F78">
              <w:rPr>
                <w:rFonts w:eastAsia="Times New Roman" w:cstheme="minorHAnsi"/>
                <w:i/>
                <w:sz w:val="18"/>
                <w:szCs w:val="18"/>
                <w:lang w:eastAsia="en-GB"/>
              </w:rPr>
              <w:t>20</w:t>
            </w:r>
            <w:r>
              <w:rPr>
                <w:rFonts w:eastAsia="Times New Roman" w:cstheme="minorHAnsi"/>
                <w:i/>
                <w:sz w:val="18"/>
                <w:szCs w:val="18"/>
                <w:lang w:eastAsia="en-GB"/>
              </w:rPr>
              <w:t>.</w:t>
            </w:r>
            <w:r w:rsidRPr="00C24F78">
              <w:rPr>
                <w:rFonts w:eastAsia="Times New Roman" w:cstheme="minorHAnsi"/>
                <w:i/>
                <w:sz w:val="18"/>
                <w:szCs w:val="18"/>
                <w:lang w:eastAsia="en-GB"/>
              </w:rPr>
              <w:t>5</w:t>
            </w:r>
          </w:p>
        </w:tc>
        <w:tc>
          <w:tcPr>
            <w:tcW w:w="0" w:type="auto"/>
            <w:vAlign w:val="center"/>
          </w:tcPr>
          <w:p w14:paraId="7B720FAB" w14:textId="77777777" w:rsidR="00271850" w:rsidRPr="00C24F78" w:rsidRDefault="00271850" w:rsidP="00F61E90">
            <w:pPr>
              <w:spacing w:after="0" w:line="240" w:lineRule="auto"/>
              <w:jc w:val="right"/>
              <w:rPr>
                <w:rFonts w:eastAsia="Times New Roman" w:cstheme="minorHAnsi"/>
                <w:sz w:val="18"/>
                <w:szCs w:val="18"/>
                <w:lang w:eastAsia="en-GB"/>
              </w:rPr>
            </w:pPr>
          </w:p>
        </w:tc>
      </w:tr>
      <w:tr w:rsidR="00271850" w:rsidRPr="00C24F78" w14:paraId="611BEBE8" w14:textId="77777777" w:rsidTr="00F61E90">
        <w:trPr>
          <w:tblCellSpacing w:w="15" w:type="dxa"/>
          <w:jc w:val="center"/>
        </w:trPr>
        <w:tc>
          <w:tcPr>
            <w:tcW w:w="0" w:type="auto"/>
            <w:vAlign w:val="center"/>
          </w:tcPr>
          <w:p w14:paraId="07625ED1" w14:textId="77777777" w:rsidR="00271850" w:rsidRPr="00C24F78" w:rsidRDefault="00271850" w:rsidP="00F61E90">
            <w:pPr>
              <w:spacing w:after="0" w:line="240" w:lineRule="auto"/>
              <w:rPr>
                <w:rFonts w:eastAsia="Times New Roman" w:cstheme="minorHAnsi"/>
                <w:sz w:val="18"/>
                <w:szCs w:val="18"/>
                <w:lang w:eastAsia="en-GB"/>
              </w:rPr>
            </w:pPr>
          </w:p>
        </w:tc>
        <w:tc>
          <w:tcPr>
            <w:tcW w:w="0" w:type="auto"/>
            <w:vAlign w:val="center"/>
          </w:tcPr>
          <w:p w14:paraId="63DC2362" w14:textId="77777777" w:rsidR="00271850" w:rsidRPr="00C24F78" w:rsidRDefault="00271850" w:rsidP="00F61E90">
            <w:pPr>
              <w:spacing w:after="0" w:line="240" w:lineRule="auto"/>
              <w:rPr>
                <w:rFonts w:eastAsia="Times New Roman" w:cstheme="minorHAnsi"/>
                <w:sz w:val="18"/>
                <w:szCs w:val="18"/>
                <w:lang w:eastAsia="en-GB"/>
              </w:rPr>
            </w:pPr>
            <w:r w:rsidRPr="00C24F78">
              <w:rPr>
                <w:rFonts w:eastAsia="Times New Roman" w:cstheme="minorHAnsi"/>
                <w:sz w:val="18"/>
                <w:szCs w:val="18"/>
                <w:lang w:eastAsia="en-GB"/>
              </w:rPr>
              <w:t>5</w:t>
            </w:r>
          </w:p>
        </w:tc>
        <w:tc>
          <w:tcPr>
            <w:tcW w:w="0" w:type="auto"/>
            <w:vAlign w:val="center"/>
          </w:tcPr>
          <w:p w14:paraId="0F464DEE" w14:textId="77777777" w:rsidR="00271850" w:rsidRPr="00C24F78" w:rsidRDefault="00271850" w:rsidP="00F61E90">
            <w:pPr>
              <w:spacing w:after="0" w:line="240" w:lineRule="auto"/>
              <w:jc w:val="right"/>
              <w:rPr>
                <w:rFonts w:eastAsia="Times New Roman" w:cstheme="minorHAnsi"/>
                <w:sz w:val="18"/>
                <w:szCs w:val="18"/>
                <w:lang w:eastAsia="en-GB"/>
              </w:rPr>
            </w:pPr>
            <w:r w:rsidRPr="00C24F78">
              <w:rPr>
                <w:rFonts w:eastAsia="Times New Roman" w:cstheme="minorHAnsi"/>
                <w:sz w:val="18"/>
                <w:szCs w:val="18"/>
                <w:lang w:eastAsia="en-GB"/>
              </w:rPr>
              <w:t>203415</w:t>
            </w:r>
          </w:p>
        </w:tc>
        <w:tc>
          <w:tcPr>
            <w:tcW w:w="0" w:type="auto"/>
          </w:tcPr>
          <w:p w14:paraId="17286972" w14:textId="77777777" w:rsidR="00271850" w:rsidRPr="00C24F78" w:rsidRDefault="00271850" w:rsidP="00F61E90">
            <w:pPr>
              <w:spacing w:after="0" w:line="240" w:lineRule="auto"/>
              <w:jc w:val="right"/>
              <w:rPr>
                <w:rFonts w:eastAsia="Times New Roman" w:cstheme="minorHAnsi"/>
                <w:i/>
                <w:sz w:val="18"/>
                <w:szCs w:val="18"/>
                <w:lang w:eastAsia="en-GB"/>
              </w:rPr>
            </w:pPr>
            <w:r w:rsidRPr="00C24F78">
              <w:rPr>
                <w:rFonts w:eastAsia="Times New Roman" w:cstheme="minorHAnsi"/>
                <w:i/>
                <w:sz w:val="18"/>
                <w:szCs w:val="18"/>
                <w:lang w:eastAsia="en-GB"/>
              </w:rPr>
              <w:t>23</w:t>
            </w:r>
            <w:r>
              <w:rPr>
                <w:rFonts w:eastAsia="Times New Roman" w:cstheme="minorHAnsi"/>
                <w:i/>
                <w:sz w:val="18"/>
                <w:szCs w:val="18"/>
                <w:lang w:eastAsia="en-GB"/>
              </w:rPr>
              <w:t>.</w:t>
            </w:r>
            <w:r w:rsidRPr="00C24F78">
              <w:rPr>
                <w:rFonts w:eastAsia="Times New Roman" w:cstheme="minorHAnsi"/>
                <w:i/>
                <w:sz w:val="18"/>
                <w:szCs w:val="18"/>
                <w:lang w:eastAsia="en-GB"/>
              </w:rPr>
              <w:t>1</w:t>
            </w:r>
          </w:p>
        </w:tc>
        <w:tc>
          <w:tcPr>
            <w:tcW w:w="0" w:type="auto"/>
            <w:vAlign w:val="center"/>
          </w:tcPr>
          <w:p w14:paraId="046206EB" w14:textId="77777777" w:rsidR="00271850" w:rsidRPr="00C24F78" w:rsidRDefault="00271850" w:rsidP="00F61E90">
            <w:pPr>
              <w:spacing w:after="0" w:line="240" w:lineRule="auto"/>
              <w:jc w:val="right"/>
              <w:rPr>
                <w:rFonts w:eastAsia="Times New Roman" w:cstheme="minorHAnsi"/>
                <w:sz w:val="18"/>
                <w:szCs w:val="18"/>
                <w:lang w:eastAsia="en-GB"/>
              </w:rPr>
            </w:pPr>
            <w:r w:rsidRPr="00C24F78">
              <w:rPr>
                <w:rFonts w:eastAsia="Times New Roman" w:cstheme="minorHAnsi"/>
                <w:sz w:val="18"/>
                <w:szCs w:val="18"/>
                <w:lang w:eastAsia="en-GB"/>
              </w:rPr>
              <w:t>126859</w:t>
            </w:r>
          </w:p>
        </w:tc>
        <w:tc>
          <w:tcPr>
            <w:tcW w:w="0" w:type="auto"/>
            <w:vAlign w:val="center"/>
          </w:tcPr>
          <w:p w14:paraId="3FB02A4E" w14:textId="77777777" w:rsidR="00271850" w:rsidRPr="00C24F78" w:rsidRDefault="00271850" w:rsidP="00F61E90">
            <w:pPr>
              <w:spacing w:after="0" w:line="240" w:lineRule="auto"/>
              <w:jc w:val="right"/>
              <w:rPr>
                <w:rFonts w:eastAsia="Times New Roman" w:cstheme="minorHAnsi"/>
                <w:i/>
                <w:sz w:val="18"/>
                <w:szCs w:val="18"/>
                <w:lang w:eastAsia="en-GB"/>
              </w:rPr>
            </w:pPr>
            <w:r w:rsidRPr="00C24F78">
              <w:rPr>
                <w:rFonts w:eastAsia="Times New Roman" w:cstheme="minorHAnsi"/>
                <w:i/>
                <w:sz w:val="18"/>
                <w:szCs w:val="18"/>
                <w:lang w:eastAsia="en-GB"/>
              </w:rPr>
              <w:t>23</w:t>
            </w:r>
            <w:r>
              <w:rPr>
                <w:rFonts w:eastAsia="Times New Roman" w:cstheme="minorHAnsi"/>
                <w:i/>
                <w:sz w:val="18"/>
                <w:szCs w:val="18"/>
                <w:lang w:eastAsia="en-GB"/>
              </w:rPr>
              <w:t>.</w:t>
            </w:r>
            <w:r w:rsidRPr="00C24F78">
              <w:rPr>
                <w:rFonts w:eastAsia="Times New Roman" w:cstheme="minorHAnsi"/>
                <w:i/>
                <w:sz w:val="18"/>
                <w:szCs w:val="18"/>
                <w:lang w:eastAsia="en-GB"/>
              </w:rPr>
              <w:t>6</w:t>
            </w:r>
          </w:p>
        </w:tc>
        <w:tc>
          <w:tcPr>
            <w:tcW w:w="0" w:type="auto"/>
            <w:vAlign w:val="center"/>
          </w:tcPr>
          <w:p w14:paraId="6453D05E" w14:textId="77777777" w:rsidR="00271850" w:rsidRPr="00C24F78" w:rsidRDefault="00271850" w:rsidP="00F61E90">
            <w:pPr>
              <w:spacing w:after="0" w:line="240" w:lineRule="auto"/>
              <w:jc w:val="right"/>
              <w:rPr>
                <w:rFonts w:eastAsia="Times New Roman" w:cstheme="minorHAnsi"/>
                <w:sz w:val="18"/>
                <w:szCs w:val="18"/>
                <w:lang w:eastAsia="en-GB"/>
              </w:rPr>
            </w:pPr>
            <w:r w:rsidRPr="00C24F78">
              <w:rPr>
                <w:rFonts w:eastAsia="Times New Roman" w:cstheme="minorHAnsi"/>
                <w:sz w:val="18"/>
                <w:szCs w:val="18"/>
                <w:lang w:eastAsia="en-GB"/>
              </w:rPr>
              <w:t>76556</w:t>
            </w:r>
          </w:p>
        </w:tc>
        <w:tc>
          <w:tcPr>
            <w:tcW w:w="0" w:type="auto"/>
            <w:vAlign w:val="center"/>
          </w:tcPr>
          <w:p w14:paraId="7E6DA4C6" w14:textId="77777777" w:rsidR="00271850" w:rsidRPr="00C24F78" w:rsidRDefault="00271850" w:rsidP="00F61E90">
            <w:pPr>
              <w:spacing w:after="0" w:line="240" w:lineRule="auto"/>
              <w:jc w:val="right"/>
              <w:rPr>
                <w:rFonts w:eastAsia="Times New Roman" w:cstheme="minorHAnsi"/>
                <w:i/>
                <w:sz w:val="18"/>
                <w:szCs w:val="18"/>
                <w:lang w:eastAsia="en-GB"/>
              </w:rPr>
            </w:pPr>
            <w:r w:rsidRPr="00C24F78">
              <w:rPr>
                <w:rFonts w:eastAsia="Times New Roman" w:cstheme="minorHAnsi"/>
                <w:i/>
                <w:sz w:val="18"/>
                <w:szCs w:val="18"/>
                <w:lang w:eastAsia="en-GB"/>
              </w:rPr>
              <w:t>22</w:t>
            </w:r>
            <w:r>
              <w:rPr>
                <w:rFonts w:eastAsia="Times New Roman" w:cstheme="minorHAnsi"/>
                <w:i/>
                <w:sz w:val="18"/>
                <w:szCs w:val="18"/>
                <w:lang w:eastAsia="en-GB"/>
              </w:rPr>
              <w:t>.</w:t>
            </w:r>
            <w:r w:rsidRPr="00C24F78">
              <w:rPr>
                <w:rFonts w:eastAsia="Times New Roman" w:cstheme="minorHAnsi"/>
                <w:i/>
                <w:sz w:val="18"/>
                <w:szCs w:val="18"/>
                <w:lang w:eastAsia="en-GB"/>
              </w:rPr>
              <w:t>3</w:t>
            </w:r>
          </w:p>
        </w:tc>
        <w:tc>
          <w:tcPr>
            <w:tcW w:w="0" w:type="auto"/>
            <w:vAlign w:val="center"/>
          </w:tcPr>
          <w:p w14:paraId="4F573F15" w14:textId="77777777" w:rsidR="00271850" w:rsidRPr="00C24F78" w:rsidRDefault="00271850" w:rsidP="00F61E90">
            <w:pPr>
              <w:spacing w:after="0" w:line="240" w:lineRule="auto"/>
              <w:jc w:val="right"/>
              <w:rPr>
                <w:rFonts w:eastAsia="Times New Roman" w:cstheme="minorHAnsi"/>
                <w:sz w:val="18"/>
                <w:szCs w:val="18"/>
                <w:lang w:eastAsia="en-GB"/>
              </w:rPr>
            </w:pPr>
          </w:p>
        </w:tc>
      </w:tr>
      <w:tr w:rsidR="00271850" w:rsidRPr="00C24F78" w14:paraId="7BF727BB" w14:textId="77777777" w:rsidTr="00F61E90">
        <w:trPr>
          <w:tblCellSpacing w:w="15" w:type="dxa"/>
          <w:jc w:val="center"/>
        </w:trPr>
        <w:tc>
          <w:tcPr>
            <w:tcW w:w="0" w:type="auto"/>
            <w:vAlign w:val="center"/>
          </w:tcPr>
          <w:p w14:paraId="073616F9" w14:textId="77777777" w:rsidR="00271850" w:rsidRPr="00C24F78" w:rsidRDefault="00271850" w:rsidP="00F61E90">
            <w:pPr>
              <w:spacing w:after="0" w:line="240" w:lineRule="auto"/>
              <w:rPr>
                <w:rFonts w:eastAsia="Times New Roman" w:cstheme="minorHAnsi"/>
                <w:sz w:val="18"/>
                <w:szCs w:val="18"/>
                <w:lang w:eastAsia="en-GB"/>
              </w:rPr>
            </w:pPr>
            <w:r w:rsidRPr="00C24F78">
              <w:rPr>
                <w:rFonts w:eastAsia="Times New Roman" w:cstheme="minorHAnsi"/>
                <w:sz w:val="18"/>
                <w:szCs w:val="18"/>
                <w:lang w:eastAsia="en-GB"/>
              </w:rPr>
              <w:t>T1D record</w:t>
            </w:r>
          </w:p>
        </w:tc>
        <w:tc>
          <w:tcPr>
            <w:tcW w:w="0" w:type="auto"/>
            <w:vAlign w:val="center"/>
          </w:tcPr>
          <w:p w14:paraId="411C1351" w14:textId="77777777" w:rsidR="00271850" w:rsidRPr="00C24F78" w:rsidRDefault="00271850" w:rsidP="00F61E90">
            <w:pPr>
              <w:spacing w:after="0" w:line="240" w:lineRule="auto"/>
              <w:rPr>
                <w:rFonts w:eastAsia="Times New Roman" w:cstheme="minorHAnsi"/>
                <w:sz w:val="18"/>
                <w:szCs w:val="18"/>
                <w:lang w:eastAsia="en-GB"/>
              </w:rPr>
            </w:pPr>
            <w:r w:rsidRPr="00C24F78">
              <w:rPr>
                <w:rFonts w:eastAsia="Times New Roman" w:cstheme="minorHAnsi"/>
                <w:sz w:val="18"/>
                <w:szCs w:val="18"/>
                <w:lang w:eastAsia="en-GB"/>
              </w:rPr>
              <w:t>No</w:t>
            </w:r>
          </w:p>
        </w:tc>
        <w:tc>
          <w:tcPr>
            <w:tcW w:w="0" w:type="auto"/>
            <w:vAlign w:val="center"/>
          </w:tcPr>
          <w:p w14:paraId="6D1DE17D" w14:textId="77777777" w:rsidR="00271850" w:rsidRPr="00C24F78" w:rsidRDefault="00271850" w:rsidP="00F61E90">
            <w:pPr>
              <w:spacing w:after="0" w:line="240" w:lineRule="auto"/>
              <w:jc w:val="right"/>
              <w:rPr>
                <w:rFonts w:eastAsia="Times New Roman" w:cstheme="minorHAnsi"/>
                <w:sz w:val="18"/>
                <w:szCs w:val="18"/>
                <w:lang w:eastAsia="en-GB"/>
              </w:rPr>
            </w:pPr>
            <w:r w:rsidRPr="00C24F78">
              <w:rPr>
                <w:rFonts w:eastAsia="Times New Roman" w:cstheme="minorHAnsi"/>
                <w:sz w:val="18"/>
                <w:szCs w:val="18"/>
                <w:lang w:eastAsia="en-GB"/>
              </w:rPr>
              <w:t>879896</w:t>
            </w:r>
          </w:p>
        </w:tc>
        <w:tc>
          <w:tcPr>
            <w:tcW w:w="0" w:type="auto"/>
          </w:tcPr>
          <w:p w14:paraId="2E607B29" w14:textId="77777777" w:rsidR="00271850" w:rsidRPr="00C24F78" w:rsidRDefault="00271850" w:rsidP="00F61E90">
            <w:pPr>
              <w:spacing w:after="0" w:line="240" w:lineRule="auto"/>
              <w:jc w:val="right"/>
              <w:rPr>
                <w:rFonts w:eastAsia="Times New Roman" w:cstheme="minorHAnsi"/>
                <w:i/>
                <w:sz w:val="18"/>
                <w:szCs w:val="18"/>
                <w:lang w:eastAsia="en-GB"/>
              </w:rPr>
            </w:pPr>
            <w:r w:rsidRPr="00C24F78">
              <w:rPr>
                <w:rFonts w:eastAsia="Times New Roman" w:cstheme="minorHAnsi"/>
                <w:i/>
                <w:sz w:val="18"/>
                <w:szCs w:val="18"/>
                <w:lang w:eastAsia="en-GB"/>
              </w:rPr>
              <w:t>99</w:t>
            </w:r>
            <w:r>
              <w:rPr>
                <w:rFonts w:eastAsia="Times New Roman" w:cstheme="minorHAnsi"/>
                <w:i/>
                <w:sz w:val="18"/>
                <w:szCs w:val="18"/>
                <w:lang w:eastAsia="en-GB"/>
              </w:rPr>
              <w:t>.</w:t>
            </w:r>
            <w:r w:rsidRPr="00C24F78">
              <w:rPr>
                <w:rFonts w:eastAsia="Times New Roman" w:cstheme="minorHAnsi"/>
                <w:i/>
                <w:sz w:val="18"/>
                <w:szCs w:val="18"/>
                <w:lang w:eastAsia="en-GB"/>
              </w:rPr>
              <w:t>9</w:t>
            </w:r>
          </w:p>
        </w:tc>
        <w:tc>
          <w:tcPr>
            <w:tcW w:w="0" w:type="auto"/>
            <w:vAlign w:val="center"/>
          </w:tcPr>
          <w:p w14:paraId="4661AC63" w14:textId="77777777" w:rsidR="00271850" w:rsidRPr="00C24F78" w:rsidRDefault="00271850" w:rsidP="00F61E90">
            <w:pPr>
              <w:spacing w:after="0" w:line="240" w:lineRule="auto"/>
              <w:jc w:val="right"/>
              <w:rPr>
                <w:rFonts w:eastAsia="Times New Roman" w:cstheme="minorHAnsi"/>
                <w:sz w:val="18"/>
                <w:szCs w:val="18"/>
                <w:lang w:eastAsia="en-GB"/>
              </w:rPr>
            </w:pPr>
            <w:r w:rsidRPr="00C24F78">
              <w:rPr>
                <w:rFonts w:eastAsia="Times New Roman" w:cstheme="minorHAnsi"/>
                <w:sz w:val="18"/>
                <w:szCs w:val="18"/>
                <w:lang w:eastAsia="en-GB"/>
              </w:rPr>
              <w:t>537027</w:t>
            </w:r>
          </w:p>
        </w:tc>
        <w:tc>
          <w:tcPr>
            <w:tcW w:w="0" w:type="auto"/>
            <w:vAlign w:val="center"/>
          </w:tcPr>
          <w:p w14:paraId="2C1F194C" w14:textId="77777777" w:rsidR="00271850" w:rsidRPr="00C24F78" w:rsidRDefault="00271850" w:rsidP="00F61E90">
            <w:pPr>
              <w:spacing w:after="0" w:line="240" w:lineRule="auto"/>
              <w:jc w:val="right"/>
              <w:rPr>
                <w:rFonts w:eastAsia="Times New Roman" w:cstheme="minorHAnsi"/>
                <w:i/>
                <w:sz w:val="18"/>
                <w:szCs w:val="18"/>
                <w:lang w:eastAsia="en-GB"/>
              </w:rPr>
            </w:pPr>
            <w:r w:rsidRPr="00C24F78">
              <w:rPr>
                <w:rFonts w:eastAsia="Times New Roman" w:cstheme="minorHAnsi"/>
                <w:i/>
                <w:sz w:val="18"/>
                <w:szCs w:val="18"/>
                <w:lang w:eastAsia="en-GB"/>
              </w:rPr>
              <w:t>99</w:t>
            </w:r>
            <w:r>
              <w:rPr>
                <w:rFonts w:eastAsia="Times New Roman" w:cstheme="minorHAnsi"/>
                <w:i/>
                <w:sz w:val="18"/>
                <w:szCs w:val="18"/>
                <w:lang w:eastAsia="en-GB"/>
              </w:rPr>
              <w:t>.</w:t>
            </w:r>
            <w:r w:rsidRPr="00C24F78">
              <w:rPr>
                <w:rFonts w:eastAsia="Times New Roman" w:cstheme="minorHAnsi"/>
                <w:i/>
                <w:sz w:val="18"/>
                <w:szCs w:val="18"/>
                <w:lang w:eastAsia="en-GB"/>
              </w:rPr>
              <w:t>9</w:t>
            </w:r>
          </w:p>
        </w:tc>
        <w:tc>
          <w:tcPr>
            <w:tcW w:w="0" w:type="auto"/>
            <w:vAlign w:val="center"/>
          </w:tcPr>
          <w:p w14:paraId="401A4F74" w14:textId="77777777" w:rsidR="00271850" w:rsidRPr="00C24F78" w:rsidRDefault="00271850" w:rsidP="00F61E90">
            <w:pPr>
              <w:spacing w:after="0" w:line="240" w:lineRule="auto"/>
              <w:jc w:val="right"/>
              <w:rPr>
                <w:rFonts w:eastAsia="Times New Roman" w:cstheme="minorHAnsi"/>
                <w:sz w:val="18"/>
                <w:szCs w:val="18"/>
                <w:lang w:eastAsia="en-GB"/>
              </w:rPr>
            </w:pPr>
            <w:r w:rsidRPr="00C24F78">
              <w:rPr>
                <w:rFonts w:eastAsia="Times New Roman" w:cstheme="minorHAnsi"/>
                <w:sz w:val="18"/>
                <w:szCs w:val="18"/>
                <w:lang w:eastAsia="en-GB"/>
              </w:rPr>
              <w:t>342869</w:t>
            </w:r>
          </w:p>
        </w:tc>
        <w:tc>
          <w:tcPr>
            <w:tcW w:w="0" w:type="auto"/>
            <w:vAlign w:val="center"/>
          </w:tcPr>
          <w:p w14:paraId="4C66DC9F" w14:textId="77777777" w:rsidR="00271850" w:rsidRPr="00C24F78" w:rsidRDefault="00271850" w:rsidP="00F61E90">
            <w:pPr>
              <w:spacing w:after="0" w:line="240" w:lineRule="auto"/>
              <w:jc w:val="right"/>
              <w:rPr>
                <w:rFonts w:eastAsia="Times New Roman" w:cstheme="minorHAnsi"/>
                <w:i/>
                <w:sz w:val="18"/>
                <w:szCs w:val="18"/>
                <w:lang w:eastAsia="en-GB"/>
              </w:rPr>
            </w:pPr>
            <w:r w:rsidRPr="00C24F78">
              <w:rPr>
                <w:rFonts w:eastAsia="Times New Roman" w:cstheme="minorHAnsi"/>
                <w:i/>
                <w:sz w:val="18"/>
                <w:szCs w:val="18"/>
                <w:lang w:eastAsia="en-GB"/>
              </w:rPr>
              <w:t>99</w:t>
            </w:r>
            <w:r>
              <w:rPr>
                <w:rFonts w:eastAsia="Times New Roman" w:cstheme="minorHAnsi"/>
                <w:i/>
                <w:sz w:val="18"/>
                <w:szCs w:val="18"/>
                <w:lang w:eastAsia="en-GB"/>
              </w:rPr>
              <w:t>.</w:t>
            </w:r>
            <w:r w:rsidRPr="00C24F78">
              <w:rPr>
                <w:rFonts w:eastAsia="Times New Roman" w:cstheme="minorHAnsi"/>
                <w:i/>
                <w:sz w:val="18"/>
                <w:szCs w:val="18"/>
                <w:lang w:eastAsia="en-GB"/>
              </w:rPr>
              <w:t>9</w:t>
            </w:r>
          </w:p>
        </w:tc>
        <w:tc>
          <w:tcPr>
            <w:tcW w:w="0" w:type="auto"/>
            <w:vAlign w:val="center"/>
          </w:tcPr>
          <w:p w14:paraId="212AA48B" w14:textId="77777777" w:rsidR="00271850" w:rsidRPr="00C24F78" w:rsidRDefault="00271850" w:rsidP="00F61E90">
            <w:pPr>
              <w:spacing w:after="0" w:line="240" w:lineRule="auto"/>
              <w:jc w:val="right"/>
              <w:rPr>
                <w:rFonts w:eastAsia="Times New Roman" w:cstheme="minorHAnsi"/>
                <w:sz w:val="18"/>
                <w:szCs w:val="18"/>
                <w:lang w:eastAsia="en-GB"/>
              </w:rPr>
            </w:pPr>
            <w:r w:rsidRPr="00C24F78">
              <w:rPr>
                <w:rFonts w:eastAsia="Times New Roman" w:cstheme="minorHAnsi"/>
                <w:sz w:val="18"/>
                <w:szCs w:val="18"/>
                <w:lang w:eastAsia="en-GB"/>
              </w:rPr>
              <w:t>0</w:t>
            </w:r>
            <w:r>
              <w:rPr>
                <w:rFonts w:eastAsia="Times New Roman" w:cstheme="minorHAnsi"/>
                <w:sz w:val="18"/>
                <w:szCs w:val="18"/>
                <w:lang w:eastAsia="en-GB"/>
              </w:rPr>
              <w:t>.</w:t>
            </w:r>
            <w:r w:rsidRPr="00C24F78">
              <w:rPr>
                <w:rFonts w:eastAsia="Times New Roman" w:cstheme="minorHAnsi"/>
                <w:sz w:val="18"/>
                <w:szCs w:val="18"/>
                <w:lang w:eastAsia="en-GB"/>
              </w:rPr>
              <w:t>001</w:t>
            </w:r>
          </w:p>
        </w:tc>
      </w:tr>
      <w:tr w:rsidR="00271850" w:rsidRPr="00C24F78" w14:paraId="7869FAE7" w14:textId="77777777" w:rsidTr="00F61E90">
        <w:trPr>
          <w:tblCellSpacing w:w="15" w:type="dxa"/>
          <w:jc w:val="center"/>
        </w:trPr>
        <w:tc>
          <w:tcPr>
            <w:tcW w:w="0" w:type="auto"/>
            <w:vAlign w:val="center"/>
          </w:tcPr>
          <w:p w14:paraId="53BC3CD3" w14:textId="77777777" w:rsidR="00271850" w:rsidRPr="00C24F78" w:rsidRDefault="00271850" w:rsidP="00F61E90">
            <w:pPr>
              <w:spacing w:after="0" w:line="240" w:lineRule="auto"/>
              <w:rPr>
                <w:rFonts w:eastAsia="Times New Roman" w:cstheme="minorHAnsi"/>
                <w:sz w:val="18"/>
                <w:szCs w:val="18"/>
                <w:lang w:eastAsia="en-GB"/>
              </w:rPr>
            </w:pPr>
          </w:p>
        </w:tc>
        <w:tc>
          <w:tcPr>
            <w:tcW w:w="0" w:type="auto"/>
            <w:vAlign w:val="center"/>
          </w:tcPr>
          <w:p w14:paraId="77764949" w14:textId="77777777" w:rsidR="00271850" w:rsidRPr="00C24F78" w:rsidRDefault="00271850" w:rsidP="00F61E90">
            <w:pPr>
              <w:spacing w:after="0" w:line="240" w:lineRule="auto"/>
              <w:rPr>
                <w:rFonts w:eastAsia="Times New Roman" w:cstheme="minorHAnsi"/>
                <w:sz w:val="18"/>
                <w:szCs w:val="18"/>
                <w:lang w:eastAsia="en-GB"/>
              </w:rPr>
            </w:pPr>
            <w:r w:rsidRPr="00C24F78">
              <w:rPr>
                <w:rFonts w:eastAsia="Times New Roman" w:cstheme="minorHAnsi"/>
                <w:sz w:val="18"/>
                <w:szCs w:val="18"/>
                <w:lang w:eastAsia="en-GB"/>
              </w:rPr>
              <w:t>Yes</w:t>
            </w:r>
          </w:p>
        </w:tc>
        <w:tc>
          <w:tcPr>
            <w:tcW w:w="0" w:type="auto"/>
            <w:vAlign w:val="center"/>
          </w:tcPr>
          <w:p w14:paraId="0FE65F2C" w14:textId="77777777" w:rsidR="00271850" w:rsidRPr="00C24F78" w:rsidRDefault="00271850" w:rsidP="00F61E90">
            <w:pPr>
              <w:spacing w:after="0" w:line="240" w:lineRule="auto"/>
              <w:jc w:val="right"/>
              <w:rPr>
                <w:rFonts w:eastAsia="Times New Roman" w:cstheme="minorHAnsi"/>
                <w:sz w:val="18"/>
                <w:szCs w:val="18"/>
                <w:lang w:eastAsia="en-GB"/>
              </w:rPr>
            </w:pPr>
            <w:r w:rsidRPr="00C24F78">
              <w:rPr>
                <w:rFonts w:eastAsia="Times New Roman" w:cstheme="minorHAnsi"/>
                <w:sz w:val="18"/>
                <w:szCs w:val="18"/>
                <w:lang w:eastAsia="en-GB"/>
              </w:rPr>
              <w:t>733</w:t>
            </w:r>
          </w:p>
        </w:tc>
        <w:tc>
          <w:tcPr>
            <w:tcW w:w="0" w:type="auto"/>
          </w:tcPr>
          <w:p w14:paraId="13DDD2F5" w14:textId="77777777" w:rsidR="00271850" w:rsidRPr="00C24F78" w:rsidRDefault="00271850" w:rsidP="00F61E90">
            <w:pPr>
              <w:spacing w:after="0" w:line="240" w:lineRule="auto"/>
              <w:jc w:val="right"/>
              <w:rPr>
                <w:rFonts w:eastAsia="Times New Roman" w:cstheme="minorHAnsi"/>
                <w:i/>
                <w:sz w:val="18"/>
                <w:szCs w:val="18"/>
                <w:lang w:eastAsia="en-GB"/>
              </w:rPr>
            </w:pPr>
            <w:r w:rsidRPr="00C24F78">
              <w:rPr>
                <w:rFonts w:eastAsia="Times New Roman" w:cstheme="minorHAnsi"/>
                <w:i/>
                <w:sz w:val="18"/>
                <w:szCs w:val="18"/>
                <w:lang w:eastAsia="en-GB"/>
              </w:rPr>
              <w:t>0</w:t>
            </w:r>
            <w:r>
              <w:rPr>
                <w:rFonts w:eastAsia="Times New Roman" w:cstheme="minorHAnsi"/>
                <w:i/>
                <w:sz w:val="18"/>
                <w:szCs w:val="18"/>
                <w:lang w:eastAsia="en-GB"/>
              </w:rPr>
              <w:t>.</w:t>
            </w:r>
            <w:r w:rsidRPr="00C24F78">
              <w:rPr>
                <w:rFonts w:eastAsia="Times New Roman" w:cstheme="minorHAnsi"/>
                <w:i/>
                <w:sz w:val="18"/>
                <w:szCs w:val="18"/>
                <w:lang w:eastAsia="en-GB"/>
              </w:rPr>
              <w:t>1</w:t>
            </w:r>
          </w:p>
        </w:tc>
        <w:tc>
          <w:tcPr>
            <w:tcW w:w="0" w:type="auto"/>
            <w:vAlign w:val="center"/>
          </w:tcPr>
          <w:p w14:paraId="3FF2CEC8" w14:textId="77777777" w:rsidR="00271850" w:rsidRPr="00C24F78" w:rsidRDefault="00271850" w:rsidP="00F61E90">
            <w:pPr>
              <w:spacing w:after="0" w:line="240" w:lineRule="auto"/>
              <w:jc w:val="right"/>
              <w:rPr>
                <w:rFonts w:eastAsia="Times New Roman" w:cstheme="minorHAnsi"/>
                <w:sz w:val="18"/>
                <w:szCs w:val="18"/>
                <w:lang w:eastAsia="en-GB"/>
              </w:rPr>
            </w:pPr>
            <w:r w:rsidRPr="00C24F78">
              <w:rPr>
                <w:rFonts w:eastAsia="Times New Roman" w:cstheme="minorHAnsi"/>
                <w:sz w:val="18"/>
                <w:szCs w:val="18"/>
                <w:lang w:eastAsia="en-GB"/>
              </w:rPr>
              <w:t>493</w:t>
            </w:r>
          </w:p>
        </w:tc>
        <w:tc>
          <w:tcPr>
            <w:tcW w:w="0" w:type="auto"/>
            <w:vAlign w:val="center"/>
          </w:tcPr>
          <w:p w14:paraId="60F396F6" w14:textId="77777777" w:rsidR="00271850" w:rsidRPr="00C24F78" w:rsidRDefault="00271850" w:rsidP="00F61E90">
            <w:pPr>
              <w:spacing w:after="0" w:line="240" w:lineRule="auto"/>
              <w:jc w:val="right"/>
              <w:rPr>
                <w:rFonts w:eastAsia="Times New Roman" w:cstheme="minorHAnsi"/>
                <w:i/>
                <w:sz w:val="18"/>
                <w:szCs w:val="18"/>
                <w:lang w:eastAsia="en-GB"/>
              </w:rPr>
            </w:pPr>
            <w:r w:rsidRPr="00C24F78">
              <w:rPr>
                <w:rFonts w:eastAsia="Times New Roman" w:cstheme="minorHAnsi"/>
                <w:i/>
                <w:sz w:val="18"/>
                <w:szCs w:val="18"/>
                <w:lang w:eastAsia="en-GB"/>
              </w:rPr>
              <w:t>0</w:t>
            </w:r>
            <w:r>
              <w:rPr>
                <w:rFonts w:eastAsia="Times New Roman" w:cstheme="minorHAnsi"/>
                <w:i/>
                <w:sz w:val="18"/>
                <w:szCs w:val="18"/>
                <w:lang w:eastAsia="en-GB"/>
              </w:rPr>
              <w:t>.</w:t>
            </w:r>
            <w:r w:rsidRPr="00C24F78">
              <w:rPr>
                <w:rFonts w:eastAsia="Times New Roman" w:cstheme="minorHAnsi"/>
                <w:i/>
                <w:sz w:val="18"/>
                <w:szCs w:val="18"/>
                <w:lang w:eastAsia="en-GB"/>
              </w:rPr>
              <w:t>1</w:t>
            </w:r>
          </w:p>
        </w:tc>
        <w:tc>
          <w:tcPr>
            <w:tcW w:w="0" w:type="auto"/>
            <w:vAlign w:val="center"/>
          </w:tcPr>
          <w:p w14:paraId="7BF34011" w14:textId="77777777" w:rsidR="00271850" w:rsidRPr="00C24F78" w:rsidRDefault="00271850" w:rsidP="00F61E90">
            <w:pPr>
              <w:spacing w:after="0" w:line="240" w:lineRule="auto"/>
              <w:jc w:val="right"/>
              <w:rPr>
                <w:rFonts w:eastAsia="Times New Roman" w:cstheme="minorHAnsi"/>
                <w:sz w:val="18"/>
                <w:szCs w:val="18"/>
                <w:lang w:eastAsia="en-GB"/>
              </w:rPr>
            </w:pPr>
            <w:r w:rsidRPr="00C24F78">
              <w:rPr>
                <w:rFonts w:eastAsia="Times New Roman" w:cstheme="minorHAnsi"/>
                <w:sz w:val="18"/>
                <w:szCs w:val="18"/>
                <w:lang w:eastAsia="en-GB"/>
              </w:rPr>
              <w:t>240</w:t>
            </w:r>
          </w:p>
        </w:tc>
        <w:tc>
          <w:tcPr>
            <w:tcW w:w="0" w:type="auto"/>
            <w:vAlign w:val="center"/>
          </w:tcPr>
          <w:p w14:paraId="3DEDD12D" w14:textId="77777777" w:rsidR="00271850" w:rsidRPr="00C24F78" w:rsidRDefault="00271850" w:rsidP="00F61E90">
            <w:pPr>
              <w:spacing w:after="0" w:line="240" w:lineRule="auto"/>
              <w:jc w:val="right"/>
              <w:rPr>
                <w:rFonts w:eastAsia="Times New Roman" w:cstheme="minorHAnsi"/>
                <w:i/>
                <w:sz w:val="18"/>
                <w:szCs w:val="18"/>
                <w:lang w:eastAsia="en-GB"/>
              </w:rPr>
            </w:pPr>
            <w:r w:rsidRPr="00C24F78">
              <w:rPr>
                <w:rFonts w:eastAsia="Times New Roman" w:cstheme="minorHAnsi"/>
                <w:i/>
                <w:sz w:val="18"/>
                <w:szCs w:val="18"/>
                <w:lang w:eastAsia="en-GB"/>
              </w:rPr>
              <w:t>0</w:t>
            </w:r>
            <w:r>
              <w:rPr>
                <w:rFonts w:eastAsia="Times New Roman" w:cstheme="minorHAnsi"/>
                <w:i/>
                <w:sz w:val="18"/>
                <w:szCs w:val="18"/>
                <w:lang w:eastAsia="en-GB"/>
              </w:rPr>
              <w:t>.</w:t>
            </w:r>
            <w:r w:rsidRPr="00C24F78">
              <w:rPr>
                <w:rFonts w:eastAsia="Times New Roman" w:cstheme="minorHAnsi"/>
                <w:i/>
                <w:sz w:val="18"/>
                <w:szCs w:val="18"/>
                <w:lang w:eastAsia="en-GB"/>
              </w:rPr>
              <w:t>1</w:t>
            </w:r>
          </w:p>
        </w:tc>
        <w:tc>
          <w:tcPr>
            <w:tcW w:w="0" w:type="auto"/>
            <w:vAlign w:val="center"/>
          </w:tcPr>
          <w:p w14:paraId="677E6EB5" w14:textId="77777777" w:rsidR="00271850" w:rsidRPr="00C24F78" w:rsidRDefault="00271850" w:rsidP="00F61E90">
            <w:pPr>
              <w:spacing w:after="0" w:line="240" w:lineRule="auto"/>
              <w:jc w:val="right"/>
              <w:rPr>
                <w:rFonts w:eastAsia="Times New Roman" w:cstheme="minorHAnsi"/>
                <w:sz w:val="18"/>
                <w:szCs w:val="18"/>
                <w:lang w:eastAsia="en-GB"/>
              </w:rPr>
            </w:pPr>
          </w:p>
        </w:tc>
      </w:tr>
      <w:tr w:rsidR="00271850" w:rsidRPr="00C24F78" w14:paraId="38D080D0" w14:textId="77777777" w:rsidTr="00F61E90">
        <w:trPr>
          <w:tblCellSpacing w:w="15" w:type="dxa"/>
          <w:jc w:val="center"/>
        </w:trPr>
        <w:tc>
          <w:tcPr>
            <w:tcW w:w="0" w:type="auto"/>
            <w:vAlign w:val="center"/>
            <w:hideMark/>
          </w:tcPr>
          <w:p w14:paraId="14CB785E" w14:textId="77777777" w:rsidR="00271850" w:rsidRPr="00C24F78" w:rsidRDefault="00271850" w:rsidP="00F61E90">
            <w:pPr>
              <w:spacing w:after="0" w:line="240" w:lineRule="auto"/>
              <w:rPr>
                <w:rFonts w:eastAsia="Times New Roman" w:cstheme="minorHAnsi"/>
                <w:sz w:val="18"/>
                <w:szCs w:val="18"/>
                <w:lang w:eastAsia="en-GB"/>
              </w:rPr>
            </w:pPr>
            <w:r w:rsidRPr="00C24F78">
              <w:rPr>
                <w:rFonts w:eastAsia="Times New Roman" w:cstheme="minorHAnsi"/>
                <w:sz w:val="18"/>
                <w:szCs w:val="18"/>
                <w:lang w:eastAsia="en-GB"/>
              </w:rPr>
              <w:t>CD record</w:t>
            </w:r>
          </w:p>
        </w:tc>
        <w:tc>
          <w:tcPr>
            <w:tcW w:w="0" w:type="auto"/>
            <w:vAlign w:val="center"/>
            <w:hideMark/>
          </w:tcPr>
          <w:p w14:paraId="5CD558C8" w14:textId="77777777" w:rsidR="00271850" w:rsidRPr="00C24F78" w:rsidRDefault="00271850" w:rsidP="00F61E90">
            <w:pPr>
              <w:spacing w:after="0" w:line="240" w:lineRule="auto"/>
              <w:rPr>
                <w:rFonts w:eastAsia="Times New Roman" w:cstheme="minorHAnsi"/>
                <w:sz w:val="18"/>
                <w:szCs w:val="18"/>
                <w:lang w:eastAsia="en-GB"/>
              </w:rPr>
            </w:pPr>
            <w:r w:rsidRPr="00C24F78">
              <w:rPr>
                <w:rFonts w:eastAsia="Times New Roman" w:cstheme="minorHAnsi"/>
                <w:sz w:val="18"/>
                <w:szCs w:val="18"/>
                <w:lang w:eastAsia="en-GB"/>
              </w:rPr>
              <w:t>No</w:t>
            </w:r>
          </w:p>
        </w:tc>
        <w:tc>
          <w:tcPr>
            <w:tcW w:w="0" w:type="auto"/>
            <w:vAlign w:val="center"/>
          </w:tcPr>
          <w:p w14:paraId="7FBBD80E" w14:textId="77777777" w:rsidR="00271850" w:rsidRPr="00C24F78" w:rsidRDefault="00271850" w:rsidP="00F61E90">
            <w:pPr>
              <w:spacing w:after="0" w:line="240" w:lineRule="auto"/>
              <w:jc w:val="right"/>
              <w:rPr>
                <w:rFonts w:eastAsia="Times New Roman" w:cstheme="minorHAnsi"/>
                <w:sz w:val="18"/>
                <w:szCs w:val="18"/>
                <w:lang w:eastAsia="en-GB"/>
              </w:rPr>
            </w:pPr>
            <w:r w:rsidRPr="00C24F78">
              <w:rPr>
                <w:rFonts w:eastAsia="Times New Roman" w:cstheme="minorHAnsi"/>
                <w:sz w:val="18"/>
                <w:szCs w:val="18"/>
                <w:lang w:eastAsia="en-GB"/>
              </w:rPr>
              <w:t>878972</w:t>
            </w:r>
          </w:p>
        </w:tc>
        <w:tc>
          <w:tcPr>
            <w:tcW w:w="0" w:type="auto"/>
          </w:tcPr>
          <w:p w14:paraId="645C8466" w14:textId="77777777" w:rsidR="00271850" w:rsidRPr="00C24F78" w:rsidRDefault="00271850" w:rsidP="00F61E90">
            <w:pPr>
              <w:spacing w:after="0" w:line="240" w:lineRule="auto"/>
              <w:jc w:val="right"/>
              <w:rPr>
                <w:rFonts w:eastAsia="Times New Roman" w:cstheme="minorHAnsi"/>
                <w:i/>
                <w:sz w:val="18"/>
                <w:szCs w:val="18"/>
                <w:lang w:eastAsia="en-GB"/>
              </w:rPr>
            </w:pPr>
            <w:r w:rsidRPr="00C24F78">
              <w:rPr>
                <w:rFonts w:eastAsia="Times New Roman" w:cstheme="minorHAnsi"/>
                <w:i/>
                <w:sz w:val="18"/>
                <w:szCs w:val="18"/>
                <w:lang w:eastAsia="en-GB"/>
              </w:rPr>
              <w:t>99</w:t>
            </w:r>
            <w:r>
              <w:rPr>
                <w:rFonts w:eastAsia="Times New Roman" w:cstheme="minorHAnsi"/>
                <w:i/>
                <w:sz w:val="18"/>
                <w:szCs w:val="18"/>
                <w:lang w:eastAsia="en-GB"/>
              </w:rPr>
              <w:t>.</w:t>
            </w:r>
            <w:r w:rsidRPr="00C24F78">
              <w:rPr>
                <w:rFonts w:eastAsia="Times New Roman" w:cstheme="minorHAnsi"/>
                <w:i/>
                <w:sz w:val="18"/>
                <w:szCs w:val="18"/>
                <w:lang w:eastAsia="en-GB"/>
              </w:rPr>
              <w:t>8</w:t>
            </w:r>
          </w:p>
        </w:tc>
        <w:tc>
          <w:tcPr>
            <w:tcW w:w="0" w:type="auto"/>
            <w:vAlign w:val="center"/>
          </w:tcPr>
          <w:p w14:paraId="4C502BE0" w14:textId="77777777" w:rsidR="00271850" w:rsidRPr="00C24F78" w:rsidRDefault="00271850" w:rsidP="00F61E90">
            <w:pPr>
              <w:spacing w:after="0" w:line="240" w:lineRule="auto"/>
              <w:jc w:val="right"/>
              <w:rPr>
                <w:rFonts w:eastAsia="Times New Roman" w:cstheme="minorHAnsi"/>
                <w:sz w:val="18"/>
                <w:szCs w:val="18"/>
                <w:lang w:eastAsia="en-GB"/>
              </w:rPr>
            </w:pPr>
            <w:r w:rsidRPr="00C24F78">
              <w:rPr>
                <w:rFonts w:eastAsia="Times New Roman" w:cstheme="minorHAnsi"/>
                <w:sz w:val="18"/>
                <w:szCs w:val="18"/>
                <w:lang w:eastAsia="en-GB"/>
              </w:rPr>
              <w:t>536380</w:t>
            </w:r>
          </w:p>
        </w:tc>
        <w:tc>
          <w:tcPr>
            <w:tcW w:w="0" w:type="auto"/>
            <w:vAlign w:val="center"/>
          </w:tcPr>
          <w:p w14:paraId="3AAFFCA7" w14:textId="77777777" w:rsidR="00271850" w:rsidRPr="00C24F78" w:rsidRDefault="00271850" w:rsidP="00F61E90">
            <w:pPr>
              <w:spacing w:after="0" w:line="240" w:lineRule="auto"/>
              <w:jc w:val="right"/>
              <w:rPr>
                <w:rFonts w:eastAsia="Times New Roman" w:cstheme="minorHAnsi"/>
                <w:i/>
                <w:sz w:val="18"/>
                <w:szCs w:val="18"/>
                <w:lang w:eastAsia="en-GB"/>
              </w:rPr>
            </w:pPr>
            <w:r w:rsidRPr="00C24F78">
              <w:rPr>
                <w:rFonts w:eastAsia="Times New Roman" w:cstheme="minorHAnsi"/>
                <w:i/>
                <w:sz w:val="18"/>
                <w:szCs w:val="18"/>
                <w:lang w:eastAsia="en-GB"/>
              </w:rPr>
              <w:t>99</w:t>
            </w:r>
            <w:r>
              <w:rPr>
                <w:rFonts w:eastAsia="Times New Roman" w:cstheme="minorHAnsi"/>
                <w:i/>
                <w:sz w:val="18"/>
                <w:szCs w:val="18"/>
                <w:lang w:eastAsia="en-GB"/>
              </w:rPr>
              <w:t>.</w:t>
            </w:r>
            <w:r w:rsidRPr="00C24F78">
              <w:rPr>
                <w:rFonts w:eastAsia="Times New Roman" w:cstheme="minorHAnsi"/>
                <w:i/>
                <w:sz w:val="18"/>
                <w:szCs w:val="18"/>
                <w:lang w:eastAsia="en-GB"/>
              </w:rPr>
              <w:t>9</w:t>
            </w:r>
          </w:p>
        </w:tc>
        <w:tc>
          <w:tcPr>
            <w:tcW w:w="0" w:type="auto"/>
            <w:vAlign w:val="center"/>
          </w:tcPr>
          <w:p w14:paraId="0C7C6910" w14:textId="77777777" w:rsidR="00271850" w:rsidRPr="00C24F78" w:rsidRDefault="00271850" w:rsidP="00F61E90">
            <w:pPr>
              <w:spacing w:after="0" w:line="240" w:lineRule="auto"/>
              <w:jc w:val="right"/>
              <w:rPr>
                <w:rFonts w:eastAsia="Times New Roman" w:cstheme="minorHAnsi"/>
                <w:sz w:val="18"/>
                <w:szCs w:val="18"/>
                <w:lang w:eastAsia="en-GB"/>
              </w:rPr>
            </w:pPr>
            <w:r w:rsidRPr="00C24F78">
              <w:rPr>
                <w:rFonts w:eastAsia="Times New Roman" w:cstheme="minorHAnsi"/>
                <w:sz w:val="18"/>
                <w:szCs w:val="18"/>
                <w:lang w:eastAsia="en-GB"/>
              </w:rPr>
              <w:t>342592</w:t>
            </w:r>
          </w:p>
        </w:tc>
        <w:tc>
          <w:tcPr>
            <w:tcW w:w="0" w:type="auto"/>
            <w:vAlign w:val="center"/>
          </w:tcPr>
          <w:p w14:paraId="1BD74EDA" w14:textId="77777777" w:rsidR="00271850" w:rsidRPr="00C24F78" w:rsidRDefault="00271850" w:rsidP="00F61E90">
            <w:pPr>
              <w:spacing w:after="0" w:line="240" w:lineRule="auto"/>
              <w:jc w:val="right"/>
              <w:rPr>
                <w:rFonts w:eastAsia="Times New Roman" w:cstheme="minorHAnsi"/>
                <w:i/>
                <w:sz w:val="18"/>
                <w:szCs w:val="18"/>
                <w:lang w:eastAsia="en-GB"/>
              </w:rPr>
            </w:pPr>
            <w:r w:rsidRPr="00C24F78">
              <w:rPr>
                <w:rFonts w:eastAsia="Times New Roman" w:cstheme="minorHAnsi"/>
                <w:i/>
                <w:sz w:val="18"/>
                <w:szCs w:val="18"/>
                <w:lang w:eastAsia="en-GB"/>
              </w:rPr>
              <w:t>99</w:t>
            </w:r>
            <w:r>
              <w:rPr>
                <w:rFonts w:eastAsia="Times New Roman" w:cstheme="minorHAnsi"/>
                <w:i/>
                <w:sz w:val="18"/>
                <w:szCs w:val="18"/>
                <w:lang w:eastAsia="en-GB"/>
              </w:rPr>
              <w:t>.</w:t>
            </w:r>
            <w:r w:rsidRPr="00C24F78">
              <w:rPr>
                <w:rFonts w:eastAsia="Times New Roman" w:cstheme="minorHAnsi"/>
                <w:i/>
                <w:sz w:val="18"/>
                <w:szCs w:val="18"/>
                <w:lang w:eastAsia="en-GB"/>
              </w:rPr>
              <w:t>9</w:t>
            </w:r>
          </w:p>
        </w:tc>
        <w:tc>
          <w:tcPr>
            <w:tcW w:w="0" w:type="auto"/>
            <w:vAlign w:val="center"/>
          </w:tcPr>
          <w:p w14:paraId="2DF8B1FA" w14:textId="77777777" w:rsidR="00271850" w:rsidRPr="00C24F78" w:rsidRDefault="00271850" w:rsidP="00F61E90">
            <w:pPr>
              <w:spacing w:after="0" w:line="240" w:lineRule="auto"/>
              <w:jc w:val="right"/>
              <w:rPr>
                <w:rFonts w:eastAsia="Times New Roman" w:cstheme="minorHAnsi"/>
                <w:sz w:val="18"/>
                <w:szCs w:val="18"/>
                <w:lang w:eastAsia="en-GB"/>
              </w:rPr>
            </w:pPr>
            <w:r w:rsidRPr="00C24F78">
              <w:rPr>
                <w:rFonts w:eastAsia="Times New Roman" w:cstheme="minorHAnsi"/>
                <w:sz w:val="18"/>
                <w:szCs w:val="18"/>
                <w:lang w:eastAsia="en-GB"/>
              </w:rPr>
              <w:t>&lt;0</w:t>
            </w:r>
            <w:r>
              <w:rPr>
                <w:rFonts w:eastAsia="Times New Roman" w:cstheme="minorHAnsi"/>
                <w:sz w:val="18"/>
                <w:szCs w:val="18"/>
                <w:lang w:eastAsia="en-GB"/>
              </w:rPr>
              <w:t>.</w:t>
            </w:r>
            <w:r w:rsidRPr="00C24F78">
              <w:rPr>
                <w:rFonts w:eastAsia="Times New Roman" w:cstheme="minorHAnsi"/>
                <w:sz w:val="18"/>
                <w:szCs w:val="18"/>
                <w:lang w:eastAsia="en-GB"/>
              </w:rPr>
              <w:t>001</w:t>
            </w:r>
          </w:p>
        </w:tc>
      </w:tr>
      <w:tr w:rsidR="00271850" w:rsidRPr="00C24F78" w14:paraId="26FA84CA" w14:textId="77777777" w:rsidTr="00F61E90">
        <w:trPr>
          <w:tblCellSpacing w:w="15" w:type="dxa"/>
          <w:jc w:val="center"/>
        </w:trPr>
        <w:tc>
          <w:tcPr>
            <w:tcW w:w="0" w:type="auto"/>
            <w:tcBorders>
              <w:bottom w:val="single" w:sz="4" w:space="0" w:color="auto"/>
            </w:tcBorders>
            <w:vAlign w:val="center"/>
            <w:hideMark/>
          </w:tcPr>
          <w:p w14:paraId="31EA7FDC" w14:textId="77777777" w:rsidR="00271850" w:rsidRPr="00C24F78" w:rsidRDefault="00271850" w:rsidP="00F61E90">
            <w:pPr>
              <w:spacing w:after="0" w:line="240" w:lineRule="auto"/>
              <w:rPr>
                <w:rFonts w:eastAsia="Times New Roman" w:cstheme="minorHAnsi"/>
                <w:sz w:val="18"/>
                <w:szCs w:val="18"/>
                <w:lang w:eastAsia="en-GB"/>
              </w:rPr>
            </w:pPr>
          </w:p>
        </w:tc>
        <w:tc>
          <w:tcPr>
            <w:tcW w:w="0" w:type="auto"/>
            <w:tcBorders>
              <w:bottom w:val="single" w:sz="4" w:space="0" w:color="auto"/>
            </w:tcBorders>
            <w:vAlign w:val="center"/>
            <w:hideMark/>
          </w:tcPr>
          <w:p w14:paraId="0C37DBAA" w14:textId="77777777" w:rsidR="00271850" w:rsidRPr="00C24F78" w:rsidRDefault="00271850" w:rsidP="00F61E90">
            <w:pPr>
              <w:spacing w:after="0" w:line="240" w:lineRule="auto"/>
              <w:rPr>
                <w:rFonts w:eastAsia="Times New Roman" w:cstheme="minorHAnsi"/>
                <w:sz w:val="18"/>
                <w:szCs w:val="18"/>
                <w:lang w:eastAsia="en-GB"/>
              </w:rPr>
            </w:pPr>
            <w:r w:rsidRPr="00C24F78">
              <w:rPr>
                <w:rFonts w:eastAsia="Times New Roman" w:cstheme="minorHAnsi"/>
                <w:sz w:val="18"/>
                <w:szCs w:val="18"/>
                <w:lang w:eastAsia="en-GB"/>
              </w:rPr>
              <w:t>Yes</w:t>
            </w:r>
          </w:p>
        </w:tc>
        <w:tc>
          <w:tcPr>
            <w:tcW w:w="0" w:type="auto"/>
            <w:tcBorders>
              <w:bottom w:val="single" w:sz="4" w:space="0" w:color="auto"/>
            </w:tcBorders>
            <w:vAlign w:val="center"/>
          </w:tcPr>
          <w:p w14:paraId="55F2B9D6" w14:textId="77777777" w:rsidR="00271850" w:rsidRPr="00C24F78" w:rsidRDefault="00271850" w:rsidP="00F61E90">
            <w:pPr>
              <w:spacing w:after="0" w:line="240" w:lineRule="auto"/>
              <w:jc w:val="right"/>
              <w:rPr>
                <w:rFonts w:eastAsia="Times New Roman" w:cstheme="minorHAnsi"/>
                <w:sz w:val="18"/>
                <w:szCs w:val="18"/>
                <w:lang w:eastAsia="en-GB"/>
              </w:rPr>
            </w:pPr>
            <w:r w:rsidRPr="00C24F78">
              <w:rPr>
                <w:rFonts w:eastAsia="Times New Roman" w:cstheme="minorHAnsi"/>
                <w:sz w:val="18"/>
                <w:szCs w:val="18"/>
                <w:lang w:eastAsia="en-GB"/>
              </w:rPr>
              <w:t>1657</w:t>
            </w:r>
          </w:p>
        </w:tc>
        <w:tc>
          <w:tcPr>
            <w:tcW w:w="0" w:type="auto"/>
            <w:tcBorders>
              <w:bottom w:val="single" w:sz="4" w:space="0" w:color="auto"/>
            </w:tcBorders>
          </w:tcPr>
          <w:p w14:paraId="5BD01F9B" w14:textId="77777777" w:rsidR="00271850" w:rsidRPr="00C24F78" w:rsidRDefault="00271850" w:rsidP="00F61E90">
            <w:pPr>
              <w:spacing w:after="0" w:line="240" w:lineRule="auto"/>
              <w:jc w:val="right"/>
              <w:rPr>
                <w:rFonts w:eastAsia="Times New Roman" w:cstheme="minorHAnsi"/>
                <w:i/>
                <w:sz w:val="18"/>
                <w:szCs w:val="18"/>
                <w:lang w:eastAsia="en-GB"/>
              </w:rPr>
            </w:pPr>
            <w:r w:rsidRPr="00C24F78">
              <w:rPr>
                <w:rFonts w:eastAsia="Times New Roman" w:cstheme="minorHAnsi"/>
                <w:i/>
                <w:sz w:val="18"/>
                <w:szCs w:val="18"/>
                <w:lang w:eastAsia="en-GB"/>
              </w:rPr>
              <w:t>0</w:t>
            </w:r>
            <w:r>
              <w:rPr>
                <w:rFonts w:eastAsia="Times New Roman" w:cstheme="minorHAnsi"/>
                <w:i/>
                <w:sz w:val="18"/>
                <w:szCs w:val="18"/>
                <w:lang w:eastAsia="en-GB"/>
              </w:rPr>
              <w:t>.</w:t>
            </w:r>
            <w:r w:rsidRPr="00C24F78">
              <w:rPr>
                <w:rFonts w:eastAsia="Times New Roman" w:cstheme="minorHAnsi"/>
                <w:i/>
                <w:sz w:val="18"/>
                <w:szCs w:val="18"/>
                <w:lang w:eastAsia="en-GB"/>
              </w:rPr>
              <w:t>2</w:t>
            </w:r>
          </w:p>
        </w:tc>
        <w:tc>
          <w:tcPr>
            <w:tcW w:w="0" w:type="auto"/>
            <w:tcBorders>
              <w:bottom w:val="single" w:sz="4" w:space="0" w:color="auto"/>
            </w:tcBorders>
            <w:vAlign w:val="center"/>
          </w:tcPr>
          <w:p w14:paraId="5A59677B" w14:textId="77777777" w:rsidR="00271850" w:rsidRPr="00C24F78" w:rsidRDefault="00271850" w:rsidP="00F61E90">
            <w:pPr>
              <w:spacing w:after="0" w:line="240" w:lineRule="auto"/>
              <w:jc w:val="right"/>
              <w:rPr>
                <w:rFonts w:eastAsia="Times New Roman" w:cstheme="minorHAnsi"/>
                <w:sz w:val="18"/>
                <w:szCs w:val="18"/>
                <w:lang w:eastAsia="en-GB"/>
              </w:rPr>
            </w:pPr>
            <w:r w:rsidRPr="00C24F78">
              <w:rPr>
                <w:rFonts w:eastAsia="Times New Roman" w:cstheme="minorHAnsi"/>
                <w:sz w:val="18"/>
                <w:szCs w:val="18"/>
                <w:lang w:eastAsia="en-GB"/>
              </w:rPr>
              <w:t>1136</w:t>
            </w:r>
          </w:p>
        </w:tc>
        <w:tc>
          <w:tcPr>
            <w:tcW w:w="0" w:type="auto"/>
            <w:tcBorders>
              <w:bottom w:val="single" w:sz="4" w:space="0" w:color="auto"/>
            </w:tcBorders>
            <w:vAlign w:val="center"/>
          </w:tcPr>
          <w:p w14:paraId="32E3C249" w14:textId="77777777" w:rsidR="00271850" w:rsidRPr="00C24F78" w:rsidRDefault="00271850" w:rsidP="00F61E90">
            <w:pPr>
              <w:spacing w:after="0" w:line="240" w:lineRule="auto"/>
              <w:jc w:val="right"/>
              <w:rPr>
                <w:rFonts w:eastAsia="Times New Roman" w:cstheme="minorHAnsi"/>
                <w:i/>
                <w:sz w:val="18"/>
                <w:szCs w:val="18"/>
                <w:lang w:eastAsia="en-GB"/>
              </w:rPr>
            </w:pPr>
            <w:r w:rsidRPr="00C24F78">
              <w:rPr>
                <w:rFonts w:eastAsia="Times New Roman" w:cstheme="minorHAnsi"/>
                <w:i/>
                <w:sz w:val="18"/>
                <w:szCs w:val="18"/>
                <w:lang w:eastAsia="en-GB"/>
              </w:rPr>
              <w:t>0</w:t>
            </w:r>
            <w:r>
              <w:rPr>
                <w:rFonts w:eastAsia="Times New Roman" w:cstheme="minorHAnsi"/>
                <w:i/>
                <w:sz w:val="18"/>
                <w:szCs w:val="18"/>
                <w:lang w:eastAsia="en-GB"/>
              </w:rPr>
              <w:t>.</w:t>
            </w:r>
            <w:r w:rsidRPr="00C24F78">
              <w:rPr>
                <w:rFonts w:eastAsia="Times New Roman" w:cstheme="minorHAnsi"/>
                <w:i/>
                <w:sz w:val="18"/>
                <w:szCs w:val="18"/>
                <w:lang w:eastAsia="en-GB"/>
              </w:rPr>
              <w:t>2</w:t>
            </w:r>
          </w:p>
        </w:tc>
        <w:tc>
          <w:tcPr>
            <w:tcW w:w="0" w:type="auto"/>
            <w:tcBorders>
              <w:bottom w:val="single" w:sz="4" w:space="0" w:color="auto"/>
            </w:tcBorders>
            <w:vAlign w:val="center"/>
          </w:tcPr>
          <w:p w14:paraId="66A133DF" w14:textId="77777777" w:rsidR="00271850" w:rsidRPr="00C24F78" w:rsidRDefault="00271850" w:rsidP="00F61E90">
            <w:pPr>
              <w:spacing w:after="0" w:line="240" w:lineRule="auto"/>
              <w:jc w:val="right"/>
              <w:rPr>
                <w:rFonts w:eastAsia="Times New Roman" w:cstheme="minorHAnsi"/>
                <w:sz w:val="18"/>
                <w:szCs w:val="18"/>
                <w:lang w:eastAsia="en-GB"/>
              </w:rPr>
            </w:pPr>
            <w:r w:rsidRPr="00C24F78">
              <w:rPr>
                <w:rFonts w:eastAsia="Times New Roman" w:cstheme="minorHAnsi"/>
                <w:sz w:val="18"/>
                <w:szCs w:val="18"/>
                <w:lang w:eastAsia="en-GB"/>
              </w:rPr>
              <w:t>521</w:t>
            </w:r>
          </w:p>
        </w:tc>
        <w:tc>
          <w:tcPr>
            <w:tcW w:w="0" w:type="auto"/>
            <w:tcBorders>
              <w:bottom w:val="single" w:sz="4" w:space="0" w:color="auto"/>
            </w:tcBorders>
            <w:vAlign w:val="center"/>
          </w:tcPr>
          <w:p w14:paraId="514FEB8B" w14:textId="77777777" w:rsidR="00271850" w:rsidRPr="00C24F78" w:rsidRDefault="00271850" w:rsidP="00F61E90">
            <w:pPr>
              <w:spacing w:after="0" w:line="240" w:lineRule="auto"/>
              <w:jc w:val="right"/>
              <w:rPr>
                <w:rFonts w:eastAsia="Times New Roman" w:cstheme="minorHAnsi"/>
                <w:i/>
                <w:sz w:val="18"/>
                <w:szCs w:val="18"/>
                <w:lang w:eastAsia="en-GB"/>
              </w:rPr>
            </w:pPr>
            <w:r w:rsidRPr="00C24F78">
              <w:rPr>
                <w:rFonts w:eastAsia="Times New Roman" w:cstheme="minorHAnsi"/>
                <w:i/>
                <w:sz w:val="18"/>
                <w:szCs w:val="18"/>
                <w:lang w:eastAsia="en-GB"/>
              </w:rPr>
              <w:t>0</w:t>
            </w:r>
            <w:r>
              <w:rPr>
                <w:rFonts w:eastAsia="Times New Roman" w:cstheme="minorHAnsi"/>
                <w:i/>
                <w:sz w:val="18"/>
                <w:szCs w:val="18"/>
                <w:lang w:eastAsia="en-GB"/>
              </w:rPr>
              <w:t>.</w:t>
            </w:r>
            <w:r w:rsidRPr="00C24F78">
              <w:rPr>
                <w:rFonts w:eastAsia="Times New Roman" w:cstheme="minorHAnsi"/>
                <w:i/>
                <w:sz w:val="18"/>
                <w:szCs w:val="18"/>
                <w:lang w:eastAsia="en-GB"/>
              </w:rPr>
              <w:t>2</w:t>
            </w:r>
          </w:p>
        </w:tc>
        <w:tc>
          <w:tcPr>
            <w:tcW w:w="0" w:type="auto"/>
            <w:tcBorders>
              <w:bottom w:val="single" w:sz="4" w:space="0" w:color="auto"/>
            </w:tcBorders>
            <w:vAlign w:val="center"/>
          </w:tcPr>
          <w:p w14:paraId="020C252B" w14:textId="77777777" w:rsidR="00271850" w:rsidRPr="00C24F78" w:rsidRDefault="00271850" w:rsidP="00F61E90">
            <w:pPr>
              <w:spacing w:after="0" w:line="240" w:lineRule="auto"/>
              <w:jc w:val="right"/>
              <w:rPr>
                <w:rFonts w:eastAsia="Times New Roman" w:cstheme="minorHAnsi"/>
                <w:sz w:val="18"/>
                <w:szCs w:val="18"/>
                <w:lang w:eastAsia="en-GB"/>
              </w:rPr>
            </w:pPr>
          </w:p>
        </w:tc>
      </w:tr>
      <w:tr w:rsidR="00271850" w:rsidRPr="00C24F78" w14:paraId="56DE869A" w14:textId="77777777" w:rsidTr="00F61E90">
        <w:trPr>
          <w:tblCellSpacing w:w="15" w:type="dxa"/>
          <w:jc w:val="center"/>
        </w:trPr>
        <w:tc>
          <w:tcPr>
            <w:tcW w:w="0" w:type="auto"/>
            <w:tcBorders>
              <w:bottom w:val="single" w:sz="4" w:space="0" w:color="auto"/>
            </w:tcBorders>
            <w:vAlign w:val="center"/>
          </w:tcPr>
          <w:p w14:paraId="73C50CA1" w14:textId="77777777" w:rsidR="00271850" w:rsidRPr="00C24F78" w:rsidRDefault="00271850" w:rsidP="00F61E90">
            <w:pPr>
              <w:spacing w:after="0" w:line="240" w:lineRule="auto"/>
              <w:rPr>
                <w:rFonts w:eastAsia="Times New Roman" w:cstheme="minorHAnsi"/>
                <w:sz w:val="18"/>
                <w:szCs w:val="18"/>
                <w:lang w:eastAsia="en-GB"/>
              </w:rPr>
            </w:pPr>
          </w:p>
        </w:tc>
        <w:tc>
          <w:tcPr>
            <w:tcW w:w="0" w:type="auto"/>
            <w:tcBorders>
              <w:bottom w:val="single" w:sz="4" w:space="0" w:color="auto"/>
            </w:tcBorders>
            <w:vAlign w:val="center"/>
          </w:tcPr>
          <w:p w14:paraId="698265C3" w14:textId="77777777" w:rsidR="00271850" w:rsidRPr="00C24F78" w:rsidRDefault="00271850" w:rsidP="00F61E90">
            <w:pPr>
              <w:spacing w:after="0" w:line="240" w:lineRule="auto"/>
              <w:rPr>
                <w:rFonts w:eastAsia="Times New Roman" w:cstheme="minorHAnsi"/>
                <w:sz w:val="18"/>
                <w:szCs w:val="18"/>
                <w:lang w:eastAsia="en-GB"/>
              </w:rPr>
            </w:pPr>
          </w:p>
        </w:tc>
        <w:tc>
          <w:tcPr>
            <w:tcW w:w="0" w:type="auto"/>
            <w:tcBorders>
              <w:bottom w:val="single" w:sz="4" w:space="0" w:color="auto"/>
            </w:tcBorders>
            <w:vAlign w:val="center"/>
          </w:tcPr>
          <w:p w14:paraId="4A86CB9F" w14:textId="77777777" w:rsidR="00271850" w:rsidRPr="00C24F78" w:rsidRDefault="00271850" w:rsidP="00F61E90">
            <w:pPr>
              <w:spacing w:after="0" w:line="240" w:lineRule="auto"/>
              <w:jc w:val="center"/>
              <w:rPr>
                <w:rFonts w:eastAsia="Times New Roman" w:cstheme="minorHAnsi"/>
                <w:b/>
                <w:sz w:val="18"/>
                <w:szCs w:val="18"/>
                <w:lang w:eastAsia="en-GB"/>
              </w:rPr>
            </w:pPr>
            <w:r w:rsidRPr="00C24F78">
              <w:rPr>
                <w:rFonts w:eastAsia="Times New Roman" w:cstheme="minorHAnsi"/>
                <w:b/>
                <w:sz w:val="18"/>
                <w:szCs w:val="18"/>
                <w:lang w:eastAsia="en-GB"/>
              </w:rPr>
              <w:t>Mean</w:t>
            </w:r>
          </w:p>
        </w:tc>
        <w:tc>
          <w:tcPr>
            <w:tcW w:w="0" w:type="auto"/>
            <w:tcBorders>
              <w:bottom w:val="single" w:sz="4" w:space="0" w:color="auto"/>
            </w:tcBorders>
          </w:tcPr>
          <w:p w14:paraId="303E6E2D" w14:textId="77777777" w:rsidR="00271850" w:rsidRPr="00C24F78" w:rsidRDefault="00271850" w:rsidP="00F61E90">
            <w:pPr>
              <w:spacing w:after="0" w:line="240" w:lineRule="auto"/>
              <w:jc w:val="center"/>
              <w:rPr>
                <w:rFonts w:eastAsia="Times New Roman" w:cstheme="minorHAnsi"/>
                <w:b/>
                <w:i/>
                <w:sz w:val="18"/>
                <w:szCs w:val="18"/>
                <w:lang w:eastAsia="en-GB"/>
              </w:rPr>
            </w:pPr>
            <w:r w:rsidRPr="00C24F78">
              <w:rPr>
                <w:rFonts w:eastAsia="Times New Roman" w:cstheme="minorHAnsi"/>
                <w:b/>
                <w:i/>
                <w:sz w:val="18"/>
                <w:szCs w:val="18"/>
                <w:lang w:eastAsia="en-GB"/>
              </w:rPr>
              <w:t>SD</w:t>
            </w:r>
          </w:p>
        </w:tc>
        <w:tc>
          <w:tcPr>
            <w:tcW w:w="0" w:type="auto"/>
            <w:tcBorders>
              <w:bottom w:val="single" w:sz="4" w:space="0" w:color="auto"/>
            </w:tcBorders>
            <w:vAlign w:val="center"/>
          </w:tcPr>
          <w:p w14:paraId="66157EE6" w14:textId="77777777" w:rsidR="00271850" w:rsidRPr="00C24F78" w:rsidRDefault="00271850" w:rsidP="00F61E90">
            <w:pPr>
              <w:spacing w:after="0" w:line="240" w:lineRule="auto"/>
              <w:jc w:val="center"/>
              <w:rPr>
                <w:rFonts w:eastAsia="Times New Roman" w:cstheme="minorHAnsi"/>
                <w:b/>
                <w:sz w:val="18"/>
                <w:szCs w:val="18"/>
                <w:lang w:eastAsia="en-GB"/>
              </w:rPr>
            </w:pPr>
            <w:r w:rsidRPr="00C24F78">
              <w:rPr>
                <w:rFonts w:eastAsia="Times New Roman" w:cstheme="minorHAnsi"/>
                <w:b/>
                <w:sz w:val="18"/>
                <w:szCs w:val="18"/>
                <w:lang w:eastAsia="en-GB"/>
              </w:rPr>
              <w:t>Mean</w:t>
            </w:r>
          </w:p>
        </w:tc>
        <w:tc>
          <w:tcPr>
            <w:tcW w:w="0" w:type="auto"/>
            <w:tcBorders>
              <w:bottom w:val="single" w:sz="4" w:space="0" w:color="auto"/>
            </w:tcBorders>
          </w:tcPr>
          <w:p w14:paraId="61B2337D" w14:textId="77777777" w:rsidR="00271850" w:rsidRPr="00C24F78" w:rsidRDefault="00271850" w:rsidP="00F61E90">
            <w:pPr>
              <w:spacing w:after="0" w:line="240" w:lineRule="auto"/>
              <w:jc w:val="center"/>
              <w:rPr>
                <w:rFonts w:eastAsia="Times New Roman" w:cstheme="minorHAnsi"/>
                <w:b/>
                <w:i/>
                <w:sz w:val="18"/>
                <w:szCs w:val="18"/>
                <w:lang w:eastAsia="en-GB"/>
              </w:rPr>
            </w:pPr>
            <w:r w:rsidRPr="00C24F78">
              <w:rPr>
                <w:rFonts w:eastAsia="Times New Roman" w:cstheme="minorHAnsi"/>
                <w:b/>
                <w:i/>
                <w:sz w:val="18"/>
                <w:szCs w:val="18"/>
                <w:lang w:eastAsia="en-GB"/>
              </w:rPr>
              <w:t>SD</w:t>
            </w:r>
          </w:p>
        </w:tc>
        <w:tc>
          <w:tcPr>
            <w:tcW w:w="0" w:type="auto"/>
            <w:tcBorders>
              <w:bottom w:val="single" w:sz="4" w:space="0" w:color="auto"/>
            </w:tcBorders>
            <w:vAlign w:val="center"/>
          </w:tcPr>
          <w:p w14:paraId="0C6E3EDF" w14:textId="77777777" w:rsidR="00271850" w:rsidRPr="00C24F78" w:rsidRDefault="00271850" w:rsidP="00F61E90">
            <w:pPr>
              <w:spacing w:after="0" w:line="240" w:lineRule="auto"/>
              <w:jc w:val="center"/>
              <w:rPr>
                <w:rFonts w:eastAsia="Times New Roman" w:cstheme="minorHAnsi"/>
                <w:b/>
                <w:sz w:val="18"/>
                <w:szCs w:val="18"/>
                <w:lang w:eastAsia="en-GB"/>
              </w:rPr>
            </w:pPr>
            <w:r w:rsidRPr="00C24F78">
              <w:rPr>
                <w:rFonts w:eastAsia="Times New Roman" w:cstheme="minorHAnsi"/>
                <w:b/>
                <w:sz w:val="18"/>
                <w:szCs w:val="18"/>
                <w:lang w:eastAsia="en-GB"/>
              </w:rPr>
              <w:t>Mean</w:t>
            </w:r>
          </w:p>
        </w:tc>
        <w:tc>
          <w:tcPr>
            <w:tcW w:w="0" w:type="auto"/>
            <w:tcBorders>
              <w:bottom w:val="single" w:sz="4" w:space="0" w:color="auto"/>
            </w:tcBorders>
          </w:tcPr>
          <w:p w14:paraId="7C6E992C" w14:textId="77777777" w:rsidR="00271850" w:rsidRPr="00C24F78" w:rsidRDefault="00271850" w:rsidP="00F61E90">
            <w:pPr>
              <w:spacing w:after="0" w:line="240" w:lineRule="auto"/>
              <w:jc w:val="center"/>
              <w:rPr>
                <w:rFonts w:eastAsia="Times New Roman" w:cstheme="minorHAnsi"/>
                <w:b/>
                <w:i/>
                <w:sz w:val="18"/>
                <w:szCs w:val="18"/>
                <w:lang w:eastAsia="en-GB"/>
              </w:rPr>
            </w:pPr>
            <w:r w:rsidRPr="00C24F78">
              <w:rPr>
                <w:rFonts w:eastAsia="Times New Roman" w:cstheme="minorHAnsi"/>
                <w:b/>
                <w:i/>
                <w:sz w:val="18"/>
                <w:szCs w:val="18"/>
                <w:lang w:eastAsia="en-GB"/>
              </w:rPr>
              <w:t>SD</w:t>
            </w:r>
          </w:p>
        </w:tc>
        <w:tc>
          <w:tcPr>
            <w:tcW w:w="0" w:type="auto"/>
            <w:tcBorders>
              <w:bottom w:val="single" w:sz="4" w:space="0" w:color="auto"/>
            </w:tcBorders>
          </w:tcPr>
          <w:p w14:paraId="39F7149C" w14:textId="77777777" w:rsidR="00271850" w:rsidRPr="00C24F78" w:rsidRDefault="00271850" w:rsidP="00F61E90">
            <w:pPr>
              <w:spacing w:after="0" w:line="240" w:lineRule="auto"/>
              <w:rPr>
                <w:rFonts w:eastAsia="Times New Roman" w:cstheme="minorHAnsi"/>
                <w:b/>
                <w:sz w:val="18"/>
                <w:szCs w:val="18"/>
                <w:lang w:eastAsia="en-GB"/>
              </w:rPr>
            </w:pPr>
          </w:p>
        </w:tc>
      </w:tr>
      <w:tr w:rsidR="00271850" w:rsidRPr="00C24F78" w14:paraId="6DFFCE52" w14:textId="77777777" w:rsidTr="00F61E90">
        <w:trPr>
          <w:tblCellSpacing w:w="15" w:type="dxa"/>
          <w:jc w:val="center"/>
        </w:trPr>
        <w:tc>
          <w:tcPr>
            <w:tcW w:w="0" w:type="auto"/>
            <w:vAlign w:val="center"/>
            <w:hideMark/>
          </w:tcPr>
          <w:p w14:paraId="31DEAB4C" w14:textId="77777777" w:rsidR="00271850" w:rsidRPr="00C24F78" w:rsidRDefault="00271850" w:rsidP="00F61E90">
            <w:pPr>
              <w:spacing w:after="0" w:line="240" w:lineRule="auto"/>
              <w:rPr>
                <w:rFonts w:eastAsia="Times New Roman" w:cstheme="minorHAnsi"/>
                <w:sz w:val="18"/>
                <w:szCs w:val="18"/>
                <w:lang w:eastAsia="en-GB"/>
              </w:rPr>
            </w:pPr>
            <w:r w:rsidRPr="00C24F78">
              <w:rPr>
                <w:rFonts w:eastAsia="Times New Roman" w:cstheme="minorHAnsi"/>
                <w:sz w:val="18"/>
                <w:szCs w:val="18"/>
                <w:lang w:eastAsia="en-GB"/>
              </w:rPr>
              <w:t xml:space="preserve">GP consultations per year </w:t>
            </w:r>
          </w:p>
        </w:tc>
        <w:tc>
          <w:tcPr>
            <w:tcW w:w="0" w:type="auto"/>
            <w:vAlign w:val="center"/>
            <w:hideMark/>
          </w:tcPr>
          <w:p w14:paraId="465E44EC" w14:textId="77777777" w:rsidR="00271850" w:rsidRPr="00C24F78" w:rsidRDefault="00271850" w:rsidP="00F61E90">
            <w:pPr>
              <w:spacing w:after="0" w:line="240" w:lineRule="auto"/>
              <w:rPr>
                <w:rFonts w:eastAsia="Times New Roman" w:cstheme="minorHAnsi"/>
                <w:sz w:val="18"/>
                <w:szCs w:val="18"/>
                <w:lang w:eastAsia="en-GB"/>
              </w:rPr>
            </w:pPr>
          </w:p>
        </w:tc>
        <w:tc>
          <w:tcPr>
            <w:tcW w:w="0" w:type="auto"/>
            <w:vAlign w:val="center"/>
          </w:tcPr>
          <w:p w14:paraId="2986E20F" w14:textId="77777777" w:rsidR="00271850" w:rsidRPr="00C24F78" w:rsidRDefault="00271850" w:rsidP="00F61E90">
            <w:pPr>
              <w:spacing w:after="0" w:line="240" w:lineRule="auto"/>
              <w:jc w:val="right"/>
              <w:rPr>
                <w:rFonts w:eastAsia="Times New Roman" w:cstheme="minorHAnsi"/>
                <w:sz w:val="18"/>
                <w:szCs w:val="18"/>
                <w:lang w:eastAsia="en-GB"/>
              </w:rPr>
            </w:pPr>
            <w:r w:rsidRPr="00C24F78">
              <w:rPr>
                <w:rFonts w:eastAsia="Times New Roman" w:cstheme="minorHAnsi"/>
                <w:sz w:val="18"/>
                <w:szCs w:val="18"/>
                <w:lang w:eastAsia="en-GB"/>
              </w:rPr>
              <w:t>7</w:t>
            </w:r>
            <w:r>
              <w:rPr>
                <w:rFonts w:eastAsia="Times New Roman" w:cstheme="minorHAnsi"/>
                <w:sz w:val="18"/>
                <w:szCs w:val="18"/>
                <w:lang w:eastAsia="en-GB"/>
              </w:rPr>
              <w:t>.</w:t>
            </w:r>
            <w:r w:rsidRPr="00C24F78">
              <w:rPr>
                <w:rFonts w:eastAsia="Times New Roman" w:cstheme="minorHAnsi"/>
                <w:sz w:val="18"/>
                <w:szCs w:val="18"/>
                <w:lang w:eastAsia="en-GB"/>
              </w:rPr>
              <w:t>29</w:t>
            </w:r>
          </w:p>
        </w:tc>
        <w:tc>
          <w:tcPr>
            <w:tcW w:w="0" w:type="auto"/>
            <w:vAlign w:val="center"/>
          </w:tcPr>
          <w:p w14:paraId="369B2880" w14:textId="77777777" w:rsidR="00271850" w:rsidRPr="00C24F78" w:rsidRDefault="00271850" w:rsidP="00F61E90">
            <w:pPr>
              <w:spacing w:after="0" w:line="240" w:lineRule="auto"/>
              <w:jc w:val="right"/>
              <w:rPr>
                <w:rFonts w:eastAsia="Times New Roman" w:cstheme="minorHAnsi"/>
                <w:i/>
                <w:sz w:val="18"/>
                <w:szCs w:val="18"/>
                <w:lang w:eastAsia="en-GB"/>
              </w:rPr>
            </w:pPr>
            <w:r w:rsidRPr="00C24F78">
              <w:rPr>
                <w:rFonts w:eastAsia="Times New Roman" w:cstheme="minorHAnsi"/>
                <w:i/>
                <w:sz w:val="18"/>
                <w:szCs w:val="18"/>
                <w:lang w:eastAsia="en-GB"/>
              </w:rPr>
              <w:t>4</w:t>
            </w:r>
            <w:r>
              <w:rPr>
                <w:rFonts w:eastAsia="Times New Roman" w:cstheme="minorHAnsi"/>
                <w:i/>
                <w:sz w:val="18"/>
                <w:szCs w:val="18"/>
                <w:lang w:eastAsia="en-GB"/>
              </w:rPr>
              <w:t>.</w:t>
            </w:r>
            <w:r w:rsidRPr="00C24F78">
              <w:rPr>
                <w:rFonts w:eastAsia="Times New Roman" w:cstheme="minorHAnsi"/>
                <w:i/>
                <w:sz w:val="18"/>
                <w:szCs w:val="18"/>
                <w:lang w:eastAsia="en-GB"/>
              </w:rPr>
              <w:t>96</w:t>
            </w:r>
          </w:p>
        </w:tc>
        <w:tc>
          <w:tcPr>
            <w:tcW w:w="0" w:type="auto"/>
            <w:vAlign w:val="center"/>
          </w:tcPr>
          <w:p w14:paraId="796D822D" w14:textId="77777777" w:rsidR="00271850" w:rsidRPr="00C24F78" w:rsidRDefault="00271850" w:rsidP="00F61E90">
            <w:pPr>
              <w:spacing w:after="0" w:line="240" w:lineRule="auto"/>
              <w:jc w:val="right"/>
              <w:rPr>
                <w:rFonts w:eastAsia="Times New Roman" w:cstheme="minorHAnsi"/>
                <w:sz w:val="18"/>
                <w:szCs w:val="18"/>
                <w:lang w:eastAsia="en-GB"/>
              </w:rPr>
            </w:pPr>
            <w:r w:rsidRPr="00C24F78">
              <w:rPr>
                <w:rFonts w:eastAsia="Times New Roman" w:cstheme="minorHAnsi"/>
                <w:sz w:val="18"/>
                <w:szCs w:val="18"/>
                <w:lang w:eastAsia="en-GB"/>
              </w:rPr>
              <w:t>7</w:t>
            </w:r>
            <w:r>
              <w:rPr>
                <w:rFonts w:eastAsia="Times New Roman" w:cstheme="minorHAnsi"/>
                <w:sz w:val="18"/>
                <w:szCs w:val="18"/>
                <w:lang w:eastAsia="en-GB"/>
              </w:rPr>
              <w:t>.</w:t>
            </w:r>
            <w:r w:rsidRPr="00C24F78">
              <w:rPr>
                <w:rFonts w:eastAsia="Times New Roman" w:cstheme="minorHAnsi"/>
                <w:sz w:val="18"/>
                <w:szCs w:val="18"/>
                <w:lang w:eastAsia="en-GB"/>
              </w:rPr>
              <w:t>08</w:t>
            </w:r>
          </w:p>
        </w:tc>
        <w:tc>
          <w:tcPr>
            <w:tcW w:w="0" w:type="auto"/>
            <w:vAlign w:val="center"/>
          </w:tcPr>
          <w:p w14:paraId="7927E3B7" w14:textId="77777777" w:rsidR="00271850" w:rsidRPr="00C24F78" w:rsidRDefault="00271850" w:rsidP="00F61E90">
            <w:pPr>
              <w:spacing w:after="0" w:line="240" w:lineRule="auto"/>
              <w:jc w:val="right"/>
              <w:rPr>
                <w:rFonts w:eastAsia="Times New Roman" w:cstheme="minorHAnsi"/>
                <w:i/>
                <w:sz w:val="18"/>
                <w:szCs w:val="18"/>
                <w:lang w:eastAsia="en-GB"/>
              </w:rPr>
            </w:pPr>
            <w:r w:rsidRPr="00C24F78">
              <w:rPr>
                <w:rFonts w:eastAsia="Times New Roman" w:cstheme="minorHAnsi"/>
                <w:i/>
                <w:sz w:val="18"/>
                <w:szCs w:val="18"/>
                <w:lang w:eastAsia="en-GB"/>
              </w:rPr>
              <w:t>5</w:t>
            </w:r>
            <w:r>
              <w:rPr>
                <w:rFonts w:eastAsia="Times New Roman" w:cstheme="minorHAnsi"/>
                <w:i/>
                <w:sz w:val="18"/>
                <w:szCs w:val="18"/>
                <w:lang w:eastAsia="en-GB"/>
              </w:rPr>
              <w:t>.</w:t>
            </w:r>
            <w:r w:rsidRPr="00C24F78">
              <w:rPr>
                <w:rFonts w:eastAsia="Times New Roman" w:cstheme="minorHAnsi"/>
                <w:i/>
                <w:sz w:val="18"/>
                <w:szCs w:val="18"/>
                <w:lang w:eastAsia="en-GB"/>
              </w:rPr>
              <w:t>02</w:t>
            </w:r>
          </w:p>
        </w:tc>
        <w:tc>
          <w:tcPr>
            <w:tcW w:w="0" w:type="auto"/>
            <w:vAlign w:val="center"/>
          </w:tcPr>
          <w:p w14:paraId="0A57EEED" w14:textId="77777777" w:rsidR="00271850" w:rsidRPr="00C24F78" w:rsidRDefault="00271850" w:rsidP="00F61E90">
            <w:pPr>
              <w:spacing w:after="0" w:line="240" w:lineRule="auto"/>
              <w:jc w:val="right"/>
              <w:rPr>
                <w:rFonts w:eastAsia="Times New Roman" w:cstheme="minorHAnsi"/>
                <w:sz w:val="18"/>
                <w:szCs w:val="18"/>
                <w:lang w:eastAsia="en-GB"/>
              </w:rPr>
            </w:pPr>
            <w:r w:rsidRPr="00C24F78">
              <w:rPr>
                <w:rFonts w:eastAsia="Times New Roman" w:cstheme="minorHAnsi"/>
                <w:sz w:val="18"/>
                <w:szCs w:val="18"/>
                <w:lang w:eastAsia="en-GB"/>
              </w:rPr>
              <w:t>7</w:t>
            </w:r>
            <w:r>
              <w:rPr>
                <w:rFonts w:eastAsia="Times New Roman" w:cstheme="minorHAnsi"/>
                <w:sz w:val="18"/>
                <w:szCs w:val="18"/>
                <w:lang w:eastAsia="en-GB"/>
              </w:rPr>
              <w:t>.</w:t>
            </w:r>
            <w:r w:rsidRPr="00C24F78">
              <w:rPr>
                <w:rFonts w:eastAsia="Times New Roman" w:cstheme="minorHAnsi"/>
                <w:sz w:val="18"/>
                <w:szCs w:val="18"/>
                <w:lang w:eastAsia="en-GB"/>
              </w:rPr>
              <w:t>63</w:t>
            </w:r>
          </w:p>
        </w:tc>
        <w:tc>
          <w:tcPr>
            <w:tcW w:w="0" w:type="auto"/>
            <w:vAlign w:val="center"/>
          </w:tcPr>
          <w:p w14:paraId="6A75AEEB" w14:textId="77777777" w:rsidR="00271850" w:rsidRPr="00C24F78" w:rsidRDefault="00271850" w:rsidP="00F61E90">
            <w:pPr>
              <w:spacing w:after="0" w:line="240" w:lineRule="auto"/>
              <w:jc w:val="right"/>
              <w:rPr>
                <w:rFonts w:eastAsia="Times New Roman" w:cstheme="minorHAnsi"/>
                <w:i/>
                <w:sz w:val="18"/>
                <w:szCs w:val="18"/>
                <w:lang w:eastAsia="en-GB"/>
              </w:rPr>
            </w:pPr>
            <w:r w:rsidRPr="00C24F78">
              <w:rPr>
                <w:rFonts w:eastAsia="Times New Roman" w:cstheme="minorHAnsi"/>
                <w:i/>
                <w:sz w:val="18"/>
                <w:szCs w:val="18"/>
                <w:lang w:eastAsia="en-GB"/>
              </w:rPr>
              <w:t>4</w:t>
            </w:r>
            <w:r>
              <w:rPr>
                <w:rFonts w:eastAsia="Times New Roman" w:cstheme="minorHAnsi"/>
                <w:i/>
                <w:sz w:val="18"/>
                <w:szCs w:val="18"/>
                <w:lang w:eastAsia="en-GB"/>
              </w:rPr>
              <w:t>.</w:t>
            </w:r>
            <w:r w:rsidRPr="00C24F78">
              <w:rPr>
                <w:rFonts w:eastAsia="Times New Roman" w:cstheme="minorHAnsi"/>
                <w:i/>
                <w:sz w:val="18"/>
                <w:szCs w:val="18"/>
                <w:lang w:eastAsia="en-GB"/>
              </w:rPr>
              <w:t>84</w:t>
            </w:r>
          </w:p>
        </w:tc>
        <w:tc>
          <w:tcPr>
            <w:tcW w:w="0" w:type="auto"/>
            <w:vAlign w:val="center"/>
          </w:tcPr>
          <w:p w14:paraId="3FC46FBF" w14:textId="77777777" w:rsidR="00271850" w:rsidRPr="00C24F78" w:rsidRDefault="00271850" w:rsidP="00F61E90">
            <w:pPr>
              <w:spacing w:after="0" w:line="240" w:lineRule="auto"/>
              <w:jc w:val="right"/>
              <w:rPr>
                <w:rFonts w:eastAsia="Times New Roman" w:cstheme="minorHAnsi"/>
                <w:sz w:val="18"/>
                <w:szCs w:val="18"/>
                <w:lang w:eastAsia="en-GB"/>
              </w:rPr>
            </w:pPr>
            <w:r w:rsidRPr="00C24F78">
              <w:rPr>
                <w:rFonts w:eastAsia="Times New Roman" w:cstheme="minorHAnsi"/>
                <w:sz w:val="18"/>
                <w:szCs w:val="18"/>
                <w:lang w:eastAsia="en-GB"/>
              </w:rPr>
              <w:t>&lt;0</w:t>
            </w:r>
            <w:r>
              <w:rPr>
                <w:rFonts w:eastAsia="Times New Roman" w:cstheme="minorHAnsi"/>
                <w:sz w:val="18"/>
                <w:szCs w:val="18"/>
                <w:lang w:eastAsia="en-GB"/>
              </w:rPr>
              <w:t>.</w:t>
            </w:r>
            <w:r w:rsidRPr="00C24F78">
              <w:rPr>
                <w:rFonts w:eastAsia="Times New Roman" w:cstheme="minorHAnsi"/>
                <w:sz w:val="18"/>
                <w:szCs w:val="18"/>
                <w:lang w:eastAsia="en-GB"/>
              </w:rPr>
              <w:t>001</w:t>
            </w:r>
          </w:p>
        </w:tc>
      </w:tr>
      <w:tr w:rsidR="00271850" w:rsidRPr="00C24F78" w14:paraId="7C338443" w14:textId="77777777" w:rsidTr="00F61E90">
        <w:trPr>
          <w:tblCellSpacing w:w="15" w:type="dxa"/>
          <w:jc w:val="center"/>
        </w:trPr>
        <w:tc>
          <w:tcPr>
            <w:tcW w:w="0" w:type="auto"/>
            <w:tcBorders>
              <w:bottom w:val="single" w:sz="12" w:space="0" w:color="auto"/>
            </w:tcBorders>
            <w:vAlign w:val="center"/>
            <w:hideMark/>
          </w:tcPr>
          <w:p w14:paraId="099B1B20" w14:textId="77777777" w:rsidR="00271850" w:rsidRPr="00C24F78" w:rsidRDefault="00271850" w:rsidP="00F61E90">
            <w:pPr>
              <w:spacing w:after="0" w:line="240" w:lineRule="auto"/>
              <w:rPr>
                <w:rFonts w:eastAsia="Times New Roman" w:cstheme="minorHAnsi"/>
                <w:sz w:val="18"/>
                <w:szCs w:val="18"/>
                <w:lang w:eastAsia="en-GB"/>
              </w:rPr>
            </w:pPr>
            <w:r w:rsidRPr="00C24F78">
              <w:rPr>
                <w:rFonts w:eastAsia="Times New Roman" w:cstheme="minorHAnsi"/>
                <w:sz w:val="18"/>
                <w:szCs w:val="18"/>
                <w:lang w:eastAsia="en-GB"/>
              </w:rPr>
              <w:t xml:space="preserve">Person-days at-risk </w:t>
            </w:r>
          </w:p>
        </w:tc>
        <w:tc>
          <w:tcPr>
            <w:tcW w:w="0" w:type="auto"/>
            <w:tcBorders>
              <w:bottom w:val="single" w:sz="12" w:space="0" w:color="auto"/>
            </w:tcBorders>
            <w:vAlign w:val="center"/>
            <w:hideMark/>
          </w:tcPr>
          <w:p w14:paraId="1E6C4D81" w14:textId="77777777" w:rsidR="00271850" w:rsidRPr="00C24F78" w:rsidRDefault="00271850" w:rsidP="00F61E90">
            <w:pPr>
              <w:spacing w:after="0" w:line="240" w:lineRule="auto"/>
              <w:rPr>
                <w:rFonts w:eastAsia="Times New Roman" w:cstheme="minorHAnsi"/>
                <w:sz w:val="18"/>
                <w:szCs w:val="18"/>
                <w:lang w:eastAsia="en-GB"/>
              </w:rPr>
            </w:pPr>
          </w:p>
        </w:tc>
        <w:tc>
          <w:tcPr>
            <w:tcW w:w="0" w:type="auto"/>
            <w:tcBorders>
              <w:bottom w:val="single" w:sz="12" w:space="0" w:color="auto"/>
            </w:tcBorders>
            <w:vAlign w:val="center"/>
          </w:tcPr>
          <w:p w14:paraId="3BE60E27" w14:textId="3C582AD6" w:rsidR="00271850" w:rsidRPr="00C24F78" w:rsidRDefault="00C64A63" w:rsidP="00F61E90">
            <w:pPr>
              <w:spacing w:after="0" w:line="240" w:lineRule="auto"/>
              <w:jc w:val="right"/>
              <w:rPr>
                <w:rFonts w:eastAsia="Times New Roman" w:cstheme="minorHAnsi"/>
                <w:sz w:val="18"/>
                <w:szCs w:val="18"/>
                <w:lang w:eastAsia="en-GB"/>
              </w:rPr>
            </w:pPr>
            <w:r>
              <w:rPr>
                <w:rFonts w:eastAsia="Times New Roman" w:cstheme="minorHAnsi"/>
                <w:sz w:val="18"/>
                <w:szCs w:val="18"/>
                <w:lang w:eastAsia="en-GB"/>
              </w:rPr>
              <w:t>1843</w:t>
            </w:r>
          </w:p>
        </w:tc>
        <w:tc>
          <w:tcPr>
            <w:tcW w:w="0" w:type="auto"/>
            <w:tcBorders>
              <w:bottom w:val="single" w:sz="12" w:space="0" w:color="auto"/>
            </w:tcBorders>
            <w:vAlign w:val="center"/>
          </w:tcPr>
          <w:p w14:paraId="03B9C22B" w14:textId="1D702EB5" w:rsidR="00271850" w:rsidRPr="00C24F78" w:rsidRDefault="00C64A63" w:rsidP="00F61E90">
            <w:pPr>
              <w:spacing w:after="0" w:line="240" w:lineRule="auto"/>
              <w:jc w:val="right"/>
              <w:rPr>
                <w:rFonts w:eastAsia="Times New Roman" w:cstheme="minorHAnsi"/>
                <w:i/>
                <w:sz w:val="18"/>
                <w:szCs w:val="18"/>
                <w:lang w:eastAsia="en-GB"/>
              </w:rPr>
            </w:pPr>
            <w:r>
              <w:rPr>
                <w:rFonts w:eastAsia="Times New Roman" w:cstheme="minorHAnsi"/>
                <w:i/>
                <w:sz w:val="18"/>
                <w:szCs w:val="18"/>
                <w:lang w:eastAsia="en-GB"/>
              </w:rPr>
              <w:t>773</w:t>
            </w:r>
          </w:p>
        </w:tc>
        <w:tc>
          <w:tcPr>
            <w:tcW w:w="0" w:type="auto"/>
            <w:tcBorders>
              <w:bottom w:val="single" w:sz="12" w:space="0" w:color="auto"/>
            </w:tcBorders>
            <w:vAlign w:val="center"/>
          </w:tcPr>
          <w:p w14:paraId="085A907D" w14:textId="73BC9CDC" w:rsidR="00271850" w:rsidRPr="00C24F78" w:rsidRDefault="00271850" w:rsidP="00F61E90">
            <w:pPr>
              <w:spacing w:after="0" w:line="240" w:lineRule="auto"/>
              <w:jc w:val="right"/>
              <w:rPr>
                <w:rFonts w:eastAsia="Times New Roman" w:cstheme="minorHAnsi"/>
                <w:sz w:val="18"/>
                <w:szCs w:val="18"/>
                <w:lang w:eastAsia="en-GB"/>
              </w:rPr>
            </w:pPr>
            <w:r w:rsidRPr="00C24F78">
              <w:rPr>
                <w:rFonts w:eastAsia="Times New Roman" w:cstheme="minorHAnsi"/>
                <w:sz w:val="18"/>
                <w:szCs w:val="18"/>
                <w:lang w:eastAsia="en-GB"/>
              </w:rPr>
              <w:t>20</w:t>
            </w:r>
            <w:r w:rsidR="00C64A63">
              <w:rPr>
                <w:rFonts w:eastAsia="Times New Roman" w:cstheme="minorHAnsi"/>
                <w:sz w:val="18"/>
                <w:szCs w:val="18"/>
                <w:lang w:eastAsia="en-GB"/>
              </w:rPr>
              <w:t>15</w:t>
            </w:r>
          </w:p>
        </w:tc>
        <w:tc>
          <w:tcPr>
            <w:tcW w:w="0" w:type="auto"/>
            <w:tcBorders>
              <w:bottom w:val="single" w:sz="12" w:space="0" w:color="auto"/>
            </w:tcBorders>
            <w:vAlign w:val="center"/>
          </w:tcPr>
          <w:p w14:paraId="1565CCFA" w14:textId="25DA8C39" w:rsidR="00271850" w:rsidRPr="00C24F78" w:rsidRDefault="00C64A63" w:rsidP="00F61E90">
            <w:pPr>
              <w:spacing w:after="0" w:line="240" w:lineRule="auto"/>
              <w:jc w:val="right"/>
              <w:rPr>
                <w:rFonts w:eastAsia="Times New Roman" w:cstheme="minorHAnsi"/>
                <w:i/>
                <w:sz w:val="18"/>
                <w:szCs w:val="18"/>
                <w:lang w:eastAsia="en-GB"/>
              </w:rPr>
            </w:pPr>
            <w:r>
              <w:rPr>
                <w:rFonts w:eastAsia="Times New Roman" w:cstheme="minorHAnsi"/>
                <w:i/>
                <w:sz w:val="18"/>
                <w:szCs w:val="18"/>
                <w:lang w:eastAsia="en-GB"/>
              </w:rPr>
              <w:t>809</w:t>
            </w:r>
          </w:p>
        </w:tc>
        <w:tc>
          <w:tcPr>
            <w:tcW w:w="0" w:type="auto"/>
            <w:tcBorders>
              <w:bottom w:val="single" w:sz="12" w:space="0" w:color="auto"/>
            </w:tcBorders>
            <w:vAlign w:val="center"/>
          </w:tcPr>
          <w:p w14:paraId="7D7543D2" w14:textId="4C423A8D" w:rsidR="00271850" w:rsidRPr="00C24F78" w:rsidRDefault="00C64A63" w:rsidP="00F61E90">
            <w:pPr>
              <w:spacing w:after="0" w:line="240" w:lineRule="auto"/>
              <w:jc w:val="right"/>
              <w:rPr>
                <w:rFonts w:eastAsia="Times New Roman" w:cstheme="minorHAnsi"/>
                <w:sz w:val="18"/>
                <w:szCs w:val="18"/>
                <w:lang w:eastAsia="en-GB"/>
              </w:rPr>
            </w:pPr>
            <w:r>
              <w:rPr>
                <w:rFonts w:eastAsia="Times New Roman" w:cstheme="minorHAnsi"/>
                <w:sz w:val="18"/>
                <w:szCs w:val="18"/>
                <w:lang w:eastAsia="en-GB"/>
              </w:rPr>
              <w:t>1577</w:t>
            </w:r>
          </w:p>
        </w:tc>
        <w:tc>
          <w:tcPr>
            <w:tcW w:w="0" w:type="auto"/>
            <w:tcBorders>
              <w:bottom w:val="single" w:sz="12" w:space="0" w:color="auto"/>
            </w:tcBorders>
            <w:vAlign w:val="center"/>
          </w:tcPr>
          <w:p w14:paraId="16B7C78D" w14:textId="23CD16E1" w:rsidR="00271850" w:rsidRPr="00C24F78" w:rsidRDefault="00C64A63" w:rsidP="00F61E90">
            <w:pPr>
              <w:spacing w:after="0" w:line="240" w:lineRule="auto"/>
              <w:jc w:val="right"/>
              <w:rPr>
                <w:rFonts w:eastAsia="Times New Roman" w:cstheme="minorHAnsi"/>
                <w:i/>
                <w:sz w:val="18"/>
                <w:szCs w:val="18"/>
                <w:lang w:eastAsia="en-GB"/>
              </w:rPr>
            </w:pPr>
            <w:r>
              <w:rPr>
                <w:rFonts w:eastAsia="Times New Roman" w:cstheme="minorHAnsi"/>
                <w:i/>
                <w:sz w:val="18"/>
                <w:szCs w:val="18"/>
                <w:lang w:eastAsia="en-GB"/>
              </w:rPr>
              <w:t>624</w:t>
            </w:r>
          </w:p>
        </w:tc>
        <w:tc>
          <w:tcPr>
            <w:tcW w:w="0" w:type="auto"/>
            <w:tcBorders>
              <w:bottom w:val="single" w:sz="12" w:space="0" w:color="auto"/>
            </w:tcBorders>
            <w:vAlign w:val="center"/>
          </w:tcPr>
          <w:p w14:paraId="236F343B" w14:textId="77777777" w:rsidR="00271850" w:rsidRPr="00C24F78" w:rsidRDefault="00271850" w:rsidP="00F61E90">
            <w:pPr>
              <w:spacing w:after="0" w:line="240" w:lineRule="auto"/>
              <w:jc w:val="right"/>
              <w:rPr>
                <w:rFonts w:eastAsia="Times New Roman" w:cstheme="minorHAnsi"/>
                <w:sz w:val="18"/>
                <w:szCs w:val="18"/>
                <w:lang w:eastAsia="en-GB"/>
              </w:rPr>
            </w:pPr>
            <w:r w:rsidRPr="00C24F78">
              <w:rPr>
                <w:rFonts w:eastAsia="Times New Roman" w:cstheme="minorHAnsi"/>
                <w:sz w:val="18"/>
                <w:szCs w:val="18"/>
                <w:lang w:eastAsia="en-GB"/>
              </w:rPr>
              <w:t>&lt;0</w:t>
            </w:r>
            <w:r>
              <w:rPr>
                <w:rFonts w:eastAsia="Times New Roman" w:cstheme="minorHAnsi"/>
                <w:sz w:val="18"/>
                <w:szCs w:val="18"/>
                <w:lang w:eastAsia="en-GB"/>
              </w:rPr>
              <w:t>.</w:t>
            </w:r>
            <w:r w:rsidRPr="00C24F78">
              <w:rPr>
                <w:rFonts w:eastAsia="Times New Roman" w:cstheme="minorHAnsi"/>
                <w:sz w:val="18"/>
                <w:szCs w:val="18"/>
                <w:lang w:eastAsia="en-GB"/>
              </w:rPr>
              <w:t>001</w:t>
            </w:r>
          </w:p>
        </w:tc>
      </w:tr>
    </w:tbl>
    <w:p w14:paraId="5F65ED75" w14:textId="77777777" w:rsidR="00271850" w:rsidRDefault="00271850" w:rsidP="00A93374">
      <w:pPr>
        <w:spacing w:after="0" w:line="480" w:lineRule="auto"/>
      </w:pPr>
      <w:r w:rsidRPr="002F2E5F">
        <w:rPr>
          <w:i/>
        </w:rPr>
        <w:t>SD</w:t>
      </w:r>
      <w:r>
        <w:t xml:space="preserve"> = standard deviation</w:t>
      </w:r>
    </w:p>
    <w:p w14:paraId="6A31D7DC" w14:textId="01F112F7" w:rsidR="00FE2384" w:rsidRDefault="00BE149B">
      <w:pPr>
        <w:spacing w:after="0" w:line="480" w:lineRule="auto"/>
      </w:pPr>
      <w:r>
        <w:t xml:space="preserve">* = </w:t>
      </w:r>
      <w:r w:rsidR="00EE12E1">
        <w:t>comparing the distribution of</w:t>
      </w:r>
      <w:r w:rsidR="0008400B">
        <w:t xml:space="preserve"> participants within</w:t>
      </w:r>
      <w:r w:rsidR="00EE12E1">
        <w:t xml:space="preserve"> </w:t>
      </w:r>
      <w:r w:rsidR="0008400B">
        <w:t>a variable</w:t>
      </w:r>
      <w:r w:rsidR="00EE12E1">
        <w:t xml:space="preserve"> between vaccinated and unvaccinated</w:t>
      </w:r>
    </w:p>
    <w:p w14:paraId="1532FC80" w14:textId="03F2A369" w:rsidR="00A3064B" w:rsidRDefault="00F81919" w:rsidP="00C91605">
      <w:pPr>
        <w:spacing w:after="0" w:line="480" w:lineRule="auto"/>
      </w:pPr>
      <w:r>
        <w:t>Study</w:t>
      </w:r>
      <w:r w:rsidR="005516C7">
        <w:t xml:space="preserve"> participants </w:t>
      </w:r>
      <w:r w:rsidR="005516C7" w:rsidRPr="002B703E">
        <w:t>contributed a total of</w:t>
      </w:r>
      <w:r w:rsidR="00755EEB">
        <w:t xml:space="preserve"> </w:t>
      </w:r>
      <w:r w:rsidR="00C64A63" w:rsidRPr="00C64A63">
        <w:t>4</w:t>
      </w:r>
      <w:r w:rsidR="00C64A63">
        <w:t>,</w:t>
      </w:r>
      <w:r w:rsidR="00C64A63" w:rsidRPr="00C64A63">
        <w:t>388</w:t>
      </w:r>
      <w:r w:rsidR="00C64A63">
        <w:t>,</w:t>
      </w:r>
      <w:r w:rsidR="00C64A63" w:rsidRPr="00C64A63">
        <w:t>35</w:t>
      </w:r>
      <w:r w:rsidR="00C64A63">
        <w:t>5</w:t>
      </w:r>
      <w:r w:rsidR="00C64A63" w:rsidRPr="00C64A63" w:rsidDel="00C64A63">
        <w:t xml:space="preserve"> </w:t>
      </w:r>
      <w:r w:rsidR="005516C7" w:rsidRPr="002B703E">
        <w:t>person-years at-risk, with the media</w:t>
      </w:r>
      <w:r w:rsidR="009841BF">
        <w:t>n follow-up period being 5</w:t>
      </w:r>
      <w:r w:rsidR="0085732A">
        <w:t>.</w:t>
      </w:r>
      <w:r w:rsidR="00C64A63">
        <w:t>66</w:t>
      </w:r>
      <w:r w:rsidR="005516C7" w:rsidRPr="002B703E">
        <w:t xml:space="preserve"> person-years per participant.</w:t>
      </w:r>
      <w:r w:rsidR="00E05A37" w:rsidRPr="002B703E">
        <w:t xml:space="preserve"> The cohort follow-up period started on 26 March 2010 and ended on 28 April 2020.</w:t>
      </w:r>
      <w:r w:rsidR="00BA1E70" w:rsidRPr="002B703E">
        <w:t xml:space="preserve"> The outcome of CD was recorded for 16</w:t>
      </w:r>
      <w:r w:rsidR="00755EEB">
        <w:t>57</w:t>
      </w:r>
      <w:r w:rsidR="00BA1E70" w:rsidRPr="002B703E">
        <w:t xml:space="preserve"> participants, an incidence rate of 3</w:t>
      </w:r>
      <w:r w:rsidR="007C1DF5">
        <w:t>8</w:t>
      </w:r>
      <w:r w:rsidR="0085732A">
        <w:t>.</w:t>
      </w:r>
      <w:r w:rsidR="007C1DF5">
        <w:t>0</w:t>
      </w:r>
      <w:r w:rsidR="00755EEB">
        <w:t xml:space="preserve"> cases</w:t>
      </w:r>
      <w:r w:rsidR="006A4966">
        <w:t xml:space="preserve"> per 100</w:t>
      </w:r>
      <w:r w:rsidR="00B71510">
        <w:t>,</w:t>
      </w:r>
      <w:r w:rsidR="00BA1E70" w:rsidRPr="002B703E">
        <w:t xml:space="preserve">000 person-years at-risk. The median age at diagnosis of CD was </w:t>
      </w:r>
      <w:r w:rsidR="009841BF">
        <w:t>3</w:t>
      </w:r>
      <w:r w:rsidR="0085732A">
        <w:t>.</w:t>
      </w:r>
      <w:r w:rsidR="00755EEB">
        <w:t>2</w:t>
      </w:r>
      <w:r w:rsidR="0055542F" w:rsidRPr="002B703E">
        <w:t xml:space="preserve"> years</w:t>
      </w:r>
      <w:r w:rsidR="00BA1E70" w:rsidRPr="002B703E">
        <w:t xml:space="preserve"> for</w:t>
      </w:r>
      <w:r w:rsidR="00BA1E70">
        <w:t xml:space="preserve"> participants in this cohort.</w:t>
      </w:r>
      <w:r w:rsidR="00755EEB">
        <w:t xml:space="preserve"> T1D</w:t>
      </w:r>
      <w:r w:rsidR="00755EEB" w:rsidRPr="002B703E">
        <w:t xml:space="preserve"> was recorded for </w:t>
      </w:r>
      <w:r w:rsidR="00755EEB">
        <w:t>733</w:t>
      </w:r>
      <w:r w:rsidR="00755EEB" w:rsidRPr="002B703E">
        <w:t xml:space="preserve"> participants, an incidence rate of </w:t>
      </w:r>
      <w:r w:rsidR="009841BF">
        <w:t>1</w:t>
      </w:r>
      <w:r w:rsidR="007C1DF5">
        <w:t>7</w:t>
      </w:r>
      <w:r w:rsidR="0085732A">
        <w:t>.</w:t>
      </w:r>
      <w:r w:rsidR="007C1DF5">
        <w:t>1</w:t>
      </w:r>
      <w:r w:rsidR="00755EEB">
        <w:t xml:space="preserve"> cases</w:t>
      </w:r>
      <w:r w:rsidR="00B71510">
        <w:t xml:space="preserve"> per 100,</w:t>
      </w:r>
      <w:r w:rsidR="00755EEB" w:rsidRPr="002B703E">
        <w:t xml:space="preserve">000 person-years at-risk. The median age at diagnosis of </w:t>
      </w:r>
      <w:r w:rsidR="00755EEB">
        <w:t>T1D</w:t>
      </w:r>
      <w:r w:rsidR="009841BF">
        <w:t xml:space="preserve"> was 3</w:t>
      </w:r>
      <w:r w:rsidR="0085732A">
        <w:t>.</w:t>
      </w:r>
      <w:r w:rsidR="00755EEB">
        <w:t>3</w:t>
      </w:r>
      <w:r w:rsidR="00755EEB" w:rsidRPr="002B703E">
        <w:t xml:space="preserve"> years for</w:t>
      </w:r>
      <w:r w:rsidR="00755EEB">
        <w:t xml:space="preserve"> participants in this cohort.</w:t>
      </w:r>
      <w:r w:rsidR="007C1DF5">
        <w:t xml:space="preserve"> </w:t>
      </w:r>
      <w:r w:rsidR="00EB34F9">
        <w:t xml:space="preserve">The two outcomes were not mutually exclusive; </w:t>
      </w:r>
      <w:r w:rsidR="00596B50">
        <w:t>CD was also diagnosed in 54 of the 733 participants with T1D (7.4%)</w:t>
      </w:r>
    </w:p>
    <w:p w14:paraId="2B00D228" w14:textId="77777777" w:rsidR="00DA35C9" w:rsidRDefault="00DA35C9" w:rsidP="00A93374">
      <w:pPr>
        <w:spacing w:after="0" w:line="480" w:lineRule="auto"/>
      </w:pPr>
    </w:p>
    <w:p w14:paraId="598B0479" w14:textId="0CB8C8F6" w:rsidR="00107C52" w:rsidRPr="00F41021" w:rsidRDefault="00107C52" w:rsidP="006B27B6">
      <w:pPr>
        <w:rPr>
          <w:i/>
        </w:rPr>
      </w:pPr>
      <w:bookmarkStart w:id="9" w:name="_Toc50542555"/>
      <w:r w:rsidRPr="00F41021">
        <w:rPr>
          <w:i/>
        </w:rPr>
        <w:t>Survival analysis</w:t>
      </w:r>
      <w:bookmarkEnd w:id="9"/>
    </w:p>
    <w:p w14:paraId="7C94A216" w14:textId="60D09FA2" w:rsidR="00687752" w:rsidRDefault="009C6D89" w:rsidP="00C879DD">
      <w:pPr>
        <w:spacing w:after="0" w:line="480" w:lineRule="auto"/>
      </w:pPr>
      <w:r>
        <w:lastRenderedPageBreak/>
        <w:t>T</w:t>
      </w:r>
      <w:r w:rsidR="00687752">
        <w:t xml:space="preserve">he </w:t>
      </w:r>
      <w:r w:rsidR="00687752" w:rsidRPr="00687752">
        <w:t>Kaplan-Meier survival estimator</w:t>
      </w:r>
      <w:r>
        <w:t>s</w:t>
      </w:r>
      <w:r w:rsidR="00687752" w:rsidRPr="00687752">
        <w:t xml:space="preserve"> for CD</w:t>
      </w:r>
      <w:r>
        <w:t xml:space="preserve"> and T1D</w:t>
      </w:r>
      <w:r w:rsidR="00687752" w:rsidRPr="00687752">
        <w:t>,</w:t>
      </w:r>
      <w:r w:rsidR="00687752">
        <w:t xml:space="preserve"> stratified</w:t>
      </w:r>
      <w:r w:rsidR="00687752" w:rsidRPr="00687752">
        <w:t xml:space="preserve"> by rotavirus vaccination status</w:t>
      </w:r>
      <w:r>
        <w:t xml:space="preserve">, are </w:t>
      </w:r>
      <w:r w:rsidR="00687752">
        <w:t xml:space="preserve">shown </w:t>
      </w:r>
      <w:r w:rsidR="00687752" w:rsidRPr="002B703E">
        <w:t>in</w:t>
      </w:r>
      <w:r w:rsidR="006A505C">
        <w:t xml:space="preserve"> the</w:t>
      </w:r>
      <w:r w:rsidR="00687752" w:rsidRPr="002B703E">
        <w:t xml:space="preserve"> Figure</w:t>
      </w:r>
      <w:r w:rsidR="00C24F78">
        <w:t xml:space="preserve"> 1</w:t>
      </w:r>
      <w:r w:rsidR="00687752" w:rsidRPr="002B703E">
        <w:t>.</w:t>
      </w:r>
      <w:r w:rsidR="00687752">
        <w:t xml:space="preserve"> </w:t>
      </w:r>
      <w:r>
        <w:t>For both CD and T1D, d</w:t>
      </w:r>
      <w:r w:rsidR="0035773B">
        <w:t xml:space="preserve">ue to the large proportion without the outcome, </w:t>
      </w:r>
      <w:r w:rsidR="001A3EE6">
        <w:t xml:space="preserve">calculation of median survival time </w:t>
      </w:r>
      <w:r w:rsidR="0035773B">
        <w:t xml:space="preserve">was not relevant. Based on visual inspection of </w:t>
      </w:r>
      <w:r>
        <w:t>both</w:t>
      </w:r>
      <w:r w:rsidR="00CB2CA0">
        <w:t xml:space="preserve"> Kaplan-Meier plot</w:t>
      </w:r>
      <w:r>
        <w:t>s</w:t>
      </w:r>
      <w:r w:rsidR="00CB2CA0">
        <w:t>,</w:t>
      </w:r>
      <w:r w:rsidR="0035773B">
        <w:t xml:space="preserve"> the hazards in both groups </w:t>
      </w:r>
      <w:r>
        <w:t>we</w:t>
      </w:r>
      <w:r w:rsidR="0035773B">
        <w:t xml:space="preserve">re proportional. </w:t>
      </w:r>
    </w:p>
    <w:p w14:paraId="6D48BB8B" w14:textId="77777777" w:rsidR="0087451A" w:rsidRDefault="0087451A" w:rsidP="00A93374">
      <w:pPr>
        <w:spacing w:after="0" w:line="480" w:lineRule="auto"/>
      </w:pPr>
    </w:p>
    <w:p w14:paraId="00C2D8AB" w14:textId="121D9324" w:rsidR="003B769F" w:rsidRDefault="001B768F" w:rsidP="00FA69D0">
      <w:pPr>
        <w:spacing w:after="0" w:line="480" w:lineRule="auto"/>
      </w:pPr>
      <w:r>
        <w:t xml:space="preserve">The results of mixed-effects Cox regression modelling, with random intercepts for GP practices, are shown in Table </w:t>
      </w:r>
      <w:r w:rsidR="00133E6C">
        <w:t>2</w:t>
      </w:r>
      <w:r>
        <w:t>.</w:t>
      </w:r>
      <w:r w:rsidR="00556FC4">
        <w:t xml:space="preserve"> In univariable analysis the HR for </w:t>
      </w:r>
      <w:r w:rsidR="003B769F">
        <w:t xml:space="preserve">the association between </w:t>
      </w:r>
      <w:r w:rsidR="00556FC4">
        <w:t xml:space="preserve">rotavirus vaccination </w:t>
      </w:r>
      <w:r w:rsidR="003B769F">
        <w:t xml:space="preserve">and CD </w:t>
      </w:r>
      <w:r w:rsidR="009841BF">
        <w:t>was 0</w:t>
      </w:r>
      <w:r w:rsidR="0085732A">
        <w:t>.</w:t>
      </w:r>
      <w:r w:rsidR="00556FC4">
        <w:t>9</w:t>
      </w:r>
      <w:r w:rsidR="00596B50">
        <w:t>3</w:t>
      </w:r>
      <w:r w:rsidR="00556FC4">
        <w:t xml:space="preserve"> (95% CI </w:t>
      </w:r>
      <w:r w:rsidR="009841BF">
        <w:t>0</w:t>
      </w:r>
      <w:r w:rsidR="0085732A">
        <w:t>.</w:t>
      </w:r>
      <w:r w:rsidR="009841BF">
        <w:t>8</w:t>
      </w:r>
      <w:r w:rsidR="00596B50">
        <w:t>4</w:t>
      </w:r>
      <w:r w:rsidR="009841BF">
        <w:t>-1</w:t>
      </w:r>
      <w:r w:rsidR="0085732A">
        <w:t>.</w:t>
      </w:r>
      <w:r w:rsidR="00596B50" w:rsidRPr="003B769F">
        <w:t>0</w:t>
      </w:r>
      <w:r w:rsidR="00596B50">
        <w:t>4</w:t>
      </w:r>
      <w:r w:rsidR="00556FC4">
        <w:t>), when simultaneously adjusted for other explanatory v</w:t>
      </w:r>
      <w:r w:rsidR="009841BF">
        <w:t>ariables, the HR increased to 1</w:t>
      </w:r>
      <w:r w:rsidR="0085732A">
        <w:t>.</w:t>
      </w:r>
      <w:r w:rsidR="00596B50">
        <w:t xml:space="preserve">05 </w:t>
      </w:r>
      <w:r w:rsidR="00556FC4">
        <w:t>(</w:t>
      </w:r>
      <w:r w:rsidR="00C54E40">
        <w:t xml:space="preserve">95% CI </w:t>
      </w:r>
      <w:r w:rsidR="009841BF">
        <w:t>0</w:t>
      </w:r>
      <w:r w:rsidR="0085732A">
        <w:t>.</w:t>
      </w:r>
      <w:r w:rsidR="009841BF">
        <w:t>8</w:t>
      </w:r>
      <w:r w:rsidR="00596B50">
        <w:t>6</w:t>
      </w:r>
      <w:r w:rsidR="009841BF">
        <w:t>-1</w:t>
      </w:r>
      <w:r w:rsidR="0085732A">
        <w:t>.</w:t>
      </w:r>
      <w:r w:rsidR="003B769F" w:rsidRPr="003B769F">
        <w:t>2</w:t>
      </w:r>
      <w:r w:rsidR="00596B50">
        <w:t>8</w:t>
      </w:r>
      <w:r w:rsidR="00556FC4">
        <w:t xml:space="preserve">). Sex was associated with CD in both univariable and adjusted models, with females having </w:t>
      </w:r>
      <w:r w:rsidR="003B769F">
        <w:t>40</w:t>
      </w:r>
      <w:r w:rsidR="00556FC4">
        <w:t>% higher hazard than males</w:t>
      </w:r>
      <w:r w:rsidR="009841BF">
        <w:t xml:space="preserve"> (p &lt; 0</w:t>
      </w:r>
      <w:r w:rsidR="0085732A">
        <w:t>.</w:t>
      </w:r>
      <w:r w:rsidR="00556FC4">
        <w:t xml:space="preserve">001). </w:t>
      </w:r>
      <w:r w:rsidR="00A92209">
        <w:t>R</w:t>
      </w:r>
      <w:r w:rsidR="00A92209" w:rsidRPr="00A92209">
        <w:t>otavirus vaccination was</w:t>
      </w:r>
      <w:r w:rsidR="00A92209">
        <w:t xml:space="preserve"> not associat</w:t>
      </w:r>
      <w:r w:rsidR="00CD1D7D">
        <w:t>ed with T1D</w:t>
      </w:r>
      <w:r w:rsidR="00A92209">
        <w:t xml:space="preserve"> in</w:t>
      </w:r>
      <w:r w:rsidR="00CD1D7D">
        <w:t xml:space="preserve"> either</w:t>
      </w:r>
      <w:r w:rsidR="00A92209">
        <w:t xml:space="preserve"> univariable analysis (HR </w:t>
      </w:r>
      <w:r w:rsidR="009841BF">
        <w:t>1</w:t>
      </w:r>
      <w:r w:rsidR="0085732A">
        <w:t>.</w:t>
      </w:r>
      <w:r w:rsidR="00A92209" w:rsidRPr="00A92209">
        <w:t>0</w:t>
      </w:r>
      <w:r w:rsidR="00596B50">
        <w:t>1</w:t>
      </w:r>
      <w:r w:rsidR="007C37B0">
        <w:t xml:space="preserve">, </w:t>
      </w:r>
      <w:r w:rsidR="00C54E40">
        <w:t>95% CI</w:t>
      </w:r>
      <w:r w:rsidR="006C4AEE">
        <w:t xml:space="preserve"> </w:t>
      </w:r>
      <w:r w:rsidR="009841BF">
        <w:t>0</w:t>
      </w:r>
      <w:r w:rsidR="0085732A">
        <w:t>.</w:t>
      </w:r>
      <w:r w:rsidR="009841BF">
        <w:t>87-1</w:t>
      </w:r>
      <w:r w:rsidR="0085732A">
        <w:t>.</w:t>
      </w:r>
      <w:r w:rsidR="00596B50">
        <w:t>19</w:t>
      </w:r>
      <w:r w:rsidR="00A92209">
        <w:t>)</w:t>
      </w:r>
      <w:r w:rsidR="00A92209" w:rsidRPr="00A92209">
        <w:t xml:space="preserve">, </w:t>
      </w:r>
      <w:r w:rsidR="00A92209">
        <w:t xml:space="preserve">or </w:t>
      </w:r>
      <w:r w:rsidR="00CD1D7D">
        <w:t>when adjusted for confounders in</w:t>
      </w:r>
      <w:r w:rsidR="00A92209">
        <w:t xml:space="preserve"> multivariable analysis (HR </w:t>
      </w:r>
      <w:r w:rsidR="009841BF">
        <w:t>0</w:t>
      </w:r>
      <w:r w:rsidR="0085732A">
        <w:t>.</w:t>
      </w:r>
      <w:r w:rsidR="00596B50">
        <w:t>8</w:t>
      </w:r>
      <w:r w:rsidR="00CD1D7D" w:rsidRPr="00CD1D7D">
        <w:t>9</w:t>
      </w:r>
      <w:r w:rsidR="007C37B0">
        <w:t xml:space="preserve">, </w:t>
      </w:r>
      <w:r w:rsidR="00CD1D7D">
        <w:t xml:space="preserve">95% CI </w:t>
      </w:r>
      <w:r w:rsidR="009841BF">
        <w:t>0</w:t>
      </w:r>
      <w:r w:rsidR="0085732A">
        <w:t>.</w:t>
      </w:r>
      <w:r w:rsidR="009841BF">
        <w:t>6</w:t>
      </w:r>
      <w:r w:rsidR="00596B50">
        <w:t>8</w:t>
      </w:r>
      <w:r w:rsidR="009841BF">
        <w:t>-1</w:t>
      </w:r>
      <w:r w:rsidR="0085732A">
        <w:t>.</w:t>
      </w:r>
      <w:r w:rsidR="00596B50">
        <w:t>19</w:t>
      </w:r>
      <w:r w:rsidR="00CD1D7D">
        <w:t>).</w:t>
      </w:r>
    </w:p>
    <w:p w14:paraId="5AB7F1CE" w14:textId="5DC44766" w:rsidR="00FF73CD" w:rsidRDefault="00FF73CD" w:rsidP="00A93374">
      <w:pPr>
        <w:spacing w:after="0" w:line="480" w:lineRule="auto"/>
      </w:pPr>
    </w:p>
    <w:p w14:paraId="557F2508" w14:textId="2BD41F9E" w:rsidR="00150688" w:rsidRDefault="001C6CED" w:rsidP="00410DBA">
      <w:pPr>
        <w:spacing w:after="0" w:line="480" w:lineRule="auto"/>
      </w:pPr>
      <w:r>
        <w:t>S</w:t>
      </w:r>
      <w:r w:rsidR="001B768F">
        <w:t xml:space="preserve">ensitivity analyses results are shown in Table </w:t>
      </w:r>
      <w:r>
        <w:t>3</w:t>
      </w:r>
      <w:r w:rsidR="001B768F">
        <w:t xml:space="preserve">. Restricting the cohort to only those born after </w:t>
      </w:r>
      <w:r w:rsidR="00F863F7">
        <w:t>1</w:t>
      </w:r>
      <w:r w:rsidR="00D66ECE" w:rsidRPr="005E172C">
        <w:rPr>
          <w:vertAlign w:val="superscript"/>
        </w:rPr>
        <w:t>st</w:t>
      </w:r>
      <w:r w:rsidR="00D66ECE">
        <w:t xml:space="preserve"> </w:t>
      </w:r>
      <w:r w:rsidR="00F863F7">
        <w:t xml:space="preserve">July 2013 </w:t>
      </w:r>
      <w:r w:rsidR="00D95085">
        <w:t xml:space="preserve">had a </w:t>
      </w:r>
      <w:r w:rsidR="006A4966">
        <w:t>minor</w:t>
      </w:r>
      <w:r w:rsidR="00D95085">
        <w:t xml:space="preserve"> effect on</w:t>
      </w:r>
      <w:r w:rsidR="000F56CF">
        <w:t xml:space="preserve"> the point estimates</w:t>
      </w:r>
      <w:r w:rsidR="00FD5E6C">
        <w:t xml:space="preserve">. </w:t>
      </w:r>
      <w:r w:rsidR="000F56CF">
        <w:t>R</w:t>
      </w:r>
      <w:r w:rsidR="003E14FF">
        <w:t>emov</w:t>
      </w:r>
      <w:r w:rsidR="000F56CF">
        <w:t>ing</w:t>
      </w:r>
      <w:r w:rsidR="003E14FF">
        <w:t xml:space="preserve"> censoring of follow-up time at the seventh birthday </w:t>
      </w:r>
      <w:r w:rsidR="00E37576">
        <w:t xml:space="preserve">did not change the </w:t>
      </w:r>
      <w:r w:rsidR="004233BE">
        <w:t>association</w:t>
      </w:r>
      <w:r w:rsidR="004233BE" w:rsidDel="004233BE">
        <w:t xml:space="preserve"> </w:t>
      </w:r>
      <w:r w:rsidR="00E37576">
        <w:t>between rotavirus vaccination and CD</w:t>
      </w:r>
      <w:r w:rsidR="00596B50">
        <w:t xml:space="preserve"> or the association between rotavirus vaccination and T1D.</w:t>
      </w:r>
    </w:p>
    <w:p w14:paraId="03D670B9" w14:textId="77777777" w:rsidR="00271850" w:rsidRDefault="00271850" w:rsidP="00410DBA">
      <w:pPr>
        <w:spacing w:after="0" w:line="480" w:lineRule="auto"/>
      </w:pPr>
    </w:p>
    <w:p w14:paraId="108C72FD" w14:textId="77777777" w:rsidR="00271850" w:rsidRPr="00C24F78" w:rsidRDefault="00271850" w:rsidP="00271850">
      <w:pPr>
        <w:rPr>
          <w:b/>
        </w:rPr>
      </w:pPr>
      <w:r w:rsidRPr="00C24F78">
        <w:rPr>
          <w:b/>
        </w:rPr>
        <w:t>Table 2: Results from mixed-effects Cox regression models, with random intercepts for GP practices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951"/>
        <w:gridCol w:w="1700"/>
        <w:gridCol w:w="380"/>
        <w:gridCol w:w="754"/>
        <w:gridCol w:w="66"/>
        <w:gridCol w:w="380"/>
        <w:gridCol w:w="754"/>
        <w:gridCol w:w="171"/>
        <w:gridCol w:w="66"/>
        <w:gridCol w:w="380"/>
        <w:gridCol w:w="754"/>
        <w:gridCol w:w="380"/>
        <w:gridCol w:w="754"/>
        <w:gridCol w:w="81"/>
      </w:tblGrid>
      <w:tr w:rsidR="00271850" w:rsidRPr="00C24F78" w14:paraId="70269C5E" w14:textId="77777777" w:rsidTr="00F61E90">
        <w:trPr>
          <w:tblHeader/>
          <w:tblCellSpacing w:w="15" w:type="dxa"/>
        </w:trPr>
        <w:tc>
          <w:tcPr>
            <w:tcW w:w="0" w:type="auto"/>
            <w:tcBorders>
              <w:top w:val="single" w:sz="12" w:space="0" w:color="auto"/>
            </w:tcBorders>
            <w:vAlign w:val="center"/>
          </w:tcPr>
          <w:p w14:paraId="77241206" w14:textId="77777777" w:rsidR="00271850" w:rsidRPr="00C24F78" w:rsidRDefault="00271850" w:rsidP="00F61E90">
            <w:pPr>
              <w:spacing w:after="0" w:line="240" w:lineRule="auto"/>
              <w:rPr>
                <w:rFonts w:eastAsia="Times New Roman" w:cstheme="minorHAnsi"/>
                <w:b/>
                <w:sz w:val="18"/>
                <w:szCs w:val="18"/>
                <w:lang w:eastAsia="en-GB"/>
              </w:rPr>
            </w:pPr>
          </w:p>
        </w:tc>
        <w:tc>
          <w:tcPr>
            <w:tcW w:w="0" w:type="auto"/>
            <w:tcBorders>
              <w:top w:val="single" w:sz="12" w:space="0" w:color="auto"/>
            </w:tcBorders>
            <w:vAlign w:val="center"/>
          </w:tcPr>
          <w:p w14:paraId="3DD46046" w14:textId="77777777" w:rsidR="00271850" w:rsidRPr="00C24F78" w:rsidRDefault="00271850" w:rsidP="00F61E90">
            <w:pPr>
              <w:spacing w:after="0" w:line="240" w:lineRule="auto"/>
              <w:rPr>
                <w:rFonts w:eastAsia="Times New Roman" w:cstheme="minorHAnsi"/>
                <w:bCs/>
                <w:sz w:val="18"/>
                <w:szCs w:val="18"/>
                <w:lang w:eastAsia="en-GB"/>
              </w:rPr>
            </w:pPr>
          </w:p>
        </w:tc>
        <w:tc>
          <w:tcPr>
            <w:tcW w:w="0" w:type="auto"/>
            <w:gridSpan w:val="6"/>
            <w:tcBorders>
              <w:top w:val="single" w:sz="12" w:space="0" w:color="auto"/>
              <w:bottom w:val="single" w:sz="4" w:space="0" w:color="auto"/>
            </w:tcBorders>
            <w:vAlign w:val="center"/>
          </w:tcPr>
          <w:p w14:paraId="177E2D15" w14:textId="77777777" w:rsidR="00271850" w:rsidRPr="00C24F78" w:rsidRDefault="00271850" w:rsidP="00F61E90">
            <w:pPr>
              <w:spacing w:after="0" w:line="240" w:lineRule="auto"/>
              <w:jc w:val="center"/>
              <w:rPr>
                <w:rFonts w:eastAsia="Times New Roman" w:cstheme="minorHAnsi"/>
                <w:b/>
                <w:bCs/>
                <w:sz w:val="18"/>
                <w:szCs w:val="18"/>
                <w:lang w:eastAsia="en-GB"/>
              </w:rPr>
            </w:pPr>
            <w:r w:rsidRPr="00C24F78">
              <w:rPr>
                <w:rFonts w:eastAsia="Times New Roman" w:cstheme="minorHAnsi"/>
                <w:b/>
                <w:bCs/>
                <w:sz w:val="18"/>
                <w:szCs w:val="18"/>
                <w:lang w:eastAsia="en-GB"/>
              </w:rPr>
              <w:t>CD</w:t>
            </w:r>
          </w:p>
        </w:tc>
        <w:tc>
          <w:tcPr>
            <w:tcW w:w="0" w:type="auto"/>
            <w:tcBorders>
              <w:top w:val="single" w:sz="12" w:space="0" w:color="auto"/>
            </w:tcBorders>
          </w:tcPr>
          <w:p w14:paraId="5E943553" w14:textId="77777777" w:rsidR="00271850" w:rsidRPr="00C24F78" w:rsidRDefault="00271850" w:rsidP="00F61E90">
            <w:pPr>
              <w:spacing w:after="0" w:line="240" w:lineRule="auto"/>
              <w:jc w:val="center"/>
              <w:rPr>
                <w:rFonts w:eastAsia="Times New Roman" w:cstheme="minorHAnsi"/>
                <w:b/>
                <w:bCs/>
                <w:sz w:val="18"/>
                <w:szCs w:val="18"/>
                <w:lang w:eastAsia="en-GB"/>
              </w:rPr>
            </w:pPr>
          </w:p>
        </w:tc>
        <w:tc>
          <w:tcPr>
            <w:tcW w:w="0" w:type="auto"/>
            <w:gridSpan w:val="5"/>
            <w:tcBorders>
              <w:top w:val="single" w:sz="12" w:space="0" w:color="auto"/>
              <w:bottom w:val="single" w:sz="4" w:space="0" w:color="auto"/>
            </w:tcBorders>
          </w:tcPr>
          <w:p w14:paraId="76CEA1EB" w14:textId="77777777" w:rsidR="00271850" w:rsidRPr="00C24F78" w:rsidRDefault="00271850" w:rsidP="00F61E90">
            <w:pPr>
              <w:spacing w:after="0" w:line="240" w:lineRule="auto"/>
              <w:jc w:val="center"/>
              <w:rPr>
                <w:rFonts w:eastAsia="Times New Roman" w:cstheme="minorHAnsi"/>
                <w:b/>
                <w:bCs/>
                <w:sz w:val="18"/>
                <w:szCs w:val="18"/>
                <w:lang w:eastAsia="en-GB"/>
              </w:rPr>
            </w:pPr>
            <w:r w:rsidRPr="00C24F78">
              <w:rPr>
                <w:rFonts w:eastAsia="Times New Roman" w:cstheme="minorHAnsi"/>
                <w:b/>
                <w:bCs/>
                <w:sz w:val="18"/>
                <w:szCs w:val="18"/>
                <w:lang w:eastAsia="en-GB"/>
              </w:rPr>
              <w:t>T1D</w:t>
            </w:r>
          </w:p>
        </w:tc>
      </w:tr>
      <w:tr w:rsidR="005520DD" w:rsidRPr="00C24F78" w14:paraId="7BEE9E1C" w14:textId="77777777" w:rsidTr="00F61E90">
        <w:trPr>
          <w:tblHeader/>
          <w:tblCellSpacing w:w="15" w:type="dxa"/>
        </w:trPr>
        <w:tc>
          <w:tcPr>
            <w:tcW w:w="0" w:type="auto"/>
            <w:vAlign w:val="center"/>
            <w:hideMark/>
          </w:tcPr>
          <w:p w14:paraId="1449C6D9" w14:textId="77777777" w:rsidR="00271850" w:rsidRPr="00C24F78" w:rsidRDefault="00271850" w:rsidP="00F61E90">
            <w:pPr>
              <w:spacing w:after="0" w:line="240" w:lineRule="auto"/>
              <w:rPr>
                <w:rFonts w:eastAsia="Times New Roman" w:cstheme="minorHAnsi"/>
                <w:b/>
                <w:sz w:val="18"/>
                <w:szCs w:val="18"/>
                <w:lang w:eastAsia="en-GB"/>
              </w:rPr>
            </w:pPr>
            <w:r w:rsidRPr="00C24F78">
              <w:rPr>
                <w:rFonts w:eastAsia="Times New Roman" w:cstheme="minorHAnsi"/>
                <w:b/>
                <w:sz w:val="18"/>
                <w:szCs w:val="18"/>
                <w:lang w:eastAsia="en-GB"/>
              </w:rPr>
              <w:t>Variable</w:t>
            </w:r>
          </w:p>
        </w:tc>
        <w:tc>
          <w:tcPr>
            <w:tcW w:w="0" w:type="auto"/>
            <w:vAlign w:val="center"/>
            <w:hideMark/>
          </w:tcPr>
          <w:p w14:paraId="6D5E40AE" w14:textId="77777777" w:rsidR="00271850" w:rsidRPr="00C24F78" w:rsidRDefault="00271850" w:rsidP="00F61E90">
            <w:pPr>
              <w:spacing w:after="0" w:line="240" w:lineRule="auto"/>
              <w:rPr>
                <w:rFonts w:eastAsia="Times New Roman" w:cstheme="minorHAnsi"/>
                <w:bCs/>
                <w:sz w:val="18"/>
                <w:szCs w:val="18"/>
                <w:lang w:eastAsia="en-GB"/>
              </w:rPr>
            </w:pPr>
          </w:p>
        </w:tc>
        <w:tc>
          <w:tcPr>
            <w:tcW w:w="0" w:type="auto"/>
            <w:gridSpan w:val="2"/>
            <w:vAlign w:val="center"/>
            <w:hideMark/>
          </w:tcPr>
          <w:p w14:paraId="53E448D9" w14:textId="77777777" w:rsidR="00271850" w:rsidRPr="00C24F78" w:rsidRDefault="00271850" w:rsidP="00F61E90">
            <w:pPr>
              <w:spacing w:after="0" w:line="240" w:lineRule="auto"/>
              <w:rPr>
                <w:rFonts w:eastAsia="Times New Roman" w:cstheme="minorHAnsi"/>
                <w:b/>
                <w:bCs/>
                <w:sz w:val="18"/>
                <w:szCs w:val="18"/>
                <w:lang w:eastAsia="en-GB"/>
              </w:rPr>
            </w:pPr>
            <w:r w:rsidRPr="00C24F78">
              <w:rPr>
                <w:rFonts w:eastAsia="Times New Roman" w:cstheme="minorHAnsi"/>
                <w:b/>
                <w:bCs/>
                <w:sz w:val="18"/>
                <w:szCs w:val="18"/>
                <w:lang w:eastAsia="en-GB"/>
              </w:rPr>
              <w:t>Univariable</w:t>
            </w:r>
          </w:p>
        </w:tc>
        <w:tc>
          <w:tcPr>
            <w:tcW w:w="0" w:type="auto"/>
          </w:tcPr>
          <w:p w14:paraId="77CB8D90" w14:textId="77777777" w:rsidR="00271850" w:rsidRPr="00C24F78" w:rsidRDefault="00271850" w:rsidP="00F61E90">
            <w:pPr>
              <w:spacing w:after="0" w:line="240" w:lineRule="auto"/>
              <w:jc w:val="center"/>
              <w:rPr>
                <w:rFonts w:eastAsia="Times New Roman" w:cstheme="minorHAnsi"/>
                <w:b/>
                <w:bCs/>
                <w:sz w:val="18"/>
                <w:szCs w:val="18"/>
                <w:lang w:eastAsia="en-GB"/>
              </w:rPr>
            </w:pPr>
          </w:p>
        </w:tc>
        <w:tc>
          <w:tcPr>
            <w:tcW w:w="0" w:type="auto"/>
            <w:gridSpan w:val="3"/>
            <w:vAlign w:val="center"/>
          </w:tcPr>
          <w:p w14:paraId="5702BA42" w14:textId="77777777" w:rsidR="00271850" w:rsidRPr="00C24F78" w:rsidRDefault="00271850" w:rsidP="00F61E90">
            <w:pPr>
              <w:spacing w:after="0" w:line="240" w:lineRule="auto"/>
              <w:jc w:val="center"/>
              <w:rPr>
                <w:rFonts w:eastAsia="Times New Roman" w:cstheme="minorHAnsi"/>
                <w:b/>
                <w:bCs/>
                <w:sz w:val="18"/>
                <w:szCs w:val="18"/>
                <w:lang w:eastAsia="en-GB"/>
              </w:rPr>
            </w:pPr>
            <w:r w:rsidRPr="00C24F78">
              <w:rPr>
                <w:rFonts w:eastAsia="Times New Roman" w:cstheme="minorHAnsi"/>
                <w:b/>
                <w:bCs/>
                <w:sz w:val="18"/>
                <w:szCs w:val="18"/>
                <w:lang w:eastAsia="en-GB"/>
              </w:rPr>
              <w:t>Adjusted</w:t>
            </w:r>
          </w:p>
        </w:tc>
        <w:tc>
          <w:tcPr>
            <w:tcW w:w="0" w:type="auto"/>
          </w:tcPr>
          <w:p w14:paraId="1EB05404" w14:textId="77777777" w:rsidR="00271850" w:rsidRPr="00C24F78" w:rsidRDefault="00271850" w:rsidP="00F61E90">
            <w:pPr>
              <w:spacing w:after="0" w:line="240" w:lineRule="auto"/>
              <w:jc w:val="center"/>
              <w:rPr>
                <w:rFonts w:eastAsia="Times New Roman" w:cstheme="minorHAnsi"/>
                <w:b/>
                <w:bCs/>
                <w:sz w:val="18"/>
                <w:szCs w:val="18"/>
                <w:lang w:eastAsia="en-GB"/>
              </w:rPr>
            </w:pPr>
            <w:r w:rsidRPr="00C24F78">
              <w:rPr>
                <w:rFonts w:eastAsia="Times New Roman" w:cstheme="minorHAnsi"/>
                <w:b/>
                <w:bCs/>
                <w:sz w:val="18"/>
                <w:szCs w:val="18"/>
                <w:lang w:eastAsia="en-GB"/>
              </w:rPr>
              <w:t xml:space="preserve">       </w:t>
            </w:r>
          </w:p>
        </w:tc>
        <w:tc>
          <w:tcPr>
            <w:tcW w:w="0" w:type="auto"/>
            <w:gridSpan w:val="2"/>
          </w:tcPr>
          <w:p w14:paraId="6D93CF5A" w14:textId="77777777" w:rsidR="00271850" w:rsidRPr="00C24F78" w:rsidRDefault="00271850" w:rsidP="00F61E90">
            <w:pPr>
              <w:spacing w:after="0" w:line="240" w:lineRule="auto"/>
              <w:jc w:val="center"/>
              <w:rPr>
                <w:rFonts w:eastAsia="Times New Roman" w:cstheme="minorHAnsi"/>
                <w:b/>
                <w:bCs/>
                <w:sz w:val="18"/>
                <w:szCs w:val="18"/>
                <w:lang w:eastAsia="en-GB"/>
              </w:rPr>
            </w:pPr>
            <w:r w:rsidRPr="00C24F78">
              <w:rPr>
                <w:rFonts w:eastAsia="Times New Roman" w:cstheme="minorHAnsi"/>
                <w:b/>
                <w:bCs/>
                <w:sz w:val="18"/>
                <w:szCs w:val="18"/>
                <w:lang w:eastAsia="en-GB"/>
              </w:rPr>
              <w:t>Univariable</w:t>
            </w:r>
          </w:p>
        </w:tc>
        <w:tc>
          <w:tcPr>
            <w:tcW w:w="0" w:type="auto"/>
            <w:gridSpan w:val="3"/>
          </w:tcPr>
          <w:p w14:paraId="5A86AED9" w14:textId="77777777" w:rsidR="00271850" w:rsidRPr="00C24F78" w:rsidRDefault="00271850" w:rsidP="00F61E90">
            <w:pPr>
              <w:spacing w:after="0" w:line="240" w:lineRule="auto"/>
              <w:jc w:val="center"/>
              <w:rPr>
                <w:rFonts w:eastAsia="Times New Roman" w:cstheme="minorHAnsi"/>
                <w:b/>
                <w:bCs/>
                <w:sz w:val="18"/>
                <w:szCs w:val="18"/>
                <w:lang w:eastAsia="en-GB"/>
              </w:rPr>
            </w:pPr>
            <w:r w:rsidRPr="00C24F78">
              <w:rPr>
                <w:rFonts w:eastAsia="Times New Roman" w:cstheme="minorHAnsi"/>
                <w:b/>
                <w:bCs/>
                <w:sz w:val="18"/>
                <w:szCs w:val="18"/>
                <w:lang w:eastAsia="en-GB"/>
              </w:rPr>
              <w:t>Adjusted</w:t>
            </w:r>
          </w:p>
        </w:tc>
      </w:tr>
      <w:tr w:rsidR="005520DD" w:rsidRPr="00C24F78" w14:paraId="3ABF1268" w14:textId="77777777" w:rsidTr="00F61E90">
        <w:trPr>
          <w:tblHeader/>
          <w:tblCellSpacing w:w="15" w:type="dxa"/>
        </w:trPr>
        <w:tc>
          <w:tcPr>
            <w:tcW w:w="0" w:type="auto"/>
            <w:tcBorders>
              <w:bottom w:val="single" w:sz="4" w:space="0" w:color="auto"/>
            </w:tcBorders>
            <w:vAlign w:val="center"/>
          </w:tcPr>
          <w:p w14:paraId="0C348BDD" w14:textId="77777777" w:rsidR="00271850" w:rsidRPr="00C24F78" w:rsidRDefault="00271850" w:rsidP="00F61E90">
            <w:pPr>
              <w:spacing w:after="0" w:line="240" w:lineRule="auto"/>
              <w:rPr>
                <w:rFonts w:eastAsia="Times New Roman" w:cstheme="minorHAnsi"/>
                <w:sz w:val="18"/>
                <w:szCs w:val="18"/>
                <w:lang w:eastAsia="en-GB"/>
              </w:rPr>
            </w:pPr>
          </w:p>
        </w:tc>
        <w:tc>
          <w:tcPr>
            <w:tcW w:w="0" w:type="auto"/>
            <w:tcBorders>
              <w:bottom w:val="single" w:sz="4" w:space="0" w:color="auto"/>
            </w:tcBorders>
            <w:vAlign w:val="center"/>
          </w:tcPr>
          <w:p w14:paraId="56E66225" w14:textId="77777777" w:rsidR="00271850" w:rsidRPr="00C24F78" w:rsidRDefault="00271850" w:rsidP="00F61E90">
            <w:pPr>
              <w:spacing w:after="0" w:line="240" w:lineRule="auto"/>
              <w:rPr>
                <w:rFonts w:eastAsia="Times New Roman" w:cstheme="minorHAnsi"/>
                <w:bCs/>
                <w:sz w:val="18"/>
                <w:szCs w:val="18"/>
                <w:lang w:eastAsia="en-GB"/>
              </w:rPr>
            </w:pPr>
          </w:p>
        </w:tc>
        <w:tc>
          <w:tcPr>
            <w:tcW w:w="0" w:type="auto"/>
            <w:tcBorders>
              <w:bottom w:val="single" w:sz="4" w:space="0" w:color="auto"/>
            </w:tcBorders>
            <w:vAlign w:val="center"/>
          </w:tcPr>
          <w:p w14:paraId="5F4FFC82" w14:textId="77777777" w:rsidR="00271850" w:rsidRPr="00C24F78" w:rsidRDefault="00271850" w:rsidP="00F61E90">
            <w:pPr>
              <w:spacing w:after="0" w:line="240" w:lineRule="auto"/>
              <w:jc w:val="right"/>
              <w:rPr>
                <w:rFonts w:eastAsia="Times New Roman" w:cstheme="minorHAnsi"/>
                <w:b/>
                <w:bCs/>
                <w:sz w:val="18"/>
                <w:szCs w:val="18"/>
                <w:lang w:eastAsia="en-GB"/>
              </w:rPr>
            </w:pPr>
            <w:r w:rsidRPr="00C24F78">
              <w:rPr>
                <w:rFonts w:eastAsia="Times New Roman" w:cstheme="minorHAnsi"/>
                <w:b/>
                <w:bCs/>
                <w:sz w:val="18"/>
                <w:szCs w:val="18"/>
                <w:lang w:eastAsia="en-GB"/>
              </w:rPr>
              <w:t>HR</w:t>
            </w:r>
          </w:p>
        </w:tc>
        <w:tc>
          <w:tcPr>
            <w:tcW w:w="0" w:type="auto"/>
            <w:tcBorders>
              <w:bottom w:val="single" w:sz="4" w:space="0" w:color="auto"/>
            </w:tcBorders>
          </w:tcPr>
          <w:p w14:paraId="1A96E39E" w14:textId="77777777" w:rsidR="00271850" w:rsidRPr="00C24F78" w:rsidRDefault="00271850" w:rsidP="00F61E90">
            <w:pPr>
              <w:spacing w:after="0" w:line="240" w:lineRule="auto"/>
              <w:jc w:val="right"/>
              <w:rPr>
                <w:rFonts w:eastAsia="Times New Roman" w:cstheme="minorHAnsi"/>
                <w:b/>
                <w:bCs/>
                <w:i/>
                <w:sz w:val="18"/>
                <w:szCs w:val="18"/>
                <w:lang w:eastAsia="en-GB"/>
              </w:rPr>
            </w:pPr>
            <w:r w:rsidRPr="00C24F78">
              <w:rPr>
                <w:rFonts w:eastAsia="Times New Roman" w:cstheme="minorHAnsi"/>
                <w:b/>
                <w:bCs/>
                <w:i/>
                <w:sz w:val="18"/>
                <w:szCs w:val="18"/>
                <w:lang w:eastAsia="en-GB"/>
              </w:rPr>
              <w:t>95%CI</w:t>
            </w:r>
          </w:p>
        </w:tc>
        <w:tc>
          <w:tcPr>
            <w:tcW w:w="0" w:type="auto"/>
            <w:tcBorders>
              <w:bottom w:val="single" w:sz="4" w:space="0" w:color="auto"/>
            </w:tcBorders>
          </w:tcPr>
          <w:p w14:paraId="29A6D674" w14:textId="77777777" w:rsidR="00271850" w:rsidRPr="00C24F78" w:rsidRDefault="00271850" w:rsidP="00F61E90">
            <w:pPr>
              <w:spacing w:after="0" w:line="240" w:lineRule="auto"/>
              <w:jc w:val="right"/>
              <w:rPr>
                <w:rFonts w:eastAsia="Times New Roman" w:cstheme="minorHAnsi"/>
                <w:b/>
                <w:bCs/>
                <w:sz w:val="18"/>
                <w:szCs w:val="18"/>
                <w:lang w:eastAsia="en-GB"/>
              </w:rPr>
            </w:pPr>
          </w:p>
        </w:tc>
        <w:tc>
          <w:tcPr>
            <w:tcW w:w="0" w:type="auto"/>
            <w:tcBorders>
              <w:bottom w:val="single" w:sz="4" w:space="0" w:color="auto"/>
            </w:tcBorders>
            <w:vAlign w:val="center"/>
          </w:tcPr>
          <w:p w14:paraId="007DE082" w14:textId="77777777" w:rsidR="00271850" w:rsidRPr="00C24F78" w:rsidRDefault="00271850" w:rsidP="00F61E90">
            <w:pPr>
              <w:spacing w:after="0" w:line="240" w:lineRule="auto"/>
              <w:jc w:val="right"/>
              <w:rPr>
                <w:rFonts w:eastAsia="Times New Roman" w:cstheme="minorHAnsi"/>
                <w:b/>
                <w:bCs/>
                <w:sz w:val="18"/>
                <w:szCs w:val="18"/>
                <w:lang w:eastAsia="en-GB"/>
              </w:rPr>
            </w:pPr>
            <w:r w:rsidRPr="00C24F78">
              <w:rPr>
                <w:rFonts w:eastAsia="Times New Roman" w:cstheme="minorHAnsi"/>
                <w:b/>
                <w:bCs/>
                <w:sz w:val="18"/>
                <w:szCs w:val="18"/>
                <w:lang w:eastAsia="en-GB"/>
              </w:rPr>
              <w:t>HR</w:t>
            </w:r>
          </w:p>
        </w:tc>
        <w:tc>
          <w:tcPr>
            <w:tcW w:w="0" w:type="auto"/>
            <w:tcBorders>
              <w:bottom w:val="single" w:sz="4" w:space="0" w:color="auto"/>
            </w:tcBorders>
          </w:tcPr>
          <w:p w14:paraId="781A8FD3" w14:textId="77777777" w:rsidR="00271850" w:rsidRPr="00C24F78" w:rsidRDefault="00271850" w:rsidP="00F61E90">
            <w:pPr>
              <w:spacing w:after="0" w:line="240" w:lineRule="auto"/>
              <w:jc w:val="right"/>
              <w:rPr>
                <w:rFonts w:eastAsia="Times New Roman" w:cstheme="minorHAnsi"/>
                <w:b/>
                <w:bCs/>
                <w:i/>
                <w:sz w:val="18"/>
                <w:szCs w:val="18"/>
                <w:lang w:eastAsia="en-GB"/>
              </w:rPr>
            </w:pPr>
            <w:r w:rsidRPr="00C24F78">
              <w:rPr>
                <w:rFonts w:eastAsia="Times New Roman" w:cstheme="minorHAnsi"/>
                <w:b/>
                <w:bCs/>
                <w:i/>
                <w:sz w:val="18"/>
                <w:szCs w:val="18"/>
                <w:lang w:eastAsia="en-GB"/>
              </w:rPr>
              <w:t>95%CI</w:t>
            </w:r>
          </w:p>
        </w:tc>
        <w:tc>
          <w:tcPr>
            <w:tcW w:w="0" w:type="auto"/>
            <w:tcBorders>
              <w:bottom w:val="single" w:sz="4" w:space="0" w:color="auto"/>
            </w:tcBorders>
          </w:tcPr>
          <w:p w14:paraId="2E0C7F20" w14:textId="77777777" w:rsidR="00271850" w:rsidRPr="00C24F78" w:rsidRDefault="00271850" w:rsidP="00F61E90">
            <w:pPr>
              <w:spacing w:after="0" w:line="240" w:lineRule="auto"/>
              <w:jc w:val="right"/>
              <w:rPr>
                <w:rFonts w:eastAsia="Times New Roman" w:cstheme="minorHAnsi"/>
                <w:b/>
                <w:bCs/>
                <w:sz w:val="18"/>
                <w:szCs w:val="18"/>
                <w:lang w:eastAsia="en-GB"/>
              </w:rPr>
            </w:pPr>
          </w:p>
        </w:tc>
        <w:tc>
          <w:tcPr>
            <w:tcW w:w="0" w:type="auto"/>
            <w:tcBorders>
              <w:bottom w:val="single" w:sz="4" w:space="0" w:color="auto"/>
            </w:tcBorders>
          </w:tcPr>
          <w:p w14:paraId="3075BC2D" w14:textId="77777777" w:rsidR="00271850" w:rsidRPr="00C24F78" w:rsidRDefault="00271850" w:rsidP="00F61E90">
            <w:pPr>
              <w:spacing w:after="0" w:line="240" w:lineRule="auto"/>
              <w:jc w:val="right"/>
              <w:rPr>
                <w:rFonts w:eastAsia="Times New Roman" w:cstheme="minorHAnsi"/>
                <w:b/>
                <w:bCs/>
                <w:sz w:val="18"/>
                <w:szCs w:val="18"/>
                <w:lang w:eastAsia="en-GB"/>
              </w:rPr>
            </w:pPr>
          </w:p>
        </w:tc>
        <w:tc>
          <w:tcPr>
            <w:tcW w:w="0" w:type="auto"/>
            <w:tcBorders>
              <w:bottom w:val="single" w:sz="4" w:space="0" w:color="auto"/>
            </w:tcBorders>
          </w:tcPr>
          <w:p w14:paraId="2FC0E41D" w14:textId="77777777" w:rsidR="00271850" w:rsidRPr="00C24F78" w:rsidRDefault="00271850" w:rsidP="00F61E90">
            <w:pPr>
              <w:spacing w:after="0" w:line="240" w:lineRule="auto"/>
              <w:jc w:val="right"/>
              <w:rPr>
                <w:rFonts w:eastAsia="Times New Roman" w:cstheme="minorHAnsi"/>
                <w:b/>
                <w:bCs/>
                <w:sz w:val="18"/>
                <w:szCs w:val="18"/>
                <w:lang w:eastAsia="en-GB"/>
              </w:rPr>
            </w:pPr>
            <w:r w:rsidRPr="00C24F78">
              <w:rPr>
                <w:rFonts w:eastAsia="Times New Roman" w:cstheme="minorHAnsi"/>
                <w:b/>
                <w:bCs/>
                <w:sz w:val="18"/>
                <w:szCs w:val="18"/>
                <w:lang w:eastAsia="en-GB"/>
              </w:rPr>
              <w:t>HR</w:t>
            </w:r>
          </w:p>
        </w:tc>
        <w:tc>
          <w:tcPr>
            <w:tcW w:w="0" w:type="auto"/>
            <w:tcBorders>
              <w:bottom w:val="single" w:sz="4" w:space="0" w:color="auto"/>
            </w:tcBorders>
          </w:tcPr>
          <w:p w14:paraId="15FBF73E" w14:textId="77777777" w:rsidR="00271850" w:rsidRPr="00C24F78" w:rsidRDefault="00271850" w:rsidP="00F61E90">
            <w:pPr>
              <w:spacing w:after="0" w:line="240" w:lineRule="auto"/>
              <w:jc w:val="right"/>
              <w:rPr>
                <w:rFonts w:eastAsia="Times New Roman" w:cstheme="minorHAnsi"/>
                <w:b/>
                <w:bCs/>
                <w:sz w:val="18"/>
                <w:szCs w:val="18"/>
                <w:lang w:eastAsia="en-GB"/>
              </w:rPr>
            </w:pPr>
            <w:r w:rsidRPr="00C24F78">
              <w:rPr>
                <w:rFonts w:eastAsia="Times New Roman" w:cstheme="minorHAnsi"/>
                <w:b/>
                <w:bCs/>
                <w:sz w:val="18"/>
                <w:szCs w:val="18"/>
                <w:lang w:eastAsia="en-GB"/>
              </w:rPr>
              <w:t>95%CI</w:t>
            </w:r>
          </w:p>
        </w:tc>
        <w:tc>
          <w:tcPr>
            <w:tcW w:w="0" w:type="auto"/>
            <w:tcBorders>
              <w:bottom w:val="single" w:sz="4" w:space="0" w:color="auto"/>
            </w:tcBorders>
          </w:tcPr>
          <w:p w14:paraId="7E48BCAB" w14:textId="77777777" w:rsidR="00271850" w:rsidRPr="00C24F78" w:rsidRDefault="00271850" w:rsidP="00F61E90">
            <w:pPr>
              <w:spacing w:after="0" w:line="240" w:lineRule="auto"/>
              <w:jc w:val="right"/>
              <w:rPr>
                <w:rFonts w:eastAsia="Times New Roman" w:cstheme="minorHAnsi"/>
                <w:b/>
                <w:bCs/>
                <w:sz w:val="18"/>
                <w:szCs w:val="18"/>
                <w:lang w:eastAsia="en-GB"/>
              </w:rPr>
            </w:pPr>
            <w:r w:rsidRPr="00C24F78">
              <w:rPr>
                <w:rFonts w:eastAsia="Times New Roman" w:cstheme="minorHAnsi"/>
                <w:b/>
                <w:bCs/>
                <w:sz w:val="18"/>
                <w:szCs w:val="18"/>
                <w:lang w:eastAsia="en-GB"/>
              </w:rPr>
              <w:t>HR</w:t>
            </w:r>
          </w:p>
        </w:tc>
        <w:tc>
          <w:tcPr>
            <w:tcW w:w="0" w:type="auto"/>
            <w:tcBorders>
              <w:bottom w:val="single" w:sz="4" w:space="0" w:color="auto"/>
            </w:tcBorders>
          </w:tcPr>
          <w:p w14:paraId="477AE056" w14:textId="77777777" w:rsidR="00271850" w:rsidRPr="00C24F78" w:rsidRDefault="00271850" w:rsidP="00F61E90">
            <w:pPr>
              <w:spacing w:after="0" w:line="240" w:lineRule="auto"/>
              <w:jc w:val="right"/>
              <w:rPr>
                <w:rFonts w:eastAsia="Times New Roman" w:cstheme="minorHAnsi"/>
                <w:b/>
                <w:bCs/>
                <w:sz w:val="18"/>
                <w:szCs w:val="18"/>
                <w:lang w:eastAsia="en-GB"/>
              </w:rPr>
            </w:pPr>
            <w:r w:rsidRPr="00C24F78">
              <w:rPr>
                <w:rFonts w:eastAsia="Times New Roman" w:cstheme="minorHAnsi"/>
                <w:b/>
                <w:bCs/>
                <w:sz w:val="18"/>
                <w:szCs w:val="18"/>
                <w:lang w:eastAsia="en-GB"/>
              </w:rPr>
              <w:t>95%CI</w:t>
            </w:r>
          </w:p>
        </w:tc>
        <w:tc>
          <w:tcPr>
            <w:tcW w:w="0" w:type="auto"/>
            <w:tcBorders>
              <w:bottom w:val="single" w:sz="4" w:space="0" w:color="auto"/>
            </w:tcBorders>
          </w:tcPr>
          <w:p w14:paraId="4FFD1297" w14:textId="77777777" w:rsidR="00271850" w:rsidRPr="00C24F78" w:rsidRDefault="00271850" w:rsidP="00F61E90">
            <w:pPr>
              <w:spacing w:after="0" w:line="240" w:lineRule="auto"/>
              <w:jc w:val="right"/>
              <w:rPr>
                <w:rFonts w:eastAsia="Times New Roman" w:cstheme="minorHAnsi"/>
                <w:b/>
                <w:bCs/>
                <w:sz w:val="18"/>
                <w:szCs w:val="18"/>
                <w:lang w:eastAsia="en-GB"/>
              </w:rPr>
            </w:pPr>
          </w:p>
        </w:tc>
      </w:tr>
      <w:tr w:rsidR="005520DD" w:rsidRPr="00C24F78" w14:paraId="1E639F35" w14:textId="77777777" w:rsidTr="00F61E90">
        <w:trPr>
          <w:tblCellSpacing w:w="15" w:type="dxa"/>
        </w:trPr>
        <w:tc>
          <w:tcPr>
            <w:tcW w:w="0" w:type="auto"/>
            <w:vAlign w:val="center"/>
          </w:tcPr>
          <w:p w14:paraId="4F31FAAB" w14:textId="77777777" w:rsidR="00271850" w:rsidRPr="00C24F78" w:rsidRDefault="00271850" w:rsidP="00F61E90">
            <w:pPr>
              <w:spacing w:after="0" w:line="240" w:lineRule="auto"/>
              <w:rPr>
                <w:rFonts w:eastAsia="Times New Roman" w:cstheme="minorHAnsi"/>
                <w:sz w:val="18"/>
                <w:szCs w:val="18"/>
                <w:lang w:eastAsia="en-GB"/>
              </w:rPr>
            </w:pPr>
            <w:r w:rsidRPr="00C24F78">
              <w:rPr>
                <w:rFonts w:eastAsia="Times New Roman" w:cstheme="minorHAnsi"/>
                <w:sz w:val="18"/>
                <w:szCs w:val="18"/>
                <w:lang w:eastAsia="en-GB"/>
              </w:rPr>
              <w:t>Rotavirus vaccination</w:t>
            </w:r>
          </w:p>
        </w:tc>
        <w:tc>
          <w:tcPr>
            <w:tcW w:w="0" w:type="auto"/>
            <w:vAlign w:val="center"/>
          </w:tcPr>
          <w:p w14:paraId="4B6A589F" w14:textId="77777777" w:rsidR="00271850" w:rsidRPr="00C24F78" w:rsidRDefault="00271850" w:rsidP="00F61E90">
            <w:pPr>
              <w:spacing w:after="0" w:line="240" w:lineRule="auto"/>
              <w:rPr>
                <w:rFonts w:eastAsia="Times New Roman" w:cstheme="minorHAnsi"/>
                <w:sz w:val="18"/>
                <w:szCs w:val="18"/>
                <w:lang w:eastAsia="en-GB"/>
              </w:rPr>
            </w:pPr>
            <w:r w:rsidRPr="00C24F78">
              <w:rPr>
                <w:rFonts w:eastAsia="Times New Roman" w:cstheme="minorHAnsi"/>
                <w:sz w:val="18"/>
                <w:szCs w:val="18"/>
                <w:lang w:eastAsia="en-GB"/>
              </w:rPr>
              <w:t>No</w:t>
            </w:r>
          </w:p>
        </w:tc>
        <w:tc>
          <w:tcPr>
            <w:tcW w:w="0" w:type="auto"/>
            <w:vAlign w:val="center"/>
          </w:tcPr>
          <w:p w14:paraId="49D6B82F" w14:textId="77777777" w:rsidR="00271850" w:rsidRPr="00C24F78" w:rsidRDefault="00271850" w:rsidP="00F61E90">
            <w:pPr>
              <w:spacing w:after="0" w:line="240" w:lineRule="auto"/>
              <w:jc w:val="right"/>
              <w:rPr>
                <w:rFonts w:eastAsia="Times New Roman" w:cstheme="minorHAnsi"/>
                <w:i/>
                <w:sz w:val="18"/>
                <w:szCs w:val="18"/>
                <w:lang w:eastAsia="en-GB"/>
              </w:rPr>
            </w:pPr>
            <w:r w:rsidRPr="00C24F78">
              <w:rPr>
                <w:rFonts w:eastAsia="Times New Roman" w:cstheme="minorHAnsi"/>
                <w:i/>
                <w:sz w:val="18"/>
                <w:szCs w:val="18"/>
                <w:lang w:eastAsia="en-GB"/>
              </w:rPr>
              <w:t>ref</w:t>
            </w:r>
          </w:p>
        </w:tc>
        <w:tc>
          <w:tcPr>
            <w:tcW w:w="0" w:type="auto"/>
          </w:tcPr>
          <w:p w14:paraId="4D64B68B" w14:textId="77777777" w:rsidR="00271850" w:rsidRPr="00C24F78" w:rsidRDefault="00271850" w:rsidP="00F61E90">
            <w:pPr>
              <w:spacing w:after="0" w:line="240" w:lineRule="auto"/>
              <w:jc w:val="right"/>
              <w:rPr>
                <w:rFonts w:eastAsia="Times New Roman" w:cstheme="minorHAnsi"/>
                <w:i/>
                <w:sz w:val="18"/>
                <w:szCs w:val="18"/>
                <w:lang w:eastAsia="en-GB"/>
              </w:rPr>
            </w:pPr>
            <w:r w:rsidRPr="00C24F78">
              <w:rPr>
                <w:rFonts w:eastAsia="Times New Roman" w:cstheme="minorHAnsi"/>
                <w:i/>
                <w:sz w:val="18"/>
                <w:szCs w:val="18"/>
                <w:lang w:eastAsia="en-GB"/>
              </w:rPr>
              <w:t>ref</w:t>
            </w:r>
          </w:p>
        </w:tc>
        <w:tc>
          <w:tcPr>
            <w:tcW w:w="0" w:type="auto"/>
          </w:tcPr>
          <w:p w14:paraId="2BBBD9AD" w14:textId="77777777" w:rsidR="00271850" w:rsidRPr="00C24F78" w:rsidRDefault="00271850" w:rsidP="00F61E90">
            <w:pPr>
              <w:spacing w:after="0" w:line="240" w:lineRule="auto"/>
              <w:jc w:val="right"/>
              <w:rPr>
                <w:rFonts w:eastAsia="Times New Roman" w:cstheme="minorHAnsi"/>
                <w:i/>
                <w:sz w:val="18"/>
                <w:szCs w:val="18"/>
                <w:lang w:eastAsia="en-GB"/>
              </w:rPr>
            </w:pPr>
          </w:p>
        </w:tc>
        <w:tc>
          <w:tcPr>
            <w:tcW w:w="0" w:type="auto"/>
            <w:vAlign w:val="center"/>
          </w:tcPr>
          <w:p w14:paraId="609A79E4" w14:textId="77777777" w:rsidR="00271850" w:rsidRPr="00C24F78" w:rsidRDefault="00271850" w:rsidP="00F61E90">
            <w:pPr>
              <w:spacing w:after="0" w:line="240" w:lineRule="auto"/>
              <w:jc w:val="right"/>
              <w:rPr>
                <w:rFonts w:eastAsia="Times New Roman" w:cstheme="minorHAnsi"/>
                <w:i/>
                <w:sz w:val="18"/>
                <w:szCs w:val="18"/>
                <w:lang w:eastAsia="en-GB"/>
              </w:rPr>
            </w:pPr>
            <w:r w:rsidRPr="00C24F78">
              <w:rPr>
                <w:rFonts w:eastAsia="Times New Roman" w:cstheme="minorHAnsi"/>
                <w:i/>
                <w:sz w:val="18"/>
                <w:szCs w:val="18"/>
                <w:lang w:eastAsia="en-GB"/>
              </w:rPr>
              <w:t>ref</w:t>
            </w:r>
          </w:p>
        </w:tc>
        <w:tc>
          <w:tcPr>
            <w:tcW w:w="0" w:type="auto"/>
            <w:vAlign w:val="center"/>
          </w:tcPr>
          <w:p w14:paraId="21431AF0" w14:textId="77777777" w:rsidR="00271850" w:rsidRPr="00C24F78" w:rsidRDefault="00271850" w:rsidP="00F61E90">
            <w:pPr>
              <w:spacing w:after="0" w:line="240" w:lineRule="auto"/>
              <w:jc w:val="right"/>
              <w:rPr>
                <w:rFonts w:eastAsia="Times New Roman" w:cstheme="minorHAnsi"/>
                <w:i/>
                <w:sz w:val="18"/>
                <w:szCs w:val="18"/>
                <w:lang w:eastAsia="en-GB"/>
              </w:rPr>
            </w:pPr>
            <w:r w:rsidRPr="00C24F78">
              <w:rPr>
                <w:rFonts w:eastAsia="Times New Roman" w:cstheme="minorHAnsi"/>
                <w:i/>
                <w:sz w:val="18"/>
                <w:szCs w:val="18"/>
                <w:lang w:eastAsia="en-GB"/>
              </w:rPr>
              <w:t>ref</w:t>
            </w:r>
          </w:p>
        </w:tc>
        <w:tc>
          <w:tcPr>
            <w:tcW w:w="0" w:type="auto"/>
            <w:vAlign w:val="center"/>
          </w:tcPr>
          <w:p w14:paraId="266D2D60" w14:textId="77777777" w:rsidR="00271850" w:rsidRPr="00C24F78" w:rsidRDefault="00271850" w:rsidP="00F61E90">
            <w:pPr>
              <w:spacing w:after="0" w:line="240" w:lineRule="auto"/>
              <w:jc w:val="right"/>
              <w:rPr>
                <w:rFonts w:eastAsia="Times New Roman" w:cstheme="minorHAnsi"/>
                <w:i/>
                <w:sz w:val="18"/>
                <w:szCs w:val="18"/>
                <w:lang w:eastAsia="en-GB"/>
              </w:rPr>
            </w:pPr>
          </w:p>
        </w:tc>
        <w:tc>
          <w:tcPr>
            <w:tcW w:w="0" w:type="auto"/>
          </w:tcPr>
          <w:p w14:paraId="45727A97" w14:textId="77777777" w:rsidR="00271850" w:rsidRPr="00C24F78" w:rsidRDefault="00271850" w:rsidP="00F61E90">
            <w:pPr>
              <w:spacing w:after="0" w:line="240" w:lineRule="auto"/>
              <w:jc w:val="right"/>
              <w:rPr>
                <w:rFonts w:eastAsia="Times New Roman" w:cstheme="minorHAnsi"/>
                <w:i/>
                <w:sz w:val="18"/>
                <w:szCs w:val="18"/>
                <w:lang w:eastAsia="en-GB"/>
              </w:rPr>
            </w:pPr>
          </w:p>
        </w:tc>
        <w:tc>
          <w:tcPr>
            <w:tcW w:w="0" w:type="auto"/>
          </w:tcPr>
          <w:p w14:paraId="53D5CDF8" w14:textId="77777777" w:rsidR="00271850" w:rsidRPr="00C24F78" w:rsidRDefault="00271850" w:rsidP="00F61E90">
            <w:pPr>
              <w:spacing w:after="0" w:line="240" w:lineRule="auto"/>
              <w:jc w:val="right"/>
              <w:rPr>
                <w:rFonts w:eastAsia="Times New Roman" w:cstheme="minorHAnsi"/>
                <w:i/>
                <w:sz w:val="18"/>
                <w:szCs w:val="18"/>
                <w:lang w:eastAsia="en-GB"/>
              </w:rPr>
            </w:pPr>
            <w:r w:rsidRPr="00C24F78">
              <w:rPr>
                <w:rFonts w:eastAsia="Times New Roman" w:cstheme="minorHAnsi"/>
                <w:i/>
                <w:sz w:val="18"/>
                <w:szCs w:val="18"/>
                <w:lang w:eastAsia="en-GB"/>
              </w:rPr>
              <w:t>ref</w:t>
            </w:r>
          </w:p>
        </w:tc>
        <w:tc>
          <w:tcPr>
            <w:tcW w:w="0" w:type="auto"/>
          </w:tcPr>
          <w:p w14:paraId="4C4B7823" w14:textId="77777777" w:rsidR="00271850" w:rsidRPr="00C24F78" w:rsidRDefault="00271850" w:rsidP="00F61E90">
            <w:pPr>
              <w:spacing w:after="0" w:line="240" w:lineRule="auto"/>
              <w:jc w:val="right"/>
              <w:rPr>
                <w:rFonts w:eastAsia="Times New Roman" w:cstheme="minorHAnsi"/>
                <w:i/>
                <w:sz w:val="18"/>
                <w:szCs w:val="18"/>
                <w:lang w:eastAsia="en-GB"/>
              </w:rPr>
            </w:pPr>
            <w:r w:rsidRPr="00C24F78">
              <w:rPr>
                <w:rFonts w:eastAsia="Times New Roman" w:cstheme="minorHAnsi"/>
                <w:i/>
                <w:sz w:val="18"/>
                <w:szCs w:val="18"/>
                <w:lang w:eastAsia="en-GB"/>
              </w:rPr>
              <w:t>ref</w:t>
            </w:r>
          </w:p>
        </w:tc>
        <w:tc>
          <w:tcPr>
            <w:tcW w:w="0" w:type="auto"/>
          </w:tcPr>
          <w:p w14:paraId="064CB6C7" w14:textId="77777777" w:rsidR="00271850" w:rsidRPr="00C24F78" w:rsidRDefault="00271850" w:rsidP="00F61E90">
            <w:pPr>
              <w:spacing w:after="0" w:line="240" w:lineRule="auto"/>
              <w:jc w:val="right"/>
              <w:rPr>
                <w:rFonts w:eastAsia="Times New Roman" w:cstheme="minorHAnsi"/>
                <w:i/>
                <w:sz w:val="18"/>
                <w:szCs w:val="18"/>
                <w:lang w:eastAsia="en-GB"/>
              </w:rPr>
            </w:pPr>
            <w:r w:rsidRPr="00C24F78">
              <w:rPr>
                <w:rFonts w:eastAsia="Times New Roman" w:cstheme="minorHAnsi"/>
                <w:i/>
                <w:sz w:val="18"/>
                <w:szCs w:val="18"/>
                <w:lang w:eastAsia="en-GB"/>
              </w:rPr>
              <w:t>ref</w:t>
            </w:r>
          </w:p>
        </w:tc>
        <w:tc>
          <w:tcPr>
            <w:tcW w:w="0" w:type="auto"/>
          </w:tcPr>
          <w:p w14:paraId="480C9E86" w14:textId="77777777" w:rsidR="00271850" w:rsidRPr="00C24F78" w:rsidRDefault="00271850" w:rsidP="00F61E90">
            <w:pPr>
              <w:spacing w:after="0" w:line="240" w:lineRule="auto"/>
              <w:jc w:val="right"/>
              <w:rPr>
                <w:rFonts w:eastAsia="Times New Roman" w:cstheme="minorHAnsi"/>
                <w:i/>
                <w:sz w:val="18"/>
                <w:szCs w:val="18"/>
                <w:lang w:eastAsia="en-GB"/>
              </w:rPr>
            </w:pPr>
            <w:r w:rsidRPr="00C24F78">
              <w:rPr>
                <w:rFonts w:eastAsia="Times New Roman" w:cstheme="minorHAnsi"/>
                <w:i/>
                <w:sz w:val="18"/>
                <w:szCs w:val="18"/>
                <w:lang w:eastAsia="en-GB"/>
              </w:rPr>
              <w:t>ref</w:t>
            </w:r>
          </w:p>
        </w:tc>
        <w:tc>
          <w:tcPr>
            <w:tcW w:w="0" w:type="auto"/>
          </w:tcPr>
          <w:p w14:paraId="272A574B" w14:textId="77777777" w:rsidR="00271850" w:rsidRPr="00C24F78" w:rsidRDefault="00271850" w:rsidP="00F61E90">
            <w:pPr>
              <w:spacing w:after="0" w:line="240" w:lineRule="auto"/>
              <w:jc w:val="right"/>
              <w:rPr>
                <w:rFonts w:eastAsia="Times New Roman" w:cstheme="minorHAnsi"/>
                <w:i/>
                <w:sz w:val="18"/>
                <w:szCs w:val="18"/>
                <w:lang w:eastAsia="en-GB"/>
              </w:rPr>
            </w:pPr>
          </w:p>
        </w:tc>
      </w:tr>
      <w:tr w:rsidR="005520DD" w:rsidRPr="00C24F78" w14:paraId="0568D85D" w14:textId="77777777" w:rsidTr="00F61E90">
        <w:trPr>
          <w:tblCellSpacing w:w="15" w:type="dxa"/>
        </w:trPr>
        <w:tc>
          <w:tcPr>
            <w:tcW w:w="0" w:type="auto"/>
            <w:vAlign w:val="center"/>
          </w:tcPr>
          <w:p w14:paraId="6EDF6840" w14:textId="77777777" w:rsidR="00271850" w:rsidRPr="00C24F78" w:rsidRDefault="00271850" w:rsidP="00F61E90">
            <w:pPr>
              <w:spacing w:after="0" w:line="240" w:lineRule="auto"/>
              <w:rPr>
                <w:rFonts w:eastAsia="Times New Roman" w:cstheme="minorHAnsi"/>
                <w:sz w:val="18"/>
                <w:szCs w:val="18"/>
                <w:lang w:eastAsia="en-GB"/>
              </w:rPr>
            </w:pPr>
          </w:p>
        </w:tc>
        <w:tc>
          <w:tcPr>
            <w:tcW w:w="0" w:type="auto"/>
            <w:vAlign w:val="center"/>
          </w:tcPr>
          <w:p w14:paraId="0BAF61B4" w14:textId="77777777" w:rsidR="00271850" w:rsidRPr="00C24F78" w:rsidRDefault="00271850" w:rsidP="00F61E90">
            <w:pPr>
              <w:spacing w:after="0" w:line="240" w:lineRule="auto"/>
              <w:rPr>
                <w:rFonts w:eastAsia="Times New Roman" w:cstheme="minorHAnsi"/>
                <w:sz w:val="18"/>
                <w:szCs w:val="18"/>
                <w:lang w:eastAsia="en-GB"/>
              </w:rPr>
            </w:pPr>
            <w:r w:rsidRPr="00C24F78">
              <w:rPr>
                <w:rFonts w:eastAsia="Times New Roman" w:cstheme="minorHAnsi"/>
                <w:sz w:val="18"/>
                <w:szCs w:val="18"/>
                <w:lang w:eastAsia="en-GB"/>
              </w:rPr>
              <w:t>Yes</w:t>
            </w:r>
          </w:p>
        </w:tc>
        <w:tc>
          <w:tcPr>
            <w:tcW w:w="0" w:type="auto"/>
            <w:vAlign w:val="center"/>
          </w:tcPr>
          <w:p w14:paraId="6243F301" w14:textId="03CDBD0E" w:rsidR="00271850" w:rsidRPr="00C24F78" w:rsidRDefault="00271850" w:rsidP="00F61E90">
            <w:pPr>
              <w:spacing w:after="0" w:line="240" w:lineRule="auto"/>
              <w:jc w:val="right"/>
              <w:rPr>
                <w:rFonts w:eastAsia="Times New Roman" w:cstheme="minorHAnsi"/>
                <w:sz w:val="18"/>
                <w:szCs w:val="18"/>
                <w:lang w:eastAsia="en-GB"/>
              </w:rPr>
            </w:pPr>
            <w:r w:rsidRPr="00C24F78">
              <w:rPr>
                <w:rFonts w:eastAsia="Times New Roman" w:cstheme="minorHAnsi"/>
                <w:sz w:val="18"/>
                <w:szCs w:val="18"/>
                <w:lang w:eastAsia="en-GB"/>
              </w:rPr>
              <w:t>0</w:t>
            </w:r>
            <w:r>
              <w:rPr>
                <w:rFonts w:eastAsia="Times New Roman" w:cstheme="minorHAnsi"/>
                <w:sz w:val="18"/>
                <w:szCs w:val="18"/>
                <w:lang w:eastAsia="en-GB"/>
              </w:rPr>
              <w:t>.</w:t>
            </w:r>
            <w:r w:rsidRPr="00C24F78">
              <w:rPr>
                <w:rFonts w:eastAsia="Times New Roman" w:cstheme="minorHAnsi"/>
                <w:sz w:val="18"/>
                <w:szCs w:val="18"/>
                <w:lang w:eastAsia="en-GB"/>
              </w:rPr>
              <w:t>9</w:t>
            </w:r>
            <w:r w:rsidR="00C64A63">
              <w:rPr>
                <w:rFonts w:eastAsia="Times New Roman" w:cstheme="minorHAnsi"/>
                <w:sz w:val="18"/>
                <w:szCs w:val="18"/>
                <w:lang w:eastAsia="en-GB"/>
              </w:rPr>
              <w:t>3</w:t>
            </w:r>
          </w:p>
        </w:tc>
        <w:tc>
          <w:tcPr>
            <w:tcW w:w="0" w:type="auto"/>
          </w:tcPr>
          <w:p w14:paraId="63CE6B8A" w14:textId="04D19304" w:rsidR="00271850" w:rsidRPr="00C24F78" w:rsidRDefault="00271850" w:rsidP="00F61E90">
            <w:pPr>
              <w:spacing w:after="0" w:line="240" w:lineRule="auto"/>
              <w:jc w:val="right"/>
              <w:rPr>
                <w:rFonts w:eastAsia="Times New Roman" w:cstheme="minorHAnsi"/>
                <w:sz w:val="18"/>
                <w:szCs w:val="18"/>
                <w:lang w:eastAsia="en-GB"/>
              </w:rPr>
            </w:pPr>
            <w:r w:rsidRPr="00C24F78">
              <w:rPr>
                <w:rFonts w:eastAsia="Times New Roman" w:cstheme="minorHAnsi"/>
                <w:sz w:val="18"/>
                <w:szCs w:val="18"/>
                <w:lang w:eastAsia="en-GB"/>
              </w:rPr>
              <w:t>0</w:t>
            </w:r>
            <w:r>
              <w:rPr>
                <w:rFonts w:eastAsia="Times New Roman" w:cstheme="minorHAnsi"/>
                <w:sz w:val="18"/>
                <w:szCs w:val="18"/>
                <w:lang w:eastAsia="en-GB"/>
              </w:rPr>
              <w:t>.</w:t>
            </w:r>
            <w:r w:rsidRPr="00C24F78">
              <w:rPr>
                <w:rFonts w:eastAsia="Times New Roman" w:cstheme="minorHAnsi"/>
                <w:sz w:val="18"/>
                <w:szCs w:val="18"/>
                <w:lang w:eastAsia="en-GB"/>
              </w:rPr>
              <w:t>8</w:t>
            </w:r>
            <w:r w:rsidR="00C64A63">
              <w:rPr>
                <w:rFonts w:eastAsia="Times New Roman" w:cstheme="minorHAnsi"/>
                <w:sz w:val="18"/>
                <w:szCs w:val="18"/>
                <w:lang w:eastAsia="en-GB"/>
              </w:rPr>
              <w:t>4</w:t>
            </w:r>
            <w:r w:rsidRPr="00C24F78">
              <w:rPr>
                <w:rFonts w:eastAsia="Times New Roman" w:cstheme="minorHAnsi"/>
                <w:sz w:val="18"/>
                <w:szCs w:val="18"/>
                <w:lang w:eastAsia="en-GB"/>
              </w:rPr>
              <w:t>-1</w:t>
            </w:r>
            <w:r>
              <w:rPr>
                <w:rFonts w:eastAsia="Times New Roman" w:cstheme="minorHAnsi"/>
                <w:sz w:val="18"/>
                <w:szCs w:val="18"/>
                <w:lang w:eastAsia="en-GB"/>
              </w:rPr>
              <w:t>.</w:t>
            </w:r>
            <w:r w:rsidRPr="00C24F78">
              <w:rPr>
                <w:rFonts w:eastAsia="Times New Roman" w:cstheme="minorHAnsi"/>
                <w:sz w:val="18"/>
                <w:szCs w:val="18"/>
                <w:lang w:eastAsia="en-GB"/>
              </w:rPr>
              <w:t>0</w:t>
            </w:r>
            <w:r w:rsidR="00C64A63">
              <w:rPr>
                <w:rFonts w:eastAsia="Times New Roman" w:cstheme="minorHAnsi"/>
                <w:sz w:val="18"/>
                <w:szCs w:val="18"/>
                <w:lang w:eastAsia="en-GB"/>
              </w:rPr>
              <w:t>4</w:t>
            </w:r>
          </w:p>
        </w:tc>
        <w:tc>
          <w:tcPr>
            <w:tcW w:w="0" w:type="auto"/>
          </w:tcPr>
          <w:p w14:paraId="010088D8" w14:textId="77777777" w:rsidR="00271850" w:rsidRPr="00C24F78" w:rsidRDefault="00271850" w:rsidP="00F61E90">
            <w:pPr>
              <w:spacing w:after="0" w:line="240" w:lineRule="auto"/>
              <w:jc w:val="right"/>
              <w:rPr>
                <w:rFonts w:eastAsia="Times New Roman" w:cstheme="minorHAnsi"/>
                <w:sz w:val="18"/>
                <w:szCs w:val="18"/>
                <w:lang w:eastAsia="en-GB"/>
              </w:rPr>
            </w:pPr>
          </w:p>
        </w:tc>
        <w:tc>
          <w:tcPr>
            <w:tcW w:w="0" w:type="auto"/>
            <w:vAlign w:val="center"/>
          </w:tcPr>
          <w:p w14:paraId="0C8E75AD" w14:textId="7701B31A" w:rsidR="00271850" w:rsidRPr="00C24F78" w:rsidRDefault="00271850" w:rsidP="00F61E90">
            <w:pPr>
              <w:spacing w:after="0" w:line="240" w:lineRule="auto"/>
              <w:jc w:val="right"/>
              <w:rPr>
                <w:rFonts w:eastAsia="Times New Roman" w:cstheme="minorHAnsi"/>
                <w:sz w:val="18"/>
                <w:szCs w:val="18"/>
                <w:lang w:eastAsia="en-GB"/>
              </w:rPr>
            </w:pPr>
            <w:r w:rsidRPr="00C24F78">
              <w:rPr>
                <w:rFonts w:eastAsia="Times New Roman" w:cstheme="minorHAnsi"/>
                <w:sz w:val="18"/>
                <w:szCs w:val="18"/>
                <w:lang w:eastAsia="en-GB"/>
              </w:rPr>
              <w:t>1</w:t>
            </w:r>
            <w:r>
              <w:rPr>
                <w:rFonts w:eastAsia="Times New Roman" w:cstheme="minorHAnsi"/>
                <w:sz w:val="18"/>
                <w:szCs w:val="18"/>
                <w:lang w:eastAsia="en-GB"/>
              </w:rPr>
              <w:t>.</w:t>
            </w:r>
            <w:r w:rsidRPr="00C24F78">
              <w:rPr>
                <w:rFonts w:eastAsia="Times New Roman" w:cstheme="minorHAnsi"/>
                <w:sz w:val="18"/>
                <w:szCs w:val="18"/>
                <w:lang w:eastAsia="en-GB"/>
              </w:rPr>
              <w:t>0</w:t>
            </w:r>
            <w:r w:rsidR="00C64A63">
              <w:rPr>
                <w:rFonts w:eastAsia="Times New Roman" w:cstheme="minorHAnsi"/>
                <w:sz w:val="18"/>
                <w:szCs w:val="18"/>
                <w:lang w:eastAsia="en-GB"/>
              </w:rPr>
              <w:t>5</w:t>
            </w:r>
          </w:p>
        </w:tc>
        <w:tc>
          <w:tcPr>
            <w:tcW w:w="0" w:type="auto"/>
            <w:vAlign w:val="center"/>
          </w:tcPr>
          <w:p w14:paraId="504531F5" w14:textId="2F8CFC05" w:rsidR="00271850" w:rsidRPr="00C24F78" w:rsidRDefault="00271850" w:rsidP="00F61E90">
            <w:pPr>
              <w:spacing w:after="0" w:line="240" w:lineRule="auto"/>
              <w:jc w:val="right"/>
              <w:rPr>
                <w:rFonts w:eastAsia="Times New Roman" w:cstheme="minorHAnsi"/>
                <w:sz w:val="18"/>
                <w:szCs w:val="18"/>
                <w:lang w:eastAsia="en-GB"/>
              </w:rPr>
            </w:pPr>
            <w:r w:rsidRPr="00C24F78">
              <w:rPr>
                <w:rFonts w:eastAsia="Times New Roman" w:cstheme="minorHAnsi"/>
                <w:sz w:val="18"/>
                <w:szCs w:val="18"/>
                <w:lang w:eastAsia="en-GB"/>
              </w:rPr>
              <w:t>0</w:t>
            </w:r>
            <w:r>
              <w:rPr>
                <w:rFonts w:eastAsia="Times New Roman" w:cstheme="minorHAnsi"/>
                <w:sz w:val="18"/>
                <w:szCs w:val="18"/>
                <w:lang w:eastAsia="en-GB"/>
              </w:rPr>
              <w:t>.</w:t>
            </w:r>
            <w:r w:rsidRPr="00C24F78">
              <w:rPr>
                <w:rFonts w:eastAsia="Times New Roman" w:cstheme="minorHAnsi"/>
                <w:sz w:val="18"/>
                <w:szCs w:val="18"/>
                <w:lang w:eastAsia="en-GB"/>
              </w:rPr>
              <w:t>8</w:t>
            </w:r>
            <w:r w:rsidR="00C64A63">
              <w:rPr>
                <w:rFonts w:eastAsia="Times New Roman" w:cstheme="minorHAnsi"/>
                <w:sz w:val="18"/>
                <w:szCs w:val="18"/>
                <w:lang w:eastAsia="en-GB"/>
              </w:rPr>
              <w:t>6</w:t>
            </w:r>
            <w:r w:rsidRPr="00C24F78">
              <w:rPr>
                <w:rFonts w:eastAsia="Times New Roman" w:cstheme="minorHAnsi"/>
                <w:sz w:val="18"/>
                <w:szCs w:val="18"/>
                <w:lang w:eastAsia="en-GB"/>
              </w:rPr>
              <w:t>-1</w:t>
            </w:r>
            <w:r>
              <w:rPr>
                <w:rFonts w:eastAsia="Times New Roman" w:cstheme="minorHAnsi"/>
                <w:sz w:val="18"/>
                <w:szCs w:val="18"/>
                <w:lang w:eastAsia="en-GB"/>
              </w:rPr>
              <w:t>.</w:t>
            </w:r>
            <w:r w:rsidRPr="00C24F78">
              <w:rPr>
                <w:rFonts w:eastAsia="Times New Roman" w:cstheme="minorHAnsi"/>
                <w:sz w:val="18"/>
                <w:szCs w:val="18"/>
                <w:lang w:eastAsia="en-GB"/>
              </w:rPr>
              <w:t>2</w:t>
            </w:r>
            <w:r w:rsidR="00C64A63">
              <w:rPr>
                <w:rFonts w:eastAsia="Times New Roman" w:cstheme="minorHAnsi"/>
                <w:sz w:val="18"/>
                <w:szCs w:val="18"/>
                <w:lang w:eastAsia="en-GB"/>
              </w:rPr>
              <w:t>8</w:t>
            </w:r>
          </w:p>
        </w:tc>
        <w:tc>
          <w:tcPr>
            <w:tcW w:w="0" w:type="auto"/>
            <w:vAlign w:val="center"/>
          </w:tcPr>
          <w:p w14:paraId="099A6D9E" w14:textId="77777777" w:rsidR="00271850" w:rsidRPr="00C24F78" w:rsidRDefault="00271850" w:rsidP="00F61E90">
            <w:pPr>
              <w:spacing w:after="0" w:line="240" w:lineRule="auto"/>
              <w:jc w:val="right"/>
              <w:rPr>
                <w:rFonts w:eastAsia="Times New Roman" w:cstheme="minorHAnsi"/>
                <w:sz w:val="18"/>
                <w:szCs w:val="18"/>
                <w:lang w:eastAsia="en-GB"/>
              </w:rPr>
            </w:pPr>
          </w:p>
        </w:tc>
        <w:tc>
          <w:tcPr>
            <w:tcW w:w="0" w:type="auto"/>
          </w:tcPr>
          <w:p w14:paraId="046C0DE2" w14:textId="77777777" w:rsidR="00271850" w:rsidRPr="00C24F78" w:rsidRDefault="00271850" w:rsidP="00F61E90">
            <w:pPr>
              <w:spacing w:after="0" w:line="240" w:lineRule="auto"/>
              <w:jc w:val="center"/>
              <w:rPr>
                <w:rFonts w:eastAsia="Times New Roman" w:cstheme="minorHAnsi"/>
                <w:sz w:val="18"/>
                <w:szCs w:val="18"/>
                <w:lang w:eastAsia="en-GB"/>
              </w:rPr>
            </w:pPr>
          </w:p>
        </w:tc>
        <w:tc>
          <w:tcPr>
            <w:tcW w:w="0" w:type="auto"/>
          </w:tcPr>
          <w:p w14:paraId="405D5584" w14:textId="4EAD1CE3" w:rsidR="00271850" w:rsidRPr="00C24F78" w:rsidRDefault="00271850" w:rsidP="00F61E90">
            <w:pPr>
              <w:spacing w:after="0" w:line="240" w:lineRule="auto"/>
              <w:jc w:val="right"/>
              <w:rPr>
                <w:rFonts w:eastAsia="Times New Roman" w:cstheme="minorHAnsi"/>
                <w:sz w:val="18"/>
                <w:szCs w:val="18"/>
                <w:lang w:eastAsia="en-GB"/>
              </w:rPr>
            </w:pPr>
            <w:r w:rsidRPr="00C24F78">
              <w:rPr>
                <w:rFonts w:eastAsia="Times New Roman" w:cstheme="minorHAnsi"/>
                <w:sz w:val="18"/>
                <w:szCs w:val="18"/>
                <w:lang w:eastAsia="en-GB"/>
              </w:rPr>
              <w:t>1</w:t>
            </w:r>
            <w:r>
              <w:rPr>
                <w:rFonts w:eastAsia="Times New Roman" w:cstheme="minorHAnsi"/>
                <w:sz w:val="18"/>
                <w:szCs w:val="18"/>
                <w:lang w:eastAsia="en-GB"/>
              </w:rPr>
              <w:t>.</w:t>
            </w:r>
            <w:r w:rsidRPr="00C24F78">
              <w:rPr>
                <w:rFonts w:eastAsia="Times New Roman" w:cstheme="minorHAnsi"/>
                <w:sz w:val="18"/>
                <w:szCs w:val="18"/>
                <w:lang w:eastAsia="en-GB"/>
              </w:rPr>
              <w:t>0</w:t>
            </w:r>
            <w:r w:rsidR="005520DD">
              <w:rPr>
                <w:rFonts w:eastAsia="Times New Roman" w:cstheme="minorHAnsi"/>
                <w:sz w:val="18"/>
                <w:szCs w:val="18"/>
                <w:lang w:eastAsia="en-GB"/>
              </w:rPr>
              <w:t>1</w:t>
            </w:r>
          </w:p>
        </w:tc>
        <w:tc>
          <w:tcPr>
            <w:tcW w:w="0" w:type="auto"/>
          </w:tcPr>
          <w:p w14:paraId="57A68E8E" w14:textId="623A1ED5" w:rsidR="00271850" w:rsidRPr="00C24F78" w:rsidRDefault="00271850" w:rsidP="00F61E90">
            <w:pPr>
              <w:spacing w:after="0" w:line="240" w:lineRule="auto"/>
              <w:jc w:val="right"/>
              <w:rPr>
                <w:rFonts w:eastAsia="Times New Roman" w:cstheme="minorHAnsi"/>
                <w:sz w:val="18"/>
                <w:szCs w:val="18"/>
                <w:lang w:eastAsia="en-GB"/>
              </w:rPr>
            </w:pPr>
            <w:r w:rsidRPr="00C24F78">
              <w:rPr>
                <w:rFonts w:eastAsia="Times New Roman" w:cstheme="minorHAnsi"/>
                <w:sz w:val="18"/>
                <w:szCs w:val="18"/>
                <w:lang w:eastAsia="en-GB"/>
              </w:rPr>
              <w:t>0</w:t>
            </w:r>
            <w:r>
              <w:rPr>
                <w:rFonts w:eastAsia="Times New Roman" w:cstheme="minorHAnsi"/>
                <w:sz w:val="18"/>
                <w:szCs w:val="18"/>
                <w:lang w:eastAsia="en-GB"/>
              </w:rPr>
              <w:t>.</w:t>
            </w:r>
            <w:r w:rsidRPr="00C24F78">
              <w:rPr>
                <w:rFonts w:eastAsia="Times New Roman" w:cstheme="minorHAnsi"/>
                <w:sz w:val="18"/>
                <w:szCs w:val="18"/>
                <w:lang w:eastAsia="en-GB"/>
              </w:rPr>
              <w:t>87-1</w:t>
            </w:r>
            <w:r>
              <w:rPr>
                <w:rFonts w:eastAsia="Times New Roman" w:cstheme="minorHAnsi"/>
                <w:sz w:val="18"/>
                <w:szCs w:val="18"/>
                <w:lang w:eastAsia="en-GB"/>
              </w:rPr>
              <w:t>.</w:t>
            </w:r>
            <w:r w:rsidR="005520DD">
              <w:rPr>
                <w:rFonts w:eastAsia="Times New Roman" w:cstheme="minorHAnsi"/>
                <w:sz w:val="18"/>
                <w:szCs w:val="18"/>
                <w:lang w:eastAsia="en-GB"/>
              </w:rPr>
              <w:t>19</w:t>
            </w:r>
          </w:p>
        </w:tc>
        <w:tc>
          <w:tcPr>
            <w:tcW w:w="0" w:type="auto"/>
          </w:tcPr>
          <w:p w14:paraId="2BB7C31E" w14:textId="6ABDC092" w:rsidR="00271850" w:rsidRPr="00C24F78" w:rsidRDefault="00271850" w:rsidP="00F61E90">
            <w:pPr>
              <w:spacing w:after="0" w:line="240" w:lineRule="auto"/>
              <w:jc w:val="right"/>
              <w:rPr>
                <w:rFonts w:eastAsia="Times New Roman" w:cstheme="minorHAnsi"/>
                <w:sz w:val="18"/>
                <w:szCs w:val="18"/>
                <w:lang w:eastAsia="en-GB"/>
              </w:rPr>
            </w:pPr>
            <w:r w:rsidRPr="00C24F78">
              <w:rPr>
                <w:rFonts w:eastAsia="Times New Roman" w:cstheme="minorHAnsi"/>
                <w:sz w:val="18"/>
                <w:szCs w:val="18"/>
                <w:lang w:eastAsia="en-GB"/>
              </w:rPr>
              <w:t>0</w:t>
            </w:r>
            <w:r>
              <w:rPr>
                <w:rFonts w:eastAsia="Times New Roman" w:cstheme="minorHAnsi"/>
                <w:sz w:val="18"/>
                <w:szCs w:val="18"/>
                <w:lang w:eastAsia="en-GB"/>
              </w:rPr>
              <w:t>.</w:t>
            </w:r>
            <w:r w:rsidR="005E71B7">
              <w:rPr>
                <w:rFonts w:eastAsia="Times New Roman" w:cstheme="minorHAnsi"/>
                <w:sz w:val="18"/>
                <w:szCs w:val="18"/>
                <w:lang w:eastAsia="en-GB"/>
              </w:rPr>
              <w:t>8</w:t>
            </w:r>
            <w:r w:rsidRPr="00C24F78">
              <w:rPr>
                <w:rFonts w:eastAsia="Times New Roman" w:cstheme="minorHAnsi"/>
                <w:sz w:val="18"/>
                <w:szCs w:val="18"/>
                <w:lang w:eastAsia="en-GB"/>
              </w:rPr>
              <w:t>9</w:t>
            </w:r>
          </w:p>
        </w:tc>
        <w:tc>
          <w:tcPr>
            <w:tcW w:w="0" w:type="auto"/>
          </w:tcPr>
          <w:p w14:paraId="43C50E18" w14:textId="475436AE" w:rsidR="00271850" w:rsidRPr="00C24F78" w:rsidRDefault="00271850" w:rsidP="00F61E90">
            <w:pPr>
              <w:spacing w:after="0" w:line="240" w:lineRule="auto"/>
              <w:jc w:val="right"/>
              <w:rPr>
                <w:rFonts w:eastAsia="Times New Roman" w:cstheme="minorHAnsi"/>
                <w:sz w:val="18"/>
                <w:szCs w:val="18"/>
                <w:lang w:eastAsia="en-GB"/>
              </w:rPr>
            </w:pPr>
            <w:r w:rsidRPr="00C24F78">
              <w:rPr>
                <w:rFonts w:eastAsia="Times New Roman" w:cstheme="minorHAnsi"/>
                <w:sz w:val="18"/>
                <w:szCs w:val="18"/>
                <w:lang w:eastAsia="en-GB"/>
              </w:rPr>
              <w:t>0</w:t>
            </w:r>
            <w:r>
              <w:rPr>
                <w:rFonts w:eastAsia="Times New Roman" w:cstheme="minorHAnsi"/>
                <w:sz w:val="18"/>
                <w:szCs w:val="18"/>
                <w:lang w:eastAsia="en-GB"/>
              </w:rPr>
              <w:t>.</w:t>
            </w:r>
            <w:r w:rsidRPr="00C24F78">
              <w:rPr>
                <w:rFonts w:eastAsia="Times New Roman" w:cstheme="minorHAnsi"/>
                <w:sz w:val="18"/>
                <w:szCs w:val="18"/>
                <w:lang w:eastAsia="en-GB"/>
              </w:rPr>
              <w:t>6</w:t>
            </w:r>
            <w:r w:rsidR="005E71B7">
              <w:rPr>
                <w:rFonts w:eastAsia="Times New Roman" w:cstheme="minorHAnsi"/>
                <w:sz w:val="18"/>
                <w:szCs w:val="18"/>
                <w:lang w:eastAsia="en-GB"/>
              </w:rPr>
              <w:t>8</w:t>
            </w:r>
            <w:r w:rsidRPr="00C24F78">
              <w:rPr>
                <w:rFonts w:eastAsia="Times New Roman" w:cstheme="minorHAnsi"/>
                <w:sz w:val="18"/>
                <w:szCs w:val="18"/>
                <w:lang w:eastAsia="en-GB"/>
              </w:rPr>
              <w:t>-1</w:t>
            </w:r>
            <w:r>
              <w:rPr>
                <w:rFonts w:eastAsia="Times New Roman" w:cstheme="minorHAnsi"/>
                <w:sz w:val="18"/>
                <w:szCs w:val="18"/>
                <w:lang w:eastAsia="en-GB"/>
              </w:rPr>
              <w:t>.</w:t>
            </w:r>
            <w:r w:rsidR="005E71B7">
              <w:rPr>
                <w:rFonts w:eastAsia="Times New Roman" w:cstheme="minorHAnsi"/>
                <w:sz w:val="18"/>
                <w:szCs w:val="18"/>
                <w:lang w:eastAsia="en-GB"/>
              </w:rPr>
              <w:t>19</w:t>
            </w:r>
          </w:p>
        </w:tc>
        <w:tc>
          <w:tcPr>
            <w:tcW w:w="0" w:type="auto"/>
          </w:tcPr>
          <w:p w14:paraId="79BA9165" w14:textId="77777777" w:rsidR="00271850" w:rsidRPr="00C24F78" w:rsidRDefault="00271850" w:rsidP="00F61E90">
            <w:pPr>
              <w:spacing w:after="0" w:line="240" w:lineRule="auto"/>
              <w:jc w:val="right"/>
              <w:rPr>
                <w:rFonts w:eastAsia="Times New Roman" w:cstheme="minorHAnsi"/>
                <w:sz w:val="18"/>
                <w:szCs w:val="18"/>
                <w:lang w:eastAsia="en-GB"/>
              </w:rPr>
            </w:pPr>
          </w:p>
        </w:tc>
      </w:tr>
      <w:tr w:rsidR="005520DD" w:rsidRPr="00C24F78" w14:paraId="010EC04B" w14:textId="77777777" w:rsidTr="00F61E90">
        <w:trPr>
          <w:tblCellSpacing w:w="15" w:type="dxa"/>
        </w:trPr>
        <w:tc>
          <w:tcPr>
            <w:tcW w:w="0" w:type="auto"/>
            <w:vAlign w:val="center"/>
            <w:hideMark/>
          </w:tcPr>
          <w:p w14:paraId="22412740" w14:textId="77777777" w:rsidR="00271850" w:rsidRPr="00C24F78" w:rsidRDefault="00271850" w:rsidP="00F61E90">
            <w:pPr>
              <w:spacing w:after="0" w:line="240" w:lineRule="auto"/>
              <w:rPr>
                <w:rFonts w:eastAsia="Times New Roman" w:cstheme="minorHAnsi"/>
                <w:sz w:val="18"/>
                <w:szCs w:val="18"/>
                <w:lang w:eastAsia="en-GB"/>
              </w:rPr>
            </w:pPr>
            <w:r w:rsidRPr="00C24F78">
              <w:rPr>
                <w:rFonts w:eastAsia="Times New Roman" w:cstheme="minorHAnsi"/>
                <w:sz w:val="18"/>
                <w:szCs w:val="18"/>
                <w:lang w:eastAsia="en-GB"/>
              </w:rPr>
              <w:t xml:space="preserve">Sex </w:t>
            </w:r>
          </w:p>
        </w:tc>
        <w:tc>
          <w:tcPr>
            <w:tcW w:w="0" w:type="auto"/>
            <w:vAlign w:val="center"/>
            <w:hideMark/>
          </w:tcPr>
          <w:p w14:paraId="388B9652" w14:textId="77777777" w:rsidR="00271850" w:rsidRPr="00C24F78" w:rsidRDefault="00271850" w:rsidP="00F61E90">
            <w:pPr>
              <w:spacing w:after="0" w:line="240" w:lineRule="auto"/>
              <w:rPr>
                <w:rFonts w:eastAsia="Times New Roman" w:cstheme="minorHAnsi"/>
                <w:sz w:val="18"/>
                <w:szCs w:val="18"/>
                <w:lang w:eastAsia="en-GB"/>
              </w:rPr>
            </w:pPr>
            <w:r w:rsidRPr="00C24F78">
              <w:rPr>
                <w:rFonts w:eastAsia="Times New Roman" w:cstheme="minorHAnsi"/>
                <w:sz w:val="18"/>
                <w:szCs w:val="18"/>
                <w:lang w:eastAsia="en-GB"/>
              </w:rPr>
              <w:t xml:space="preserve">Male </w:t>
            </w:r>
          </w:p>
        </w:tc>
        <w:tc>
          <w:tcPr>
            <w:tcW w:w="0" w:type="auto"/>
            <w:vAlign w:val="center"/>
          </w:tcPr>
          <w:p w14:paraId="5E1299FC" w14:textId="77777777" w:rsidR="00271850" w:rsidRPr="00C24F78" w:rsidRDefault="00271850" w:rsidP="00F61E90">
            <w:pPr>
              <w:spacing w:after="0" w:line="240" w:lineRule="auto"/>
              <w:jc w:val="right"/>
              <w:rPr>
                <w:rFonts w:eastAsia="Times New Roman" w:cstheme="minorHAnsi"/>
                <w:i/>
                <w:sz w:val="18"/>
                <w:szCs w:val="18"/>
                <w:lang w:eastAsia="en-GB"/>
              </w:rPr>
            </w:pPr>
            <w:r w:rsidRPr="00C24F78">
              <w:rPr>
                <w:rFonts w:eastAsia="Times New Roman" w:cstheme="minorHAnsi"/>
                <w:i/>
                <w:sz w:val="18"/>
                <w:szCs w:val="18"/>
                <w:lang w:eastAsia="en-GB"/>
              </w:rPr>
              <w:t>ref</w:t>
            </w:r>
          </w:p>
        </w:tc>
        <w:tc>
          <w:tcPr>
            <w:tcW w:w="0" w:type="auto"/>
          </w:tcPr>
          <w:p w14:paraId="0AAA3C5B" w14:textId="77777777" w:rsidR="00271850" w:rsidRPr="00C24F78" w:rsidRDefault="00271850" w:rsidP="00F61E90">
            <w:pPr>
              <w:spacing w:after="0" w:line="240" w:lineRule="auto"/>
              <w:jc w:val="right"/>
              <w:rPr>
                <w:rFonts w:eastAsia="Times New Roman" w:cstheme="minorHAnsi"/>
                <w:i/>
                <w:sz w:val="18"/>
                <w:szCs w:val="18"/>
                <w:lang w:eastAsia="en-GB"/>
              </w:rPr>
            </w:pPr>
            <w:r w:rsidRPr="00C24F78">
              <w:rPr>
                <w:rFonts w:eastAsia="Times New Roman" w:cstheme="minorHAnsi"/>
                <w:i/>
                <w:sz w:val="18"/>
                <w:szCs w:val="18"/>
                <w:lang w:eastAsia="en-GB"/>
              </w:rPr>
              <w:t>ref</w:t>
            </w:r>
          </w:p>
        </w:tc>
        <w:tc>
          <w:tcPr>
            <w:tcW w:w="0" w:type="auto"/>
          </w:tcPr>
          <w:p w14:paraId="3FDA2070" w14:textId="77777777" w:rsidR="00271850" w:rsidRPr="00C24F78" w:rsidRDefault="00271850" w:rsidP="00F61E90">
            <w:pPr>
              <w:spacing w:after="0" w:line="240" w:lineRule="auto"/>
              <w:jc w:val="right"/>
              <w:rPr>
                <w:rFonts w:eastAsia="Times New Roman" w:cstheme="minorHAnsi"/>
                <w:i/>
                <w:sz w:val="18"/>
                <w:szCs w:val="18"/>
                <w:lang w:eastAsia="en-GB"/>
              </w:rPr>
            </w:pPr>
          </w:p>
        </w:tc>
        <w:tc>
          <w:tcPr>
            <w:tcW w:w="0" w:type="auto"/>
            <w:vAlign w:val="center"/>
          </w:tcPr>
          <w:p w14:paraId="2E1B3710" w14:textId="77777777" w:rsidR="00271850" w:rsidRPr="00C24F78" w:rsidRDefault="00271850" w:rsidP="00F61E90">
            <w:pPr>
              <w:spacing w:after="0" w:line="240" w:lineRule="auto"/>
              <w:jc w:val="right"/>
              <w:rPr>
                <w:rFonts w:eastAsia="Times New Roman" w:cstheme="minorHAnsi"/>
                <w:i/>
                <w:sz w:val="18"/>
                <w:szCs w:val="18"/>
                <w:lang w:eastAsia="en-GB"/>
              </w:rPr>
            </w:pPr>
            <w:r w:rsidRPr="00C24F78">
              <w:rPr>
                <w:rFonts w:eastAsia="Times New Roman" w:cstheme="minorHAnsi"/>
                <w:i/>
                <w:sz w:val="18"/>
                <w:szCs w:val="18"/>
                <w:lang w:eastAsia="en-GB"/>
              </w:rPr>
              <w:t>ref</w:t>
            </w:r>
          </w:p>
        </w:tc>
        <w:tc>
          <w:tcPr>
            <w:tcW w:w="0" w:type="auto"/>
            <w:vAlign w:val="center"/>
          </w:tcPr>
          <w:p w14:paraId="651C3A80" w14:textId="77777777" w:rsidR="00271850" w:rsidRPr="00C24F78" w:rsidRDefault="00271850" w:rsidP="00F61E90">
            <w:pPr>
              <w:spacing w:after="0" w:line="240" w:lineRule="auto"/>
              <w:jc w:val="right"/>
              <w:rPr>
                <w:rFonts w:eastAsia="Times New Roman" w:cstheme="minorHAnsi"/>
                <w:i/>
                <w:sz w:val="18"/>
                <w:szCs w:val="18"/>
                <w:lang w:eastAsia="en-GB"/>
              </w:rPr>
            </w:pPr>
            <w:r w:rsidRPr="00C24F78">
              <w:rPr>
                <w:rFonts w:eastAsia="Times New Roman" w:cstheme="minorHAnsi"/>
                <w:i/>
                <w:sz w:val="18"/>
                <w:szCs w:val="18"/>
                <w:lang w:eastAsia="en-GB"/>
              </w:rPr>
              <w:t>ref</w:t>
            </w:r>
          </w:p>
        </w:tc>
        <w:tc>
          <w:tcPr>
            <w:tcW w:w="0" w:type="auto"/>
            <w:vAlign w:val="center"/>
          </w:tcPr>
          <w:p w14:paraId="06FD2A9A" w14:textId="77777777" w:rsidR="00271850" w:rsidRPr="00C24F78" w:rsidRDefault="00271850" w:rsidP="00F61E90">
            <w:pPr>
              <w:spacing w:after="0" w:line="240" w:lineRule="auto"/>
              <w:jc w:val="right"/>
              <w:rPr>
                <w:rFonts w:eastAsia="Times New Roman" w:cstheme="minorHAnsi"/>
                <w:i/>
                <w:sz w:val="18"/>
                <w:szCs w:val="18"/>
                <w:lang w:eastAsia="en-GB"/>
              </w:rPr>
            </w:pPr>
          </w:p>
        </w:tc>
        <w:tc>
          <w:tcPr>
            <w:tcW w:w="0" w:type="auto"/>
          </w:tcPr>
          <w:p w14:paraId="39581137" w14:textId="77777777" w:rsidR="00271850" w:rsidRPr="00C24F78" w:rsidRDefault="00271850" w:rsidP="00F61E90">
            <w:pPr>
              <w:spacing w:after="0" w:line="240" w:lineRule="auto"/>
              <w:jc w:val="right"/>
              <w:rPr>
                <w:rFonts w:eastAsia="Times New Roman" w:cstheme="minorHAnsi"/>
                <w:i/>
                <w:sz w:val="18"/>
                <w:szCs w:val="18"/>
                <w:lang w:eastAsia="en-GB"/>
              </w:rPr>
            </w:pPr>
          </w:p>
        </w:tc>
        <w:tc>
          <w:tcPr>
            <w:tcW w:w="0" w:type="auto"/>
          </w:tcPr>
          <w:p w14:paraId="02993876" w14:textId="404471E7" w:rsidR="00271850" w:rsidRPr="00C24F78" w:rsidRDefault="005520DD" w:rsidP="00F61E90">
            <w:pPr>
              <w:spacing w:after="0" w:line="240" w:lineRule="auto"/>
              <w:jc w:val="right"/>
              <w:rPr>
                <w:rFonts w:eastAsia="Times New Roman" w:cstheme="minorHAnsi"/>
                <w:i/>
                <w:sz w:val="18"/>
                <w:szCs w:val="18"/>
                <w:lang w:eastAsia="en-GB"/>
              </w:rPr>
            </w:pPr>
            <w:r w:rsidRPr="00C24F78">
              <w:rPr>
                <w:rFonts w:eastAsia="Times New Roman" w:cstheme="minorHAnsi"/>
                <w:i/>
                <w:sz w:val="18"/>
                <w:szCs w:val="18"/>
                <w:lang w:eastAsia="en-GB"/>
              </w:rPr>
              <w:t>R</w:t>
            </w:r>
            <w:r w:rsidR="00271850" w:rsidRPr="00C24F78">
              <w:rPr>
                <w:rFonts w:eastAsia="Times New Roman" w:cstheme="minorHAnsi"/>
                <w:i/>
                <w:sz w:val="18"/>
                <w:szCs w:val="18"/>
                <w:lang w:eastAsia="en-GB"/>
              </w:rPr>
              <w:t>ef</w:t>
            </w:r>
          </w:p>
        </w:tc>
        <w:tc>
          <w:tcPr>
            <w:tcW w:w="0" w:type="auto"/>
          </w:tcPr>
          <w:p w14:paraId="4B17B34D" w14:textId="77777777" w:rsidR="00271850" w:rsidRPr="00C24F78" w:rsidRDefault="00271850" w:rsidP="00F61E90">
            <w:pPr>
              <w:spacing w:after="0" w:line="240" w:lineRule="auto"/>
              <w:jc w:val="right"/>
              <w:rPr>
                <w:rFonts w:eastAsia="Times New Roman" w:cstheme="minorHAnsi"/>
                <w:i/>
                <w:sz w:val="18"/>
                <w:szCs w:val="18"/>
                <w:lang w:eastAsia="en-GB"/>
              </w:rPr>
            </w:pPr>
            <w:r w:rsidRPr="00C24F78">
              <w:rPr>
                <w:rFonts w:eastAsia="Times New Roman" w:cstheme="minorHAnsi"/>
                <w:i/>
                <w:sz w:val="18"/>
                <w:szCs w:val="18"/>
                <w:lang w:eastAsia="en-GB"/>
              </w:rPr>
              <w:t>ref</w:t>
            </w:r>
          </w:p>
        </w:tc>
        <w:tc>
          <w:tcPr>
            <w:tcW w:w="0" w:type="auto"/>
          </w:tcPr>
          <w:p w14:paraId="67465FCC" w14:textId="77777777" w:rsidR="00271850" w:rsidRPr="00C24F78" w:rsidRDefault="00271850" w:rsidP="00F61E90">
            <w:pPr>
              <w:spacing w:after="0" w:line="240" w:lineRule="auto"/>
              <w:jc w:val="right"/>
              <w:rPr>
                <w:rFonts w:eastAsia="Times New Roman" w:cstheme="minorHAnsi"/>
                <w:i/>
                <w:sz w:val="18"/>
                <w:szCs w:val="18"/>
                <w:lang w:eastAsia="en-GB"/>
              </w:rPr>
            </w:pPr>
            <w:r w:rsidRPr="00C24F78">
              <w:rPr>
                <w:rFonts w:eastAsia="Times New Roman" w:cstheme="minorHAnsi"/>
                <w:i/>
                <w:sz w:val="18"/>
                <w:szCs w:val="18"/>
                <w:lang w:eastAsia="en-GB"/>
              </w:rPr>
              <w:t>ref</w:t>
            </w:r>
          </w:p>
        </w:tc>
        <w:tc>
          <w:tcPr>
            <w:tcW w:w="0" w:type="auto"/>
          </w:tcPr>
          <w:p w14:paraId="11D60940" w14:textId="77777777" w:rsidR="00271850" w:rsidRPr="00C24F78" w:rsidRDefault="00271850" w:rsidP="00F61E90">
            <w:pPr>
              <w:spacing w:after="0" w:line="240" w:lineRule="auto"/>
              <w:jc w:val="right"/>
              <w:rPr>
                <w:rFonts w:eastAsia="Times New Roman" w:cstheme="minorHAnsi"/>
                <w:i/>
                <w:sz w:val="18"/>
                <w:szCs w:val="18"/>
                <w:lang w:eastAsia="en-GB"/>
              </w:rPr>
            </w:pPr>
            <w:r w:rsidRPr="00C24F78">
              <w:rPr>
                <w:rFonts w:eastAsia="Times New Roman" w:cstheme="minorHAnsi"/>
                <w:i/>
                <w:sz w:val="18"/>
                <w:szCs w:val="18"/>
                <w:lang w:eastAsia="en-GB"/>
              </w:rPr>
              <w:t>ref</w:t>
            </w:r>
          </w:p>
        </w:tc>
        <w:tc>
          <w:tcPr>
            <w:tcW w:w="0" w:type="auto"/>
          </w:tcPr>
          <w:p w14:paraId="5B2DA48E" w14:textId="77777777" w:rsidR="00271850" w:rsidRPr="00C24F78" w:rsidRDefault="00271850" w:rsidP="00F61E90">
            <w:pPr>
              <w:spacing w:after="0" w:line="240" w:lineRule="auto"/>
              <w:jc w:val="right"/>
              <w:rPr>
                <w:rFonts w:eastAsia="Times New Roman" w:cstheme="minorHAnsi"/>
                <w:i/>
                <w:sz w:val="18"/>
                <w:szCs w:val="18"/>
                <w:lang w:eastAsia="en-GB"/>
              </w:rPr>
            </w:pPr>
          </w:p>
        </w:tc>
      </w:tr>
      <w:tr w:rsidR="005520DD" w:rsidRPr="00C24F78" w14:paraId="79F84B2F" w14:textId="77777777" w:rsidTr="00F61E90">
        <w:trPr>
          <w:tblCellSpacing w:w="15" w:type="dxa"/>
        </w:trPr>
        <w:tc>
          <w:tcPr>
            <w:tcW w:w="0" w:type="auto"/>
            <w:vAlign w:val="center"/>
            <w:hideMark/>
          </w:tcPr>
          <w:p w14:paraId="2DF3B585" w14:textId="77777777" w:rsidR="00271850" w:rsidRPr="00C24F78" w:rsidRDefault="00271850" w:rsidP="00F61E90">
            <w:pPr>
              <w:spacing w:after="0" w:line="240" w:lineRule="auto"/>
              <w:rPr>
                <w:rFonts w:eastAsia="Times New Roman" w:cstheme="minorHAnsi"/>
                <w:sz w:val="18"/>
                <w:szCs w:val="18"/>
                <w:lang w:eastAsia="en-GB"/>
              </w:rPr>
            </w:pPr>
          </w:p>
        </w:tc>
        <w:tc>
          <w:tcPr>
            <w:tcW w:w="0" w:type="auto"/>
            <w:vAlign w:val="center"/>
            <w:hideMark/>
          </w:tcPr>
          <w:p w14:paraId="7987729A" w14:textId="77777777" w:rsidR="00271850" w:rsidRPr="00C24F78" w:rsidRDefault="00271850" w:rsidP="00F61E90">
            <w:pPr>
              <w:spacing w:after="0" w:line="240" w:lineRule="auto"/>
              <w:rPr>
                <w:rFonts w:eastAsia="Times New Roman" w:cstheme="minorHAnsi"/>
                <w:sz w:val="18"/>
                <w:szCs w:val="18"/>
                <w:lang w:eastAsia="en-GB"/>
              </w:rPr>
            </w:pPr>
            <w:r w:rsidRPr="00C24F78">
              <w:rPr>
                <w:rFonts w:eastAsia="Times New Roman" w:cstheme="minorHAnsi"/>
                <w:sz w:val="18"/>
                <w:szCs w:val="18"/>
                <w:lang w:eastAsia="en-GB"/>
              </w:rPr>
              <w:t xml:space="preserve">Female </w:t>
            </w:r>
          </w:p>
        </w:tc>
        <w:tc>
          <w:tcPr>
            <w:tcW w:w="0" w:type="auto"/>
            <w:vAlign w:val="center"/>
          </w:tcPr>
          <w:p w14:paraId="5C4467A1" w14:textId="04C29D7C" w:rsidR="00271850" w:rsidRPr="00C24F78" w:rsidRDefault="00271850" w:rsidP="00F61E90">
            <w:pPr>
              <w:spacing w:after="0" w:line="240" w:lineRule="auto"/>
              <w:jc w:val="right"/>
              <w:rPr>
                <w:rFonts w:eastAsia="Times New Roman" w:cstheme="minorHAnsi"/>
                <w:sz w:val="18"/>
                <w:szCs w:val="18"/>
                <w:lang w:eastAsia="en-GB"/>
              </w:rPr>
            </w:pPr>
            <w:r w:rsidRPr="00C24F78">
              <w:rPr>
                <w:rFonts w:eastAsia="Times New Roman" w:cstheme="minorHAnsi"/>
                <w:sz w:val="18"/>
                <w:szCs w:val="18"/>
                <w:lang w:eastAsia="en-GB"/>
              </w:rPr>
              <w:t>1</w:t>
            </w:r>
            <w:r>
              <w:rPr>
                <w:rFonts w:eastAsia="Times New Roman" w:cstheme="minorHAnsi"/>
                <w:sz w:val="18"/>
                <w:szCs w:val="18"/>
                <w:lang w:eastAsia="en-GB"/>
              </w:rPr>
              <w:t>.</w:t>
            </w:r>
            <w:r w:rsidRPr="00C24F78">
              <w:rPr>
                <w:rFonts w:eastAsia="Times New Roman" w:cstheme="minorHAnsi"/>
                <w:sz w:val="18"/>
                <w:szCs w:val="18"/>
                <w:lang w:eastAsia="en-GB"/>
              </w:rPr>
              <w:t>4</w:t>
            </w:r>
            <w:r w:rsidR="00C64A63">
              <w:rPr>
                <w:rFonts w:eastAsia="Times New Roman" w:cstheme="minorHAnsi"/>
                <w:sz w:val="18"/>
                <w:szCs w:val="18"/>
                <w:lang w:eastAsia="en-GB"/>
              </w:rPr>
              <w:t>2</w:t>
            </w:r>
          </w:p>
        </w:tc>
        <w:tc>
          <w:tcPr>
            <w:tcW w:w="0" w:type="auto"/>
          </w:tcPr>
          <w:p w14:paraId="47488074" w14:textId="2A991430" w:rsidR="00271850" w:rsidRPr="00C24F78" w:rsidRDefault="00271850" w:rsidP="00F61E90">
            <w:pPr>
              <w:spacing w:after="0" w:line="240" w:lineRule="auto"/>
              <w:jc w:val="right"/>
              <w:rPr>
                <w:rFonts w:eastAsia="Times New Roman" w:cstheme="minorHAnsi"/>
                <w:sz w:val="18"/>
                <w:szCs w:val="18"/>
                <w:lang w:eastAsia="en-GB"/>
              </w:rPr>
            </w:pPr>
            <w:r w:rsidRPr="00C24F78">
              <w:rPr>
                <w:rFonts w:eastAsia="Times New Roman" w:cstheme="minorHAnsi"/>
                <w:sz w:val="18"/>
                <w:szCs w:val="18"/>
                <w:lang w:eastAsia="en-GB"/>
              </w:rPr>
              <w:t>1</w:t>
            </w:r>
            <w:r>
              <w:rPr>
                <w:rFonts w:eastAsia="Times New Roman" w:cstheme="minorHAnsi"/>
                <w:sz w:val="18"/>
                <w:szCs w:val="18"/>
                <w:lang w:eastAsia="en-GB"/>
              </w:rPr>
              <w:t>.</w:t>
            </w:r>
            <w:r w:rsidRPr="00C24F78">
              <w:rPr>
                <w:rFonts w:eastAsia="Times New Roman" w:cstheme="minorHAnsi"/>
                <w:sz w:val="18"/>
                <w:szCs w:val="18"/>
                <w:lang w:eastAsia="en-GB"/>
              </w:rPr>
              <w:t>2</w:t>
            </w:r>
            <w:r w:rsidR="00C64A63">
              <w:rPr>
                <w:rFonts w:eastAsia="Times New Roman" w:cstheme="minorHAnsi"/>
                <w:sz w:val="18"/>
                <w:szCs w:val="18"/>
                <w:lang w:eastAsia="en-GB"/>
              </w:rPr>
              <w:t>9</w:t>
            </w:r>
            <w:r w:rsidRPr="00C24F78">
              <w:rPr>
                <w:rFonts w:eastAsia="Times New Roman" w:cstheme="minorHAnsi"/>
                <w:sz w:val="18"/>
                <w:szCs w:val="18"/>
                <w:lang w:eastAsia="en-GB"/>
              </w:rPr>
              <w:t>-1</w:t>
            </w:r>
            <w:r>
              <w:rPr>
                <w:rFonts w:eastAsia="Times New Roman" w:cstheme="minorHAnsi"/>
                <w:sz w:val="18"/>
                <w:szCs w:val="18"/>
                <w:lang w:eastAsia="en-GB"/>
              </w:rPr>
              <w:t>.</w:t>
            </w:r>
            <w:r w:rsidRPr="00C24F78">
              <w:rPr>
                <w:rFonts w:eastAsia="Times New Roman" w:cstheme="minorHAnsi"/>
                <w:sz w:val="18"/>
                <w:szCs w:val="18"/>
                <w:lang w:eastAsia="en-GB"/>
              </w:rPr>
              <w:t>5</w:t>
            </w:r>
            <w:r w:rsidR="00C64A63">
              <w:rPr>
                <w:rFonts w:eastAsia="Times New Roman" w:cstheme="minorHAnsi"/>
                <w:sz w:val="18"/>
                <w:szCs w:val="18"/>
                <w:lang w:eastAsia="en-GB"/>
              </w:rPr>
              <w:t>6</w:t>
            </w:r>
          </w:p>
        </w:tc>
        <w:tc>
          <w:tcPr>
            <w:tcW w:w="0" w:type="auto"/>
          </w:tcPr>
          <w:p w14:paraId="4374AA5F" w14:textId="77777777" w:rsidR="00271850" w:rsidRPr="00C24F78" w:rsidRDefault="00271850" w:rsidP="00F61E90">
            <w:pPr>
              <w:spacing w:after="0" w:line="240" w:lineRule="auto"/>
              <w:jc w:val="right"/>
              <w:rPr>
                <w:rFonts w:eastAsia="Times New Roman" w:cstheme="minorHAnsi"/>
                <w:sz w:val="18"/>
                <w:szCs w:val="18"/>
                <w:lang w:eastAsia="en-GB"/>
              </w:rPr>
            </w:pPr>
          </w:p>
        </w:tc>
        <w:tc>
          <w:tcPr>
            <w:tcW w:w="0" w:type="auto"/>
            <w:vAlign w:val="center"/>
          </w:tcPr>
          <w:p w14:paraId="6DB8DC3F" w14:textId="4DA82CBC" w:rsidR="00271850" w:rsidRPr="00C24F78" w:rsidRDefault="00271850" w:rsidP="00F61E90">
            <w:pPr>
              <w:spacing w:after="0" w:line="240" w:lineRule="auto"/>
              <w:jc w:val="right"/>
              <w:rPr>
                <w:rFonts w:eastAsia="Times New Roman" w:cstheme="minorHAnsi"/>
                <w:sz w:val="18"/>
                <w:szCs w:val="18"/>
                <w:lang w:eastAsia="en-GB"/>
              </w:rPr>
            </w:pPr>
            <w:r w:rsidRPr="00C24F78">
              <w:rPr>
                <w:rFonts w:eastAsia="Times New Roman" w:cstheme="minorHAnsi"/>
                <w:sz w:val="18"/>
                <w:szCs w:val="18"/>
                <w:lang w:eastAsia="en-GB"/>
              </w:rPr>
              <w:t>1</w:t>
            </w:r>
            <w:r>
              <w:rPr>
                <w:rFonts w:eastAsia="Times New Roman" w:cstheme="minorHAnsi"/>
                <w:sz w:val="18"/>
                <w:szCs w:val="18"/>
                <w:lang w:eastAsia="en-GB"/>
              </w:rPr>
              <w:t>.</w:t>
            </w:r>
            <w:r w:rsidRPr="00C24F78">
              <w:rPr>
                <w:rFonts w:eastAsia="Times New Roman" w:cstheme="minorHAnsi"/>
                <w:sz w:val="18"/>
                <w:szCs w:val="18"/>
                <w:lang w:eastAsia="en-GB"/>
              </w:rPr>
              <w:t>4</w:t>
            </w:r>
            <w:r w:rsidR="00C64A63">
              <w:rPr>
                <w:rFonts w:eastAsia="Times New Roman" w:cstheme="minorHAnsi"/>
                <w:sz w:val="18"/>
                <w:szCs w:val="18"/>
                <w:lang w:eastAsia="en-GB"/>
              </w:rPr>
              <w:t>2</w:t>
            </w:r>
          </w:p>
        </w:tc>
        <w:tc>
          <w:tcPr>
            <w:tcW w:w="0" w:type="auto"/>
            <w:vAlign w:val="center"/>
          </w:tcPr>
          <w:p w14:paraId="67E63FA4" w14:textId="05AE8707" w:rsidR="00271850" w:rsidRPr="00C24F78" w:rsidRDefault="00271850" w:rsidP="00F61E90">
            <w:pPr>
              <w:spacing w:after="0" w:line="240" w:lineRule="auto"/>
              <w:jc w:val="right"/>
              <w:rPr>
                <w:rFonts w:eastAsia="Times New Roman" w:cstheme="minorHAnsi"/>
                <w:sz w:val="18"/>
                <w:szCs w:val="18"/>
                <w:lang w:eastAsia="en-GB"/>
              </w:rPr>
            </w:pPr>
            <w:r w:rsidRPr="00C24F78">
              <w:rPr>
                <w:rFonts w:eastAsia="Times New Roman" w:cstheme="minorHAnsi"/>
                <w:sz w:val="18"/>
                <w:szCs w:val="18"/>
                <w:lang w:eastAsia="en-GB"/>
              </w:rPr>
              <w:t>1</w:t>
            </w:r>
            <w:r>
              <w:rPr>
                <w:rFonts w:eastAsia="Times New Roman" w:cstheme="minorHAnsi"/>
                <w:sz w:val="18"/>
                <w:szCs w:val="18"/>
                <w:lang w:eastAsia="en-GB"/>
              </w:rPr>
              <w:t>.</w:t>
            </w:r>
            <w:r w:rsidRPr="00C24F78">
              <w:rPr>
                <w:rFonts w:eastAsia="Times New Roman" w:cstheme="minorHAnsi"/>
                <w:sz w:val="18"/>
                <w:szCs w:val="18"/>
                <w:lang w:eastAsia="en-GB"/>
              </w:rPr>
              <w:t>2</w:t>
            </w:r>
            <w:r w:rsidR="00C64A63">
              <w:rPr>
                <w:rFonts w:eastAsia="Times New Roman" w:cstheme="minorHAnsi"/>
                <w:sz w:val="18"/>
                <w:szCs w:val="18"/>
                <w:lang w:eastAsia="en-GB"/>
              </w:rPr>
              <w:t>9</w:t>
            </w:r>
            <w:r w:rsidRPr="00C24F78">
              <w:rPr>
                <w:rFonts w:eastAsia="Times New Roman" w:cstheme="minorHAnsi"/>
                <w:sz w:val="18"/>
                <w:szCs w:val="18"/>
                <w:lang w:eastAsia="en-GB"/>
              </w:rPr>
              <w:t>-1</w:t>
            </w:r>
            <w:r>
              <w:rPr>
                <w:rFonts w:eastAsia="Times New Roman" w:cstheme="minorHAnsi"/>
                <w:sz w:val="18"/>
                <w:szCs w:val="18"/>
                <w:lang w:eastAsia="en-GB"/>
              </w:rPr>
              <w:t>.</w:t>
            </w:r>
            <w:r w:rsidRPr="00C24F78">
              <w:rPr>
                <w:rFonts w:eastAsia="Times New Roman" w:cstheme="minorHAnsi"/>
                <w:sz w:val="18"/>
                <w:szCs w:val="18"/>
                <w:lang w:eastAsia="en-GB"/>
              </w:rPr>
              <w:t>5</w:t>
            </w:r>
            <w:r w:rsidR="00C64A63">
              <w:rPr>
                <w:rFonts w:eastAsia="Times New Roman" w:cstheme="minorHAnsi"/>
                <w:sz w:val="18"/>
                <w:szCs w:val="18"/>
                <w:lang w:eastAsia="en-GB"/>
              </w:rPr>
              <w:t>6</w:t>
            </w:r>
          </w:p>
        </w:tc>
        <w:tc>
          <w:tcPr>
            <w:tcW w:w="0" w:type="auto"/>
            <w:vAlign w:val="center"/>
          </w:tcPr>
          <w:p w14:paraId="07246002" w14:textId="77777777" w:rsidR="00271850" w:rsidRPr="00C24F78" w:rsidRDefault="00271850" w:rsidP="00F61E90">
            <w:pPr>
              <w:spacing w:after="0" w:line="240" w:lineRule="auto"/>
              <w:jc w:val="right"/>
              <w:rPr>
                <w:rFonts w:eastAsia="Times New Roman" w:cstheme="minorHAnsi"/>
                <w:sz w:val="18"/>
                <w:szCs w:val="18"/>
                <w:lang w:eastAsia="en-GB"/>
              </w:rPr>
            </w:pPr>
          </w:p>
        </w:tc>
        <w:tc>
          <w:tcPr>
            <w:tcW w:w="0" w:type="auto"/>
          </w:tcPr>
          <w:p w14:paraId="1983CFA5" w14:textId="77777777" w:rsidR="00271850" w:rsidRPr="00C24F78" w:rsidRDefault="00271850" w:rsidP="00F61E90">
            <w:pPr>
              <w:spacing w:after="0" w:line="240" w:lineRule="auto"/>
              <w:jc w:val="right"/>
              <w:rPr>
                <w:rFonts w:eastAsia="Times New Roman" w:cstheme="minorHAnsi"/>
                <w:sz w:val="18"/>
                <w:szCs w:val="18"/>
                <w:lang w:eastAsia="en-GB"/>
              </w:rPr>
            </w:pPr>
          </w:p>
        </w:tc>
        <w:tc>
          <w:tcPr>
            <w:tcW w:w="0" w:type="auto"/>
          </w:tcPr>
          <w:p w14:paraId="70C1B924" w14:textId="137ED284" w:rsidR="00271850" w:rsidRPr="00C24F78" w:rsidRDefault="00271850" w:rsidP="00F61E90">
            <w:pPr>
              <w:spacing w:after="0" w:line="240" w:lineRule="auto"/>
              <w:jc w:val="right"/>
              <w:rPr>
                <w:rFonts w:eastAsia="Times New Roman" w:cstheme="minorHAnsi"/>
                <w:sz w:val="18"/>
                <w:szCs w:val="18"/>
                <w:lang w:eastAsia="en-GB"/>
              </w:rPr>
            </w:pPr>
            <w:r w:rsidRPr="00C24F78">
              <w:rPr>
                <w:rFonts w:eastAsia="Times New Roman" w:cstheme="minorHAnsi"/>
                <w:sz w:val="18"/>
                <w:szCs w:val="18"/>
                <w:lang w:eastAsia="en-GB"/>
              </w:rPr>
              <w:t>1</w:t>
            </w:r>
            <w:r>
              <w:rPr>
                <w:rFonts w:eastAsia="Times New Roman" w:cstheme="minorHAnsi"/>
                <w:sz w:val="18"/>
                <w:szCs w:val="18"/>
                <w:lang w:eastAsia="en-GB"/>
              </w:rPr>
              <w:t>.</w:t>
            </w:r>
            <w:r w:rsidRPr="00C24F78">
              <w:rPr>
                <w:rFonts w:eastAsia="Times New Roman" w:cstheme="minorHAnsi"/>
                <w:sz w:val="18"/>
                <w:szCs w:val="18"/>
                <w:lang w:eastAsia="en-GB"/>
              </w:rPr>
              <w:t>0</w:t>
            </w:r>
            <w:r w:rsidR="005520DD">
              <w:rPr>
                <w:rFonts w:eastAsia="Times New Roman" w:cstheme="minorHAnsi"/>
                <w:sz w:val="18"/>
                <w:szCs w:val="18"/>
                <w:lang w:eastAsia="en-GB"/>
              </w:rPr>
              <w:t>2</w:t>
            </w:r>
          </w:p>
        </w:tc>
        <w:tc>
          <w:tcPr>
            <w:tcW w:w="0" w:type="auto"/>
          </w:tcPr>
          <w:p w14:paraId="52E88FDD" w14:textId="77777777" w:rsidR="00271850" w:rsidRPr="00C24F78" w:rsidRDefault="00271850" w:rsidP="00F61E90">
            <w:pPr>
              <w:spacing w:after="0" w:line="240" w:lineRule="auto"/>
              <w:jc w:val="right"/>
              <w:rPr>
                <w:rFonts w:eastAsia="Times New Roman" w:cstheme="minorHAnsi"/>
                <w:sz w:val="18"/>
                <w:szCs w:val="18"/>
                <w:lang w:eastAsia="en-GB"/>
              </w:rPr>
            </w:pPr>
            <w:r w:rsidRPr="00C24F78">
              <w:rPr>
                <w:rFonts w:eastAsia="Times New Roman" w:cstheme="minorHAnsi"/>
                <w:sz w:val="18"/>
                <w:szCs w:val="18"/>
                <w:lang w:eastAsia="en-GB"/>
              </w:rPr>
              <w:t>0</w:t>
            </w:r>
            <w:r>
              <w:rPr>
                <w:rFonts w:eastAsia="Times New Roman" w:cstheme="minorHAnsi"/>
                <w:sz w:val="18"/>
                <w:szCs w:val="18"/>
                <w:lang w:eastAsia="en-GB"/>
              </w:rPr>
              <w:t>.</w:t>
            </w:r>
            <w:r w:rsidRPr="00C24F78">
              <w:rPr>
                <w:rFonts w:eastAsia="Times New Roman" w:cstheme="minorHAnsi"/>
                <w:sz w:val="18"/>
                <w:szCs w:val="18"/>
                <w:lang w:eastAsia="en-GB"/>
              </w:rPr>
              <w:t>88-1</w:t>
            </w:r>
            <w:r>
              <w:rPr>
                <w:rFonts w:eastAsia="Times New Roman" w:cstheme="minorHAnsi"/>
                <w:sz w:val="18"/>
                <w:szCs w:val="18"/>
                <w:lang w:eastAsia="en-GB"/>
              </w:rPr>
              <w:t>.</w:t>
            </w:r>
            <w:r w:rsidRPr="00C24F78">
              <w:rPr>
                <w:rFonts w:eastAsia="Times New Roman" w:cstheme="minorHAnsi"/>
                <w:sz w:val="18"/>
                <w:szCs w:val="18"/>
                <w:lang w:eastAsia="en-GB"/>
              </w:rPr>
              <w:t>17</w:t>
            </w:r>
          </w:p>
        </w:tc>
        <w:tc>
          <w:tcPr>
            <w:tcW w:w="0" w:type="auto"/>
          </w:tcPr>
          <w:p w14:paraId="3EE3FFCE" w14:textId="035EC38F" w:rsidR="00271850" w:rsidRPr="00C24F78" w:rsidRDefault="00271850" w:rsidP="00F61E90">
            <w:pPr>
              <w:spacing w:after="0" w:line="240" w:lineRule="auto"/>
              <w:jc w:val="right"/>
              <w:rPr>
                <w:rFonts w:eastAsia="Times New Roman" w:cstheme="minorHAnsi"/>
                <w:sz w:val="18"/>
                <w:szCs w:val="18"/>
                <w:lang w:eastAsia="en-GB"/>
              </w:rPr>
            </w:pPr>
            <w:r w:rsidRPr="00C24F78">
              <w:rPr>
                <w:rFonts w:eastAsia="Times New Roman" w:cstheme="minorHAnsi"/>
                <w:sz w:val="18"/>
                <w:szCs w:val="18"/>
                <w:lang w:eastAsia="en-GB"/>
              </w:rPr>
              <w:t>1</w:t>
            </w:r>
            <w:r>
              <w:rPr>
                <w:rFonts w:eastAsia="Times New Roman" w:cstheme="minorHAnsi"/>
                <w:sz w:val="18"/>
                <w:szCs w:val="18"/>
                <w:lang w:eastAsia="en-GB"/>
              </w:rPr>
              <w:t>.</w:t>
            </w:r>
            <w:r w:rsidRPr="00C24F78">
              <w:rPr>
                <w:rFonts w:eastAsia="Times New Roman" w:cstheme="minorHAnsi"/>
                <w:sz w:val="18"/>
                <w:szCs w:val="18"/>
                <w:lang w:eastAsia="en-GB"/>
              </w:rPr>
              <w:t>0</w:t>
            </w:r>
            <w:r w:rsidR="005E71B7">
              <w:rPr>
                <w:rFonts w:eastAsia="Times New Roman" w:cstheme="minorHAnsi"/>
                <w:sz w:val="18"/>
                <w:szCs w:val="18"/>
                <w:lang w:eastAsia="en-GB"/>
              </w:rPr>
              <w:t>2</w:t>
            </w:r>
          </w:p>
        </w:tc>
        <w:tc>
          <w:tcPr>
            <w:tcW w:w="0" w:type="auto"/>
          </w:tcPr>
          <w:p w14:paraId="4BD9589A" w14:textId="77777777" w:rsidR="00271850" w:rsidRPr="00C24F78" w:rsidRDefault="00271850" w:rsidP="00F61E90">
            <w:pPr>
              <w:spacing w:after="0" w:line="240" w:lineRule="auto"/>
              <w:jc w:val="right"/>
              <w:rPr>
                <w:rFonts w:eastAsia="Times New Roman" w:cstheme="minorHAnsi"/>
                <w:sz w:val="18"/>
                <w:szCs w:val="18"/>
                <w:lang w:eastAsia="en-GB"/>
              </w:rPr>
            </w:pPr>
            <w:r w:rsidRPr="00C24F78">
              <w:rPr>
                <w:rFonts w:eastAsia="Times New Roman" w:cstheme="minorHAnsi"/>
                <w:sz w:val="18"/>
                <w:szCs w:val="18"/>
                <w:lang w:eastAsia="en-GB"/>
              </w:rPr>
              <w:t>0</w:t>
            </w:r>
            <w:r>
              <w:rPr>
                <w:rFonts w:eastAsia="Times New Roman" w:cstheme="minorHAnsi"/>
                <w:sz w:val="18"/>
                <w:szCs w:val="18"/>
                <w:lang w:eastAsia="en-GB"/>
              </w:rPr>
              <w:t>.</w:t>
            </w:r>
            <w:r w:rsidRPr="00C24F78">
              <w:rPr>
                <w:rFonts w:eastAsia="Times New Roman" w:cstheme="minorHAnsi"/>
                <w:sz w:val="18"/>
                <w:szCs w:val="18"/>
                <w:lang w:eastAsia="en-GB"/>
              </w:rPr>
              <w:t>88-1</w:t>
            </w:r>
            <w:r>
              <w:rPr>
                <w:rFonts w:eastAsia="Times New Roman" w:cstheme="minorHAnsi"/>
                <w:sz w:val="18"/>
                <w:szCs w:val="18"/>
                <w:lang w:eastAsia="en-GB"/>
              </w:rPr>
              <w:t>.</w:t>
            </w:r>
            <w:r w:rsidRPr="00C24F78">
              <w:rPr>
                <w:rFonts w:eastAsia="Times New Roman" w:cstheme="minorHAnsi"/>
                <w:sz w:val="18"/>
                <w:szCs w:val="18"/>
                <w:lang w:eastAsia="en-GB"/>
              </w:rPr>
              <w:t>17</w:t>
            </w:r>
          </w:p>
        </w:tc>
        <w:tc>
          <w:tcPr>
            <w:tcW w:w="0" w:type="auto"/>
          </w:tcPr>
          <w:p w14:paraId="6C28F2D2" w14:textId="77777777" w:rsidR="00271850" w:rsidRPr="00C24F78" w:rsidRDefault="00271850" w:rsidP="00F61E90">
            <w:pPr>
              <w:spacing w:after="0" w:line="240" w:lineRule="auto"/>
              <w:jc w:val="right"/>
              <w:rPr>
                <w:rFonts w:eastAsia="Times New Roman" w:cstheme="minorHAnsi"/>
                <w:sz w:val="18"/>
                <w:szCs w:val="18"/>
                <w:lang w:eastAsia="en-GB"/>
              </w:rPr>
            </w:pPr>
          </w:p>
        </w:tc>
      </w:tr>
      <w:tr w:rsidR="005520DD" w:rsidRPr="00C24F78" w14:paraId="04D0918E" w14:textId="77777777" w:rsidTr="00F61E90">
        <w:trPr>
          <w:tblCellSpacing w:w="15" w:type="dxa"/>
        </w:trPr>
        <w:tc>
          <w:tcPr>
            <w:tcW w:w="0" w:type="auto"/>
            <w:vAlign w:val="center"/>
            <w:hideMark/>
          </w:tcPr>
          <w:p w14:paraId="456955AA" w14:textId="77777777" w:rsidR="00271850" w:rsidRPr="00C24F78" w:rsidRDefault="00271850" w:rsidP="00F61E90">
            <w:pPr>
              <w:spacing w:after="0" w:line="240" w:lineRule="auto"/>
              <w:rPr>
                <w:rFonts w:eastAsia="Times New Roman" w:cstheme="minorHAnsi"/>
                <w:sz w:val="18"/>
                <w:szCs w:val="18"/>
                <w:lang w:eastAsia="en-GB"/>
              </w:rPr>
            </w:pPr>
            <w:r w:rsidRPr="00C24F78">
              <w:rPr>
                <w:rFonts w:eastAsia="Times New Roman" w:cstheme="minorHAnsi"/>
                <w:sz w:val="18"/>
                <w:szCs w:val="18"/>
                <w:lang w:eastAsia="en-GB"/>
              </w:rPr>
              <w:t xml:space="preserve">Year of birth </w:t>
            </w:r>
          </w:p>
        </w:tc>
        <w:tc>
          <w:tcPr>
            <w:tcW w:w="0" w:type="auto"/>
            <w:vAlign w:val="center"/>
            <w:hideMark/>
          </w:tcPr>
          <w:p w14:paraId="750843E1" w14:textId="77777777" w:rsidR="00271850" w:rsidRPr="00C24F78" w:rsidRDefault="00271850" w:rsidP="00F61E90">
            <w:pPr>
              <w:spacing w:after="0" w:line="240" w:lineRule="auto"/>
              <w:rPr>
                <w:rFonts w:eastAsia="Times New Roman" w:cstheme="minorHAnsi"/>
                <w:sz w:val="18"/>
                <w:szCs w:val="18"/>
                <w:lang w:eastAsia="en-GB"/>
              </w:rPr>
            </w:pPr>
            <w:r w:rsidRPr="00C24F78">
              <w:rPr>
                <w:rFonts w:eastAsia="Times New Roman" w:cstheme="minorHAnsi"/>
                <w:sz w:val="18"/>
                <w:szCs w:val="18"/>
                <w:lang w:eastAsia="en-GB"/>
              </w:rPr>
              <w:t xml:space="preserve">2010 </w:t>
            </w:r>
          </w:p>
        </w:tc>
        <w:tc>
          <w:tcPr>
            <w:tcW w:w="0" w:type="auto"/>
            <w:vAlign w:val="center"/>
          </w:tcPr>
          <w:p w14:paraId="592108DF" w14:textId="77777777" w:rsidR="00271850" w:rsidRPr="00C24F78" w:rsidRDefault="00271850" w:rsidP="00F61E90">
            <w:pPr>
              <w:spacing w:after="0" w:line="240" w:lineRule="auto"/>
              <w:jc w:val="right"/>
              <w:rPr>
                <w:rFonts w:eastAsia="Times New Roman" w:cstheme="minorHAnsi"/>
                <w:i/>
                <w:sz w:val="18"/>
                <w:szCs w:val="18"/>
                <w:lang w:eastAsia="en-GB"/>
              </w:rPr>
            </w:pPr>
            <w:r w:rsidRPr="00C24F78">
              <w:rPr>
                <w:rFonts w:eastAsia="Times New Roman" w:cstheme="minorHAnsi"/>
                <w:i/>
                <w:sz w:val="18"/>
                <w:szCs w:val="18"/>
                <w:lang w:eastAsia="en-GB"/>
              </w:rPr>
              <w:t>ref</w:t>
            </w:r>
          </w:p>
        </w:tc>
        <w:tc>
          <w:tcPr>
            <w:tcW w:w="0" w:type="auto"/>
          </w:tcPr>
          <w:p w14:paraId="635E2FD9" w14:textId="77777777" w:rsidR="00271850" w:rsidRPr="00C24F78" w:rsidRDefault="00271850" w:rsidP="00F61E90">
            <w:pPr>
              <w:spacing w:after="0" w:line="240" w:lineRule="auto"/>
              <w:jc w:val="right"/>
              <w:rPr>
                <w:rFonts w:eastAsia="Times New Roman" w:cstheme="minorHAnsi"/>
                <w:i/>
                <w:sz w:val="18"/>
                <w:szCs w:val="18"/>
                <w:lang w:eastAsia="en-GB"/>
              </w:rPr>
            </w:pPr>
            <w:r w:rsidRPr="00C24F78">
              <w:rPr>
                <w:rFonts w:eastAsia="Times New Roman" w:cstheme="minorHAnsi"/>
                <w:i/>
                <w:sz w:val="18"/>
                <w:szCs w:val="18"/>
                <w:lang w:eastAsia="en-GB"/>
              </w:rPr>
              <w:t>ref</w:t>
            </w:r>
          </w:p>
        </w:tc>
        <w:tc>
          <w:tcPr>
            <w:tcW w:w="0" w:type="auto"/>
          </w:tcPr>
          <w:p w14:paraId="2F5E73B2" w14:textId="77777777" w:rsidR="00271850" w:rsidRPr="00C24F78" w:rsidRDefault="00271850" w:rsidP="00F61E90">
            <w:pPr>
              <w:spacing w:after="0" w:line="240" w:lineRule="auto"/>
              <w:jc w:val="right"/>
              <w:rPr>
                <w:rFonts w:eastAsia="Times New Roman" w:cstheme="minorHAnsi"/>
                <w:i/>
                <w:sz w:val="18"/>
                <w:szCs w:val="18"/>
                <w:lang w:eastAsia="en-GB"/>
              </w:rPr>
            </w:pPr>
          </w:p>
        </w:tc>
        <w:tc>
          <w:tcPr>
            <w:tcW w:w="0" w:type="auto"/>
            <w:vAlign w:val="center"/>
          </w:tcPr>
          <w:p w14:paraId="558941AA" w14:textId="77777777" w:rsidR="00271850" w:rsidRPr="00C24F78" w:rsidRDefault="00271850" w:rsidP="00F61E90">
            <w:pPr>
              <w:spacing w:after="0" w:line="240" w:lineRule="auto"/>
              <w:jc w:val="right"/>
              <w:rPr>
                <w:rFonts w:eastAsia="Times New Roman" w:cstheme="minorHAnsi"/>
                <w:i/>
                <w:sz w:val="18"/>
                <w:szCs w:val="18"/>
                <w:lang w:eastAsia="en-GB"/>
              </w:rPr>
            </w:pPr>
            <w:r w:rsidRPr="00C24F78">
              <w:rPr>
                <w:rFonts w:eastAsia="Times New Roman" w:cstheme="minorHAnsi"/>
                <w:i/>
                <w:sz w:val="18"/>
                <w:szCs w:val="18"/>
                <w:lang w:eastAsia="en-GB"/>
              </w:rPr>
              <w:t>ref</w:t>
            </w:r>
          </w:p>
        </w:tc>
        <w:tc>
          <w:tcPr>
            <w:tcW w:w="0" w:type="auto"/>
            <w:vAlign w:val="center"/>
          </w:tcPr>
          <w:p w14:paraId="0DA8F3F9" w14:textId="77BE9BAE" w:rsidR="00271850" w:rsidRPr="00C24F78" w:rsidRDefault="00C64A63" w:rsidP="00F61E90">
            <w:pPr>
              <w:spacing w:after="0" w:line="240" w:lineRule="auto"/>
              <w:jc w:val="right"/>
              <w:rPr>
                <w:rFonts w:eastAsia="Times New Roman" w:cstheme="minorHAnsi"/>
                <w:i/>
                <w:sz w:val="18"/>
                <w:szCs w:val="18"/>
                <w:lang w:eastAsia="en-GB"/>
              </w:rPr>
            </w:pPr>
            <w:r w:rsidRPr="00C24F78">
              <w:rPr>
                <w:rFonts w:eastAsia="Times New Roman" w:cstheme="minorHAnsi"/>
                <w:i/>
                <w:sz w:val="18"/>
                <w:szCs w:val="18"/>
                <w:lang w:eastAsia="en-GB"/>
              </w:rPr>
              <w:t>R</w:t>
            </w:r>
            <w:r w:rsidR="00271850" w:rsidRPr="00C24F78">
              <w:rPr>
                <w:rFonts w:eastAsia="Times New Roman" w:cstheme="minorHAnsi"/>
                <w:i/>
                <w:sz w:val="18"/>
                <w:szCs w:val="18"/>
                <w:lang w:eastAsia="en-GB"/>
              </w:rPr>
              <w:t>ef</w:t>
            </w:r>
          </w:p>
        </w:tc>
        <w:tc>
          <w:tcPr>
            <w:tcW w:w="0" w:type="auto"/>
            <w:vAlign w:val="center"/>
          </w:tcPr>
          <w:p w14:paraId="25A44970" w14:textId="77777777" w:rsidR="00271850" w:rsidRPr="00C24F78" w:rsidRDefault="00271850" w:rsidP="00F61E90">
            <w:pPr>
              <w:spacing w:after="0" w:line="240" w:lineRule="auto"/>
              <w:jc w:val="right"/>
              <w:rPr>
                <w:rFonts w:eastAsia="Times New Roman" w:cstheme="minorHAnsi"/>
                <w:i/>
                <w:sz w:val="18"/>
                <w:szCs w:val="18"/>
                <w:lang w:eastAsia="en-GB"/>
              </w:rPr>
            </w:pPr>
          </w:p>
        </w:tc>
        <w:tc>
          <w:tcPr>
            <w:tcW w:w="0" w:type="auto"/>
          </w:tcPr>
          <w:p w14:paraId="2AA20716" w14:textId="77777777" w:rsidR="00271850" w:rsidRPr="00C24F78" w:rsidRDefault="00271850" w:rsidP="00F61E90">
            <w:pPr>
              <w:spacing w:after="0" w:line="240" w:lineRule="auto"/>
              <w:jc w:val="right"/>
              <w:rPr>
                <w:rFonts w:eastAsia="Times New Roman" w:cstheme="minorHAnsi"/>
                <w:i/>
                <w:sz w:val="18"/>
                <w:szCs w:val="18"/>
                <w:lang w:eastAsia="en-GB"/>
              </w:rPr>
            </w:pPr>
          </w:p>
        </w:tc>
        <w:tc>
          <w:tcPr>
            <w:tcW w:w="0" w:type="auto"/>
          </w:tcPr>
          <w:p w14:paraId="24F68FB7" w14:textId="77777777" w:rsidR="00271850" w:rsidRPr="00C24F78" w:rsidRDefault="00271850" w:rsidP="00F61E90">
            <w:pPr>
              <w:spacing w:after="0" w:line="240" w:lineRule="auto"/>
              <w:jc w:val="right"/>
              <w:rPr>
                <w:rFonts w:eastAsia="Times New Roman" w:cstheme="minorHAnsi"/>
                <w:i/>
                <w:sz w:val="18"/>
                <w:szCs w:val="18"/>
                <w:lang w:eastAsia="en-GB"/>
              </w:rPr>
            </w:pPr>
            <w:r w:rsidRPr="00C24F78">
              <w:rPr>
                <w:rFonts w:eastAsia="Times New Roman" w:cstheme="minorHAnsi"/>
                <w:i/>
                <w:sz w:val="18"/>
                <w:szCs w:val="18"/>
                <w:lang w:eastAsia="en-GB"/>
              </w:rPr>
              <w:t>ref</w:t>
            </w:r>
          </w:p>
        </w:tc>
        <w:tc>
          <w:tcPr>
            <w:tcW w:w="0" w:type="auto"/>
          </w:tcPr>
          <w:p w14:paraId="21F42637" w14:textId="77777777" w:rsidR="00271850" w:rsidRPr="00C24F78" w:rsidRDefault="00271850" w:rsidP="00F61E90">
            <w:pPr>
              <w:spacing w:after="0" w:line="240" w:lineRule="auto"/>
              <w:jc w:val="right"/>
              <w:rPr>
                <w:rFonts w:eastAsia="Times New Roman" w:cstheme="minorHAnsi"/>
                <w:i/>
                <w:sz w:val="18"/>
                <w:szCs w:val="18"/>
                <w:lang w:eastAsia="en-GB"/>
              </w:rPr>
            </w:pPr>
            <w:r w:rsidRPr="00C24F78">
              <w:rPr>
                <w:rFonts w:eastAsia="Times New Roman" w:cstheme="minorHAnsi"/>
                <w:i/>
                <w:sz w:val="18"/>
                <w:szCs w:val="18"/>
                <w:lang w:eastAsia="en-GB"/>
              </w:rPr>
              <w:t>ref</w:t>
            </w:r>
          </w:p>
        </w:tc>
        <w:tc>
          <w:tcPr>
            <w:tcW w:w="0" w:type="auto"/>
          </w:tcPr>
          <w:p w14:paraId="2E6AD171" w14:textId="77777777" w:rsidR="00271850" w:rsidRPr="00C24F78" w:rsidRDefault="00271850" w:rsidP="00F61E90">
            <w:pPr>
              <w:spacing w:after="0" w:line="240" w:lineRule="auto"/>
              <w:jc w:val="right"/>
              <w:rPr>
                <w:rFonts w:eastAsia="Times New Roman" w:cstheme="minorHAnsi"/>
                <w:i/>
                <w:sz w:val="18"/>
                <w:szCs w:val="18"/>
                <w:lang w:eastAsia="en-GB"/>
              </w:rPr>
            </w:pPr>
            <w:r w:rsidRPr="00C24F78">
              <w:rPr>
                <w:rFonts w:eastAsia="Times New Roman" w:cstheme="minorHAnsi"/>
                <w:i/>
                <w:sz w:val="18"/>
                <w:szCs w:val="18"/>
                <w:lang w:eastAsia="en-GB"/>
              </w:rPr>
              <w:t>ref</w:t>
            </w:r>
          </w:p>
        </w:tc>
        <w:tc>
          <w:tcPr>
            <w:tcW w:w="0" w:type="auto"/>
          </w:tcPr>
          <w:p w14:paraId="52F19E23" w14:textId="77777777" w:rsidR="00271850" w:rsidRPr="00C24F78" w:rsidRDefault="00271850" w:rsidP="00F61E90">
            <w:pPr>
              <w:spacing w:after="0" w:line="240" w:lineRule="auto"/>
              <w:jc w:val="right"/>
              <w:rPr>
                <w:rFonts w:eastAsia="Times New Roman" w:cstheme="minorHAnsi"/>
                <w:i/>
                <w:sz w:val="18"/>
                <w:szCs w:val="18"/>
                <w:lang w:eastAsia="en-GB"/>
              </w:rPr>
            </w:pPr>
            <w:r w:rsidRPr="00C24F78">
              <w:rPr>
                <w:rFonts w:eastAsia="Times New Roman" w:cstheme="minorHAnsi"/>
                <w:i/>
                <w:sz w:val="18"/>
                <w:szCs w:val="18"/>
                <w:lang w:eastAsia="en-GB"/>
              </w:rPr>
              <w:t>ref</w:t>
            </w:r>
          </w:p>
        </w:tc>
        <w:tc>
          <w:tcPr>
            <w:tcW w:w="0" w:type="auto"/>
          </w:tcPr>
          <w:p w14:paraId="1A4C8680" w14:textId="77777777" w:rsidR="00271850" w:rsidRPr="00C24F78" w:rsidRDefault="00271850" w:rsidP="00F61E90">
            <w:pPr>
              <w:spacing w:after="0" w:line="240" w:lineRule="auto"/>
              <w:jc w:val="right"/>
              <w:rPr>
                <w:rFonts w:eastAsia="Times New Roman" w:cstheme="minorHAnsi"/>
                <w:i/>
                <w:sz w:val="18"/>
                <w:szCs w:val="18"/>
                <w:lang w:eastAsia="en-GB"/>
              </w:rPr>
            </w:pPr>
          </w:p>
        </w:tc>
      </w:tr>
      <w:tr w:rsidR="005520DD" w:rsidRPr="00C24F78" w14:paraId="18669513" w14:textId="77777777" w:rsidTr="00F61E90">
        <w:trPr>
          <w:tblCellSpacing w:w="15" w:type="dxa"/>
        </w:trPr>
        <w:tc>
          <w:tcPr>
            <w:tcW w:w="0" w:type="auto"/>
            <w:vAlign w:val="center"/>
            <w:hideMark/>
          </w:tcPr>
          <w:p w14:paraId="506C98C7" w14:textId="77777777" w:rsidR="00271850" w:rsidRPr="00C24F78" w:rsidRDefault="00271850" w:rsidP="00F61E90">
            <w:pPr>
              <w:spacing w:after="0" w:line="240" w:lineRule="auto"/>
              <w:rPr>
                <w:rFonts w:eastAsia="Times New Roman" w:cstheme="minorHAnsi"/>
                <w:sz w:val="18"/>
                <w:szCs w:val="18"/>
                <w:lang w:eastAsia="en-GB"/>
              </w:rPr>
            </w:pPr>
          </w:p>
        </w:tc>
        <w:tc>
          <w:tcPr>
            <w:tcW w:w="0" w:type="auto"/>
            <w:vAlign w:val="center"/>
            <w:hideMark/>
          </w:tcPr>
          <w:p w14:paraId="712DD9DD" w14:textId="77777777" w:rsidR="00271850" w:rsidRPr="00C24F78" w:rsidRDefault="00271850" w:rsidP="00F61E90">
            <w:pPr>
              <w:spacing w:after="0" w:line="240" w:lineRule="auto"/>
              <w:rPr>
                <w:rFonts w:eastAsia="Times New Roman" w:cstheme="minorHAnsi"/>
                <w:sz w:val="18"/>
                <w:szCs w:val="18"/>
                <w:lang w:eastAsia="en-GB"/>
              </w:rPr>
            </w:pPr>
            <w:r w:rsidRPr="00C24F78">
              <w:rPr>
                <w:rFonts w:eastAsia="Times New Roman" w:cstheme="minorHAnsi"/>
                <w:sz w:val="18"/>
                <w:szCs w:val="18"/>
                <w:lang w:eastAsia="en-GB"/>
              </w:rPr>
              <w:t xml:space="preserve">2011 </w:t>
            </w:r>
          </w:p>
        </w:tc>
        <w:tc>
          <w:tcPr>
            <w:tcW w:w="0" w:type="auto"/>
            <w:vAlign w:val="center"/>
          </w:tcPr>
          <w:p w14:paraId="070BEFBF" w14:textId="658101DD" w:rsidR="00271850" w:rsidRPr="00C24F78" w:rsidRDefault="00271850" w:rsidP="00F61E90">
            <w:pPr>
              <w:spacing w:after="0" w:line="240" w:lineRule="auto"/>
              <w:jc w:val="right"/>
              <w:rPr>
                <w:rFonts w:eastAsia="Times New Roman" w:cstheme="minorHAnsi"/>
                <w:sz w:val="18"/>
                <w:szCs w:val="18"/>
                <w:lang w:eastAsia="en-GB"/>
              </w:rPr>
            </w:pPr>
            <w:r w:rsidRPr="00C24F78">
              <w:rPr>
                <w:rFonts w:eastAsia="Times New Roman" w:cstheme="minorHAnsi"/>
                <w:sz w:val="18"/>
                <w:szCs w:val="18"/>
                <w:lang w:eastAsia="en-GB"/>
              </w:rPr>
              <w:t>0</w:t>
            </w:r>
            <w:r>
              <w:rPr>
                <w:rFonts w:eastAsia="Times New Roman" w:cstheme="minorHAnsi"/>
                <w:sz w:val="18"/>
                <w:szCs w:val="18"/>
                <w:lang w:eastAsia="en-GB"/>
              </w:rPr>
              <w:t>.</w:t>
            </w:r>
            <w:r w:rsidRPr="00C24F78">
              <w:rPr>
                <w:rFonts w:eastAsia="Times New Roman" w:cstheme="minorHAnsi"/>
                <w:sz w:val="18"/>
                <w:szCs w:val="18"/>
                <w:lang w:eastAsia="en-GB"/>
              </w:rPr>
              <w:t>9</w:t>
            </w:r>
            <w:r w:rsidR="00C64A63">
              <w:rPr>
                <w:rFonts w:eastAsia="Times New Roman" w:cstheme="minorHAnsi"/>
                <w:sz w:val="18"/>
                <w:szCs w:val="18"/>
                <w:lang w:eastAsia="en-GB"/>
              </w:rPr>
              <w:t>8</w:t>
            </w:r>
          </w:p>
        </w:tc>
        <w:tc>
          <w:tcPr>
            <w:tcW w:w="0" w:type="auto"/>
          </w:tcPr>
          <w:p w14:paraId="6FF91A9F" w14:textId="007B31AF" w:rsidR="00271850" w:rsidRPr="00C24F78" w:rsidRDefault="00271850" w:rsidP="00F61E90">
            <w:pPr>
              <w:spacing w:after="0" w:line="240" w:lineRule="auto"/>
              <w:jc w:val="right"/>
              <w:rPr>
                <w:rFonts w:eastAsia="Times New Roman" w:cstheme="minorHAnsi"/>
                <w:sz w:val="18"/>
                <w:szCs w:val="18"/>
                <w:lang w:eastAsia="en-GB"/>
              </w:rPr>
            </w:pPr>
            <w:r w:rsidRPr="00C24F78">
              <w:rPr>
                <w:rFonts w:eastAsia="Times New Roman" w:cstheme="minorHAnsi"/>
                <w:sz w:val="18"/>
                <w:szCs w:val="18"/>
                <w:lang w:eastAsia="en-GB"/>
              </w:rPr>
              <w:t>0</w:t>
            </w:r>
            <w:r>
              <w:rPr>
                <w:rFonts w:eastAsia="Times New Roman" w:cstheme="minorHAnsi"/>
                <w:sz w:val="18"/>
                <w:szCs w:val="18"/>
                <w:lang w:eastAsia="en-GB"/>
              </w:rPr>
              <w:t>.</w:t>
            </w:r>
            <w:r w:rsidRPr="00C24F78">
              <w:rPr>
                <w:rFonts w:eastAsia="Times New Roman" w:cstheme="minorHAnsi"/>
                <w:sz w:val="18"/>
                <w:szCs w:val="18"/>
                <w:lang w:eastAsia="en-GB"/>
              </w:rPr>
              <w:t>8</w:t>
            </w:r>
            <w:r w:rsidR="000F63AA">
              <w:rPr>
                <w:rFonts w:eastAsia="Times New Roman" w:cstheme="minorHAnsi"/>
                <w:sz w:val="18"/>
                <w:szCs w:val="18"/>
                <w:lang w:eastAsia="en-GB"/>
              </w:rPr>
              <w:t>5</w:t>
            </w:r>
            <w:r w:rsidRPr="00C24F78">
              <w:rPr>
                <w:rFonts w:eastAsia="Times New Roman" w:cstheme="minorHAnsi"/>
                <w:sz w:val="18"/>
                <w:szCs w:val="18"/>
                <w:lang w:eastAsia="en-GB"/>
              </w:rPr>
              <w:t>-1</w:t>
            </w:r>
            <w:r>
              <w:rPr>
                <w:rFonts w:eastAsia="Times New Roman" w:cstheme="minorHAnsi"/>
                <w:sz w:val="18"/>
                <w:szCs w:val="18"/>
                <w:lang w:eastAsia="en-GB"/>
              </w:rPr>
              <w:t>.</w:t>
            </w:r>
            <w:r w:rsidRPr="00C24F78">
              <w:rPr>
                <w:rFonts w:eastAsia="Times New Roman" w:cstheme="minorHAnsi"/>
                <w:sz w:val="18"/>
                <w:szCs w:val="18"/>
                <w:lang w:eastAsia="en-GB"/>
              </w:rPr>
              <w:t>1</w:t>
            </w:r>
            <w:r w:rsidR="000F63AA">
              <w:rPr>
                <w:rFonts w:eastAsia="Times New Roman" w:cstheme="minorHAnsi"/>
                <w:sz w:val="18"/>
                <w:szCs w:val="18"/>
                <w:lang w:eastAsia="en-GB"/>
              </w:rPr>
              <w:t>4</w:t>
            </w:r>
          </w:p>
        </w:tc>
        <w:tc>
          <w:tcPr>
            <w:tcW w:w="0" w:type="auto"/>
          </w:tcPr>
          <w:p w14:paraId="427F345B" w14:textId="77777777" w:rsidR="00271850" w:rsidRPr="00C24F78" w:rsidRDefault="00271850" w:rsidP="00F61E90">
            <w:pPr>
              <w:spacing w:after="0" w:line="240" w:lineRule="auto"/>
              <w:jc w:val="right"/>
              <w:rPr>
                <w:rFonts w:eastAsia="Times New Roman" w:cstheme="minorHAnsi"/>
                <w:sz w:val="18"/>
                <w:szCs w:val="18"/>
                <w:lang w:eastAsia="en-GB"/>
              </w:rPr>
            </w:pPr>
          </w:p>
        </w:tc>
        <w:tc>
          <w:tcPr>
            <w:tcW w:w="0" w:type="auto"/>
            <w:vAlign w:val="center"/>
          </w:tcPr>
          <w:p w14:paraId="250864CC" w14:textId="112DB748" w:rsidR="00271850" w:rsidRPr="00C24F78" w:rsidRDefault="00271850" w:rsidP="00F61E90">
            <w:pPr>
              <w:spacing w:after="0" w:line="240" w:lineRule="auto"/>
              <w:jc w:val="right"/>
              <w:rPr>
                <w:rFonts w:eastAsia="Times New Roman" w:cstheme="minorHAnsi"/>
                <w:sz w:val="18"/>
                <w:szCs w:val="18"/>
                <w:lang w:eastAsia="en-GB"/>
              </w:rPr>
            </w:pPr>
            <w:r w:rsidRPr="00C24F78">
              <w:rPr>
                <w:rFonts w:eastAsia="Times New Roman" w:cstheme="minorHAnsi"/>
                <w:sz w:val="18"/>
                <w:szCs w:val="18"/>
                <w:lang w:eastAsia="en-GB"/>
              </w:rPr>
              <w:t>0</w:t>
            </w:r>
            <w:r>
              <w:rPr>
                <w:rFonts w:eastAsia="Times New Roman" w:cstheme="minorHAnsi"/>
                <w:sz w:val="18"/>
                <w:szCs w:val="18"/>
                <w:lang w:eastAsia="en-GB"/>
              </w:rPr>
              <w:t>.</w:t>
            </w:r>
            <w:r w:rsidR="000F63AA" w:rsidRPr="00C24F78">
              <w:rPr>
                <w:rFonts w:eastAsia="Times New Roman" w:cstheme="minorHAnsi"/>
                <w:sz w:val="18"/>
                <w:szCs w:val="18"/>
                <w:lang w:eastAsia="en-GB"/>
              </w:rPr>
              <w:t>9</w:t>
            </w:r>
            <w:r w:rsidR="000F63AA">
              <w:rPr>
                <w:rFonts w:eastAsia="Times New Roman" w:cstheme="minorHAnsi"/>
                <w:sz w:val="18"/>
                <w:szCs w:val="18"/>
                <w:lang w:eastAsia="en-GB"/>
              </w:rPr>
              <w:t>8</w:t>
            </w:r>
          </w:p>
        </w:tc>
        <w:tc>
          <w:tcPr>
            <w:tcW w:w="0" w:type="auto"/>
            <w:vAlign w:val="center"/>
          </w:tcPr>
          <w:p w14:paraId="4E0FA280" w14:textId="359CF7A1" w:rsidR="00271850" w:rsidRPr="00C24F78" w:rsidRDefault="00271850" w:rsidP="00F61E90">
            <w:pPr>
              <w:spacing w:after="0" w:line="240" w:lineRule="auto"/>
              <w:jc w:val="right"/>
              <w:rPr>
                <w:rFonts w:eastAsia="Times New Roman" w:cstheme="minorHAnsi"/>
                <w:sz w:val="18"/>
                <w:szCs w:val="18"/>
                <w:lang w:eastAsia="en-GB"/>
              </w:rPr>
            </w:pPr>
            <w:r w:rsidRPr="00C24F78">
              <w:rPr>
                <w:rFonts w:eastAsia="Times New Roman" w:cstheme="minorHAnsi"/>
                <w:sz w:val="18"/>
                <w:szCs w:val="18"/>
                <w:lang w:eastAsia="en-GB"/>
              </w:rPr>
              <w:t>0</w:t>
            </w:r>
            <w:r>
              <w:rPr>
                <w:rFonts w:eastAsia="Times New Roman" w:cstheme="minorHAnsi"/>
                <w:sz w:val="18"/>
                <w:szCs w:val="18"/>
                <w:lang w:eastAsia="en-GB"/>
              </w:rPr>
              <w:t>.</w:t>
            </w:r>
            <w:r w:rsidRPr="00C24F78">
              <w:rPr>
                <w:rFonts w:eastAsia="Times New Roman" w:cstheme="minorHAnsi"/>
                <w:sz w:val="18"/>
                <w:szCs w:val="18"/>
                <w:lang w:eastAsia="en-GB"/>
              </w:rPr>
              <w:t>8</w:t>
            </w:r>
            <w:r w:rsidR="000F63AA">
              <w:rPr>
                <w:rFonts w:eastAsia="Times New Roman" w:cstheme="minorHAnsi"/>
                <w:sz w:val="18"/>
                <w:szCs w:val="18"/>
                <w:lang w:eastAsia="en-GB"/>
              </w:rPr>
              <w:t>5</w:t>
            </w:r>
            <w:r w:rsidRPr="00C24F78">
              <w:rPr>
                <w:rFonts w:eastAsia="Times New Roman" w:cstheme="minorHAnsi"/>
                <w:sz w:val="18"/>
                <w:szCs w:val="18"/>
                <w:lang w:eastAsia="en-GB"/>
              </w:rPr>
              <w:t>-1</w:t>
            </w:r>
            <w:r>
              <w:rPr>
                <w:rFonts w:eastAsia="Times New Roman" w:cstheme="minorHAnsi"/>
                <w:sz w:val="18"/>
                <w:szCs w:val="18"/>
                <w:lang w:eastAsia="en-GB"/>
              </w:rPr>
              <w:t>.</w:t>
            </w:r>
            <w:r w:rsidRPr="00C24F78">
              <w:rPr>
                <w:rFonts w:eastAsia="Times New Roman" w:cstheme="minorHAnsi"/>
                <w:sz w:val="18"/>
                <w:szCs w:val="18"/>
                <w:lang w:eastAsia="en-GB"/>
              </w:rPr>
              <w:t>1</w:t>
            </w:r>
            <w:r w:rsidR="000F63AA">
              <w:rPr>
                <w:rFonts w:eastAsia="Times New Roman" w:cstheme="minorHAnsi"/>
                <w:sz w:val="18"/>
                <w:szCs w:val="18"/>
                <w:lang w:eastAsia="en-GB"/>
              </w:rPr>
              <w:t>4</w:t>
            </w:r>
          </w:p>
        </w:tc>
        <w:tc>
          <w:tcPr>
            <w:tcW w:w="0" w:type="auto"/>
            <w:vAlign w:val="center"/>
          </w:tcPr>
          <w:p w14:paraId="48D9F1C6" w14:textId="77777777" w:rsidR="00271850" w:rsidRPr="00C24F78" w:rsidRDefault="00271850" w:rsidP="00F61E90">
            <w:pPr>
              <w:spacing w:after="0" w:line="240" w:lineRule="auto"/>
              <w:jc w:val="right"/>
              <w:rPr>
                <w:rFonts w:eastAsia="Times New Roman" w:cstheme="minorHAnsi"/>
                <w:sz w:val="18"/>
                <w:szCs w:val="18"/>
                <w:lang w:eastAsia="en-GB"/>
              </w:rPr>
            </w:pPr>
          </w:p>
        </w:tc>
        <w:tc>
          <w:tcPr>
            <w:tcW w:w="0" w:type="auto"/>
          </w:tcPr>
          <w:p w14:paraId="6C1D1AA2" w14:textId="77777777" w:rsidR="00271850" w:rsidRPr="00C24F78" w:rsidRDefault="00271850" w:rsidP="00F61E90">
            <w:pPr>
              <w:spacing w:after="0" w:line="240" w:lineRule="auto"/>
              <w:jc w:val="right"/>
              <w:rPr>
                <w:rFonts w:eastAsia="Times New Roman" w:cstheme="minorHAnsi"/>
                <w:sz w:val="18"/>
                <w:szCs w:val="18"/>
                <w:lang w:eastAsia="en-GB"/>
              </w:rPr>
            </w:pPr>
          </w:p>
        </w:tc>
        <w:tc>
          <w:tcPr>
            <w:tcW w:w="0" w:type="auto"/>
          </w:tcPr>
          <w:p w14:paraId="3393B3A9" w14:textId="77777777" w:rsidR="00271850" w:rsidRPr="00C24F78" w:rsidRDefault="00271850" w:rsidP="00F61E90">
            <w:pPr>
              <w:spacing w:after="0" w:line="240" w:lineRule="auto"/>
              <w:jc w:val="right"/>
              <w:rPr>
                <w:rFonts w:eastAsia="Times New Roman" w:cstheme="minorHAnsi"/>
                <w:sz w:val="18"/>
                <w:szCs w:val="18"/>
                <w:lang w:eastAsia="en-GB"/>
              </w:rPr>
            </w:pPr>
            <w:r w:rsidRPr="00C24F78">
              <w:rPr>
                <w:sz w:val="18"/>
                <w:szCs w:val="18"/>
              </w:rPr>
              <w:t>1</w:t>
            </w:r>
            <w:r>
              <w:rPr>
                <w:sz w:val="18"/>
                <w:szCs w:val="18"/>
              </w:rPr>
              <w:t>.</w:t>
            </w:r>
            <w:r w:rsidRPr="00C24F78">
              <w:rPr>
                <w:sz w:val="18"/>
                <w:szCs w:val="18"/>
              </w:rPr>
              <w:t>08</w:t>
            </w:r>
          </w:p>
        </w:tc>
        <w:tc>
          <w:tcPr>
            <w:tcW w:w="0" w:type="auto"/>
          </w:tcPr>
          <w:p w14:paraId="44602925" w14:textId="61D4AA80" w:rsidR="00271850" w:rsidRPr="00C24F78" w:rsidRDefault="00271850" w:rsidP="00F61E90">
            <w:pPr>
              <w:spacing w:after="0" w:line="240" w:lineRule="auto"/>
              <w:jc w:val="right"/>
              <w:rPr>
                <w:rFonts w:eastAsia="Times New Roman" w:cstheme="minorHAnsi"/>
                <w:sz w:val="18"/>
                <w:szCs w:val="18"/>
                <w:lang w:eastAsia="en-GB"/>
              </w:rPr>
            </w:pPr>
            <w:r w:rsidRPr="00C24F78">
              <w:rPr>
                <w:sz w:val="18"/>
                <w:szCs w:val="18"/>
              </w:rPr>
              <w:t>0</w:t>
            </w:r>
            <w:r>
              <w:rPr>
                <w:sz w:val="18"/>
                <w:szCs w:val="18"/>
              </w:rPr>
              <w:t>.</w:t>
            </w:r>
            <w:r w:rsidRPr="00C24F78">
              <w:rPr>
                <w:sz w:val="18"/>
                <w:szCs w:val="18"/>
              </w:rPr>
              <w:t>86-1</w:t>
            </w:r>
            <w:r>
              <w:rPr>
                <w:sz w:val="18"/>
                <w:szCs w:val="18"/>
              </w:rPr>
              <w:t>.</w:t>
            </w:r>
            <w:r w:rsidRPr="00C24F78">
              <w:rPr>
                <w:sz w:val="18"/>
                <w:szCs w:val="18"/>
              </w:rPr>
              <w:t>3</w:t>
            </w:r>
            <w:r w:rsidR="005520DD">
              <w:rPr>
                <w:sz w:val="18"/>
                <w:szCs w:val="18"/>
              </w:rPr>
              <w:t>4</w:t>
            </w:r>
          </w:p>
        </w:tc>
        <w:tc>
          <w:tcPr>
            <w:tcW w:w="0" w:type="auto"/>
          </w:tcPr>
          <w:p w14:paraId="3817469C" w14:textId="77777777" w:rsidR="00271850" w:rsidRPr="00C24F78" w:rsidRDefault="00271850" w:rsidP="00F61E90">
            <w:pPr>
              <w:spacing w:after="0" w:line="240" w:lineRule="auto"/>
              <w:jc w:val="right"/>
              <w:rPr>
                <w:rFonts w:eastAsia="Times New Roman" w:cstheme="minorHAnsi"/>
                <w:sz w:val="18"/>
                <w:szCs w:val="18"/>
                <w:lang w:eastAsia="en-GB"/>
              </w:rPr>
            </w:pPr>
            <w:r w:rsidRPr="00C24F78">
              <w:rPr>
                <w:sz w:val="18"/>
                <w:szCs w:val="18"/>
              </w:rPr>
              <w:t>1</w:t>
            </w:r>
            <w:r>
              <w:rPr>
                <w:sz w:val="18"/>
                <w:szCs w:val="18"/>
              </w:rPr>
              <w:t>.</w:t>
            </w:r>
            <w:r w:rsidRPr="00C24F78">
              <w:rPr>
                <w:sz w:val="18"/>
                <w:szCs w:val="18"/>
              </w:rPr>
              <w:t>08</w:t>
            </w:r>
          </w:p>
        </w:tc>
        <w:tc>
          <w:tcPr>
            <w:tcW w:w="0" w:type="auto"/>
          </w:tcPr>
          <w:p w14:paraId="6FFCA42A" w14:textId="369DCBEA" w:rsidR="00271850" w:rsidRPr="00C24F78" w:rsidRDefault="00271850" w:rsidP="00F61E90">
            <w:pPr>
              <w:spacing w:after="0" w:line="240" w:lineRule="auto"/>
              <w:jc w:val="right"/>
              <w:rPr>
                <w:rFonts w:eastAsia="Times New Roman" w:cstheme="minorHAnsi"/>
                <w:sz w:val="18"/>
                <w:szCs w:val="18"/>
                <w:lang w:eastAsia="en-GB"/>
              </w:rPr>
            </w:pPr>
            <w:r w:rsidRPr="00C24F78">
              <w:rPr>
                <w:sz w:val="18"/>
                <w:szCs w:val="18"/>
              </w:rPr>
              <w:t>0</w:t>
            </w:r>
            <w:r>
              <w:rPr>
                <w:sz w:val="18"/>
                <w:szCs w:val="18"/>
              </w:rPr>
              <w:t>.</w:t>
            </w:r>
            <w:r w:rsidRPr="00C24F78">
              <w:rPr>
                <w:sz w:val="18"/>
                <w:szCs w:val="18"/>
              </w:rPr>
              <w:t>86-1</w:t>
            </w:r>
            <w:r>
              <w:rPr>
                <w:sz w:val="18"/>
                <w:szCs w:val="18"/>
              </w:rPr>
              <w:t>.</w:t>
            </w:r>
            <w:r w:rsidRPr="00C24F78">
              <w:rPr>
                <w:sz w:val="18"/>
                <w:szCs w:val="18"/>
              </w:rPr>
              <w:t>3</w:t>
            </w:r>
            <w:r w:rsidR="005E71B7">
              <w:rPr>
                <w:sz w:val="18"/>
                <w:szCs w:val="18"/>
              </w:rPr>
              <w:t>4</w:t>
            </w:r>
          </w:p>
        </w:tc>
        <w:tc>
          <w:tcPr>
            <w:tcW w:w="0" w:type="auto"/>
          </w:tcPr>
          <w:p w14:paraId="4A32C2C3" w14:textId="77777777" w:rsidR="00271850" w:rsidRPr="00C24F78" w:rsidRDefault="00271850" w:rsidP="00F61E90">
            <w:pPr>
              <w:spacing w:after="0" w:line="240" w:lineRule="auto"/>
              <w:jc w:val="right"/>
              <w:rPr>
                <w:rFonts w:eastAsia="Times New Roman" w:cstheme="minorHAnsi"/>
                <w:sz w:val="18"/>
                <w:szCs w:val="18"/>
                <w:lang w:eastAsia="en-GB"/>
              </w:rPr>
            </w:pPr>
          </w:p>
        </w:tc>
      </w:tr>
      <w:tr w:rsidR="005520DD" w:rsidRPr="00C24F78" w14:paraId="234B79E7" w14:textId="77777777" w:rsidTr="00F61E90">
        <w:trPr>
          <w:tblCellSpacing w:w="15" w:type="dxa"/>
        </w:trPr>
        <w:tc>
          <w:tcPr>
            <w:tcW w:w="0" w:type="auto"/>
            <w:vAlign w:val="center"/>
            <w:hideMark/>
          </w:tcPr>
          <w:p w14:paraId="3271B266" w14:textId="77777777" w:rsidR="00271850" w:rsidRPr="00C24F78" w:rsidRDefault="00271850" w:rsidP="00F61E90">
            <w:pPr>
              <w:spacing w:after="0" w:line="240" w:lineRule="auto"/>
              <w:rPr>
                <w:rFonts w:eastAsia="Times New Roman" w:cstheme="minorHAnsi"/>
                <w:sz w:val="18"/>
                <w:szCs w:val="18"/>
                <w:lang w:eastAsia="en-GB"/>
              </w:rPr>
            </w:pPr>
          </w:p>
        </w:tc>
        <w:tc>
          <w:tcPr>
            <w:tcW w:w="0" w:type="auto"/>
            <w:vAlign w:val="center"/>
            <w:hideMark/>
          </w:tcPr>
          <w:p w14:paraId="4ED5CB3F" w14:textId="77777777" w:rsidR="00271850" w:rsidRPr="00C24F78" w:rsidRDefault="00271850" w:rsidP="00F61E90">
            <w:pPr>
              <w:spacing w:after="0" w:line="240" w:lineRule="auto"/>
              <w:rPr>
                <w:rFonts w:eastAsia="Times New Roman" w:cstheme="minorHAnsi"/>
                <w:sz w:val="18"/>
                <w:szCs w:val="18"/>
                <w:lang w:eastAsia="en-GB"/>
              </w:rPr>
            </w:pPr>
            <w:r w:rsidRPr="00C24F78">
              <w:rPr>
                <w:rFonts w:eastAsia="Times New Roman" w:cstheme="minorHAnsi"/>
                <w:sz w:val="18"/>
                <w:szCs w:val="18"/>
                <w:lang w:eastAsia="en-GB"/>
              </w:rPr>
              <w:t xml:space="preserve">2012 </w:t>
            </w:r>
          </w:p>
        </w:tc>
        <w:tc>
          <w:tcPr>
            <w:tcW w:w="0" w:type="auto"/>
            <w:vAlign w:val="center"/>
          </w:tcPr>
          <w:p w14:paraId="7AE301B5" w14:textId="5EA49A8F" w:rsidR="00271850" w:rsidRPr="00C24F78" w:rsidRDefault="00271850" w:rsidP="00F61E90">
            <w:pPr>
              <w:spacing w:after="0" w:line="240" w:lineRule="auto"/>
              <w:jc w:val="right"/>
              <w:rPr>
                <w:rFonts w:eastAsia="Times New Roman" w:cstheme="minorHAnsi"/>
                <w:sz w:val="18"/>
                <w:szCs w:val="18"/>
                <w:lang w:eastAsia="en-GB"/>
              </w:rPr>
            </w:pPr>
            <w:r w:rsidRPr="00C24F78">
              <w:rPr>
                <w:rFonts w:eastAsia="Times New Roman" w:cstheme="minorHAnsi"/>
                <w:sz w:val="18"/>
                <w:szCs w:val="18"/>
                <w:lang w:eastAsia="en-GB"/>
              </w:rPr>
              <w:t>1</w:t>
            </w:r>
            <w:r>
              <w:rPr>
                <w:rFonts w:eastAsia="Times New Roman" w:cstheme="minorHAnsi"/>
                <w:sz w:val="18"/>
                <w:szCs w:val="18"/>
                <w:lang w:eastAsia="en-GB"/>
              </w:rPr>
              <w:t>.</w:t>
            </w:r>
            <w:r w:rsidRPr="00C24F78">
              <w:rPr>
                <w:rFonts w:eastAsia="Times New Roman" w:cstheme="minorHAnsi"/>
                <w:sz w:val="18"/>
                <w:szCs w:val="18"/>
                <w:lang w:eastAsia="en-GB"/>
              </w:rPr>
              <w:t>0</w:t>
            </w:r>
            <w:r w:rsidR="00C64A63">
              <w:rPr>
                <w:rFonts w:eastAsia="Times New Roman" w:cstheme="minorHAnsi"/>
                <w:sz w:val="18"/>
                <w:szCs w:val="18"/>
                <w:lang w:eastAsia="en-GB"/>
              </w:rPr>
              <w:t>3</w:t>
            </w:r>
          </w:p>
        </w:tc>
        <w:tc>
          <w:tcPr>
            <w:tcW w:w="0" w:type="auto"/>
          </w:tcPr>
          <w:p w14:paraId="71C56414" w14:textId="4C4DBB8F" w:rsidR="00271850" w:rsidRPr="00C24F78" w:rsidRDefault="00271850" w:rsidP="00F61E90">
            <w:pPr>
              <w:spacing w:after="0" w:line="240" w:lineRule="auto"/>
              <w:jc w:val="right"/>
              <w:rPr>
                <w:rFonts w:eastAsia="Times New Roman" w:cstheme="minorHAnsi"/>
                <w:sz w:val="18"/>
                <w:szCs w:val="18"/>
                <w:lang w:eastAsia="en-GB"/>
              </w:rPr>
            </w:pPr>
            <w:r w:rsidRPr="00C24F78">
              <w:rPr>
                <w:rFonts w:eastAsia="Times New Roman" w:cstheme="minorHAnsi"/>
                <w:sz w:val="18"/>
                <w:szCs w:val="18"/>
                <w:lang w:eastAsia="en-GB"/>
              </w:rPr>
              <w:t>0</w:t>
            </w:r>
            <w:r>
              <w:rPr>
                <w:rFonts w:eastAsia="Times New Roman" w:cstheme="minorHAnsi"/>
                <w:sz w:val="18"/>
                <w:szCs w:val="18"/>
                <w:lang w:eastAsia="en-GB"/>
              </w:rPr>
              <w:t>.</w:t>
            </w:r>
            <w:r w:rsidRPr="00C24F78">
              <w:rPr>
                <w:rFonts w:eastAsia="Times New Roman" w:cstheme="minorHAnsi"/>
                <w:sz w:val="18"/>
                <w:szCs w:val="18"/>
                <w:lang w:eastAsia="en-GB"/>
              </w:rPr>
              <w:t>8</w:t>
            </w:r>
            <w:r w:rsidR="000F63AA">
              <w:rPr>
                <w:rFonts w:eastAsia="Times New Roman" w:cstheme="minorHAnsi"/>
                <w:sz w:val="18"/>
                <w:szCs w:val="18"/>
                <w:lang w:eastAsia="en-GB"/>
              </w:rPr>
              <w:t>9</w:t>
            </w:r>
            <w:r w:rsidRPr="00C24F78">
              <w:rPr>
                <w:rFonts w:eastAsia="Times New Roman" w:cstheme="minorHAnsi"/>
                <w:sz w:val="18"/>
                <w:szCs w:val="18"/>
                <w:lang w:eastAsia="en-GB"/>
              </w:rPr>
              <w:t>-1</w:t>
            </w:r>
            <w:r>
              <w:rPr>
                <w:rFonts w:eastAsia="Times New Roman" w:cstheme="minorHAnsi"/>
                <w:sz w:val="18"/>
                <w:szCs w:val="18"/>
                <w:lang w:eastAsia="en-GB"/>
              </w:rPr>
              <w:t>.</w:t>
            </w:r>
            <w:r w:rsidRPr="00C24F78">
              <w:rPr>
                <w:rFonts w:eastAsia="Times New Roman" w:cstheme="minorHAnsi"/>
                <w:sz w:val="18"/>
                <w:szCs w:val="18"/>
                <w:lang w:eastAsia="en-GB"/>
              </w:rPr>
              <w:t>1</w:t>
            </w:r>
            <w:r w:rsidR="000F63AA">
              <w:rPr>
                <w:rFonts w:eastAsia="Times New Roman" w:cstheme="minorHAnsi"/>
                <w:sz w:val="18"/>
                <w:szCs w:val="18"/>
                <w:lang w:eastAsia="en-GB"/>
              </w:rPr>
              <w:t>9</w:t>
            </w:r>
          </w:p>
        </w:tc>
        <w:tc>
          <w:tcPr>
            <w:tcW w:w="0" w:type="auto"/>
          </w:tcPr>
          <w:p w14:paraId="3C9D3FB0" w14:textId="77777777" w:rsidR="00271850" w:rsidRPr="00C24F78" w:rsidRDefault="00271850" w:rsidP="00F61E90">
            <w:pPr>
              <w:spacing w:after="0" w:line="240" w:lineRule="auto"/>
              <w:jc w:val="right"/>
              <w:rPr>
                <w:rFonts w:eastAsia="Times New Roman" w:cstheme="minorHAnsi"/>
                <w:sz w:val="18"/>
                <w:szCs w:val="18"/>
                <w:lang w:eastAsia="en-GB"/>
              </w:rPr>
            </w:pPr>
          </w:p>
        </w:tc>
        <w:tc>
          <w:tcPr>
            <w:tcW w:w="0" w:type="auto"/>
            <w:vAlign w:val="center"/>
          </w:tcPr>
          <w:p w14:paraId="77A1167B" w14:textId="5D212B8C" w:rsidR="00271850" w:rsidRPr="00C24F78" w:rsidRDefault="00271850" w:rsidP="00F61E90">
            <w:pPr>
              <w:spacing w:after="0" w:line="240" w:lineRule="auto"/>
              <w:jc w:val="right"/>
              <w:rPr>
                <w:rFonts w:eastAsia="Times New Roman" w:cstheme="minorHAnsi"/>
                <w:sz w:val="18"/>
                <w:szCs w:val="18"/>
                <w:lang w:eastAsia="en-GB"/>
              </w:rPr>
            </w:pPr>
            <w:r w:rsidRPr="00C24F78">
              <w:rPr>
                <w:rFonts w:eastAsia="Times New Roman" w:cstheme="minorHAnsi"/>
                <w:sz w:val="18"/>
                <w:szCs w:val="18"/>
                <w:lang w:eastAsia="en-GB"/>
              </w:rPr>
              <w:t>1</w:t>
            </w:r>
            <w:r>
              <w:rPr>
                <w:rFonts w:eastAsia="Times New Roman" w:cstheme="minorHAnsi"/>
                <w:sz w:val="18"/>
                <w:szCs w:val="18"/>
                <w:lang w:eastAsia="en-GB"/>
              </w:rPr>
              <w:t>.</w:t>
            </w:r>
            <w:r w:rsidRPr="00C24F78">
              <w:rPr>
                <w:rFonts w:eastAsia="Times New Roman" w:cstheme="minorHAnsi"/>
                <w:sz w:val="18"/>
                <w:szCs w:val="18"/>
                <w:lang w:eastAsia="en-GB"/>
              </w:rPr>
              <w:t>0</w:t>
            </w:r>
            <w:r w:rsidR="009A1B1D">
              <w:rPr>
                <w:rFonts w:eastAsia="Times New Roman" w:cstheme="minorHAnsi"/>
                <w:sz w:val="18"/>
                <w:szCs w:val="18"/>
                <w:lang w:eastAsia="en-GB"/>
              </w:rPr>
              <w:t>3</w:t>
            </w:r>
          </w:p>
        </w:tc>
        <w:tc>
          <w:tcPr>
            <w:tcW w:w="0" w:type="auto"/>
            <w:vAlign w:val="center"/>
          </w:tcPr>
          <w:p w14:paraId="79E85AD3" w14:textId="2FCFA7E1" w:rsidR="00271850" w:rsidRPr="00C24F78" w:rsidRDefault="00271850" w:rsidP="00F61E90">
            <w:pPr>
              <w:spacing w:after="0" w:line="240" w:lineRule="auto"/>
              <w:jc w:val="right"/>
              <w:rPr>
                <w:rFonts w:eastAsia="Times New Roman" w:cstheme="minorHAnsi"/>
                <w:sz w:val="18"/>
                <w:szCs w:val="18"/>
                <w:lang w:eastAsia="en-GB"/>
              </w:rPr>
            </w:pPr>
            <w:r w:rsidRPr="00C24F78">
              <w:rPr>
                <w:rFonts w:eastAsia="Times New Roman" w:cstheme="minorHAnsi"/>
                <w:sz w:val="18"/>
                <w:szCs w:val="18"/>
                <w:lang w:eastAsia="en-GB"/>
              </w:rPr>
              <w:t>0</w:t>
            </w:r>
            <w:r>
              <w:rPr>
                <w:rFonts w:eastAsia="Times New Roman" w:cstheme="minorHAnsi"/>
                <w:sz w:val="18"/>
                <w:szCs w:val="18"/>
                <w:lang w:eastAsia="en-GB"/>
              </w:rPr>
              <w:t>.</w:t>
            </w:r>
            <w:r w:rsidRPr="00C24F78">
              <w:rPr>
                <w:rFonts w:eastAsia="Times New Roman" w:cstheme="minorHAnsi"/>
                <w:sz w:val="18"/>
                <w:szCs w:val="18"/>
                <w:lang w:eastAsia="en-GB"/>
              </w:rPr>
              <w:t>8</w:t>
            </w:r>
            <w:r w:rsidR="009A1B1D">
              <w:rPr>
                <w:rFonts w:eastAsia="Times New Roman" w:cstheme="minorHAnsi"/>
                <w:sz w:val="18"/>
                <w:szCs w:val="18"/>
                <w:lang w:eastAsia="en-GB"/>
              </w:rPr>
              <w:t>9</w:t>
            </w:r>
            <w:r w:rsidRPr="00C24F78">
              <w:rPr>
                <w:rFonts w:eastAsia="Times New Roman" w:cstheme="minorHAnsi"/>
                <w:sz w:val="18"/>
                <w:szCs w:val="18"/>
                <w:lang w:eastAsia="en-GB"/>
              </w:rPr>
              <w:t>-1</w:t>
            </w:r>
            <w:r>
              <w:rPr>
                <w:rFonts w:eastAsia="Times New Roman" w:cstheme="minorHAnsi"/>
                <w:sz w:val="18"/>
                <w:szCs w:val="18"/>
                <w:lang w:eastAsia="en-GB"/>
              </w:rPr>
              <w:t>.</w:t>
            </w:r>
            <w:r w:rsidRPr="00C24F78">
              <w:rPr>
                <w:rFonts w:eastAsia="Times New Roman" w:cstheme="minorHAnsi"/>
                <w:sz w:val="18"/>
                <w:szCs w:val="18"/>
                <w:lang w:eastAsia="en-GB"/>
              </w:rPr>
              <w:t>1</w:t>
            </w:r>
            <w:r w:rsidR="009A1B1D">
              <w:rPr>
                <w:rFonts w:eastAsia="Times New Roman" w:cstheme="minorHAnsi"/>
                <w:sz w:val="18"/>
                <w:szCs w:val="18"/>
                <w:lang w:eastAsia="en-GB"/>
              </w:rPr>
              <w:t>9</w:t>
            </w:r>
          </w:p>
        </w:tc>
        <w:tc>
          <w:tcPr>
            <w:tcW w:w="0" w:type="auto"/>
            <w:vAlign w:val="center"/>
          </w:tcPr>
          <w:p w14:paraId="61F15174" w14:textId="77777777" w:rsidR="00271850" w:rsidRPr="00C24F78" w:rsidRDefault="00271850" w:rsidP="00F61E90">
            <w:pPr>
              <w:spacing w:after="0" w:line="240" w:lineRule="auto"/>
              <w:jc w:val="right"/>
              <w:rPr>
                <w:rFonts w:eastAsia="Times New Roman" w:cstheme="minorHAnsi"/>
                <w:sz w:val="18"/>
                <w:szCs w:val="18"/>
                <w:lang w:eastAsia="en-GB"/>
              </w:rPr>
            </w:pPr>
          </w:p>
        </w:tc>
        <w:tc>
          <w:tcPr>
            <w:tcW w:w="0" w:type="auto"/>
          </w:tcPr>
          <w:p w14:paraId="01CEB246" w14:textId="77777777" w:rsidR="00271850" w:rsidRPr="00C24F78" w:rsidRDefault="00271850" w:rsidP="00F61E90">
            <w:pPr>
              <w:spacing w:after="0" w:line="240" w:lineRule="auto"/>
              <w:jc w:val="right"/>
              <w:rPr>
                <w:rFonts w:eastAsia="Times New Roman" w:cstheme="minorHAnsi"/>
                <w:sz w:val="18"/>
                <w:szCs w:val="18"/>
                <w:lang w:eastAsia="en-GB"/>
              </w:rPr>
            </w:pPr>
          </w:p>
        </w:tc>
        <w:tc>
          <w:tcPr>
            <w:tcW w:w="0" w:type="auto"/>
          </w:tcPr>
          <w:p w14:paraId="7199E6D1" w14:textId="77777777" w:rsidR="00271850" w:rsidRPr="00C24F78" w:rsidRDefault="00271850" w:rsidP="00F61E90">
            <w:pPr>
              <w:spacing w:after="0" w:line="240" w:lineRule="auto"/>
              <w:jc w:val="right"/>
              <w:rPr>
                <w:rFonts w:eastAsia="Times New Roman" w:cstheme="minorHAnsi"/>
                <w:sz w:val="18"/>
                <w:szCs w:val="18"/>
                <w:lang w:eastAsia="en-GB"/>
              </w:rPr>
            </w:pPr>
            <w:r w:rsidRPr="00C24F78">
              <w:rPr>
                <w:sz w:val="18"/>
                <w:szCs w:val="18"/>
              </w:rPr>
              <w:t>0</w:t>
            </w:r>
            <w:r>
              <w:rPr>
                <w:sz w:val="18"/>
                <w:szCs w:val="18"/>
              </w:rPr>
              <w:t>.</w:t>
            </w:r>
            <w:r w:rsidRPr="00C24F78">
              <w:rPr>
                <w:sz w:val="18"/>
                <w:szCs w:val="18"/>
              </w:rPr>
              <w:t>93</w:t>
            </w:r>
          </w:p>
        </w:tc>
        <w:tc>
          <w:tcPr>
            <w:tcW w:w="0" w:type="auto"/>
          </w:tcPr>
          <w:p w14:paraId="3838D365" w14:textId="517F1E43" w:rsidR="00271850" w:rsidRPr="00C24F78" w:rsidRDefault="00271850" w:rsidP="00F61E90">
            <w:pPr>
              <w:spacing w:after="0" w:line="240" w:lineRule="auto"/>
              <w:jc w:val="right"/>
              <w:rPr>
                <w:rFonts w:eastAsia="Times New Roman" w:cstheme="minorHAnsi"/>
                <w:sz w:val="18"/>
                <w:szCs w:val="18"/>
                <w:lang w:eastAsia="en-GB"/>
              </w:rPr>
            </w:pPr>
            <w:r w:rsidRPr="00C24F78">
              <w:rPr>
                <w:sz w:val="18"/>
                <w:szCs w:val="18"/>
              </w:rPr>
              <w:t>0</w:t>
            </w:r>
            <w:r>
              <w:rPr>
                <w:sz w:val="18"/>
                <w:szCs w:val="18"/>
              </w:rPr>
              <w:t>.</w:t>
            </w:r>
            <w:r w:rsidRPr="00C24F78">
              <w:rPr>
                <w:sz w:val="18"/>
                <w:szCs w:val="18"/>
              </w:rPr>
              <w:t>7</w:t>
            </w:r>
            <w:r w:rsidR="005520DD">
              <w:rPr>
                <w:sz w:val="18"/>
                <w:szCs w:val="18"/>
              </w:rPr>
              <w:t>4</w:t>
            </w:r>
            <w:r w:rsidRPr="00C24F78">
              <w:rPr>
                <w:sz w:val="18"/>
                <w:szCs w:val="18"/>
              </w:rPr>
              <w:t>-1</w:t>
            </w:r>
            <w:r>
              <w:rPr>
                <w:sz w:val="18"/>
                <w:szCs w:val="18"/>
              </w:rPr>
              <w:t>.</w:t>
            </w:r>
            <w:r w:rsidRPr="00C24F78">
              <w:rPr>
                <w:sz w:val="18"/>
                <w:szCs w:val="18"/>
              </w:rPr>
              <w:t>1</w:t>
            </w:r>
            <w:r w:rsidR="005520DD">
              <w:rPr>
                <w:sz w:val="18"/>
                <w:szCs w:val="18"/>
              </w:rPr>
              <w:t>7</w:t>
            </w:r>
          </w:p>
        </w:tc>
        <w:tc>
          <w:tcPr>
            <w:tcW w:w="0" w:type="auto"/>
          </w:tcPr>
          <w:p w14:paraId="771290A5" w14:textId="77777777" w:rsidR="00271850" w:rsidRPr="00C24F78" w:rsidRDefault="00271850" w:rsidP="00F61E90">
            <w:pPr>
              <w:spacing w:after="0" w:line="240" w:lineRule="auto"/>
              <w:jc w:val="right"/>
              <w:rPr>
                <w:rFonts w:eastAsia="Times New Roman" w:cstheme="minorHAnsi"/>
                <w:sz w:val="18"/>
                <w:szCs w:val="18"/>
                <w:lang w:eastAsia="en-GB"/>
              </w:rPr>
            </w:pPr>
            <w:r w:rsidRPr="00C24F78">
              <w:rPr>
                <w:sz w:val="18"/>
                <w:szCs w:val="18"/>
              </w:rPr>
              <w:t>0</w:t>
            </w:r>
            <w:r>
              <w:rPr>
                <w:sz w:val="18"/>
                <w:szCs w:val="18"/>
              </w:rPr>
              <w:t>.</w:t>
            </w:r>
            <w:r w:rsidRPr="00C24F78">
              <w:rPr>
                <w:sz w:val="18"/>
                <w:szCs w:val="18"/>
              </w:rPr>
              <w:t>93</w:t>
            </w:r>
          </w:p>
        </w:tc>
        <w:tc>
          <w:tcPr>
            <w:tcW w:w="0" w:type="auto"/>
          </w:tcPr>
          <w:p w14:paraId="1E440AAC" w14:textId="14B8D20D" w:rsidR="00271850" w:rsidRPr="00C24F78" w:rsidRDefault="00271850" w:rsidP="00F61E90">
            <w:pPr>
              <w:spacing w:after="0" w:line="240" w:lineRule="auto"/>
              <w:jc w:val="right"/>
              <w:rPr>
                <w:rFonts w:eastAsia="Times New Roman" w:cstheme="minorHAnsi"/>
                <w:sz w:val="18"/>
                <w:szCs w:val="18"/>
                <w:lang w:eastAsia="en-GB"/>
              </w:rPr>
            </w:pPr>
            <w:r w:rsidRPr="00C24F78">
              <w:rPr>
                <w:sz w:val="18"/>
                <w:szCs w:val="18"/>
              </w:rPr>
              <w:t>0</w:t>
            </w:r>
            <w:r>
              <w:rPr>
                <w:sz w:val="18"/>
                <w:szCs w:val="18"/>
              </w:rPr>
              <w:t>.</w:t>
            </w:r>
            <w:r w:rsidRPr="00C24F78">
              <w:rPr>
                <w:sz w:val="18"/>
                <w:szCs w:val="18"/>
              </w:rPr>
              <w:t>74-1</w:t>
            </w:r>
            <w:r>
              <w:rPr>
                <w:sz w:val="18"/>
                <w:szCs w:val="18"/>
              </w:rPr>
              <w:t>.</w:t>
            </w:r>
            <w:r w:rsidRPr="00C24F78">
              <w:rPr>
                <w:sz w:val="18"/>
                <w:szCs w:val="18"/>
              </w:rPr>
              <w:t>1</w:t>
            </w:r>
            <w:r w:rsidR="005E71B7">
              <w:rPr>
                <w:sz w:val="18"/>
                <w:szCs w:val="18"/>
              </w:rPr>
              <w:t>7</w:t>
            </w:r>
          </w:p>
        </w:tc>
        <w:tc>
          <w:tcPr>
            <w:tcW w:w="0" w:type="auto"/>
          </w:tcPr>
          <w:p w14:paraId="335A1E5C" w14:textId="77777777" w:rsidR="00271850" w:rsidRPr="00C24F78" w:rsidRDefault="00271850" w:rsidP="00F61E90">
            <w:pPr>
              <w:spacing w:after="0" w:line="240" w:lineRule="auto"/>
              <w:jc w:val="right"/>
              <w:rPr>
                <w:rFonts w:eastAsia="Times New Roman" w:cstheme="minorHAnsi"/>
                <w:sz w:val="18"/>
                <w:szCs w:val="18"/>
                <w:lang w:eastAsia="en-GB"/>
              </w:rPr>
            </w:pPr>
          </w:p>
        </w:tc>
      </w:tr>
      <w:tr w:rsidR="005520DD" w:rsidRPr="00C24F78" w14:paraId="1628B11E" w14:textId="77777777" w:rsidTr="00F61E90">
        <w:trPr>
          <w:tblCellSpacing w:w="15" w:type="dxa"/>
        </w:trPr>
        <w:tc>
          <w:tcPr>
            <w:tcW w:w="0" w:type="auto"/>
            <w:vAlign w:val="center"/>
            <w:hideMark/>
          </w:tcPr>
          <w:p w14:paraId="21905B87" w14:textId="77777777" w:rsidR="00271850" w:rsidRPr="00C24F78" w:rsidRDefault="00271850" w:rsidP="00F61E90">
            <w:pPr>
              <w:spacing w:after="0" w:line="240" w:lineRule="auto"/>
              <w:rPr>
                <w:rFonts w:eastAsia="Times New Roman" w:cstheme="minorHAnsi"/>
                <w:sz w:val="18"/>
                <w:szCs w:val="18"/>
                <w:lang w:eastAsia="en-GB"/>
              </w:rPr>
            </w:pPr>
          </w:p>
        </w:tc>
        <w:tc>
          <w:tcPr>
            <w:tcW w:w="0" w:type="auto"/>
            <w:vAlign w:val="center"/>
            <w:hideMark/>
          </w:tcPr>
          <w:p w14:paraId="3A13FDE5" w14:textId="77777777" w:rsidR="00271850" w:rsidRPr="00C24F78" w:rsidRDefault="00271850" w:rsidP="00F61E90">
            <w:pPr>
              <w:spacing w:after="0" w:line="240" w:lineRule="auto"/>
              <w:rPr>
                <w:rFonts w:eastAsia="Times New Roman" w:cstheme="minorHAnsi"/>
                <w:sz w:val="18"/>
                <w:szCs w:val="18"/>
                <w:lang w:eastAsia="en-GB"/>
              </w:rPr>
            </w:pPr>
            <w:r w:rsidRPr="00C24F78">
              <w:rPr>
                <w:rFonts w:eastAsia="Times New Roman" w:cstheme="minorHAnsi"/>
                <w:sz w:val="18"/>
                <w:szCs w:val="18"/>
                <w:lang w:eastAsia="en-GB"/>
              </w:rPr>
              <w:t xml:space="preserve">2013 </w:t>
            </w:r>
          </w:p>
        </w:tc>
        <w:tc>
          <w:tcPr>
            <w:tcW w:w="0" w:type="auto"/>
            <w:vAlign w:val="center"/>
          </w:tcPr>
          <w:p w14:paraId="2C000858" w14:textId="115EEACF" w:rsidR="00271850" w:rsidRPr="00C24F78" w:rsidRDefault="00271850" w:rsidP="00F61E90">
            <w:pPr>
              <w:spacing w:after="0" w:line="240" w:lineRule="auto"/>
              <w:jc w:val="right"/>
              <w:rPr>
                <w:rFonts w:eastAsia="Times New Roman" w:cstheme="minorHAnsi"/>
                <w:sz w:val="18"/>
                <w:szCs w:val="18"/>
                <w:lang w:eastAsia="en-GB"/>
              </w:rPr>
            </w:pPr>
            <w:r w:rsidRPr="00C24F78">
              <w:rPr>
                <w:rFonts w:eastAsia="Times New Roman" w:cstheme="minorHAnsi"/>
                <w:sz w:val="18"/>
                <w:szCs w:val="18"/>
                <w:lang w:eastAsia="en-GB"/>
              </w:rPr>
              <w:t>0</w:t>
            </w:r>
            <w:r>
              <w:rPr>
                <w:rFonts w:eastAsia="Times New Roman" w:cstheme="minorHAnsi"/>
                <w:sz w:val="18"/>
                <w:szCs w:val="18"/>
                <w:lang w:eastAsia="en-GB"/>
              </w:rPr>
              <w:t>.</w:t>
            </w:r>
            <w:r w:rsidR="00C64A63">
              <w:rPr>
                <w:rFonts w:eastAsia="Times New Roman" w:cstheme="minorHAnsi"/>
                <w:sz w:val="18"/>
                <w:szCs w:val="18"/>
                <w:lang w:eastAsia="en-GB"/>
              </w:rPr>
              <w:t>91</w:t>
            </w:r>
          </w:p>
        </w:tc>
        <w:tc>
          <w:tcPr>
            <w:tcW w:w="0" w:type="auto"/>
          </w:tcPr>
          <w:p w14:paraId="184CDCC1" w14:textId="41F403CA" w:rsidR="00271850" w:rsidRPr="00C24F78" w:rsidRDefault="00271850" w:rsidP="00F61E90">
            <w:pPr>
              <w:spacing w:after="0" w:line="240" w:lineRule="auto"/>
              <w:jc w:val="right"/>
              <w:rPr>
                <w:rFonts w:eastAsia="Times New Roman" w:cstheme="minorHAnsi"/>
                <w:sz w:val="18"/>
                <w:szCs w:val="18"/>
                <w:lang w:eastAsia="en-GB"/>
              </w:rPr>
            </w:pPr>
            <w:r w:rsidRPr="00C24F78">
              <w:rPr>
                <w:rFonts w:eastAsia="Times New Roman" w:cstheme="minorHAnsi"/>
                <w:sz w:val="18"/>
                <w:szCs w:val="18"/>
                <w:lang w:eastAsia="en-GB"/>
              </w:rPr>
              <w:t>0</w:t>
            </w:r>
            <w:r>
              <w:rPr>
                <w:rFonts w:eastAsia="Times New Roman" w:cstheme="minorHAnsi"/>
                <w:sz w:val="18"/>
                <w:szCs w:val="18"/>
                <w:lang w:eastAsia="en-GB"/>
              </w:rPr>
              <w:t>.</w:t>
            </w:r>
            <w:r w:rsidRPr="00C24F78">
              <w:rPr>
                <w:rFonts w:eastAsia="Times New Roman" w:cstheme="minorHAnsi"/>
                <w:sz w:val="18"/>
                <w:szCs w:val="18"/>
                <w:lang w:eastAsia="en-GB"/>
              </w:rPr>
              <w:t>7</w:t>
            </w:r>
            <w:r w:rsidR="000F63AA">
              <w:rPr>
                <w:rFonts w:eastAsia="Times New Roman" w:cstheme="minorHAnsi"/>
                <w:sz w:val="18"/>
                <w:szCs w:val="18"/>
                <w:lang w:eastAsia="en-GB"/>
              </w:rPr>
              <w:t>7</w:t>
            </w:r>
            <w:r w:rsidRPr="00C24F78">
              <w:rPr>
                <w:rFonts w:eastAsia="Times New Roman" w:cstheme="minorHAnsi"/>
                <w:sz w:val="18"/>
                <w:szCs w:val="18"/>
                <w:lang w:eastAsia="en-GB"/>
              </w:rPr>
              <w:t>-1</w:t>
            </w:r>
            <w:r>
              <w:rPr>
                <w:rFonts w:eastAsia="Times New Roman" w:cstheme="minorHAnsi"/>
                <w:sz w:val="18"/>
                <w:szCs w:val="18"/>
                <w:lang w:eastAsia="en-GB"/>
              </w:rPr>
              <w:t>.</w:t>
            </w:r>
            <w:r w:rsidRPr="00C24F78">
              <w:rPr>
                <w:rFonts w:eastAsia="Times New Roman" w:cstheme="minorHAnsi"/>
                <w:sz w:val="18"/>
                <w:szCs w:val="18"/>
                <w:lang w:eastAsia="en-GB"/>
              </w:rPr>
              <w:t>0</w:t>
            </w:r>
            <w:r w:rsidR="000F63AA">
              <w:rPr>
                <w:rFonts w:eastAsia="Times New Roman" w:cstheme="minorHAnsi"/>
                <w:sz w:val="18"/>
                <w:szCs w:val="18"/>
                <w:lang w:eastAsia="en-GB"/>
              </w:rPr>
              <w:t>6</w:t>
            </w:r>
          </w:p>
        </w:tc>
        <w:tc>
          <w:tcPr>
            <w:tcW w:w="0" w:type="auto"/>
          </w:tcPr>
          <w:p w14:paraId="57BDA836" w14:textId="77777777" w:rsidR="00271850" w:rsidRPr="00C24F78" w:rsidRDefault="00271850" w:rsidP="00F61E90">
            <w:pPr>
              <w:spacing w:after="0" w:line="240" w:lineRule="auto"/>
              <w:jc w:val="right"/>
              <w:rPr>
                <w:rFonts w:eastAsia="Times New Roman" w:cstheme="minorHAnsi"/>
                <w:sz w:val="18"/>
                <w:szCs w:val="18"/>
                <w:lang w:eastAsia="en-GB"/>
              </w:rPr>
            </w:pPr>
          </w:p>
        </w:tc>
        <w:tc>
          <w:tcPr>
            <w:tcW w:w="0" w:type="auto"/>
            <w:vAlign w:val="center"/>
          </w:tcPr>
          <w:p w14:paraId="21EB0021" w14:textId="494235FF" w:rsidR="00271850" w:rsidRPr="00C24F78" w:rsidRDefault="00271850" w:rsidP="00F61E90">
            <w:pPr>
              <w:spacing w:after="0" w:line="240" w:lineRule="auto"/>
              <w:jc w:val="right"/>
              <w:rPr>
                <w:rFonts w:eastAsia="Times New Roman" w:cstheme="minorHAnsi"/>
                <w:sz w:val="18"/>
                <w:szCs w:val="18"/>
                <w:lang w:eastAsia="en-GB"/>
              </w:rPr>
            </w:pPr>
            <w:r w:rsidRPr="00C24F78">
              <w:rPr>
                <w:rFonts w:eastAsia="Times New Roman" w:cstheme="minorHAnsi"/>
                <w:sz w:val="18"/>
                <w:szCs w:val="18"/>
                <w:lang w:eastAsia="en-GB"/>
              </w:rPr>
              <w:t>0</w:t>
            </w:r>
            <w:r>
              <w:rPr>
                <w:rFonts w:eastAsia="Times New Roman" w:cstheme="minorHAnsi"/>
                <w:sz w:val="18"/>
                <w:szCs w:val="18"/>
                <w:lang w:eastAsia="en-GB"/>
              </w:rPr>
              <w:t>.</w:t>
            </w:r>
            <w:r w:rsidRPr="00C24F78">
              <w:rPr>
                <w:rFonts w:eastAsia="Times New Roman" w:cstheme="minorHAnsi"/>
                <w:sz w:val="18"/>
                <w:szCs w:val="18"/>
                <w:lang w:eastAsia="en-GB"/>
              </w:rPr>
              <w:t>8</w:t>
            </w:r>
            <w:r w:rsidR="009A1B1D">
              <w:rPr>
                <w:rFonts w:eastAsia="Times New Roman" w:cstheme="minorHAnsi"/>
                <w:sz w:val="18"/>
                <w:szCs w:val="18"/>
                <w:lang w:eastAsia="en-GB"/>
              </w:rPr>
              <w:t>8</w:t>
            </w:r>
          </w:p>
        </w:tc>
        <w:tc>
          <w:tcPr>
            <w:tcW w:w="0" w:type="auto"/>
            <w:vAlign w:val="center"/>
          </w:tcPr>
          <w:p w14:paraId="4F70A3AA" w14:textId="0544C32C" w:rsidR="00271850" w:rsidRPr="00C24F78" w:rsidRDefault="00271850" w:rsidP="00F61E90">
            <w:pPr>
              <w:spacing w:after="0" w:line="240" w:lineRule="auto"/>
              <w:jc w:val="right"/>
              <w:rPr>
                <w:rFonts w:eastAsia="Times New Roman" w:cstheme="minorHAnsi"/>
                <w:sz w:val="18"/>
                <w:szCs w:val="18"/>
                <w:lang w:eastAsia="en-GB"/>
              </w:rPr>
            </w:pPr>
            <w:r w:rsidRPr="00C24F78">
              <w:rPr>
                <w:rFonts w:eastAsia="Times New Roman" w:cstheme="minorHAnsi"/>
                <w:sz w:val="18"/>
                <w:szCs w:val="18"/>
                <w:lang w:eastAsia="en-GB"/>
              </w:rPr>
              <w:t>0</w:t>
            </w:r>
            <w:r>
              <w:rPr>
                <w:rFonts w:eastAsia="Times New Roman" w:cstheme="minorHAnsi"/>
                <w:sz w:val="18"/>
                <w:szCs w:val="18"/>
                <w:lang w:eastAsia="en-GB"/>
              </w:rPr>
              <w:t>.</w:t>
            </w:r>
            <w:r w:rsidRPr="00C24F78">
              <w:rPr>
                <w:rFonts w:eastAsia="Times New Roman" w:cstheme="minorHAnsi"/>
                <w:sz w:val="18"/>
                <w:szCs w:val="18"/>
                <w:lang w:eastAsia="en-GB"/>
              </w:rPr>
              <w:t>7</w:t>
            </w:r>
            <w:r w:rsidR="009A1B1D">
              <w:rPr>
                <w:rFonts w:eastAsia="Times New Roman" w:cstheme="minorHAnsi"/>
                <w:sz w:val="18"/>
                <w:szCs w:val="18"/>
                <w:lang w:eastAsia="en-GB"/>
              </w:rPr>
              <w:t>2</w:t>
            </w:r>
            <w:r w:rsidRPr="00C24F78">
              <w:rPr>
                <w:rFonts w:eastAsia="Times New Roman" w:cstheme="minorHAnsi"/>
                <w:sz w:val="18"/>
                <w:szCs w:val="18"/>
                <w:lang w:eastAsia="en-GB"/>
              </w:rPr>
              <w:t>-1</w:t>
            </w:r>
            <w:r>
              <w:rPr>
                <w:rFonts w:eastAsia="Times New Roman" w:cstheme="minorHAnsi"/>
                <w:sz w:val="18"/>
                <w:szCs w:val="18"/>
                <w:lang w:eastAsia="en-GB"/>
              </w:rPr>
              <w:t>.</w:t>
            </w:r>
            <w:r w:rsidRPr="00C24F78">
              <w:rPr>
                <w:rFonts w:eastAsia="Times New Roman" w:cstheme="minorHAnsi"/>
                <w:sz w:val="18"/>
                <w:szCs w:val="18"/>
                <w:lang w:eastAsia="en-GB"/>
              </w:rPr>
              <w:t>0</w:t>
            </w:r>
            <w:r w:rsidR="009A1B1D">
              <w:rPr>
                <w:rFonts w:eastAsia="Times New Roman" w:cstheme="minorHAnsi"/>
                <w:sz w:val="18"/>
                <w:szCs w:val="18"/>
                <w:lang w:eastAsia="en-GB"/>
              </w:rPr>
              <w:t>8</w:t>
            </w:r>
          </w:p>
        </w:tc>
        <w:tc>
          <w:tcPr>
            <w:tcW w:w="0" w:type="auto"/>
            <w:vAlign w:val="center"/>
          </w:tcPr>
          <w:p w14:paraId="2F439B02" w14:textId="77777777" w:rsidR="00271850" w:rsidRPr="00C24F78" w:rsidRDefault="00271850" w:rsidP="00F61E90">
            <w:pPr>
              <w:spacing w:after="0" w:line="240" w:lineRule="auto"/>
              <w:jc w:val="right"/>
              <w:rPr>
                <w:rFonts w:eastAsia="Times New Roman" w:cstheme="minorHAnsi"/>
                <w:sz w:val="18"/>
                <w:szCs w:val="18"/>
                <w:lang w:eastAsia="en-GB"/>
              </w:rPr>
            </w:pPr>
          </w:p>
        </w:tc>
        <w:tc>
          <w:tcPr>
            <w:tcW w:w="0" w:type="auto"/>
          </w:tcPr>
          <w:p w14:paraId="4F9E64EE" w14:textId="77777777" w:rsidR="00271850" w:rsidRPr="00C24F78" w:rsidRDefault="00271850" w:rsidP="00F61E90">
            <w:pPr>
              <w:spacing w:after="0" w:line="240" w:lineRule="auto"/>
              <w:jc w:val="right"/>
              <w:rPr>
                <w:rFonts w:eastAsia="Times New Roman" w:cstheme="minorHAnsi"/>
                <w:sz w:val="18"/>
                <w:szCs w:val="18"/>
                <w:lang w:eastAsia="en-GB"/>
              </w:rPr>
            </w:pPr>
          </w:p>
        </w:tc>
        <w:tc>
          <w:tcPr>
            <w:tcW w:w="0" w:type="auto"/>
          </w:tcPr>
          <w:p w14:paraId="0A92EA10" w14:textId="3A002B61" w:rsidR="00271850" w:rsidRPr="00C24F78" w:rsidRDefault="00271850" w:rsidP="00F61E90">
            <w:pPr>
              <w:spacing w:after="0" w:line="240" w:lineRule="auto"/>
              <w:jc w:val="right"/>
              <w:rPr>
                <w:rFonts w:eastAsia="Times New Roman" w:cstheme="minorHAnsi"/>
                <w:sz w:val="18"/>
                <w:szCs w:val="18"/>
                <w:lang w:eastAsia="en-GB"/>
              </w:rPr>
            </w:pPr>
            <w:r w:rsidRPr="00C24F78">
              <w:rPr>
                <w:sz w:val="18"/>
                <w:szCs w:val="18"/>
              </w:rPr>
              <w:t>1</w:t>
            </w:r>
            <w:r>
              <w:rPr>
                <w:sz w:val="18"/>
                <w:szCs w:val="18"/>
              </w:rPr>
              <w:t>.</w:t>
            </w:r>
            <w:r w:rsidRPr="00C24F78">
              <w:rPr>
                <w:sz w:val="18"/>
                <w:szCs w:val="18"/>
              </w:rPr>
              <w:t>1</w:t>
            </w:r>
            <w:r w:rsidR="005520DD">
              <w:rPr>
                <w:sz w:val="18"/>
                <w:szCs w:val="18"/>
              </w:rPr>
              <w:t>1</w:t>
            </w:r>
          </w:p>
        </w:tc>
        <w:tc>
          <w:tcPr>
            <w:tcW w:w="0" w:type="auto"/>
          </w:tcPr>
          <w:p w14:paraId="412A14FF" w14:textId="4025F283" w:rsidR="00271850" w:rsidRPr="00C24F78" w:rsidRDefault="00271850" w:rsidP="00F61E90">
            <w:pPr>
              <w:spacing w:after="0" w:line="240" w:lineRule="auto"/>
              <w:jc w:val="right"/>
              <w:rPr>
                <w:rFonts w:eastAsia="Times New Roman" w:cstheme="minorHAnsi"/>
                <w:sz w:val="18"/>
                <w:szCs w:val="18"/>
                <w:lang w:eastAsia="en-GB"/>
              </w:rPr>
            </w:pPr>
            <w:r w:rsidRPr="00C24F78">
              <w:rPr>
                <w:sz w:val="18"/>
                <w:szCs w:val="18"/>
              </w:rPr>
              <w:t>0</w:t>
            </w:r>
            <w:r>
              <w:rPr>
                <w:sz w:val="18"/>
                <w:szCs w:val="18"/>
              </w:rPr>
              <w:t>.</w:t>
            </w:r>
            <w:r w:rsidRPr="00C24F78">
              <w:rPr>
                <w:sz w:val="18"/>
                <w:szCs w:val="18"/>
              </w:rPr>
              <w:t>8</w:t>
            </w:r>
            <w:r w:rsidR="005520DD">
              <w:rPr>
                <w:sz w:val="18"/>
                <w:szCs w:val="18"/>
              </w:rPr>
              <w:t>8</w:t>
            </w:r>
            <w:r w:rsidRPr="00C24F78">
              <w:rPr>
                <w:sz w:val="18"/>
                <w:szCs w:val="18"/>
              </w:rPr>
              <w:t>-1</w:t>
            </w:r>
            <w:r>
              <w:rPr>
                <w:sz w:val="18"/>
                <w:szCs w:val="18"/>
              </w:rPr>
              <w:t>.</w:t>
            </w:r>
            <w:r w:rsidRPr="00C24F78">
              <w:rPr>
                <w:sz w:val="18"/>
                <w:szCs w:val="18"/>
              </w:rPr>
              <w:t>4</w:t>
            </w:r>
            <w:r w:rsidR="005520DD">
              <w:rPr>
                <w:sz w:val="18"/>
                <w:szCs w:val="18"/>
              </w:rPr>
              <w:t>1</w:t>
            </w:r>
          </w:p>
        </w:tc>
        <w:tc>
          <w:tcPr>
            <w:tcW w:w="0" w:type="auto"/>
          </w:tcPr>
          <w:p w14:paraId="0674426C" w14:textId="77777777" w:rsidR="00271850" w:rsidRPr="00C24F78" w:rsidRDefault="00271850" w:rsidP="00F61E90">
            <w:pPr>
              <w:spacing w:after="0" w:line="240" w:lineRule="auto"/>
              <w:jc w:val="right"/>
              <w:rPr>
                <w:rFonts w:eastAsia="Times New Roman" w:cstheme="minorHAnsi"/>
                <w:sz w:val="18"/>
                <w:szCs w:val="18"/>
                <w:lang w:eastAsia="en-GB"/>
              </w:rPr>
            </w:pPr>
            <w:r w:rsidRPr="00C24F78">
              <w:rPr>
                <w:sz w:val="18"/>
                <w:szCs w:val="18"/>
              </w:rPr>
              <w:t>1</w:t>
            </w:r>
            <w:r>
              <w:rPr>
                <w:sz w:val="18"/>
                <w:szCs w:val="18"/>
              </w:rPr>
              <w:t>.</w:t>
            </w:r>
            <w:r w:rsidRPr="00C24F78">
              <w:rPr>
                <w:sz w:val="18"/>
                <w:szCs w:val="18"/>
              </w:rPr>
              <w:t>19</w:t>
            </w:r>
          </w:p>
        </w:tc>
        <w:tc>
          <w:tcPr>
            <w:tcW w:w="0" w:type="auto"/>
          </w:tcPr>
          <w:p w14:paraId="3524DD29" w14:textId="0AD5600A" w:rsidR="00271850" w:rsidRPr="00C24F78" w:rsidRDefault="00271850" w:rsidP="00F61E90">
            <w:pPr>
              <w:spacing w:after="0" w:line="240" w:lineRule="auto"/>
              <w:jc w:val="right"/>
              <w:rPr>
                <w:rFonts w:eastAsia="Times New Roman" w:cstheme="minorHAnsi"/>
                <w:sz w:val="18"/>
                <w:szCs w:val="18"/>
                <w:lang w:eastAsia="en-GB"/>
              </w:rPr>
            </w:pPr>
            <w:r w:rsidRPr="00C24F78">
              <w:rPr>
                <w:sz w:val="18"/>
                <w:szCs w:val="18"/>
              </w:rPr>
              <w:t>0</w:t>
            </w:r>
            <w:r>
              <w:rPr>
                <w:sz w:val="18"/>
                <w:szCs w:val="18"/>
              </w:rPr>
              <w:t>.</w:t>
            </w:r>
            <w:r w:rsidRPr="00C24F78">
              <w:rPr>
                <w:sz w:val="18"/>
                <w:szCs w:val="18"/>
              </w:rPr>
              <w:t>89-1</w:t>
            </w:r>
            <w:r>
              <w:rPr>
                <w:sz w:val="18"/>
                <w:szCs w:val="18"/>
              </w:rPr>
              <w:t>.</w:t>
            </w:r>
            <w:r w:rsidRPr="00C24F78">
              <w:rPr>
                <w:sz w:val="18"/>
                <w:szCs w:val="18"/>
              </w:rPr>
              <w:t>5</w:t>
            </w:r>
            <w:r w:rsidR="005E71B7">
              <w:rPr>
                <w:sz w:val="18"/>
                <w:szCs w:val="18"/>
              </w:rPr>
              <w:t>8</w:t>
            </w:r>
          </w:p>
        </w:tc>
        <w:tc>
          <w:tcPr>
            <w:tcW w:w="0" w:type="auto"/>
          </w:tcPr>
          <w:p w14:paraId="62454303" w14:textId="77777777" w:rsidR="00271850" w:rsidRPr="00C24F78" w:rsidRDefault="00271850" w:rsidP="00F61E90">
            <w:pPr>
              <w:spacing w:after="0" w:line="240" w:lineRule="auto"/>
              <w:jc w:val="right"/>
              <w:rPr>
                <w:rFonts w:eastAsia="Times New Roman" w:cstheme="minorHAnsi"/>
                <w:sz w:val="18"/>
                <w:szCs w:val="18"/>
                <w:lang w:eastAsia="en-GB"/>
              </w:rPr>
            </w:pPr>
          </w:p>
        </w:tc>
      </w:tr>
      <w:tr w:rsidR="005520DD" w:rsidRPr="00C24F78" w14:paraId="0DFEF028" w14:textId="77777777" w:rsidTr="00F61E90">
        <w:trPr>
          <w:tblCellSpacing w:w="15" w:type="dxa"/>
        </w:trPr>
        <w:tc>
          <w:tcPr>
            <w:tcW w:w="0" w:type="auto"/>
            <w:vAlign w:val="center"/>
            <w:hideMark/>
          </w:tcPr>
          <w:p w14:paraId="321F9C5F" w14:textId="77777777" w:rsidR="00271850" w:rsidRPr="00C24F78" w:rsidRDefault="00271850" w:rsidP="00F61E90">
            <w:pPr>
              <w:spacing w:after="0" w:line="240" w:lineRule="auto"/>
              <w:rPr>
                <w:rFonts w:eastAsia="Times New Roman" w:cstheme="minorHAnsi"/>
                <w:sz w:val="18"/>
                <w:szCs w:val="18"/>
                <w:lang w:eastAsia="en-GB"/>
              </w:rPr>
            </w:pPr>
          </w:p>
        </w:tc>
        <w:tc>
          <w:tcPr>
            <w:tcW w:w="0" w:type="auto"/>
            <w:vAlign w:val="center"/>
            <w:hideMark/>
          </w:tcPr>
          <w:p w14:paraId="01BEC580" w14:textId="77777777" w:rsidR="00271850" w:rsidRPr="00C24F78" w:rsidRDefault="00271850" w:rsidP="00F61E90">
            <w:pPr>
              <w:spacing w:after="0" w:line="240" w:lineRule="auto"/>
              <w:rPr>
                <w:rFonts w:eastAsia="Times New Roman" w:cstheme="minorHAnsi"/>
                <w:sz w:val="18"/>
                <w:szCs w:val="18"/>
                <w:lang w:eastAsia="en-GB"/>
              </w:rPr>
            </w:pPr>
            <w:r w:rsidRPr="00C24F78">
              <w:rPr>
                <w:rFonts w:eastAsia="Times New Roman" w:cstheme="minorHAnsi"/>
                <w:sz w:val="18"/>
                <w:szCs w:val="18"/>
                <w:lang w:eastAsia="en-GB"/>
              </w:rPr>
              <w:t xml:space="preserve">2014 </w:t>
            </w:r>
          </w:p>
        </w:tc>
        <w:tc>
          <w:tcPr>
            <w:tcW w:w="0" w:type="auto"/>
            <w:vAlign w:val="center"/>
          </w:tcPr>
          <w:p w14:paraId="0EAB82F0" w14:textId="36D207F2" w:rsidR="00271850" w:rsidRPr="00C24F78" w:rsidRDefault="00271850" w:rsidP="00F61E90">
            <w:pPr>
              <w:spacing w:after="0" w:line="240" w:lineRule="auto"/>
              <w:jc w:val="right"/>
              <w:rPr>
                <w:rFonts w:eastAsia="Times New Roman" w:cstheme="minorHAnsi"/>
                <w:sz w:val="18"/>
                <w:szCs w:val="18"/>
                <w:lang w:eastAsia="en-GB"/>
              </w:rPr>
            </w:pPr>
            <w:r w:rsidRPr="00C24F78">
              <w:rPr>
                <w:rFonts w:eastAsia="Times New Roman" w:cstheme="minorHAnsi"/>
                <w:sz w:val="18"/>
                <w:szCs w:val="18"/>
                <w:lang w:eastAsia="en-GB"/>
              </w:rPr>
              <w:t>0</w:t>
            </w:r>
            <w:r>
              <w:rPr>
                <w:rFonts w:eastAsia="Times New Roman" w:cstheme="minorHAnsi"/>
                <w:sz w:val="18"/>
                <w:szCs w:val="18"/>
                <w:lang w:eastAsia="en-GB"/>
              </w:rPr>
              <w:t>.</w:t>
            </w:r>
            <w:r w:rsidRPr="00C24F78">
              <w:rPr>
                <w:rFonts w:eastAsia="Times New Roman" w:cstheme="minorHAnsi"/>
                <w:sz w:val="18"/>
                <w:szCs w:val="18"/>
                <w:lang w:eastAsia="en-GB"/>
              </w:rPr>
              <w:t>9</w:t>
            </w:r>
            <w:r w:rsidR="00C64A63">
              <w:rPr>
                <w:rFonts w:eastAsia="Times New Roman" w:cstheme="minorHAnsi"/>
                <w:sz w:val="18"/>
                <w:szCs w:val="18"/>
                <w:lang w:eastAsia="en-GB"/>
              </w:rPr>
              <w:t>5</w:t>
            </w:r>
          </w:p>
        </w:tc>
        <w:tc>
          <w:tcPr>
            <w:tcW w:w="0" w:type="auto"/>
          </w:tcPr>
          <w:p w14:paraId="64CAF6F2" w14:textId="17C99827" w:rsidR="00271850" w:rsidRPr="00C24F78" w:rsidRDefault="00271850" w:rsidP="00F61E90">
            <w:pPr>
              <w:spacing w:after="0" w:line="240" w:lineRule="auto"/>
              <w:jc w:val="right"/>
              <w:rPr>
                <w:rFonts w:eastAsia="Times New Roman" w:cstheme="minorHAnsi"/>
                <w:sz w:val="18"/>
                <w:szCs w:val="18"/>
                <w:lang w:eastAsia="en-GB"/>
              </w:rPr>
            </w:pPr>
            <w:r w:rsidRPr="00C24F78">
              <w:rPr>
                <w:rFonts w:eastAsia="Times New Roman" w:cstheme="minorHAnsi"/>
                <w:sz w:val="18"/>
                <w:szCs w:val="18"/>
                <w:lang w:eastAsia="en-GB"/>
              </w:rPr>
              <w:t>0</w:t>
            </w:r>
            <w:r>
              <w:rPr>
                <w:rFonts w:eastAsia="Times New Roman" w:cstheme="minorHAnsi"/>
                <w:sz w:val="18"/>
                <w:szCs w:val="18"/>
                <w:lang w:eastAsia="en-GB"/>
              </w:rPr>
              <w:t>.</w:t>
            </w:r>
            <w:r w:rsidR="000F63AA">
              <w:rPr>
                <w:rFonts w:eastAsia="Times New Roman" w:cstheme="minorHAnsi"/>
                <w:sz w:val="18"/>
                <w:szCs w:val="18"/>
                <w:lang w:eastAsia="en-GB"/>
              </w:rPr>
              <w:t>80</w:t>
            </w:r>
            <w:r w:rsidRPr="00C24F78">
              <w:rPr>
                <w:rFonts w:eastAsia="Times New Roman" w:cstheme="minorHAnsi"/>
                <w:sz w:val="18"/>
                <w:szCs w:val="18"/>
                <w:lang w:eastAsia="en-GB"/>
              </w:rPr>
              <w:t>-1</w:t>
            </w:r>
            <w:r>
              <w:rPr>
                <w:rFonts w:eastAsia="Times New Roman" w:cstheme="minorHAnsi"/>
                <w:sz w:val="18"/>
                <w:szCs w:val="18"/>
                <w:lang w:eastAsia="en-GB"/>
              </w:rPr>
              <w:t>.</w:t>
            </w:r>
            <w:r w:rsidRPr="00C24F78">
              <w:rPr>
                <w:rFonts w:eastAsia="Times New Roman" w:cstheme="minorHAnsi"/>
                <w:sz w:val="18"/>
                <w:szCs w:val="18"/>
                <w:lang w:eastAsia="en-GB"/>
              </w:rPr>
              <w:t>1</w:t>
            </w:r>
            <w:r w:rsidR="000F63AA">
              <w:rPr>
                <w:rFonts w:eastAsia="Times New Roman" w:cstheme="minorHAnsi"/>
                <w:sz w:val="18"/>
                <w:szCs w:val="18"/>
                <w:lang w:eastAsia="en-GB"/>
              </w:rPr>
              <w:t>3</w:t>
            </w:r>
          </w:p>
        </w:tc>
        <w:tc>
          <w:tcPr>
            <w:tcW w:w="0" w:type="auto"/>
          </w:tcPr>
          <w:p w14:paraId="597096E0" w14:textId="77777777" w:rsidR="00271850" w:rsidRPr="00C24F78" w:rsidRDefault="00271850" w:rsidP="00F61E90">
            <w:pPr>
              <w:spacing w:after="0" w:line="240" w:lineRule="auto"/>
              <w:jc w:val="right"/>
              <w:rPr>
                <w:rFonts w:eastAsia="Times New Roman" w:cstheme="minorHAnsi"/>
                <w:sz w:val="18"/>
                <w:szCs w:val="18"/>
                <w:lang w:eastAsia="en-GB"/>
              </w:rPr>
            </w:pPr>
          </w:p>
        </w:tc>
        <w:tc>
          <w:tcPr>
            <w:tcW w:w="0" w:type="auto"/>
            <w:vAlign w:val="center"/>
          </w:tcPr>
          <w:p w14:paraId="4F58FDF8" w14:textId="2BDECCF0" w:rsidR="00271850" w:rsidRPr="00C24F78" w:rsidRDefault="00271850" w:rsidP="00F61E90">
            <w:pPr>
              <w:spacing w:after="0" w:line="240" w:lineRule="auto"/>
              <w:jc w:val="right"/>
              <w:rPr>
                <w:rFonts w:eastAsia="Times New Roman" w:cstheme="minorHAnsi"/>
                <w:sz w:val="18"/>
                <w:szCs w:val="18"/>
                <w:lang w:eastAsia="en-GB"/>
              </w:rPr>
            </w:pPr>
            <w:r w:rsidRPr="00C24F78">
              <w:rPr>
                <w:rFonts w:eastAsia="Times New Roman" w:cstheme="minorHAnsi"/>
                <w:sz w:val="18"/>
                <w:szCs w:val="18"/>
                <w:lang w:eastAsia="en-GB"/>
              </w:rPr>
              <w:t>0</w:t>
            </w:r>
            <w:r>
              <w:rPr>
                <w:rFonts w:eastAsia="Times New Roman" w:cstheme="minorHAnsi"/>
                <w:sz w:val="18"/>
                <w:szCs w:val="18"/>
                <w:lang w:eastAsia="en-GB"/>
              </w:rPr>
              <w:t>.</w:t>
            </w:r>
            <w:r w:rsidRPr="00C24F78">
              <w:rPr>
                <w:rFonts w:eastAsia="Times New Roman" w:cstheme="minorHAnsi"/>
                <w:sz w:val="18"/>
                <w:szCs w:val="18"/>
                <w:lang w:eastAsia="en-GB"/>
              </w:rPr>
              <w:t>9</w:t>
            </w:r>
            <w:r w:rsidR="009A1B1D">
              <w:rPr>
                <w:rFonts w:eastAsia="Times New Roman" w:cstheme="minorHAnsi"/>
                <w:sz w:val="18"/>
                <w:szCs w:val="18"/>
                <w:lang w:eastAsia="en-GB"/>
              </w:rPr>
              <w:t>1</w:t>
            </w:r>
          </w:p>
        </w:tc>
        <w:tc>
          <w:tcPr>
            <w:tcW w:w="0" w:type="auto"/>
            <w:vAlign w:val="center"/>
          </w:tcPr>
          <w:p w14:paraId="2413F0D5" w14:textId="596344DE" w:rsidR="00271850" w:rsidRPr="00C24F78" w:rsidRDefault="00271850" w:rsidP="00F61E90">
            <w:pPr>
              <w:spacing w:after="0" w:line="240" w:lineRule="auto"/>
              <w:jc w:val="right"/>
              <w:rPr>
                <w:rFonts w:eastAsia="Times New Roman" w:cstheme="minorHAnsi"/>
                <w:sz w:val="18"/>
                <w:szCs w:val="18"/>
                <w:lang w:eastAsia="en-GB"/>
              </w:rPr>
            </w:pPr>
            <w:r w:rsidRPr="00C24F78">
              <w:rPr>
                <w:rFonts w:eastAsia="Times New Roman" w:cstheme="minorHAnsi"/>
                <w:sz w:val="18"/>
                <w:szCs w:val="18"/>
                <w:lang w:eastAsia="en-GB"/>
              </w:rPr>
              <w:t>0</w:t>
            </w:r>
            <w:r>
              <w:rPr>
                <w:rFonts w:eastAsia="Times New Roman" w:cstheme="minorHAnsi"/>
                <w:sz w:val="18"/>
                <w:szCs w:val="18"/>
                <w:lang w:eastAsia="en-GB"/>
              </w:rPr>
              <w:t>.</w:t>
            </w:r>
            <w:r w:rsidRPr="00C24F78">
              <w:rPr>
                <w:rFonts w:eastAsia="Times New Roman" w:cstheme="minorHAnsi"/>
                <w:sz w:val="18"/>
                <w:szCs w:val="18"/>
                <w:lang w:eastAsia="en-GB"/>
              </w:rPr>
              <w:t>7</w:t>
            </w:r>
            <w:r w:rsidR="009A1B1D">
              <w:rPr>
                <w:rFonts w:eastAsia="Times New Roman" w:cstheme="minorHAnsi"/>
                <w:sz w:val="18"/>
                <w:szCs w:val="18"/>
                <w:lang w:eastAsia="en-GB"/>
              </w:rPr>
              <w:t>1</w:t>
            </w:r>
            <w:r w:rsidRPr="00C24F78">
              <w:rPr>
                <w:rFonts w:eastAsia="Times New Roman" w:cstheme="minorHAnsi"/>
                <w:sz w:val="18"/>
                <w:szCs w:val="18"/>
                <w:lang w:eastAsia="en-GB"/>
              </w:rPr>
              <w:t>-1</w:t>
            </w:r>
            <w:r>
              <w:rPr>
                <w:rFonts w:eastAsia="Times New Roman" w:cstheme="minorHAnsi"/>
                <w:sz w:val="18"/>
                <w:szCs w:val="18"/>
                <w:lang w:eastAsia="en-GB"/>
              </w:rPr>
              <w:t>.</w:t>
            </w:r>
            <w:r w:rsidRPr="00C24F78">
              <w:rPr>
                <w:rFonts w:eastAsia="Times New Roman" w:cstheme="minorHAnsi"/>
                <w:sz w:val="18"/>
                <w:szCs w:val="18"/>
                <w:lang w:eastAsia="en-GB"/>
              </w:rPr>
              <w:t>1</w:t>
            </w:r>
            <w:r w:rsidR="009A1B1D">
              <w:rPr>
                <w:rFonts w:eastAsia="Times New Roman" w:cstheme="minorHAnsi"/>
                <w:sz w:val="18"/>
                <w:szCs w:val="18"/>
                <w:lang w:eastAsia="en-GB"/>
              </w:rPr>
              <w:t>7</w:t>
            </w:r>
          </w:p>
        </w:tc>
        <w:tc>
          <w:tcPr>
            <w:tcW w:w="0" w:type="auto"/>
            <w:vAlign w:val="center"/>
          </w:tcPr>
          <w:p w14:paraId="2C0AD7C6" w14:textId="77777777" w:rsidR="00271850" w:rsidRPr="00C24F78" w:rsidRDefault="00271850" w:rsidP="00F61E90">
            <w:pPr>
              <w:spacing w:after="0" w:line="240" w:lineRule="auto"/>
              <w:jc w:val="right"/>
              <w:rPr>
                <w:rFonts w:eastAsia="Times New Roman" w:cstheme="minorHAnsi"/>
                <w:sz w:val="18"/>
                <w:szCs w:val="18"/>
                <w:lang w:eastAsia="en-GB"/>
              </w:rPr>
            </w:pPr>
          </w:p>
        </w:tc>
        <w:tc>
          <w:tcPr>
            <w:tcW w:w="0" w:type="auto"/>
          </w:tcPr>
          <w:p w14:paraId="370489D7" w14:textId="77777777" w:rsidR="00271850" w:rsidRPr="00C24F78" w:rsidRDefault="00271850" w:rsidP="00F61E90">
            <w:pPr>
              <w:spacing w:after="0" w:line="240" w:lineRule="auto"/>
              <w:jc w:val="right"/>
              <w:rPr>
                <w:rFonts w:eastAsia="Times New Roman" w:cstheme="minorHAnsi"/>
                <w:sz w:val="18"/>
                <w:szCs w:val="18"/>
                <w:lang w:eastAsia="en-GB"/>
              </w:rPr>
            </w:pPr>
          </w:p>
        </w:tc>
        <w:tc>
          <w:tcPr>
            <w:tcW w:w="0" w:type="auto"/>
          </w:tcPr>
          <w:p w14:paraId="4428DED0" w14:textId="5055CEF7" w:rsidR="00271850" w:rsidRPr="00C24F78" w:rsidRDefault="00271850" w:rsidP="00F61E90">
            <w:pPr>
              <w:spacing w:after="0" w:line="240" w:lineRule="auto"/>
              <w:jc w:val="right"/>
              <w:rPr>
                <w:rFonts w:eastAsia="Times New Roman" w:cstheme="minorHAnsi"/>
                <w:sz w:val="18"/>
                <w:szCs w:val="18"/>
                <w:lang w:eastAsia="en-GB"/>
              </w:rPr>
            </w:pPr>
            <w:r w:rsidRPr="00C24F78">
              <w:rPr>
                <w:sz w:val="18"/>
                <w:szCs w:val="18"/>
              </w:rPr>
              <w:t>1</w:t>
            </w:r>
            <w:r>
              <w:rPr>
                <w:sz w:val="18"/>
                <w:szCs w:val="18"/>
              </w:rPr>
              <w:t>.</w:t>
            </w:r>
            <w:r w:rsidRPr="00C24F78">
              <w:rPr>
                <w:sz w:val="18"/>
                <w:szCs w:val="18"/>
              </w:rPr>
              <w:t>1</w:t>
            </w:r>
            <w:r w:rsidR="005520DD">
              <w:rPr>
                <w:sz w:val="18"/>
                <w:szCs w:val="18"/>
              </w:rPr>
              <w:t>5</w:t>
            </w:r>
          </w:p>
        </w:tc>
        <w:tc>
          <w:tcPr>
            <w:tcW w:w="0" w:type="auto"/>
          </w:tcPr>
          <w:p w14:paraId="6EF8A601" w14:textId="02F2A929" w:rsidR="00271850" w:rsidRPr="00C24F78" w:rsidRDefault="00271850" w:rsidP="00F61E90">
            <w:pPr>
              <w:spacing w:after="0" w:line="240" w:lineRule="auto"/>
              <w:jc w:val="right"/>
              <w:rPr>
                <w:rFonts w:eastAsia="Times New Roman" w:cstheme="minorHAnsi"/>
                <w:sz w:val="18"/>
                <w:szCs w:val="18"/>
                <w:lang w:eastAsia="en-GB"/>
              </w:rPr>
            </w:pPr>
            <w:r w:rsidRPr="00C24F78">
              <w:rPr>
                <w:sz w:val="18"/>
                <w:szCs w:val="18"/>
              </w:rPr>
              <w:t>0</w:t>
            </w:r>
            <w:r>
              <w:rPr>
                <w:sz w:val="18"/>
                <w:szCs w:val="18"/>
              </w:rPr>
              <w:t>.</w:t>
            </w:r>
            <w:r w:rsidRPr="00C24F78">
              <w:rPr>
                <w:sz w:val="18"/>
                <w:szCs w:val="18"/>
              </w:rPr>
              <w:t>9</w:t>
            </w:r>
            <w:r w:rsidR="005520DD">
              <w:rPr>
                <w:sz w:val="18"/>
                <w:szCs w:val="18"/>
              </w:rPr>
              <w:t>0</w:t>
            </w:r>
            <w:r w:rsidRPr="00C24F78">
              <w:rPr>
                <w:sz w:val="18"/>
                <w:szCs w:val="18"/>
              </w:rPr>
              <w:t>-1</w:t>
            </w:r>
            <w:r>
              <w:rPr>
                <w:sz w:val="18"/>
                <w:szCs w:val="18"/>
              </w:rPr>
              <w:t>.</w:t>
            </w:r>
            <w:r w:rsidR="005520DD">
              <w:rPr>
                <w:sz w:val="18"/>
                <w:szCs w:val="18"/>
              </w:rPr>
              <w:t>48</w:t>
            </w:r>
          </w:p>
        </w:tc>
        <w:tc>
          <w:tcPr>
            <w:tcW w:w="0" w:type="auto"/>
          </w:tcPr>
          <w:p w14:paraId="54056966" w14:textId="32504683" w:rsidR="00271850" w:rsidRPr="00C24F78" w:rsidRDefault="00271850" w:rsidP="00F61E90">
            <w:pPr>
              <w:spacing w:after="0" w:line="240" w:lineRule="auto"/>
              <w:jc w:val="right"/>
              <w:rPr>
                <w:rFonts w:eastAsia="Times New Roman" w:cstheme="minorHAnsi"/>
                <w:sz w:val="18"/>
                <w:szCs w:val="18"/>
                <w:lang w:eastAsia="en-GB"/>
              </w:rPr>
            </w:pPr>
            <w:r w:rsidRPr="00C24F78">
              <w:rPr>
                <w:sz w:val="18"/>
                <w:szCs w:val="18"/>
              </w:rPr>
              <w:t>1</w:t>
            </w:r>
            <w:r>
              <w:rPr>
                <w:sz w:val="18"/>
                <w:szCs w:val="18"/>
              </w:rPr>
              <w:t>.</w:t>
            </w:r>
            <w:r w:rsidRPr="00C24F78">
              <w:rPr>
                <w:sz w:val="18"/>
                <w:szCs w:val="18"/>
              </w:rPr>
              <w:t>2</w:t>
            </w:r>
            <w:r w:rsidR="005E71B7">
              <w:rPr>
                <w:sz w:val="18"/>
                <w:szCs w:val="18"/>
              </w:rPr>
              <w:t>8</w:t>
            </w:r>
          </w:p>
        </w:tc>
        <w:tc>
          <w:tcPr>
            <w:tcW w:w="0" w:type="auto"/>
          </w:tcPr>
          <w:p w14:paraId="6EA963C4" w14:textId="77777777" w:rsidR="00271850" w:rsidRPr="00C24F78" w:rsidRDefault="00271850" w:rsidP="00F61E90">
            <w:pPr>
              <w:spacing w:after="0" w:line="240" w:lineRule="auto"/>
              <w:jc w:val="right"/>
              <w:rPr>
                <w:rFonts w:eastAsia="Times New Roman" w:cstheme="minorHAnsi"/>
                <w:sz w:val="18"/>
                <w:szCs w:val="18"/>
                <w:lang w:eastAsia="en-GB"/>
              </w:rPr>
            </w:pPr>
            <w:r w:rsidRPr="00C24F78">
              <w:rPr>
                <w:sz w:val="18"/>
                <w:szCs w:val="18"/>
              </w:rPr>
              <w:t>0</w:t>
            </w:r>
            <w:r>
              <w:rPr>
                <w:sz w:val="18"/>
                <w:szCs w:val="18"/>
              </w:rPr>
              <w:t>.</w:t>
            </w:r>
            <w:r w:rsidRPr="00C24F78">
              <w:rPr>
                <w:sz w:val="18"/>
                <w:szCs w:val="18"/>
              </w:rPr>
              <w:t>89-1</w:t>
            </w:r>
            <w:r>
              <w:rPr>
                <w:sz w:val="18"/>
                <w:szCs w:val="18"/>
              </w:rPr>
              <w:t>.</w:t>
            </w:r>
            <w:r w:rsidRPr="00C24F78">
              <w:rPr>
                <w:sz w:val="18"/>
                <w:szCs w:val="18"/>
              </w:rPr>
              <w:t>82</w:t>
            </w:r>
          </w:p>
        </w:tc>
        <w:tc>
          <w:tcPr>
            <w:tcW w:w="0" w:type="auto"/>
          </w:tcPr>
          <w:p w14:paraId="73653DC0" w14:textId="77777777" w:rsidR="00271850" w:rsidRPr="00C24F78" w:rsidRDefault="00271850" w:rsidP="00F61E90">
            <w:pPr>
              <w:spacing w:after="0" w:line="240" w:lineRule="auto"/>
              <w:jc w:val="right"/>
              <w:rPr>
                <w:rFonts w:eastAsia="Times New Roman" w:cstheme="minorHAnsi"/>
                <w:sz w:val="18"/>
                <w:szCs w:val="18"/>
                <w:lang w:eastAsia="en-GB"/>
              </w:rPr>
            </w:pPr>
          </w:p>
        </w:tc>
      </w:tr>
      <w:tr w:rsidR="005520DD" w:rsidRPr="00C24F78" w14:paraId="791F9C8D" w14:textId="77777777" w:rsidTr="00F61E90">
        <w:trPr>
          <w:tblCellSpacing w:w="15" w:type="dxa"/>
        </w:trPr>
        <w:tc>
          <w:tcPr>
            <w:tcW w:w="0" w:type="auto"/>
            <w:vAlign w:val="center"/>
            <w:hideMark/>
          </w:tcPr>
          <w:p w14:paraId="084FD652" w14:textId="77777777" w:rsidR="00271850" w:rsidRPr="00C24F78" w:rsidRDefault="00271850" w:rsidP="00F61E90">
            <w:pPr>
              <w:spacing w:after="0" w:line="240" w:lineRule="auto"/>
              <w:rPr>
                <w:rFonts w:eastAsia="Times New Roman" w:cstheme="minorHAnsi"/>
                <w:sz w:val="18"/>
                <w:szCs w:val="18"/>
                <w:lang w:eastAsia="en-GB"/>
              </w:rPr>
            </w:pPr>
          </w:p>
        </w:tc>
        <w:tc>
          <w:tcPr>
            <w:tcW w:w="0" w:type="auto"/>
            <w:vAlign w:val="center"/>
            <w:hideMark/>
          </w:tcPr>
          <w:p w14:paraId="79DDCC92" w14:textId="77777777" w:rsidR="00271850" w:rsidRPr="00C24F78" w:rsidRDefault="00271850" w:rsidP="00F61E90">
            <w:pPr>
              <w:spacing w:after="0" w:line="240" w:lineRule="auto"/>
              <w:rPr>
                <w:rFonts w:eastAsia="Times New Roman" w:cstheme="minorHAnsi"/>
                <w:sz w:val="18"/>
                <w:szCs w:val="18"/>
                <w:lang w:eastAsia="en-GB"/>
              </w:rPr>
            </w:pPr>
            <w:r w:rsidRPr="00C24F78">
              <w:rPr>
                <w:rFonts w:eastAsia="Times New Roman" w:cstheme="minorHAnsi"/>
                <w:sz w:val="18"/>
                <w:szCs w:val="18"/>
                <w:lang w:eastAsia="en-GB"/>
              </w:rPr>
              <w:t xml:space="preserve">2015 </w:t>
            </w:r>
          </w:p>
        </w:tc>
        <w:tc>
          <w:tcPr>
            <w:tcW w:w="0" w:type="auto"/>
            <w:vAlign w:val="center"/>
          </w:tcPr>
          <w:p w14:paraId="4CFDF380" w14:textId="4CADE768" w:rsidR="00271850" w:rsidRPr="00C24F78" w:rsidRDefault="00271850" w:rsidP="00F61E90">
            <w:pPr>
              <w:spacing w:after="0" w:line="240" w:lineRule="auto"/>
              <w:jc w:val="right"/>
              <w:rPr>
                <w:rFonts w:eastAsia="Times New Roman" w:cstheme="minorHAnsi"/>
                <w:sz w:val="18"/>
                <w:szCs w:val="18"/>
                <w:lang w:eastAsia="en-GB"/>
              </w:rPr>
            </w:pPr>
            <w:r w:rsidRPr="00C24F78">
              <w:rPr>
                <w:rFonts w:eastAsia="Times New Roman" w:cstheme="minorHAnsi"/>
                <w:sz w:val="18"/>
                <w:szCs w:val="18"/>
                <w:lang w:eastAsia="en-GB"/>
              </w:rPr>
              <w:t>0</w:t>
            </w:r>
            <w:r>
              <w:rPr>
                <w:rFonts w:eastAsia="Times New Roman" w:cstheme="minorHAnsi"/>
                <w:sz w:val="18"/>
                <w:szCs w:val="18"/>
                <w:lang w:eastAsia="en-GB"/>
              </w:rPr>
              <w:t>.</w:t>
            </w:r>
            <w:r w:rsidRPr="00C24F78">
              <w:rPr>
                <w:rFonts w:eastAsia="Times New Roman" w:cstheme="minorHAnsi"/>
                <w:sz w:val="18"/>
                <w:szCs w:val="18"/>
                <w:lang w:eastAsia="en-GB"/>
              </w:rPr>
              <w:t>8</w:t>
            </w:r>
            <w:r w:rsidR="00C64A63">
              <w:rPr>
                <w:rFonts w:eastAsia="Times New Roman" w:cstheme="minorHAnsi"/>
                <w:sz w:val="18"/>
                <w:szCs w:val="18"/>
                <w:lang w:eastAsia="en-GB"/>
              </w:rPr>
              <w:t>4</w:t>
            </w:r>
          </w:p>
        </w:tc>
        <w:tc>
          <w:tcPr>
            <w:tcW w:w="0" w:type="auto"/>
          </w:tcPr>
          <w:p w14:paraId="45735615" w14:textId="29889ACA" w:rsidR="00271850" w:rsidRPr="00C24F78" w:rsidRDefault="00271850" w:rsidP="00F61E90">
            <w:pPr>
              <w:spacing w:after="0" w:line="240" w:lineRule="auto"/>
              <w:jc w:val="right"/>
              <w:rPr>
                <w:rFonts w:eastAsia="Times New Roman" w:cstheme="minorHAnsi"/>
                <w:sz w:val="18"/>
                <w:szCs w:val="18"/>
                <w:lang w:eastAsia="en-GB"/>
              </w:rPr>
            </w:pPr>
            <w:r w:rsidRPr="00C24F78">
              <w:rPr>
                <w:rFonts w:eastAsia="Times New Roman" w:cstheme="minorHAnsi"/>
                <w:sz w:val="18"/>
                <w:szCs w:val="18"/>
                <w:lang w:eastAsia="en-GB"/>
              </w:rPr>
              <w:t>0</w:t>
            </w:r>
            <w:r>
              <w:rPr>
                <w:rFonts w:eastAsia="Times New Roman" w:cstheme="minorHAnsi"/>
                <w:sz w:val="18"/>
                <w:szCs w:val="18"/>
                <w:lang w:eastAsia="en-GB"/>
              </w:rPr>
              <w:t>.</w:t>
            </w:r>
            <w:r w:rsidR="000F63AA">
              <w:rPr>
                <w:rFonts w:eastAsia="Times New Roman" w:cstheme="minorHAnsi"/>
                <w:sz w:val="18"/>
                <w:szCs w:val="18"/>
                <w:lang w:eastAsia="en-GB"/>
              </w:rPr>
              <w:t>70</w:t>
            </w:r>
            <w:r w:rsidRPr="00C24F78">
              <w:rPr>
                <w:rFonts w:eastAsia="Times New Roman" w:cstheme="minorHAnsi"/>
                <w:sz w:val="18"/>
                <w:szCs w:val="18"/>
                <w:lang w:eastAsia="en-GB"/>
              </w:rPr>
              <w:t>-</w:t>
            </w:r>
            <w:r w:rsidR="000F63AA">
              <w:rPr>
                <w:rFonts w:eastAsia="Times New Roman" w:cstheme="minorHAnsi"/>
                <w:sz w:val="18"/>
                <w:szCs w:val="18"/>
                <w:lang w:eastAsia="en-GB"/>
              </w:rPr>
              <w:t>1.02</w:t>
            </w:r>
          </w:p>
        </w:tc>
        <w:tc>
          <w:tcPr>
            <w:tcW w:w="0" w:type="auto"/>
          </w:tcPr>
          <w:p w14:paraId="74BA42A3" w14:textId="77777777" w:rsidR="00271850" w:rsidRPr="00C24F78" w:rsidRDefault="00271850" w:rsidP="00F61E90">
            <w:pPr>
              <w:spacing w:after="0" w:line="240" w:lineRule="auto"/>
              <w:jc w:val="right"/>
              <w:rPr>
                <w:rFonts w:eastAsia="Times New Roman" w:cstheme="minorHAnsi"/>
                <w:sz w:val="18"/>
                <w:szCs w:val="18"/>
                <w:lang w:eastAsia="en-GB"/>
              </w:rPr>
            </w:pPr>
          </w:p>
        </w:tc>
        <w:tc>
          <w:tcPr>
            <w:tcW w:w="0" w:type="auto"/>
            <w:vAlign w:val="center"/>
          </w:tcPr>
          <w:p w14:paraId="289B4D58" w14:textId="78A70FA5" w:rsidR="00271850" w:rsidRPr="00C24F78" w:rsidRDefault="00271850" w:rsidP="00F61E90">
            <w:pPr>
              <w:spacing w:after="0" w:line="240" w:lineRule="auto"/>
              <w:jc w:val="right"/>
              <w:rPr>
                <w:rFonts w:eastAsia="Times New Roman" w:cstheme="minorHAnsi"/>
                <w:sz w:val="18"/>
                <w:szCs w:val="18"/>
                <w:lang w:eastAsia="en-GB"/>
              </w:rPr>
            </w:pPr>
            <w:r w:rsidRPr="00C24F78">
              <w:rPr>
                <w:rFonts w:eastAsia="Times New Roman" w:cstheme="minorHAnsi"/>
                <w:sz w:val="18"/>
                <w:szCs w:val="18"/>
                <w:lang w:eastAsia="en-GB"/>
              </w:rPr>
              <w:t>0</w:t>
            </w:r>
            <w:r>
              <w:rPr>
                <w:rFonts w:eastAsia="Times New Roman" w:cstheme="minorHAnsi"/>
                <w:sz w:val="18"/>
                <w:szCs w:val="18"/>
                <w:lang w:eastAsia="en-GB"/>
              </w:rPr>
              <w:t>.</w:t>
            </w:r>
            <w:r w:rsidRPr="00C24F78">
              <w:rPr>
                <w:rFonts w:eastAsia="Times New Roman" w:cstheme="minorHAnsi"/>
                <w:sz w:val="18"/>
                <w:szCs w:val="18"/>
                <w:lang w:eastAsia="en-GB"/>
              </w:rPr>
              <w:t>8</w:t>
            </w:r>
            <w:r w:rsidR="009A1B1D">
              <w:rPr>
                <w:rFonts w:eastAsia="Times New Roman" w:cstheme="minorHAnsi"/>
                <w:sz w:val="18"/>
                <w:szCs w:val="18"/>
                <w:lang w:eastAsia="en-GB"/>
              </w:rPr>
              <w:t>1</w:t>
            </w:r>
          </w:p>
        </w:tc>
        <w:tc>
          <w:tcPr>
            <w:tcW w:w="0" w:type="auto"/>
            <w:vAlign w:val="center"/>
          </w:tcPr>
          <w:p w14:paraId="68F2F29F" w14:textId="537877FF" w:rsidR="00271850" w:rsidRPr="00C24F78" w:rsidRDefault="00271850" w:rsidP="00F61E90">
            <w:pPr>
              <w:spacing w:after="0" w:line="240" w:lineRule="auto"/>
              <w:jc w:val="right"/>
              <w:rPr>
                <w:rFonts w:eastAsia="Times New Roman" w:cstheme="minorHAnsi"/>
                <w:sz w:val="18"/>
                <w:szCs w:val="18"/>
                <w:lang w:eastAsia="en-GB"/>
              </w:rPr>
            </w:pPr>
            <w:r w:rsidRPr="00C24F78">
              <w:rPr>
                <w:rFonts w:eastAsia="Times New Roman" w:cstheme="minorHAnsi"/>
                <w:sz w:val="18"/>
                <w:szCs w:val="18"/>
                <w:lang w:eastAsia="en-GB"/>
              </w:rPr>
              <w:t>0</w:t>
            </w:r>
            <w:r>
              <w:rPr>
                <w:rFonts w:eastAsia="Times New Roman" w:cstheme="minorHAnsi"/>
                <w:sz w:val="18"/>
                <w:szCs w:val="18"/>
                <w:lang w:eastAsia="en-GB"/>
              </w:rPr>
              <w:t>.</w:t>
            </w:r>
            <w:r w:rsidRPr="00C24F78">
              <w:rPr>
                <w:rFonts w:eastAsia="Times New Roman" w:cstheme="minorHAnsi"/>
                <w:sz w:val="18"/>
                <w:szCs w:val="18"/>
                <w:lang w:eastAsia="en-GB"/>
              </w:rPr>
              <w:t>6-1</w:t>
            </w:r>
            <w:r>
              <w:rPr>
                <w:rFonts w:eastAsia="Times New Roman" w:cstheme="minorHAnsi"/>
                <w:sz w:val="18"/>
                <w:szCs w:val="18"/>
                <w:lang w:eastAsia="en-GB"/>
              </w:rPr>
              <w:t>.</w:t>
            </w:r>
            <w:r w:rsidRPr="00C24F78">
              <w:rPr>
                <w:rFonts w:eastAsia="Times New Roman" w:cstheme="minorHAnsi"/>
                <w:sz w:val="18"/>
                <w:szCs w:val="18"/>
                <w:lang w:eastAsia="en-GB"/>
              </w:rPr>
              <w:t>0</w:t>
            </w:r>
            <w:r w:rsidR="009A1B1D">
              <w:rPr>
                <w:rFonts w:eastAsia="Times New Roman" w:cstheme="minorHAnsi"/>
                <w:sz w:val="18"/>
                <w:szCs w:val="18"/>
                <w:lang w:eastAsia="en-GB"/>
              </w:rPr>
              <w:t>2</w:t>
            </w:r>
          </w:p>
        </w:tc>
        <w:tc>
          <w:tcPr>
            <w:tcW w:w="0" w:type="auto"/>
            <w:vAlign w:val="center"/>
          </w:tcPr>
          <w:p w14:paraId="4B52ACCE" w14:textId="77777777" w:rsidR="00271850" w:rsidRPr="00C24F78" w:rsidRDefault="00271850" w:rsidP="00F61E90">
            <w:pPr>
              <w:spacing w:after="0" w:line="240" w:lineRule="auto"/>
              <w:jc w:val="right"/>
              <w:rPr>
                <w:rFonts w:eastAsia="Times New Roman" w:cstheme="minorHAnsi"/>
                <w:sz w:val="18"/>
                <w:szCs w:val="18"/>
                <w:lang w:eastAsia="en-GB"/>
              </w:rPr>
            </w:pPr>
          </w:p>
        </w:tc>
        <w:tc>
          <w:tcPr>
            <w:tcW w:w="0" w:type="auto"/>
          </w:tcPr>
          <w:p w14:paraId="3DBC3C05" w14:textId="77777777" w:rsidR="00271850" w:rsidRPr="00C24F78" w:rsidRDefault="00271850" w:rsidP="00F61E90">
            <w:pPr>
              <w:spacing w:after="0" w:line="240" w:lineRule="auto"/>
              <w:jc w:val="right"/>
              <w:rPr>
                <w:rFonts w:eastAsia="Times New Roman" w:cstheme="minorHAnsi"/>
                <w:sz w:val="18"/>
                <w:szCs w:val="18"/>
                <w:lang w:eastAsia="en-GB"/>
              </w:rPr>
            </w:pPr>
          </w:p>
        </w:tc>
        <w:tc>
          <w:tcPr>
            <w:tcW w:w="0" w:type="auto"/>
          </w:tcPr>
          <w:p w14:paraId="795755D8" w14:textId="77777777" w:rsidR="00271850" w:rsidRPr="00C24F78" w:rsidRDefault="00271850" w:rsidP="00F61E90">
            <w:pPr>
              <w:spacing w:after="0" w:line="240" w:lineRule="auto"/>
              <w:jc w:val="right"/>
              <w:rPr>
                <w:rFonts w:eastAsia="Times New Roman" w:cstheme="minorHAnsi"/>
                <w:sz w:val="18"/>
                <w:szCs w:val="18"/>
                <w:lang w:eastAsia="en-GB"/>
              </w:rPr>
            </w:pPr>
            <w:r w:rsidRPr="00C24F78">
              <w:rPr>
                <w:sz w:val="18"/>
                <w:szCs w:val="18"/>
              </w:rPr>
              <w:t>0</w:t>
            </w:r>
            <w:r>
              <w:rPr>
                <w:sz w:val="18"/>
                <w:szCs w:val="18"/>
              </w:rPr>
              <w:t>.</w:t>
            </w:r>
            <w:r w:rsidRPr="00C24F78">
              <w:rPr>
                <w:sz w:val="18"/>
                <w:szCs w:val="18"/>
              </w:rPr>
              <w:t>89</w:t>
            </w:r>
          </w:p>
        </w:tc>
        <w:tc>
          <w:tcPr>
            <w:tcW w:w="0" w:type="auto"/>
          </w:tcPr>
          <w:p w14:paraId="26852AFE" w14:textId="4FA06553" w:rsidR="00271850" w:rsidRPr="00C24F78" w:rsidRDefault="00271850" w:rsidP="00F61E90">
            <w:pPr>
              <w:spacing w:after="0" w:line="240" w:lineRule="auto"/>
              <w:jc w:val="right"/>
              <w:rPr>
                <w:rFonts w:eastAsia="Times New Roman" w:cstheme="minorHAnsi"/>
                <w:sz w:val="18"/>
                <w:szCs w:val="18"/>
                <w:lang w:eastAsia="en-GB"/>
              </w:rPr>
            </w:pPr>
            <w:r w:rsidRPr="00C24F78">
              <w:rPr>
                <w:sz w:val="18"/>
                <w:szCs w:val="18"/>
              </w:rPr>
              <w:t>0</w:t>
            </w:r>
            <w:r>
              <w:rPr>
                <w:sz w:val="18"/>
                <w:szCs w:val="18"/>
              </w:rPr>
              <w:t>.</w:t>
            </w:r>
            <w:r w:rsidRPr="00C24F78">
              <w:rPr>
                <w:sz w:val="18"/>
                <w:szCs w:val="18"/>
              </w:rPr>
              <w:t>65-1</w:t>
            </w:r>
            <w:r>
              <w:rPr>
                <w:sz w:val="18"/>
                <w:szCs w:val="18"/>
              </w:rPr>
              <w:t>.</w:t>
            </w:r>
            <w:r w:rsidR="005520DD">
              <w:rPr>
                <w:sz w:val="18"/>
                <w:szCs w:val="18"/>
              </w:rPr>
              <w:t>19</w:t>
            </w:r>
          </w:p>
        </w:tc>
        <w:tc>
          <w:tcPr>
            <w:tcW w:w="0" w:type="auto"/>
          </w:tcPr>
          <w:p w14:paraId="5DCF1EEC" w14:textId="575C0C60" w:rsidR="00271850" w:rsidRPr="00C24F78" w:rsidRDefault="00271850" w:rsidP="00F61E90">
            <w:pPr>
              <w:spacing w:after="0" w:line="240" w:lineRule="auto"/>
              <w:jc w:val="right"/>
              <w:rPr>
                <w:rFonts w:eastAsia="Times New Roman" w:cstheme="minorHAnsi"/>
                <w:sz w:val="18"/>
                <w:szCs w:val="18"/>
                <w:lang w:eastAsia="en-GB"/>
              </w:rPr>
            </w:pPr>
            <w:r w:rsidRPr="00C24F78">
              <w:rPr>
                <w:sz w:val="18"/>
                <w:szCs w:val="18"/>
              </w:rPr>
              <w:t>0</w:t>
            </w:r>
            <w:r>
              <w:rPr>
                <w:sz w:val="18"/>
                <w:szCs w:val="18"/>
              </w:rPr>
              <w:t>.</w:t>
            </w:r>
            <w:r w:rsidRPr="00C24F78">
              <w:rPr>
                <w:sz w:val="18"/>
                <w:szCs w:val="18"/>
              </w:rPr>
              <w:t>9</w:t>
            </w:r>
            <w:r w:rsidR="005E71B7">
              <w:rPr>
                <w:sz w:val="18"/>
                <w:szCs w:val="18"/>
              </w:rPr>
              <w:t>8</w:t>
            </w:r>
          </w:p>
        </w:tc>
        <w:tc>
          <w:tcPr>
            <w:tcW w:w="0" w:type="auto"/>
          </w:tcPr>
          <w:p w14:paraId="6DE23CF7" w14:textId="7EAC1AEF" w:rsidR="00271850" w:rsidRPr="00C24F78" w:rsidRDefault="00271850" w:rsidP="00F61E90">
            <w:pPr>
              <w:spacing w:after="0" w:line="240" w:lineRule="auto"/>
              <w:jc w:val="right"/>
              <w:rPr>
                <w:rFonts w:eastAsia="Times New Roman" w:cstheme="minorHAnsi"/>
                <w:sz w:val="18"/>
                <w:szCs w:val="18"/>
                <w:lang w:eastAsia="en-GB"/>
              </w:rPr>
            </w:pPr>
            <w:r w:rsidRPr="00C24F78">
              <w:rPr>
                <w:sz w:val="18"/>
                <w:szCs w:val="18"/>
              </w:rPr>
              <w:t>0</w:t>
            </w:r>
            <w:r>
              <w:rPr>
                <w:sz w:val="18"/>
                <w:szCs w:val="18"/>
              </w:rPr>
              <w:t>.</w:t>
            </w:r>
            <w:r w:rsidRPr="00C24F78">
              <w:rPr>
                <w:sz w:val="18"/>
                <w:szCs w:val="18"/>
              </w:rPr>
              <w:t>6</w:t>
            </w:r>
            <w:r w:rsidR="005E71B7">
              <w:rPr>
                <w:sz w:val="18"/>
                <w:szCs w:val="18"/>
              </w:rPr>
              <w:t>6</w:t>
            </w:r>
            <w:r w:rsidRPr="00C24F78">
              <w:rPr>
                <w:sz w:val="18"/>
                <w:szCs w:val="18"/>
              </w:rPr>
              <w:t>-1</w:t>
            </w:r>
            <w:r>
              <w:rPr>
                <w:sz w:val="18"/>
                <w:szCs w:val="18"/>
              </w:rPr>
              <w:t>.</w:t>
            </w:r>
            <w:r w:rsidRPr="00C24F78">
              <w:rPr>
                <w:sz w:val="18"/>
                <w:szCs w:val="18"/>
              </w:rPr>
              <w:t>4</w:t>
            </w:r>
            <w:r w:rsidR="005E71B7">
              <w:rPr>
                <w:sz w:val="18"/>
                <w:szCs w:val="18"/>
              </w:rPr>
              <w:t>6</w:t>
            </w:r>
          </w:p>
        </w:tc>
        <w:tc>
          <w:tcPr>
            <w:tcW w:w="0" w:type="auto"/>
          </w:tcPr>
          <w:p w14:paraId="1B49CBE4" w14:textId="77777777" w:rsidR="00271850" w:rsidRPr="00C24F78" w:rsidRDefault="00271850" w:rsidP="00F61E90">
            <w:pPr>
              <w:spacing w:after="0" w:line="240" w:lineRule="auto"/>
              <w:jc w:val="right"/>
              <w:rPr>
                <w:rFonts w:eastAsia="Times New Roman" w:cstheme="minorHAnsi"/>
                <w:sz w:val="18"/>
                <w:szCs w:val="18"/>
                <w:lang w:eastAsia="en-GB"/>
              </w:rPr>
            </w:pPr>
          </w:p>
        </w:tc>
      </w:tr>
      <w:tr w:rsidR="005520DD" w:rsidRPr="00C24F78" w14:paraId="74067E7C" w14:textId="77777777" w:rsidTr="00F61E90">
        <w:trPr>
          <w:tblCellSpacing w:w="15" w:type="dxa"/>
        </w:trPr>
        <w:tc>
          <w:tcPr>
            <w:tcW w:w="0" w:type="auto"/>
            <w:vAlign w:val="center"/>
            <w:hideMark/>
          </w:tcPr>
          <w:p w14:paraId="4CC5CC4D" w14:textId="77777777" w:rsidR="00271850" w:rsidRPr="00C24F78" w:rsidRDefault="00271850" w:rsidP="00F61E90">
            <w:pPr>
              <w:spacing w:after="0" w:line="240" w:lineRule="auto"/>
              <w:rPr>
                <w:rFonts w:eastAsia="Times New Roman" w:cstheme="minorHAnsi"/>
                <w:sz w:val="18"/>
                <w:szCs w:val="18"/>
                <w:lang w:eastAsia="en-GB"/>
              </w:rPr>
            </w:pPr>
            <w:r w:rsidRPr="00C24F78">
              <w:rPr>
                <w:rFonts w:eastAsia="Times New Roman" w:cstheme="minorHAnsi"/>
                <w:sz w:val="18"/>
                <w:szCs w:val="18"/>
                <w:lang w:eastAsia="en-GB"/>
              </w:rPr>
              <w:t xml:space="preserve">Region </w:t>
            </w:r>
          </w:p>
        </w:tc>
        <w:tc>
          <w:tcPr>
            <w:tcW w:w="0" w:type="auto"/>
            <w:vAlign w:val="center"/>
            <w:hideMark/>
          </w:tcPr>
          <w:p w14:paraId="5B3B8235" w14:textId="77777777" w:rsidR="00271850" w:rsidRPr="00C24F78" w:rsidRDefault="00271850" w:rsidP="00F61E90">
            <w:pPr>
              <w:spacing w:after="0" w:line="240" w:lineRule="auto"/>
              <w:rPr>
                <w:rFonts w:eastAsia="Times New Roman" w:cstheme="minorHAnsi"/>
                <w:sz w:val="18"/>
                <w:szCs w:val="18"/>
                <w:lang w:eastAsia="en-GB"/>
              </w:rPr>
            </w:pPr>
            <w:r w:rsidRPr="00C24F78">
              <w:rPr>
                <w:rFonts w:eastAsia="Times New Roman" w:cstheme="minorHAnsi"/>
                <w:sz w:val="18"/>
                <w:szCs w:val="18"/>
                <w:lang w:eastAsia="en-GB"/>
              </w:rPr>
              <w:t xml:space="preserve">North East </w:t>
            </w:r>
          </w:p>
        </w:tc>
        <w:tc>
          <w:tcPr>
            <w:tcW w:w="0" w:type="auto"/>
            <w:vAlign w:val="center"/>
          </w:tcPr>
          <w:p w14:paraId="14FF1C19" w14:textId="77777777" w:rsidR="00271850" w:rsidRPr="00C24F78" w:rsidRDefault="00271850" w:rsidP="00F61E90">
            <w:pPr>
              <w:spacing w:after="0" w:line="240" w:lineRule="auto"/>
              <w:jc w:val="right"/>
              <w:rPr>
                <w:rFonts w:eastAsia="Times New Roman" w:cstheme="minorHAnsi"/>
                <w:i/>
                <w:sz w:val="18"/>
                <w:szCs w:val="18"/>
                <w:lang w:eastAsia="en-GB"/>
              </w:rPr>
            </w:pPr>
            <w:r w:rsidRPr="00C24F78">
              <w:rPr>
                <w:rFonts w:eastAsia="Times New Roman" w:cstheme="minorHAnsi"/>
                <w:i/>
                <w:sz w:val="18"/>
                <w:szCs w:val="18"/>
                <w:lang w:eastAsia="en-GB"/>
              </w:rPr>
              <w:t>ref</w:t>
            </w:r>
          </w:p>
        </w:tc>
        <w:tc>
          <w:tcPr>
            <w:tcW w:w="0" w:type="auto"/>
          </w:tcPr>
          <w:p w14:paraId="19E5B3B1" w14:textId="77777777" w:rsidR="00271850" w:rsidRPr="00C24F78" w:rsidRDefault="00271850" w:rsidP="00F61E90">
            <w:pPr>
              <w:spacing w:after="0" w:line="240" w:lineRule="auto"/>
              <w:jc w:val="right"/>
              <w:rPr>
                <w:rFonts w:eastAsia="Times New Roman" w:cstheme="minorHAnsi"/>
                <w:i/>
                <w:sz w:val="18"/>
                <w:szCs w:val="18"/>
                <w:lang w:eastAsia="en-GB"/>
              </w:rPr>
            </w:pPr>
            <w:r w:rsidRPr="00C24F78">
              <w:rPr>
                <w:rFonts w:eastAsia="Times New Roman" w:cstheme="minorHAnsi"/>
                <w:i/>
                <w:sz w:val="18"/>
                <w:szCs w:val="18"/>
                <w:lang w:eastAsia="en-GB"/>
              </w:rPr>
              <w:t>ref</w:t>
            </w:r>
          </w:p>
        </w:tc>
        <w:tc>
          <w:tcPr>
            <w:tcW w:w="0" w:type="auto"/>
          </w:tcPr>
          <w:p w14:paraId="1C2B4127" w14:textId="77777777" w:rsidR="00271850" w:rsidRPr="00C24F78" w:rsidRDefault="00271850" w:rsidP="00F61E90">
            <w:pPr>
              <w:spacing w:after="0" w:line="240" w:lineRule="auto"/>
              <w:jc w:val="right"/>
              <w:rPr>
                <w:rFonts w:eastAsia="Times New Roman" w:cstheme="minorHAnsi"/>
                <w:sz w:val="18"/>
                <w:szCs w:val="18"/>
                <w:lang w:eastAsia="en-GB"/>
              </w:rPr>
            </w:pPr>
          </w:p>
        </w:tc>
        <w:tc>
          <w:tcPr>
            <w:tcW w:w="0" w:type="auto"/>
            <w:vAlign w:val="center"/>
          </w:tcPr>
          <w:p w14:paraId="426F4351" w14:textId="77777777" w:rsidR="00271850" w:rsidRPr="00C24F78" w:rsidRDefault="00271850" w:rsidP="00F61E90">
            <w:pPr>
              <w:spacing w:after="0" w:line="240" w:lineRule="auto"/>
              <w:jc w:val="right"/>
              <w:rPr>
                <w:rFonts w:eastAsia="Times New Roman" w:cstheme="minorHAnsi"/>
                <w:i/>
                <w:sz w:val="18"/>
                <w:szCs w:val="18"/>
                <w:lang w:eastAsia="en-GB"/>
              </w:rPr>
            </w:pPr>
            <w:r w:rsidRPr="00C24F78">
              <w:rPr>
                <w:rFonts w:eastAsia="Times New Roman" w:cstheme="minorHAnsi"/>
                <w:i/>
                <w:sz w:val="18"/>
                <w:szCs w:val="18"/>
                <w:lang w:eastAsia="en-GB"/>
              </w:rPr>
              <w:t>ref</w:t>
            </w:r>
          </w:p>
        </w:tc>
        <w:tc>
          <w:tcPr>
            <w:tcW w:w="0" w:type="auto"/>
            <w:vAlign w:val="center"/>
          </w:tcPr>
          <w:p w14:paraId="41766593" w14:textId="77777777" w:rsidR="00271850" w:rsidRPr="00C24F78" w:rsidRDefault="00271850" w:rsidP="00F61E90">
            <w:pPr>
              <w:spacing w:after="0" w:line="240" w:lineRule="auto"/>
              <w:jc w:val="right"/>
              <w:rPr>
                <w:rFonts w:eastAsia="Times New Roman" w:cstheme="minorHAnsi"/>
                <w:i/>
                <w:sz w:val="18"/>
                <w:szCs w:val="18"/>
                <w:lang w:eastAsia="en-GB"/>
              </w:rPr>
            </w:pPr>
            <w:r w:rsidRPr="00C24F78">
              <w:rPr>
                <w:rFonts w:eastAsia="Times New Roman" w:cstheme="minorHAnsi"/>
                <w:i/>
                <w:sz w:val="18"/>
                <w:szCs w:val="18"/>
                <w:lang w:eastAsia="en-GB"/>
              </w:rPr>
              <w:t>ref</w:t>
            </w:r>
          </w:p>
        </w:tc>
        <w:tc>
          <w:tcPr>
            <w:tcW w:w="0" w:type="auto"/>
            <w:vAlign w:val="center"/>
          </w:tcPr>
          <w:p w14:paraId="7623887F" w14:textId="77777777" w:rsidR="00271850" w:rsidRPr="00C24F78" w:rsidRDefault="00271850" w:rsidP="00F61E90">
            <w:pPr>
              <w:spacing w:after="0" w:line="240" w:lineRule="auto"/>
              <w:jc w:val="right"/>
              <w:rPr>
                <w:rFonts w:eastAsia="Times New Roman" w:cstheme="minorHAnsi"/>
                <w:i/>
                <w:sz w:val="18"/>
                <w:szCs w:val="18"/>
                <w:lang w:eastAsia="en-GB"/>
              </w:rPr>
            </w:pPr>
          </w:p>
        </w:tc>
        <w:tc>
          <w:tcPr>
            <w:tcW w:w="0" w:type="auto"/>
          </w:tcPr>
          <w:p w14:paraId="4C387702" w14:textId="77777777" w:rsidR="00271850" w:rsidRPr="00C24F78" w:rsidRDefault="00271850" w:rsidP="00F61E90">
            <w:pPr>
              <w:spacing w:after="0" w:line="240" w:lineRule="auto"/>
              <w:jc w:val="right"/>
              <w:rPr>
                <w:rFonts w:eastAsia="Times New Roman" w:cstheme="minorHAnsi"/>
                <w:i/>
                <w:sz w:val="18"/>
                <w:szCs w:val="18"/>
                <w:lang w:eastAsia="en-GB"/>
              </w:rPr>
            </w:pPr>
          </w:p>
        </w:tc>
        <w:tc>
          <w:tcPr>
            <w:tcW w:w="0" w:type="auto"/>
          </w:tcPr>
          <w:p w14:paraId="2D3A5FC5" w14:textId="30A59284" w:rsidR="00271850" w:rsidRPr="00C24F78" w:rsidRDefault="005520DD" w:rsidP="00F61E90">
            <w:pPr>
              <w:spacing w:after="0" w:line="240" w:lineRule="auto"/>
              <w:jc w:val="right"/>
              <w:rPr>
                <w:rFonts w:eastAsia="Times New Roman" w:cstheme="minorHAnsi"/>
                <w:i/>
                <w:sz w:val="18"/>
                <w:szCs w:val="18"/>
                <w:lang w:eastAsia="en-GB"/>
              </w:rPr>
            </w:pPr>
            <w:r w:rsidRPr="00C24F78">
              <w:rPr>
                <w:rFonts w:eastAsia="Times New Roman" w:cstheme="minorHAnsi"/>
                <w:i/>
                <w:sz w:val="18"/>
                <w:szCs w:val="18"/>
                <w:lang w:eastAsia="en-GB"/>
              </w:rPr>
              <w:t>R</w:t>
            </w:r>
            <w:r w:rsidR="00271850" w:rsidRPr="00C24F78">
              <w:rPr>
                <w:rFonts w:eastAsia="Times New Roman" w:cstheme="minorHAnsi"/>
                <w:i/>
                <w:sz w:val="18"/>
                <w:szCs w:val="18"/>
                <w:lang w:eastAsia="en-GB"/>
              </w:rPr>
              <w:t>ef</w:t>
            </w:r>
          </w:p>
        </w:tc>
        <w:tc>
          <w:tcPr>
            <w:tcW w:w="0" w:type="auto"/>
          </w:tcPr>
          <w:p w14:paraId="3378CC74" w14:textId="5C287913" w:rsidR="00271850" w:rsidRPr="00C24F78" w:rsidRDefault="005520DD" w:rsidP="00F61E90">
            <w:pPr>
              <w:spacing w:after="0" w:line="240" w:lineRule="auto"/>
              <w:jc w:val="right"/>
              <w:rPr>
                <w:rFonts w:eastAsia="Times New Roman" w:cstheme="minorHAnsi"/>
                <w:i/>
                <w:sz w:val="18"/>
                <w:szCs w:val="18"/>
                <w:lang w:eastAsia="en-GB"/>
              </w:rPr>
            </w:pPr>
            <w:r w:rsidRPr="00C24F78">
              <w:rPr>
                <w:rFonts w:eastAsia="Times New Roman" w:cstheme="minorHAnsi"/>
                <w:i/>
                <w:sz w:val="18"/>
                <w:szCs w:val="18"/>
                <w:lang w:eastAsia="en-GB"/>
              </w:rPr>
              <w:t>R</w:t>
            </w:r>
            <w:r w:rsidR="00271850" w:rsidRPr="00C24F78">
              <w:rPr>
                <w:rFonts w:eastAsia="Times New Roman" w:cstheme="minorHAnsi"/>
                <w:i/>
                <w:sz w:val="18"/>
                <w:szCs w:val="18"/>
                <w:lang w:eastAsia="en-GB"/>
              </w:rPr>
              <w:t>ef</w:t>
            </w:r>
          </w:p>
        </w:tc>
        <w:tc>
          <w:tcPr>
            <w:tcW w:w="0" w:type="auto"/>
          </w:tcPr>
          <w:p w14:paraId="3C484759" w14:textId="77777777" w:rsidR="00271850" w:rsidRPr="00C24F78" w:rsidRDefault="00271850" w:rsidP="00F61E90">
            <w:pPr>
              <w:spacing w:after="0" w:line="240" w:lineRule="auto"/>
              <w:jc w:val="right"/>
              <w:rPr>
                <w:rFonts w:eastAsia="Times New Roman" w:cstheme="minorHAnsi"/>
                <w:i/>
                <w:sz w:val="18"/>
                <w:szCs w:val="18"/>
                <w:lang w:eastAsia="en-GB"/>
              </w:rPr>
            </w:pPr>
            <w:r w:rsidRPr="00C24F78">
              <w:rPr>
                <w:rFonts w:eastAsia="Times New Roman" w:cstheme="minorHAnsi"/>
                <w:i/>
                <w:sz w:val="18"/>
                <w:szCs w:val="18"/>
                <w:lang w:eastAsia="en-GB"/>
              </w:rPr>
              <w:t>ref</w:t>
            </w:r>
          </w:p>
        </w:tc>
        <w:tc>
          <w:tcPr>
            <w:tcW w:w="0" w:type="auto"/>
          </w:tcPr>
          <w:p w14:paraId="3BE5E691" w14:textId="75DEA714" w:rsidR="00271850" w:rsidRPr="00C24F78" w:rsidRDefault="005E71B7" w:rsidP="00F61E90">
            <w:pPr>
              <w:spacing w:after="0" w:line="240" w:lineRule="auto"/>
              <w:jc w:val="right"/>
              <w:rPr>
                <w:rFonts w:eastAsia="Times New Roman" w:cstheme="minorHAnsi"/>
                <w:i/>
                <w:sz w:val="18"/>
                <w:szCs w:val="18"/>
                <w:lang w:eastAsia="en-GB"/>
              </w:rPr>
            </w:pPr>
            <w:r w:rsidRPr="00C24F78">
              <w:rPr>
                <w:rFonts w:eastAsia="Times New Roman" w:cstheme="minorHAnsi"/>
                <w:i/>
                <w:sz w:val="18"/>
                <w:szCs w:val="18"/>
                <w:lang w:eastAsia="en-GB"/>
              </w:rPr>
              <w:t>R</w:t>
            </w:r>
            <w:r w:rsidR="00271850" w:rsidRPr="00C24F78">
              <w:rPr>
                <w:rFonts w:eastAsia="Times New Roman" w:cstheme="minorHAnsi"/>
                <w:i/>
                <w:sz w:val="18"/>
                <w:szCs w:val="18"/>
                <w:lang w:eastAsia="en-GB"/>
              </w:rPr>
              <w:t>ef</w:t>
            </w:r>
          </w:p>
        </w:tc>
        <w:tc>
          <w:tcPr>
            <w:tcW w:w="0" w:type="auto"/>
          </w:tcPr>
          <w:p w14:paraId="7DCB1C38" w14:textId="77777777" w:rsidR="00271850" w:rsidRPr="00C24F78" w:rsidRDefault="00271850" w:rsidP="00F61E90">
            <w:pPr>
              <w:spacing w:after="0" w:line="240" w:lineRule="auto"/>
              <w:jc w:val="right"/>
              <w:rPr>
                <w:rFonts w:eastAsia="Times New Roman" w:cstheme="minorHAnsi"/>
                <w:i/>
                <w:sz w:val="18"/>
                <w:szCs w:val="18"/>
                <w:lang w:eastAsia="en-GB"/>
              </w:rPr>
            </w:pPr>
          </w:p>
        </w:tc>
      </w:tr>
      <w:tr w:rsidR="005520DD" w:rsidRPr="00C24F78" w14:paraId="5B01112C" w14:textId="77777777" w:rsidTr="00F61E90">
        <w:trPr>
          <w:tblCellSpacing w:w="15" w:type="dxa"/>
        </w:trPr>
        <w:tc>
          <w:tcPr>
            <w:tcW w:w="0" w:type="auto"/>
            <w:vAlign w:val="center"/>
            <w:hideMark/>
          </w:tcPr>
          <w:p w14:paraId="382F5BD9" w14:textId="77777777" w:rsidR="00271850" w:rsidRPr="00C24F78" w:rsidRDefault="00271850" w:rsidP="00F61E90">
            <w:pPr>
              <w:spacing w:after="0" w:line="240" w:lineRule="auto"/>
              <w:rPr>
                <w:rFonts w:eastAsia="Times New Roman" w:cstheme="minorHAnsi"/>
                <w:sz w:val="18"/>
                <w:szCs w:val="18"/>
                <w:lang w:eastAsia="en-GB"/>
              </w:rPr>
            </w:pPr>
          </w:p>
        </w:tc>
        <w:tc>
          <w:tcPr>
            <w:tcW w:w="0" w:type="auto"/>
            <w:vAlign w:val="center"/>
            <w:hideMark/>
          </w:tcPr>
          <w:p w14:paraId="0BE376F7" w14:textId="77777777" w:rsidR="00271850" w:rsidRPr="00C24F78" w:rsidRDefault="00271850" w:rsidP="00F61E90">
            <w:pPr>
              <w:spacing w:after="0" w:line="240" w:lineRule="auto"/>
              <w:rPr>
                <w:rFonts w:eastAsia="Times New Roman" w:cstheme="minorHAnsi"/>
                <w:sz w:val="18"/>
                <w:szCs w:val="18"/>
                <w:lang w:eastAsia="en-GB"/>
              </w:rPr>
            </w:pPr>
            <w:r w:rsidRPr="00C24F78">
              <w:rPr>
                <w:rFonts w:eastAsia="Times New Roman" w:cstheme="minorHAnsi"/>
                <w:sz w:val="18"/>
                <w:szCs w:val="18"/>
                <w:lang w:eastAsia="en-GB"/>
              </w:rPr>
              <w:t xml:space="preserve">North West </w:t>
            </w:r>
          </w:p>
        </w:tc>
        <w:tc>
          <w:tcPr>
            <w:tcW w:w="0" w:type="auto"/>
          </w:tcPr>
          <w:p w14:paraId="3057A11F" w14:textId="2B92419B" w:rsidR="00271850" w:rsidRPr="00C24F78" w:rsidRDefault="00271850" w:rsidP="00F61E90">
            <w:pPr>
              <w:spacing w:after="0" w:line="240" w:lineRule="auto"/>
              <w:jc w:val="right"/>
              <w:rPr>
                <w:rFonts w:eastAsia="Times New Roman" w:cstheme="minorHAnsi"/>
                <w:sz w:val="18"/>
                <w:szCs w:val="18"/>
                <w:lang w:eastAsia="en-GB"/>
              </w:rPr>
            </w:pPr>
            <w:r w:rsidRPr="00C24F78">
              <w:rPr>
                <w:sz w:val="18"/>
                <w:szCs w:val="18"/>
              </w:rPr>
              <w:t>1</w:t>
            </w:r>
            <w:r>
              <w:rPr>
                <w:sz w:val="18"/>
                <w:szCs w:val="18"/>
              </w:rPr>
              <w:t>.</w:t>
            </w:r>
            <w:r w:rsidRPr="00C24F78">
              <w:rPr>
                <w:sz w:val="18"/>
                <w:szCs w:val="18"/>
              </w:rPr>
              <w:t>1</w:t>
            </w:r>
            <w:r w:rsidR="009A1B1D">
              <w:rPr>
                <w:sz w:val="18"/>
                <w:szCs w:val="18"/>
              </w:rPr>
              <w:t>8</w:t>
            </w:r>
          </w:p>
        </w:tc>
        <w:tc>
          <w:tcPr>
            <w:tcW w:w="0" w:type="auto"/>
          </w:tcPr>
          <w:p w14:paraId="2CCCEF5D" w14:textId="7EE12887" w:rsidR="00271850" w:rsidRPr="00C24F78" w:rsidRDefault="00271850" w:rsidP="00F61E90">
            <w:pPr>
              <w:spacing w:after="0" w:line="240" w:lineRule="auto"/>
              <w:jc w:val="right"/>
              <w:rPr>
                <w:rFonts w:eastAsia="Times New Roman" w:cstheme="minorHAnsi"/>
                <w:sz w:val="18"/>
                <w:szCs w:val="18"/>
                <w:lang w:eastAsia="en-GB"/>
              </w:rPr>
            </w:pPr>
            <w:r w:rsidRPr="00C24F78">
              <w:rPr>
                <w:sz w:val="18"/>
                <w:szCs w:val="18"/>
              </w:rPr>
              <w:t>0</w:t>
            </w:r>
            <w:r>
              <w:rPr>
                <w:sz w:val="18"/>
                <w:szCs w:val="18"/>
              </w:rPr>
              <w:t>.</w:t>
            </w:r>
            <w:r w:rsidRPr="00C24F78">
              <w:rPr>
                <w:sz w:val="18"/>
                <w:szCs w:val="18"/>
              </w:rPr>
              <w:t>8</w:t>
            </w:r>
            <w:r w:rsidR="009A1B1D">
              <w:rPr>
                <w:sz w:val="18"/>
                <w:szCs w:val="18"/>
              </w:rPr>
              <w:t>5</w:t>
            </w:r>
            <w:r w:rsidRPr="00C24F78">
              <w:rPr>
                <w:sz w:val="18"/>
                <w:szCs w:val="18"/>
              </w:rPr>
              <w:t>-1</w:t>
            </w:r>
            <w:r>
              <w:rPr>
                <w:sz w:val="18"/>
                <w:szCs w:val="18"/>
              </w:rPr>
              <w:t>.</w:t>
            </w:r>
            <w:r w:rsidRPr="00C24F78">
              <w:rPr>
                <w:sz w:val="18"/>
                <w:szCs w:val="18"/>
              </w:rPr>
              <w:t>6</w:t>
            </w:r>
            <w:r w:rsidR="003E421C">
              <w:rPr>
                <w:sz w:val="18"/>
                <w:szCs w:val="18"/>
              </w:rPr>
              <w:t>3</w:t>
            </w:r>
          </w:p>
        </w:tc>
        <w:tc>
          <w:tcPr>
            <w:tcW w:w="0" w:type="auto"/>
          </w:tcPr>
          <w:p w14:paraId="4D07991A" w14:textId="77777777" w:rsidR="00271850" w:rsidRPr="00C24F78" w:rsidRDefault="00271850" w:rsidP="00F61E90">
            <w:pPr>
              <w:spacing w:after="0" w:line="240" w:lineRule="auto"/>
              <w:jc w:val="right"/>
              <w:rPr>
                <w:rFonts w:eastAsia="Times New Roman" w:cstheme="minorHAnsi"/>
                <w:sz w:val="18"/>
                <w:szCs w:val="18"/>
                <w:lang w:eastAsia="en-GB"/>
              </w:rPr>
            </w:pPr>
          </w:p>
        </w:tc>
        <w:tc>
          <w:tcPr>
            <w:tcW w:w="0" w:type="auto"/>
          </w:tcPr>
          <w:p w14:paraId="37895DE0" w14:textId="1EDCC20C" w:rsidR="00271850" w:rsidRPr="00C24F78" w:rsidRDefault="00271850" w:rsidP="00F61E90">
            <w:pPr>
              <w:spacing w:after="0" w:line="240" w:lineRule="auto"/>
              <w:jc w:val="right"/>
              <w:rPr>
                <w:rFonts w:eastAsia="Times New Roman" w:cstheme="minorHAnsi"/>
                <w:sz w:val="18"/>
                <w:szCs w:val="18"/>
                <w:lang w:eastAsia="en-GB"/>
              </w:rPr>
            </w:pPr>
            <w:r w:rsidRPr="00C24F78">
              <w:rPr>
                <w:sz w:val="18"/>
                <w:szCs w:val="18"/>
              </w:rPr>
              <w:t>1</w:t>
            </w:r>
            <w:r>
              <w:rPr>
                <w:sz w:val="18"/>
                <w:szCs w:val="18"/>
              </w:rPr>
              <w:t>.</w:t>
            </w:r>
            <w:r w:rsidRPr="00C24F78">
              <w:rPr>
                <w:sz w:val="18"/>
                <w:szCs w:val="18"/>
              </w:rPr>
              <w:t>1</w:t>
            </w:r>
            <w:r w:rsidR="003E421C">
              <w:rPr>
                <w:sz w:val="18"/>
                <w:szCs w:val="18"/>
              </w:rPr>
              <w:t>2</w:t>
            </w:r>
          </w:p>
        </w:tc>
        <w:tc>
          <w:tcPr>
            <w:tcW w:w="0" w:type="auto"/>
            <w:vAlign w:val="center"/>
          </w:tcPr>
          <w:p w14:paraId="2BE335A4" w14:textId="0FEC9DF6" w:rsidR="00271850" w:rsidRPr="00C24F78" w:rsidRDefault="00271850" w:rsidP="00F61E90">
            <w:pPr>
              <w:spacing w:after="0" w:line="240" w:lineRule="auto"/>
              <w:jc w:val="right"/>
              <w:rPr>
                <w:rFonts w:eastAsia="Times New Roman" w:cstheme="minorHAnsi"/>
                <w:sz w:val="18"/>
                <w:szCs w:val="18"/>
                <w:lang w:eastAsia="en-GB"/>
              </w:rPr>
            </w:pPr>
            <w:r w:rsidRPr="00C24F78">
              <w:rPr>
                <w:rFonts w:eastAsia="Times New Roman" w:cstheme="minorHAnsi"/>
                <w:sz w:val="18"/>
                <w:szCs w:val="18"/>
                <w:lang w:eastAsia="en-GB"/>
              </w:rPr>
              <w:t>0</w:t>
            </w:r>
            <w:r>
              <w:rPr>
                <w:rFonts w:eastAsia="Times New Roman" w:cstheme="minorHAnsi"/>
                <w:sz w:val="18"/>
                <w:szCs w:val="18"/>
                <w:lang w:eastAsia="en-GB"/>
              </w:rPr>
              <w:t>.</w:t>
            </w:r>
            <w:r w:rsidRPr="00C24F78">
              <w:rPr>
                <w:rFonts w:eastAsia="Times New Roman" w:cstheme="minorHAnsi"/>
                <w:sz w:val="18"/>
                <w:szCs w:val="18"/>
                <w:lang w:eastAsia="en-GB"/>
              </w:rPr>
              <w:t>8</w:t>
            </w:r>
            <w:r w:rsidR="003E421C">
              <w:rPr>
                <w:rFonts w:eastAsia="Times New Roman" w:cstheme="minorHAnsi"/>
                <w:sz w:val="18"/>
                <w:szCs w:val="18"/>
                <w:lang w:eastAsia="en-GB"/>
              </w:rPr>
              <w:t>2</w:t>
            </w:r>
            <w:r w:rsidRPr="00C24F78">
              <w:rPr>
                <w:rFonts w:eastAsia="Times New Roman" w:cstheme="minorHAnsi"/>
                <w:sz w:val="18"/>
                <w:szCs w:val="18"/>
                <w:lang w:eastAsia="en-GB"/>
              </w:rPr>
              <w:t>-1</w:t>
            </w:r>
            <w:r>
              <w:rPr>
                <w:rFonts w:eastAsia="Times New Roman" w:cstheme="minorHAnsi"/>
                <w:sz w:val="18"/>
                <w:szCs w:val="18"/>
                <w:lang w:eastAsia="en-GB"/>
              </w:rPr>
              <w:t>.</w:t>
            </w:r>
            <w:r w:rsidRPr="00C24F78">
              <w:rPr>
                <w:rFonts w:eastAsia="Times New Roman" w:cstheme="minorHAnsi"/>
                <w:sz w:val="18"/>
                <w:szCs w:val="18"/>
                <w:lang w:eastAsia="en-GB"/>
              </w:rPr>
              <w:t>5</w:t>
            </w:r>
            <w:r w:rsidR="003E421C">
              <w:rPr>
                <w:rFonts w:eastAsia="Times New Roman" w:cstheme="minorHAnsi"/>
                <w:sz w:val="18"/>
                <w:szCs w:val="18"/>
                <w:lang w:eastAsia="en-GB"/>
              </w:rPr>
              <w:t>4</w:t>
            </w:r>
          </w:p>
        </w:tc>
        <w:tc>
          <w:tcPr>
            <w:tcW w:w="0" w:type="auto"/>
            <w:vAlign w:val="center"/>
          </w:tcPr>
          <w:p w14:paraId="468D9132" w14:textId="77777777" w:rsidR="00271850" w:rsidRPr="00C24F78" w:rsidRDefault="00271850" w:rsidP="00F61E90">
            <w:pPr>
              <w:spacing w:after="0" w:line="240" w:lineRule="auto"/>
              <w:jc w:val="right"/>
              <w:rPr>
                <w:rFonts w:eastAsia="Times New Roman" w:cstheme="minorHAnsi"/>
                <w:sz w:val="18"/>
                <w:szCs w:val="18"/>
                <w:lang w:eastAsia="en-GB"/>
              </w:rPr>
            </w:pPr>
          </w:p>
        </w:tc>
        <w:tc>
          <w:tcPr>
            <w:tcW w:w="0" w:type="auto"/>
          </w:tcPr>
          <w:p w14:paraId="400802FB" w14:textId="77777777" w:rsidR="00271850" w:rsidRPr="00C24F78" w:rsidRDefault="00271850" w:rsidP="00F61E90">
            <w:pPr>
              <w:spacing w:after="0" w:line="240" w:lineRule="auto"/>
              <w:jc w:val="right"/>
              <w:rPr>
                <w:rFonts w:eastAsia="Times New Roman" w:cstheme="minorHAnsi"/>
                <w:sz w:val="18"/>
                <w:szCs w:val="18"/>
                <w:lang w:eastAsia="en-GB"/>
              </w:rPr>
            </w:pPr>
          </w:p>
        </w:tc>
        <w:tc>
          <w:tcPr>
            <w:tcW w:w="0" w:type="auto"/>
          </w:tcPr>
          <w:p w14:paraId="0E672C88" w14:textId="0374AA7B" w:rsidR="00271850" w:rsidRPr="00C24F78" w:rsidRDefault="00271850" w:rsidP="00F61E90">
            <w:pPr>
              <w:spacing w:after="0" w:line="240" w:lineRule="auto"/>
              <w:jc w:val="right"/>
              <w:rPr>
                <w:rFonts w:eastAsia="Times New Roman" w:cstheme="minorHAnsi"/>
                <w:sz w:val="18"/>
                <w:szCs w:val="18"/>
                <w:lang w:eastAsia="en-GB"/>
              </w:rPr>
            </w:pPr>
            <w:r w:rsidRPr="00C24F78">
              <w:rPr>
                <w:sz w:val="18"/>
                <w:szCs w:val="18"/>
              </w:rPr>
              <w:t>0</w:t>
            </w:r>
            <w:r>
              <w:rPr>
                <w:sz w:val="18"/>
                <w:szCs w:val="18"/>
              </w:rPr>
              <w:t>.</w:t>
            </w:r>
            <w:r w:rsidR="005520DD">
              <w:rPr>
                <w:sz w:val="18"/>
                <w:szCs w:val="18"/>
              </w:rPr>
              <w:t>81</w:t>
            </w:r>
          </w:p>
        </w:tc>
        <w:tc>
          <w:tcPr>
            <w:tcW w:w="0" w:type="auto"/>
          </w:tcPr>
          <w:p w14:paraId="27240C9D" w14:textId="432DA332" w:rsidR="00271850" w:rsidRPr="00C24F78" w:rsidRDefault="00271850" w:rsidP="00F61E90">
            <w:pPr>
              <w:spacing w:after="0" w:line="240" w:lineRule="auto"/>
              <w:jc w:val="right"/>
              <w:rPr>
                <w:rFonts w:eastAsia="Times New Roman" w:cstheme="minorHAnsi"/>
                <w:sz w:val="18"/>
                <w:szCs w:val="18"/>
                <w:lang w:eastAsia="en-GB"/>
              </w:rPr>
            </w:pPr>
            <w:r w:rsidRPr="00C24F78">
              <w:rPr>
                <w:sz w:val="18"/>
                <w:szCs w:val="18"/>
              </w:rPr>
              <w:t>0</w:t>
            </w:r>
            <w:r>
              <w:rPr>
                <w:sz w:val="18"/>
                <w:szCs w:val="18"/>
              </w:rPr>
              <w:t>.</w:t>
            </w:r>
            <w:r w:rsidRPr="00C24F78">
              <w:rPr>
                <w:sz w:val="18"/>
                <w:szCs w:val="18"/>
              </w:rPr>
              <w:t>5</w:t>
            </w:r>
            <w:r w:rsidR="005520DD">
              <w:rPr>
                <w:sz w:val="18"/>
                <w:szCs w:val="18"/>
              </w:rPr>
              <w:t>5</w:t>
            </w:r>
            <w:r w:rsidRPr="00C24F78">
              <w:rPr>
                <w:sz w:val="18"/>
                <w:szCs w:val="18"/>
              </w:rPr>
              <w:t>-1</w:t>
            </w:r>
            <w:r>
              <w:rPr>
                <w:sz w:val="18"/>
                <w:szCs w:val="18"/>
              </w:rPr>
              <w:t>.</w:t>
            </w:r>
            <w:r w:rsidRPr="00C24F78">
              <w:rPr>
                <w:sz w:val="18"/>
                <w:szCs w:val="18"/>
              </w:rPr>
              <w:t>1</w:t>
            </w:r>
            <w:r w:rsidR="005520DD">
              <w:rPr>
                <w:sz w:val="18"/>
                <w:szCs w:val="18"/>
              </w:rPr>
              <w:t>8</w:t>
            </w:r>
          </w:p>
        </w:tc>
        <w:tc>
          <w:tcPr>
            <w:tcW w:w="0" w:type="auto"/>
          </w:tcPr>
          <w:p w14:paraId="2D04A725" w14:textId="77777777" w:rsidR="00271850" w:rsidRPr="00C24F78" w:rsidRDefault="00271850" w:rsidP="00F61E90">
            <w:pPr>
              <w:spacing w:after="0" w:line="240" w:lineRule="auto"/>
              <w:jc w:val="right"/>
              <w:rPr>
                <w:rFonts w:eastAsia="Times New Roman" w:cstheme="minorHAnsi"/>
                <w:sz w:val="18"/>
                <w:szCs w:val="18"/>
                <w:lang w:eastAsia="en-GB"/>
              </w:rPr>
            </w:pPr>
            <w:r w:rsidRPr="00C24F78">
              <w:rPr>
                <w:rFonts w:eastAsia="Times New Roman" w:cstheme="minorHAnsi"/>
                <w:sz w:val="18"/>
                <w:szCs w:val="18"/>
                <w:lang w:eastAsia="en-GB"/>
              </w:rPr>
              <w:t>-</w:t>
            </w:r>
          </w:p>
        </w:tc>
        <w:tc>
          <w:tcPr>
            <w:tcW w:w="0" w:type="auto"/>
          </w:tcPr>
          <w:p w14:paraId="268D148E" w14:textId="77777777" w:rsidR="00271850" w:rsidRPr="00C24F78" w:rsidRDefault="00271850" w:rsidP="00F61E90">
            <w:pPr>
              <w:spacing w:after="0" w:line="240" w:lineRule="auto"/>
              <w:jc w:val="right"/>
              <w:rPr>
                <w:rFonts w:eastAsia="Times New Roman" w:cstheme="minorHAnsi"/>
                <w:sz w:val="18"/>
                <w:szCs w:val="18"/>
                <w:lang w:eastAsia="en-GB"/>
              </w:rPr>
            </w:pPr>
            <w:r w:rsidRPr="00C24F78">
              <w:rPr>
                <w:rFonts w:eastAsia="Times New Roman" w:cstheme="minorHAnsi"/>
                <w:sz w:val="18"/>
                <w:szCs w:val="18"/>
                <w:lang w:eastAsia="en-GB"/>
              </w:rPr>
              <w:t>-</w:t>
            </w:r>
          </w:p>
        </w:tc>
        <w:tc>
          <w:tcPr>
            <w:tcW w:w="0" w:type="auto"/>
          </w:tcPr>
          <w:p w14:paraId="0D5A4476" w14:textId="77777777" w:rsidR="00271850" w:rsidRPr="00C24F78" w:rsidRDefault="00271850" w:rsidP="00F61E90">
            <w:pPr>
              <w:spacing w:after="0" w:line="240" w:lineRule="auto"/>
              <w:jc w:val="right"/>
              <w:rPr>
                <w:rFonts w:eastAsia="Times New Roman" w:cstheme="minorHAnsi"/>
                <w:sz w:val="18"/>
                <w:szCs w:val="18"/>
                <w:lang w:eastAsia="en-GB"/>
              </w:rPr>
            </w:pPr>
          </w:p>
        </w:tc>
      </w:tr>
      <w:tr w:rsidR="005520DD" w:rsidRPr="00C24F78" w14:paraId="1BA6C291" w14:textId="77777777" w:rsidTr="00F61E90">
        <w:trPr>
          <w:tblCellSpacing w:w="15" w:type="dxa"/>
        </w:trPr>
        <w:tc>
          <w:tcPr>
            <w:tcW w:w="0" w:type="auto"/>
            <w:vAlign w:val="center"/>
            <w:hideMark/>
          </w:tcPr>
          <w:p w14:paraId="52FCA890" w14:textId="77777777" w:rsidR="00271850" w:rsidRPr="00C24F78" w:rsidRDefault="00271850" w:rsidP="00F61E90">
            <w:pPr>
              <w:spacing w:after="0" w:line="240" w:lineRule="auto"/>
              <w:rPr>
                <w:rFonts w:eastAsia="Times New Roman" w:cstheme="minorHAnsi"/>
                <w:sz w:val="18"/>
                <w:szCs w:val="18"/>
                <w:lang w:eastAsia="en-GB"/>
              </w:rPr>
            </w:pPr>
          </w:p>
        </w:tc>
        <w:tc>
          <w:tcPr>
            <w:tcW w:w="0" w:type="auto"/>
            <w:vAlign w:val="center"/>
            <w:hideMark/>
          </w:tcPr>
          <w:p w14:paraId="41DB8583" w14:textId="77777777" w:rsidR="00271850" w:rsidRPr="00C24F78" w:rsidRDefault="00271850" w:rsidP="00F61E90">
            <w:pPr>
              <w:spacing w:after="0" w:line="240" w:lineRule="auto"/>
              <w:rPr>
                <w:rFonts w:eastAsia="Times New Roman" w:cstheme="minorHAnsi"/>
                <w:sz w:val="18"/>
                <w:szCs w:val="18"/>
                <w:lang w:eastAsia="en-GB"/>
              </w:rPr>
            </w:pPr>
            <w:r w:rsidRPr="00C24F78">
              <w:rPr>
                <w:rFonts w:eastAsia="Times New Roman" w:cstheme="minorHAnsi"/>
                <w:sz w:val="18"/>
                <w:szCs w:val="18"/>
                <w:lang w:eastAsia="en-GB"/>
              </w:rPr>
              <w:t xml:space="preserve">Yorkshire and Humber </w:t>
            </w:r>
          </w:p>
        </w:tc>
        <w:tc>
          <w:tcPr>
            <w:tcW w:w="0" w:type="auto"/>
          </w:tcPr>
          <w:p w14:paraId="1D9DCD55" w14:textId="48DA89D5" w:rsidR="00271850" w:rsidRPr="00C24F78" w:rsidRDefault="00271850" w:rsidP="00F61E90">
            <w:pPr>
              <w:spacing w:after="0" w:line="240" w:lineRule="auto"/>
              <w:jc w:val="right"/>
              <w:rPr>
                <w:rFonts w:eastAsia="Times New Roman" w:cstheme="minorHAnsi"/>
                <w:sz w:val="18"/>
                <w:szCs w:val="18"/>
                <w:lang w:eastAsia="en-GB"/>
              </w:rPr>
            </w:pPr>
            <w:r w:rsidRPr="00C24F78">
              <w:rPr>
                <w:sz w:val="18"/>
                <w:szCs w:val="18"/>
              </w:rPr>
              <w:t>1</w:t>
            </w:r>
            <w:r>
              <w:rPr>
                <w:sz w:val="18"/>
                <w:szCs w:val="18"/>
              </w:rPr>
              <w:t>.</w:t>
            </w:r>
            <w:r w:rsidRPr="00C24F78">
              <w:rPr>
                <w:sz w:val="18"/>
                <w:szCs w:val="18"/>
              </w:rPr>
              <w:t>4</w:t>
            </w:r>
            <w:r w:rsidR="009A1B1D">
              <w:rPr>
                <w:sz w:val="18"/>
                <w:szCs w:val="18"/>
              </w:rPr>
              <w:t>5</w:t>
            </w:r>
          </w:p>
        </w:tc>
        <w:tc>
          <w:tcPr>
            <w:tcW w:w="0" w:type="auto"/>
          </w:tcPr>
          <w:p w14:paraId="49DAE815" w14:textId="62C70734" w:rsidR="00271850" w:rsidRPr="00C24F78" w:rsidRDefault="00271850" w:rsidP="00F61E90">
            <w:pPr>
              <w:spacing w:after="0" w:line="240" w:lineRule="auto"/>
              <w:jc w:val="right"/>
              <w:rPr>
                <w:rFonts w:eastAsia="Times New Roman" w:cstheme="minorHAnsi"/>
                <w:sz w:val="18"/>
                <w:szCs w:val="18"/>
                <w:lang w:eastAsia="en-GB"/>
              </w:rPr>
            </w:pPr>
            <w:r w:rsidRPr="00C24F78">
              <w:rPr>
                <w:sz w:val="18"/>
                <w:szCs w:val="18"/>
              </w:rPr>
              <w:t>0</w:t>
            </w:r>
            <w:r>
              <w:rPr>
                <w:sz w:val="18"/>
                <w:szCs w:val="18"/>
              </w:rPr>
              <w:t>.</w:t>
            </w:r>
            <w:r w:rsidRPr="00C24F78">
              <w:rPr>
                <w:sz w:val="18"/>
                <w:szCs w:val="18"/>
              </w:rPr>
              <w:t>9</w:t>
            </w:r>
            <w:r w:rsidR="009A1B1D">
              <w:rPr>
                <w:sz w:val="18"/>
                <w:szCs w:val="18"/>
              </w:rPr>
              <w:t>7</w:t>
            </w:r>
            <w:r w:rsidRPr="00C24F78">
              <w:rPr>
                <w:sz w:val="18"/>
                <w:szCs w:val="18"/>
              </w:rPr>
              <w:t>-2</w:t>
            </w:r>
            <w:r>
              <w:rPr>
                <w:sz w:val="18"/>
                <w:szCs w:val="18"/>
              </w:rPr>
              <w:t>.</w:t>
            </w:r>
            <w:r w:rsidRPr="00C24F78">
              <w:rPr>
                <w:sz w:val="18"/>
                <w:szCs w:val="18"/>
              </w:rPr>
              <w:t>1</w:t>
            </w:r>
            <w:r w:rsidR="003E421C">
              <w:rPr>
                <w:sz w:val="18"/>
                <w:szCs w:val="18"/>
              </w:rPr>
              <w:t>5</w:t>
            </w:r>
          </w:p>
        </w:tc>
        <w:tc>
          <w:tcPr>
            <w:tcW w:w="0" w:type="auto"/>
          </w:tcPr>
          <w:p w14:paraId="6E063BED" w14:textId="77777777" w:rsidR="00271850" w:rsidRPr="00C24F78" w:rsidRDefault="00271850" w:rsidP="00F61E90">
            <w:pPr>
              <w:spacing w:after="0" w:line="240" w:lineRule="auto"/>
              <w:jc w:val="right"/>
              <w:rPr>
                <w:rFonts w:eastAsia="Times New Roman" w:cstheme="minorHAnsi"/>
                <w:sz w:val="18"/>
                <w:szCs w:val="18"/>
                <w:lang w:eastAsia="en-GB"/>
              </w:rPr>
            </w:pPr>
          </w:p>
        </w:tc>
        <w:tc>
          <w:tcPr>
            <w:tcW w:w="0" w:type="auto"/>
          </w:tcPr>
          <w:p w14:paraId="0035EC30" w14:textId="086C30A3" w:rsidR="00271850" w:rsidRPr="00C24F78" w:rsidRDefault="00271850" w:rsidP="00F61E90">
            <w:pPr>
              <w:spacing w:after="0" w:line="240" w:lineRule="auto"/>
              <w:jc w:val="right"/>
              <w:rPr>
                <w:rFonts w:eastAsia="Times New Roman" w:cstheme="minorHAnsi"/>
                <w:sz w:val="18"/>
                <w:szCs w:val="18"/>
                <w:lang w:eastAsia="en-GB"/>
              </w:rPr>
            </w:pPr>
            <w:r w:rsidRPr="00C24F78">
              <w:rPr>
                <w:sz w:val="18"/>
                <w:szCs w:val="18"/>
              </w:rPr>
              <w:t>1</w:t>
            </w:r>
            <w:r>
              <w:rPr>
                <w:sz w:val="18"/>
                <w:szCs w:val="18"/>
              </w:rPr>
              <w:t>.</w:t>
            </w:r>
            <w:r w:rsidRPr="00C24F78">
              <w:rPr>
                <w:sz w:val="18"/>
                <w:szCs w:val="18"/>
              </w:rPr>
              <w:t>3</w:t>
            </w:r>
            <w:r w:rsidR="003E421C">
              <w:rPr>
                <w:sz w:val="18"/>
                <w:szCs w:val="18"/>
              </w:rPr>
              <w:t>9</w:t>
            </w:r>
          </w:p>
        </w:tc>
        <w:tc>
          <w:tcPr>
            <w:tcW w:w="0" w:type="auto"/>
            <w:vAlign w:val="center"/>
          </w:tcPr>
          <w:p w14:paraId="2FB28EEF" w14:textId="444784AF" w:rsidR="00271850" w:rsidRPr="00C24F78" w:rsidRDefault="00271850" w:rsidP="00F61E90">
            <w:pPr>
              <w:spacing w:after="0" w:line="240" w:lineRule="auto"/>
              <w:jc w:val="right"/>
              <w:rPr>
                <w:rFonts w:eastAsia="Times New Roman" w:cstheme="minorHAnsi"/>
                <w:sz w:val="18"/>
                <w:szCs w:val="18"/>
                <w:lang w:eastAsia="en-GB"/>
              </w:rPr>
            </w:pPr>
            <w:r w:rsidRPr="00C24F78">
              <w:rPr>
                <w:rFonts w:eastAsia="Times New Roman" w:cstheme="minorHAnsi"/>
                <w:sz w:val="18"/>
                <w:szCs w:val="18"/>
                <w:lang w:eastAsia="en-GB"/>
              </w:rPr>
              <w:t>0</w:t>
            </w:r>
            <w:r>
              <w:rPr>
                <w:rFonts w:eastAsia="Times New Roman" w:cstheme="minorHAnsi"/>
                <w:sz w:val="18"/>
                <w:szCs w:val="18"/>
                <w:lang w:eastAsia="en-GB"/>
              </w:rPr>
              <w:t>.</w:t>
            </w:r>
            <w:r w:rsidRPr="00C24F78">
              <w:rPr>
                <w:rFonts w:eastAsia="Times New Roman" w:cstheme="minorHAnsi"/>
                <w:sz w:val="18"/>
                <w:szCs w:val="18"/>
                <w:lang w:eastAsia="en-GB"/>
              </w:rPr>
              <w:t>9</w:t>
            </w:r>
            <w:r w:rsidR="003E421C">
              <w:rPr>
                <w:rFonts w:eastAsia="Times New Roman" w:cstheme="minorHAnsi"/>
                <w:sz w:val="18"/>
                <w:szCs w:val="18"/>
                <w:lang w:eastAsia="en-GB"/>
              </w:rPr>
              <w:t>5</w:t>
            </w:r>
            <w:r w:rsidRPr="00C24F78">
              <w:rPr>
                <w:rFonts w:eastAsia="Times New Roman" w:cstheme="minorHAnsi"/>
                <w:sz w:val="18"/>
                <w:szCs w:val="18"/>
                <w:lang w:eastAsia="en-GB"/>
              </w:rPr>
              <w:t>-2</w:t>
            </w:r>
            <w:r>
              <w:rPr>
                <w:rFonts w:eastAsia="Times New Roman" w:cstheme="minorHAnsi"/>
                <w:sz w:val="18"/>
                <w:szCs w:val="18"/>
                <w:lang w:eastAsia="en-GB"/>
              </w:rPr>
              <w:t>.</w:t>
            </w:r>
            <w:r w:rsidRPr="00C24F78">
              <w:rPr>
                <w:rFonts w:eastAsia="Times New Roman" w:cstheme="minorHAnsi"/>
                <w:sz w:val="18"/>
                <w:szCs w:val="18"/>
                <w:lang w:eastAsia="en-GB"/>
              </w:rPr>
              <w:t>0</w:t>
            </w:r>
            <w:r w:rsidR="003E421C">
              <w:rPr>
                <w:rFonts w:eastAsia="Times New Roman" w:cstheme="minorHAnsi"/>
                <w:sz w:val="18"/>
                <w:szCs w:val="18"/>
                <w:lang w:eastAsia="en-GB"/>
              </w:rPr>
              <w:t>4</w:t>
            </w:r>
          </w:p>
        </w:tc>
        <w:tc>
          <w:tcPr>
            <w:tcW w:w="0" w:type="auto"/>
            <w:vAlign w:val="center"/>
          </w:tcPr>
          <w:p w14:paraId="702221B7" w14:textId="77777777" w:rsidR="00271850" w:rsidRPr="00C24F78" w:rsidRDefault="00271850" w:rsidP="00F61E90">
            <w:pPr>
              <w:spacing w:after="0" w:line="240" w:lineRule="auto"/>
              <w:jc w:val="right"/>
              <w:rPr>
                <w:rFonts w:eastAsia="Times New Roman" w:cstheme="minorHAnsi"/>
                <w:sz w:val="18"/>
                <w:szCs w:val="18"/>
                <w:lang w:eastAsia="en-GB"/>
              </w:rPr>
            </w:pPr>
          </w:p>
        </w:tc>
        <w:tc>
          <w:tcPr>
            <w:tcW w:w="0" w:type="auto"/>
          </w:tcPr>
          <w:p w14:paraId="68746F3A" w14:textId="77777777" w:rsidR="00271850" w:rsidRPr="00C24F78" w:rsidRDefault="00271850" w:rsidP="00F61E90">
            <w:pPr>
              <w:spacing w:after="0" w:line="240" w:lineRule="auto"/>
              <w:jc w:val="right"/>
              <w:rPr>
                <w:rFonts w:eastAsia="Times New Roman" w:cstheme="minorHAnsi"/>
                <w:sz w:val="18"/>
                <w:szCs w:val="18"/>
                <w:lang w:eastAsia="en-GB"/>
              </w:rPr>
            </w:pPr>
          </w:p>
        </w:tc>
        <w:tc>
          <w:tcPr>
            <w:tcW w:w="0" w:type="auto"/>
          </w:tcPr>
          <w:p w14:paraId="55DBE6C0" w14:textId="06BA0120" w:rsidR="00271850" w:rsidRPr="00C24F78" w:rsidRDefault="00271850" w:rsidP="00F61E90">
            <w:pPr>
              <w:spacing w:after="0" w:line="240" w:lineRule="auto"/>
              <w:jc w:val="right"/>
              <w:rPr>
                <w:rFonts w:eastAsia="Times New Roman" w:cstheme="minorHAnsi"/>
                <w:sz w:val="18"/>
                <w:szCs w:val="18"/>
                <w:lang w:eastAsia="en-GB"/>
              </w:rPr>
            </w:pPr>
            <w:r w:rsidRPr="00C24F78">
              <w:rPr>
                <w:sz w:val="18"/>
                <w:szCs w:val="18"/>
              </w:rPr>
              <w:t>0</w:t>
            </w:r>
            <w:r>
              <w:rPr>
                <w:sz w:val="18"/>
                <w:szCs w:val="18"/>
              </w:rPr>
              <w:t>.</w:t>
            </w:r>
            <w:r w:rsidRPr="00C24F78">
              <w:rPr>
                <w:sz w:val="18"/>
                <w:szCs w:val="18"/>
              </w:rPr>
              <w:t>6</w:t>
            </w:r>
            <w:r w:rsidR="005520DD">
              <w:rPr>
                <w:sz w:val="18"/>
                <w:szCs w:val="18"/>
              </w:rPr>
              <w:t>1</w:t>
            </w:r>
          </w:p>
        </w:tc>
        <w:tc>
          <w:tcPr>
            <w:tcW w:w="0" w:type="auto"/>
          </w:tcPr>
          <w:p w14:paraId="7030360E" w14:textId="6058E248" w:rsidR="00271850" w:rsidRPr="00C24F78" w:rsidRDefault="00271850" w:rsidP="00F61E90">
            <w:pPr>
              <w:spacing w:after="0" w:line="240" w:lineRule="auto"/>
              <w:jc w:val="right"/>
              <w:rPr>
                <w:rFonts w:eastAsia="Times New Roman" w:cstheme="minorHAnsi"/>
                <w:sz w:val="18"/>
                <w:szCs w:val="18"/>
                <w:lang w:eastAsia="en-GB"/>
              </w:rPr>
            </w:pPr>
            <w:r w:rsidRPr="00C24F78">
              <w:rPr>
                <w:sz w:val="18"/>
                <w:szCs w:val="18"/>
              </w:rPr>
              <w:t>0</w:t>
            </w:r>
            <w:r>
              <w:rPr>
                <w:sz w:val="18"/>
                <w:szCs w:val="18"/>
              </w:rPr>
              <w:t>.</w:t>
            </w:r>
            <w:r w:rsidRPr="00C24F78">
              <w:rPr>
                <w:sz w:val="18"/>
                <w:szCs w:val="18"/>
              </w:rPr>
              <w:t>3</w:t>
            </w:r>
            <w:r w:rsidR="005520DD">
              <w:rPr>
                <w:sz w:val="18"/>
                <w:szCs w:val="18"/>
              </w:rPr>
              <w:t>5</w:t>
            </w:r>
            <w:r w:rsidRPr="00C24F78">
              <w:rPr>
                <w:sz w:val="18"/>
                <w:szCs w:val="18"/>
              </w:rPr>
              <w:t>-1</w:t>
            </w:r>
            <w:r>
              <w:rPr>
                <w:sz w:val="18"/>
                <w:szCs w:val="18"/>
              </w:rPr>
              <w:t>.</w:t>
            </w:r>
            <w:r w:rsidRPr="00C24F78">
              <w:rPr>
                <w:sz w:val="18"/>
                <w:szCs w:val="18"/>
              </w:rPr>
              <w:t>0</w:t>
            </w:r>
            <w:r w:rsidR="005520DD">
              <w:rPr>
                <w:sz w:val="18"/>
                <w:szCs w:val="18"/>
              </w:rPr>
              <w:t>6</w:t>
            </w:r>
          </w:p>
        </w:tc>
        <w:tc>
          <w:tcPr>
            <w:tcW w:w="0" w:type="auto"/>
          </w:tcPr>
          <w:p w14:paraId="04969CEB" w14:textId="77777777" w:rsidR="00271850" w:rsidRPr="00C24F78" w:rsidRDefault="00271850" w:rsidP="00F61E90">
            <w:pPr>
              <w:spacing w:after="0" w:line="240" w:lineRule="auto"/>
              <w:jc w:val="right"/>
              <w:rPr>
                <w:rFonts w:eastAsia="Times New Roman" w:cstheme="minorHAnsi"/>
                <w:sz w:val="18"/>
                <w:szCs w:val="18"/>
                <w:lang w:eastAsia="en-GB"/>
              </w:rPr>
            </w:pPr>
            <w:r w:rsidRPr="00C24F78">
              <w:rPr>
                <w:rFonts w:eastAsia="Times New Roman" w:cstheme="minorHAnsi"/>
                <w:sz w:val="18"/>
                <w:szCs w:val="18"/>
                <w:lang w:eastAsia="en-GB"/>
              </w:rPr>
              <w:t>-</w:t>
            </w:r>
          </w:p>
        </w:tc>
        <w:tc>
          <w:tcPr>
            <w:tcW w:w="0" w:type="auto"/>
          </w:tcPr>
          <w:p w14:paraId="210E9128" w14:textId="77777777" w:rsidR="00271850" w:rsidRPr="00C24F78" w:rsidRDefault="00271850" w:rsidP="00F61E90">
            <w:pPr>
              <w:spacing w:after="0" w:line="240" w:lineRule="auto"/>
              <w:jc w:val="right"/>
              <w:rPr>
                <w:rFonts w:eastAsia="Times New Roman" w:cstheme="minorHAnsi"/>
                <w:sz w:val="18"/>
                <w:szCs w:val="18"/>
                <w:lang w:eastAsia="en-GB"/>
              </w:rPr>
            </w:pPr>
            <w:r w:rsidRPr="00C24F78">
              <w:rPr>
                <w:rFonts w:eastAsia="Times New Roman" w:cstheme="minorHAnsi"/>
                <w:sz w:val="18"/>
                <w:szCs w:val="18"/>
                <w:lang w:eastAsia="en-GB"/>
              </w:rPr>
              <w:t>-</w:t>
            </w:r>
          </w:p>
        </w:tc>
        <w:tc>
          <w:tcPr>
            <w:tcW w:w="0" w:type="auto"/>
          </w:tcPr>
          <w:p w14:paraId="46E35E55" w14:textId="77777777" w:rsidR="00271850" w:rsidRPr="00C24F78" w:rsidRDefault="00271850" w:rsidP="00F61E90">
            <w:pPr>
              <w:spacing w:after="0" w:line="240" w:lineRule="auto"/>
              <w:jc w:val="right"/>
              <w:rPr>
                <w:rFonts w:eastAsia="Times New Roman" w:cstheme="minorHAnsi"/>
                <w:sz w:val="18"/>
                <w:szCs w:val="18"/>
                <w:lang w:eastAsia="en-GB"/>
              </w:rPr>
            </w:pPr>
          </w:p>
        </w:tc>
      </w:tr>
      <w:tr w:rsidR="005520DD" w:rsidRPr="00C24F78" w14:paraId="7DE6446E" w14:textId="77777777" w:rsidTr="00F61E90">
        <w:trPr>
          <w:tblCellSpacing w:w="15" w:type="dxa"/>
        </w:trPr>
        <w:tc>
          <w:tcPr>
            <w:tcW w:w="0" w:type="auto"/>
            <w:vAlign w:val="center"/>
            <w:hideMark/>
          </w:tcPr>
          <w:p w14:paraId="6782E66D" w14:textId="77777777" w:rsidR="00271850" w:rsidRPr="00C24F78" w:rsidRDefault="00271850" w:rsidP="00F61E90">
            <w:pPr>
              <w:spacing w:after="0" w:line="240" w:lineRule="auto"/>
              <w:rPr>
                <w:rFonts w:eastAsia="Times New Roman" w:cstheme="minorHAnsi"/>
                <w:sz w:val="18"/>
                <w:szCs w:val="18"/>
                <w:lang w:eastAsia="en-GB"/>
              </w:rPr>
            </w:pPr>
          </w:p>
        </w:tc>
        <w:tc>
          <w:tcPr>
            <w:tcW w:w="0" w:type="auto"/>
            <w:vAlign w:val="center"/>
            <w:hideMark/>
          </w:tcPr>
          <w:p w14:paraId="23CED4D1" w14:textId="77777777" w:rsidR="00271850" w:rsidRPr="00C24F78" w:rsidRDefault="00271850" w:rsidP="00F61E90">
            <w:pPr>
              <w:spacing w:after="0" w:line="240" w:lineRule="auto"/>
              <w:rPr>
                <w:rFonts w:eastAsia="Times New Roman" w:cstheme="minorHAnsi"/>
                <w:sz w:val="18"/>
                <w:szCs w:val="18"/>
                <w:lang w:eastAsia="en-GB"/>
              </w:rPr>
            </w:pPr>
            <w:r w:rsidRPr="00C24F78">
              <w:rPr>
                <w:rFonts w:eastAsia="Times New Roman" w:cstheme="minorHAnsi"/>
                <w:sz w:val="18"/>
                <w:szCs w:val="18"/>
                <w:lang w:eastAsia="en-GB"/>
              </w:rPr>
              <w:t xml:space="preserve">East Midlands </w:t>
            </w:r>
          </w:p>
        </w:tc>
        <w:tc>
          <w:tcPr>
            <w:tcW w:w="0" w:type="auto"/>
          </w:tcPr>
          <w:p w14:paraId="50C71B02" w14:textId="5CA9573D" w:rsidR="00271850" w:rsidRPr="00C24F78" w:rsidRDefault="009A1B1D" w:rsidP="00F61E90">
            <w:pPr>
              <w:spacing w:after="0" w:line="240" w:lineRule="auto"/>
              <w:jc w:val="right"/>
              <w:rPr>
                <w:rFonts w:eastAsia="Times New Roman" w:cstheme="minorHAnsi"/>
                <w:sz w:val="18"/>
                <w:szCs w:val="18"/>
                <w:lang w:eastAsia="en-GB"/>
              </w:rPr>
            </w:pPr>
            <w:r>
              <w:rPr>
                <w:sz w:val="18"/>
                <w:szCs w:val="18"/>
              </w:rPr>
              <w:t>1</w:t>
            </w:r>
            <w:r w:rsidR="00271850">
              <w:rPr>
                <w:sz w:val="18"/>
                <w:szCs w:val="18"/>
              </w:rPr>
              <w:t>.</w:t>
            </w:r>
            <w:r>
              <w:rPr>
                <w:sz w:val="18"/>
                <w:szCs w:val="18"/>
              </w:rPr>
              <w:t>07</w:t>
            </w:r>
          </w:p>
        </w:tc>
        <w:tc>
          <w:tcPr>
            <w:tcW w:w="0" w:type="auto"/>
          </w:tcPr>
          <w:p w14:paraId="016407B4" w14:textId="6946D49F" w:rsidR="00271850" w:rsidRPr="00C24F78" w:rsidRDefault="00271850" w:rsidP="00F61E90">
            <w:pPr>
              <w:spacing w:after="0" w:line="240" w:lineRule="auto"/>
              <w:jc w:val="right"/>
              <w:rPr>
                <w:rFonts w:eastAsia="Times New Roman" w:cstheme="minorHAnsi"/>
                <w:sz w:val="18"/>
                <w:szCs w:val="18"/>
                <w:lang w:eastAsia="en-GB"/>
              </w:rPr>
            </w:pPr>
            <w:r w:rsidRPr="00C24F78">
              <w:rPr>
                <w:sz w:val="18"/>
                <w:szCs w:val="18"/>
              </w:rPr>
              <w:t>0</w:t>
            </w:r>
            <w:r>
              <w:rPr>
                <w:sz w:val="18"/>
                <w:szCs w:val="18"/>
              </w:rPr>
              <w:t>.</w:t>
            </w:r>
            <w:r w:rsidRPr="00C24F78">
              <w:rPr>
                <w:sz w:val="18"/>
                <w:szCs w:val="18"/>
              </w:rPr>
              <w:t>6</w:t>
            </w:r>
            <w:r w:rsidR="009A1B1D">
              <w:rPr>
                <w:sz w:val="18"/>
                <w:szCs w:val="18"/>
              </w:rPr>
              <w:t>8</w:t>
            </w:r>
            <w:r w:rsidRPr="00C24F78">
              <w:rPr>
                <w:sz w:val="18"/>
                <w:szCs w:val="18"/>
              </w:rPr>
              <w:t>-1</w:t>
            </w:r>
            <w:r>
              <w:rPr>
                <w:sz w:val="18"/>
                <w:szCs w:val="18"/>
              </w:rPr>
              <w:t>.</w:t>
            </w:r>
            <w:r w:rsidR="003E421C">
              <w:rPr>
                <w:sz w:val="18"/>
                <w:szCs w:val="18"/>
              </w:rPr>
              <w:t>70</w:t>
            </w:r>
          </w:p>
        </w:tc>
        <w:tc>
          <w:tcPr>
            <w:tcW w:w="0" w:type="auto"/>
          </w:tcPr>
          <w:p w14:paraId="75882E0C" w14:textId="77777777" w:rsidR="00271850" w:rsidRPr="00C24F78" w:rsidRDefault="00271850" w:rsidP="00F61E90">
            <w:pPr>
              <w:spacing w:after="0" w:line="240" w:lineRule="auto"/>
              <w:jc w:val="right"/>
              <w:rPr>
                <w:rFonts w:eastAsia="Times New Roman" w:cstheme="minorHAnsi"/>
                <w:sz w:val="18"/>
                <w:szCs w:val="18"/>
                <w:lang w:eastAsia="en-GB"/>
              </w:rPr>
            </w:pPr>
          </w:p>
        </w:tc>
        <w:tc>
          <w:tcPr>
            <w:tcW w:w="0" w:type="auto"/>
          </w:tcPr>
          <w:p w14:paraId="045B8244" w14:textId="5D57C18F" w:rsidR="00271850" w:rsidRPr="00C24F78" w:rsidRDefault="00271850" w:rsidP="00F61E90">
            <w:pPr>
              <w:spacing w:after="0" w:line="240" w:lineRule="auto"/>
              <w:jc w:val="right"/>
              <w:rPr>
                <w:rFonts w:eastAsia="Times New Roman" w:cstheme="minorHAnsi"/>
                <w:sz w:val="18"/>
                <w:szCs w:val="18"/>
                <w:lang w:eastAsia="en-GB"/>
              </w:rPr>
            </w:pPr>
            <w:r w:rsidRPr="00C24F78">
              <w:rPr>
                <w:sz w:val="18"/>
                <w:szCs w:val="18"/>
              </w:rPr>
              <w:t>0</w:t>
            </w:r>
            <w:r>
              <w:rPr>
                <w:sz w:val="18"/>
                <w:szCs w:val="18"/>
              </w:rPr>
              <w:t>.</w:t>
            </w:r>
            <w:r w:rsidR="003E421C">
              <w:rPr>
                <w:sz w:val="18"/>
                <w:szCs w:val="18"/>
              </w:rPr>
              <w:t>96</w:t>
            </w:r>
          </w:p>
        </w:tc>
        <w:tc>
          <w:tcPr>
            <w:tcW w:w="0" w:type="auto"/>
          </w:tcPr>
          <w:p w14:paraId="45A12C1E" w14:textId="2249CB80" w:rsidR="00271850" w:rsidRPr="00C24F78" w:rsidRDefault="00271850" w:rsidP="00F61E90">
            <w:pPr>
              <w:spacing w:after="0" w:line="240" w:lineRule="auto"/>
              <w:jc w:val="right"/>
              <w:rPr>
                <w:rFonts w:eastAsia="Times New Roman" w:cstheme="minorHAnsi"/>
                <w:sz w:val="18"/>
                <w:szCs w:val="18"/>
                <w:lang w:eastAsia="en-GB"/>
              </w:rPr>
            </w:pPr>
            <w:r w:rsidRPr="00C24F78">
              <w:rPr>
                <w:sz w:val="18"/>
                <w:szCs w:val="18"/>
              </w:rPr>
              <w:t>0</w:t>
            </w:r>
            <w:r>
              <w:rPr>
                <w:sz w:val="18"/>
                <w:szCs w:val="18"/>
              </w:rPr>
              <w:t>.</w:t>
            </w:r>
            <w:r w:rsidRPr="00C24F78">
              <w:rPr>
                <w:sz w:val="18"/>
                <w:szCs w:val="18"/>
              </w:rPr>
              <w:t>6</w:t>
            </w:r>
            <w:r w:rsidR="003E421C">
              <w:rPr>
                <w:sz w:val="18"/>
                <w:szCs w:val="18"/>
              </w:rPr>
              <w:t>1</w:t>
            </w:r>
            <w:r w:rsidRPr="00C24F78">
              <w:rPr>
                <w:sz w:val="18"/>
                <w:szCs w:val="18"/>
              </w:rPr>
              <w:t>-1</w:t>
            </w:r>
            <w:r>
              <w:rPr>
                <w:sz w:val="18"/>
                <w:szCs w:val="18"/>
              </w:rPr>
              <w:t>.</w:t>
            </w:r>
            <w:r w:rsidR="003E421C">
              <w:rPr>
                <w:sz w:val="18"/>
                <w:szCs w:val="18"/>
              </w:rPr>
              <w:t>5</w:t>
            </w:r>
            <w:r w:rsidRPr="00C24F78">
              <w:rPr>
                <w:sz w:val="18"/>
                <w:szCs w:val="18"/>
              </w:rPr>
              <w:t>0</w:t>
            </w:r>
          </w:p>
        </w:tc>
        <w:tc>
          <w:tcPr>
            <w:tcW w:w="0" w:type="auto"/>
            <w:vAlign w:val="center"/>
          </w:tcPr>
          <w:p w14:paraId="53264454" w14:textId="77777777" w:rsidR="00271850" w:rsidRPr="00C24F78" w:rsidRDefault="00271850" w:rsidP="00F61E90">
            <w:pPr>
              <w:spacing w:after="0" w:line="240" w:lineRule="auto"/>
              <w:jc w:val="right"/>
              <w:rPr>
                <w:rFonts w:eastAsia="Times New Roman" w:cstheme="minorHAnsi"/>
                <w:sz w:val="18"/>
                <w:szCs w:val="18"/>
                <w:lang w:eastAsia="en-GB"/>
              </w:rPr>
            </w:pPr>
          </w:p>
        </w:tc>
        <w:tc>
          <w:tcPr>
            <w:tcW w:w="0" w:type="auto"/>
          </w:tcPr>
          <w:p w14:paraId="7E1824A7" w14:textId="77777777" w:rsidR="00271850" w:rsidRPr="00C24F78" w:rsidRDefault="00271850" w:rsidP="00F61E90">
            <w:pPr>
              <w:spacing w:after="0" w:line="240" w:lineRule="auto"/>
              <w:jc w:val="right"/>
              <w:rPr>
                <w:rFonts w:eastAsia="Times New Roman" w:cstheme="minorHAnsi"/>
                <w:sz w:val="18"/>
                <w:szCs w:val="18"/>
                <w:lang w:eastAsia="en-GB"/>
              </w:rPr>
            </w:pPr>
          </w:p>
        </w:tc>
        <w:tc>
          <w:tcPr>
            <w:tcW w:w="0" w:type="auto"/>
          </w:tcPr>
          <w:p w14:paraId="7F430836" w14:textId="0410BECD" w:rsidR="00271850" w:rsidRPr="00C24F78" w:rsidRDefault="00271850" w:rsidP="00F61E90">
            <w:pPr>
              <w:spacing w:after="0" w:line="240" w:lineRule="auto"/>
              <w:jc w:val="right"/>
              <w:rPr>
                <w:rFonts w:eastAsia="Times New Roman" w:cstheme="minorHAnsi"/>
                <w:sz w:val="18"/>
                <w:szCs w:val="18"/>
                <w:lang w:eastAsia="en-GB"/>
              </w:rPr>
            </w:pPr>
            <w:r w:rsidRPr="00C24F78">
              <w:rPr>
                <w:sz w:val="18"/>
                <w:szCs w:val="18"/>
              </w:rPr>
              <w:t>0</w:t>
            </w:r>
            <w:r>
              <w:rPr>
                <w:sz w:val="18"/>
                <w:szCs w:val="18"/>
              </w:rPr>
              <w:t>.</w:t>
            </w:r>
            <w:r w:rsidRPr="00C24F78">
              <w:rPr>
                <w:sz w:val="18"/>
                <w:szCs w:val="18"/>
              </w:rPr>
              <w:t>9</w:t>
            </w:r>
            <w:r w:rsidR="005520DD">
              <w:rPr>
                <w:sz w:val="18"/>
                <w:szCs w:val="18"/>
              </w:rPr>
              <w:t>1</w:t>
            </w:r>
          </w:p>
        </w:tc>
        <w:tc>
          <w:tcPr>
            <w:tcW w:w="0" w:type="auto"/>
          </w:tcPr>
          <w:p w14:paraId="499EEF09" w14:textId="77777777" w:rsidR="00271850" w:rsidRPr="00C24F78" w:rsidRDefault="00271850" w:rsidP="00F61E90">
            <w:pPr>
              <w:spacing w:after="0" w:line="240" w:lineRule="auto"/>
              <w:jc w:val="right"/>
              <w:rPr>
                <w:rFonts w:eastAsia="Times New Roman" w:cstheme="minorHAnsi"/>
                <w:sz w:val="18"/>
                <w:szCs w:val="18"/>
                <w:lang w:eastAsia="en-GB"/>
              </w:rPr>
            </w:pPr>
            <w:r w:rsidRPr="00C24F78">
              <w:rPr>
                <w:sz w:val="18"/>
                <w:szCs w:val="18"/>
              </w:rPr>
              <w:t>0</w:t>
            </w:r>
            <w:r>
              <w:rPr>
                <w:sz w:val="18"/>
                <w:szCs w:val="18"/>
              </w:rPr>
              <w:t>.</w:t>
            </w:r>
            <w:r w:rsidRPr="00C24F78">
              <w:rPr>
                <w:sz w:val="18"/>
                <w:szCs w:val="18"/>
              </w:rPr>
              <w:t>52-1</w:t>
            </w:r>
            <w:r>
              <w:rPr>
                <w:sz w:val="18"/>
                <w:szCs w:val="18"/>
              </w:rPr>
              <w:t>.</w:t>
            </w:r>
            <w:r w:rsidRPr="00C24F78">
              <w:rPr>
                <w:sz w:val="18"/>
                <w:szCs w:val="18"/>
              </w:rPr>
              <w:t>57</w:t>
            </w:r>
          </w:p>
        </w:tc>
        <w:tc>
          <w:tcPr>
            <w:tcW w:w="0" w:type="auto"/>
          </w:tcPr>
          <w:p w14:paraId="71450A01" w14:textId="77777777" w:rsidR="00271850" w:rsidRPr="00C24F78" w:rsidRDefault="00271850" w:rsidP="00F61E90">
            <w:pPr>
              <w:spacing w:after="0" w:line="240" w:lineRule="auto"/>
              <w:jc w:val="right"/>
              <w:rPr>
                <w:rFonts w:eastAsia="Times New Roman" w:cstheme="minorHAnsi"/>
                <w:sz w:val="18"/>
                <w:szCs w:val="18"/>
                <w:lang w:eastAsia="en-GB"/>
              </w:rPr>
            </w:pPr>
            <w:r w:rsidRPr="00C24F78">
              <w:rPr>
                <w:rFonts w:eastAsia="Times New Roman" w:cstheme="minorHAnsi"/>
                <w:sz w:val="18"/>
                <w:szCs w:val="18"/>
                <w:lang w:eastAsia="en-GB"/>
              </w:rPr>
              <w:t>-</w:t>
            </w:r>
          </w:p>
        </w:tc>
        <w:tc>
          <w:tcPr>
            <w:tcW w:w="0" w:type="auto"/>
          </w:tcPr>
          <w:p w14:paraId="009DAB1F" w14:textId="77777777" w:rsidR="00271850" w:rsidRPr="00C24F78" w:rsidRDefault="00271850" w:rsidP="00F61E90">
            <w:pPr>
              <w:spacing w:after="0" w:line="240" w:lineRule="auto"/>
              <w:jc w:val="right"/>
              <w:rPr>
                <w:rFonts w:eastAsia="Times New Roman" w:cstheme="minorHAnsi"/>
                <w:sz w:val="18"/>
                <w:szCs w:val="18"/>
                <w:lang w:eastAsia="en-GB"/>
              </w:rPr>
            </w:pPr>
            <w:r w:rsidRPr="00C24F78">
              <w:rPr>
                <w:rFonts w:eastAsia="Times New Roman" w:cstheme="minorHAnsi"/>
                <w:sz w:val="18"/>
                <w:szCs w:val="18"/>
                <w:lang w:eastAsia="en-GB"/>
              </w:rPr>
              <w:t>-</w:t>
            </w:r>
          </w:p>
        </w:tc>
        <w:tc>
          <w:tcPr>
            <w:tcW w:w="0" w:type="auto"/>
          </w:tcPr>
          <w:p w14:paraId="3BBA8753" w14:textId="77777777" w:rsidR="00271850" w:rsidRPr="00C24F78" w:rsidRDefault="00271850" w:rsidP="00F61E90">
            <w:pPr>
              <w:spacing w:after="0" w:line="240" w:lineRule="auto"/>
              <w:jc w:val="right"/>
              <w:rPr>
                <w:rFonts w:eastAsia="Times New Roman" w:cstheme="minorHAnsi"/>
                <w:sz w:val="18"/>
                <w:szCs w:val="18"/>
                <w:lang w:eastAsia="en-GB"/>
              </w:rPr>
            </w:pPr>
          </w:p>
        </w:tc>
      </w:tr>
      <w:tr w:rsidR="005520DD" w:rsidRPr="00C24F78" w14:paraId="63CBB97E" w14:textId="77777777" w:rsidTr="00F61E90">
        <w:trPr>
          <w:tblCellSpacing w:w="15" w:type="dxa"/>
        </w:trPr>
        <w:tc>
          <w:tcPr>
            <w:tcW w:w="0" w:type="auto"/>
            <w:vAlign w:val="center"/>
            <w:hideMark/>
          </w:tcPr>
          <w:p w14:paraId="05DC2DFF" w14:textId="77777777" w:rsidR="00271850" w:rsidRPr="00C24F78" w:rsidRDefault="00271850" w:rsidP="00F61E90">
            <w:pPr>
              <w:spacing w:after="0" w:line="240" w:lineRule="auto"/>
              <w:rPr>
                <w:rFonts w:eastAsia="Times New Roman" w:cstheme="minorHAnsi"/>
                <w:sz w:val="18"/>
                <w:szCs w:val="18"/>
                <w:lang w:eastAsia="en-GB"/>
              </w:rPr>
            </w:pPr>
          </w:p>
        </w:tc>
        <w:tc>
          <w:tcPr>
            <w:tcW w:w="0" w:type="auto"/>
            <w:vAlign w:val="center"/>
            <w:hideMark/>
          </w:tcPr>
          <w:p w14:paraId="6ADD30D4" w14:textId="77777777" w:rsidR="00271850" w:rsidRPr="00C24F78" w:rsidRDefault="00271850" w:rsidP="00F61E90">
            <w:pPr>
              <w:spacing w:after="0" w:line="240" w:lineRule="auto"/>
              <w:rPr>
                <w:rFonts w:eastAsia="Times New Roman" w:cstheme="minorHAnsi"/>
                <w:sz w:val="18"/>
                <w:szCs w:val="18"/>
                <w:lang w:eastAsia="en-GB"/>
              </w:rPr>
            </w:pPr>
            <w:r w:rsidRPr="00C24F78">
              <w:rPr>
                <w:rFonts w:eastAsia="Times New Roman" w:cstheme="minorHAnsi"/>
                <w:sz w:val="18"/>
                <w:szCs w:val="18"/>
                <w:lang w:eastAsia="en-GB"/>
              </w:rPr>
              <w:t xml:space="preserve">West Midlands </w:t>
            </w:r>
          </w:p>
        </w:tc>
        <w:tc>
          <w:tcPr>
            <w:tcW w:w="0" w:type="auto"/>
          </w:tcPr>
          <w:p w14:paraId="42A720C3" w14:textId="11747506" w:rsidR="00271850" w:rsidRPr="00C24F78" w:rsidRDefault="00271850" w:rsidP="00F61E90">
            <w:pPr>
              <w:spacing w:after="0" w:line="240" w:lineRule="auto"/>
              <w:jc w:val="right"/>
              <w:rPr>
                <w:rFonts w:eastAsia="Times New Roman" w:cstheme="minorHAnsi"/>
                <w:sz w:val="18"/>
                <w:szCs w:val="18"/>
                <w:lang w:eastAsia="en-GB"/>
              </w:rPr>
            </w:pPr>
            <w:r w:rsidRPr="00C24F78">
              <w:rPr>
                <w:sz w:val="18"/>
                <w:szCs w:val="18"/>
              </w:rPr>
              <w:t>1</w:t>
            </w:r>
            <w:r>
              <w:rPr>
                <w:sz w:val="18"/>
                <w:szCs w:val="18"/>
              </w:rPr>
              <w:t>.</w:t>
            </w:r>
            <w:r w:rsidRPr="00C24F78">
              <w:rPr>
                <w:sz w:val="18"/>
                <w:szCs w:val="18"/>
              </w:rPr>
              <w:t>1</w:t>
            </w:r>
            <w:r w:rsidR="009A1B1D">
              <w:rPr>
                <w:sz w:val="18"/>
                <w:szCs w:val="18"/>
              </w:rPr>
              <w:t>8</w:t>
            </w:r>
          </w:p>
        </w:tc>
        <w:tc>
          <w:tcPr>
            <w:tcW w:w="0" w:type="auto"/>
          </w:tcPr>
          <w:p w14:paraId="20A0BA79" w14:textId="6EF6612E" w:rsidR="00271850" w:rsidRPr="00C24F78" w:rsidRDefault="00271850" w:rsidP="00F61E90">
            <w:pPr>
              <w:spacing w:after="0" w:line="240" w:lineRule="auto"/>
              <w:jc w:val="right"/>
              <w:rPr>
                <w:rFonts w:eastAsia="Times New Roman" w:cstheme="minorHAnsi"/>
                <w:sz w:val="18"/>
                <w:szCs w:val="18"/>
                <w:lang w:eastAsia="en-GB"/>
              </w:rPr>
            </w:pPr>
            <w:r w:rsidRPr="00C24F78">
              <w:rPr>
                <w:sz w:val="18"/>
                <w:szCs w:val="18"/>
              </w:rPr>
              <w:t>0</w:t>
            </w:r>
            <w:r>
              <w:rPr>
                <w:sz w:val="18"/>
                <w:szCs w:val="18"/>
              </w:rPr>
              <w:t>.</w:t>
            </w:r>
            <w:r w:rsidRPr="00C24F78">
              <w:rPr>
                <w:sz w:val="18"/>
                <w:szCs w:val="18"/>
              </w:rPr>
              <w:t>8</w:t>
            </w:r>
            <w:r w:rsidR="009A1B1D">
              <w:rPr>
                <w:sz w:val="18"/>
                <w:szCs w:val="18"/>
              </w:rPr>
              <w:t>6</w:t>
            </w:r>
            <w:r w:rsidRPr="00C24F78">
              <w:rPr>
                <w:sz w:val="18"/>
                <w:szCs w:val="18"/>
              </w:rPr>
              <w:t>-1</w:t>
            </w:r>
            <w:r>
              <w:rPr>
                <w:sz w:val="18"/>
                <w:szCs w:val="18"/>
              </w:rPr>
              <w:t>.</w:t>
            </w:r>
            <w:r w:rsidR="003E421C">
              <w:rPr>
                <w:sz w:val="18"/>
                <w:szCs w:val="18"/>
              </w:rPr>
              <w:t>62</w:t>
            </w:r>
          </w:p>
        </w:tc>
        <w:tc>
          <w:tcPr>
            <w:tcW w:w="0" w:type="auto"/>
          </w:tcPr>
          <w:p w14:paraId="511E816F" w14:textId="77777777" w:rsidR="00271850" w:rsidRPr="00C24F78" w:rsidRDefault="00271850" w:rsidP="00F61E90">
            <w:pPr>
              <w:spacing w:after="0" w:line="240" w:lineRule="auto"/>
              <w:jc w:val="right"/>
              <w:rPr>
                <w:rFonts w:eastAsia="Times New Roman" w:cstheme="minorHAnsi"/>
                <w:sz w:val="18"/>
                <w:szCs w:val="18"/>
                <w:lang w:eastAsia="en-GB"/>
              </w:rPr>
            </w:pPr>
          </w:p>
        </w:tc>
        <w:tc>
          <w:tcPr>
            <w:tcW w:w="0" w:type="auto"/>
          </w:tcPr>
          <w:p w14:paraId="1A58521F" w14:textId="7CFB25A8" w:rsidR="00271850" w:rsidRPr="00C24F78" w:rsidRDefault="00271850" w:rsidP="00F61E90">
            <w:pPr>
              <w:spacing w:after="0" w:line="240" w:lineRule="auto"/>
              <w:jc w:val="right"/>
              <w:rPr>
                <w:rFonts w:eastAsia="Times New Roman" w:cstheme="minorHAnsi"/>
                <w:sz w:val="18"/>
                <w:szCs w:val="18"/>
                <w:lang w:eastAsia="en-GB"/>
              </w:rPr>
            </w:pPr>
            <w:r w:rsidRPr="00C24F78">
              <w:rPr>
                <w:sz w:val="18"/>
                <w:szCs w:val="18"/>
              </w:rPr>
              <w:t>1</w:t>
            </w:r>
            <w:r>
              <w:rPr>
                <w:sz w:val="18"/>
                <w:szCs w:val="18"/>
              </w:rPr>
              <w:t>.</w:t>
            </w:r>
            <w:r w:rsidR="003E421C">
              <w:rPr>
                <w:sz w:val="18"/>
                <w:szCs w:val="18"/>
              </w:rPr>
              <w:t>10</w:t>
            </w:r>
          </w:p>
        </w:tc>
        <w:tc>
          <w:tcPr>
            <w:tcW w:w="0" w:type="auto"/>
          </w:tcPr>
          <w:p w14:paraId="49533E16" w14:textId="48657E14" w:rsidR="00271850" w:rsidRPr="00C24F78" w:rsidRDefault="00271850" w:rsidP="00F61E90">
            <w:pPr>
              <w:spacing w:after="0" w:line="240" w:lineRule="auto"/>
              <w:jc w:val="right"/>
              <w:rPr>
                <w:rFonts w:eastAsia="Times New Roman" w:cstheme="minorHAnsi"/>
                <w:sz w:val="18"/>
                <w:szCs w:val="18"/>
                <w:lang w:eastAsia="en-GB"/>
              </w:rPr>
            </w:pPr>
            <w:r w:rsidRPr="00C24F78">
              <w:rPr>
                <w:sz w:val="18"/>
                <w:szCs w:val="18"/>
              </w:rPr>
              <w:t>0</w:t>
            </w:r>
            <w:r>
              <w:rPr>
                <w:sz w:val="18"/>
                <w:szCs w:val="18"/>
              </w:rPr>
              <w:t>.</w:t>
            </w:r>
            <w:r w:rsidR="003E421C">
              <w:rPr>
                <w:sz w:val="18"/>
                <w:szCs w:val="18"/>
              </w:rPr>
              <w:t>80</w:t>
            </w:r>
            <w:r w:rsidRPr="00C24F78">
              <w:rPr>
                <w:sz w:val="18"/>
                <w:szCs w:val="18"/>
              </w:rPr>
              <w:t>-1</w:t>
            </w:r>
            <w:r>
              <w:rPr>
                <w:sz w:val="18"/>
                <w:szCs w:val="18"/>
              </w:rPr>
              <w:t>.</w:t>
            </w:r>
            <w:r w:rsidR="003E421C">
              <w:rPr>
                <w:sz w:val="18"/>
                <w:szCs w:val="18"/>
              </w:rPr>
              <w:t>51</w:t>
            </w:r>
          </w:p>
        </w:tc>
        <w:tc>
          <w:tcPr>
            <w:tcW w:w="0" w:type="auto"/>
            <w:vAlign w:val="center"/>
          </w:tcPr>
          <w:p w14:paraId="1981AF21" w14:textId="77777777" w:rsidR="00271850" w:rsidRPr="00C24F78" w:rsidRDefault="00271850" w:rsidP="00F61E90">
            <w:pPr>
              <w:spacing w:after="0" w:line="240" w:lineRule="auto"/>
              <w:jc w:val="right"/>
              <w:rPr>
                <w:rFonts w:eastAsia="Times New Roman" w:cstheme="minorHAnsi"/>
                <w:sz w:val="18"/>
                <w:szCs w:val="18"/>
                <w:lang w:eastAsia="en-GB"/>
              </w:rPr>
            </w:pPr>
          </w:p>
        </w:tc>
        <w:tc>
          <w:tcPr>
            <w:tcW w:w="0" w:type="auto"/>
          </w:tcPr>
          <w:p w14:paraId="1F28565D" w14:textId="77777777" w:rsidR="00271850" w:rsidRPr="00C24F78" w:rsidRDefault="00271850" w:rsidP="00F61E90">
            <w:pPr>
              <w:spacing w:after="0" w:line="240" w:lineRule="auto"/>
              <w:jc w:val="right"/>
              <w:rPr>
                <w:rFonts w:eastAsia="Times New Roman" w:cstheme="minorHAnsi"/>
                <w:sz w:val="18"/>
                <w:szCs w:val="18"/>
                <w:lang w:eastAsia="en-GB"/>
              </w:rPr>
            </w:pPr>
          </w:p>
        </w:tc>
        <w:tc>
          <w:tcPr>
            <w:tcW w:w="0" w:type="auto"/>
          </w:tcPr>
          <w:p w14:paraId="6985EB4D" w14:textId="78A2A911" w:rsidR="00271850" w:rsidRPr="00C24F78" w:rsidRDefault="00271850" w:rsidP="00F61E90">
            <w:pPr>
              <w:spacing w:after="0" w:line="240" w:lineRule="auto"/>
              <w:jc w:val="right"/>
              <w:rPr>
                <w:rFonts w:eastAsia="Times New Roman" w:cstheme="minorHAnsi"/>
                <w:sz w:val="18"/>
                <w:szCs w:val="18"/>
                <w:lang w:eastAsia="en-GB"/>
              </w:rPr>
            </w:pPr>
            <w:r w:rsidRPr="00C24F78">
              <w:rPr>
                <w:sz w:val="18"/>
                <w:szCs w:val="18"/>
              </w:rPr>
              <w:t>0</w:t>
            </w:r>
            <w:r>
              <w:rPr>
                <w:sz w:val="18"/>
                <w:szCs w:val="18"/>
              </w:rPr>
              <w:t>.</w:t>
            </w:r>
            <w:r w:rsidRPr="00C24F78">
              <w:rPr>
                <w:sz w:val="18"/>
                <w:szCs w:val="18"/>
              </w:rPr>
              <w:t>6</w:t>
            </w:r>
            <w:r w:rsidR="005520DD">
              <w:rPr>
                <w:sz w:val="18"/>
                <w:szCs w:val="18"/>
              </w:rPr>
              <w:t>6</w:t>
            </w:r>
          </w:p>
        </w:tc>
        <w:tc>
          <w:tcPr>
            <w:tcW w:w="0" w:type="auto"/>
          </w:tcPr>
          <w:p w14:paraId="51A0C7AE" w14:textId="5B90F9F7" w:rsidR="00271850" w:rsidRPr="00C24F78" w:rsidRDefault="00271850" w:rsidP="00F61E90">
            <w:pPr>
              <w:spacing w:after="0" w:line="240" w:lineRule="auto"/>
              <w:jc w:val="right"/>
              <w:rPr>
                <w:rFonts w:eastAsia="Times New Roman" w:cstheme="minorHAnsi"/>
                <w:sz w:val="18"/>
                <w:szCs w:val="18"/>
                <w:lang w:eastAsia="en-GB"/>
              </w:rPr>
            </w:pPr>
            <w:r w:rsidRPr="00C24F78">
              <w:rPr>
                <w:sz w:val="18"/>
                <w:szCs w:val="18"/>
              </w:rPr>
              <w:t>0</w:t>
            </w:r>
            <w:r>
              <w:rPr>
                <w:sz w:val="18"/>
                <w:szCs w:val="18"/>
              </w:rPr>
              <w:t>.</w:t>
            </w:r>
            <w:r w:rsidRPr="00C24F78">
              <w:rPr>
                <w:sz w:val="18"/>
                <w:szCs w:val="18"/>
              </w:rPr>
              <w:t>4</w:t>
            </w:r>
            <w:r w:rsidR="005520DD">
              <w:rPr>
                <w:sz w:val="18"/>
                <w:szCs w:val="18"/>
              </w:rPr>
              <w:t>5</w:t>
            </w:r>
            <w:r w:rsidRPr="00C24F78">
              <w:rPr>
                <w:sz w:val="18"/>
                <w:szCs w:val="18"/>
              </w:rPr>
              <w:t>-</w:t>
            </w:r>
            <w:r w:rsidR="005520DD">
              <w:rPr>
                <w:sz w:val="18"/>
                <w:szCs w:val="18"/>
              </w:rPr>
              <w:t>0</w:t>
            </w:r>
            <w:r>
              <w:rPr>
                <w:sz w:val="18"/>
                <w:szCs w:val="18"/>
              </w:rPr>
              <w:t>.</w:t>
            </w:r>
            <w:r w:rsidRPr="00C24F78">
              <w:rPr>
                <w:sz w:val="18"/>
                <w:szCs w:val="18"/>
              </w:rPr>
              <w:t>9</w:t>
            </w:r>
            <w:r w:rsidR="005520DD">
              <w:rPr>
                <w:sz w:val="18"/>
                <w:szCs w:val="18"/>
              </w:rPr>
              <w:t>7</w:t>
            </w:r>
          </w:p>
        </w:tc>
        <w:tc>
          <w:tcPr>
            <w:tcW w:w="0" w:type="auto"/>
          </w:tcPr>
          <w:p w14:paraId="20194ED5" w14:textId="77777777" w:rsidR="00271850" w:rsidRPr="00C24F78" w:rsidRDefault="00271850" w:rsidP="00F61E90">
            <w:pPr>
              <w:spacing w:after="0" w:line="240" w:lineRule="auto"/>
              <w:jc w:val="right"/>
              <w:rPr>
                <w:rFonts w:eastAsia="Times New Roman" w:cstheme="minorHAnsi"/>
                <w:sz w:val="18"/>
                <w:szCs w:val="18"/>
                <w:lang w:eastAsia="en-GB"/>
              </w:rPr>
            </w:pPr>
            <w:r w:rsidRPr="00C24F78">
              <w:rPr>
                <w:rFonts w:eastAsia="Times New Roman" w:cstheme="minorHAnsi"/>
                <w:sz w:val="18"/>
                <w:szCs w:val="18"/>
                <w:lang w:eastAsia="en-GB"/>
              </w:rPr>
              <w:t>-</w:t>
            </w:r>
          </w:p>
        </w:tc>
        <w:tc>
          <w:tcPr>
            <w:tcW w:w="0" w:type="auto"/>
          </w:tcPr>
          <w:p w14:paraId="05F1F515" w14:textId="77777777" w:rsidR="00271850" w:rsidRPr="00C24F78" w:rsidRDefault="00271850" w:rsidP="00F61E90">
            <w:pPr>
              <w:spacing w:after="0" w:line="240" w:lineRule="auto"/>
              <w:jc w:val="right"/>
              <w:rPr>
                <w:rFonts w:eastAsia="Times New Roman" w:cstheme="minorHAnsi"/>
                <w:sz w:val="18"/>
                <w:szCs w:val="18"/>
                <w:lang w:eastAsia="en-GB"/>
              </w:rPr>
            </w:pPr>
            <w:r w:rsidRPr="00C24F78">
              <w:rPr>
                <w:rFonts w:eastAsia="Times New Roman" w:cstheme="minorHAnsi"/>
                <w:sz w:val="18"/>
                <w:szCs w:val="18"/>
                <w:lang w:eastAsia="en-GB"/>
              </w:rPr>
              <w:t>-</w:t>
            </w:r>
          </w:p>
        </w:tc>
        <w:tc>
          <w:tcPr>
            <w:tcW w:w="0" w:type="auto"/>
          </w:tcPr>
          <w:p w14:paraId="2E53E6D8" w14:textId="77777777" w:rsidR="00271850" w:rsidRPr="00C24F78" w:rsidRDefault="00271850" w:rsidP="00F61E90">
            <w:pPr>
              <w:spacing w:after="0" w:line="240" w:lineRule="auto"/>
              <w:jc w:val="right"/>
              <w:rPr>
                <w:rFonts w:eastAsia="Times New Roman" w:cstheme="minorHAnsi"/>
                <w:sz w:val="18"/>
                <w:szCs w:val="18"/>
                <w:lang w:eastAsia="en-GB"/>
              </w:rPr>
            </w:pPr>
          </w:p>
        </w:tc>
      </w:tr>
      <w:tr w:rsidR="005520DD" w:rsidRPr="00C24F78" w14:paraId="4BBF066A" w14:textId="77777777" w:rsidTr="00F61E90">
        <w:trPr>
          <w:tblCellSpacing w:w="15" w:type="dxa"/>
        </w:trPr>
        <w:tc>
          <w:tcPr>
            <w:tcW w:w="0" w:type="auto"/>
            <w:vAlign w:val="center"/>
            <w:hideMark/>
          </w:tcPr>
          <w:p w14:paraId="19980C7D" w14:textId="77777777" w:rsidR="00271850" w:rsidRPr="00C24F78" w:rsidRDefault="00271850" w:rsidP="00F61E90">
            <w:pPr>
              <w:spacing w:after="0" w:line="240" w:lineRule="auto"/>
              <w:rPr>
                <w:rFonts w:eastAsia="Times New Roman" w:cstheme="minorHAnsi"/>
                <w:sz w:val="18"/>
                <w:szCs w:val="18"/>
                <w:lang w:eastAsia="en-GB"/>
              </w:rPr>
            </w:pPr>
          </w:p>
        </w:tc>
        <w:tc>
          <w:tcPr>
            <w:tcW w:w="0" w:type="auto"/>
            <w:vAlign w:val="center"/>
            <w:hideMark/>
          </w:tcPr>
          <w:p w14:paraId="7923D898" w14:textId="77777777" w:rsidR="00271850" w:rsidRPr="00C24F78" w:rsidRDefault="00271850" w:rsidP="00F61E90">
            <w:pPr>
              <w:spacing w:after="0" w:line="240" w:lineRule="auto"/>
              <w:rPr>
                <w:rFonts w:eastAsia="Times New Roman" w:cstheme="minorHAnsi"/>
                <w:sz w:val="18"/>
                <w:szCs w:val="18"/>
                <w:lang w:eastAsia="en-GB"/>
              </w:rPr>
            </w:pPr>
            <w:r w:rsidRPr="00C24F78">
              <w:rPr>
                <w:rFonts w:eastAsia="Times New Roman" w:cstheme="minorHAnsi"/>
                <w:sz w:val="18"/>
                <w:szCs w:val="18"/>
                <w:lang w:eastAsia="en-GB"/>
              </w:rPr>
              <w:t xml:space="preserve">East of England </w:t>
            </w:r>
          </w:p>
        </w:tc>
        <w:tc>
          <w:tcPr>
            <w:tcW w:w="0" w:type="auto"/>
          </w:tcPr>
          <w:p w14:paraId="6F394078" w14:textId="63D25EB5" w:rsidR="00271850" w:rsidRPr="00C24F78" w:rsidRDefault="00271850" w:rsidP="00F61E90">
            <w:pPr>
              <w:spacing w:after="0" w:line="240" w:lineRule="auto"/>
              <w:jc w:val="right"/>
              <w:rPr>
                <w:rFonts w:eastAsia="Times New Roman" w:cstheme="minorHAnsi"/>
                <w:sz w:val="18"/>
                <w:szCs w:val="18"/>
                <w:lang w:eastAsia="en-GB"/>
              </w:rPr>
            </w:pPr>
            <w:r w:rsidRPr="00C24F78">
              <w:rPr>
                <w:sz w:val="18"/>
                <w:szCs w:val="18"/>
              </w:rPr>
              <w:t>1</w:t>
            </w:r>
            <w:r>
              <w:rPr>
                <w:sz w:val="18"/>
                <w:szCs w:val="18"/>
              </w:rPr>
              <w:t>.</w:t>
            </w:r>
            <w:r w:rsidRPr="00C24F78">
              <w:rPr>
                <w:sz w:val="18"/>
                <w:szCs w:val="18"/>
              </w:rPr>
              <w:t>2</w:t>
            </w:r>
            <w:r w:rsidR="009A1B1D">
              <w:rPr>
                <w:sz w:val="18"/>
                <w:szCs w:val="18"/>
              </w:rPr>
              <w:t>3</w:t>
            </w:r>
          </w:p>
        </w:tc>
        <w:tc>
          <w:tcPr>
            <w:tcW w:w="0" w:type="auto"/>
          </w:tcPr>
          <w:p w14:paraId="026B222D" w14:textId="3A6A2DCB" w:rsidR="00271850" w:rsidRPr="00C24F78" w:rsidRDefault="00271850" w:rsidP="00F61E90">
            <w:pPr>
              <w:spacing w:after="0" w:line="240" w:lineRule="auto"/>
              <w:jc w:val="right"/>
              <w:rPr>
                <w:rFonts w:eastAsia="Times New Roman" w:cstheme="minorHAnsi"/>
                <w:sz w:val="18"/>
                <w:szCs w:val="18"/>
                <w:lang w:eastAsia="en-GB"/>
              </w:rPr>
            </w:pPr>
            <w:r w:rsidRPr="00C24F78">
              <w:rPr>
                <w:sz w:val="18"/>
                <w:szCs w:val="18"/>
              </w:rPr>
              <w:t>0</w:t>
            </w:r>
            <w:r>
              <w:rPr>
                <w:sz w:val="18"/>
                <w:szCs w:val="18"/>
              </w:rPr>
              <w:t>.</w:t>
            </w:r>
            <w:r w:rsidRPr="00C24F78">
              <w:rPr>
                <w:sz w:val="18"/>
                <w:szCs w:val="18"/>
              </w:rPr>
              <w:t>8</w:t>
            </w:r>
            <w:r w:rsidR="009A1B1D">
              <w:rPr>
                <w:sz w:val="18"/>
                <w:szCs w:val="18"/>
              </w:rPr>
              <w:t>5</w:t>
            </w:r>
            <w:r w:rsidRPr="00C24F78">
              <w:rPr>
                <w:sz w:val="18"/>
                <w:szCs w:val="18"/>
              </w:rPr>
              <w:t>-1</w:t>
            </w:r>
            <w:r>
              <w:rPr>
                <w:sz w:val="18"/>
                <w:szCs w:val="18"/>
              </w:rPr>
              <w:t>.</w:t>
            </w:r>
            <w:r w:rsidRPr="00C24F78">
              <w:rPr>
                <w:sz w:val="18"/>
                <w:szCs w:val="18"/>
              </w:rPr>
              <w:t>7</w:t>
            </w:r>
            <w:r w:rsidR="003E421C">
              <w:rPr>
                <w:sz w:val="18"/>
                <w:szCs w:val="18"/>
              </w:rPr>
              <w:t>8</w:t>
            </w:r>
          </w:p>
        </w:tc>
        <w:tc>
          <w:tcPr>
            <w:tcW w:w="0" w:type="auto"/>
          </w:tcPr>
          <w:p w14:paraId="630ABF15" w14:textId="77777777" w:rsidR="00271850" w:rsidRPr="00C24F78" w:rsidRDefault="00271850" w:rsidP="00F61E90">
            <w:pPr>
              <w:spacing w:after="0" w:line="240" w:lineRule="auto"/>
              <w:jc w:val="right"/>
              <w:rPr>
                <w:rFonts w:eastAsia="Times New Roman" w:cstheme="minorHAnsi"/>
                <w:sz w:val="18"/>
                <w:szCs w:val="18"/>
                <w:lang w:eastAsia="en-GB"/>
              </w:rPr>
            </w:pPr>
          </w:p>
        </w:tc>
        <w:tc>
          <w:tcPr>
            <w:tcW w:w="0" w:type="auto"/>
          </w:tcPr>
          <w:p w14:paraId="2E518550" w14:textId="3B4ABFAC" w:rsidR="00271850" w:rsidRPr="00C24F78" w:rsidRDefault="003E421C" w:rsidP="00F61E90">
            <w:pPr>
              <w:spacing w:after="0" w:line="240" w:lineRule="auto"/>
              <w:jc w:val="right"/>
              <w:rPr>
                <w:rFonts w:eastAsia="Times New Roman" w:cstheme="minorHAnsi"/>
                <w:sz w:val="18"/>
                <w:szCs w:val="18"/>
                <w:lang w:eastAsia="en-GB"/>
              </w:rPr>
            </w:pPr>
            <w:r>
              <w:rPr>
                <w:sz w:val="18"/>
                <w:szCs w:val="18"/>
              </w:rPr>
              <w:t>1</w:t>
            </w:r>
            <w:r w:rsidR="00271850">
              <w:rPr>
                <w:sz w:val="18"/>
                <w:szCs w:val="18"/>
              </w:rPr>
              <w:t>.</w:t>
            </w:r>
            <w:r>
              <w:rPr>
                <w:sz w:val="18"/>
                <w:szCs w:val="18"/>
              </w:rPr>
              <w:t>01</w:t>
            </w:r>
          </w:p>
        </w:tc>
        <w:tc>
          <w:tcPr>
            <w:tcW w:w="0" w:type="auto"/>
          </w:tcPr>
          <w:p w14:paraId="08742223" w14:textId="6F6F5186" w:rsidR="00271850" w:rsidRPr="00C24F78" w:rsidRDefault="00271850" w:rsidP="00F61E90">
            <w:pPr>
              <w:spacing w:after="0" w:line="240" w:lineRule="auto"/>
              <w:jc w:val="right"/>
              <w:rPr>
                <w:rFonts w:eastAsia="Times New Roman" w:cstheme="minorHAnsi"/>
                <w:sz w:val="18"/>
                <w:szCs w:val="18"/>
                <w:lang w:eastAsia="en-GB"/>
              </w:rPr>
            </w:pPr>
            <w:r w:rsidRPr="00C24F78">
              <w:rPr>
                <w:sz w:val="18"/>
                <w:szCs w:val="18"/>
              </w:rPr>
              <w:t>0</w:t>
            </w:r>
            <w:r>
              <w:rPr>
                <w:sz w:val="18"/>
                <w:szCs w:val="18"/>
              </w:rPr>
              <w:t>.</w:t>
            </w:r>
            <w:r w:rsidR="003E421C">
              <w:rPr>
                <w:sz w:val="18"/>
                <w:szCs w:val="18"/>
              </w:rPr>
              <w:t>70</w:t>
            </w:r>
            <w:r w:rsidRPr="00C24F78">
              <w:rPr>
                <w:sz w:val="18"/>
                <w:szCs w:val="18"/>
              </w:rPr>
              <w:t>-1</w:t>
            </w:r>
            <w:r>
              <w:rPr>
                <w:sz w:val="18"/>
                <w:szCs w:val="18"/>
              </w:rPr>
              <w:t>.</w:t>
            </w:r>
            <w:r w:rsidRPr="00C24F78">
              <w:rPr>
                <w:sz w:val="18"/>
                <w:szCs w:val="18"/>
              </w:rPr>
              <w:t>4</w:t>
            </w:r>
            <w:r w:rsidR="003E421C">
              <w:rPr>
                <w:sz w:val="18"/>
                <w:szCs w:val="18"/>
              </w:rPr>
              <w:t>5</w:t>
            </w:r>
          </w:p>
        </w:tc>
        <w:tc>
          <w:tcPr>
            <w:tcW w:w="0" w:type="auto"/>
            <w:vAlign w:val="center"/>
          </w:tcPr>
          <w:p w14:paraId="6A4E448C" w14:textId="77777777" w:rsidR="00271850" w:rsidRPr="00C24F78" w:rsidRDefault="00271850" w:rsidP="00F61E90">
            <w:pPr>
              <w:spacing w:after="0" w:line="240" w:lineRule="auto"/>
              <w:jc w:val="right"/>
              <w:rPr>
                <w:rFonts w:eastAsia="Times New Roman" w:cstheme="minorHAnsi"/>
                <w:sz w:val="18"/>
                <w:szCs w:val="18"/>
                <w:lang w:eastAsia="en-GB"/>
              </w:rPr>
            </w:pPr>
          </w:p>
        </w:tc>
        <w:tc>
          <w:tcPr>
            <w:tcW w:w="0" w:type="auto"/>
          </w:tcPr>
          <w:p w14:paraId="57A892AA" w14:textId="77777777" w:rsidR="00271850" w:rsidRPr="00C24F78" w:rsidRDefault="00271850" w:rsidP="00F61E90">
            <w:pPr>
              <w:spacing w:after="0" w:line="240" w:lineRule="auto"/>
              <w:jc w:val="right"/>
              <w:rPr>
                <w:rFonts w:eastAsia="Times New Roman" w:cstheme="minorHAnsi"/>
                <w:sz w:val="18"/>
                <w:szCs w:val="18"/>
                <w:lang w:eastAsia="en-GB"/>
              </w:rPr>
            </w:pPr>
          </w:p>
        </w:tc>
        <w:tc>
          <w:tcPr>
            <w:tcW w:w="0" w:type="auto"/>
          </w:tcPr>
          <w:p w14:paraId="790F5B7F" w14:textId="1C976EED" w:rsidR="00271850" w:rsidRPr="00C24F78" w:rsidRDefault="00271850" w:rsidP="00F61E90">
            <w:pPr>
              <w:spacing w:after="0" w:line="240" w:lineRule="auto"/>
              <w:jc w:val="right"/>
              <w:rPr>
                <w:rFonts w:eastAsia="Times New Roman" w:cstheme="minorHAnsi"/>
                <w:sz w:val="18"/>
                <w:szCs w:val="18"/>
                <w:lang w:eastAsia="en-GB"/>
              </w:rPr>
            </w:pPr>
            <w:r w:rsidRPr="00C24F78">
              <w:rPr>
                <w:sz w:val="18"/>
                <w:szCs w:val="18"/>
              </w:rPr>
              <w:t>1</w:t>
            </w:r>
            <w:r>
              <w:rPr>
                <w:sz w:val="18"/>
                <w:szCs w:val="18"/>
              </w:rPr>
              <w:t>.</w:t>
            </w:r>
            <w:r w:rsidRPr="00C24F78">
              <w:rPr>
                <w:sz w:val="18"/>
                <w:szCs w:val="18"/>
              </w:rPr>
              <w:t>0</w:t>
            </w:r>
            <w:r w:rsidR="005520DD">
              <w:rPr>
                <w:sz w:val="18"/>
                <w:szCs w:val="18"/>
              </w:rPr>
              <w:t>8</w:t>
            </w:r>
          </w:p>
        </w:tc>
        <w:tc>
          <w:tcPr>
            <w:tcW w:w="0" w:type="auto"/>
          </w:tcPr>
          <w:p w14:paraId="5D360BE0" w14:textId="79BA7AB8" w:rsidR="00271850" w:rsidRPr="00C24F78" w:rsidRDefault="00271850" w:rsidP="00F61E90">
            <w:pPr>
              <w:spacing w:after="0" w:line="240" w:lineRule="auto"/>
              <w:jc w:val="right"/>
              <w:rPr>
                <w:rFonts w:eastAsia="Times New Roman" w:cstheme="minorHAnsi"/>
                <w:sz w:val="18"/>
                <w:szCs w:val="18"/>
                <w:lang w:eastAsia="en-GB"/>
              </w:rPr>
            </w:pPr>
            <w:r w:rsidRPr="00C24F78">
              <w:rPr>
                <w:sz w:val="18"/>
                <w:szCs w:val="18"/>
              </w:rPr>
              <w:t>0</w:t>
            </w:r>
            <w:r>
              <w:rPr>
                <w:sz w:val="18"/>
                <w:szCs w:val="18"/>
              </w:rPr>
              <w:t>.</w:t>
            </w:r>
            <w:r w:rsidR="005520DD">
              <w:rPr>
                <w:sz w:val="18"/>
                <w:szCs w:val="18"/>
              </w:rPr>
              <w:t>70</w:t>
            </w:r>
            <w:r w:rsidRPr="00C24F78">
              <w:rPr>
                <w:sz w:val="18"/>
                <w:szCs w:val="18"/>
              </w:rPr>
              <w:t>-1</w:t>
            </w:r>
            <w:r>
              <w:rPr>
                <w:sz w:val="18"/>
                <w:szCs w:val="18"/>
              </w:rPr>
              <w:t>.</w:t>
            </w:r>
            <w:r w:rsidRPr="00C24F78">
              <w:rPr>
                <w:sz w:val="18"/>
                <w:szCs w:val="18"/>
              </w:rPr>
              <w:t>6</w:t>
            </w:r>
            <w:r w:rsidR="005520DD">
              <w:rPr>
                <w:sz w:val="18"/>
                <w:szCs w:val="18"/>
              </w:rPr>
              <w:t>6</w:t>
            </w:r>
          </w:p>
        </w:tc>
        <w:tc>
          <w:tcPr>
            <w:tcW w:w="0" w:type="auto"/>
          </w:tcPr>
          <w:p w14:paraId="7D726A36" w14:textId="77777777" w:rsidR="00271850" w:rsidRPr="00C24F78" w:rsidRDefault="00271850" w:rsidP="00F61E90">
            <w:pPr>
              <w:spacing w:after="0" w:line="240" w:lineRule="auto"/>
              <w:jc w:val="right"/>
              <w:rPr>
                <w:rFonts w:eastAsia="Times New Roman" w:cstheme="minorHAnsi"/>
                <w:sz w:val="18"/>
                <w:szCs w:val="18"/>
                <w:lang w:eastAsia="en-GB"/>
              </w:rPr>
            </w:pPr>
            <w:r w:rsidRPr="00C24F78">
              <w:rPr>
                <w:rFonts w:eastAsia="Times New Roman" w:cstheme="minorHAnsi"/>
                <w:sz w:val="18"/>
                <w:szCs w:val="18"/>
                <w:lang w:eastAsia="en-GB"/>
              </w:rPr>
              <w:t>-</w:t>
            </w:r>
          </w:p>
        </w:tc>
        <w:tc>
          <w:tcPr>
            <w:tcW w:w="0" w:type="auto"/>
          </w:tcPr>
          <w:p w14:paraId="296191A7" w14:textId="77777777" w:rsidR="00271850" w:rsidRPr="00C24F78" w:rsidRDefault="00271850" w:rsidP="00F61E90">
            <w:pPr>
              <w:spacing w:after="0" w:line="240" w:lineRule="auto"/>
              <w:jc w:val="right"/>
              <w:rPr>
                <w:rFonts w:eastAsia="Times New Roman" w:cstheme="minorHAnsi"/>
                <w:sz w:val="18"/>
                <w:szCs w:val="18"/>
                <w:lang w:eastAsia="en-GB"/>
              </w:rPr>
            </w:pPr>
            <w:r w:rsidRPr="00C24F78">
              <w:rPr>
                <w:rFonts w:eastAsia="Times New Roman" w:cstheme="minorHAnsi"/>
                <w:sz w:val="18"/>
                <w:szCs w:val="18"/>
                <w:lang w:eastAsia="en-GB"/>
              </w:rPr>
              <w:t>-</w:t>
            </w:r>
          </w:p>
        </w:tc>
        <w:tc>
          <w:tcPr>
            <w:tcW w:w="0" w:type="auto"/>
          </w:tcPr>
          <w:p w14:paraId="1F1D8D36" w14:textId="77777777" w:rsidR="00271850" w:rsidRPr="00C24F78" w:rsidRDefault="00271850" w:rsidP="00F61E90">
            <w:pPr>
              <w:spacing w:after="0" w:line="240" w:lineRule="auto"/>
              <w:jc w:val="right"/>
              <w:rPr>
                <w:rFonts w:eastAsia="Times New Roman" w:cstheme="minorHAnsi"/>
                <w:sz w:val="18"/>
                <w:szCs w:val="18"/>
                <w:lang w:eastAsia="en-GB"/>
              </w:rPr>
            </w:pPr>
          </w:p>
        </w:tc>
      </w:tr>
      <w:tr w:rsidR="005520DD" w:rsidRPr="00C24F78" w14:paraId="2E4C7729" w14:textId="77777777" w:rsidTr="00F61E90">
        <w:trPr>
          <w:tblCellSpacing w:w="15" w:type="dxa"/>
        </w:trPr>
        <w:tc>
          <w:tcPr>
            <w:tcW w:w="0" w:type="auto"/>
            <w:vAlign w:val="center"/>
            <w:hideMark/>
          </w:tcPr>
          <w:p w14:paraId="7A65FA61" w14:textId="77777777" w:rsidR="00271850" w:rsidRPr="00C24F78" w:rsidRDefault="00271850" w:rsidP="00F61E90">
            <w:pPr>
              <w:spacing w:after="0" w:line="240" w:lineRule="auto"/>
              <w:rPr>
                <w:rFonts w:eastAsia="Times New Roman" w:cstheme="minorHAnsi"/>
                <w:sz w:val="18"/>
                <w:szCs w:val="18"/>
                <w:lang w:eastAsia="en-GB"/>
              </w:rPr>
            </w:pPr>
          </w:p>
        </w:tc>
        <w:tc>
          <w:tcPr>
            <w:tcW w:w="0" w:type="auto"/>
            <w:vAlign w:val="center"/>
            <w:hideMark/>
          </w:tcPr>
          <w:p w14:paraId="35434E54" w14:textId="77777777" w:rsidR="00271850" w:rsidRPr="00C24F78" w:rsidRDefault="00271850" w:rsidP="00F61E90">
            <w:pPr>
              <w:spacing w:after="0" w:line="240" w:lineRule="auto"/>
              <w:rPr>
                <w:rFonts w:eastAsia="Times New Roman" w:cstheme="minorHAnsi"/>
                <w:sz w:val="18"/>
                <w:szCs w:val="18"/>
                <w:lang w:eastAsia="en-GB"/>
              </w:rPr>
            </w:pPr>
            <w:r w:rsidRPr="00C24F78">
              <w:rPr>
                <w:rFonts w:eastAsia="Times New Roman" w:cstheme="minorHAnsi"/>
                <w:sz w:val="18"/>
                <w:szCs w:val="18"/>
                <w:lang w:eastAsia="en-GB"/>
              </w:rPr>
              <w:t xml:space="preserve">South West </w:t>
            </w:r>
          </w:p>
        </w:tc>
        <w:tc>
          <w:tcPr>
            <w:tcW w:w="0" w:type="auto"/>
          </w:tcPr>
          <w:p w14:paraId="7220C65A" w14:textId="0202E5A6" w:rsidR="00271850" w:rsidRPr="00C24F78" w:rsidRDefault="00271850" w:rsidP="00F61E90">
            <w:pPr>
              <w:spacing w:after="0" w:line="240" w:lineRule="auto"/>
              <w:jc w:val="right"/>
              <w:rPr>
                <w:rFonts w:eastAsia="Times New Roman" w:cstheme="minorHAnsi"/>
                <w:sz w:val="18"/>
                <w:szCs w:val="18"/>
                <w:lang w:eastAsia="en-GB"/>
              </w:rPr>
            </w:pPr>
            <w:r w:rsidRPr="00C24F78">
              <w:rPr>
                <w:sz w:val="18"/>
                <w:szCs w:val="18"/>
              </w:rPr>
              <w:t>1</w:t>
            </w:r>
            <w:r>
              <w:rPr>
                <w:sz w:val="18"/>
                <w:szCs w:val="18"/>
              </w:rPr>
              <w:t>.</w:t>
            </w:r>
            <w:r w:rsidRPr="00C24F78">
              <w:rPr>
                <w:sz w:val="18"/>
                <w:szCs w:val="18"/>
              </w:rPr>
              <w:t>2</w:t>
            </w:r>
            <w:r w:rsidR="009A1B1D">
              <w:rPr>
                <w:sz w:val="18"/>
                <w:szCs w:val="18"/>
              </w:rPr>
              <w:t>5</w:t>
            </w:r>
          </w:p>
        </w:tc>
        <w:tc>
          <w:tcPr>
            <w:tcW w:w="0" w:type="auto"/>
          </w:tcPr>
          <w:p w14:paraId="6E6662BA" w14:textId="1F5E6E4C" w:rsidR="00271850" w:rsidRPr="00C24F78" w:rsidRDefault="00271850" w:rsidP="00F61E90">
            <w:pPr>
              <w:spacing w:after="0" w:line="240" w:lineRule="auto"/>
              <w:jc w:val="right"/>
              <w:rPr>
                <w:rFonts w:eastAsia="Times New Roman" w:cstheme="minorHAnsi"/>
                <w:sz w:val="18"/>
                <w:szCs w:val="18"/>
                <w:lang w:eastAsia="en-GB"/>
              </w:rPr>
            </w:pPr>
            <w:r w:rsidRPr="00C24F78">
              <w:rPr>
                <w:sz w:val="18"/>
                <w:szCs w:val="18"/>
              </w:rPr>
              <w:t>0</w:t>
            </w:r>
            <w:r>
              <w:rPr>
                <w:sz w:val="18"/>
                <w:szCs w:val="18"/>
              </w:rPr>
              <w:t>.</w:t>
            </w:r>
            <w:r w:rsidR="009A1B1D">
              <w:rPr>
                <w:sz w:val="18"/>
                <w:szCs w:val="18"/>
              </w:rPr>
              <w:t>90</w:t>
            </w:r>
            <w:r w:rsidRPr="00C24F78">
              <w:rPr>
                <w:sz w:val="18"/>
                <w:szCs w:val="18"/>
              </w:rPr>
              <w:t>-1</w:t>
            </w:r>
            <w:r>
              <w:rPr>
                <w:sz w:val="18"/>
                <w:szCs w:val="18"/>
              </w:rPr>
              <w:t>.</w:t>
            </w:r>
            <w:r w:rsidR="003E421C">
              <w:rPr>
                <w:sz w:val="18"/>
                <w:szCs w:val="18"/>
              </w:rPr>
              <w:t>74</w:t>
            </w:r>
          </w:p>
        </w:tc>
        <w:tc>
          <w:tcPr>
            <w:tcW w:w="0" w:type="auto"/>
          </w:tcPr>
          <w:p w14:paraId="68E67979" w14:textId="77777777" w:rsidR="00271850" w:rsidRPr="00C24F78" w:rsidRDefault="00271850" w:rsidP="00F61E90">
            <w:pPr>
              <w:spacing w:after="0" w:line="240" w:lineRule="auto"/>
              <w:jc w:val="right"/>
              <w:rPr>
                <w:rFonts w:eastAsia="Times New Roman" w:cstheme="minorHAnsi"/>
                <w:sz w:val="18"/>
                <w:szCs w:val="18"/>
                <w:lang w:eastAsia="en-GB"/>
              </w:rPr>
            </w:pPr>
          </w:p>
        </w:tc>
        <w:tc>
          <w:tcPr>
            <w:tcW w:w="0" w:type="auto"/>
          </w:tcPr>
          <w:p w14:paraId="6CCEF331" w14:textId="04BA175B" w:rsidR="00271850" w:rsidRPr="00C24F78" w:rsidRDefault="00271850" w:rsidP="00F61E90">
            <w:pPr>
              <w:spacing w:after="0" w:line="240" w:lineRule="auto"/>
              <w:jc w:val="right"/>
              <w:rPr>
                <w:rFonts w:eastAsia="Times New Roman" w:cstheme="minorHAnsi"/>
                <w:sz w:val="18"/>
                <w:szCs w:val="18"/>
                <w:lang w:eastAsia="en-GB"/>
              </w:rPr>
            </w:pPr>
            <w:r w:rsidRPr="00C24F78">
              <w:rPr>
                <w:sz w:val="18"/>
                <w:szCs w:val="18"/>
              </w:rPr>
              <w:t>1</w:t>
            </w:r>
            <w:r>
              <w:rPr>
                <w:sz w:val="18"/>
                <w:szCs w:val="18"/>
              </w:rPr>
              <w:t>.</w:t>
            </w:r>
            <w:r w:rsidR="003E421C">
              <w:rPr>
                <w:sz w:val="18"/>
                <w:szCs w:val="18"/>
              </w:rPr>
              <w:t>13</w:t>
            </w:r>
          </w:p>
        </w:tc>
        <w:tc>
          <w:tcPr>
            <w:tcW w:w="0" w:type="auto"/>
          </w:tcPr>
          <w:p w14:paraId="5A548FA4" w14:textId="1CAABC2C" w:rsidR="00271850" w:rsidRPr="00C24F78" w:rsidRDefault="00271850" w:rsidP="00F61E90">
            <w:pPr>
              <w:spacing w:after="0" w:line="240" w:lineRule="auto"/>
              <w:jc w:val="right"/>
              <w:rPr>
                <w:rFonts w:eastAsia="Times New Roman" w:cstheme="minorHAnsi"/>
                <w:sz w:val="18"/>
                <w:szCs w:val="18"/>
                <w:lang w:eastAsia="en-GB"/>
              </w:rPr>
            </w:pPr>
            <w:r w:rsidRPr="00C24F78">
              <w:rPr>
                <w:sz w:val="18"/>
                <w:szCs w:val="18"/>
              </w:rPr>
              <w:t>0</w:t>
            </w:r>
            <w:r>
              <w:rPr>
                <w:sz w:val="18"/>
                <w:szCs w:val="18"/>
              </w:rPr>
              <w:t>.</w:t>
            </w:r>
            <w:r w:rsidR="003E421C">
              <w:rPr>
                <w:sz w:val="18"/>
                <w:szCs w:val="18"/>
              </w:rPr>
              <w:t>82</w:t>
            </w:r>
            <w:r w:rsidRPr="00C24F78">
              <w:rPr>
                <w:sz w:val="18"/>
                <w:szCs w:val="18"/>
              </w:rPr>
              <w:t>-1</w:t>
            </w:r>
            <w:r>
              <w:rPr>
                <w:sz w:val="18"/>
                <w:szCs w:val="18"/>
              </w:rPr>
              <w:t>.</w:t>
            </w:r>
            <w:r w:rsidR="003E421C">
              <w:rPr>
                <w:sz w:val="18"/>
                <w:szCs w:val="18"/>
              </w:rPr>
              <w:t>56</w:t>
            </w:r>
          </w:p>
        </w:tc>
        <w:tc>
          <w:tcPr>
            <w:tcW w:w="0" w:type="auto"/>
            <w:vAlign w:val="center"/>
          </w:tcPr>
          <w:p w14:paraId="791775B2" w14:textId="77777777" w:rsidR="00271850" w:rsidRPr="00C24F78" w:rsidRDefault="00271850" w:rsidP="00F61E90">
            <w:pPr>
              <w:spacing w:after="0" w:line="240" w:lineRule="auto"/>
              <w:jc w:val="right"/>
              <w:rPr>
                <w:rFonts w:eastAsia="Times New Roman" w:cstheme="minorHAnsi"/>
                <w:sz w:val="18"/>
                <w:szCs w:val="18"/>
                <w:lang w:eastAsia="en-GB"/>
              </w:rPr>
            </w:pPr>
          </w:p>
        </w:tc>
        <w:tc>
          <w:tcPr>
            <w:tcW w:w="0" w:type="auto"/>
          </w:tcPr>
          <w:p w14:paraId="140B15D1" w14:textId="77777777" w:rsidR="00271850" w:rsidRPr="00C24F78" w:rsidRDefault="00271850" w:rsidP="00F61E90">
            <w:pPr>
              <w:spacing w:after="0" w:line="240" w:lineRule="auto"/>
              <w:jc w:val="right"/>
              <w:rPr>
                <w:rFonts w:eastAsia="Times New Roman" w:cstheme="minorHAnsi"/>
                <w:sz w:val="18"/>
                <w:szCs w:val="18"/>
                <w:lang w:eastAsia="en-GB"/>
              </w:rPr>
            </w:pPr>
          </w:p>
        </w:tc>
        <w:tc>
          <w:tcPr>
            <w:tcW w:w="0" w:type="auto"/>
          </w:tcPr>
          <w:p w14:paraId="0850B8FD" w14:textId="5D0198F5" w:rsidR="00271850" w:rsidRPr="00C24F78" w:rsidRDefault="00271850" w:rsidP="00F61E90">
            <w:pPr>
              <w:spacing w:after="0" w:line="240" w:lineRule="auto"/>
              <w:jc w:val="right"/>
              <w:rPr>
                <w:rFonts w:eastAsia="Times New Roman" w:cstheme="minorHAnsi"/>
                <w:sz w:val="18"/>
                <w:szCs w:val="18"/>
                <w:lang w:eastAsia="en-GB"/>
              </w:rPr>
            </w:pPr>
            <w:r w:rsidRPr="00C24F78">
              <w:rPr>
                <w:sz w:val="18"/>
                <w:szCs w:val="18"/>
              </w:rPr>
              <w:t>0</w:t>
            </w:r>
            <w:r>
              <w:rPr>
                <w:sz w:val="18"/>
                <w:szCs w:val="18"/>
              </w:rPr>
              <w:t>.</w:t>
            </w:r>
            <w:r w:rsidRPr="00C24F78">
              <w:rPr>
                <w:sz w:val="18"/>
                <w:szCs w:val="18"/>
              </w:rPr>
              <w:t>8</w:t>
            </w:r>
            <w:r w:rsidR="005520DD">
              <w:rPr>
                <w:sz w:val="18"/>
                <w:szCs w:val="18"/>
              </w:rPr>
              <w:t>3</w:t>
            </w:r>
          </w:p>
        </w:tc>
        <w:tc>
          <w:tcPr>
            <w:tcW w:w="0" w:type="auto"/>
          </w:tcPr>
          <w:p w14:paraId="1BD56F05" w14:textId="7570DC55" w:rsidR="00271850" w:rsidRPr="00C24F78" w:rsidRDefault="00271850" w:rsidP="00F61E90">
            <w:pPr>
              <w:spacing w:after="0" w:line="240" w:lineRule="auto"/>
              <w:jc w:val="right"/>
              <w:rPr>
                <w:rFonts w:eastAsia="Times New Roman" w:cstheme="minorHAnsi"/>
                <w:sz w:val="18"/>
                <w:szCs w:val="18"/>
                <w:lang w:eastAsia="en-GB"/>
              </w:rPr>
            </w:pPr>
            <w:r w:rsidRPr="00C24F78">
              <w:rPr>
                <w:sz w:val="18"/>
                <w:szCs w:val="18"/>
              </w:rPr>
              <w:t>0</w:t>
            </w:r>
            <w:r>
              <w:rPr>
                <w:sz w:val="18"/>
                <w:szCs w:val="18"/>
              </w:rPr>
              <w:t>.</w:t>
            </w:r>
            <w:r w:rsidRPr="00C24F78">
              <w:rPr>
                <w:sz w:val="18"/>
                <w:szCs w:val="18"/>
              </w:rPr>
              <w:t>5</w:t>
            </w:r>
            <w:r w:rsidR="005520DD">
              <w:rPr>
                <w:sz w:val="18"/>
                <w:szCs w:val="18"/>
              </w:rPr>
              <w:t>6</w:t>
            </w:r>
            <w:r w:rsidRPr="00C24F78">
              <w:rPr>
                <w:sz w:val="18"/>
                <w:szCs w:val="18"/>
              </w:rPr>
              <w:t>-1</w:t>
            </w:r>
            <w:r>
              <w:rPr>
                <w:sz w:val="18"/>
                <w:szCs w:val="18"/>
              </w:rPr>
              <w:t>.</w:t>
            </w:r>
            <w:r w:rsidR="005520DD">
              <w:rPr>
                <w:sz w:val="18"/>
                <w:szCs w:val="18"/>
              </w:rPr>
              <w:t>23</w:t>
            </w:r>
          </w:p>
        </w:tc>
        <w:tc>
          <w:tcPr>
            <w:tcW w:w="0" w:type="auto"/>
          </w:tcPr>
          <w:p w14:paraId="6610D3A1" w14:textId="77777777" w:rsidR="00271850" w:rsidRPr="00C24F78" w:rsidRDefault="00271850" w:rsidP="00F61E90">
            <w:pPr>
              <w:spacing w:after="0" w:line="240" w:lineRule="auto"/>
              <w:jc w:val="right"/>
              <w:rPr>
                <w:rFonts w:eastAsia="Times New Roman" w:cstheme="minorHAnsi"/>
                <w:sz w:val="18"/>
                <w:szCs w:val="18"/>
                <w:lang w:eastAsia="en-GB"/>
              </w:rPr>
            </w:pPr>
            <w:r w:rsidRPr="00C24F78">
              <w:rPr>
                <w:rFonts w:eastAsia="Times New Roman" w:cstheme="minorHAnsi"/>
                <w:sz w:val="18"/>
                <w:szCs w:val="18"/>
                <w:lang w:eastAsia="en-GB"/>
              </w:rPr>
              <w:t>-</w:t>
            </w:r>
          </w:p>
        </w:tc>
        <w:tc>
          <w:tcPr>
            <w:tcW w:w="0" w:type="auto"/>
          </w:tcPr>
          <w:p w14:paraId="2E93A5E6" w14:textId="77777777" w:rsidR="00271850" w:rsidRPr="00C24F78" w:rsidRDefault="00271850" w:rsidP="00F61E90">
            <w:pPr>
              <w:spacing w:after="0" w:line="240" w:lineRule="auto"/>
              <w:jc w:val="right"/>
              <w:rPr>
                <w:rFonts w:eastAsia="Times New Roman" w:cstheme="minorHAnsi"/>
                <w:sz w:val="18"/>
                <w:szCs w:val="18"/>
                <w:lang w:eastAsia="en-GB"/>
              </w:rPr>
            </w:pPr>
            <w:r w:rsidRPr="00C24F78">
              <w:rPr>
                <w:rFonts w:eastAsia="Times New Roman" w:cstheme="minorHAnsi"/>
                <w:sz w:val="18"/>
                <w:szCs w:val="18"/>
                <w:lang w:eastAsia="en-GB"/>
              </w:rPr>
              <w:t>-</w:t>
            </w:r>
          </w:p>
        </w:tc>
        <w:tc>
          <w:tcPr>
            <w:tcW w:w="0" w:type="auto"/>
          </w:tcPr>
          <w:p w14:paraId="71503D4C" w14:textId="77777777" w:rsidR="00271850" w:rsidRPr="00C24F78" w:rsidRDefault="00271850" w:rsidP="00F61E90">
            <w:pPr>
              <w:spacing w:after="0" w:line="240" w:lineRule="auto"/>
              <w:jc w:val="right"/>
              <w:rPr>
                <w:rFonts w:eastAsia="Times New Roman" w:cstheme="minorHAnsi"/>
                <w:sz w:val="18"/>
                <w:szCs w:val="18"/>
                <w:lang w:eastAsia="en-GB"/>
              </w:rPr>
            </w:pPr>
          </w:p>
        </w:tc>
      </w:tr>
      <w:tr w:rsidR="005520DD" w:rsidRPr="00C24F78" w14:paraId="43FCE103" w14:textId="77777777" w:rsidTr="00F61E90">
        <w:trPr>
          <w:tblCellSpacing w:w="15" w:type="dxa"/>
        </w:trPr>
        <w:tc>
          <w:tcPr>
            <w:tcW w:w="0" w:type="auto"/>
            <w:vAlign w:val="center"/>
            <w:hideMark/>
          </w:tcPr>
          <w:p w14:paraId="46841EC2" w14:textId="77777777" w:rsidR="00271850" w:rsidRPr="00C24F78" w:rsidRDefault="00271850" w:rsidP="00F61E90">
            <w:pPr>
              <w:spacing w:after="0" w:line="240" w:lineRule="auto"/>
              <w:rPr>
                <w:rFonts w:eastAsia="Times New Roman" w:cstheme="minorHAnsi"/>
                <w:sz w:val="18"/>
                <w:szCs w:val="18"/>
                <w:lang w:eastAsia="en-GB"/>
              </w:rPr>
            </w:pPr>
          </w:p>
        </w:tc>
        <w:tc>
          <w:tcPr>
            <w:tcW w:w="0" w:type="auto"/>
            <w:vAlign w:val="center"/>
            <w:hideMark/>
          </w:tcPr>
          <w:p w14:paraId="559CE186" w14:textId="77777777" w:rsidR="00271850" w:rsidRPr="00C24F78" w:rsidRDefault="00271850" w:rsidP="00F61E90">
            <w:pPr>
              <w:spacing w:after="0" w:line="240" w:lineRule="auto"/>
              <w:rPr>
                <w:rFonts w:eastAsia="Times New Roman" w:cstheme="minorHAnsi"/>
                <w:sz w:val="18"/>
                <w:szCs w:val="18"/>
                <w:lang w:eastAsia="en-GB"/>
              </w:rPr>
            </w:pPr>
            <w:r w:rsidRPr="00C24F78">
              <w:rPr>
                <w:rFonts w:eastAsia="Times New Roman" w:cstheme="minorHAnsi"/>
                <w:sz w:val="18"/>
                <w:szCs w:val="18"/>
                <w:lang w:eastAsia="en-GB"/>
              </w:rPr>
              <w:t xml:space="preserve">South Central </w:t>
            </w:r>
          </w:p>
        </w:tc>
        <w:tc>
          <w:tcPr>
            <w:tcW w:w="0" w:type="auto"/>
          </w:tcPr>
          <w:p w14:paraId="7E84C4D7" w14:textId="05C1A4F7" w:rsidR="00271850" w:rsidRPr="00C24F78" w:rsidRDefault="00271850" w:rsidP="00F61E90">
            <w:pPr>
              <w:spacing w:after="0" w:line="240" w:lineRule="auto"/>
              <w:jc w:val="right"/>
              <w:rPr>
                <w:rFonts w:eastAsia="Times New Roman" w:cstheme="minorHAnsi"/>
                <w:sz w:val="18"/>
                <w:szCs w:val="18"/>
                <w:lang w:eastAsia="en-GB"/>
              </w:rPr>
            </w:pPr>
            <w:r w:rsidRPr="00C24F78">
              <w:rPr>
                <w:sz w:val="18"/>
                <w:szCs w:val="18"/>
              </w:rPr>
              <w:t>1</w:t>
            </w:r>
            <w:r>
              <w:rPr>
                <w:sz w:val="18"/>
                <w:szCs w:val="18"/>
              </w:rPr>
              <w:t>.</w:t>
            </w:r>
            <w:r w:rsidR="009A1B1D">
              <w:rPr>
                <w:sz w:val="18"/>
                <w:szCs w:val="18"/>
              </w:rPr>
              <w:t>40</w:t>
            </w:r>
          </w:p>
        </w:tc>
        <w:tc>
          <w:tcPr>
            <w:tcW w:w="0" w:type="auto"/>
          </w:tcPr>
          <w:p w14:paraId="46807347" w14:textId="61F7B602" w:rsidR="00271850" w:rsidRPr="00C24F78" w:rsidRDefault="009A1B1D" w:rsidP="00F61E90">
            <w:pPr>
              <w:spacing w:after="0" w:line="240" w:lineRule="auto"/>
              <w:jc w:val="right"/>
              <w:rPr>
                <w:rFonts w:eastAsia="Times New Roman" w:cstheme="minorHAnsi"/>
                <w:sz w:val="18"/>
                <w:szCs w:val="18"/>
                <w:lang w:eastAsia="en-GB"/>
              </w:rPr>
            </w:pPr>
            <w:r>
              <w:rPr>
                <w:sz w:val="18"/>
                <w:szCs w:val="18"/>
              </w:rPr>
              <w:t>1</w:t>
            </w:r>
            <w:r w:rsidR="00271850">
              <w:rPr>
                <w:sz w:val="18"/>
                <w:szCs w:val="18"/>
              </w:rPr>
              <w:t>.</w:t>
            </w:r>
            <w:r>
              <w:rPr>
                <w:sz w:val="18"/>
                <w:szCs w:val="18"/>
              </w:rPr>
              <w:t>01</w:t>
            </w:r>
            <w:r w:rsidR="00271850" w:rsidRPr="00C24F78">
              <w:rPr>
                <w:sz w:val="18"/>
                <w:szCs w:val="18"/>
              </w:rPr>
              <w:t>-1</w:t>
            </w:r>
            <w:r w:rsidR="00271850">
              <w:rPr>
                <w:sz w:val="18"/>
                <w:szCs w:val="18"/>
              </w:rPr>
              <w:t>.</w:t>
            </w:r>
            <w:r w:rsidR="00271850" w:rsidRPr="00C24F78">
              <w:rPr>
                <w:sz w:val="18"/>
                <w:szCs w:val="18"/>
              </w:rPr>
              <w:t>9</w:t>
            </w:r>
            <w:r w:rsidR="003E421C">
              <w:rPr>
                <w:sz w:val="18"/>
                <w:szCs w:val="18"/>
              </w:rPr>
              <w:t>4</w:t>
            </w:r>
          </w:p>
        </w:tc>
        <w:tc>
          <w:tcPr>
            <w:tcW w:w="0" w:type="auto"/>
          </w:tcPr>
          <w:p w14:paraId="48D33858" w14:textId="77777777" w:rsidR="00271850" w:rsidRPr="00C24F78" w:rsidRDefault="00271850" w:rsidP="00F61E90">
            <w:pPr>
              <w:spacing w:after="0" w:line="240" w:lineRule="auto"/>
              <w:jc w:val="right"/>
              <w:rPr>
                <w:rFonts w:eastAsia="Times New Roman" w:cstheme="minorHAnsi"/>
                <w:sz w:val="18"/>
                <w:szCs w:val="18"/>
                <w:lang w:eastAsia="en-GB"/>
              </w:rPr>
            </w:pPr>
          </w:p>
        </w:tc>
        <w:tc>
          <w:tcPr>
            <w:tcW w:w="0" w:type="auto"/>
          </w:tcPr>
          <w:p w14:paraId="6A2561BB" w14:textId="770E4649" w:rsidR="00271850" w:rsidRPr="00C24F78" w:rsidRDefault="00271850" w:rsidP="00F61E90">
            <w:pPr>
              <w:spacing w:after="0" w:line="240" w:lineRule="auto"/>
              <w:jc w:val="right"/>
              <w:rPr>
                <w:rFonts w:eastAsia="Times New Roman" w:cstheme="minorHAnsi"/>
                <w:sz w:val="18"/>
                <w:szCs w:val="18"/>
                <w:lang w:eastAsia="en-GB"/>
              </w:rPr>
            </w:pPr>
            <w:r w:rsidRPr="00C24F78">
              <w:rPr>
                <w:sz w:val="18"/>
                <w:szCs w:val="18"/>
              </w:rPr>
              <w:t>1</w:t>
            </w:r>
            <w:r>
              <w:rPr>
                <w:sz w:val="18"/>
                <w:szCs w:val="18"/>
              </w:rPr>
              <w:t>.</w:t>
            </w:r>
            <w:r w:rsidRPr="00C24F78">
              <w:rPr>
                <w:sz w:val="18"/>
                <w:szCs w:val="18"/>
              </w:rPr>
              <w:t>1</w:t>
            </w:r>
            <w:r w:rsidR="003E421C">
              <w:rPr>
                <w:sz w:val="18"/>
                <w:szCs w:val="18"/>
              </w:rPr>
              <w:t>4</w:t>
            </w:r>
          </w:p>
        </w:tc>
        <w:tc>
          <w:tcPr>
            <w:tcW w:w="0" w:type="auto"/>
          </w:tcPr>
          <w:p w14:paraId="37233400" w14:textId="3E29F348" w:rsidR="00271850" w:rsidRPr="00C24F78" w:rsidRDefault="00271850" w:rsidP="00F61E90">
            <w:pPr>
              <w:spacing w:after="0" w:line="240" w:lineRule="auto"/>
              <w:jc w:val="right"/>
              <w:rPr>
                <w:rFonts w:eastAsia="Times New Roman" w:cstheme="minorHAnsi"/>
                <w:sz w:val="18"/>
                <w:szCs w:val="18"/>
                <w:lang w:eastAsia="en-GB"/>
              </w:rPr>
            </w:pPr>
            <w:r w:rsidRPr="00C24F78">
              <w:rPr>
                <w:sz w:val="18"/>
                <w:szCs w:val="18"/>
              </w:rPr>
              <w:t>0</w:t>
            </w:r>
            <w:r>
              <w:rPr>
                <w:sz w:val="18"/>
                <w:szCs w:val="18"/>
              </w:rPr>
              <w:t>.</w:t>
            </w:r>
            <w:r w:rsidRPr="00C24F78">
              <w:rPr>
                <w:sz w:val="18"/>
                <w:szCs w:val="18"/>
              </w:rPr>
              <w:t>8</w:t>
            </w:r>
            <w:r w:rsidR="003E421C">
              <w:rPr>
                <w:sz w:val="18"/>
                <w:szCs w:val="18"/>
              </w:rPr>
              <w:t>3</w:t>
            </w:r>
            <w:r w:rsidRPr="00C24F78">
              <w:rPr>
                <w:sz w:val="18"/>
                <w:szCs w:val="18"/>
              </w:rPr>
              <w:t>-1</w:t>
            </w:r>
            <w:r>
              <w:rPr>
                <w:sz w:val="18"/>
                <w:szCs w:val="18"/>
              </w:rPr>
              <w:t>.</w:t>
            </w:r>
            <w:r w:rsidRPr="00C24F78">
              <w:rPr>
                <w:sz w:val="18"/>
                <w:szCs w:val="18"/>
              </w:rPr>
              <w:t>5</w:t>
            </w:r>
            <w:r w:rsidR="003E421C">
              <w:rPr>
                <w:sz w:val="18"/>
                <w:szCs w:val="18"/>
              </w:rPr>
              <w:t>8</w:t>
            </w:r>
          </w:p>
        </w:tc>
        <w:tc>
          <w:tcPr>
            <w:tcW w:w="0" w:type="auto"/>
            <w:vAlign w:val="center"/>
          </w:tcPr>
          <w:p w14:paraId="5C8EC182" w14:textId="77777777" w:rsidR="00271850" w:rsidRPr="00C24F78" w:rsidRDefault="00271850" w:rsidP="00F61E90">
            <w:pPr>
              <w:spacing w:after="0" w:line="240" w:lineRule="auto"/>
              <w:jc w:val="right"/>
              <w:rPr>
                <w:rFonts w:eastAsia="Times New Roman" w:cstheme="minorHAnsi"/>
                <w:sz w:val="18"/>
                <w:szCs w:val="18"/>
                <w:lang w:eastAsia="en-GB"/>
              </w:rPr>
            </w:pPr>
          </w:p>
        </w:tc>
        <w:tc>
          <w:tcPr>
            <w:tcW w:w="0" w:type="auto"/>
          </w:tcPr>
          <w:p w14:paraId="6BA28C70" w14:textId="77777777" w:rsidR="00271850" w:rsidRPr="00C24F78" w:rsidRDefault="00271850" w:rsidP="00F61E90">
            <w:pPr>
              <w:spacing w:after="0" w:line="240" w:lineRule="auto"/>
              <w:jc w:val="right"/>
              <w:rPr>
                <w:rFonts w:eastAsia="Times New Roman" w:cstheme="minorHAnsi"/>
                <w:sz w:val="18"/>
                <w:szCs w:val="18"/>
                <w:lang w:eastAsia="en-GB"/>
              </w:rPr>
            </w:pPr>
          </w:p>
        </w:tc>
        <w:tc>
          <w:tcPr>
            <w:tcW w:w="0" w:type="auto"/>
          </w:tcPr>
          <w:p w14:paraId="55F29A53" w14:textId="6A66EF0A" w:rsidR="00271850" w:rsidRPr="00C24F78" w:rsidRDefault="00271850" w:rsidP="00F61E90">
            <w:pPr>
              <w:spacing w:after="0" w:line="240" w:lineRule="auto"/>
              <w:jc w:val="right"/>
              <w:rPr>
                <w:rFonts w:eastAsia="Times New Roman" w:cstheme="minorHAnsi"/>
                <w:sz w:val="18"/>
                <w:szCs w:val="18"/>
                <w:lang w:eastAsia="en-GB"/>
              </w:rPr>
            </w:pPr>
            <w:r w:rsidRPr="00C24F78">
              <w:rPr>
                <w:sz w:val="18"/>
                <w:szCs w:val="18"/>
              </w:rPr>
              <w:t>0</w:t>
            </w:r>
            <w:r>
              <w:rPr>
                <w:sz w:val="18"/>
                <w:szCs w:val="18"/>
              </w:rPr>
              <w:t>.</w:t>
            </w:r>
            <w:r w:rsidRPr="00C24F78">
              <w:rPr>
                <w:sz w:val="18"/>
                <w:szCs w:val="18"/>
              </w:rPr>
              <w:t>7</w:t>
            </w:r>
            <w:r w:rsidR="005520DD">
              <w:rPr>
                <w:sz w:val="18"/>
                <w:szCs w:val="18"/>
              </w:rPr>
              <w:t>7</w:t>
            </w:r>
          </w:p>
        </w:tc>
        <w:tc>
          <w:tcPr>
            <w:tcW w:w="0" w:type="auto"/>
          </w:tcPr>
          <w:p w14:paraId="571742E2" w14:textId="6E3CA82F" w:rsidR="00271850" w:rsidRPr="00C24F78" w:rsidRDefault="00271850" w:rsidP="00F61E90">
            <w:pPr>
              <w:spacing w:after="0" w:line="240" w:lineRule="auto"/>
              <w:jc w:val="right"/>
              <w:rPr>
                <w:rFonts w:eastAsia="Times New Roman" w:cstheme="minorHAnsi"/>
                <w:sz w:val="18"/>
                <w:szCs w:val="18"/>
                <w:lang w:eastAsia="en-GB"/>
              </w:rPr>
            </w:pPr>
            <w:r w:rsidRPr="00C24F78">
              <w:rPr>
                <w:sz w:val="18"/>
                <w:szCs w:val="18"/>
              </w:rPr>
              <w:t>0</w:t>
            </w:r>
            <w:r>
              <w:rPr>
                <w:sz w:val="18"/>
                <w:szCs w:val="18"/>
              </w:rPr>
              <w:t>.</w:t>
            </w:r>
            <w:r w:rsidRPr="00C24F78">
              <w:rPr>
                <w:sz w:val="18"/>
                <w:szCs w:val="18"/>
              </w:rPr>
              <w:t>5</w:t>
            </w:r>
            <w:r w:rsidR="005520DD">
              <w:rPr>
                <w:sz w:val="18"/>
                <w:szCs w:val="18"/>
              </w:rPr>
              <w:t>2</w:t>
            </w:r>
            <w:r w:rsidRPr="00C24F78">
              <w:rPr>
                <w:sz w:val="18"/>
                <w:szCs w:val="18"/>
              </w:rPr>
              <w:t>-1</w:t>
            </w:r>
            <w:r>
              <w:rPr>
                <w:sz w:val="18"/>
                <w:szCs w:val="18"/>
              </w:rPr>
              <w:t>.</w:t>
            </w:r>
            <w:r w:rsidRPr="00C24F78">
              <w:rPr>
                <w:sz w:val="18"/>
                <w:szCs w:val="18"/>
              </w:rPr>
              <w:t>1</w:t>
            </w:r>
            <w:r w:rsidR="005520DD">
              <w:rPr>
                <w:sz w:val="18"/>
                <w:szCs w:val="18"/>
              </w:rPr>
              <w:t>5</w:t>
            </w:r>
          </w:p>
        </w:tc>
        <w:tc>
          <w:tcPr>
            <w:tcW w:w="0" w:type="auto"/>
          </w:tcPr>
          <w:p w14:paraId="326DC50C" w14:textId="77777777" w:rsidR="00271850" w:rsidRPr="00C24F78" w:rsidRDefault="00271850" w:rsidP="00F61E90">
            <w:pPr>
              <w:spacing w:after="0" w:line="240" w:lineRule="auto"/>
              <w:jc w:val="right"/>
              <w:rPr>
                <w:rFonts w:eastAsia="Times New Roman" w:cstheme="minorHAnsi"/>
                <w:sz w:val="18"/>
                <w:szCs w:val="18"/>
                <w:lang w:eastAsia="en-GB"/>
              </w:rPr>
            </w:pPr>
            <w:r w:rsidRPr="00C24F78">
              <w:rPr>
                <w:rFonts w:eastAsia="Times New Roman" w:cstheme="minorHAnsi"/>
                <w:sz w:val="18"/>
                <w:szCs w:val="18"/>
                <w:lang w:eastAsia="en-GB"/>
              </w:rPr>
              <w:t>-</w:t>
            </w:r>
          </w:p>
        </w:tc>
        <w:tc>
          <w:tcPr>
            <w:tcW w:w="0" w:type="auto"/>
          </w:tcPr>
          <w:p w14:paraId="382D3B3F" w14:textId="77777777" w:rsidR="00271850" w:rsidRPr="00C24F78" w:rsidRDefault="00271850" w:rsidP="00F61E90">
            <w:pPr>
              <w:spacing w:after="0" w:line="240" w:lineRule="auto"/>
              <w:jc w:val="right"/>
              <w:rPr>
                <w:rFonts w:eastAsia="Times New Roman" w:cstheme="minorHAnsi"/>
                <w:sz w:val="18"/>
                <w:szCs w:val="18"/>
                <w:lang w:eastAsia="en-GB"/>
              </w:rPr>
            </w:pPr>
            <w:r w:rsidRPr="00C24F78">
              <w:rPr>
                <w:rFonts w:eastAsia="Times New Roman" w:cstheme="minorHAnsi"/>
                <w:sz w:val="18"/>
                <w:szCs w:val="18"/>
                <w:lang w:eastAsia="en-GB"/>
              </w:rPr>
              <w:t>-</w:t>
            </w:r>
          </w:p>
        </w:tc>
        <w:tc>
          <w:tcPr>
            <w:tcW w:w="0" w:type="auto"/>
          </w:tcPr>
          <w:p w14:paraId="3A46AA37" w14:textId="77777777" w:rsidR="00271850" w:rsidRPr="00C24F78" w:rsidRDefault="00271850" w:rsidP="00F61E90">
            <w:pPr>
              <w:spacing w:after="0" w:line="240" w:lineRule="auto"/>
              <w:jc w:val="right"/>
              <w:rPr>
                <w:rFonts w:eastAsia="Times New Roman" w:cstheme="minorHAnsi"/>
                <w:sz w:val="18"/>
                <w:szCs w:val="18"/>
                <w:lang w:eastAsia="en-GB"/>
              </w:rPr>
            </w:pPr>
          </w:p>
        </w:tc>
      </w:tr>
      <w:tr w:rsidR="005520DD" w:rsidRPr="00C24F78" w14:paraId="45675BBC" w14:textId="77777777" w:rsidTr="00F61E90">
        <w:trPr>
          <w:tblCellSpacing w:w="15" w:type="dxa"/>
        </w:trPr>
        <w:tc>
          <w:tcPr>
            <w:tcW w:w="0" w:type="auto"/>
            <w:vAlign w:val="center"/>
            <w:hideMark/>
          </w:tcPr>
          <w:p w14:paraId="5751128B" w14:textId="77777777" w:rsidR="00271850" w:rsidRPr="00C24F78" w:rsidRDefault="00271850" w:rsidP="00F61E90">
            <w:pPr>
              <w:spacing w:after="0" w:line="240" w:lineRule="auto"/>
              <w:rPr>
                <w:rFonts w:eastAsia="Times New Roman" w:cstheme="minorHAnsi"/>
                <w:sz w:val="18"/>
                <w:szCs w:val="18"/>
                <w:lang w:eastAsia="en-GB"/>
              </w:rPr>
            </w:pPr>
          </w:p>
        </w:tc>
        <w:tc>
          <w:tcPr>
            <w:tcW w:w="0" w:type="auto"/>
            <w:vAlign w:val="center"/>
            <w:hideMark/>
          </w:tcPr>
          <w:p w14:paraId="5C415242" w14:textId="77777777" w:rsidR="00271850" w:rsidRPr="00C24F78" w:rsidRDefault="00271850" w:rsidP="00F61E90">
            <w:pPr>
              <w:spacing w:after="0" w:line="240" w:lineRule="auto"/>
              <w:rPr>
                <w:rFonts w:eastAsia="Times New Roman" w:cstheme="minorHAnsi"/>
                <w:sz w:val="18"/>
                <w:szCs w:val="18"/>
                <w:lang w:eastAsia="en-GB"/>
              </w:rPr>
            </w:pPr>
            <w:r w:rsidRPr="00C24F78">
              <w:rPr>
                <w:rFonts w:eastAsia="Times New Roman" w:cstheme="minorHAnsi"/>
                <w:sz w:val="18"/>
                <w:szCs w:val="18"/>
                <w:lang w:eastAsia="en-GB"/>
              </w:rPr>
              <w:t xml:space="preserve">London </w:t>
            </w:r>
          </w:p>
        </w:tc>
        <w:tc>
          <w:tcPr>
            <w:tcW w:w="0" w:type="auto"/>
          </w:tcPr>
          <w:p w14:paraId="50FDA02B" w14:textId="280CF588" w:rsidR="00271850" w:rsidRPr="00C24F78" w:rsidRDefault="00271850" w:rsidP="00F61E90">
            <w:pPr>
              <w:spacing w:after="0" w:line="240" w:lineRule="auto"/>
              <w:jc w:val="right"/>
              <w:rPr>
                <w:rFonts w:eastAsia="Times New Roman" w:cstheme="minorHAnsi"/>
                <w:sz w:val="18"/>
                <w:szCs w:val="18"/>
                <w:lang w:eastAsia="en-GB"/>
              </w:rPr>
            </w:pPr>
            <w:r w:rsidRPr="00C24F78">
              <w:rPr>
                <w:sz w:val="18"/>
                <w:szCs w:val="18"/>
              </w:rPr>
              <w:t>1</w:t>
            </w:r>
            <w:r>
              <w:rPr>
                <w:sz w:val="18"/>
                <w:szCs w:val="18"/>
              </w:rPr>
              <w:t>.</w:t>
            </w:r>
            <w:r w:rsidRPr="00C24F78">
              <w:rPr>
                <w:sz w:val="18"/>
                <w:szCs w:val="18"/>
              </w:rPr>
              <w:t>0</w:t>
            </w:r>
            <w:r w:rsidR="009A1B1D">
              <w:rPr>
                <w:sz w:val="18"/>
                <w:szCs w:val="18"/>
              </w:rPr>
              <w:t>6</w:t>
            </w:r>
          </w:p>
        </w:tc>
        <w:tc>
          <w:tcPr>
            <w:tcW w:w="0" w:type="auto"/>
          </w:tcPr>
          <w:p w14:paraId="2CF66491" w14:textId="3120A3C5" w:rsidR="00271850" w:rsidRPr="00C24F78" w:rsidRDefault="00271850" w:rsidP="00F61E90">
            <w:pPr>
              <w:spacing w:after="0" w:line="240" w:lineRule="auto"/>
              <w:jc w:val="right"/>
              <w:rPr>
                <w:rFonts w:eastAsia="Times New Roman" w:cstheme="minorHAnsi"/>
                <w:sz w:val="18"/>
                <w:szCs w:val="18"/>
                <w:lang w:eastAsia="en-GB"/>
              </w:rPr>
            </w:pPr>
            <w:r w:rsidRPr="00C24F78">
              <w:rPr>
                <w:sz w:val="18"/>
                <w:szCs w:val="18"/>
              </w:rPr>
              <w:t>0</w:t>
            </w:r>
            <w:r>
              <w:rPr>
                <w:sz w:val="18"/>
                <w:szCs w:val="18"/>
              </w:rPr>
              <w:t>.</w:t>
            </w:r>
            <w:r w:rsidRPr="00C24F78">
              <w:rPr>
                <w:sz w:val="18"/>
                <w:szCs w:val="18"/>
              </w:rPr>
              <w:t>7</w:t>
            </w:r>
            <w:r w:rsidR="009A1B1D">
              <w:rPr>
                <w:sz w:val="18"/>
                <w:szCs w:val="18"/>
              </w:rPr>
              <w:t>7</w:t>
            </w:r>
            <w:r w:rsidRPr="00C24F78">
              <w:rPr>
                <w:sz w:val="18"/>
                <w:szCs w:val="18"/>
              </w:rPr>
              <w:t>-1</w:t>
            </w:r>
            <w:r>
              <w:rPr>
                <w:sz w:val="18"/>
                <w:szCs w:val="18"/>
              </w:rPr>
              <w:t>.</w:t>
            </w:r>
            <w:r w:rsidRPr="00C24F78">
              <w:rPr>
                <w:sz w:val="18"/>
                <w:szCs w:val="18"/>
              </w:rPr>
              <w:t>4</w:t>
            </w:r>
            <w:r w:rsidR="003E421C">
              <w:rPr>
                <w:sz w:val="18"/>
                <w:szCs w:val="18"/>
              </w:rPr>
              <w:t>6</w:t>
            </w:r>
          </w:p>
        </w:tc>
        <w:tc>
          <w:tcPr>
            <w:tcW w:w="0" w:type="auto"/>
          </w:tcPr>
          <w:p w14:paraId="037CEB71" w14:textId="77777777" w:rsidR="00271850" w:rsidRPr="00C24F78" w:rsidRDefault="00271850" w:rsidP="00F61E90">
            <w:pPr>
              <w:spacing w:after="0" w:line="240" w:lineRule="auto"/>
              <w:jc w:val="right"/>
              <w:rPr>
                <w:rFonts w:eastAsia="Times New Roman" w:cstheme="minorHAnsi"/>
                <w:sz w:val="18"/>
                <w:szCs w:val="18"/>
                <w:lang w:eastAsia="en-GB"/>
              </w:rPr>
            </w:pPr>
          </w:p>
        </w:tc>
        <w:tc>
          <w:tcPr>
            <w:tcW w:w="0" w:type="auto"/>
          </w:tcPr>
          <w:p w14:paraId="6A60FC94" w14:textId="4C378745" w:rsidR="00271850" w:rsidRPr="00C24F78" w:rsidRDefault="00271850" w:rsidP="00F61E90">
            <w:pPr>
              <w:spacing w:after="0" w:line="240" w:lineRule="auto"/>
              <w:jc w:val="right"/>
              <w:rPr>
                <w:rFonts w:eastAsia="Times New Roman" w:cstheme="minorHAnsi"/>
                <w:sz w:val="18"/>
                <w:szCs w:val="18"/>
                <w:lang w:eastAsia="en-GB"/>
              </w:rPr>
            </w:pPr>
            <w:r w:rsidRPr="00C24F78">
              <w:rPr>
                <w:sz w:val="18"/>
                <w:szCs w:val="18"/>
              </w:rPr>
              <w:t>1</w:t>
            </w:r>
            <w:r>
              <w:rPr>
                <w:sz w:val="18"/>
                <w:szCs w:val="18"/>
              </w:rPr>
              <w:t>.</w:t>
            </w:r>
            <w:r w:rsidRPr="00C24F78">
              <w:rPr>
                <w:sz w:val="18"/>
                <w:szCs w:val="18"/>
              </w:rPr>
              <w:t>0</w:t>
            </w:r>
            <w:r w:rsidR="003E421C">
              <w:rPr>
                <w:sz w:val="18"/>
                <w:szCs w:val="18"/>
              </w:rPr>
              <w:t>2</w:t>
            </w:r>
          </w:p>
        </w:tc>
        <w:tc>
          <w:tcPr>
            <w:tcW w:w="0" w:type="auto"/>
          </w:tcPr>
          <w:p w14:paraId="25C6B241" w14:textId="738CDE9D" w:rsidR="00271850" w:rsidRPr="00C24F78" w:rsidRDefault="00271850" w:rsidP="00F61E90">
            <w:pPr>
              <w:spacing w:after="0" w:line="240" w:lineRule="auto"/>
              <w:jc w:val="right"/>
              <w:rPr>
                <w:rFonts w:eastAsia="Times New Roman" w:cstheme="minorHAnsi"/>
                <w:sz w:val="18"/>
                <w:szCs w:val="18"/>
                <w:lang w:eastAsia="en-GB"/>
              </w:rPr>
            </w:pPr>
            <w:r w:rsidRPr="00C24F78">
              <w:rPr>
                <w:sz w:val="18"/>
                <w:szCs w:val="18"/>
              </w:rPr>
              <w:t>0</w:t>
            </w:r>
            <w:r>
              <w:rPr>
                <w:sz w:val="18"/>
                <w:szCs w:val="18"/>
              </w:rPr>
              <w:t>.</w:t>
            </w:r>
            <w:r w:rsidRPr="00C24F78">
              <w:rPr>
                <w:sz w:val="18"/>
                <w:szCs w:val="18"/>
              </w:rPr>
              <w:t>7</w:t>
            </w:r>
            <w:r w:rsidR="003E421C">
              <w:rPr>
                <w:sz w:val="18"/>
                <w:szCs w:val="18"/>
              </w:rPr>
              <w:t>4</w:t>
            </w:r>
            <w:r w:rsidRPr="00C24F78">
              <w:rPr>
                <w:sz w:val="18"/>
                <w:szCs w:val="18"/>
              </w:rPr>
              <w:t>-1</w:t>
            </w:r>
            <w:r>
              <w:rPr>
                <w:sz w:val="18"/>
                <w:szCs w:val="18"/>
              </w:rPr>
              <w:t>.</w:t>
            </w:r>
            <w:r w:rsidR="003E421C">
              <w:rPr>
                <w:sz w:val="18"/>
                <w:szCs w:val="18"/>
              </w:rPr>
              <w:t>40</w:t>
            </w:r>
          </w:p>
        </w:tc>
        <w:tc>
          <w:tcPr>
            <w:tcW w:w="0" w:type="auto"/>
            <w:vAlign w:val="center"/>
          </w:tcPr>
          <w:p w14:paraId="52B11E16" w14:textId="77777777" w:rsidR="00271850" w:rsidRPr="00C24F78" w:rsidRDefault="00271850" w:rsidP="00F61E90">
            <w:pPr>
              <w:spacing w:after="0" w:line="240" w:lineRule="auto"/>
              <w:jc w:val="right"/>
              <w:rPr>
                <w:rFonts w:eastAsia="Times New Roman" w:cstheme="minorHAnsi"/>
                <w:sz w:val="18"/>
                <w:szCs w:val="18"/>
                <w:lang w:eastAsia="en-GB"/>
              </w:rPr>
            </w:pPr>
          </w:p>
        </w:tc>
        <w:tc>
          <w:tcPr>
            <w:tcW w:w="0" w:type="auto"/>
          </w:tcPr>
          <w:p w14:paraId="6FDC0DDA" w14:textId="77777777" w:rsidR="00271850" w:rsidRPr="00C24F78" w:rsidRDefault="00271850" w:rsidP="00F61E90">
            <w:pPr>
              <w:spacing w:after="0" w:line="240" w:lineRule="auto"/>
              <w:jc w:val="right"/>
              <w:rPr>
                <w:rFonts w:eastAsia="Times New Roman" w:cstheme="minorHAnsi"/>
                <w:sz w:val="18"/>
                <w:szCs w:val="18"/>
                <w:lang w:eastAsia="en-GB"/>
              </w:rPr>
            </w:pPr>
          </w:p>
        </w:tc>
        <w:tc>
          <w:tcPr>
            <w:tcW w:w="0" w:type="auto"/>
          </w:tcPr>
          <w:p w14:paraId="680C588F" w14:textId="7E4522AB" w:rsidR="00271850" w:rsidRPr="00C24F78" w:rsidRDefault="00271850" w:rsidP="00F61E90">
            <w:pPr>
              <w:spacing w:after="0" w:line="240" w:lineRule="auto"/>
              <w:jc w:val="right"/>
              <w:rPr>
                <w:rFonts w:eastAsia="Times New Roman" w:cstheme="minorHAnsi"/>
                <w:sz w:val="18"/>
                <w:szCs w:val="18"/>
                <w:lang w:eastAsia="en-GB"/>
              </w:rPr>
            </w:pPr>
            <w:r w:rsidRPr="00C24F78">
              <w:rPr>
                <w:sz w:val="18"/>
                <w:szCs w:val="18"/>
              </w:rPr>
              <w:t>0</w:t>
            </w:r>
            <w:r>
              <w:rPr>
                <w:sz w:val="18"/>
                <w:szCs w:val="18"/>
              </w:rPr>
              <w:t>.</w:t>
            </w:r>
            <w:r w:rsidRPr="00C24F78">
              <w:rPr>
                <w:sz w:val="18"/>
                <w:szCs w:val="18"/>
              </w:rPr>
              <w:t>6</w:t>
            </w:r>
            <w:r w:rsidR="005520DD">
              <w:rPr>
                <w:sz w:val="18"/>
                <w:szCs w:val="18"/>
              </w:rPr>
              <w:t>3</w:t>
            </w:r>
          </w:p>
        </w:tc>
        <w:tc>
          <w:tcPr>
            <w:tcW w:w="0" w:type="auto"/>
          </w:tcPr>
          <w:p w14:paraId="3CAE433C" w14:textId="414B8800" w:rsidR="00271850" w:rsidRPr="00C24F78" w:rsidRDefault="00271850" w:rsidP="00F61E90">
            <w:pPr>
              <w:spacing w:after="0" w:line="240" w:lineRule="auto"/>
              <w:jc w:val="right"/>
              <w:rPr>
                <w:rFonts w:eastAsia="Times New Roman" w:cstheme="minorHAnsi"/>
                <w:sz w:val="18"/>
                <w:szCs w:val="18"/>
                <w:lang w:eastAsia="en-GB"/>
              </w:rPr>
            </w:pPr>
            <w:r w:rsidRPr="00C24F78">
              <w:rPr>
                <w:sz w:val="18"/>
                <w:szCs w:val="18"/>
              </w:rPr>
              <w:t>0</w:t>
            </w:r>
            <w:r>
              <w:rPr>
                <w:sz w:val="18"/>
                <w:szCs w:val="18"/>
              </w:rPr>
              <w:t>.</w:t>
            </w:r>
            <w:r w:rsidRPr="00C24F78">
              <w:rPr>
                <w:sz w:val="18"/>
                <w:szCs w:val="18"/>
              </w:rPr>
              <w:t>4</w:t>
            </w:r>
            <w:r w:rsidR="005520DD">
              <w:rPr>
                <w:sz w:val="18"/>
                <w:szCs w:val="18"/>
              </w:rPr>
              <w:t>3</w:t>
            </w:r>
            <w:r w:rsidRPr="00C24F78">
              <w:rPr>
                <w:sz w:val="18"/>
                <w:szCs w:val="18"/>
              </w:rPr>
              <w:t>-0</w:t>
            </w:r>
            <w:r>
              <w:rPr>
                <w:sz w:val="18"/>
                <w:szCs w:val="18"/>
              </w:rPr>
              <w:t>.</w:t>
            </w:r>
            <w:r w:rsidRPr="00C24F78">
              <w:rPr>
                <w:sz w:val="18"/>
                <w:szCs w:val="18"/>
              </w:rPr>
              <w:t>9</w:t>
            </w:r>
            <w:r w:rsidR="005520DD">
              <w:rPr>
                <w:sz w:val="18"/>
                <w:szCs w:val="18"/>
              </w:rPr>
              <w:t>2</w:t>
            </w:r>
          </w:p>
        </w:tc>
        <w:tc>
          <w:tcPr>
            <w:tcW w:w="0" w:type="auto"/>
          </w:tcPr>
          <w:p w14:paraId="0456341C" w14:textId="77777777" w:rsidR="00271850" w:rsidRPr="00C24F78" w:rsidRDefault="00271850" w:rsidP="00F61E90">
            <w:pPr>
              <w:spacing w:after="0" w:line="240" w:lineRule="auto"/>
              <w:jc w:val="right"/>
              <w:rPr>
                <w:rFonts w:eastAsia="Times New Roman" w:cstheme="minorHAnsi"/>
                <w:sz w:val="18"/>
                <w:szCs w:val="18"/>
                <w:lang w:eastAsia="en-GB"/>
              </w:rPr>
            </w:pPr>
            <w:r w:rsidRPr="00C24F78">
              <w:rPr>
                <w:rFonts w:eastAsia="Times New Roman" w:cstheme="minorHAnsi"/>
                <w:sz w:val="18"/>
                <w:szCs w:val="18"/>
                <w:lang w:eastAsia="en-GB"/>
              </w:rPr>
              <w:t>-</w:t>
            </w:r>
          </w:p>
        </w:tc>
        <w:tc>
          <w:tcPr>
            <w:tcW w:w="0" w:type="auto"/>
          </w:tcPr>
          <w:p w14:paraId="7A19CB71" w14:textId="77777777" w:rsidR="00271850" w:rsidRPr="00C24F78" w:rsidRDefault="00271850" w:rsidP="00F61E90">
            <w:pPr>
              <w:spacing w:after="0" w:line="240" w:lineRule="auto"/>
              <w:jc w:val="right"/>
              <w:rPr>
                <w:rFonts w:eastAsia="Times New Roman" w:cstheme="minorHAnsi"/>
                <w:sz w:val="18"/>
                <w:szCs w:val="18"/>
                <w:lang w:eastAsia="en-GB"/>
              </w:rPr>
            </w:pPr>
            <w:r w:rsidRPr="00C24F78">
              <w:rPr>
                <w:rFonts w:eastAsia="Times New Roman" w:cstheme="minorHAnsi"/>
                <w:sz w:val="18"/>
                <w:szCs w:val="18"/>
                <w:lang w:eastAsia="en-GB"/>
              </w:rPr>
              <w:t>-</w:t>
            </w:r>
          </w:p>
        </w:tc>
        <w:tc>
          <w:tcPr>
            <w:tcW w:w="0" w:type="auto"/>
          </w:tcPr>
          <w:p w14:paraId="4A9EB3DF" w14:textId="77777777" w:rsidR="00271850" w:rsidRPr="00C24F78" w:rsidRDefault="00271850" w:rsidP="00F61E90">
            <w:pPr>
              <w:spacing w:after="0" w:line="240" w:lineRule="auto"/>
              <w:jc w:val="right"/>
              <w:rPr>
                <w:rFonts w:eastAsia="Times New Roman" w:cstheme="minorHAnsi"/>
                <w:sz w:val="18"/>
                <w:szCs w:val="18"/>
                <w:lang w:eastAsia="en-GB"/>
              </w:rPr>
            </w:pPr>
          </w:p>
        </w:tc>
      </w:tr>
      <w:tr w:rsidR="005520DD" w:rsidRPr="00C24F78" w14:paraId="2FA178D9" w14:textId="77777777" w:rsidTr="00F61E90">
        <w:trPr>
          <w:tblCellSpacing w:w="15" w:type="dxa"/>
        </w:trPr>
        <w:tc>
          <w:tcPr>
            <w:tcW w:w="0" w:type="auto"/>
            <w:vAlign w:val="center"/>
            <w:hideMark/>
          </w:tcPr>
          <w:p w14:paraId="29372074" w14:textId="77777777" w:rsidR="00271850" w:rsidRPr="00C24F78" w:rsidRDefault="00271850" w:rsidP="00F61E90">
            <w:pPr>
              <w:spacing w:after="0" w:line="240" w:lineRule="auto"/>
              <w:rPr>
                <w:rFonts w:eastAsia="Times New Roman" w:cstheme="minorHAnsi"/>
                <w:sz w:val="18"/>
                <w:szCs w:val="18"/>
                <w:lang w:eastAsia="en-GB"/>
              </w:rPr>
            </w:pPr>
          </w:p>
        </w:tc>
        <w:tc>
          <w:tcPr>
            <w:tcW w:w="0" w:type="auto"/>
            <w:vAlign w:val="center"/>
            <w:hideMark/>
          </w:tcPr>
          <w:p w14:paraId="42E4BDDC" w14:textId="77777777" w:rsidR="00271850" w:rsidRPr="00C24F78" w:rsidRDefault="00271850" w:rsidP="00F61E90">
            <w:pPr>
              <w:spacing w:after="0" w:line="240" w:lineRule="auto"/>
              <w:rPr>
                <w:rFonts w:eastAsia="Times New Roman" w:cstheme="minorHAnsi"/>
                <w:sz w:val="18"/>
                <w:szCs w:val="18"/>
                <w:lang w:eastAsia="en-GB"/>
              </w:rPr>
            </w:pPr>
            <w:r w:rsidRPr="00C24F78">
              <w:rPr>
                <w:rFonts w:eastAsia="Times New Roman" w:cstheme="minorHAnsi"/>
                <w:sz w:val="18"/>
                <w:szCs w:val="18"/>
                <w:lang w:eastAsia="en-GB"/>
              </w:rPr>
              <w:t xml:space="preserve">South East Coast </w:t>
            </w:r>
          </w:p>
        </w:tc>
        <w:tc>
          <w:tcPr>
            <w:tcW w:w="0" w:type="auto"/>
          </w:tcPr>
          <w:p w14:paraId="5C5471D8" w14:textId="09AD4CDB" w:rsidR="00271850" w:rsidRPr="00C24F78" w:rsidRDefault="00271850" w:rsidP="00F61E90">
            <w:pPr>
              <w:spacing w:after="0" w:line="240" w:lineRule="auto"/>
              <w:jc w:val="right"/>
              <w:rPr>
                <w:rFonts w:eastAsia="Times New Roman" w:cstheme="minorHAnsi"/>
                <w:sz w:val="18"/>
                <w:szCs w:val="18"/>
                <w:lang w:eastAsia="en-GB"/>
              </w:rPr>
            </w:pPr>
            <w:r w:rsidRPr="00C24F78">
              <w:rPr>
                <w:sz w:val="18"/>
                <w:szCs w:val="18"/>
              </w:rPr>
              <w:t>1</w:t>
            </w:r>
            <w:r>
              <w:rPr>
                <w:sz w:val="18"/>
                <w:szCs w:val="18"/>
              </w:rPr>
              <w:t>.</w:t>
            </w:r>
            <w:r w:rsidR="009A1B1D">
              <w:rPr>
                <w:sz w:val="18"/>
                <w:szCs w:val="18"/>
              </w:rPr>
              <w:t>31</w:t>
            </w:r>
          </w:p>
        </w:tc>
        <w:tc>
          <w:tcPr>
            <w:tcW w:w="0" w:type="auto"/>
          </w:tcPr>
          <w:p w14:paraId="2EA04BE7" w14:textId="7D50C79B" w:rsidR="00271850" w:rsidRPr="00C24F78" w:rsidRDefault="00271850" w:rsidP="00F61E90">
            <w:pPr>
              <w:spacing w:after="0" w:line="240" w:lineRule="auto"/>
              <w:jc w:val="right"/>
              <w:rPr>
                <w:rFonts w:eastAsia="Times New Roman" w:cstheme="minorHAnsi"/>
                <w:sz w:val="18"/>
                <w:szCs w:val="18"/>
                <w:lang w:eastAsia="en-GB"/>
              </w:rPr>
            </w:pPr>
            <w:r w:rsidRPr="00C24F78">
              <w:rPr>
                <w:sz w:val="18"/>
                <w:szCs w:val="18"/>
              </w:rPr>
              <w:t>0</w:t>
            </w:r>
            <w:r>
              <w:rPr>
                <w:sz w:val="18"/>
                <w:szCs w:val="18"/>
              </w:rPr>
              <w:t>.</w:t>
            </w:r>
            <w:r w:rsidR="009A1B1D">
              <w:rPr>
                <w:sz w:val="18"/>
                <w:szCs w:val="18"/>
              </w:rPr>
              <w:t>93</w:t>
            </w:r>
            <w:r w:rsidRPr="00C24F78">
              <w:rPr>
                <w:sz w:val="18"/>
                <w:szCs w:val="18"/>
              </w:rPr>
              <w:t>-1</w:t>
            </w:r>
            <w:r>
              <w:rPr>
                <w:sz w:val="18"/>
                <w:szCs w:val="18"/>
              </w:rPr>
              <w:t>.</w:t>
            </w:r>
            <w:r w:rsidR="003E421C">
              <w:rPr>
                <w:sz w:val="18"/>
                <w:szCs w:val="18"/>
              </w:rPr>
              <w:t>86</w:t>
            </w:r>
          </w:p>
        </w:tc>
        <w:tc>
          <w:tcPr>
            <w:tcW w:w="0" w:type="auto"/>
          </w:tcPr>
          <w:p w14:paraId="568CADFD" w14:textId="77777777" w:rsidR="00271850" w:rsidRPr="00C24F78" w:rsidRDefault="00271850" w:rsidP="00F61E90">
            <w:pPr>
              <w:spacing w:after="0" w:line="240" w:lineRule="auto"/>
              <w:jc w:val="right"/>
              <w:rPr>
                <w:rFonts w:eastAsia="Times New Roman" w:cstheme="minorHAnsi"/>
                <w:sz w:val="18"/>
                <w:szCs w:val="18"/>
                <w:lang w:eastAsia="en-GB"/>
              </w:rPr>
            </w:pPr>
          </w:p>
        </w:tc>
        <w:tc>
          <w:tcPr>
            <w:tcW w:w="0" w:type="auto"/>
          </w:tcPr>
          <w:p w14:paraId="6DFBB147" w14:textId="1F068A9C" w:rsidR="00271850" w:rsidRPr="00C24F78" w:rsidRDefault="00271850" w:rsidP="00F61E90">
            <w:pPr>
              <w:spacing w:after="0" w:line="240" w:lineRule="auto"/>
              <w:jc w:val="right"/>
              <w:rPr>
                <w:rFonts w:eastAsia="Times New Roman" w:cstheme="minorHAnsi"/>
                <w:sz w:val="18"/>
                <w:szCs w:val="18"/>
                <w:lang w:eastAsia="en-GB"/>
              </w:rPr>
            </w:pPr>
            <w:r w:rsidRPr="00C24F78">
              <w:rPr>
                <w:sz w:val="18"/>
                <w:szCs w:val="18"/>
              </w:rPr>
              <w:t>1</w:t>
            </w:r>
            <w:r>
              <w:rPr>
                <w:sz w:val="18"/>
                <w:szCs w:val="18"/>
              </w:rPr>
              <w:t>.</w:t>
            </w:r>
            <w:r w:rsidR="003E421C">
              <w:rPr>
                <w:sz w:val="18"/>
                <w:szCs w:val="18"/>
              </w:rPr>
              <w:t>11</w:t>
            </w:r>
          </w:p>
        </w:tc>
        <w:tc>
          <w:tcPr>
            <w:tcW w:w="0" w:type="auto"/>
          </w:tcPr>
          <w:p w14:paraId="6BCCDFFC" w14:textId="78F91829" w:rsidR="00271850" w:rsidRPr="00C24F78" w:rsidRDefault="00271850" w:rsidP="00F61E90">
            <w:pPr>
              <w:spacing w:after="0" w:line="240" w:lineRule="auto"/>
              <w:jc w:val="right"/>
              <w:rPr>
                <w:rFonts w:eastAsia="Times New Roman" w:cstheme="minorHAnsi"/>
                <w:sz w:val="18"/>
                <w:szCs w:val="18"/>
                <w:lang w:eastAsia="en-GB"/>
              </w:rPr>
            </w:pPr>
            <w:r w:rsidRPr="00C24F78">
              <w:rPr>
                <w:sz w:val="18"/>
                <w:szCs w:val="18"/>
              </w:rPr>
              <w:t>0</w:t>
            </w:r>
            <w:r>
              <w:rPr>
                <w:sz w:val="18"/>
                <w:szCs w:val="18"/>
              </w:rPr>
              <w:t>.</w:t>
            </w:r>
            <w:r w:rsidRPr="00C24F78">
              <w:rPr>
                <w:sz w:val="18"/>
                <w:szCs w:val="18"/>
              </w:rPr>
              <w:t>7</w:t>
            </w:r>
            <w:r w:rsidR="003E421C">
              <w:rPr>
                <w:sz w:val="18"/>
                <w:szCs w:val="18"/>
              </w:rPr>
              <w:t>9</w:t>
            </w:r>
            <w:r w:rsidRPr="00C24F78">
              <w:rPr>
                <w:sz w:val="18"/>
                <w:szCs w:val="18"/>
              </w:rPr>
              <w:t>-1</w:t>
            </w:r>
            <w:r>
              <w:rPr>
                <w:sz w:val="18"/>
                <w:szCs w:val="18"/>
              </w:rPr>
              <w:t>.</w:t>
            </w:r>
            <w:r w:rsidRPr="00C24F78">
              <w:rPr>
                <w:sz w:val="18"/>
                <w:szCs w:val="18"/>
              </w:rPr>
              <w:t>5</w:t>
            </w:r>
            <w:r w:rsidR="003E421C">
              <w:rPr>
                <w:sz w:val="18"/>
                <w:szCs w:val="18"/>
              </w:rPr>
              <w:t>7</w:t>
            </w:r>
          </w:p>
        </w:tc>
        <w:tc>
          <w:tcPr>
            <w:tcW w:w="0" w:type="auto"/>
            <w:vAlign w:val="center"/>
          </w:tcPr>
          <w:p w14:paraId="2DB9B5AB" w14:textId="77777777" w:rsidR="00271850" w:rsidRPr="00C24F78" w:rsidRDefault="00271850" w:rsidP="00F61E90">
            <w:pPr>
              <w:spacing w:after="0" w:line="240" w:lineRule="auto"/>
              <w:jc w:val="right"/>
              <w:rPr>
                <w:rFonts w:eastAsia="Times New Roman" w:cstheme="minorHAnsi"/>
                <w:sz w:val="18"/>
                <w:szCs w:val="18"/>
                <w:lang w:eastAsia="en-GB"/>
              </w:rPr>
            </w:pPr>
          </w:p>
        </w:tc>
        <w:tc>
          <w:tcPr>
            <w:tcW w:w="0" w:type="auto"/>
          </w:tcPr>
          <w:p w14:paraId="487B22FC" w14:textId="77777777" w:rsidR="00271850" w:rsidRPr="00C24F78" w:rsidRDefault="00271850" w:rsidP="00F61E90">
            <w:pPr>
              <w:spacing w:after="0" w:line="240" w:lineRule="auto"/>
              <w:jc w:val="right"/>
              <w:rPr>
                <w:rFonts w:eastAsia="Times New Roman" w:cstheme="minorHAnsi"/>
                <w:sz w:val="18"/>
                <w:szCs w:val="18"/>
                <w:lang w:eastAsia="en-GB"/>
              </w:rPr>
            </w:pPr>
          </w:p>
        </w:tc>
        <w:tc>
          <w:tcPr>
            <w:tcW w:w="0" w:type="auto"/>
          </w:tcPr>
          <w:p w14:paraId="36F9EA6D" w14:textId="0720E6D7" w:rsidR="00271850" w:rsidRPr="00C24F78" w:rsidRDefault="00271850" w:rsidP="00F61E90">
            <w:pPr>
              <w:spacing w:after="0" w:line="240" w:lineRule="auto"/>
              <w:jc w:val="right"/>
              <w:rPr>
                <w:rFonts w:eastAsia="Times New Roman" w:cstheme="minorHAnsi"/>
                <w:sz w:val="18"/>
                <w:szCs w:val="18"/>
                <w:lang w:eastAsia="en-GB"/>
              </w:rPr>
            </w:pPr>
            <w:r w:rsidRPr="00C24F78">
              <w:rPr>
                <w:sz w:val="18"/>
                <w:szCs w:val="18"/>
              </w:rPr>
              <w:t>0</w:t>
            </w:r>
            <w:r>
              <w:rPr>
                <w:sz w:val="18"/>
                <w:szCs w:val="18"/>
              </w:rPr>
              <w:t>.</w:t>
            </w:r>
            <w:r w:rsidRPr="00C24F78">
              <w:rPr>
                <w:sz w:val="18"/>
                <w:szCs w:val="18"/>
              </w:rPr>
              <w:t>9</w:t>
            </w:r>
            <w:r w:rsidR="005520DD">
              <w:rPr>
                <w:sz w:val="18"/>
                <w:szCs w:val="18"/>
              </w:rPr>
              <w:t>4</w:t>
            </w:r>
          </w:p>
        </w:tc>
        <w:tc>
          <w:tcPr>
            <w:tcW w:w="0" w:type="auto"/>
          </w:tcPr>
          <w:p w14:paraId="2CA31903" w14:textId="24494029" w:rsidR="00271850" w:rsidRPr="00C24F78" w:rsidRDefault="00271850" w:rsidP="00F61E90">
            <w:pPr>
              <w:spacing w:after="0" w:line="240" w:lineRule="auto"/>
              <w:jc w:val="right"/>
              <w:rPr>
                <w:rFonts w:eastAsia="Times New Roman" w:cstheme="minorHAnsi"/>
                <w:sz w:val="18"/>
                <w:szCs w:val="18"/>
                <w:lang w:eastAsia="en-GB"/>
              </w:rPr>
            </w:pPr>
            <w:r w:rsidRPr="00C24F78">
              <w:rPr>
                <w:sz w:val="18"/>
                <w:szCs w:val="18"/>
              </w:rPr>
              <w:t>0</w:t>
            </w:r>
            <w:r>
              <w:rPr>
                <w:sz w:val="18"/>
                <w:szCs w:val="18"/>
              </w:rPr>
              <w:t>.</w:t>
            </w:r>
            <w:r w:rsidR="005520DD">
              <w:rPr>
                <w:sz w:val="18"/>
                <w:szCs w:val="18"/>
              </w:rPr>
              <w:t>62</w:t>
            </w:r>
            <w:r w:rsidRPr="00C24F78">
              <w:rPr>
                <w:sz w:val="18"/>
                <w:szCs w:val="18"/>
              </w:rPr>
              <w:t>-1</w:t>
            </w:r>
            <w:r>
              <w:rPr>
                <w:sz w:val="18"/>
                <w:szCs w:val="18"/>
              </w:rPr>
              <w:t>.</w:t>
            </w:r>
            <w:r w:rsidR="005520DD">
              <w:rPr>
                <w:sz w:val="18"/>
                <w:szCs w:val="18"/>
              </w:rPr>
              <w:t>43</w:t>
            </w:r>
          </w:p>
        </w:tc>
        <w:tc>
          <w:tcPr>
            <w:tcW w:w="0" w:type="auto"/>
          </w:tcPr>
          <w:p w14:paraId="08035186" w14:textId="77777777" w:rsidR="00271850" w:rsidRPr="00C24F78" w:rsidRDefault="00271850" w:rsidP="00F61E90">
            <w:pPr>
              <w:spacing w:after="0" w:line="240" w:lineRule="auto"/>
              <w:jc w:val="right"/>
              <w:rPr>
                <w:rFonts w:eastAsia="Times New Roman" w:cstheme="minorHAnsi"/>
                <w:sz w:val="18"/>
                <w:szCs w:val="18"/>
                <w:lang w:eastAsia="en-GB"/>
              </w:rPr>
            </w:pPr>
            <w:r w:rsidRPr="00C24F78">
              <w:rPr>
                <w:rFonts w:eastAsia="Times New Roman" w:cstheme="minorHAnsi"/>
                <w:sz w:val="18"/>
                <w:szCs w:val="18"/>
                <w:lang w:eastAsia="en-GB"/>
              </w:rPr>
              <w:t>-</w:t>
            </w:r>
          </w:p>
        </w:tc>
        <w:tc>
          <w:tcPr>
            <w:tcW w:w="0" w:type="auto"/>
          </w:tcPr>
          <w:p w14:paraId="025B3576" w14:textId="77777777" w:rsidR="00271850" w:rsidRPr="00C24F78" w:rsidRDefault="00271850" w:rsidP="00F61E90">
            <w:pPr>
              <w:spacing w:after="0" w:line="240" w:lineRule="auto"/>
              <w:jc w:val="right"/>
              <w:rPr>
                <w:rFonts w:eastAsia="Times New Roman" w:cstheme="minorHAnsi"/>
                <w:sz w:val="18"/>
                <w:szCs w:val="18"/>
                <w:lang w:eastAsia="en-GB"/>
              </w:rPr>
            </w:pPr>
            <w:r w:rsidRPr="00C24F78">
              <w:rPr>
                <w:rFonts w:eastAsia="Times New Roman" w:cstheme="minorHAnsi"/>
                <w:sz w:val="18"/>
                <w:szCs w:val="18"/>
                <w:lang w:eastAsia="en-GB"/>
              </w:rPr>
              <w:t>-</w:t>
            </w:r>
          </w:p>
        </w:tc>
        <w:tc>
          <w:tcPr>
            <w:tcW w:w="0" w:type="auto"/>
          </w:tcPr>
          <w:p w14:paraId="001E90B1" w14:textId="77777777" w:rsidR="00271850" w:rsidRPr="00C24F78" w:rsidRDefault="00271850" w:rsidP="00F61E90">
            <w:pPr>
              <w:spacing w:after="0" w:line="240" w:lineRule="auto"/>
              <w:jc w:val="right"/>
              <w:rPr>
                <w:rFonts w:eastAsia="Times New Roman" w:cstheme="minorHAnsi"/>
                <w:sz w:val="18"/>
                <w:szCs w:val="18"/>
                <w:lang w:eastAsia="en-GB"/>
              </w:rPr>
            </w:pPr>
          </w:p>
        </w:tc>
      </w:tr>
      <w:tr w:rsidR="005520DD" w:rsidRPr="00C24F78" w14:paraId="79932CC6" w14:textId="77777777" w:rsidTr="00F61E90">
        <w:trPr>
          <w:tblCellSpacing w:w="15" w:type="dxa"/>
        </w:trPr>
        <w:tc>
          <w:tcPr>
            <w:tcW w:w="0" w:type="auto"/>
            <w:vAlign w:val="center"/>
          </w:tcPr>
          <w:p w14:paraId="60A5DD30" w14:textId="77777777" w:rsidR="00271850" w:rsidRPr="00C24F78" w:rsidRDefault="00271850" w:rsidP="00F61E90">
            <w:pPr>
              <w:spacing w:after="0" w:line="240" w:lineRule="auto"/>
              <w:rPr>
                <w:rFonts w:eastAsia="Times New Roman" w:cstheme="minorHAnsi"/>
                <w:sz w:val="18"/>
                <w:szCs w:val="18"/>
                <w:lang w:eastAsia="en-GB"/>
              </w:rPr>
            </w:pPr>
            <w:r w:rsidRPr="00C24F78">
              <w:rPr>
                <w:rFonts w:eastAsia="Times New Roman" w:cstheme="minorHAnsi"/>
                <w:sz w:val="18"/>
                <w:szCs w:val="18"/>
                <w:lang w:eastAsia="en-GB"/>
              </w:rPr>
              <w:t>IMD quintile</w:t>
            </w:r>
          </w:p>
        </w:tc>
        <w:tc>
          <w:tcPr>
            <w:tcW w:w="0" w:type="auto"/>
            <w:vAlign w:val="center"/>
          </w:tcPr>
          <w:p w14:paraId="56236B81" w14:textId="77777777" w:rsidR="00271850" w:rsidRPr="00C24F78" w:rsidRDefault="00271850" w:rsidP="00F61E90">
            <w:pPr>
              <w:spacing w:after="0" w:line="240" w:lineRule="auto"/>
              <w:rPr>
                <w:rFonts w:eastAsia="Times New Roman" w:cstheme="minorHAnsi"/>
                <w:sz w:val="18"/>
                <w:szCs w:val="18"/>
                <w:lang w:eastAsia="en-GB"/>
              </w:rPr>
            </w:pPr>
            <w:r w:rsidRPr="00C24F78">
              <w:rPr>
                <w:rFonts w:eastAsia="Times New Roman" w:cstheme="minorHAnsi"/>
                <w:sz w:val="18"/>
                <w:szCs w:val="18"/>
                <w:lang w:eastAsia="en-GB"/>
              </w:rPr>
              <w:t>1</w:t>
            </w:r>
          </w:p>
        </w:tc>
        <w:tc>
          <w:tcPr>
            <w:tcW w:w="0" w:type="auto"/>
            <w:vAlign w:val="center"/>
          </w:tcPr>
          <w:p w14:paraId="27E01160" w14:textId="77777777" w:rsidR="00271850" w:rsidRPr="00C24F78" w:rsidRDefault="00271850" w:rsidP="00F61E90">
            <w:pPr>
              <w:spacing w:after="0" w:line="240" w:lineRule="auto"/>
              <w:jc w:val="right"/>
              <w:rPr>
                <w:rFonts w:eastAsia="Times New Roman" w:cstheme="minorHAnsi"/>
                <w:i/>
                <w:sz w:val="18"/>
                <w:szCs w:val="18"/>
                <w:lang w:eastAsia="en-GB"/>
              </w:rPr>
            </w:pPr>
            <w:r w:rsidRPr="00C24F78">
              <w:rPr>
                <w:rFonts w:eastAsia="Times New Roman" w:cstheme="minorHAnsi"/>
                <w:i/>
                <w:sz w:val="18"/>
                <w:szCs w:val="18"/>
                <w:lang w:eastAsia="en-GB"/>
              </w:rPr>
              <w:t>ref</w:t>
            </w:r>
          </w:p>
        </w:tc>
        <w:tc>
          <w:tcPr>
            <w:tcW w:w="0" w:type="auto"/>
          </w:tcPr>
          <w:p w14:paraId="5A075DB9" w14:textId="77777777" w:rsidR="00271850" w:rsidRPr="00C24F78" w:rsidRDefault="00271850" w:rsidP="00F61E90">
            <w:pPr>
              <w:spacing w:after="0" w:line="240" w:lineRule="auto"/>
              <w:jc w:val="right"/>
              <w:rPr>
                <w:rFonts w:eastAsia="Times New Roman" w:cstheme="minorHAnsi"/>
                <w:i/>
                <w:sz w:val="18"/>
                <w:szCs w:val="18"/>
                <w:lang w:eastAsia="en-GB"/>
              </w:rPr>
            </w:pPr>
            <w:r w:rsidRPr="00C24F78">
              <w:rPr>
                <w:rFonts w:eastAsia="Times New Roman" w:cstheme="minorHAnsi"/>
                <w:i/>
                <w:sz w:val="18"/>
                <w:szCs w:val="18"/>
                <w:lang w:eastAsia="en-GB"/>
              </w:rPr>
              <w:t>ref</w:t>
            </w:r>
          </w:p>
        </w:tc>
        <w:tc>
          <w:tcPr>
            <w:tcW w:w="0" w:type="auto"/>
          </w:tcPr>
          <w:p w14:paraId="67A377D8" w14:textId="77777777" w:rsidR="00271850" w:rsidRPr="00C24F78" w:rsidRDefault="00271850" w:rsidP="00F61E90">
            <w:pPr>
              <w:spacing w:after="0" w:line="240" w:lineRule="auto"/>
              <w:jc w:val="right"/>
              <w:rPr>
                <w:rFonts w:eastAsia="Times New Roman" w:cstheme="minorHAnsi"/>
                <w:i/>
                <w:sz w:val="18"/>
                <w:szCs w:val="18"/>
                <w:lang w:eastAsia="en-GB"/>
              </w:rPr>
            </w:pPr>
          </w:p>
        </w:tc>
        <w:tc>
          <w:tcPr>
            <w:tcW w:w="0" w:type="auto"/>
            <w:vAlign w:val="center"/>
          </w:tcPr>
          <w:p w14:paraId="05397A0E" w14:textId="77777777" w:rsidR="00271850" w:rsidRPr="00C24F78" w:rsidRDefault="00271850" w:rsidP="00F61E90">
            <w:pPr>
              <w:spacing w:after="0" w:line="240" w:lineRule="auto"/>
              <w:jc w:val="right"/>
              <w:rPr>
                <w:rFonts w:eastAsia="Times New Roman" w:cstheme="minorHAnsi"/>
                <w:i/>
                <w:sz w:val="18"/>
                <w:szCs w:val="18"/>
                <w:lang w:eastAsia="en-GB"/>
              </w:rPr>
            </w:pPr>
            <w:r w:rsidRPr="00C24F78">
              <w:rPr>
                <w:rFonts w:eastAsia="Times New Roman" w:cstheme="minorHAnsi"/>
                <w:i/>
                <w:sz w:val="18"/>
                <w:szCs w:val="18"/>
                <w:lang w:eastAsia="en-GB"/>
              </w:rPr>
              <w:t>ref</w:t>
            </w:r>
          </w:p>
        </w:tc>
        <w:tc>
          <w:tcPr>
            <w:tcW w:w="0" w:type="auto"/>
            <w:vAlign w:val="center"/>
          </w:tcPr>
          <w:p w14:paraId="090C23BC" w14:textId="77777777" w:rsidR="00271850" w:rsidRPr="00C24F78" w:rsidRDefault="00271850" w:rsidP="00F61E90">
            <w:pPr>
              <w:spacing w:after="0" w:line="240" w:lineRule="auto"/>
              <w:jc w:val="right"/>
              <w:rPr>
                <w:rFonts w:eastAsia="Times New Roman" w:cstheme="minorHAnsi"/>
                <w:i/>
                <w:sz w:val="18"/>
                <w:szCs w:val="18"/>
                <w:lang w:eastAsia="en-GB"/>
              </w:rPr>
            </w:pPr>
            <w:r w:rsidRPr="00C24F78">
              <w:rPr>
                <w:rFonts w:eastAsia="Times New Roman" w:cstheme="minorHAnsi"/>
                <w:i/>
                <w:sz w:val="18"/>
                <w:szCs w:val="18"/>
                <w:lang w:eastAsia="en-GB"/>
              </w:rPr>
              <w:t>ref</w:t>
            </w:r>
          </w:p>
        </w:tc>
        <w:tc>
          <w:tcPr>
            <w:tcW w:w="0" w:type="auto"/>
            <w:vAlign w:val="center"/>
          </w:tcPr>
          <w:p w14:paraId="31C3A310" w14:textId="77777777" w:rsidR="00271850" w:rsidRPr="00C24F78" w:rsidRDefault="00271850" w:rsidP="00F61E90">
            <w:pPr>
              <w:spacing w:after="0" w:line="240" w:lineRule="auto"/>
              <w:jc w:val="right"/>
              <w:rPr>
                <w:rFonts w:eastAsia="Times New Roman" w:cstheme="minorHAnsi"/>
                <w:i/>
                <w:sz w:val="18"/>
                <w:szCs w:val="18"/>
                <w:lang w:eastAsia="en-GB"/>
              </w:rPr>
            </w:pPr>
          </w:p>
        </w:tc>
        <w:tc>
          <w:tcPr>
            <w:tcW w:w="0" w:type="auto"/>
          </w:tcPr>
          <w:p w14:paraId="39536665" w14:textId="77777777" w:rsidR="00271850" w:rsidRPr="00C24F78" w:rsidRDefault="00271850" w:rsidP="00F61E90">
            <w:pPr>
              <w:spacing w:after="0" w:line="240" w:lineRule="auto"/>
              <w:jc w:val="right"/>
              <w:rPr>
                <w:rFonts w:eastAsia="Times New Roman" w:cstheme="minorHAnsi"/>
                <w:sz w:val="18"/>
                <w:szCs w:val="18"/>
                <w:lang w:eastAsia="en-GB"/>
              </w:rPr>
            </w:pPr>
          </w:p>
        </w:tc>
        <w:tc>
          <w:tcPr>
            <w:tcW w:w="0" w:type="auto"/>
          </w:tcPr>
          <w:p w14:paraId="4F8BF267" w14:textId="77777777" w:rsidR="00271850" w:rsidRPr="00C24F78" w:rsidRDefault="00271850" w:rsidP="00F61E90">
            <w:pPr>
              <w:spacing w:after="0" w:line="240" w:lineRule="auto"/>
              <w:jc w:val="right"/>
              <w:rPr>
                <w:rFonts w:eastAsia="Times New Roman" w:cstheme="minorHAnsi"/>
                <w:sz w:val="18"/>
                <w:szCs w:val="18"/>
                <w:lang w:eastAsia="en-GB"/>
              </w:rPr>
            </w:pPr>
            <w:r w:rsidRPr="00C24F78">
              <w:rPr>
                <w:rFonts w:eastAsia="Times New Roman" w:cstheme="minorHAnsi"/>
                <w:i/>
                <w:sz w:val="18"/>
                <w:szCs w:val="18"/>
                <w:lang w:eastAsia="en-GB"/>
              </w:rPr>
              <w:t>ref</w:t>
            </w:r>
          </w:p>
        </w:tc>
        <w:tc>
          <w:tcPr>
            <w:tcW w:w="0" w:type="auto"/>
          </w:tcPr>
          <w:p w14:paraId="46DF3EB9" w14:textId="1084389B" w:rsidR="00271850" w:rsidRPr="00C24F78" w:rsidRDefault="005520DD" w:rsidP="00F61E90">
            <w:pPr>
              <w:spacing w:after="0" w:line="240" w:lineRule="auto"/>
              <w:jc w:val="right"/>
              <w:rPr>
                <w:rFonts w:eastAsia="Times New Roman" w:cstheme="minorHAnsi"/>
                <w:sz w:val="18"/>
                <w:szCs w:val="18"/>
                <w:lang w:eastAsia="en-GB"/>
              </w:rPr>
            </w:pPr>
            <w:r w:rsidRPr="00C24F78">
              <w:rPr>
                <w:rFonts w:eastAsia="Times New Roman" w:cstheme="minorHAnsi"/>
                <w:i/>
                <w:sz w:val="18"/>
                <w:szCs w:val="18"/>
                <w:lang w:eastAsia="en-GB"/>
              </w:rPr>
              <w:t>R</w:t>
            </w:r>
            <w:r w:rsidR="00271850" w:rsidRPr="00C24F78">
              <w:rPr>
                <w:rFonts w:eastAsia="Times New Roman" w:cstheme="minorHAnsi"/>
                <w:i/>
                <w:sz w:val="18"/>
                <w:szCs w:val="18"/>
                <w:lang w:eastAsia="en-GB"/>
              </w:rPr>
              <w:t>ef</w:t>
            </w:r>
          </w:p>
        </w:tc>
        <w:tc>
          <w:tcPr>
            <w:tcW w:w="0" w:type="auto"/>
          </w:tcPr>
          <w:p w14:paraId="7D7608DC" w14:textId="77777777" w:rsidR="00271850" w:rsidRPr="00C24F78" w:rsidRDefault="00271850" w:rsidP="00F61E90">
            <w:pPr>
              <w:spacing w:after="0" w:line="240" w:lineRule="auto"/>
              <w:jc w:val="right"/>
              <w:rPr>
                <w:rFonts w:eastAsia="Times New Roman" w:cstheme="minorHAnsi"/>
                <w:sz w:val="18"/>
                <w:szCs w:val="18"/>
                <w:lang w:eastAsia="en-GB"/>
              </w:rPr>
            </w:pPr>
            <w:r w:rsidRPr="00C24F78">
              <w:rPr>
                <w:rFonts w:eastAsia="Times New Roman" w:cstheme="minorHAnsi"/>
                <w:i/>
                <w:sz w:val="18"/>
                <w:szCs w:val="18"/>
                <w:lang w:eastAsia="en-GB"/>
              </w:rPr>
              <w:t>ref</w:t>
            </w:r>
          </w:p>
        </w:tc>
        <w:tc>
          <w:tcPr>
            <w:tcW w:w="0" w:type="auto"/>
          </w:tcPr>
          <w:p w14:paraId="343ECEF7" w14:textId="55ED2F07" w:rsidR="00271850" w:rsidRPr="00C24F78" w:rsidRDefault="005E71B7" w:rsidP="00F61E90">
            <w:pPr>
              <w:spacing w:after="0" w:line="240" w:lineRule="auto"/>
              <w:jc w:val="right"/>
              <w:rPr>
                <w:rFonts w:eastAsia="Times New Roman" w:cstheme="minorHAnsi"/>
                <w:sz w:val="18"/>
                <w:szCs w:val="18"/>
                <w:lang w:eastAsia="en-GB"/>
              </w:rPr>
            </w:pPr>
            <w:r w:rsidRPr="00C24F78">
              <w:rPr>
                <w:rFonts w:eastAsia="Times New Roman" w:cstheme="minorHAnsi"/>
                <w:i/>
                <w:sz w:val="18"/>
                <w:szCs w:val="18"/>
                <w:lang w:eastAsia="en-GB"/>
              </w:rPr>
              <w:t>R</w:t>
            </w:r>
            <w:r w:rsidR="00271850" w:rsidRPr="00C24F78">
              <w:rPr>
                <w:rFonts w:eastAsia="Times New Roman" w:cstheme="minorHAnsi"/>
                <w:i/>
                <w:sz w:val="18"/>
                <w:szCs w:val="18"/>
                <w:lang w:eastAsia="en-GB"/>
              </w:rPr>
              <w:t>ef</w:t>
            </w:r>
          </w:p>
        </w:tc>
        <w:tc>
          <w:tcPr>
            <w:tcW w:w="0" w:type="auto"/>
          </w:tcPr>
          <w:p w14:paraId="6896BB0F" w14:textId="77777777" w:rsidR="00271850" w:rsidRPr="00C24F78" w:rsidRDefault="00271850" w:rsidP="00F61E90">
            <w:pPr>
              <w:spacing w:after="0" w:line="240" w:lineRule="auto"/>
              <w:jc w:val="right"/>
              <w:rPr>
                <w:rFonts w:eastAsia="Times New Roman" w:cstheme="minorHAnsi"/>
                <w:sz w:val="18"/>
                <w:szCs w:val="18"/>
                <w:lang w:eastAsia="en-GB"/>
              </w:rPr>
            </w:pPr>
          </w:p>
        </w:tc>
      </w:tr>
      <w:tr w:rsidR="005520DD" w:rsidRPr="00C24F78" w14:paraId="79BC3146" w14:textId="77777777" w:rsidTr="00F61E90">
        <w:trPr>
          <w:tblCellSpacing w:w="15" w:type="dxa"/>
        </w:trPr>
        <w:tc>
          <w:tcPr>
            <w:tcW w:w="0" w:type="auto"/>
            <w:vAlign w:val="center"/>
          </w:tcPr>
          <w:p w14:paraId="1E29B193" w14:textId="77777777" w:rsidR="00271850" w:rsidRPr="00C24F78" w:rsidRDefault="00271850" w:rsidP="00F61E90">
            <w:pPr>
              <w:spacing w:after="0" w:line="240" w:lineRule="auto"/>
              <w:rPr>
                <w:rFonts w:eastAsia="Times New Roman" w:cstheme="minorHAnsi"/>
                <w:sz w:val="18"/>
                <w:szCs w:val="18"/>
                <w:lang w:eastAsia="en-GB"/>
              </w:rPr>
            </w:pPr>
          </w:p>
        </w:tc>
        <w:tc>
          <w:tcPr>
            <w:tcW w:w="0" w:type="auto"/>
            <w:vAlign w:val="center"/>
          </w:tcPr>
          <w:p w14:paraId="408E21CE" w14:textId="77777777" w:rsidR="00271850" w:rsidRPr="00C24F78" w:rsidRDefault="00271850" w:rsidP="00F61E90">
            <w:pPr>
              <w:spacing w:after="0" w:line="240" w:lineRule="auto"/>
              <w:rPr>
                <w:rFonts w:eastAsia="Times New Roman" w:cstheme="minorHAnsi"/>
                <w:sz w:val="18"/>
                <w:szCs w:val="18"/>
                <w:lang w:eastAsia="en-GB"/>
              </w:rPr>
            </w:pPr>
            <w:r w:rsidRPr="00C24F78">
              <w:rPr>
                <w:rFonts w:eastAsia="Times New Roman" w:cstheme="minorHAnsi"/>
                <w:sz w:val="18"/>
                <w:szCs w:val="18"/>
                <w:lang w:eastAsia="en-GB"/>
              </w:rPr>
              <w:t>2</w:t>
            </w:r>
          </w:p>
        </w:tc>
        <w:tc>
          <w:tcPr>
            <w:tcW w:w="0" w:type="auto"/>
          </w:tcPr>
          <w:p w14:paraId="27B3A7AA" w14:textId="77777777" w:rsidR="00271850" w:rsidRPr="00C24F78" w:rsidRDefault="00271850" w:rsidP="00F61E90">
            <w:pPr>
              <w:spacing w:after="0" w:line="240" w:lineRule="auto"/>
              <w:jc w:val="right"/>
              <w:rPr>
                <w:rFonts w:eastAsia="Times New Roman" w:cstheme="minorHAnsi"/>
                <w:sz w:val="18"/>
                <w:szCs w:val="18"/>
                <w:lang w:eastAsia="en-GB"/>
              </w:rPr>
            </w:pPr>
            <w:r w:rsidRPr="00C24F78">
              <w:rPr>
                <w:sz w:val="18"/>
                <w:szCs w:val="18"/>
              </w:rPr>
              <w:t>0</w:t>
            </w:r>
            <w:r>
              <w:rPr>
                <w:sz w:val="18"/>
                <w:szCs w:val="18"/>
              </w:rPr>
              <w:t>.</w:t>
            </w:r>
            <w:r w:rsidRPr="00C24F78">
              <w:rPr>
                <w:sz w:val="18"/>
                <w:szCs w:val="18"/>
              </w:rPr>
              <w:t>96</w:t>
            </w:r>
          </w:p>
        </w:tc>
        <w:tc>
          <w:tcPr>
            <w:tcW w:w="0" w:type="auto"/>
          </w:tcPr>
          <w:p w14:paraId="3233F7B4" w14:textId="13B78D49" w:rsidR="00271850" w:rsidRPr="00C24F78" w:rsidRDefault="00271850" w:rsidP="00F61E90">
            <w:pPr>
              <w:spacing w:after="0" w:line="240" w:lineRule="auto"/>
              <w:jc w:val="right"/>
              <w:rPr>
                <w:rFonts w:eastAsia="Times New Roman" w:cstheme="minorHAnsi"/>
                <w:sz w:val="18"/>
                <w:szCs w:val="18"/>
                <w:lang w:eastAsia="en-GB"/>
              </w:rPr>
            </w:pPr>
            <w:r w:rsidRPr="00C24F78">
              <w:rPr>
                <w:sz w:val="18"/>
                <w:szCs w:val="18"/>
              </w:rPr>
              <w:t>0</w:t>
            </w:r>
            <w:r>
              <w:rPr>
                <w:sz w:val="18"/>
                <w:szCs w:val="18"/>
              </w:rPr>
              <w:t>.</w:t>
            </w:r>
            <w:r w:rsidRPr="00C24F78">
              <w:rPr>
                <w:sz w:val="18"/>
                <w:szCs w:val="18"/>
              </w:rPr>
              <w:t>8</w:t>
            </w:r>
            <w:r w:rsidR="009A1B1D">
              <w:rPr>
                <w:sz w:val="18"/>
                <w:szCs w:val="18"/>
              </w:rPr>
              <w:t>4</w:t>
            </w:r>
            <w:r w:rsidRPr="00C24F78">
              <w:rPr>
                <w:sz w:val="18"/>
                <w:szCs w:val="18"/>
              </w:rPr>
              <w:t>-1</w:t>
            </w:r>
            <w:r>
              <w:rPr>
                <w:sz w:val="18"/>
                <w:szCs w:val="18"/>
              </w:rPr>
              <w:t>.</w:t>
            </w:r>
            <w:r w:rsidRPr="00C24F78">
              <w:rPr>
                <w:sz w:val="18"/>
                <w:szCs w:val="18"/>
              </w:rPr>
              <w:t>1</w:t>
            </w:r>
            <w:r w:rsidR="009A1B1D">
              <w:rPr>
                <w:sz w:val="18"/>
                <w:szCs w:val="18"/>
              </w:rPr>
              <w:t>1</w:t>
            </w:r>
          </w:p>
        </w:tc>
        <w:tc>
          <w:tcPr>
            <w:tcW w:w="0" w:type="auto"/>
          </w:tcPr>
          <w:p w14:paraId="0EB29128" w14:textId="77777777" w:rsidR="00271850" w:rsidRPr="00C24F78" w:rsidRDefault="00271850" w:rsidP="00F61E90">
            <w:pPr>
              <w:spacing w:after="0" w:line="240" w:lineRule="auto"/>
              <w:jc w:val="right"/>
              <w:rPr>
                <w:rFonts w:eastAsia="Times New Roman" w:cstheme="minorHAnsi"/>
                <w:sz w:val="18"/>
                <w:szCs w:val="18"/>
                <w:lang w:eastAsia="en-GB"/>
              </w:rPr>
            </w:pPr>
          </w:p>
        </w:tc>
        <w:tc>
          <w:tcPr>
            <w:tcW w:w="0" w:type="auto"/>
          </w:tcPr>
          <w:p w14:paraId="73775A0F" w14:textId="03B3D25C" w:rsidR="00271850" w:rsidRPr="00C24F78" w:rsidRDefault="00271850" w:rsidP="00F61E90">
            <w:pPr>
              <w:spacing w:after="0" w:line="240" w:lineRule="auto"/>
              <w:jc w:val="right"/>
              <w:rPr>
                <w:rFonts w:eastAsia="Times New Roman" w:cstheme="minorHAnsi"/>
                <w:sz w:val="18"/>
                <w:szCs w:val="18"/>
                <w:lang w:eastAsia="en-GB"/>
              </w:rPr>
            </w:pPr>
            <w:r w:rsidRPr="00C24F78">
              <w:rPr>
                <w:sz w:val="18"/>
                <w:szCs w:val="18"/>
              </w:rPr>
              <w:t>0</w:t>
            </w:r>
            <w:r>
              <w:rPr>
                <w:sz w:val="18"/>
                <w:szCs w:val="18"/>
              </w:rPr>
              <w:t>.</w:t>
            </w:r>
            <w:r w:rsidRPr="00C24F78">
              <w:rPr>
                <w:sz w:val="18"/>
                <w:szCs w:val="18"/>
              </w:rPr>
              <w:t>9</w:t>
            </w:r>
            <w:r w:rsidR="009A1B1D">
              <w:rPr>
                <w:sz w:val="18"/>
                <w:szCs w:val="18"/>
              </w:rPr>
              <w:t>7</w:t>
            </w:r>
          </w:p>
        </w:tc>
        <w:tc>
          <w:tcPr>
            <w:tcW w:w="0" w:type="auto"/>
          </w:tcPr>
          <w:p w14:paraId="44C6E9EF" w14:textId="3A67979D" w:rsidR="00271850" w:rsidRPr="00C24F78" w:rsidRDefault="00271850" w:rsidP="00F61E90">
            <w:pPr>
              <w:spacing w:after="0" w:line="240" w:lineRule="auto"/>
              <w:jc w:val="right"/>
              <w:rPr>
                <w:rFonts w:eastAsia="Times New Roman" w:cstheme="minorHAnsi"/>
                <w:sz w:val="18"/>
                <w:szCs w:val="18"/>
                <w:lang w:eastAsia="en-GB"/>
              </w:rPr>
            </w:pPr>
            <w:r w:rsidRPr="00C24F78">
              <w:rPr>
                <w:sz w:val="18"/>
                <w:szCs w:val="18"/>
              </w:rPr>
              <w:t>0</w:t>
            </w:r>
            <w:r>
              <w:rPr>
                <w:sz w:val="18"/>
                <w:szCs w:val="18"/>
              </w:rPr>
              <w:t>.</w:t>
            </w:r>
            <w:r w:rsidRPr="00C24F78">
              <w:rPr>
                <w:sz w:val="18"/>
                <w:szCs w:val="18"/>
              </w:rPr>
              <w:t>8</w:t>
            </w:r>
            <w:r w:rsidR="009A1B1D">
              <w:rPr>
                <w:sz w:val="18"/>
                <w:szCs w:val="18"/>
              </w:rPr>
              <w:t>4</w:t>
            </w:r>
            <w:r w:rsidRPr="00C24F78">
              <w:rPr>
                <w:sz w:val="18"/>
                <w:szCs w:val="18"/>
              </w:rPr>
              <w:t>-1</w:t>
            </w:r>
            <w:r>
              <w:rPr>
                <w:sz w:val="18"/>
                <w:szCs w:val="18"/>
              </w:rPr>
              <w:t>.</w:t>
            </w:r>
            <w:r w:rsidRPr="00C24F78">
              <w:rPr>
                <w:sz w:val="18"/>
                <w:szCs w:val="18"/>
              </w:rPr>
              <w:t>1</w:t>
            </w:r>
            <w:r w:rsidR="009A1B1D">
              <w:rPr>
                <w:sz w:val="18"/>
                <w:szCs w:val="18"/>
              </w:rPr>
              <w:t>2</w:t>
            </w:r>
          </w:p>
        </w:tc>
        <w:tc>
          <w:tcPr>
            <w:tcW w:w="0" w:type="auto"/>
            <w:vAlign w:val="center"/>
          </w:tcPr>
          <w:p w14:paraId="1E0952AA" w14:textId="77777777" w:rsidR="00271850" w:rsidRPr="00C24F78" w:rsidRDefault="00271850" w:rsidP="00F61E90">
            <w:pPr>
              <w:spacing w:after="0" w:line="240" w:lineRule="auto"/>
              <w:jc w:val="right"/>
              <w:rPr>
                <w:rFonts w:eastAsia="Times New Roman" w:cstheme="minorHAnsi"/>
                <w:sz w:val="18"/>
                <w:szCs w:val="18"/>
                <w:lang w:eastAsia="en-GB"/>
              </w:rPr>
            </w:pPr>
          </w:p>
        </w:tc>
        <w:tc>
          <w:tcPr>
            <w:tcW w:w="0" w:type="auto"/>
          </w:tcPr>
          <w:p w14:paraId="66B4F941" w14:textId="77777777" w:rsidR="00271850" w:rsidRPr="00C24F78" w:rsidRDefault="00271850" w:rsidP="00F61E90">
            <w:pPr>
              <w:spacing w:after="0" w:line="240" w:lineRule="auto"/>
              <w:jc w:val="right"/>
              <w:rPr>
                <w:rFonts w:eastAsia="Times New Roman" w:cstheme="minorHAnsi"/>
                <w:sz w:val="18"/>
                <w:szCs w:val="18"/>
                <w:lang w:eastAsia="en-GB"/>
              </w:rPr>
            </w:pPr>
          </w:p>
        </w:tc>
        <w:tc>
          <w:tcPr>
            <w:tcW w:w="0" w:type="auto"/>
          </w:tcPr>
          <w:p w14:paraId="47CB26FA" w14:textId="333047CA" w:rsidR="00271850" w:rsidRPr="00C24F78" w:rsidRDefault="00271850" w:rsidP="00F61E90">
            <w:pPr>
              <w:spacing w:after="0" w:line="240" w:lineRule="auto"/>
              <w:jc w:val="right"/>
              <w:rPr>
                <w:rFonts w:eastAsia="Times New Roman" w:cstheme="minorHAnsi"/>
                <w:sz w:val="18"/>
                <w:szCs w:val="18"/>
                <w:lang w:eastAsia="en-GB"/>
              </w:rPr>
            </w:pPr>
            <w:r w:rsidRPr="00C24F78">
              <w:rPr>
                <w:sz w:val="18"/>
                <w:szCs w:val="18"/>
              </w:rPr>
              <w:t>1</w:t>
            </w:r>
            <w:r>
              <w:rPr>
                <w:sz w:val="18"/>
                <w:szCs w:val="18"/>
              </w:rPr>
              <w:t>.</w:t>
            </w:r>
            <w:r w:rsidR="005520DD">
              <w:rPr>
                <w:sz w:val="18"/>
                <w:szCs w:val="18"/>
              </w:rPr>
              <w:t>20</w:t>
            </w:r>
          </w:p>
        </w:tc>
        <w:tc>
          <w:tcPr>
            <w:tcW w:w="0" w:type="auto"/>
          </w:tcPr>
          <w:p w14:paraId="57A32208" w14:textId="2CC3B45E" w:rsidR="00271850" w:rsidRPr="00C24F78" w:rsidRDefault="00271850" w:rsidP="00F61E90">
            <w:pPr>
              <w:spacing w:after="0" w:line="240" w:lineRule="auto"/>
              <w:jc w:val="right"/>
              <w:rPr>
                <w:rFonts w:eastAsia="Times New Roman" w:cstheme="minorHAnsi"/>
                <w:sz w:val="18"/>
                <w:szCs w:val="18"/>
                <w:lang w:eastAsia="en-GB"/>
              </w:rPr>
            </w:pPr>
            <w:r w:rsidRPr="00C24F78">
              <w:rPr>
                <w:sz w:val="18"/>
                <w:szCs w:val="18"/>
              </w:rPr>
              <w:t>0</w:t>
            </w:r>
            <w:r>
              <w:rPr>
                <w:sz w:val="18"/>
                <w:szCs w:val="18"/>
              </w:rPr>
              <w:t>.</w:t>
            </w:r>
            <w:r w:rsidRPr="00C24F78">
              <w:rPr>
                <w:sz w:val="18"/>
                <w:szCs w:val="18"/>
              </w:rPr>
              <w:t>9</w:t>
            </w:r>
            <w:r w:rsidR="005520DD">
              <w:rPr>
                <w:sz w:val="18"/>
                <w:szCs w:val="18"/>
              </w:rPr>
              <w:t>6</w:t>
            </w:r>
            <w:r w:rsidRPr="00C24F78">
              <w:rPr>
                <w:sz w:val="18"/>
                <w:szCs w:val="18"/>
              </w:rPr>
              <w:t>-1</w:t>
            </w:r>
            <w:r>
              <w:rPr>
                <w:sz w:val="18"/>
                <w:szCs w:val="18"/>
              </w:rPr>
              <w:t>.</w:t>
            </w:r>
            <w:r w:rsidR="005520DD">
              <w:rPr>
                <w:sz w:val="18"/>
                <w:szCs w:val="18"/>
              </w:rPr>
              <w:t>51</w:t>
            </w:r>
          </w:p>
        </w:tc>
        <w:tc>
          <w:tcPr>
            <w:tcW w:w="0" w:type="auto"/>
          </w:tcPr>
          <w:p w14:paraId="285D6540" w14:textId="6AEB3736" w:rsidR="00271850" w:rsidRPr="00C24F78" w:rsidRDefault="00271850" w:rsidP="00F61E90">
            <w:pPr>
              <w:spacing w:after="0" w:line="240" w:lineRule="auto"/>
              <w:jc w:val="right"/>
              <w:rPr>
                <w:rFonts w:eastAsia="Times New Roman" w:cstheme="minorHAnsi"/>
                <w:sz w:val="18"/>
                <w:szCs w:val="18"/>
                <w:lang w:eastAsia="en-GB"/>
              </w:rPr>
            </w:pPr>
            <w:r w:rsidRPr="00C24F78">
              <w:rPr>
                <w:sz w:val="18"/>
                <w:szCs w:val="18"/>
              </w:rPr>
              <w:t>1</w:t>
            </w:r>
            <w:r>
              <w:rPr>
                <w:sz w:val="18"/>
                <w:szCs w:val="18"/>
              </w:rPr>
              <w:t>.</w:t>
            </w:r>
            <w:r w:rsidR="005520DD">
              <w:rPr>
                <w:sz w:val="18"/>
                <w:szCs w:val="18"/>
              </w:rPr>
              <w:t>20</w:t>
            </w:r>
          </w:p>
        </w:tc>
        <w:tc>
          <w:tcPr>
            <w:tcW w:w="0" w:type="auto"/>
          </w:tcPr>
          <w:p w14:paraId="220201A6" w14:textId="36BF71A8" w:rsidR="00271850" w:rsidRPr="00C24F78" w:rsidRDefault="00271850" w:rsidP="00F61E90">
            <w:pPr>
              <w:spacing w:after="0" w:line="240" w:lineRule="auto"/>
              <w:jc w:val="right"/>
              <w:rPr>
                <w:rFonts w:eastAsia="Times New Roman" w:cstheme="minorHAnsi"/>
                <w:sz w:val="18"/>
                <w:szCs w:val="18"/>
                <w:lang w:eastAsia="en-GB"/>
              </w:rPr>
            </w:pPr>
            <w:r w:rsidRPr="00C24F78">
              <w:rPr>
                <w:sz w:val="18"/>
                <w:szCs w:val="18"/>
              </w:rPr>
              <w:t>0</w:t>
            </w:r>
            <w:r>
              <w:rPr>
                <w:sz w:val="18"/>
                <w:szCs w:val="18"/>
              </w:rPr>
              <w:t>.</w:t>
            </w:r>
            <w:r w:rsidRPr="00C24F78">
              <w:rPr>
                <w:sz w:val="18"/>
                <w:szCs w:val="18"/>
              </w:rPr>
              <w:t>9</w:t>
            </w:r>
            <w:r w:rsidR="005520DD">
              <w:rPr>
                <w:sz w:val="18"/>
                <w:szCs w:val="18"/>
              </w:rPr>
              <w:t>6</w:t>
            </w:r>
            <w:r w:rsidRPr="00C24F78">
              <w:rPr>
                <w:sz w:val="18"/>
                <w:szCs w:val="18"/>
              </w:rPr>
              <w:t>-1</w:t>
            </w:r>
            <w:r>
              <w:rPr>
                <w:sz w:val="18"/>
                <w:szCs w:val="18"/>
              </w:rPr>
              <w:t>.</w:t>
            </w:r>
            <w:r w:rsidR="005520DD">
              <w:rPr>
                <w:sz w:val="18"/>
                <w:szCs w:val="18"/>
              </w:rPr>
              <w:t>51</w:t>
            </w:r>
          </w:p>
        </w:tc>
        <w:tc>
          <w:tcPr>
            <w:tcW w:w="0" w:type="auto"/>
          </w:tcPr>
          <w:p w14:paraId="4205F607" w14:textId="77777777" w:rsidR="00271850" w:rsidRPr="00C24F78" w:rsidRDefault="00271850" w:rsidP="00F61E90">
            <w:pPr>
              <w:spacing w:after="0" w:line="240" w:lineRule="auto"/>
              <w:jc w:val="right"/>
              <w:rPr>
                <w:rFonts w:eastAsia="Times New Roman" w:cstheme="minorHAnsi"/>
                <w:sz w:val="18"/>
                <w:szCs w:val="18"/>
                <w:lang w:eastAsia="en-GB"/>
              </w:rPr>
            </w:pPr>
          </w:p>
        </w:tc>
      </w:tr>
      <w:tr w:rsidR="005520DD" w:rsidRPr="00C24F78" w14:paraId="121157F1" w14:textId="77777777" w:rsidTr="00F61E90">
        <w:trPr>
          <w:tblCellSpacing w:w="15" w:type="dxa"/>
        </w:trPr>
        <w:tc>
          <w:tcPr>
            <w:tcW w:w="0" w:type="auto"/>
            <w:vAlign w:val="center"/>
          </w:tcPr>
          <w:p w14:paraId="43BB3640" w14:textId="77777777" w:rsidR="00271850" w:rsidRPr="00C24F78" w:rsidRDefault="00271850" w:rsidP="00F61E90">
            <w:pPr>
              <w:spacing w:after="0" w:line="240" w:lineRule="auto"/>
              <w:rPr>
                <w:rFonts w:eastAsia="Times New Roman" w:cstheme="minorHAnsi"/>
                <w:sz w:val="18"/>
                <w:szCs w:val="18"/>
                <w:lang w:eastAsia="en-GB"/>
              </w:rPr>
            </w:pPr>
          </w:p>
        </w:tc>
        <w:tc>
          <w:tcPr>
            <w:tcW w:w="0" w:type="auto"/>
            <w:vAlign w:val="center"/>
          </w:tcPr>
          <w:p w14:paraId="001D1DC7" w14:textId="77777777" w:rsidR="00271850" w:rsidRPr="00C24F78" w:rsidRDefault="00271850" w:rsidP="00F61E90">
            <w:pPr>
              <w:spacing w:after="0" w:line="240" w:lineRule="auto"/>
              <w:rPr>
                <w:rFonts w:eastAsia="Times New Roman" w:cstheme="minorHAnsi"/>
                <w:sz w:val="18"/>
                <w:szCs w:val="18"/>
                <w:lang w:eastAsia="en-GB"/>
              </w:rPr>
            </w:pPr>
            <w:r w:rsidRPr="00C24F78">
              <w:rPr>
                <w:rFonts w:eastAsia="Times New Roman" w:cstheme="minorHAnsi"/>
                <w:sz w:val="18"/>
                <w:szCs w:val="18"/>
                <w:lang w:eastAsia="en-GB"/>
              </w:rPr>
              <w:t>3</w:t>
            </w:r>
          </w:p>
        </w:tc>
        <w:tc>
          <w:tcPr>
            <w:tcW w:w="0" w:type="auto"/>
          </w:tcPr>
          <w:p w14:paraId="780C1DAD" w14:textId="6977F96B" w:rsidR="00271850" w:rsidRPr="00C24F78" w:rsidRDefault="00271850" w:rsidP="00F61E90">
            <w:pPr>
              <w:spacing w:after="0" w:line="240" w:lineRule="auto"/>
              <w:jc w:val="right"/>
              <w:rPr>
                <w:rFonts w:eastAsia="Times New Roman" w:cstheme="minorHAnsi"/>
                <w:sz w:val="18"/>
                <w:szCs w:val="18"/>
                <w:lang w:eastAsia="en-GB"/>
              </w:rPr>
            </w:pPr>
            <w:r w:rsidRPr="00C24F78">
              <w:rPr>
                <w:sz w:val="18"/>
                <w:szCs w:val="18"/>
              </w:rPr>
              <w:t>0</w:t>
            </w:r>
            <w:r>
              <w:rPr>
                <w:sz w:val="18"/>
                <w:szCs w:val="18"/>
              </w:rPr>
              <w:t>.</w:t>
            </w:r>
            <w:r w:rsidRPr="00C24F78">
              <w:rPr>
                <w:sz w:val="18"/>
                <w:szCs w:val="18"/>
              </w:rPr>
              <w:t>8</w:t>
            </w:r>
            <w:r w:rsidR="009A1B1D">
              <w:rPr>
                <w:sz w:val="18"/>
                <w:szCs w:val="18"/>
              </w:rPr>
              <w:t>6</w:t>
            </w:r>
          </w:p>
        </w:tc>
        <w:tc>
          <w:tcPr>
            <w:tcW w:w="0" w:type="auto"/>
          </w:tcPr>
          <w:p w14:paraId="03DB7382" w14:textId="3AA87156" w:rsidR="00271850" w:rsidRPr="00C24F78" w:rsidRDefault="00271850" w:rsidP="00F61E90">
            <w:pPr>
              <w:spacing w:after="0" w:line="240" w:lineRule="auto"/>
              <w:jc w:val="right"/>
              <w:rPr>
                <w:rFonts w:eastAsia="Times New Roman" w:cstheme="minorHAnsi"/>
                <w:sz w:val="18"/>
                <w:szCs w:val="18"/>
                <w:lang w:eastAsia="en-GB"/>
              </w:rPr>
            </w:pPr>
            <w:r w:rsidRPr="00C24F78">
              <w:rPr>
                <w:sz w:val="18"/>
                <w:szCs w:val="18"/>
              </w:rPr>
              <w:t>0</w:t>
            </w:r>
            <w:r>
              <w:rPr>
                <w:sz w:val="18"/>
                <w:szCs w:val="18"/>
              </w:rPr>
              <w:t>.</w:t>
            </w:r>
            <w:r w:rsidRPr="00C24F78">
              <w:rPr>
                <w:sz w:val="18"/>
                <w:szCs w:val="18"/>
              </w:rPr>
              <w:t>75-1</w:t>
            </w:r>
            <w:r>
              <w:rPr>
                <w:sz w:val="18"/>
                <w:szCs w:val="18"/>
              </w:rPr>
              <w:t>.</w:t>
            </w:r>
            <w:r w:rsidRPr="00C24F78">
              <w:rPr>
                <w:sz w:val="18"/>
                <w:szCs w:val="18"/>
              </w:rPr>
              <w:t>0</w:t>
            </w:r>
            <w:r w:rsidR="009A1B1D">
              <w:rPr>
                <w:sz w:val="18"/>
                <w:szCs w:val="18"/>
              </w:rPr>
              <w:t>0</w:t>
            </w:r>
          </w:p>
        </w:tc>
        <w:tc>
          <w:tcPr>
            <w:tcW w:w="0" w:type="auto"/>
          </w:tcPr>
          <w:p w14:paraId="14EAF541" w14:textId="77777777" w:rsidR="00271850" w:rsidRPr="00C24F78" w:rsidRDefault="00271850" w:rsidP="00F61E90">
            <w:pPr>
              <w:spacing w:after="0" w:line="240" w:lineRule="auto"/>
              <w:jc w:val="right"/>
              <w:rPr>
                <w:rFonts w:eastAsia="Times New Roman" w:cstheme="minorHAnsi"/>
                <w:sz w:val="18"/>
                <w:szCs w:val="18"/>
                <w:lang w:eastAsia="en-GB"/>
              </w:rPr>
            </w:pPr>
          </w:p>
        </w:tc>
        <w:tc>
          <w:tcPr>
            <w:tcW w:w="0" w:type="auto"/>
          </w:tcPr>
          <w:p w14:paraId="14CF8CD7" w14:textId="6B10C68F" w:rsidR="00271850" w:rsidRPr="00C24F78" w:rsidRDefault="00271850" w:rsidP="00F61E90">
            <w:pPr>
              <w:spacing w:after="0" w:line="240" w:lineRule="auto"/>
              <w:jc w:val="right"/>
              <w:rPr>
                <w:rFonts w:eastAsia="Times New Roman" w:cstheme="minorHAnsi"/>
                <w:sz w:val="18"/>
                <w:szCs w:val="18"/>
                <w:lang w:eastAsia="en-GB"/>
              </w:rPr>
            </w:pPr>
            <w:r w:rsidRPr="00C24F78">
              <w:rPr>
                <w:sz w:val="18"/>
                <w:szCs w:val="18"/>
              </w:rPr>
              <w:t>0</w:t>
            </w:r>
            <w:r>
              <w:rPr>
                <w:sz w:val="18"/>
                <w:szCs w:val="18"/>
              </w:rPr>
              <w:t>.</w:t>
            </w:r>
            <w:r w:rsidRPr="00C24F78">
              <w:rPr>
                <w:sz w:val="18"/>
                <w:szCs w:val="18"/>
              </w:rPr>
              <w:t>8</w:t>
            </w:r>
            <w:r w:rsidR="009A1B1D">
              <w:rPr>
                <w:sz w:val="18"/>
                <w:szCs w:val="18"/>
              </w:rPr>
              <w:t>7</w:t>
            </w:r>
          </w:p>
        </w:tc>
        <w:tc>
          <w:tcPr>
            <w:tcW w:w="0" w:type="auto"/>
          </w:tcPr>
          <w:p w14:paraId="795ADFDB" w14:textId="77777777" w:rsidR="00271850" w:rsidRPr="00C24F78" w:rsidRDefault="00271850" w:rsidP="00F61E90">
            <w:pPr>
              <w:spacing w:after="0" w:line="240" w:lineRule="auto"/>
              <w:jc w:val="right"/>
              <w:rPr>
                <w:rFonts w:eastAsia="Times New Roman" w:cstheme="minorHAnsi"/>
                <w:sz w:val="18"/>
                <w:szCs w:val="18"/>
                <w:lang w:eastAsia="en-GB"/>
              </w:rPr>
            </w:pPr>
            <w:r w:rsidRPr="00C24F78">
              <w:rPr>
                <w:sz w:val="18"/>
                <w:szCs w:val="18"/>
              </w:rPr>
              <w:t>0</w:t>
            </w:r>
            <w:r>
              <w:rPr>
                <w:sz w:val="18"/>
                <w:szCs w:val="18"/>
              </w:rPr>
              <w:t>.</w:t>
            </w:r>
            <w:r w:rsidRPr="00C24F78">
              <w:rPr>
                <w:sz w:val="18"/>
                <w:szCs w:val="18"/>
              </w:rPr>
              <w:t>75-1</w:t>
            </w:r>
            <w:r>
              <w:rPr>
                <w:sz w:val="18"/>
                <w:szCs w:val="18"/>
              </w:rPr>
              <w:t>.</w:t>
            </w:r>
            <w:r w:rsidRPr="00C24F78">
              <w:rPr>
                <w:sz w:val="18"/>
                <w:szCs w:val="18"/>
              </w:rPr>
              <w:t>02</w:t>
            </w:r>
          </w:p>
        </w:tc>
        <w:tc>
          <w:tcPr>
            <w:tcW w:w="0" w:type="auto"/>
            <w:vAlign w:val="center"/>
          </w:tcPr>
          <w:p w14:paraId="2E4AC6E7" w14:textId="77777777" w:rsidR="00271850" w:rsidRPr="00C24F78" w:rsidRDefault="00271850" w:rsidP="00F61E90">
            <w:pPr>
              <w:spacing w:after="0" w:line="240" w:lineRule="auto"/>
              <w:jc w:val="right"/>
              <w:rPr>
                <w:rFonts w:eastAsia="Times New Roman" w:cstheme="minorHAnsi"/>
                <w:sz w:val="18"/>
                <w:szCs w:val="18"/>
                <w:lang w:eastAsia="en-GB"/>
              </w:rPr>
            </w:pPr>
          </w:p>
        </w:tc>
        <w:tc>
          <w:tcPr>
            <w:tcW w:w="0" w:type="auto"/>
          </w:tcPr>
          <w:p w14:paraId="05BD4697" w14:textId="77777777" w:rsidR="00271850" w:rsidRPr="00C24F78" w:rsidRDefault="00271850" w:rsidP="00F61E90">
            <w:pPr>
              <w:spacing w:after="0" w:line="240" w:lineRule="auto"/>
              <w:jc w:val="right"/>
              <w:rPr>
                <w:rFonts w:eastAsia="Times New Roman" w:cstheme="minorHAnsi"/>
                <w:sz w:val="18"/>
                <w:szCs w:val="18"/>
                <w:lang w:eastAsia="en-GB"/>
              </w:rPr>
            </w:pPr>
          </w:p>
        </w:tc>
        <w:tc>
          <w:tcPr>
            <w:tcW w:w="0" w:type="auto"/>
          </w:tcPr>
          <w:p w14:paraId="4949CAF3" w14:textId="7D9E3F60" w:rsidR="00271850" w:rsidRPr="00C24F78" w:rsidRDefault="00271850" w:rsidP="00F61E90">
            <w:pPr>
              <w:spacing w:after="0" w:line="240" w:lineRule="auto"/>
              <w:jc w:val="right"/>
              <w:rPr>
                <w:rFonts w:eastAsia="Times New Roman" w:cstheme="minorHAnsi"/>
                <w:sz w:val="18"/>
                <w:szCs w:val="18"/>
                <w:lang w:eastAsia="en-GB"/>
              </w:rPr>
            </w:pPr>
            <w:r w:rsidRPr="00C24F78">
              <w:rPr>
                <w:sz w:val="18"/>
                <w:szCs w:val="18"/>
              </w:rPr>
              <w:t>1</w:t>
            </w:r>
            <w:r>
              <w:rPr>
                <w:sz w:val="18"/>
                <w:szCs w:val="18"/>
              </w:rPr>
              <w:t>.</w:t>
            </w:r>
            <w:r w:rsidRPr="00C24F78">
              <w:rPr>
                <w:sz w:val="18"/>
                <w:szCs w:val="18"/>
              </w:rPr>
              <w:t>0</w:t>
            </w:r>
            <w:r w:rsidR="005520DD">
              <w:rPr>
                <w:sz w:val="18"/>
                <w:szCs w:val="18"/>
              </w:rPr>
              <w:t>5</w:t>
            </w:r>
          </w:p>
        </w:tc>
        <w:tc>
          <w:tcPr>
            <w:tcW w:w="0" w:type="auto"/>
          </w:tcPr>
          <w:p w14:paraId="2EFB99AE" w14:textId="7BB0BC6C" w:rsidR="00271850" w:rsidRPr="00C24F78" w:rsidRDefault="00271850" w:rsidP="00F61E90">
            <w:pPr>
              <w:spacing w:after="0" w:line="240" w:lineRule="auto"/>
              <w:jc w:val="right"/>
              <w:rPr>
                <w:rFonts w:eastAsia="Times New Roman" w:cstheme="minorHAnsi"/>
                <w:sz w:val="18"/>
                <w:szCs w:val="18"/>
                <w:lang w:eastAsia="en-GB"/>
              </w:rPr>
            </w:pPr>
            <w:r w:rsidRPr="00C24F78">
              <w:rPr>
                <w:sz w:val="18"/>
                <w:szCs w:val="18"/>
              </w:rPr>
              <w:t>0</w:t>
            </w:r>
            <w:r>
              <w:rPr>
                <w:sz w:val="18"/>
                <w:szCs w:val="18"/>
              </w:rPr>
              <w:t>.</w:t>
            </w:r>
            <w:r w:rsidRPr="00C24F78">
              <w:rPr>
                <w:sz w:val="18"/>
                <w:szCs w:val="18"/>
              </w:rPr>
              <w:t>8</w:t>
            </w:r>
            <w:r w:rsidR="005520DD">
              <w:rPr>
                <w:sz w:val="18"/>
                <w:szCs w:val="18"/>
              </w:rPr>
              <w:t>3</w:t>
            </w:r>
            <w:r w:rsidRPr="00C24F78">
              <w:rPr>
                <w:sz w:val="18"/>
                <w:szCs w:val="18"/>
              </w:rPr>
              <w:t>-1</w:t>
            </w:r>
            <w:r>
              <w:rPr>
                <w:sz w:val="18"/>
                <w:szCs w:val="18"/>
              </w:rPr>
              <w:t>.</w:t>
            </w:r>
            <w:r w:rsidRPr="00C24F78">
              <w:rPr>
                <w:sz w:val="18"/>
                <w:szCs w:val="18"/>
              </w:rPr>
              <w:t>3</w:t>
            </w:r>
            <w:r w:rsidR="005520DD">
              <w:rPr>
                <w:sz w:val="18"/>
                <w:szCs w:val="18"/>
              </w:rPr>
              <w:t>3</w:t>
            </w:r>
          </w:p>
        </w:tc>
        <w:tc>
          <w:tcPr>
            <w:tcW w:w="0" w:type="auto"/>
          </w:tcPr>
          <w:p w14:paraId="0543740B" w14:textId="46397C43" w:rsidR="00271850" w:rsidRPr="00C24F78" w:rsidRDefault="00271850" w:rsidP="00F61E90">
            <w:pPr>
              <w:spacing w:after="0" w:line="240" w:lineRule="auto"/>
              <w:jc w:val="right"/>
              <w:rPr>
                <w:rFonts w:eastAsia="Times New Roman" w:cstheme="minorHAnsi"/>
                <w:sz w:val="18"/>
                <w:szCs w:val="18"/>
                <w:lang w:eastAsia="en-GB"/>
              </w:rPr>
            </w:pPr>
            <w:r w:rsidRPr="00C24F78">
              <w:rPr>
                <w:sz w:val="18"/>
                <w:szCs w:val="18"/>
              </w:rPr>
              <w:t>1</w:t>
            </w:r>
            <w:r>
              <w:rPr>
                <w:sz w:val="18"/>
                <w:szCs w:val="18"/>
              </w:rPr>
              <w:t>.</w:t>
            </w:r>
            <w:r w:rsidRPr="00C24F78">
              <w:rPr>
                <w:sz w:val="18"/>
                <w:szCs w:val="18"/>
              </w:rPr>
              <w:t>0</w:t>
            </w:r>
            <w:r w:rsidR="005520DD">
              <w:rPr>
                <w:sz w:val="18"/>
                <w:szCs w:val="18"/>
              </w:rPr>
              <w:t>5</w:t>
            </w:r>
          </w:p>
        </w:tc>
        <w:tc>
          <w:tcPr>
            <w:tcW w:w="0" w:type="auto"/>
          </w:tcPr>
          <w:p w14:paraId="07C77695" w14:textId="6EB47459" w:rsidR="00271850" w:rsidRPr="00C24F78" w:rsidRDefault="00271850" w:rsidP="00F61E90">
            <w:pPr>
              <w:spacing w:after="0" w:line="240" w:lineRule="auto"/>
              <w:jc w:val="right"/>
              <w:rPr>
                <w:rFonts w:eastAsia="Times New Roman" w:cstheme="minorHAnsi"/>
                <w:sz w:val="18"/>
                <w:szCs w:val="18"/>
                <w:lang w:eastAsia="en-GB"/>
              </w:rPr>
            </w:pPr>
            <w:r w:rsidRPr="00C24F78">
              <w:rPr>
                <w:sz w:val="18"/>
                <w:szCs w:val="18"/>
              </w:rPr>
              <w:t>0</w:t>
            </w:r>
            <w:r>
              <w:rPr>
                <w:sz w:val="18"/>
                <w:szCs w:val="18"/>
              </w:rPr>
              <w:t>.</w:t>
            </w:r>
            <w:r w:rsidRPr="00C24F78">
              <w:rPr>
                <w:sz w:val="18"/>
                <w:szCs w:val="18"/>
              </w:rPr>
              <w:t>8</w:t>
            </w:r>
            <w:r w:rsidR="005520DD">
              <w:rPr>
                <w:sz w:val="18"/>
                <w:szCs w:val="18"/>
              </w:rPr>
              <w:t>3</w:t>
            </w:r>
            <w:r w:rsidRPr="00C24F78">
              <w:rPr>
                <w:sz w:val="18"/>
                <w:szCs w:val="18"/>
              </w:rPr>
              <w:t>-1</w:t>
            </w:r>
            <w:r>
              <w:rPr>
                <w:sz w:val="18"/>
                <w:szCs w:val="18"/>
              </w:rPr>
              <w:t>.</w:t>
            </w:r>
            <w:r w:rsidRPr="00C24F78">
              <w:rPr>
                <w:sz w:val="18"/>
                <w:szCs w:val="18"/>
              </w:rPr>
              <w:t>3</w:t>
            </w:r>
            <w:r w:rsidR="005520DD">
              <w:rPr>
                <w:sz w:val="18"/>
                <w:szCs w:val="18"/>
              </w:rPr>
              <w:t>3</w:t>
            </w:r>
          </w:p>
        </w:tc>
        <w:tc>
          <w:tcPr>
            <w:tcW w:w="0" w:type="auto"/>
          </w:tcPr>
          <w:p w14:paraId="0A1CE888" w14:textId="77777777" w:rsidR="00271850" w:rsidRPr="00C24F78" w:rsidRDefault="00271850" w:rsidP="00F61E90">
            <w:pPr>
              <w:spacing w:after="0" w:line="240" w:lineRule="auto"/>
              <w:jc w:val="right"/>
              <w:rPr>
                <w:rFonts w:eastAsia="Times New Roman" w:cstheme="minorHAnsi"/>
                <w:sz w:val="18"/>
                <w:szCs w:val="18"/>
                <w:lang w:eastAsia="en-GB"/>
              </w:rPr>
            </w:pPr>
          </w:p>
        </w:tc>
      </w:tr>
      <w:tr w:rsidR="005520DD" w:rsidRPr="00C24F78" w14:paraId="599091BD" w14:textId="77777777" w:rsidTr="00F61E90">
        <w:trPr>
          <w:tblCellSpacing w:w="15" w:type="dxa"/>
        </w:trPr>
        <w:tc>
          <w:tcPr>
            <w:tcW w:w="0" w:type="auto"/>
            <w:vAlign w:val="center"/>
          </w:tcPr>
          <w:p w14:paraId="3E67644F" w14:textId="77777777" w:rsidR="00271850" w:rsidRPr="00C24F78" w:rsidRDefault="00271850" w:rsidP="00F61E90">
            <w:pPr>
              <w:spacing w:after="0" w:line="240" w:lineRule="auto"/>
              <w:rPr>
                <w:rFonts w:eastAsia="Times New Roman" w:cstheme="minorHAnsi"/>
                <w:sz w:val="18"/>
                <w:szCs w:val="18"/>
                <w:lang w:eastAsia="en-GB"/>
              </w:rPr>
            </w:pPr>
          </w:p>
        </w:tc>
        <w:tc>
          <w:tcPr>
            <w:tcW w:w="0" w:type="auto"/>
            <w:vAlign w:val="center"/>
          </w:tcPr>
          <w:p w14:paraId="1F80078A" w14:textId="77777777" w:rsidR="00271850" w:rsidRPr="00C24F78" w:rsidRDefault="00271850" w:rsidP="00F61E90">
            <w:pPr>
              <w:spacing w:after="0" w:line="240" w:lineRule="auto"/>
              <w:rPr>
                <w:rFonts w:eastAsia="Times New Roman" w:cstheme="minorHAnsi"/>
                <w:sz w:val="18"/>
                <w:szCs w:val="18"/>
                <w:lang w:eastAsia="en-GB"/>
              </w:rPr>
            </w:pPr>
            <w:r w:rsidRPr="00C24F78">
              <w:rPr>
                <w:rFonts w:eastAsia="Times New Roman" w:cstheme="minorHAnsi"/>
                <w:sz w:val="18"/>
                <w:szCs w:val="18"/>
                <w:lang w:eastAsia="en-GB"/>
              </w:rPr>
              <w:t>4</w:t>
            </w:r>
          </w:p>
        </w:tc>
        <w:tc>
          <w:tcPr>
            <w:tcW w:w="0" w:type="auto"/>
          </w:tcPr>
          <w:p w14:paraId="0DADEEA3" w14:textId="1BE06ACD" w:rsidR="00271850" w:rsidRPr="00C24F78" w:rsidRDefault="00271850" w:rsidP="00F61E90">
            <w:pPr>
              <w:spacing w:after="0" w:line="240" w:lineRule="auto"/>
              <w:jc w:val="right"/>
              <w:rPr>
                <w:rFonts w:eastAsia="Times New Roman" w:cstheme="minorHAnsi"/>
                <w:sz w:val="18"/>
                <w:szCs w:val="18"/>
                <w:lang w:eastAsia="en-GB"/>
              </w:rPr>
            </w:pPr>
            <w:r w:rsidRPr="00C24F78">
              <w:rPr>
                <w:sz w:val="18"/>
                <w:szCs w:val="18"/>
              </w:rPr>
              <w:t>0</w:t>
            </w:r>
            <w:r>
              <w:rPr>
                <w:sz w:val="18"/>
                <w:szCs w:val="18"/>
              </w:rPr>
              <w:t>.</w:t>
            </w:r>
            <w:r w:rsidRPr="00C24F78">
              <w:rPr>
                <w:sz w:val="18"/>
                <w:szCs w:val="18"/>
              </w:rPr>
              <w:t>7</w:t>
            </w:r>
            <w:r w:rsidR="009A1B1D">
              <w:rPr>
                <w:sz w:val="18"/>
                <w:szCs w:val="18"/>
              </w:rPr>
              <w:t>2</w:t>
            </w:r>
          </w:p>
        </w:tc>
        <w:tc>
          <w:tcPr>
            <w:tcW w:w="0" w:type="auto"/>
          </w:tcPr>
          <w:p w14:paraId="64A88ADA" w14:textId="0B6E06AE" w:rsidR="00271850" w:rsidRPr="00C24F78" w:rsidRDefault="00271850" w:rsidP="00F61E90">
            <w:pPr>
              <w:spacing w:after="0" w:line="240" w:lineRule="auto"/>
              <w:jc w:val="right"/>
              <w:rPr>
                <w:rFonts w:eastAsia="Times New Roman" w:cstheme="minorHAnsi"/>
                <w:sz w:val="18"/>
                <w:szCs w:val="18"/>
                <w:lang w:eastAsia="en-GB"/>
              </w:rPr>
            </w:pPr>
            <w:r w:rsidRPr="00C24F78">
              <w:rPr>
                <w:sz w:val="18"/>
                <w:szCs w:val="18"/>
              </w:rPr>
              <w:t>0</w:t>
            </w:r>
            <w:r>
              <w:rPr>
                <w:sz w:val="18"/>
                <w:szCs w:val="18"/>
              </w:rPr>
              <w:t>.</w:t>
            </w:r>
            <w:r w:rsidRPr="00C24F78">
              <w:rPr>
                <w:sz w:val="18"/>
                <w:szCs w:val="18"/>
              </w:rPr>
              <w:t>61-0</w:t>
            </w:r>
            <w:r>
              <w:rPr>
                <w:sz w:val="18"/>
                <w:szCs w:val="18"/>
              </w:rPr>
              <w:t>.</w:t>
            </w:r>
            <w:r w:rsidRPr="00C24F78">
              <w:rPr>
                <w:sz w:val="18"/>
                <w:szCs w:val="18"/>
              </w:rPr>
              <w:t>8</w:t>
            </w:r>
            <w:r w:rsidR="009A1B1D">
              <w:rPr>
                <w:sz w:val="18"/>
                <w:szCs w:val="18"/>
              </w:rPr>
              <w:t>4</w:t>
            </w:r>
          </w:p>
        </w:tc>
        <w:tc>
          <w:tcPr>
            <w:tcW w:w="0" w:type="auto"/>
          </w:tcPr>
          <w:p w14:paraId="30E3AA68" w14:textId="77777777" w:rsidR="00271850" w:rsidRPr="00C24F78" w:rsidRDefault="00271850" w:rsidP="00F61E90">
            <w:pPr>
              <w:spacing w:after="0" w:line="240" w:lineRule="auto"/>
              <w:jc w:val="right"/>
              <w:rPr>
                <w:rFonts w:eastAsia="Times New Roman" w:cstheme="minorHAnsi"/>
                <w:sz w:val="18"/>
                <w:szCs w:val="18"/>
                <w:lang w:eastAsia="en-GB"/>
              </w:rPr>
            </w:pPr>
          </w:p>
        </w:tc>
        <w:tc>
          <w:tcPr>
            <w:tcW w:w="0" w:type="auto"/>
          </w:tcPr>
          <w:p w14:paraId="290D3020" w14:textId="1702EA46" w:rsidR="00271850" w:rsidRPr="00C24F78" w:rsidRDefault="00271850" w:rsidP="00F61E90">
            <w:pPr>
              <w:spacing w:after="0" w:line="240" w:lineRule="auto"/>
              <w:jc w:val="right"/>
              <w:rPr>
                <w:rFonts w:eastAsia="Times New Roman" w:cstheme="minorHAnsi"/>
                <w:sz w:val="18"/>
                <w:szCs w:val="18"/>
                <w:lang w:eastAsia="en-GB"/>
              </w:rPr>
            </w:pPr>
            <w:r w:rsidRPr="00C24F78">
              <w:rPr>
                <w:sz w:val="18"/>
                <w:szCs w:val="18"/>
              </w:rPr>
              <w:t>0</w:t>
            </w:r>
            <w:r>
              <w:rPr>
                <w:sz w:val="18"/>
                <w:szCs w:val="18"/>
              </w:rPr>
              <w:t>.</w:t>
            </w:r>
            <w:r w:rsidRPr="00C24F78">
              <w:rPr>
                <w:sz w:val="18"/>
                <w:szCs w:val="18"/>
              </w:rPr>
              <w:t>7</w:t>
            </w:r>
            <w:r w:rsidR="009A1B1D">
              <w:rPr>
                <w:sz w:val="18"/>
                <w:szCs w:val="18"/>
              </w:rPr>
              <w:t>3</w:t>
            </w:r>
          </w:p>
        </w:tc>
        <w:tc>
          <w:tcPr>
            <w:tcW w:w="0" w:type="auto"/>
          </w:tcPr>
          <w:p w14:paraId="79FBF504" w14:textId="34E11C43" w:rsidR="00271850" w:rsidRPr="00C24F78" w:rsidRDefault="00271850" w:rsidP="00F61E90">
            <w:pPr>
              <w:spacing w:after="0" w:line="240" w:lineRule="auto"/>
              <w:jc w:val="right"/>
              <w:rPr>
                <w:rFonts w:eastAsia="Times New Roman" w:cstheme="minorHAnsi"/>
                <w:sz w:val="18"/>
                <w:szCs w:val="18"/>
                <w:lang w:eastAsia="en-GB"/>
              </w:rPr>
            </w:pPr>
            <w:r w:rsidRPr="00C24F78">
              <w:rPr>
                <w:sz w:val="18"/>
                <w:szCs w:val="18"/>
              </w:rPr>
              <w:t>0</w:t>
            </w:r>
            <w:r>
              <w:rPr>
                <w:sz w:val="18"/>
                <w:szCs w:val="18"/>
              </w:rPr>
              <w:t>.</w:t>
            </w:r>
            <w:r w:rsidRPr="00C24F78">
              <w:rPr>
                <w:sz w:val="18"/>
                <w:szCs w:val="18"/>
              </w:rPr>
              <w:t>6</w:t>
            </w:r>
            <w:r w:rsidR="009A1B1D">
              <w:rPr>
                <w:sz w:val="18"/>
                <w:szCs w:val="18"/>
              </w:rPr>
              <w:t>2</w:t>
            </w:r>
            <w:r w:rsidRPr="00C24F78">
              <w:rPr>
                <w:sz w:val="18"/>
                <w:szCs w:val="18"/>
              </w:rPr>
              <w:t>-0</w:t>
            </w:r>
            <w:r>
              <w:rPr>
                <w:sz w:val="18"/>
                <w:szCs w:val="18"/>
              </w:rPr>
              <w:t>.</w:t>
            </w:r>
            <w:r w:rsidRPr="00C24F78">
              <w:rPr>
                <w:sz w:val="18"/>
                <w:szCs w:val="18"/>
              </w:rPr>
              <w:t>8</w:t>
            </w:r>
            <w:r w:rsidR="009A1B1D">
              <w:rPr>
                <w:sz w:val="18"/>
                <w:szCs w:val="18"/>
              </w:rPr>
              <w:t>5</w:t>
            </w:r>
          </w:p>
        </w:tc>
        <w:tc>
          <w:tcPr>
            <w:tcW w:w="0" w:type="auto"/>
            <w:vAlign w:val="center"/>
          </w:tcPr>
          <w:p w14:paraId="51F39FE6" w14:textId="77777777" w:rsidR="00271850" w:rsidRPr="00C24F78" w:rsidRDefault="00271850" w:rsidP="00F61E90">
            <w:pPr>
              <w:spacing w:after="0" w:line="240" w:lineRule="auto"/>
              <w:jc w:val="right"/>
              <w:rPr>
                <w:rFonts w:eastAsia="Times New Roman" w:cstheme="minorHAnsi"/>
                <w:sz w:val="18"/>
                <w:szCs w:val="18"/>
                <w:lang w:eastAsia="en-GB"/>
              </w:rPr>
            </w:pPr>
          </w:p>
        </w:tc>
        <w:tc>
          <w:tcPr>
            <w:tcW w:w="0" w:type="auto"/>
          </w:tcPr>
          <w:p w14:paraId="0A4A27BB" w14:textId="77777777" w:rsidR="00271850" w:rsidRPr="00C24F78" w:rsidRDefault="00271850" w:rsidP="00F61E90">
            <w:pPr>
              <w:spacing w:after="0" w:line="240" w:lineRule="auto"/>
              <w:jc w:val="right"/>
              <w:rPr>
                <w:rFonts w:eastAsia="Times New Roman" w:cstheme="minorHAnsi"/>
                <w:sz w:val="18"/>
                <w:szCs w:val="18"/>
                <w:lang w:eastAsia="en-GB"/>
              </w:rPr>
            </w:pPr>
          </w:p>
        </w:tc>
        <w:tc>
          <w:tcPr>
            <w:tcW w:w="0" w:type="auto"/>
          </w:tcPr>
          <w:p w14:paraId="59E2D6FF" w14:textId="3B05F6DB" w:rsidR="00271850" w:rsidRPr="00C24F78" w:rsidRDefault="00271850" w:rsidP="00F61E90">
            <w:pPr>
              <w:spacing w:after="0" w:line="240" w:lineRule="auto"/>
              <w:jc w:val="right"/>
              <w:rPr>
                <w:rFonts w:eastAsia="Times New Roman" w:cstheme="minorHAnsi"/>
                <w:sz w:val="18"/>
                <w:szCs w:val="18"/>
                <w:lang w:eastAsia="en-GB"/>
              </w:rPr>
            </w:pPr>
            <w:r w:rsidRPr="00C24F78">
              <w:rPr>
                <w:sz w:val="18"/>
                <w:szCs w:val="18"/>
              </w:rPr>
              <w:t>1</w:t>
            </w:r>
            <w:r>
              <w:rPr>
                <w:sz w:val="18"/>
                <w:szCs w:val="18"/>
              </w:rPr>
              <w:t>.</w:t>
            </w:r>
            <w:r w:rsidRPr="00C24F78">
              <w:rPr>
                <w:sz w:val="18"/>
                <w:szCs w:val="18"/>
              </w:rPr>
              <w:t>1</w:t>
            </w:r>
            <w:r w:rsidR="005520DD">
              <w:rPr>
                <w:sz w:val="18"/>
                <w:szCs w:val="18"/>
              </w:rPr>
              <w:t>0</w:t>
            </w:r>
          </w:p>
        </w:tc>
        <w:tc>
          <w:tcPr>
            <w:tcW w:w="0" w:type="auto"/>
          </w:tcPr>
          <w:p w14:paraId="6E5ED8F7" w14:textId="06E367F3" w:rsidR="00271850" w:rsidRPr="00C24F78" w:rsidRDefault="00271850" w:rsidP="00F61E90">
            <w:pPr>
              <w:spacing w:after="0" w:line="240" w:lineRule="auto"/>
              <w:jc w:val="right"/>
              <w:rPr>
                <w:rFonts w:eastAsia="Times New Roman" w:cstheme="minorHAnsi"/>
                <w:sz w:val="18"/>
                <w:szCs w:val="18"/>
                <w:lang w:eastAsia="en-GB"/>
              </w:rPr>
            </w:pPr>
            <w:r w:rsidRPr="00C24F78">
              <w:rPr>
                <w:sz w:val="18"/>
                <w:szCs w:val="18"/>
              </w:rPr>
              <w:t>0</w:t>
            </w:r>
            <w:r>
              <w:rPr>
                <w:sz w:val="18"/>
                <w:szCs w:val="18"/>
              </w:rPr>
              <w:t>.</w:t>
            </w:r>
            <w:r w:rsidR="005520DD">
              <w:rPr>
                <w:sz w:val="18"/>
                <w:szCs w:val="18"/>
              </w:rPr>
              <w:t>87</w:t>
            </w:r>
            <w:r w:rsidRPr="00C24F78">
              <w:rPr>
                <w:sz w:val="18"/>
                <w:szCs w:val="18"/>
              </w:rPr>
              <w:t>-1</w:t>
            </w:r>
            <w:r>
              <w:rPr>
                <w:sz w:val="18"/>
                <w:szCs w:val="18"/>
              </w:rPr>
              <w:t>.</w:t>
            </w:r>
            <w:r w:rsidR="005520DD">
              <w:rPr>
                <w:sz w:val="18"/>
                <w:szCs w:val="18"/>
              </w:rPr>
              <w:t>38</w:t>
            </w:r>
          </w:p>
        </w:tc>
        <w:tc>
          <w:tcPr>
            <w:tcW w:w="0" w:type="auto"/>
          </w:tcPr>
          <w:p w14:paraId="47B65DE3" w14:textId="5D179809" w:rsidR="00271850" w:rsidRPr="00C24F78" w:rsidRDefault="00271850" w:rsidP="00F61E90">
            <w:pPr>
              <w:spacing w:after="0" w:line="240" w:lineRule="auto"/>
              <w:jc w:val="right"/>
              <w:rPr>
                <w:rFonts w:eastAsia="Times New Roman" w:cstheme="minorHAnsi"/>
                <w:sz w:val="18"/>
                <w:szCs w:val="18"/>
                <w:lang w:eastAsia="en-GB"/>
              </w:rPr>
            </w:pPr>
            <w:r w:rsidRPr="00C24F78">
              <w:rPr>
                <w:sz w:val="18"/>
                <w:szCs w:val="18"/>
              </w:rPr>
              <w:t>1</w:t>
            </w:r>
            <w:r>
              <w:rPr>
                <w:sz w:val="18"/>
                <w:szCs w:val="18"/>
              </w:rPr>
              <w:t>.</w:t>
            </w:r>
            <w:r w:rsidRPr="00C24F78">
              <w:rPr>
                <w:sz w:val="18"/>
                <w:szCs w:val="18"/>
              </w:rPr>
              <w:t>1</w:t>
            </w:r>
            <w:r w:rsidR="005520DD">
              <w:rPr>
                <w:sz w:val="18"/>
                <w:szCs w:val="18"/>
              </w:rPr>
              <w:t>0</w:t>
            </w:r>
          </w:p>
        </w:tc>
        <w:tc>
          <w:tcPr>
            <w:tcW w:w="0" w:type="auto"/>
          </w:tcPr>
          <w:p w14:paraId="3A3CA582" w14:textId="7A60CB1A" w:rsidR="00271850" w:rsidRPr="00C24F78" w:rsidRDefault="00271850" w:rsidP="00F61E90">
            <w:pPr>
              <w:spacing w:after="0" w:line="240" w:lineRule="auto"/>
              <w:jc w:val="right"/>
              <w:rPr>
                <w:rFonts w:eastAsia="Times New Roman" w:cstheme="minorHAnsi"/>
                <w:sz w:val="18"/>
                <w:szCs w:val="18"/>
                <w:lang w:eastAsia="en-GB"/>
              </w:rPr>
            </w:pPr>
            <w:r w:rsidRPr="00C24F78">
              <w:rPr>
                <w:sz w:val="18"/>
                <w:szCs w:val="18"/>
              </w:rPr>
              <w:t>0</w:t>
            </w:r>
            <w:r>
              <w:rPr>
                <w:sz w:val="18"/>
                <w:szCs w:val="18"/>
              </w:rPr>
              <w:t>.</w:t>
            </w:r>
            <w:r w:rsidR="005520DD">
              <w:rPr>
                <w:sz w:val="18"/>
                <w:szCs w:val="18"/>
              </w:rPr>
              <w:t>87</w:t>
            </w:r>
            <w:r w:rsidRPr="00C24F78">
              <w:rPr>
                <w:sz w:val="18"/>
                <w:szCs w:val="18"/>
              </w:rPr>
              <w:t>-1</w:t>
            </w:r>
            <w:r>
              <w:rPr>
                <w:sz w:val="18"/>
                <w:szCs w:val="18"/>
              </w:rPr>
              <w:t>.</w:t>
            </w:r>
            <w:r w:rsidR="005520DD">
              <w:rPr>
                <w:sz w:val="18"/>
                <w:szCs w:val="18"/>
              </w:rPr>
              <w:t>39</w:t>
            </w:r>
          </w:p>
        </w:tc>
        <w:tc>
          <w:tcPr>
            <w:tcW w:w="0" w:type="auto"/>
          </w:tcPr>
          <w:p w14:paraId="43A6301D" w14:textId="77777777" w:rsidR="00271850" w:rsidRPr="00C24F78" w:rsidRDefault="00271850" w:rsidP="00F61E90">
            <w:pPr>
              <w:spacing w:after="0" w:line="240" w:lineRule="auto"/>
              <w:jc w:val="right"/>
              <w:rPr>
                <w:rFonts w:eastAsia="Times New Roman" w:cstheme="minorHAnsi"/>
                <w:sz w:val="18"/>
                <w:szCs w:val="18"/>
                <w:lang w:eastAsia="en-GB"/>
              </w:rPr>
            </w:pPr>
          </w:p>
        </w:tc>
      </w:tr>
      <w:tr w:rsidR="005520DD" w:rsidRPr="00C24F78" w14:paraId="0B048C6B" w14:textId="77777777" w:rsidTr="00F61E90">
        <w:trPr>
          <w:tblCellSpacing w:w="15" w:type="dxa"/>
        </w:trPr>
        <w:tc>
          <w:tcPr>
            <w:tcW w:w="0" w:type="auto"/>
            <w:vAlign w:val="center"/>
          </w:tcPr>
          <w:p w14:paraId="1A33EB43" w14:textId="77777777" w:rsidR="00271850" w:rsidRPr="00C24F78" w:rsidRDefault="00271850" w:rsidP="00F61E90">
            <w:pPr>
              <w:spacing w:after="0" w:line="240" w:lineRule="auto"/>
              <w:rPr>
                <w:rFonts w:eastAsia="Times New Roman" w:cstheme="minorHAnsi"/>
                <w:sz w:val="18"/>
                <w:szCs w:val="18"/>
                <w:lang w:eastAsia="en-GB"/>
              </w:rPr>
            </w:pPr>
          </w:p>
        </w:tc>
        <w:tc>
          <w:tcPr>
            <w:tcW w:w="0" w:type="auto"/>
            <w:vAlign w:val="center"/>
          </w:tcPr>
          <w:p w14:paraId="54D51685" w14:textId="77777777" w:rsidR="00271850" w:rsidRPr="00C24F78" w:rsidRDefault="00271850" w:rsidP="00F61E90">
            <w:pPr>
              <w:spacing w:after="0" w:line="240" w:lineRule="auto"/>
              <w:rPr>
                <w:rFonts w:eastAsia="Times New Roman" w:cstheme="minorHAnsi"/>
                <w:sz w:val="18"/>
                <w:szCs w:val="18"/>
                <w:lang w:eastAsia="en-GB"/>
              </w:rPr>
            </w:pPr>
            <w:r w:rsidRPr="00C24F78">
              <w:rPr>
                <w:rFonts w:eastAsia="Times New Roman" w:cstheme="minorHAnsi"/>
                <w:sz w:val="18"/>
                <w:szCs w:val="18"/>
                <w:lang w:eastAsia="en-GB"/>
              </w:rPr>
              <w:t>5</w:t>
            </w:r>
          </w:p>
        </w:tc>
        <w:tc>
          <w:tcPr>
            <w:tcW w:w="0" w:type="auto"/>
          </w:tcPr>
          <w:p w14:paraId="0DCDDA77" w14:textId="77777777" w:rsidR="00271850" w:rsidRPr="00C24F78" w:rsidRDefault="00271850" w:rsidP="00F61E90">
            <w:pPr>
              <w:spacing w:after="0" w:line="240" w:lineRule="auto"/>
              <w:jc w:val="right"/>
              <w:rPr>
                <w:rFonts w:eastAsia="Times New Roman" w:cstheme="minorHAnsi"/>
                <w:sz w:val="18"/>
                <w:szCs w:val="18"/>
                <w:lang w:eastAsia="en-GB"/>
              </w:rPr>
            </w:pPr>
            <w:r w:rsidRPr="00C24F78">
              <w:rPr>
                <w:sz w:val="18"/>
                <w:szCs w:val="18"/>
              </w:rPr>
              <w:t>0</w:t>
            </w:r>
            <w:r>
              <w:rPr>
                <w:sz w:val="18"/>
                <w:szCs w:val="18"/>
              </w:rPr>
              <w:t>.</w:t>
            </w:r>
            <w:r w:rsidRPr="00C24F78">
              <w:rPr>
                <w:sz w:val="18"/>
                <w:szCs w:val="18"/>
              </w:rPr>
              <w:t>58</w:t>
            </w:r>
          </w:p>
        </w:tc>
        <w:tc>
          <w:tcPr>
            <w:tcW w:w="0" w:type="auto"/>
          </w:tcPr>
          <w:p w14:paraId="2D42BB28" w14:textId="77777777" w:rsidR="00271850" w:rsidRPr="00C24F78" w:rsidRDefault="00271850" w:rsidP="00F61E90">
            <w:pPr>
              <w:spacing w:after="0" w:line="240" w:lineRule="auto"/>
              <w:jc w:val="right"/>
              <w:rPr>
                <w:rFonts w:eastAsia="Times New Roman" w:cstheme="minorHAnsi"/>
                <w:sz w:val="18"/>
                <w:szCs w:val="18"/>
                <w:lang w:eastAsia="en-GB"/>
              </w:rPr>
            </w:pPr>
            <w:r w:rsidRPr="00C24F78">
              <w:rPr>
                <w:sz w:val="18"/>
                <w:szCs w:val="18"/>
              </w:rPr>
              <w:t>0</w:t>
            </w:r>
            <w:r>
              <w:rPr>
                <w:sz w:val="18"/>
                <w:szCs w:val="18"/>
              </w:rPr>
              <w:t>.</w:t>
            </w:r>
            <w:r w:rsidRPr="00C24F78">
              <w:rPr>
                <w:sz w:val="18"/>
                <w:szCs w:val="18"/>
              </w:rPr>
              <w:t>50-0</w:t>
            </w:r>
            <w:r>
              <w:rPr>
                <w:sz w:val="18"/>
                <w:szCs w:val="18"/>
              </w:rPr>
              <w:t>.</w:t>
            </w:r>
            <w:r w:rsidRPr="00C24F78">
              <w:rPr>
                <w:sz w:val="18"/>
                <w:szCs w:val="18"/>
              </w:rPr>
              <w:t>68</w:t>
            </w:r>
          </w:p>
        </w:tc>
        <w:tc>
          <w:tcPr>
            <w:tcW w:w="0" w:type="auto"/>
          </w:tcPr>
          <w:p w14:paraId="7412C2A6" w14:textId="77777777" w:rsidR="00271850" w:rsidRPr="00C24F78" w:rsidRDefault="00271850" w:rsidP="00F61E90">
            <w:pPr>
              <w:spacing w:after="0" w:line="240" w:lineRule="auto"/>
              <w:jc w:val="right"/>
              <w:rPr>
                <w:rFonts w:eastAsia="Times New Roman" w:cstheme="minorHAnsi"/>
                <w:sz w:val="18"/>
                <w:szCs w:val="18"/>
                <w:lang w:eastAsia="en-GB"/>
              </w:rPr>
            </w:pPr>
          </w:p>
        </w:tc>
        <w:tc>
          <w:tcPr>
            <w:tcW w:w="0" w:type="auto"/>
          </w:tcPr>
          <w:p w14:paraId="0EC24156" w14:textId="77777777" w:rsidR="00271850" w:rsidRPr="00C24F78" w:rsidRDefault="00271850" w:rsidP="00F61E90">
            <w:pPr>
              <w:spacing w:after="0" w:line="240" w:lineRule="auto"/>
              <w:jc w:val="right"/>
              <w:rPr>
                <w:rFonts w:eastAsia="Times New Roman" w:cstheme="minorHAnsi"/>
                <w:sz w:val="18"/>
                <w:szCs w:val="18"/>
                <w:lang w:eastAsia="en-GB"/>
              </w:rPr>
            </w:pPr>
            <w:r w:rsidRPr="00C24F78">
              <w:rPr>
                <w:sz w:val="18"/>
                <w:szCs w:val="18"/>
              </w:rPr>
              <w:t>0</w:t>
            </w:r>
            <w:r>
              <w:rPr>
                <w:sz w:val="18"/>
                <w:szCs w:val="18"/>
              </w:rPr>
              <w:t>.</w:t>
            </w:r>
            <w:r w:rsidRPr="00C24F78">
              <w:rPr>
                <w:sz w:val="18"/>
                <w:szCs w:val="18"/>
              </w:rPr>
              <w:t>58</w:t>
            </w:r>
          </w:p>
        </w:tc>
        <w:tc>
          <w:tcPr>
            <w:tcW w:w="0" w:type="auto"/>
          </w:tcPr>
          <w:p w14:paraId="4D512A6D" w14:textId="77777777" w:rsidR="00271850" w:rsidRPr="00C24F78" w:rsidRDefault="00271850" w:rsidP="00F61E90">
            <w:pPr>
              <w:spacing w:after="0" w:line="240" w:lineRule="auto"/>
              <w:jc w:val="right"/>
              <w:rPr>
                <w:rFonts w:eastAsia="Times New Roman" w:cstheme="minorHAnsi"/>
                <w:sz w:val="18"/>
                <w:szCs w:val="18"/>
                <w:lang w:eastAsia="en-GB"/>
              </w:rPr>
            </w:pPr>
            <w:r w:rsidRPr="00C24F78">
              <w:rPr>
                <w:sz w:val="18"/>
                <w:szCs w:val="18"/>
              </w:rPr>
              <w:t>0</w:t>
            </w:r>
            <w:r>
              <w:rPr>
                <w:sz w:val="18"/>
                <w:szCs w:val="18"/>
              </w:rPr>
              <w:t>.</w:t>
            </w:r>
            <w:r w:rsidRPr="00C24F78">
              <w:rPr>
                <w:sz w:val="18"/>
                <w:szCs w:val="18"/>
              </w:rPr>
              <w:t>49-0</w:t>
            </w:r>
            <w:r>
              <w:rPr>
                <w:sz w:val="18"/>
                <w:szCs w:val="18"/>
              </w:rPr>
              <w:t>.</w:t>
            </w:r>
            <w:r w:rsidRPr="00C24F78">
              <w:rPr>
                <w:sz w:val="18"/>
                <w:szCs w:val="18"/>
              </w:rPr>
              <w:t>69</w:t>
            </w:r>
          </w:p>
        </w:tc>
        <w:tc>
          <w:tcPr>
            <w:tcW w:w="0" w:type="auto"/>
            <w:vAlign w:val="center"/>
          </w:tcPr>
          <w:p w14:paraId="3DD57B8D" w14:textId="77777777" w:rsidR="00271850" w:rsidRPr="00C24F78" w:rsidRDefault="00271850" w:rsidP="00F61E90">
            <w:pPr>
              <w:spacing w:after="0" w:line="240" w:lineRule="auto"/>
              <w:jc w:val="right"/>
              <w:rPr>
                <w:rFonts w:eastAsia="Times New Roman" w:cstheme="minorHAnsi"/>
                <w:sz w:val="18"/>
                <w:szCs w:val="18"/>
                <w:lang w:eastAsia="en-GB"/>
              </w:rPr>
            </w:pPr>
          </w:p>
        </w:tc>
        <w:tc>
          <w:tcPr>
            <w:tcW w:w="0" w:type="auto"/>
          </w:tcPr>
          <w:p w14:paraId="41F1B5E7" w14:textId="77777777" w:rsidR="00271850" w:rsidRPr="00C24F78" w:rsidRDefault="00271850" w:rsidP="00F61E90">
            <w:pPr>
              <w:spacing w:after="0" w:line="240" w:lineRule="auto"/>
              <w:jc w:val="right"/>
              <w:rPr>
                <w:rFonts w:eastAsia="Times New Roman" w:cstheme="minorHAnsi"/>
                <w:sz w:val="18"/>
                <w:szCs w:val="18"/>
                <w:lang w:eastAsia="en-GB"/>
              </w:rPr>
            </w:pPr>
          </w:p>
        </w:tc>
        <w:tc>
          <w:tcPr>
            <w:tcW w:w="0" w:type="auto"/>
          </w:tcPr>
          <w:p w14:paraId="70DC250C" w14:textId="6E5C98CE" w:rsidR="00271850" w:rsidRPr="00C24F78" w:rsidRDefault="00271850" w:rsidP="00F61E90">
            <w:pPr>
              <w:spacing w:after="0" w:line="240" w:lineRule="auto"/>
              <w:jc w:val="right"/>
              <w:rPr>
                <w:rFonts w:eastAsia="Times New Roman" w:cstheme="minorHAnsi"/>
                <w:sz w:val="18"/>
                <w:szCs w:val="18"/>
                <w:lang w:eastAsia="en-GB"/>
              </w:rPr>
            </w:pPr>
            <w:r w:rsidRPr="00C24F78">
              <w:rPr>
                <w:sz w:val="18"/>
                <w:szCs w:val="18"/>
              </w:rPr>
              <w:t>1</w:t>
            </w:r>
            <w:r>
              <w:rPr>
                <w:sz w:val="18"/>
                <w:szCs w:val="18"/>
              </w:rPr>
              <w:t>.</w:t>
            </w:r>
            <w:r w:rsidRPr="00C24F78">
              <w:rPr>
                <w:sz w:val="18"/>
                <w:szCs w:val="18"/>
              </w:rPr>
              <w:t>0</w:t>
            </w:r>
            <w:r w:rsidR="005520DD">
              <w:rPr>
                <w:sz w:val="18"/>
                <w:szCs w:val="18"/>
              </w:rPr>
              <w:t>2</w:t>
            </w:r>
          </w:p>
        </w:tc>
        <w:tc>
          <w:tcPr>
            <w:tcW w:w="0" w:type="auto"/>
          </w:tcPr>
          <w:p w14:paraId="48863E29" w14:textId="6887E66E" w:rsidR="00271850" w:rsidRPr="00C24F78" w:rsidRDefault="00271850" w:rsidP="00F61E90">
            <w:pPr>
              <w:spacing w:after="0" w:line="240" w:lineRule="auto"/>
              <w:jc w:val="right"/>
              <w:rPr>
                <w:rFonts w:eastAsia="Times New Roman" w:cstheme="minorHAnsi"/>
                <w:sz w:val="18"/>
                <w:szCs w:val="18"/>
                <w:lang w:eastAsia="en-GB"/>
              </w:rPr>
            </w:pPr>
            <w:r w:rsidRPr="00C24F78">
              <w:rPr>
                <w:sz w:val="18"/>
                <w:szCs w:val="18"/>
              </w:rPr>
              <w:t>0</w:t>
            </w:r>
            <w:r>
              <w:rPr>
                <w:sz w:val="18"/>
                <w:szCs w:val="18"/>
              </w:rPr>
              <w:t>.</w:t>
            </w:r>
            <w:r w:rsidRPr="00C24F78">
              <w:rPr>
                <w:sz w:val="18"/>
                <w:szCs w:val="18"/>
              </w:rPr>
              <w:t>8</w:t>
            </w:r>
            <w:r w:rsidR="005520DD">
              <w:rPr>
                <w:sz w:val="18"/>
                <w:szCs w:val="18"/>
              </w:rPr>
              <w:t>1</w:t>
            </w:r>
            <w:r w:rsidRPr="00C24F78">
              <w:rPr>
                <w:sz w:val="18"/>
                <w:szCs w:val="18"/>
              </w:rPr>
              <w:t>-1</w:t>
            </w:r>
            <w:r>
              <w:rPr>
                <w:sz w:val="18"/>
                <w:szCs w:val="18"/>
              </w:rPr>
              <w:t>.</w:t>
            </w:r>
            <w:r w:rsidR="005520DD">
              <w:rPr>
                <w:sz w:val="18"/>
                <w:szCs w:val="18"/>
              </w:rPr>
              <w:t>29</w:t>
            </w:r>
          </w:p>
        </w:tc>
        <w:tc>
          <w:tcPr>
            <w:tcW w:w="0" w:type="auto"/>
          </w:tcPr>
          <w:p w14:paraId="610B8E06" w14:textId="409FECA4" w:rsidR="00271850" w:rsidRPr="00C24F78" w:rsidRDefault="00271850" w:rsidP="00F61E90">
            <w:pPr>
              <w:spacing w:after="0" w:line="240" w:lineRule="auto"/>
              <w:jc w:val="right"/>
              <w:rPr>
                <w:rFonts w:eastAsia="Times New Roman" w:cstheme="minorHAnsi"/>
                <w:sz w:val="18"/>
                <w:szCs w:val="18"/>
                <w:lang w:eastAsia="en-GB"/>
              </w:rPr>
            </w:pPr>
            <w:r w:rsidRPr="00C24F78">
              <w:rPr>
                <w:sz w:val="18"/>
                <w:szCs w:val="18"/>
              </w:rPr>
              <w:t>1</w:t>
            </w:r>
            <w:r>
              <w:rPr>
                <w:sz w:val="18"/>
                <w:szCs w:val="18"/>
              </w:rPr>
              <w:t>.</w:t>
            </w:r>
            <w:r w:rsidRPr="00C24F78">
              <w:rPr>
                <w:sz w:val="18"/>
                <w:szCs w:val="18"/>
              </w:rPr>
              <w:t>0</w:t>
            </w:r>
            <w:r w:rsidR="005520DD">
              <w:rPr>
                <w:sz w:val="18"/>
                <w:szCs w:val="18"/>
              </w:rPr>
              <w:t>2</w:t>
            </w:r>
          </w:p>
        </w:tc>
        <w:tc>
          <w:tcPr>
            <w:tcW w:w="0" w:type="auto"/>
          </w:tcPr>
          <w:p w14:paraId="135461EF" w14:textId="69F490ED" w:rsidR="00271850" w:rsidRPr="00C24F78" w:rsidRDefault="00271850" w:rsidP="00F61E90">
            <w:pPr>
              <w:spacing w:after="0" w:line="240" w:lineRule="auto"/>
              <w:jc w:val="right"/>
              <w:rPr>
                <w:rFonts w:eastAsia="Times New Roman" w:cstheme="minorHAnsi"/>
                <w:sz w:val="18"/>
                <w:szCs w:val="18"/>
                <w:lang w:eastAsia="en-GB"/>
              </w:rPr>
            </w:pPr>
            <w:r w:rsidRPr="00C24F78">
              <w:rPr>
                <w:sz w:val="18"/>
                <w:szCs w:val="18"/>
              </w:rPr>
              <w:t>0</w:t>
            </w:r>
            <w:r>
              <w:rPr>
                <w:sz w:val="18"/>
                <w:szCs w:val="18"/>
              </w:rPr>
              <w:t>.</w:t>
            </w:r>
            <w:r w:rsidRPr="00C24F78">
              <w:rPr>
                <w:sz w:val="18"/>
                <w:szCs w:val="18"/>
              </w:rPr>
              <w:t>8</w:t>
            </w:r>
            <w:r w:rsidR="005E71B7">
              <w:rPr>
                <w:sz w:val="18"/>
                <w:szCs w:val="18"/>
              </w:rPr>
              <w:t>1</w:t>
            </w:r>
            <w:r w:rsidRPr="00C24F78">
              <w:rPr>
                <w:sz w:val="18"/>
                <w:szCs w:val="18"/>
              </w:rPr>
              <w:t>-1</w:t>
            </w:r>
            <w:r>
              <w:rPr>
                <w:sz w:val="18"/>
                <w:szCs w:val="18"/>
              </w:rPr>
              <w:t>.</w:t>
            </w:r>
            <w:r w:rsidR="005E71B7">
              <w:rPr>
                <w:sz w:val="18"/>
                <w:szCs w:val="18"/>
              </w:rPr>
              <w:t>29</w:t>
            </w:r>
          </w:p>
        </w:tc>
        <w:tc>
          <w:tcPr>
            <w:tcW w:w="0" w:type="auto"/>
          </w:tcPr>
          <w:p w14:paraId="273DDAED" w14:textId="77777777" w:rsidR="00271850" w:rsidRPr="00C24F78" w:rsidRDefault="00271850" w:rsidP="00F61E90">
            <w:pPr>
              <w:spacing w:after="0" w:line="240" w:lineRule="auto"/>
              <w:jc w:val="right"/>
              <w:rPr>
                <w:rFonts w:eastAsia="Times New Roman" w:cstheme="minorHAnsi"/>
                <w:sz w:val="18"/>
                <w:szCs w:val="18"/>
                <w:lang w:eastAsia="en-GB"/>
              </w:rPr>
            </w:pPr>
          </w:p>
        </w:tc>
      </w:tr>
      <w:tr w:rsidR="005520DD" w:rsidRPr="00C24F78" w14:paraId="5327BB5C" w14:textId="77777777" w:rsidTr="00F61E90">
        <w:trPr>
          <w:tblCellSpacing w:w="15" w:type="dxa"/>
        </w:trPr>
        <w:tc>
          <w:tcPr>
            <w:tcW w:w="0" w:type="auto"/>
            <w:tcBorders>
              <w:bottom w:val="single" w:sz="12" w:space="0" w:color="auto"/>
            </w:tcBorders>
            <w:vAlign w:val="center"/>
            <w:hideMark/>
          </w:tcPr>
          <w:p w14:paraId="488BA1F0" w14:textId="77777777" w:rsidR="00271850" w:rsidRPr="00C24F78" w:rsidRDefault="00271850" w:rsidP="00F61E90">
            <w:pPr>
              <w:spacing w:after="0" w:line="240" w:lineRule="auto"/>
              <w:rPr>
                <w:rFonts w:eastAsia="Times New Roman" w:cstheme="minorHAnsi"/>
                <w:sz w:val="18"/>
                <w:szCs w:val="18"/>
                <w:lang w:eastAsia="en-GB"/>
              </w:rPr>
            </w:pPr>
            <w:r w:rsidRPr="00C24F78">
              <w:rPr>
                <w:rFonts w:eastAsia="Times New Roman" w:cstheme="minorHAnsi"/>
                <w:sz w:val="18"/>
                <w:szCs w:val="18"/>
                <w:lang w:eastAsia="en-GB"/>
              </w:rPr>
              <w:t xml:space="preserve">GP consultations per year </w:t>
            </w:r>
          </w:p>
        </w:tc>
        <w:tc>
          <w:tcPr>
            <w:tcW w:w="0" w:type="auto"/>
            <w:tcBorders>
              <w:bottom w:val="single" w:sz="12" w:space="0" w:color="auto"/>
            </w:tcBorders>
            <w:vAlign w:val="center"/>
            <w:hideMark/>
          </w:tcPr>
          <w:p w14:paraId="2FD04F74" w14:textId="77777777" w:rsidR="00271850" w:rsidRPr="00C24F78" w:rsidRDefault="00271850" w:rsidP="00F61E90">
            <w:pPr>
              <w:spacing w:after="0" w:line="240" w:lineRule="auto"/>
              <w:rPr>
                <w:rFonts w:eastAsia="Times New Roman" w:cstheme="minorHAnsi"/>
                <w:sz w:val="18"/>
                <w:szCs w:val="18"/>
                <w:lang w:eastAsia="en-GB"/>
              </w:rPr>
            </w:pPr>
          </w:p>
        </w:tc>
        <w:tc>
          <w:tcPr>
            <w:tcW w:w="0" w:type="auto"/>
            <w:tcBorders>
              <w:bottom w:val="single" w:sz="12" w:space="0" w:color="auto"/>
            </w:tcBorders>
            <w:vAlign w:val="center"/>
          </w:tcPr>
          <w:p w14:paraId="6584D1C1" w14:textId="6668CE87" w:rsidR="00271850" w:rsidRPr="00C24F78" w:rsidRDefault="00271850" w:rsidP="00F61E90">
            <w:pPr>
              <w:spacing w:after="0" w:line="240" w:lineRule="auto"/>
              <w:jc w:val="right"/>
              <w:rPr>
                <w:rFonts w:eastAsia="Times New Roman" w:cstheme="minorHAnsi"/>
                <w:sz w:val="18"/>
                <w:szCs w:val="18"/>
                <w:lang w:eastAsia="en-GB"/>
              </w:rPr>
            </w:pPr>
            <w:r w:rsidRPr="00C24F78">
              <w:rPr>
                <w:rFonts w:eastAsia="Times New Roman" w:cstheme="minorHAnsi"/>
                <w:sz w:val="18"/>
                <w:szCs w:val="18"/>
                <w:lang w:eastAsia="en-GB"/>
              </w:rPr>
              <w:t>1</w:t>
            </w:r>
            <w:r>
              <w:rPr>
                <w:rFonts w:eastAsia="Times New Roman" w:cstheme="minorHAnsi"/>
                <w:sz w:val="18"/>
                <w:szCs w:val="18"/>
                <w:lang w:eastAsia="en-GB"/>
              </w:rPr>
              <w:t>.</w:t>
            </w:r>
            <w:r w:rsidRPr="00C24F78">
              <w:rPr>
                <w:rFonts w:eastAsia="Times New Roman" w:cstheme="minorHAnsi"/>
                <w:sz w:val="18"/>
                <w:szCs w:val="18"/>
                <w:lang w:eastAsia="en-GB"/>
              </w:rPr>
              <w:t>2</w:t>
            </w:r>
            <w:r w:rsidR="009A1B1D">
              <w:rPr>
                <w:rFonts w:eastAsia="Times New Roman" w:cstheme="minorHAnsi"/>
                <w:sz w:val="18"/>
                <w:szCs w:val="18"/>
                <w:lang w:eastAsia="en-GB"/>
              </w:rPr>
              <w:t>4</w:t>
            </w:r>
          </w:p>
        </w:tc>
        <w:tc>
          <w:tcPr>
            <w:tcW w:w="0" w:type="auto"/>
            <w:tcBorders>
              <w:bottom w:val="single" w:sz="12" w:space="0" w:color="auto"/>
            </w:tcBorders>
            <w:vAlign w:val="center"/>
          </w:tcPr>
          <w:p w14:paraId="336FD74B" w14:textId="5DC8099A" w:rsidR="00271850" w:rsidRPr="00C24F78" w:rsidRDefault="00271850" w:rsidP="00F61E90">
            <w:pPr>
              <w:spacing w:after="0" w:line="240" w:lineRule="auto"/>
              <w:jc w:val="right"/>
              <w:rPr>
                <w:rFonts w:eastAsia="Times New Roman" w:cstheme="minorHAnsi"/>
                <w:sz w:val="18"/>
                <w:szCs w:val="18"/>
                <w:lang w:eastAsia="en-GB"/>
              </w:rPr>
            </w:pPr>
            <w:r w:rsidRPr="00C24F78">
              <w:rPr>
                <w:rFonts w:eastAsia="Times New Roman" w:cstheme="minorHAnsi"/>
                <w:sz w:val="18"/>
                <w:szCs w:val="18"/>
                <w:lang w:eastAsia="en-GB"/>
              </w:rPr>
              <w:t>1</w:t>
            </w:r>
            <w:r>
              <w:rPr>
                <w:rFonts w:eastAsia="Times New Roman" w:cstheme="minorHAnsi"/>
                <w:sz w:val="18"/>
                <w:szCs w:val="18"/>
                <w:lang w:eastAsia="en-GB"/>
              </w:rPr>
              <w:t>.</w:t>
            </w:r>
            <w:r w:rsidRPr="00C24F78">
              <w:rPr>
                <w:rFonts w:eastAsia="Times New Roman" w:cstheme="minorHAnsi"/>
                <w:sz w:val="18"/>
                <w:szCs w:val="18"/>
                <w:lang w:eastAsia="en-GB"/>
              </w:rPr>
              <w:t>24-1</w:t>
            </w:r>
            <w:r>
              <w:rPr>
                <w:rFonts w:eastAsia="Times New Roman" w:cstheme="minorHAnsi"/>
                <w:sz w:val="18"/>
                <w:szCs w:val="18"/>
                <w:lang w:eastAsia="en-GB"/>
              </w:rPr>
              <w:t>.</w:t>
            </w:r>
            <w:r w:rsidRPr="00C24F78">
              <w:rPr>
                <w:rFonts w:eastAsia="Times New Roman" w:cstheme="minorHAnsi"/>
                <w:sz w:val="18"/>
                <w:szCs w:val="18"/>
                <w:lang w:eastAsia="en-GB"/>
              </w:rPr>
              <w:t>2</w:t>
            </w:r>
            <w:r w:rsidR="009A1B1D">
              <w:rPr>
                <w:rFonts w:eastAsia="Times New Roman" w:cstheme="minorHAnsi"/>
                <w:sz w:val="18"/>
                <w:szCs w:val="18"/>
                <w:lang w:eastAsia="en-GB"/>
              </w:rPr>
              <w:t>5</w:t>
            </w:r>
          </w:p>
        </w:tc>
        <w:tc>
          <w:tcPr>
            <w:tcW w:w="0" w:type="auto"/>
            <w:tcBorders>
              <w:bottom w:val="single" w:sz="12" w:space="0" w:color="auto"/>
            </w:tcBorders>
          </w:tcPr>
          <w:p w14:paraId="64A32D96" w14:textId="77777777" w:rsidR="00271850" w:rsidRPr="00C24F78" w:rsidRDefault="00271850" w:rsidP="00F61E90">
            <w:pPr>
              <w:spacing w:after="0" w:line="240" w:lineRule="auto"/>
              <w:jc w:val="right"/>
              <w:rPr>
                <w:rFonts w:eastAsia="Times New Roman" w:cstheme="minorHAnsi"/>
                <w:sz w:val="18"/>
                <w:szCs w:val="18"/>
                <w:lang w:eastAsia="en-GB"/>
              </w:rPr>
            </w:pPr>
          </w:p>
        </w:tc>
        <w:tc>
          <w:tcPr>
            <w:tcW w:w="0" w:type="auto"/>
            <w:tcBorders>
              <w:bottom w:val="single" w:sz="12" w:space="0" w:color="auto"/>
            </w:tcBorders>
            <w:vAlign w:val="center"/>
          </w:tcPr>
          <w:p w14:paraId="6318CF6C" w14:textId="77777777" w:rsidR="00271850" w:rsidRPr="00C24F78" w:rsidRDefault="00271850" w:rsidP="00F61E90">
            <w:pPr>
              <w:spacing w:after="0" w:line="240" w:lineRule="auto"/>
              <w:jc w:val="right"/>
              <w:rPr>
                <w:rFonts w:eastAsia="Times New Roman" w:cstheme="minorHAnsi"/>
                <w:sz w:val="18"/>
                <w:szCs w:val="18"/>
                <w:lang w:eastAsia="en-GB"/>
              </w:rPr>
            </w:pPr>
            <w:r w:rsidRPr="00C24F78">
              <w:rPr>
                <w:rFonts w:eastAsia="Times New Roman" w:cstheme="minorHAnsi"/>
                <w:sz w:val="18"/>
                <w:szCs w:val="18"/>
                <w:lang w:eastAsia="en-GB"/>
              </w:rPr>
              <w:t>-</w:t>
            </w:r>
          </w:p>
        </w:tc>
        <w:tc>
          <w:tcPr>
            <w:tcW w:w="0" w:type="auto"/>
            <w:tcBorders>
              <w:bottom w:val="single" w:sz="12" w:space="0" w:color="auto"/>
            </w:tcBorders>
            <w:vAlign w:val="center"/>
          </w:tcPr>
          <w:p w14:paraId="49DA4CB5" w14:textId="77777777" w:rsidR="00271850" w:rsidRPr="00C24F78" w:rsidRDefault="00271850" w:rsidP="00F61E90">
            <w:pPr>
              <w:spacing w:after="0" w:line="240" w:lineRule="auto"/>
              <w:jc w:val="right"/>
              <w:rPr>
                <w:rFonts w:eastAsia="Times New Roman" w:cstheme="minorHAnsi"/>
                <w:sz w:val="18"/>
                <w:szCs w:val="18"/>
                <w:lang w:eastAsia="en-GB"/>
              </w:rPr>
            </w:pPr>
            <w:r w:rsidRPr="00C24F78">
              <w:rPr>
                <w:rFonts w:eastAsia="Times New Roman" w:cstheme="minorHAnsi"/>
                <w:sz w:val="18"/>
                <w:szCs w:val="18"/>
                <w:lang w:eastAsia="en-GB"/>
              </w:rPr>
              <w:t>-</w:t>
            </w:r>
          </w:p>
        </w:tc>
        <w:tc>
          <w:tcPr>
            <w:tcW w:w="0" w:type="auto"/>
            <w:tcBorders>
              <w:bottom w:val="single" w:sz="12" w:space="0" w:color="auto"/>
            </w:tcBorders>
            <w:vAlign w:val="center"/>
          </w:tcPr>
          <w:p w14:paraId="56BD99DD" w14:textId="77777777" w:rsidR="00271850" w:rsidRPr="00C24F78" w:rsidRDefault="00271850" w:rsidP="00F61E90">
            <w:pPr>
              <w:spacing w:after="0" w:line="240" w:lineRule="auto"/>
              <w:jc w:val="right"/>
              <w:rPr>
                <w:rFonts w:eastAsia="Times New Roman" w:cstheme="minorHAnsi"/>
                <w:sz w:val="18"/>
                <w:szCs w:val="18"/>
                <w:lang w:eastAsia="en-GB"/>
              </w:rPr>
            </w:pPr>
            <w:r w:rsidRPr="00C24F78">
              <w:rPr>
                <w:rFonts w:eastAsia="Times New Roman" w:cstheme="minorHAnsi"/>
                <w:sz w:val="18"/>
                <w:szCs w:val="18"/>
                <w:lang w:eastAsia="en-GB"/>
              </w:rPr>
              <w:t>--</w:t>
            </w:r>
          </w:p>
        </w:tc>
        <w:tc>
          <w:tcPr>
            <w:tcW w:w="0" w:type="auto"/>
            <w:tcBorders>
              <w:bottom w:val="single" w:sz="12" w:space="0" w:color="auto"/>
            </w:tcBorders>
          </w:tcPr>
          <w:p w14:paraId="42C49285" w14:textId="77777777" w:rsidR="00271850" w:rsidRPr="00C24F78" w:rsidRDefault="00271850" w:rsidP="00F61E90">
            <w:pPr>
              <w:spacing w:after="0" w:line="240" w:lineRule="auto"/>
              <w:jc w:val="right"/>
              <w:rPr>
                <w:rFonts w:eastAsia="Times New Roman" w:cstheme="minorHAnsi"/>
                <w:sz w:val="18"/>
                <w:szCs w:val="18"/>
                <w:lang w:eastAsia="en-GB"/>
              </w:rPr>
            </w:pPr>
          </w:p>
        </w:tc>
        <w:tc>
          <w:tcPr>
            <w:tcW w:w="0" w:type="auto"/>
            <w:tcBorders>
              <w:bottom w:val="single" w:sz="12" w:space="0" w:color="auto"/>
            </w:tcBorders>
          </w:tcPr>
          <w:p w14:paraId="0A35CCFD" w14:textId="77777777" w:rsidR="00271850" w:rsidRPr="00C24F78" w:rsidRDefault="00271850" w:rsidP="00F61E90">
            <w:pPr>
              <w:spacing w:after="0" w:line="240" w:lineRule="auto"/>
              <w:jc w:val="right"/>
              <w:rPr>
                <w:rFonts w:eastAsia="Times New Roman" w:cstheme="minorHAnsi"/>
                <w:sz w:val="18"/>
                <w:szCs w:val="18"/>
                <w:lang w:eastAsia="en-GB"/>
              </w:rPr>
            </w:pPr>
            <w:r w:rsidRPr="00C24F78">
              <w:rPr>
                <w:rFonts w:eastAsia="Times New Roman" w:cstheme="minorHAnsi"/>
                <w:sz w:val="18"/>
                <w:szCs w:val="18"/>
                <w:lang w:eastAsia="en-GB"/>
              </w:rPr>
              <w:t>1</w:t>
            </w:r>
            <w:r>
              <w:rPr>
                <w:rFonts w:eastAsia="Times New Roman" w:cstheme="minorHAnsi"/>
                <w:sz w:val="18"/>
                <w:szCs w:val="18"/>
                <w:lang w:eastAsia="en-GB"/>
              </w:rPr>
              <w:t>.</w:t>
            </w:r>
            <w:r w:rsidRPr="00C24F78">
              <w:rPr>
                <w:rFonts w:eastAsia="Times New Roman" w:cstheme="minorHAnsi"/>
                <w:sz w:val="18"/>
                <w:szCs w:val="18"/>
                <w:lang w:eastAsia="en-GB"/>
              </w:rPr>
              <w:t>25</w:t>
            </w:r>
          </w:p>
        </w:tc>
        <w:tc>
          <w:tcPr>
            <w:tcW w:w="0" w:type="auto"/>
            <w:tcBorders>
              <w:bottom w:val="single" w:sz="12" w:space="0" w:color="auto"/>
            </w:tcBorders>
          </w:tcPr>
          <w:p w14:paraId="4D05C320" w14:textId="5E253CC0" w:rsidR="00271850" w:rsidRPr="00C24F78" w:rsidRDefault="00271850" w:rsidP="00F61E90">
            <w:pPr>
              <w:spacing w:after="0" w:line="240" w:lineRule="auto"/>
              <w:jc w:val="right"/>
              <w:rPr>
                <w:rFonts w:eastAsia="Times New Roman" w:cstheme="minorHAnsi"/>
                <w:sz w:val="18"/>
                <w:szCs w:val="18"/>
                <w:lang w:eastAsia="en-GB"/>
              </w:rPr>
            </w:pPr>
            <w:r w:rsidRPr="00C24F78">
              <w:rPr>
                <w:rFonts w:eastAsia="Times New Roman" w:cstheme="minorHAnsi"/>
                <w:sz w:val="18"/>
                <w:szCs w:val="18"/>
                <w:lang w:eastAsia="en-GB"/>
              </w:rPr>
              <w:t>1</w:t>
            </w:r>
            <w:r>
              <w:rPr>
                <w:rFonts w:eastAsia="Times New Roman" w:cstheme="minorHAnsi"/>
                <w:sz w:val="18"/>
                <w:szCs w:val="18"/>
                <w:lang w:eastAsia="en-GB"/>
              </w:rPr>
              <w:t>.</w:t>
            </w:r>
            <w:r w:rsidRPr="00C24F78">
              <w:rPr>
                <w:rFonts w:eastAsia="Times New Roman" w:cstheme="minorHAnsi"/>
                <w:sz w:val="18"/>
                <w:szCs w:val="18"/>
                <w:lang w:eastAsia="en-GB"/>
              </w:rPr>
              <w:t>24-1</w:t>
            </w:r>
            <w:r>
              <w:rPr>
                <w:rFonts w:eastAsia="Times New Roman" w:cstheme="minorHAnsi"/>
                <w:sz w:val="18"/>
                <w:szCs w:val="18"/>
                <w:lang w:eastAsia="en-GB"/>
              </w:rPr>
              <w:t>.</w:t>
            </w:r>
            <w:r w:rsidRPr="00C24F78">
              <w:rPr>
                <w:rFonts w:eastAsia="Times New Roman" w:cstheme="minorHAnsi"/>
                <w:sz w:val="18"/>
                <w:szCs w:val="18"/>
                <w:lang w:eastAsia="en-GB"/>
              </w:rPr>
              <w:t>2</w:t>
            </w:r>
            <w:r w:rsidR="005520DD">
              <w:rPr>
                <w:rFonts w:eastAsia="Times New Roman" w:cstheme="minorHAnsi"/>
                <w:sz w:val="18"/>
                <w:szCs w:val="18"/>
                <w:lang w:eastAsia="en-GB"/>
              </w:rPr>
              <w:t>5</w:t>
            </w:r>
          </w:p>
        </w:tc>
        <w:tc>
          <w:tcPr>
            <w:tcW w:w="0" w:type="auto"/>
            <w:tcBorders>
              <w:bottom w:val="single" w:sz="12" w:space="0" w:color="auto"/>
            </w:tcBorders>
          </w:tcPr>
          <w:p w14:paraId="711B8BD2" w14:textId="77777777" w:rsidR="00271850" w:rsidRPr="00C24F78" w:rsidRDefault="00271850" w:rsidP="00F61E90">
            <w:pPr>
              <w:spacing w:after="0" w:line="240" w:lineRule="auto"/>
              <w:jc w:val="right"/>
              <w:rPr>
                <w:rFonts w:eastAsia="Times New Roman" w:cstheme="minorHAnsi"/>
                <w:sz w:val="18"/>
                <w:szCs w:val="18"/>
                <w:lang w:eastAsia="en-GB"/>
              </w:rPr>
            </w:pPr>
            <w:r w:rsidRPr="00C24F78">
              <w:rPr>
                <w:rFonts w:eastAsia="Times New Roman" w:cstheme="minorHAnsi"/>
                <w:sz w:val="18"/>
                <w:szCs w:val="18"/>
                <w:lang w:eastAsia="en-GB"/>
              </w:rPr>
              <w:t>-</w:t>
            </w:r>
          </w:p>
        </w:tc>
        <w:tc>
          <w:tcPr>
            <w:tcW w:w="0" w:type="auto"/>
            <w:tcBorders>
              <w:bottom w:val="single" w:sz="12" w:space="0" w:color="auto"/>
            </w:tcBorders>
          </w:tcPr>
          <w:p w14:paraId="48CFF864" w14:textId="77777777" w:rsidR="00271850" w:rsidRPr="00C24F78" w:rsidRDefault="00271850" w:rsidP="00F61E90">
            <w:pPr>
              <w:spacing w:after="0" w:line="240" w:lineRule="auto"/>
              <w:jc w:val="right"/>
              <w:rPr>
                <w:rFonts w:eastAsia="Times New Roman" w:cstheme="minorHAnsi"/>
                <w:sz w:val="18"/>
                <w:szCs w:val="18"/>
                <w:lang w:eastAsia="en-GB"/>
              </w:rPr>
            </w:pPr>
            <w:r w:rsidRPr="00C24F78">
              <w:rPr>
                <w:rFonts w:eastAsia="Times New Roman" w:cstheme="minorHAnsi"/>
                <w:sz w:val="18"/>
                <w:szCs w:val="18"/>
                <w:lang w:eastAsia="en-GB"/>
              </w:rPr>
              <w:t>-</w:t>
            </w:r>
          </w:p>
        </w:tc>
        <w:tc>
          <w:tcPr>
            <w:tcW w:w="0" w:type="auto"/>
            <w:tcBorders>
              <w:bottom w:val="single" w:sz="12" w:space="0" w:color="auto"/>
            </w:tcBorders>
          </w:tcPr>
          <w:p w14:paraId="6D78ECF7" w14:textId="77777777" w:rsidR="00271850" w:rsidRPr="00C24F78" w:rsidRDefault="00271850" w:rsidP="00F61E90">
            <w:pPr>
              <w:spacing w:after="0" w:line="240" w:lineRule="auto"/>
              <w:jc w:val="right"/>
              <w:rPr>
                <w:rFonts w:eastAsia="Times New Roman" w:cstheme="minorHAnsi"/>
                <w:sz w:val="18"/>
                <w:szCs w:val="18"/>
                <w:lang w:eastAsia="en-GB"/>
              </w:rPr>
            </w:pPr>
          </w:p>
        </w:tc>
      </w:tr>
    </w:tbl>
    <w:p w14:paraId="364BAD89" w14:textId="77777777" w:rsidR="00271850" w:rsidRDefault="00271850" w:rsidP="00FF05F4">
      <w:pPr>
        <w:spacing w:after="0" w:line="480" w:lineRule="auto"/>
      </w:pPr>
    </w:p>
    <w:p w14:paraId="15FA2E98" w14:textId="77777777" w:rsidR="00271850" w:rsidRPr="00C24F78" w:rsidRDefault="00271850" w:rsidP="00FF05F4">
      <w:pPr>
        <w:spacing w:line="480" w:lineRule="auto"/>
        <w:rPr>
          <w:b/>
        </w:rPr>
      </w:pPr>
      <w:bookmarkStart w:id="10" w:name="_Toc50542573"/>
      <w:r w:rsidRPr="00C24F78">
        <w:rPr>
          <w:b/>
        </w:rPr>
        <w:t>Table 3: Association between rotavirus vaccination and CD disease under different sensitivity analysis conditions</w:t>
      </w:r>
      <w:bookmarkEnd w:id="10"/>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215"/>
        <w:gridCol w:w="415"/>
        <w:gridCol w:w="772"/>
        <w:gridCol w:w="415"/>
        <w:gridCol w:w="763"/>
        <w:gridCol w:w="66"/>
        <w:gridCol w:w="415"/>
        <w:gridCol w:w="772"/>
        <w:gridCol w:w="415"/>
        <w:gridCol w:w="778"/>
      </w:tblGrid>
      <w:tr w:rsidR="00271850" w:rsidRPr="00C24F78" w14:paraId="25E489B2" w14:textId="77777777" w:rsidTr="00F61E90">
        <w:trPr>
          <w:tblHeader/>
          <w:tblCellSpacing w:w="15" w:type="dxa"/>
        </w:trPr>
        <w:tc>
          <w:tcPr>
            <w:tcW w:w="0" w:type="auto"/>
            <w:tcBorders>
              <w:top w:val="single" w:sz="12" w:space="0" w:color="auto"/>
            </w:tcBorders>
            <w:vAlign w:val="center"/>
          </w:tcPr>
          <w:p w14:paraId="39DA4C45" w14:textId="77777777" w:rsidR="00271850" w:rsidRPr="00C24F78" w:rsidRDefault="00271850" w:rsidP="00F61E90">
            <w:pPr>
              <w:spacing w:after="0" w:line="240" w:lineRule="auto"/>
              <w:rPr>
                <w:rFonts w:eastAsia="Times New Roman" w:cstheme="minorHAnsi"/>
                <w:b/>
                <w:sz w:val="20"/>
                <w:szCs w:val="20"/>
                <w:lang w:eastAsia="en-GB"/>
              </w:rPr>
            </w:pPr>
          </w:p>
        </w:tc>
        <w:tc>
          <w:tcPr>
            <w:tcW w:w="0" w:type="auto"/>
            <w:gridSpan w:val="5"/>
            <w:tcBorders>
              <w:top w:val="single" w:sz="12" w:space="0" w:color="auto"/>
            </w:tcBorders>
            <w:vAlign w:val="center"/>
          </w:tcPr>
          <w:p w14:paraId="06ACBEBF" w14:textId="77777777" w:rsidR="00271850" w:rsidRPr="00C24F78" w:rsidRDefault="00271850" w:rsidP="00F61E90">
            <w:pPr>
              <w:spacing w:after="0" w:line="240" w:lineRule="auto"/>
              <w:jc w:val="center"/>
              <w:rPr>
                <w:rFonts w:eastAsia="Times New Roman" w:cstheme="minorHAnsi"/>
                <w:b/>
                <w:bCs/>
                <w:sz w:val="20"/>
                <w:szCs w:val="20"/>
                <w:lang w:eastAsia="en-GB"/>
              </w:rPr>
            </w:pPr>
            <w:r w:rsidRPr="00C24F78">
              <w:rPr>
                <w:rFonts w:eastAsia="Times New Roman" w:cstheme="minorHAnsi"/>
                <w:b/>
                <w:bCs/>
                <w:sz w:val="20"/>
                <w:szCs w:val="20"/>
                <w:lang w:eastAsia="en-GB"/>
              </w:rPr>
              <w:t>CD</w:t>
            </w:r>
          </w:p>
        </w:tc>
        <w:tc>
          <w:tcPr>
            <w:tcW w:w="0" w:type="auto"/>
            <w:gridSpan w:val="4"/>
            <w:tcBorders>
              <w:top w:val="single" w:sz="12" w:space="0" w:color="auto"/>
            </w:tcBorders>
          </w:tcPr>
          <w:p w14:paraId="2C1E6A66" w14:textId="77777777" w:rsidR="00271850" w:rsidRPr="00C24F78" w:rsidRDefault="00271850" w:rsidP="00F61E90">
            <w:pPr>
              <w:spacing w:after="0" w:line="240" w:lineRule="auto"/>
              <w:jc w:val="center"/>
              <w:rPr>
                <w:rFonts w:eastAsia="Times New Roman" w:cstheme="minorHAnsi"/>
                <w:b/>
                <w:bCs/>
                <w:sz w:val="20"/>
                <w:szCs w:val="20"/>
                <w:lang w:eastAsia="en-GB"/>
              </w:rPr>
            </w:pPr>
            <w:r w:rsidRPr="00C24F78">
              <w:rPr>
                <w:rFonts w:eastAsia="Times New Roman" w:cstheme="minorHAnsi"/>
                <w:b/>
                <w:bCs/>
                <w:sz w:val="20"/>
                <w:szCs w:val="20"/>
                <w:lang w:eastAsia="en-GB"/>
              </w:rPr>
              <w:t>T1D</w:t>
            </w:r>
          </w:p>
        </w:tc>
      </w:tr>
      <w:tr w:rsidR="005E71B7" w:rsidRPr="00C24F78" w14:paraId="45ADBA8A" w14:textId="77777777" w:rsidTr="00F61E90">
        <w:trPr>
          <w:tblHeader/>
          <w:tblCellSpacing w:w="15" w:type="dxa"/>
        </w:trPr>
        <w:tc>
          <w:tcPr>
            <w:tcW w:w="0" w:type="auto"/>
            <w:tcBorders>
              <w:top w:val="single" w:sz="12" w:space="0" w:color="auto"/>
            </w:tcBorders>
            <w:vAlign w:val="center"/>
            <w:hideMark/>
          </w:tcPr>
          <w:p w14:paraId="4B8345CF" w14:textId="77777777" w:rsidR="00271850" w:rsidRPr="00C24F78" w:rsidRDefault="00271850" w:rsidP="00F61E90">
            <w:pPr>
              <w:spacing w:after="0" w:line="240" w:lineRule="auto"/>
              <w:rPr>
                <w:rFonts w:eastAsia="Times New Roman" w:cstheme="minorHAnsi"/>
                <w:b/>
                <w:sz w:val="20"/>
                <w:szCs w:val="20"/>
                <w:lang w:eastAsia="en-GB"/>
              </w:rPr>
            </w:pPr>
            <w:r w:rsidRPr="00C24F78">
              <w:rPr>
                <w:rFonts w:eastAsia="Times New Roman" w:cstheme="minorHAnsi"/>
                <w:b/>
                <w:sz w:val="20"/>
                <w:szCs w:val="20"/>
                <w:lang w:eastAsia="en-GB"/>
              </w:rPr>
              <w:t>Sensitivity condition</w:t>
            </w:r>
          </w:p>
        </w:tc>
        <w:tc>
          <w:tcPr>
            <w:tcW w:w="0" w:type="auto"/>
            <w:gridSpan w:val="2"/>
            <w:tcBorders>
              <w:top w:val="single" w:sz="12" w:space="0" w:color="auto"/>
            </w:tcBorders>
            <w:vAlign w:val="center"/>
            <w:hideMark/>
          </w:tcPr>
          <w:p w14:paraId="0619EF5E" w14:textId="77777777" w:rsidR="00271850" w:rsidRPr="00C24F78" w:rsidRDefault="00271850" w:rsidP="00F61E90">
            <w:pPr>
              <w:spacing w:after="0" w:line="240" w:lineRule="auto"/>
              <w:rPr>
                <w:rFonts w:eastAsia="Times New Roman" w:cstheme="minorHAnsi"/>
                <w:b/>
                <w:bCs/>
                <w:sz w:val="20"/>
                <w:szCs w:val="20"/>
                <w:lang w:eastAsia="en-GB"/>
              </w:rPr>
            </w:pPr>
            <w:r w:rsidRPr="00C24F78">
              <w:rPr>
                <w:rFonts w:eastAsia="Times New Roman" w:cstheme="minorHAnsi"/>
                <w:b/>
                <w:bCs/>
                <w:sz w:val="20"/>
                <w:szCs w:val="20"/>
                <w:lang w:eastAsia="en-GB"/>
              </w:rPr>
              <w:t>Univariable</w:t>
            </w:r>
          </w:p>
        </w:tc>
        <w:tc>
          <w:tcPr>
            <w:tcW w:w="0" w:type="auto"/>
            <w:gridSpan w:val="3"/>
            <w:tcBorders>
              <w:top w:val="single" w:sz="12" w:space="0" w:color="auto"/>
            </w:tcBorders>
            <w:vAlign w:val="center"/>
          </w:tcPr>
          <w:p w14:paraId="2C00A278" w14:textId="77777777" w:rsidR="00271850" w:rsidRPr="00C24F78" w:rsidRDefault="00271850" w:rsidP="00F61E90">
            <w:pPr>
              <w:spacing w:after="0" w:line="240" w:lineRule="auto"/>
              <w:jc w:val="center"/>
              <w:rPr>
                <w:rFonts w:eastAsia="Times New Roman" w:cstheme="minorHAnsi"/>
                <w:b/>
                <w:bCs/>
                <w:sz w:val="20"/>
                <w:szCs w:val="20"/>
                <w:lang w:eastAsia="en-GB"/>
              </w:rPr>
            </w:pPr>
            <w:r w:rsidRPr="00C24F78">
              <w:rPr>
                <w:rFonts w:eastAsia="Times New Roman" w:cstheme="minorHAnsi"/>
                <w:b/>
                <w:bCs/>
                <w:sz w:val="20"/>
                <w:szCs w:val="20"/>
                <w:lang w:eastAsia="en-GB"/>
              </w:rPr>
              <w:t>Adjusted</w:t>
            </w:r>
          </w:p>
        </w:tc>
        <w:tc>
          <w:tcPr>
            <w:tcW w:w="0" w:type="auto"/>
            <w:gridSpan w:val="2"/>
            <w:tcBorders>
              <w:top w:val="single" w:sz="12" w:space="0" w:color="auto"/>
            </w:tcBorders>
          </w:tcPr>
          <w:p w14:paraId="2F65ADB6" w14:textId="77777777" w:rsidR="00271850" w:rsidRPr="00C24F78" w:rsidRDefault="00271850" w:rsidP="00F61E90">
            <w:pPr>
              <w:spacing w:after="0" w:line="240" w:lineRule="auto"/>
              <w:jc w:val="center"/>
              <w:rPr>
                <w:rFonts w:eastAsia="Times New Roman" w:cstheme="minorHAnsi"/>
                <w:b/>
                <w:bCs/>
                <w:sz w:val="20"/>
                <w:szCs w:val="20"/>
                <w:lang w:eastAsia="en-GB"/>
              </w:rPr>
            </w:pPr>
            <w:r w:rsidRPr="00C24F78">
              <w:rPr>
                <w:rFonts w:eastAsia="Times New Roman" w:cstheme="minorHAnsi"/>
                <w:b/>
                <w:bCs/>
                <w:sz w:val="20"/>
                <w:szCs w:val="20"/>
                <w:lang w:eastAsia="en-GB"/>
              </w:rPr>
              <w:t>Univariable</w:t>
            </w:r>
          </w:p>
        </w:tc>
        <w:tc>
          <w:tcPr>
            <w:tcW w:w="0" w:type="auto"/>
            <w:gridSpan w:val="2"/>
            <w:tcBorders>
              <w:top w:val="single" w:sz="12" w:space="0" w:color="auto"/>
            </w:tcBorders>
          </w:tcPr>
          <w:p w14:paraId="6AC5E9F8" w14:textId="77777777" w:rsidR="00271850" w:rsidRPr="00C24F78" w:rsidRDefault="00271850" w:rsidP="00F61E90">
            <w:pPr>
              <w:spacing w:after="0" w:line="240" w:lineRule="auto"/>
              <w:jc w:val="center"/>
              <w:rPr>
                <w:rFonts w:eastAsia="Times New Roman" w:cstheme="minorHAnsi"/>
                <w:b/>
                <w:bCs/>
                <w:sz w:val="20"/>
                <w:szCs w:val="20"/>
                <w:lang w:eastAsia="en-GB"/>
              </w:rPr>
            </w:pPr>
            <w:r w:rsidRPr="00C24F78">
              <w:rPr>
                <w:rFonts w:eastAsia="Times New Roman" w:cstheme="minorHAnsi"/>
                <w:b/>
                <w:bCs/>
                <w:sz w:val="20"/>
                <w:szCs w:val="20"/>
                <w:lang w:eastAsia="en-GB"/>
              </w:rPr>
              <w:t>Adjusted</w:t>
            </w:r>
          </w:p>
        </w:tc>
      </w:tr>
      <w:tr w:rsidR="005E71B7" w:rsidRPr="00C24F78" w14:paraId="278F3CBE" w14:textId="77777777" w:rsidTr="00F61E90">
        <w:trPr>
          <w:tblHeader/>
          <w:tblCellSpacing w:w="15" w:type="dxa"/>
        </w:trPr>
        <w:tc>
          <w:tcPr>
            <w:tcW w:w="0" w:type="auto"/>
            <w:tcBorders>
              <w:bottom w:val="single" w:sz="4" w:space="0" w:color="auto"/>
            </w:tcBorders>
            <w:vAlign w:val="center"/>
          </w:tcPr>
          <w:p w14:paraId="34DA2C41" w14:textId="77777777" w:rsidR="00271850" w:rsidRPr="00C24F78" w:rsidRDefault="00271850" w:rsidP="00F61E90">
            <w:pPr>
              <w:spacing w:after="0" w:line="240" w:lineRule="auto"/>
              <w:rPr>
                <w:rFonts w:eastAsia="Times New Roman" w:cstheme="minorHAnsi"/>
                <w:sz w:val="20"/>
                <w:szCs w:val="20"/>
                <w:lang w:eastAsia="en-GB"/>
              </w:rPr>
            </w:pPr>
          </w:p>
        </w:tc>
        <w:tc>
          <w:tcPr>
            <w:tcW w:w="0" w:type="auto"/>
            <w:tcBorders>
              <w:bottom w:val="single" w:sz="4" w:space="0" w:color="auto"/>
            </w:tcBorders>
            <w:vAlign w:val="center"/>
          </w:tcPr>
          <w:p w14:paraId="30E09793" w14:textId="77777777" w:rsidR="00271850" w:rsidRPr="00C24F78" w:rsidRDefault="00271850" w:rsidP="00F61E90">
            <w:pPr>
              <w:spacing w:after="0" w:line="240" w:lineRule="auto"/>
              <w:jc w:val="center"/>
              <w:rPr>
                <w:rFonts w:eastAsia="Times New Roman" w:cstheme="minorHAnsi"/>
                <w:b/>
                <w:bCs/>
                <w:sz w:val="20"/>
                <w:szCs w:val="20"/>
                <w:lang w:eastAsia="en-GB"/>
              </w:rPr>
            </w:pPr>
            <w:r w:rsidRPr="00C24F78">
              <w:rPr>
                <w:rFonts w:eastAsia="Times New Roman" w:cstheme="minorHAnsi"/>
                <w:b/>
                <w:bCs/>
                <w:sz w:val="20"/>
                <w:szCs w:val="20"/>
                <w:lang w:eastAsia="en-GB"/>
              </w:rPr>
              <w:t>HR</w:t>
            </w:r>
          </w:p>
        </w:tc>
        <w:tc>
          <w:tcPr>
            <w:tcW w:w="0" w:type="auto"/>
            <w:tcBorders>
              <w:bottom w:val="single" w:sz="4" w:space="0" w:color="auto"/>
            </w:tcBorders>
          </w:tcPr>
          <w:p w14:paraId="3323B3B3" w14:textId="77777777" w:rsidR="00271850" w:rsidRPr="00C24F78" w:rsidRDefault="00271850" w:rsidP="00F61E90">
            <w:pPr>
              <w:spacing w:after="0" w:line="240" w:lineRule="auto"/>
              <w:jc w:val="center"/>
              <w:rPr>
                <w:rFonts w:eastAsia="Times New Roman" w:cstheme="minorHAnsi"/>
                <w:b/>
                <w:bCs/>
                <w:i/>
                <w:sz w:val="20"/>
                <w:szCs w:val="20"/>
                <w:lang w:eastAsia="en-GB"/>
              </w:rPr>
            </w:pPr>
            <w:r w:rsidRPr="00C24F78">
              <w:rPr>
                <w:rFonts w:eastAsia="Times New Roman" w:cstheme="minorHAnsi"/>
                <w:b/>
                <w:bCs/>
                <w:i/>
                <w:sz w:val="20"/>
                <w:szCs w:val="20"/>
                <w:lang w:eastAsia="en-GB"/>
              </w:rPr>
              <w:t>95%CI</w:t>
            </w:r>
          </w:p>
        </w:tc>
        <w:tc>
          <w:tcPr>
            <w:tcW w:w="0" w:type="auto"/>
            <w:tcBorders>
              <w:bottom w:val="single" w:sz="4" w:space="0" w:color="auto"/>
            </w:tcBorders>
            <w:vAlign w:val="center"/>
          </w:tcPr>
          <w:p w14:paraId="7BB1B6EF" w14:textId="77777777" w:rsidR="00271850" w:rsidRPr="00C24F78" w:rsidRDefault="00271850" w:rsidP="00F61E90">
            <w:pPr>
              <w:spacing w:after="0" w:line="240" w:lineRule="auto"/>
              <w:jc w:val="center"/>
              <w:rPr>
                <w:rFonts w:eastAsia="Times New Roman" w:cstheme="minorHAnsi"/>
                <w:b/>
                <w:bCs/>
                <w:sz w:val="20"/>
                <w:szCs w:val="20"/>
                <w:lang w:eastAsia="en-GB"/>
              </w:rPr>
            </w:pPr>
            <w:r w:rsidRPr="00C24F78">
              <w:rPr>
                <w:rFonts w:eastAsia="Times New Roman" w:cstheme="minorHAnsi"/>
                <w:b/>
                <w:bCs/>
                <w:sz w:val="20"/>
                <w:szCs w:val="20"/>
                <w:lang w:eastAsia="en-GB"/>
              </w:rPr>
              <w:t>HR</w:t>
            </w:r>
          </w:p>
        </w:tc>
        <w:tc>
          <w:tcPr>
            <w:tcW w:w="0" w:type="auto"/>
            <w:tcBorders>
              <w:bottom w:val="single" w:sz="4" w:space="0" w:color="auto"/>
            </w:tcBorders>
          </w:tcPr>
          <w:p w14:paraId="6BC3F804" w14:textId="77777777" w:rsidR="00271850" w:rsidRPr="00C24F78" w:rsidRDefault="00271850" w:rsidP="00F61E90">
            <w:pPr>
              <w:spacing w:after="0" w:line="240" w:lineRule="auto"/>
              <w:jc w:val="center"/>
              <w:rPr>
                <w:rFonts w:eastAsia="Times New Roman" w:cstheme="minorHAnsi"/>
                <w:b/>
                <w:bCs/>
                <w:i/>
                <w:sz w:val="20"/>
                <w:szCs w:val="20"/>
                <w:lang w:eastAsia="en-GB"/>
              </w:rPr>
            </w:pPr>
            <w:r w:rsidRPr="00C24F78">
              <w:rPr>
                <w:rFonts w:eastAsia="Times New Roman" w:cstheme="minorHAnsi"/>
                <w:b/>
                <w:bCs/>
                <w:i/>
                <w:sz w:val="20"/>
                <w:szCs w:val="20"/>
                <w:lang w:eastAsia="en-GB"/>
              </w:rPr>
              <w:t>95%CI</w:t>
            </w:r>
          </w:p>
        </w:tc>
        <w:tc>
          <w:tcPr>
            <w:tcW w:w="0" w:type="auto"/>
            <w:tcBorders>
              <w:bottom w:val="single" w:sz="4" w:space="0" w:color="auto"/>
            </w:tcBorders>
          </w:tcPr>
          <w:p w14:paraId="580EA1C5" w14:textId="77777777" w:rsidR="00271850" w:rsidRPr="00C24F78" w:rsidRDefault="00271850" w:rsidP="00F61E90">
            <w:pPr>
              <w:spacing w:after="0" w:line="240" w:lineRule="auto"/>
              <w:rPr>
                <w:rFonts w:eastAsia="Times New Roman" w:cstheme="minorHAnsi"/>
                <w:b/>
                <w:bCs/>
                <w:sz w:val="20"/>
                <w:szCs w:val="20"/>
                <w:lang w:eastAsia="en-GB"/>
              </w:rPr>
            </w:pPr>
          </w:p>
        </w:tc>
        <w:tc>
          <w:tcPr>
            <w:tcW w:w="0" w:type="auto"/>
            <w:tcBorders>
              <w:bottom w:val="single" w:sz="4" w:space="0" w:color="auto"/>
            </w:tcBorders>
            <w:vAlign w:val="center"/>
          </w:tcPr>
          <w:p w14:paraId="4460E732" w14:textId="77777777" w:rsidR="00271850" w:rsidRPr="00C24F78" w:rsidRDefault="00271850" w:rsidP="00F61E90">
            <w:pPr>
              <w:spacing w:after="0" w:line="240" w:lineRule="auto"/>
              <w:jc w:val="right"/>
              <w:rPr>
                <w:rFonts w:eastAsia="Times New Roman" w:cstheme="minorHAnsi"/>
                <w:b/>
                <w:bCs/>
                <w:sz w:val="20"/>
                <w:szCs w:val="20"/>
                <w:lang w:eastAsia="en-GB"/>
              </w:rPr>
            </w:pPr>
            <w:r w:rsidRPr="00C24F78">
              <w:rPr>
                <w:rFonts w:eastAsia="Times New Roman" w:cstheme="minorHAnsi"/>
                <w:b/>
                <w:bCs/>
                <w:sz w:val="20"/>
                <w:szCs w:val="20"/>
                <w:lang w:eastAsia="en-GB"/>
              </w:rPr>
              <w:t>HR</w:t>
            </w:r>
          </w:p>
        </w:tc>
        <w:tc>
          <w:tcPr>
            <w:tcW w:w="0" w:type="auto"/>
            <w:tcBorders>
              <w:bottom w:val="single" w:sz="4" w:space="0" w:color="auto"/>
            </w:tcBorders>
            <w:vAlign w:val="center"/>
          </w:tcPr>
          <w:p w14:paraId="549240D4" w14:textId="77777777" w:rsidR="00271850" w:rsidRPr="00C24F78" w:rsidRDefault="00271850" w:rsidP="00F61E90">
            <w:pPr>
              <w:spacing w:after="0" w:line="240" w:lineRule="auto"/>
              <w:jc w:val="right"/>
              <w:rPr>
                <w:rFonts w:eastAsia="Times New Roman" w:cstheme="minorHAnsi"/>
                <w:b/>
                <w:bCs/>
                <w:i/>
                <w:sz w:val="20"/>
                <w:szCs w:val="20"/>
                <w:lang w:eastAsia="en-GB"/>
              </w:rPr>
            </w:pPr>
            <w:r w:rsidRPr="00C24F78">
              <w:rPr>
                <w:rFonts w:eastAsia="Times New Roman" w:cstheme="minorHAnsi"/>
                <w:b/>
                <w:bCs/>
                <w:i/>
                <w:sz w:val="20"/>
                <w:szCs w:val="20"/>
                <w:lang w:eastAsia="en-GB"/>
              </w:rPr>
              <w:t>95%CI</w:t>
            </w:r>
          </w:p>
        </w:tc>
        <w:tc>
          <w:tcPr>
            <w:tcW w:w="0" w:type="auto"/>
            <w:tcBorders>
              <w:bottom w:val="single" w:sz="4" w:space="0" w:color="auto"/>
            </w:tcBorders>
            <w:vAlign w:val="center"/>
          </w:tcPr>
          <w:p w14:paraId="09CDF2CA" w14:textId="77777777" w:rsidR="00271850" w:rsidRPr="00C24F78" w:rsidRDefault="00271850" w:rsidP="00F61E90">
            <w:pPr>
              <w:spacing w:after="0" w:line="240" w:lineRule="auto"/>
              <w:jc w:val="right"/>
              <w:rPr>
                <w:rFonts w:eastAsia="Times New Roman" w:cstheme="minorHAnsi"/>
                <w:b/>
                <w:bCs/>
                <w:sz w:val="20"/>
                <w:szCs w:val="20"/>
                <w:lang w:eastAsia="en-GB"/>
              </w:rPr>
            </w:pPr>
            <w:r w:rsidRPr="00C24F78">
              <w:rPr>
                <w:rFonts w:eastAsia="Times New Roman" w:cstheme="minorHAnsi"/>
                <w:b/>
                <w:bCs/>
                <w:sz w:val="20"/>
                <w:szCs w:val="20"/>
                <w:lang w:eastAsia="en-GB"/>
              </w:rPr>
              <w:t>HR</w:t>
            </w:r>
          </w:p>
        </w:tc>
        <w:tc>
          <w:tcPr>
            <w:tcW w:w="0" w:type="auto"/>
            <w:tcBorders>
              <w:bottom w:val="single" w:sz="4" w:space="0" w:color="auto"/>
            </w:tcBorders>
            <w:vAlign w:val="center"/>
          </w:tcPr>
          <w:p w14:paraId="3CE7E6D5" w14:textId="77777777" w:rsidR="00271850" w:rsidRPr="00C24F78" w:rsidRDefault="00271850" w:rsidP="00F61E90">
            <w:pPr>
              <w:spacing w:after="0" w:line="240" w:lineRule="auto"/>
              <w:jc w:val="right"/>
              <w:rPr>
                <w:rFonts w:eastAsia="Times New Roman" w:cstheme="minorHAnsi"/>
                <w:b/>
                <w:bCs/>
                <w:i/>
                <w:sz w:val="20"/>
                <w:szCs w:val="20"/>
                <w:lang w:eastAsia="en-GB"/>
              </w:rPr>
            </w:pPr>
            <w:r w:rsidRPr="00C24F78">
              <w:rPr>
                <w:rFonts w:eastAsia="Times New Roman" w:cstheme="minorHAnsi"/>
                <w:b/>
                <w:bCs/>
                <w:i/>
                <w:sz w:val="20"/>
                <w:szCs w:val="20"/>
                <w:lang w:eastAsia="en-GB"/>
              </w:rPr>
              <w:t>95%CI</w:t>
            </w:r>
          </w:p>
        </w:tc>
      </w:tr>
      <w:tr w:rsidR="005E71B7" w:rsidRPr="00C24F78" w14:paraId="3989F76B" w14:textId="77777777" w:rsidTr="00F61E90">
        <w:trPr>
          <w:tblCellSpacing w:w="15" w:type="dxa"/>
        </w:trPr>
        <w:tc>
          <w:tcPr>
            <w:tcW w:w="0" w:type="auto"/>
            <w:vAlign w:val="center"/>
          </w:tcPr>
          <w:p w14:paraId="3D1A03D0" w14:textId="77777777" w:rsidR="00271850" w:rsidRPr="00C24F78" w:rsidRDefault="00271850" w:rsidP="00F61E90">
            <w:pPr>
              <w:spacing w:after="0" w:line="240" w:lineRule="auto"/>
              <w:rPr>
                <w:rFonts w:eastAsia="Times New Roman" w:cstheme="minorHAnsi"/>
                <w:sz w:val="20"/>
                <w:szCs w:val="20"/>
                <w:lang w:eastAsia="en-GB"/>
              </w:rPr>
            </w:pPr>
            <w:r w:rsidRPr="00C24F78">
              <w:rPr>
                <w:rFonts w:eastAsia="Times New Roman" w:cstheme="minorHAnsi"/>
                <w:sz w:val="20"/>
                <w:szCs w:val="20"/>
                <w:lang w:eastAsia="en-GB"/>
              </w:rPr>
              <w:t>Original analysis</w:t>
            </w:r>
          </w:p>
        </w:tc>
        <w:tc>
          <w:tcPr>
            <w:tcW w:w="0" w:type="auto"/>
          </w:tcPr>
          <w:p w14:paraId="2A1124A5" w14:textId="5598697D" w:rsidR="00271850" w:rsidRPr="00C24F78" w:rsidRDefault="00271850" w:rsidP="00F61E90">
            <w:pPr>
              <w:spacing w:after="0" w:line="240" w:lineRule="auto"/>
              <w:jc w:val="right"/>
              <w:rPr>
                <w:rFonts w:eastAsia="Times New Roman" w:cstheme="minorHAnsi"/>
                <w:sz w:val="20"/>
                <w:szCs w:val="20"/>
                <w:lang w:eastAsia="en-GB"/>
              </w:rPr>
            </w:pPr>
            <w:r w:rsidRPr="00C24F78">
              <w:rPr>
                <w:sz w:val="20"/>
                <w:szCs w:val="20"/>
              </w:rPr>
              <w:t>0</w:t>
            </w:r>
            <w:r>
              <w:rPr>
                <w:sz w:val="20"/>
                <w:szCs w:val="20"/>
              </w:rPr>
              <w:t>.</w:t>
            </w:r>
            <w:r w:rsidRPr="00C24F78">
              <w:rPr>
                <w:sz w:val="20"/>
                <w:szCs w:val="20"/>
              </w:rPr>
              <w:t>9</w:t>
            </w:r>
            <w:r w:rsidR="003E421C">
              <w:rPr>
                <w:sz w:val="20"/>
                <w:szCs w:val="20"/>
              </w:rPr>
              <w:t>3</w:t>
            </w:r>
          </w:p>
        </w:tc>
        <w:tc>
          <w:tcPr>
            <w:tcW w:w="0" w:type="auto"/>
          </w:tcPr>
          <w:p w14:paraId="6EB79EDD" w14:textId="3AE4EC7F" w:rsidR="00271850" w:rsidRPr="00C24F78" w:rsidRDefault="00271850" w:rsidP="00F61E90">
            <w:pPr>
              <w:spacing w:after="0" w:line="240" w:lineRule="auto"/>
              <w:jc w:val="right"/>
              <w:rPr>
                <w:rFonts w:eastAsia="Times New Roman" w:cstheme="minorHAnsi"/>
                <w:sz w:val="20"/>
                <w:szCs w:val="20"/>
                <w:lang w:eastAsia="en-GB"/>
              </w:rPr>
            </w:pPr>
            <w:r w:rsidRPr="00C24F78">
              <w:rPr>
                <w:sz w:val="20"/>
                <w:szCs w:val="20"/>
              </w:rPr>
              <w:t>0</w:t>
            </w:r>
            <w:r>
              <w:rPr>
                <w:sz w:val="20"/>
                <w:szCs w:val="20"/>
              </w:rPr>
              <w:t>.</w:t>
            </w:r>
            <w:r w:rsidRPr="00C24F78">
              <w:rPr>
                <w:sz w:val="20"/>
                <w:szCs w:val="20"/>
              </w:rPr>
              <w:t>8</w:t>
            </w:r>
            <w:r w:rsidR="003E421C">
              <w:rPr>
                <w:sz w:val="20"/>
                <w:szCs w:val="20"/>
              </w:rPr>
              <w:t>4</w:t>
            </w:r>
            <w:r w:rsidRPr="00C24F78">
              <w:rPr>
                <w:sz w:val="20"/>
                <w:szCs w:val="20"/>
              </w:rPr>
              <w:t>-1</w:t>
            </w:r>
            <w:r>
              <w:rPr>
                <w:sz w:val="20"/>
                <w:szCs w:val="20"/>
              </w:rPr>
              <w:t>.</w:t>
            </w:r>
            <w:r w:rsidRPr="00C24F78">
              <w:rPr>
                <w:sz w:val="20"/>
                <w:szCs w:val="20"/>
              </w:rPr>
              <w:t>0</w:t>
            </w:r>
            <w:r w:rsidR="003E421C">
              <w:rPr>
                <w:sz w:val="20"/>
                <w:szCs w:val="20"/>
              </w:rPr>
              <w:t>4</w:t>
            </w:r>
          </w:p>
        </w:tc>
        <w:tc>
          <w:tcPr>
            <w:tcW w:w="0" w:type="auto"/>
          </w:tcPr>
          <w:p w14:paraId="155664B9" w14:textId="7B5187DE" w:rsidR="00271850" w:rsidRPr="00C24F78" w:rsidRDefault="00271850" w:rsidP="00F61E90">
            <w:pPr>
              <w:spacing w:after="0" w:line="240" w:lineRule="auto"/>
              <w:jc w:val="right"/>
              <w:rPr>
                <w:rFonts w:eastAsia="Times New Roman" w:cstheme="minorHAnsi"/>
                <w:sz w:val="20"/>
                <w:szCs w:val="20"/>
                <w:lang w:eastAsia="en-GB"/>
              </w:rPr>
            </w:pPr>
            <w:r w:rsidRPr="00C24F78">
              <w:rPr>
                <w:sz w:val="20"/>
                <w:szCs w:val="20"/>
              </w:rPr>
              <w:t>1</w:t>
            </w:r>
            <w:r>
              <w:rPr>
                <w:sz w:val="20"/>
                <w:szCs w:val="20"/>
              </w:rPr>
              <w:t>.</w:t>
            </w:r>
            <w:r w:rsidRPr="00C24F78">
              <w:rPr>
                <w:sz w:val="20"/>
                <w:szCs w:val="20"/>
              </w:rPr>
              <w:t>0</w:t>
            </w:r>
            <w:r w:rsidR="003E421C">
              <w:rPr>
                <w:sz w:val="20"/>
                <w:szCs w:val="20"/>
              </w:rPr>
              <w:t>5</w:t>
            </w:r>
          </w:p>
        </w:tc>
        <w:tc>
          <w:tcPr>
            <w:tcW w:w="0" w:type="auto"/>
          </w:tcPr>
          <w:p w14:paraId="2E62B7FE" w14:textId="16ED227F" w:rsidR="00271850" w:rsidRPr="00C24F78" w:rsidRDefault="00271850" w:rsidP="00F61E90">
            <w:pPr>
              <w:spacing w:after="0" w:line="240" w:lineRule="auto"/>
              <w:jc w:val="right"/>
              <w:rPr>
                <w:rFonts w:eastAsia="Times New Roman" w:cstheme="minorHAnsi"/>
                <w:sz w:val="20"/>
                <w:szCs w:val="20"/>
                <w:lang w:eastAsia="en-GB"/>
              </w:rPr>
            </w:pPr>
            <w:r w:rsidRPr="00C24F78">
              <w:rPr>
                <w:sz w:val="20"/>
                <w:szCs w:val="20"/>
              </w:rPr>
              <w:t>0</w:t>
            </w:r>
            <w:r>
              <w:rPr>
                <w:sz w:val="20"/>
                <w:szCs w:val="20"/>
              </w:rPr>
              <w:t>.</w:t>
            </w:r>
            <w:r w:rsidRPr="00C24F78">
              <w:rPr>
                <w:sz w:val="20"/>
                <w:szCs w:val="20"/>
              </w:rPr>
              <w:t>8</w:t>
            </w:r>
            <w:r w:rsidR="003E421C">
              <w:rPr>
                <w:sz w:val="20"/>
                <w:szCs w:val="20"/>
              </w:rPr>
              <w:t>6</w:t>
            </w:r>
            <w:r w:rsidRPr="00C24F78">
              <w:rPr>
                <w:sz w:val="20"/>
                <w:szCs w:val="20"/>
              </w:rPr>
              <w:t>-1</w:t>
            </w:r>
            <w:r>
              <w:rPr>
                <w:sz w:val="20"/>
                <w:szCs w:val="20"/>
              </w:rPr>
              <w:t>.</w:t>
            </w:r>
            <w:r w:rsidRPr="00C24F78">
              <w:rPr>
                <w:sz w:val="20"/>
                <w:szCs w:val="20"/>
              </w:rPr>
              <w:t>2</w:t>
            </w:r>
            <w:r w:rsidR="003E421C">
              <w:rPr>
                <w:sz w:val="20"/>
                <w:szCs w:val="20"/>
              </w:rPr>
              <w:t>8</w:t>
            </w:r>
          </w:p>
        </w:tc>
        <w:tc>
          <w:tcPr>
            <w:tcW w:w="0" w:type="auto"/>
            <w:vAlign w:val="center"/>
          </w:tcPr>
          <w:p w14:paraId="1C395A40" w14:textId="77777777" w:rsidR="00271850" w:rsidRPr="00C24F78" w:rsidRDefault="00271850" w:rsidP="00F61E90">
            <w:pPr>
              <w:spacing w:after="0" w:line="240" w:lineRule="auto"/>
              <w:jc w:val="right"/>
              <w:rPr>
                <w:rFonts w:eastAsia="Times New Roman" w:cstheme="minorHAnsi"/>
                <w:sz w:val="20"/>
                <w:szCs w:val="20"/>
                <w:lang w:eastAsia="en-GB"/>
              </w:rPr>
            </w:pPr>
          </w:p>
        </w:tc>
        <w:tc>
          <w:tcPr>
            <w:tcW w:w="0" w:type="auto"/>
          </w:tcPr>
          <w:p w14:paraId="5F480DF5" w14:textId="2251158B" w:rsidR="00271850" w:rsidRPr="00C24F78" w:rsidRDefault="00271850" w:rsidP="00F61E90">
            <w:pPr>
              <w:spacing w:after="0" w:line="240" w:lineRule="auto"/>
              <w:jc w:val="right"/>
              <w:rPr>
                <w:rFonts w:eastAsia="Times New Roman" w:cstheme="minorHAnsi"/>
                <w:sz w:val="20"/>
                <w:szCs w:val="20"/>
                <w:lang w:eastAsia="en-GB"/>
              </w:rPr>
            </w:pPr>
            <w:r w:rsidRPr="00C24F78">
              <w:rPr>
                <w:sz w:val="20"/>
                <w:szCs w:val="20"/>
              </w:rPr>
              <w:t>1</w:t>
            </w:r>
            <w:r>
              <w:rPr>
                <w:sz w:val="20"/>
                <w:szCs w:val="20"/>
              </w:rPr>
              <w:t>.</w:t>
            </w:r>
            <w:r w:rsidRPr="00C24F78">
              <w:rPr>
                <w:sz w:val="20"/>
                <w:szCs w:val="20"/>
              </w:rPr>
              <w:t>0</w:t>
            </w:r>
            <w:r w:rsidR="005E71B7">
              <w:rPr>
                <w:sz w:val="20"/>
                <w:szCs w:val="20"/>
              </w:rPr>
              <w:t>1</w:t>
            </w:r>
          </w:p>
        </w:tc>
        <w:tc>
          <w:tcPr>
            <w:tcW w:w="0" w:type="auto"/>
          </w:tcPr>
          <w:p w14:paraId="6A4C5F7F" w14:textId="1BB430D8" w:rsidR="00271850" w:rsidRPr="00C24F78" w:rsidRDefault="00271850" w:rsidP="00F61E90">
            <w:pPr>
              <w:spacing w:after="0" w:line="240" w:lineRule="auto"/>
              <w:jc w:val="right"/>
              <w:rPr>
                <w:rFonts w:eastAsia="Times New Roman" w:cstheme="minorHAnsi"/>
                <w:sz w:val="20"/>
                <w:szCs w:val="20"/>
                <w:lang w:eastAsia="en-GB"/>
              </w:rPr>
            </w:pPr>
            <w:r w:rsidRPr="00C24F78">
              <w:rPr>
                <w:sz w:val="20"/>
                <w:szCs w:val="20"/>
              </w:rPr>
              <w:t>0</w:t>
            </w:r>
            <w:r>
              <w:rPr>
                <w:sz w:val="20"/>
                <w:szCs w:val="20"/>
              </w:rPr>
              <w:t>.</w:t>
            </w:r>
            <w:r w:rsidRPr="00C24F78">
              <w:rPr>
                <w:sz w:val="20"/>
                <w:szCs w:val="20"/>
              </w:rPr>
              <w:t>87-1</w:t>
            </w:r>
            <w:r>
              <w:rPr>
                <w:sz w:val="20"/>
                <w:szCs w:val="20"/>
              </w:rPr>
              <w:t>.</w:t>
            </w:r>
            <w:r w:rsidR="005E71B7">
              <w:rPr>
                <w:sz w:val="20"/>
                <w:szCs w:val="20"/>
              </w:rPr>
              <w:t>19</w:t>
            </w:r>
          </w:p>
        </w:tc>
        <w:tc>
          <w:tcPr>
            <w:tcW w:w="0" w:type="auto"/>
          </w:tcPr>
          <w:p w14:paraId="0EF86FC5" w14:textId="6AC27C8C" w:rsidR="00271850" w:rsidRPr="00C24F78" w:rsidRDefault="00271850" w:rsidP="00F61E90">
            <w:pPr>
              <w:spacing w:after="0" w:line="240" w:lineRule="auto"/>
              <w:jc w:val="right"/>
              <w:rPr>
                <w:rFonts w:eastAsia="Times New Roman" w:cstheme="minorHAnsi"/>
                <w:sz w:val="20"/>
                <w:szCs w:val="20"/>
                <w:lang w:eastAsia="en-GB"/>
              </w:rPr>
            </w:pPr>
            <w:r w:rsidRPr="00C24F78">
              <w:rPr>
                <w:rFonts w:eastAsia="Times New Roman" w:cstheme="minorHAnsi"/>
                <w:sz w:val="20"/>
                <w:szCs w:val="20"/>
                <w:lang w:eastAsia="en-GB"/>
              </w:rPr>
              <w:t>0</w:t>
            </w:r>
            <w:r>
              <w:rPr>
                <w:rFonts w:eastAsia="Times New Roman" w:cstheme="minorHAnsi"/>
                <w:sz w:val="20"/>
                <w:szCs w:val="20"/>
                <w:lang w:eastAsia="en-GB"/>
              </w:rPr>
              <w:t>.</w:t>
            </w:r>
            <w:r w:rsidR="005E71B7">
              <w:rPr>
                <w:rFonts w:eastAsia="Times New Roman" w:cstheme="minorHAnsi"/>
                <w:sz w:val="20"/>
                <w:szCs w:val="20"/>
                <w:lang w:eastAsia="en-GB"/>
              </w:rPr>
              <w:t>89</w:t>
            </w:r>
          </w:p>
        </w:tc>
        <w:tc>
          <w:tcPr>
            <w:tcW w:w="0" w:type="auto"/>
          </w:tcPr>
          <w:p w14:paraId="6BE489DE" w14:textId="6C3C75C0" w:rsidR="00271850" w:rsidRPr="00C24F78" w:rsidRDefault="00271850" w:rsidP="00F61E90">
            <w:pPr>
              <w:spacing w:after="0" w:line="240" w:lineRule="auto"/>
              <w:jc w:val="right"/>
              <w:rPr>
                <w:rFonts w:eastAsia="Times New Roman" w:cstheme="minorHAnsi"/>
                <w:sz w:val="20"/>
                <w:szCs w:val="20"/>
                <w:lang w:eastAsia="en-GB"/>
              </w:rPr>
            </w:pPr>
            <w:r w:rsidRPr="00C24F78">
              <w:rPr>
                <w:rFonts w:eastAsia="Times New Roman" w:cstheme="minorHAnsi"/>
                <w:sz w:val="20"/>
                <w:szCs w:val="20"/>
                <w:lang w:eastAsia="en-GB"/>
              </w:rPr>
              <w:t>0</w:t>
            </w:r>
            <w:r>
              <w:rPr>
                <w:rFonts w:eastAsia="Times New Roman" w:cstheme="minorHAnsi"/>
                <w:sz w:val="20"/>
                <w:szCs w:val="20"/>
                <w:lang w:eastAsia="en-GB"/>
              </w:rPr>
              <w:t>.</w:t>
            </w:r>
            <w:r w:rsidRPr="00C24F78">
              <w:rPr>
                <w:rFonts w:eastAsia="Times New Roman" w:cstheme="minorHAnsi"/>
                <w:sz w:val="20"/>
                <w:szCs w:val="20"/>
                <w:lang w:eastAsia="en-GB"/>
              </w:rPr>
              <w:t>6</w:t>
            </w:r>
            <w:r w:rsidR="005E71B7">
              <w:rPr>
                <w:rFonts w:eastAsia="Times New Roman" w:cstheme="minorHAnsi"/>
                <w:sz w:val="20"/>
                <w:szCs w:val="20"/>
                <w:lang w:eastAsia="en-GB"/>
              </w:rPr>
              <w:t>8</w:t>
            </w:r>
            <w:r w:rsidRPr="00C24F78">
              <w:rPr>
                <w:rFonts w:eastAsia="Times New Roman" w:cstheme="minorHAnsi"/>
                <w:sz w:val="20"/>
                <w:szCs w:val="20"/>
                <w:lang w:eastAsia="en-GB"/>
              </w:rPr>
              <w:t>-1</w:t>
            </w:r>
            <w:r>
              <w:rPr>
                <w:rFonts w:eastAsia="Times New Roman" w:cstheme="minorHAnsi"/>
                <w:sz w:val="20"/>
                <w:szCs w:val="20"/>
                <w:lang w:eastAsia="en-GB"/>
              </w:rPr>
              <w:t>.</w:t>
            </w:r>
            <w:r w:rsidR="005E71B7">
              <w:rPr>
                <w:rFonts w:eastAsia="Times New Roman" w:cstheme="minorHAnsi"/>
                <w:sz w:val="20"/>
                <w:szCs w:val="20"/>
                <w:lang w:eastAsia="en-GB"/>
              </w:rPr>
              <w:t>19</w:t>
            </w:r>
          </w:p>
        </w:tc>
      </w:tr>
      <w:tr w:rsidR="005E71B7" w:rsidRPr="00C24F78" w14:paraId="02EDB112" w14:textId="77777777" w:rsidTr="00F61E90">
        <w:trPr>
          <w:tblCellSpacing w:w="15" w:type="dxa"/>
        </w:trPr>
        <w:tc>
          <w:tcPr>
            <w:tcW w:w="0" w:type="auto"/>
            <w:vAlign w:val="center"/>
          </w:tcPr>
          <w:p w14:paraId="7CE5A1C1" w14:textId="77777777" w:rsidR="00271850" w:rsidRPr="00C24F78" w:rsidRDefault="00271850" w:rsidP="00F61E90">
            <w:pPr>
              <w:spacing w:after="0" w:line="240" w:lineRule="auto"/>
              <w:rPr>
                <w:rFonts w:eastAsia="Times New Roman" w:cstheme="minorHAnsi"/>
                <w:sz w:val="20"/>
                <w:szCs w:val="20"/>
                <w:lang w:eastAsia="en-GB"/>
              </w:rPr>
            </w:pPr>
            <w:r w:rsidRPr="00C24F78">
              <w:rPr>
                <w:rFonts w:eastAsia="Times New Roman" w:cstheme="minorHAnsi"/>
                <w:sz w:val="20"/>
                <w:szCs w:val="20"/>
                <w:lang w:eastAsia="en-GB"/>
              </w:rPr>
              <w:t>Only including those born after introduction of rotavirus vaccine</w:t>
            </w:r>
          </w:p>
        </w:tc>
        <w:tc>
          <w:tcPr>
            <w:tcW w:w="0" w:type="auto"/>
            <w:vAlign w:val="center"/>
          </w:tcPr>
          <w:p w14:paraId="107B59CF" w14:textId="77777777" w:rsidR="00271850" w:rsidRPr="00C24F78" w:rsidRDefault="00271850" w:rsidP="00F61E90">
            <w:pPr>
              <w:spacing w:after="0" w:line="240" w:lineRule="auto"/>
              <w:jc w:val="right"/>
              <w:rPr>
                <w:rFonts w:eastAsia="Times New Roman" w:cstheme="minorHAnsi"/>
                <w:sz w:val="20"/>
                <w:szCs w:val="20"/>
                <w:lang w:eastAsia="en-GB"/>
              </w:rPr>
            </w:pPr>
            <w:r w:rsidRPr="00C24F78">
              <w:rPr>
                <w:rFonts w:eastAsia="Times New Roman" w:cstheme="minorHAnsi"/>
                <w:sz w:val="20"/>
                <w:szCs w:val="20"/>
                <w:lang w:eastAsia="en-GB"/>
              </w:rPr>
              <w:t>1</w:t>
            </w:r>
            <w:r>
              <w:rPr>
                <w:rFonts w:eastAsia="Times New Roman" w:cstheme="minorHAnsi"/>
                <w:sz w:val="20"/>
                <w:szCs w:val="20"/>
                <w:lang w:eastAsia="en-GB"/>
              </w:rPr>
              <w:t>.</w:t>
            </w:r>
            <w:r w:rsidRPr="00C24F78">
              <w:rPr>
                <w:rFonts w:eastAsia="Times New Roman" w:cstheme="minorHAnsi"/>
                <w:sz w:val="20"/>
                <w:szCs w:val="20"/>
                <w:lang w:eastAsia="en-GB"/>
              </w:rPr>
              <w:t>16</w:t>
            </w:r>
          </w:p>
        </w:tc>
        <w:tc>
          <w:tcPr>
            <w:tcW w:w="0" w:type="auto"/>
            <w:vAlign w:val="center"/>
          </w:tcPr>
          <w:p w14:paraId="673114DE" w14:textId="77777777" w:rsidR="00271850" w:rsidRPr="00C24F78" w:rsidRDefault="00271850" w:rsidP="00F61E90">
            <w:pPr>
              <w:spacing w:after="0" w:line="240" w:lineRule="auto"/>
              <w:jc w:val="right"/>
              <w:rPr>
                <w:rFonts w:eastAsia="Times New Roman" w:cstheme="minorHAnsi"/>
                <w:sz w:val="20"/>
                <w:szCs w:val="20"/>
                <w:lang w:eastAsia="en-GB"/>
              </w:rPr>
            </w:pPr>
            <w:r w:rsidRPr="00C24F78">
              <w:rPr>
                <w:rFonts w:eastAsia="Times New Roman" w:cstheme="minorHAnsi"/>
                <w:sz w:val="20"/>
                <w:szCs w:val="20"/>
                <w:lang w:eastAsia="en-GB"/>
              </w:rPr>
              <w:t>0</w:t>
            </w:r>
            <w:r>
              <w:rPr>
                <w:rFonts w:eastAsia="Times New Roman" w:cstheme="minorHAnsi"/>
                <w:sz w:val="20"/>
                <w:szCs w:val="20"/>
                <w:lang w:eastAsia="en-GB"/>
              </w:rPr>
              <w:t>.</w:t>
            </w:r>
            <w:r w:rsidRPr="00C24F78">
              <w:rPr>
                <w:rFonts w:eastAsia="Times New Roman" w:cstheme="minorHAnsi"/>
                <w:sz w:val="20"/>
                <w:szCs w:val="20"/>
                <w:lang w:eastAsia="en-GB"/>
              </w:rPr>
              <w:t>75-1</w:t>
            </w:r>
            <w:r>
              <w:rPr>
                <w:rFonts w:eastAsia="Times New Roman" w:cstheme="minorHAnsi"/>
                <w:sz w:val="20"/>
                <w:szCs w:val="20"/>
                <w:lang w:eastAsia="en-GB"/>
              </w:rPr>
              <w:t>.</w:t>
            </w:r>
            <w:r w:rsidRPr="00C24F78">
              <w:rPr>
                <w:rFonts w:eastAsia="Times New Roman" w:cstheme="minorHAnsi"/>
                <w:sz w:val="20"/>
                <w:szCs w:val="20"/>
                <w:lang w:eastAsia="en-GB"/>
              </w:rPr>
              <w:t>78</w:t>
            </w:r>
          </w:p>
        </w:tc>
        <w:tc>
          <w:tcPr>
            <w:tcW w:w="0" w:type="auto"/>
            <w:vAlign w:val="center"/>
          </w:tcPr>
          <w:p w14:paraId="60FA6B1A" w14:textId="667E46BA" w:rsidR="00271850" w:rsidRPr="00C24F78" w:rsidRDefault="00271850" w:rsidP="00F61E90">
            <w:pPr>
              <w:spacing w:after="0" w:line="240" w:lineRule="auto"/>
              <w:jc w:val="right"/>
              <w:rPr>
                <w:rFonts w:eastAsia="Times New Roman" w:cstheme="minorHAnsi"/>
                <w:sz w:val="20"/>
                <w:szCs w:val="20"/>
                <w:lang w:eastAsia="en-GB"/>
              </w:rPr>
            </w:pPr>
            <w:r w:rsidRPr="00C24F78">
              <w:rPr>
                <w:rFonts w:eastAsia="Times New Roman" w:cstheme="minorHAnsi"/>
                <w:sz w:val="20"/>
                <w:szCs w:val="20"/>
                <w:lang w:eastAsia="en-GB"/>
              </w:rPr>
              <w:t>1</w:t>
            </w:r>
            <w:r>
              <w:rPr>
                <w:rFonts w:eastAsia="Times New Roman" w:cstheme="minorHAnsi"/>
                <w:sz w:val="20"/>
                <w:szCs w:val="20"/>
                <w:lang w:eastAsia="en-GB"/>
              </w:rPr>
              <w:t>.</w:t>
            </w:r>
            <w:r w:rsidR="003E421C">
              <w:rPr>
                <w:rFonts w:eastAsia="Times New Roman" w:cstheme="minorHAnsi"/>
                <w:sz w:val="20"/>
                <w:szCs w:val="20"/>
                <w:lang w:eastAsia="en-GB"/>
              </w:rPr>
              <w:t>09</w:t>
            </w:r>
          </w:p>
        </w:tc>
        <w:tc>
          <w:tcPr>
            <w:tcW w:w="0" w:type="auto"/>
            <w:vAlign w:val="center"/>
          </w:tcPr>
          <w:p w14:paraId="01EBB837" w14:textId="77777777" w:rsidR="00271850" w:rsidRPr="00C24F78" w:rsidRDefault="00271850" w:rsidP="00F61E90">
            <w:pPr>
              <w:spacing w:after="0" w:line="240" w:lineRule="auto"/>
              <w:jc w:val="right"/>
              <w:rPr>
                <w:rFonts w:eastAsia="Times New Roman" w:cstheme="minorHAnsi"/>
                <w:sz w:val="20"/>
                <w:szCs w:val="20"/>
                <w:lang w:eastAsia="en-GB"/>
              </w:rPr>
            </w:pPr>
            <w:r w:rsidRPr="00C24F78">
              <w:rPr>
                <w:rFonts w:eastAsia="Times New Roman" w:cstheme="minorHAnsi"/>
                <w:sz w:val="20"/>
                <w:szCs w:val="20"/>
                <w:lang w:eastAsia="en-GB"/>
              </w:rPr>
              <w:t>0</w:t>
            </w:r>
            <w:r>
              <w:rPr>
                <w:rFonts w:eastAsia="Times New Roman" w:cstheme="minorHAnsi"/>
                <w:sz w:val="20"/>
                <w:szCs w:val="20"/>
                <w:lang w:eastAsia="en-GB"/>
              </w:rPr>
              <w:t>.</w:t>
            </w:r>
            <w:r w:rsidRPr="00C24F78">
              <w:rPr>
                <w:rFonts w:eastAsia="Times New Roman" w:cstheme="minorHAnsi"/>
                <w:sz w:val="20"/>
                <w:szCs w:val="20"/>
                <w:lang w:eastAsia="en-GB"/>
              </w:rPr>
              <w:t>71-1</w:t>
            </w:r>
            <w:r>
              <w:rPr>
                <w:rFonts w:eastAsia="Times New Roman" w:cstheme="minorHAnsi"/>
                <w:sz w:val="20"/>
                <w:szCs w:val="20"/>
                <w:lang w:eastAsia="en-GB"/>
              </w:rPr>
              <w:t>.</w:t>
            </w:r>
            <w:r w:rsidRPr="00C24F78">
              <w:rPr>
                <w:rFonts w:eastAsia="Times New Roman" w:cstheme="minorHAnsi"/>
                <w:sz w:val="20"/>
                <w:szCs w:val="20"/>
                <w:lang w:eastAsia="en-GB"/>
              </w:rPr>
              <w:t>69</w:t>
            </w:r>
          </w:p>
        </w:tc>
        <w:tc>
          <w:tcPr>
            <w:tcW w:w="0" w:type="auto"/>
            <w:vAlign w:val="center"/>
          </w:tcPr>
          <w:p w14:paraId="4B06BB72" w14:textId="77777777" w:rsidR="00271850" w:rsidRPr="00C24F78" w:rsidRDefault="00271850" w:rsidP="00F61E90">
            <w:pPr>
              <w:spacing w:after="0" w:line="240" w:lineRule="auto"/>
              <w:jc w:val="right"/>
              <w:rPr>
                <w:rFonts w:eastAsia="Times New Roman" w:cstheme="minorHAnsi"/>
                <w:sz w:val="20"/>
                <w:szCs w:val="20"/>
                <w:lang w:eastAsia="en-GB"/>
              </w:rPr>
            </w:pPr>
          </w:p>
        </w:tc>
        <w:tc>
          <w:tcPr>
            <w:tcW w:w="0" w:type="auto"/>
            <w:vAlign w:val="center"/>
          </w:tcPr>
          <w:p w14:paraId="5C51D75C" w14:textId="77777777" w:rsidR="00271850" w:rsidRPr="00C24F78" w:rsidRDefault="00271850" w:rsidP="00F61E90">
            <w:pPr>
              <w:spacing w:after="0" w:line="240" w:lineRule="auto"/>
              <w:jc w:val="right"/>
              <w:rPr>
                <w:rFonts w:eastAsia="Times New Roman" w:cstheme="minorHAnsi"/>
                <w:sz w:val="20"/>
                <w:szCs w:val="20"/>
                <w:lang w:eastAsia="en-GB"/>
              </w:rPr>
            </w:pPr>
            <w:r w:rsidRPr="00C24F78">
              <w:rPr>
                <w:rFonts w:eastAsia="Times New Roman" w:cstheme="minorHAnsi"/>
                <w:sz w:val="20"/>
                <w:szCs w:val="20"/>
                <w:lang w:eastAsia="en-GB"/>
              </w:rPr>
              <w:t>0</w:t>
            </w:r>
            <w:r>
              <w:rPr>
                <w:rFonts w:eastAsia="Times New Roman" w:cstheme="minorHAnsi"/>
                <w:sz w:val="20"/>
                <w:szCs w:val="20"/>
                <w:lang w:eastAsia="en-GB"/>
              </w:rPr>
              <w:t>.</w:t>
            </w:r>
            <w:r w:rsidRPr="00C24F78">
              <w:rPr>
                <w:rFonts w:eastAsia="Times New Roman" w:cstheme="minorHAnsi"/>
                <w:sz w:val="20"/>
                <w:szCs w:val="20"/>
                <w:lang w:eastAsia="en-GB"/>
              </w:rPr>
              <w:t>76</w:t>
            </w:r>
          </w:p>
        </w:tc>
        <w:tc>
          <w:tcPr>
            <w:tcW w:w="0" w:type="auto"/>
            <w:vAlign w:val="center"/>
          </w:tcPr>
          <w:p w14:paraId="4ABFD830" w14:textId="156C30B4" w:rsidR="00271850" w:rsidRPr="00C24F78" w:rsidRDefault="00271850" w:rsidP="00F61E90">
            <w:pPr>
              <w:spacing w:after="0" w:line="240" w:lineRule="auto"/>
              <w:jc w:val="right"/>
              <w:rPr>
                <w:rFonts w:eastAsia="Times New Roman" w:cstheme="minorHAnsi"/>
                <w:sz w:val="20"/>
                <w:szCs w:val="20"/>
                <w:lang w:eastAsia="en-GB"/>
              </w:rPr>
            </w:pPr>
            <w:r w:rsidRPr="00C24F78">
              <w:rPr>
                <w:rFonts w:eastAsia="Times New Roman" w:cstheme="minorHAnsi"/>
                <w:sz w:val="20"/>
                <w:szCs w:val="20"/>
                <w:lang w:eastAsia="en-GB"/>
              </w:rPr>
              <w:t>0</w:t>
            </w:r>
            <w:r>
              <w:rPr>
                <w:rFonts w:eastAsia="Times New Roman" w:cstheme="minorHAnsi"/>
                <w:sz w:val="20"/>
                <w:szCs w:val="20"/>
                <w:lang w:eastAsia="en-GB"/>
              </w:rPr>
              <w:t>.</w:t>
            </w:r>
            <w:r w:rsidRPr="00C24F78">
              <w:rPr>
                <w:rFonts w:eastAsia="Times New Roman" w:cstheme="minorHAnsi"/>
                <w:sz w:val="20"/>
                <w:szCs w:val="20"/>
                <w:lang w:eastAsia="en-GB"/>
              </w:rPr>
              <w:t>45-1</w:t>
            </w:r>
            <w:r>
              <w:rPr>
                <w:rFonts w:eastAsia="Times New Roman" w:cstheme="minorHAnsi"/>
                <w:sz w:val="20"/>
                <w:szCs w:val="20"/>
                <w:lang w:eastAsia="en-GB"/>
              </w:rPr>
              <w:t>.</w:t>
            </w:r>
            <w:r w:rsidR="005E71B7">
              <w:rPr>
                <w:rFonts w:eastAsia="Times New Roman" w:cstheme="minorHAnsi"/>
                <w:sz w:val="20"/>
                <w:szCs w:val="20"/>
                <w:lang w:eastAsia="en-GB"/>
              </w:rPr>
              <w:t>29</w:t>
            </w:r>
          </w:p>
        </w:tc>
        <w:tc>
          <w:tcPr>
            <w:tcW w:w="0" w:type="auto"/>
            <w:vAlign w:val="center"/>
          </w:tcPr>
          <w:p w14:paraId="3CD57544" w14:textId="729528C7" w:rsidR="00271850" w:rsidRPr="00C24F78" w:rsidRDefault="00271850" w:rsidP="00F61E90">
            <w:pPr>
              <w:spacing w:after="0" w:line="240" w:lineRule="auto"/>
              <w:jc w:val="right"/>
              <w:rPr>
                <w:rFonts w:eastAsia="Times New Roman" w:cstheme="minorHAnsi"/>
                <w:sz w:val="20"/>
                <w:szCs w:val="20"/>
                <w:lang w:eastAsia="en-GB"/>
              </w:rPr>
            </w:pPr>
            <w:r w:rsidRPr="00C24F78">
              <w:rPr>
                <w:rFonts w:eastAsia="Times New Roman" w:cstheme="minorHAnsi"/>
                <w:sz w:val="20"/>
                <w:szCs w:val="20"/>
                <w:lang w:eastAsia="en-GB"/>
              </w:rPr>
              <w:t>0</w:t>
            </w:r>
            <w:r>
              <w:rPr>
                <w:rFonts w:eastAsia="Times New Roman" w:cstheme="minorHAnsi"/>
                <w:sz w:val="20"/>
                <w:szCs w:val="20"/>
                <w:lang w:eastAsia="en-GB"/>
              </w:rPr>
              <w:t>.</w:t>
            </w:r>
            <w:r w:rsidRPr="00C24F78">
              <w:rPr>
                <w:rFonts w:eastAsia="Times New Roman" w:cstheme="minorHAnsi"/>
                <w:sz w:val="20"/>
                <w:szCs w:val="20"/>
                <w:lang w:eastAsia="en-GB"/>
              </w:rPr>
              <w:t>7</w:t>
            </w:r>
            <w:r w:rsidR="005E71B7">
              <w:rPr>
                <w:rFonts w:eastAsia="Times New Roman" w:cstheme="minorHAnsi"/>
                <w:sz w:val="20"/>
                <w:szCs w:val="20"/>
                <w:lang w:eastAsia="en-GB"/>
              </w:rPr>
              <w:t>7</w:t>
            </w:r>
          </w:p>
        </w:tc>
        <w:tc>
          <w:tcPr>
            <w:tcW w:w="0" w:type="auto"/>
            <w:vAlign w:val="center"/>
          </w:tcPr>
          <w:p w14:paraId="640084A6" w14:textId="4095E1DF" w:rsidR="00271850" w:rsidRPr="00C24F78" w:rsidRDefault="00271850" w:rsidP="00F61E90">
            <w:pPr>
              <w:spacing w:after="0" w:line="240" w:lineRule="auto"/>
              <w:jc w:val="right"/>
              <w:rPr>
                <w:rFonts w:eastAsia="Times New Roman" w:cstheme="minorHAnsi"/>
                <w:sz w:val="20"/>
                <w:szCs w:val="20"/>
                <w:lang w:eastAsia="en-GB"/>
              </w:rPr>
            </w:pPr>
            <w:r w:rsidRPr="00C24F78">
              <w:rPr>
                <w:rFonts w:eastAsia="Times New Roman" w:cstheme="minorHAnsi"/>
                <w:sz w:val="20"/>
                <w:szCs w:val="20"/>
                <w:lang w:eastAsia="en-GB"/>
              </w:rPr>
              <w:t>0</w:t>
            </w:r>
            <w:r>
              <w:rPr>
                <w:rFonts w:eastAsia="Times New Roman" w:cstheme="minorHAnsi"/>
                <w:sz w:val="20"/>
                <w:szCs w:val="20"/>
                <w:lang w:eastAsia="en-GB"/>
              </w:rPr>
              <w:t>.</w:t>
            </w:r>
            <w:r w:rsidRPr="00C24F78">
              <w:rPr>
                <w:rFonts w:eastAsia="Times New Roman" w:cstheme="minorHAnsi"/>
                <w:sz w:val="20"/>
                <w:szCs w:val="20"/>
                <w:lang w:eastAsia="en-GB"/>
              </w:rPr>
              <w:t>4</w:t>
            </w:r>
            <w:r w:rsidR="005E71B7">
              <w:rPr>
                <w:rFonts w:eastAsia="Times New Roman" w:cstheme="minorHAnsi"/>
                <w:sz w:val="20"/>
                <w:szCs w:val="20"/>
                <w:lang w:eastAsia="en-GB"/>
              </w:rPr>
              <w:t>5</w:t>
            </w:r>
            <w:r w:rsidRPr="00C24F78">
              <w:rPr>
                <w:rFonts w:eastAsia="Times New Roman" w:cstheme="minorHAnsi"/>
                <w:sz w:val="20"/>
                <w:szCs w:val="20"/>
                <w:lang w:eastAsia="en-GB"/>
              </w:rPr>
              <w:t>-1</w:t>
            </w:r>
            <w:r>
              <w:rPr>
                <w:rFonts w:eastAsia="Times New Roman" w:cstheme="minorHAnsi"/>
                <w:sz w:val="20"/>
                <w:szCs w:val="20"/>
                <w:lang w:eastAsia="en-GB"/>
              </w:rPr>
              <w:t>.</w:t>
            </w:r>
            <w:r w:rsidRPr="00C24F78">
              <w:rPr>
                <w:rFonts w:eastAsia="Times New Roman" w:cstheme="minorHAnsi"/>
                <w:sz w:val="20"/>
                <w:szCs w:val="20"/>
                <w:lang w:eastAsia="en-GB"/>
              </w:rPr>
              <w:t>3</w:t>
            </w:r>
            <w:r w:rsidR="005E71B7">
              <w:rPr>
                <w:rFonts w:eastAsia="Times New Roman" w:cstheme="minorHAnsi"/>
                <w:sz w:val="20"/>
                <w:szCs w:val="20"/>
                <w:lang w:eastAsia="en-GB"/>
              </w:rPr>
              <w:t>1</w:t>
            </w:r>
          </w:p>
        </w:tc>
      </w:tr>
      <w:tr w:rsidR="005E71B7" w:rsidRPr="00C24F78" w14:paraId="46854DB6" w14:textId="77777777" w:rsidTr="00F61E90">
        <w:trPr>
          <w:tblCellSpacing w:w="15" w:type="dxa"/>
        </w:trPr>
        <w:tc>
          <w:tcPr>
            <w:tcW w:w="0" w:type="auto"/>
            <w:tcBorders>
              <w:bottom w:val="single" w:sz="12" w:space="0" w:color="auto"/>
            </w:tcBorders>
            <w:vAlign w:val="center"/>
            <w:hideMark/>
          </w:tcPr>
          <w:p w14:paraId="73AEAE11" w14:textId="77777777" w:rsidR="00271850" w:rsidRPr="00C24F78" w:rsidRDefault="00271850" w:rsidP="00F61E90">
            <w:pPr>
              <w:spacing w:after="0" w:line="240" w:lineRule="auto"/>
              <w:rPr>
                <w:rFonts w:eastAsia="Times New Roman" w:cstheme="minorHAnsi"/>
                <w:sz w:val="20"/>
                <w:szCs w:val="20"/>
                <w:lang w:eastAsia="en-GB"/>
              </w:rPr>
            </w:pPr>
            <w:r w:rsidRPr="00C24F78">
              <w:rPr>
                <w:rFonts w:eastAsia="Times New Roman" w:cstheme="minorHAnsi"/>
                <w:sz w:val="20"/>
                <w:szCs w:val="20"/>
                <w:lang w:eastAsia="en-GB"/>
              </w:rPr>
              <w:t>Removing censoring at seventh birthday</w:t>
            </w:r>
          </w:p>
        </w:tc>
        <w:tc>
          <w:tcPr>
            <w:tcW w:w="0" w:type="auto"/>
            <w:tcBorders>
              <w:bottom w:val="single" w:sz="12" w:space="0" w:color="auto"/>
            </w:tcBorders>
            <w:vAlign w:val="center"/>
          </w:tcPr>
          <w:p w14:paraId="0F58BAAB" w14:textId="77777777" w:rsidR="00271850" w:rsidRPr="00C24F78" w:rsidRDefault="00271850" w:rsidP="00F61E90">
            <w:pPr>
              <w:spacing w:after="0" w:line="240" w:lineRule="auto"/>
              <w:jc w:val="right"/>
              <w:rPr>
                <w:rFonts w:eastAsia="Times New Roman" w:cstheme="minorHAnsi"/>
                <w:sz w:val="20"/>
                <w:szCs w:val="20"/>
                <w:lang w:eastAsia="en-GB"/>
              </w:rPr>
            </w:pPr>
            <w:r w:rsidRPr="00C24F78">
              <w:rPr>
                <w:rFonts w:eastAsia="Times New Roman" w:cstheme="minorHAnsi"/>
                <w:sz w:val="20"/>
                <w:szCs w:val="20"/>
                <w:lang w:eastAsia="en-GB"/>
              </w:rPr>
              <w:t>0</w:t>
            </w:r>
            <w:r>
              <w:rPr>
                <w:rFonts w:eastAsia="Times New Roman" w:cstheme="minorHAnsi"/>
                <w:sz w:val="20"/>
                <w:szCs w:val="20"/>
                <w:lang w:eastAsia="en-GB"/>
              </w:rPr>
              <w:t>.</w:t>
            </w:r>
            <w:r w:rsidRPr="00C24F78">
              <w:rPr>
                <w:rFonts w:eastAsia="Times New Roman" w:cstheme="minorHAnsi"/>
                <w:sz w:val="20"/>
                <w:szCs w:val="20"/>
                <w:lang w:eastAsia="en-GB"/>
              </w:rPr>
              <w:t>92</w:t>
            </w:r>
          </w:p>
        </w:tc>
        <w:tc>
          <w:tcPr>
            <w:tcW w:w="0" w:type="auto"/>
            <w:tcBorders>
              <w:bottom w:val="single" w:sz="12" w:space="0" w:color="auto"/>
            </w:tcBorders>
            <w:vAlign w:val="center"/>
          </w:tcPr>
          <w:p w14:paraId="59FDD94F" w14:textId="5106EC0C" w:rsidR="00271850" w:rsidRPr="00C24F78" w:rsidRDefault="00271850" w:rsidP="00F61E90">
            <w:pPr>
              <w:spacing w:after="0" w:line="240" w:lineRule="auto"/>
              <w:jc w:val="right"/>
              <w:rPr>
                <w:rFonts w:eastAsia="Times New Roman" w:cstheme="minorHAnsi"/>
                <w:sz w:val="20"/>
                <w:szCs w:val="20"/>
                <w:lang w:eastAsia="en-GB"/>
              </w:rPr>
            </w:pPr>
            <w:r w:rsidRPr="00C24F78">
              <w:rPr>
                <w:rFonts w:eastAsia="Times New Roman" w:cstheme="minorHAnsi"/>
                <w:sz w:val="20"/>
                <w:szCs w:val="20"/>
                <w:lang w:eastAsia="en-GB"/>
              </w:rPr>
              <w:t>0</w:t>
            </w:r>
            <w:r>
              <w:rPr>
                <w:rFonts w:eastAsia="Times New Roman" w:cstheme="minorHAnsi"/>
                <w:sz w:val="20"/>
                <w:szCs w:val="20"/>
                <w:lang w:eastAsia="en-GB"/>
              </w:rPr>
              <w:t>.</w:t>
            </w:r>
            <w:r w:rsidRPr="00C24F78">
              <w:rPr>
                <w:rFonts w:eastAsia="Times New Roman" w:cstheme="minorHAnsi"/>
                <w:sz w:val="20"/>
                <w:szCs w:val="20"/>
                <w:lang w:eastAsia="en-GB"/>
              </w:rPr>
              <w:t>83-1</w:t>
            </w:r>
            <w:r>
              <w:rPr>
                <w:rFonts w:eastAsia="Times New Roman" w:cstheme="minorHAnsi"/>
                <w:sz w:val="20"/>
                <w:szCs w:val="20"/>
                <w:lang w:eastAsia="en-GB"/>
              </w:rPr>
              <w:t>.</w:t>
            </w:r>
            <w:r w:rsidRPr="00C24F78">
              <w:rPr>
                <w:rFonts w:eastAsia="Times New Roman" w:cstheme="minorHAnsi"/>
                <w:sz w:val="20"/>
                <w:szCs w:val="20"/>
                <w:lang w:eastAsia="en-GB"/>
              </w:rPr>
              <w:t>0</w:t>
            </w:r>
            <w:r w:rsidR="003E421C">
              <w:rPr>
                <w:rFonts w:eastAsia="Times New Roman" w:cstheme="minorHAnsi"/>
                <w:sz w:val="20"/>
                <w:szCs w:val="20"/>
                <w:lang w:eastAsia="en-GB"/>
              </w:rPr>
              <w:t>3</w:t>
            </w:r>
          </w:p>
        </w:tc>
        <w:tc>
          <w:tcPr>
            <w:tcW w:w="0" w:type="auto"/>
            <w:tcBorders>
              <w:bottom w:val="single" w:sz="12" w:space="0" w:color="auto"/>
            </w:tcBorders>
            <w:vAlign w:val="center"/>
          </w:tcPr>
          <w:p w14:paraId="7A868576" w14:textId="77777777" w:rsidR="00271850" w:rsidRPr="00C24F78" w:rsidRDefault="00271850" w:rsidP="00F61E90">
            <w:pPr>
              <w:spacing w:after="0" w:line="240" w:lineRule="auto"/>
              <w:jc w:val="right"/>
              <w:rPr>
                <w:rFonts w:eastAsia="Times New Roman" w:cstheme="minorHAnsi"/>
                <w:sz w:val="20"/>
                <w:szCs w:val="20"/>
                <w:lang w:eastAsia="en-GB"/>
              </w:rPr>
            </w:pPr>
            <w:r w:rsidRPr="00C24F78">
              <w:rPr>
                <w:rFonts w:eastAsia="Times New Roman" w:cstheme="minorHAnsi"/>
                <w:sz w:val="20"/>
                <w:szCs w:val="20"/>
                <w:lang w:eastAsia="en-GB"/>
              </w:rPr>
              <w:t>1</w:t>
            </w:r>
            <w:r>
              <w:rPr>
                <w:rFonts w:eastAsia="Times New Roman" w:cstheme="minorHAnsi"/>
                <w:sz w:val="20"/>
                <w:szCs w:val="20"/>
                <w:lang w:eastAsia="en-GB"/>
              </w:rPr>
              <w:t>.</w:t>
            </w:r>
            <w:r w:rsidRPr="00C24F78">
              <w:rPr>
                <w:rFonts w:eastAsia="Times New Roman" w:cstheme="minorHAnsi"/>
                <w:sz w:val="20"/>
                <w:szCs w:val="20"/>
                <w:lang w:eastAsia="en-GB"/>
              </w:rPr>
              <w:t>03</w:t>
            </w:r>
          </w:p>
        </w:tc>
        <w:tc>
          <w:tcPr>
            <w:tcW w:w="0" w:type="auto"/>
            <w:tcBorders>
              <w:bottom w:val="single" w:sz="12" w:space="0" w:color="auto"/>
            </w:tcBorders>
            <w:vAlign w:val="center"/>
          </w:tcPr>
          <w:p w14:paraId="15BAF0F0" w14:textId="119A5F81" w:rsidR="00271850" w:rsidRPr="00C24F78" w:rsidRDefault="00271850" w:rsidP="00F61E90">
            <w:pPr>
              <w:spacing w:after="0" w:line="240" w:lineRule="auto"/>
              <w:jc w:val="right"/>
              <w:rPr>
                <w:rFonts w:eastAsia="Times New Roman" w:cstheme="minorHAnsi"/>
                <w:sz w:val="20"/>
                <w:szCs w:val="20"/>
                <w:lang w:eastAsia="en-GB"/>
              </w:rPr>
            </w:pPr>
            <w:r w:rsidRPr="00C24F78">
              <w:rPr>
                <w:rFonts w:eastAsia="Times New Roman" w:cstheme="minorHAnsi"/>
                <w:sz w:val="20"/>
                <w:szCs w:val="20"/>
                <w:lang w:eastAsia="en-GB"/>
              </w:rPr>
              <w:t>0</w:t>
            </w:r>
            <w:r>
              <w:rPr>
                <w:rFonts w:eastAsia="Times New Roman" w:cstheme="minorHAnsi"/>
                <w:sz w:val="20"/>
                <w:szCs w:val="20"/>
                <w:lang w:eastAsia="en-GB"/>
              </w:rPr>
              <w:t>.</w:t>
            </w:r>
            <w:r w:rsidRPr="00C24F78">
              <w:rPr>
                <w:rFonts w:eastAsia="Times New Roman" w:cstheme="minorHAnsi"/>
                <w:sz w:val="20"/>
                <w:szCs w:val="20"/>
                <w:lang w:eastAsia="en-GB"/>
              </w:rPr>
              <w:t>8</w:t>
            </w:r>
            <w:r w:rsidR="003E421C">
              <w:rPr>
                <w:rFonts w:eastAsia="Times New Roman" w:cstheme="minorHAnsi"/>
                <w:sz w:val="20"/>
                <w:szCs w:val="20"/>
                <w:lang w:eastAsia="en-GB"/>
              </w:rPr>
              <w:t>4</w:t>
            </w:r>
            <w:r w:rsidRPr="00C24F78">
              <w:rPr>
                <w:rFonts w:eastAsia="Times New Roman" w:cstheme="minorHAnsi"/>
                <w:sz w:val="20"/>
                <w:szCs w:val="20"/>
                <w:lang w:eastAsia="en-GB"/>
              </w:rPr>
              <w:t>-1</w:t>
            </w:r>
            <w:r>
              <w:rPr>
                <w:rFonts w:eastAsia="Times New Roman" w:cstheme="minorHAnsi"/>
                <w:sz w:val="20"/>
                <w:szCs w:val="20"/>
                <w:lang w:eastAsia="en-GB"/>
              </w:rPr>
              <w:t>.</w:t>
            </w:r>
            <w:r w:rsidRPr="00C24F78">
              <w:rPr>
                <w:rFonts w:eastAsia="Times New Roman" w:cstheme="minorHAnsi"/>
                <w:sz w:val="20"/>
                <w:szCs w:val="20"/>
                <w:lang w:eastAsia="en-GB"/>
              </w:rPr>
              <w:t>26</w:t>
            </w:r>
          </w:p>
        </w:tc>
        <w:tc>
          <w:tcPr>
            <w:tcW w:w="0" w:type="auto"/>
            <w:tcBorders>
              <w:bottom w:val="single" w:sz="12" w:space="0" w:color="auto"/>
            </w:tcBorders>
            <w:vAlign w:val="center"/>
          </w:tcPr>
          <w:p w14:paraId="3FB9DE69" w14:textId="77777777" w:rsidR="00271850" w:rsidRPr="00C24F78" w:rsidRDefault="00271850" w:rsidP="00F61E90">
            <w:pPr>
              <w:spacing w:after="0" w:line="240" w:lineRule="auto"/>
              <w:jc w:val="right"/>
              <w:rPr>
                <w:rFonts w:eastAsia="Times New Roman" w:cstheme="minorHAnsi"/>
                <w:sz w:val="20"/>
                <w:szCs w:val="20"/>
                <w:lang w:eastAsia="en-GB"/>
              </w:rPr>
            </w:pPr>
          </w:p>
        </w:tc>
        <w:tc>
          <w:tcPr>
            <w:tcW w:w="0" w:type="auto"/>
            <w:tcBorders>
              <w:bottom w:val="single" w:sz="12" w:space="0" w:color="auto"/>
            </w:tcBorders>
            <w:vAlign w:val="center"/>
          </w:tcPr>
          <w:p w14:paraId="589636F6" w14:textId="63B169DA" w:rsidR="00271850" w:rsidRPr="00C24F78" w:rsidRDefault="005E71B7" w:rsidP="00F61E90">
            <w:pPr>
              <w:spacing w:after="0" w:line="240" w:lineRule="auto"/>
              <w:jc w:val="right"/>
              <w:rPr>
                <w:rFonts w:eastAsia="Times New Roman" w:cstheme="minorHAnsi"/>
                <w:sz w:val="20"/>
                <w:szCs w:val="20"/>
                <w:lang w:eastAsia="en-GB"/>
              </w:rPr>
            </w:pPr>
            <w:r>
              <w:rPr>
                <w:rFonts w:eastAsia="Times New Roman" w:cstheme="minorHAnsi"/>
                <w:sz w:val="20"/>
                <w:szCs w:val="20"/>
                <w:lang w:eastAsia="en-GB"/>
              </w:rPr>
              <w:t>1</w:t>
            </w:r>
            <w:r w:rsidR="00271850">
              <w:rPr>
                <w:rFonts w:eastAsia="Times New Roman" w:cstheme="minorHAnsi"/>
                <w:sz w:val="20"/>
                <w:szCs w:val="20"/>
                <w:lang w:eastAsia="en-GB"/>
              </w:rPr>
              <w:t>.</w:t>
            </w:r>
            <w:r>
              <w:rPr>
                <w:rFonts w:eastAsia="Times New Roman" w:cstheme="minorHAnsi"/>
                <w:sz w:val="20"/>
                <w:szCs w:val="20"/>
                <w:lang w:eastAsia="en-GB"/>
              </w:rPr>
              <w:t>01</w:t>
            </w:r>
          </w:p>
        </w:tc>
        <w:tc>
          <w:tcPr>
            <w:tcW w:w="0" w:type="auto"/>
            <w:tcBorders>
              <w:bottom w:val="single" w:sz="12" w:space="0" w:color="auto"/>
            </w:tcBorders>
            <w:vAlign w:val="center"/>
          </w:tcPr>
          <w:p w14:paraId="15C76CE3" w14:textId="2D4409AB" w:rsidR="00271850" w:rsidRPr="00C24F78" w:rsidRDefault="005E71B7" w:rsidP="00F61E90">
            <w:pPr>
              <w:spacing w:after="0" w:line="240" w:lineRule="auto"/>
              <w:jc w:val="right"/>
              <w:rPr>
                <w:rFonts w:eastAsia="Times New Roman" w:cstheme="minorHAnsi"/>
                <w:sz w:val="20"/>
                <w:szCs w:val="20"/>
                <w:lang w:eastAsia="en-GB"/>
              </w:rPr>
            </w:pPr>
            <w:r>
              <w:rPr>
                <w:rFonts w:eastAsia="Times New Roman" w:cstheme="minorHAnsi"/>
                <w:sz w:val="20"/>
                <w:szCs w:val="20"/>
                <w:lang w:eastAsia="en-GB"/>
              </w:rPr>
              <w:t>0</w:t>
            </w:r>
            <w:r w:rsidR="00271850">
              <w:rPr>
                <w:rFonts w:eastAsia="Times New Roman" w:cstheme="minorHAnsi"/>
                <w:sz w:val="20"/>
                <w:szCs w:val="20"/>
                <w:lang w:eastAsia="en-GB"/>
              </w:rPr>
              <w:t>.</w:t>
            </w:r>
            <w:r>
              <w:rPr>
                <w:rFonts w:eastAsia="Times New Roman" w:cstheme="minorHAnsi"/>
                <w:sz w:val="20"/>
                <w:szCs w:val="20"/>
                <w:lang w:eastAsia="en-GB"/>
              </w:rPr>
              <w:t>8</w:t>
            </w:r>
            <w:r w:rsidR="00271850" w:rsidRPr="00C24F78">
              <w:rPr>
                <w:rFonts w:eastAsia="Times New Roman" w:cstheme="minorHAnsi"/>
                <w:sz w:val="20"/>
                <w:szCs w:val="20"/>
                <w:lang w:eastAsia="en-GB"/>
              </w:rPr>
              <w:t>6-</w:t>
            </w:r>
            <w:r>
              <w:rPr>
                <w:rFonts w:eastAsia="Times New Roman" w:cstheme="minorHAnsi"/>
                <w:sz w:val="20"/>
                <w:szCs w:val="20"/>
                <w:lang w:eastAsia="en-GB"/>
              </w:rPr>
              <w:t>1</w:t>
            </w:r>
            <w:r w:rsidR="00271850">
              <w:rPr>
                <w:rFonts w:eastAsia="Times New Roman" w:cstheme="minorHAnsi"/>
                <w:sz w:val="20"/>
                <w:szCs w:val="20"/>
                <w:lang w:eastAsia="en-GB"/>
              </w:rPr>
              <w:t>.</w:t>
            </w:r>
            <w:r>
              <w:rPr>
                <w:rFonts w:eastAsia="Times New Roman" w:cstheme="minorHAnsi"/>
                <w:sz w:val="20"/>
                <w:szCs w:val="20"/>
                <w:lang w:eastAsia="en-GB"/>
              </w:rPr>
              <w:t>19</w:t>
            </w:r>
          </w:p>
        </w:tc>
        <w:tc>
          <w:tcPr>
            <w:tcW w:w="0" w:type="auto"/>
            <w:tcBorders>
              <w:bottom w:val="single" w:sz="12" w:space="0" w:color="auto"/>
            </w:tcBorders>
            <w:vAlign w:val="center"/>
          </w:tcPr>
          <w:p w14:paraId="1EA8FB10" w14:textId="26A83DC7" w:rsidR="00271850" w:rsidRPr="00C24F78" w:rsidRDefault="005E71B7" w:rsidP="00F61E90">
            <w:pPr>
              <w:spacing w:after="0" w:line="240" w:lineRule="auto"/>
              <w:jc w:val="right"/>
              <w:rPr>
                <w:rFonts w:eastAsia="Times New Roman" w:cstheme="minorHAnsi"/>
                <w:sz w:val="20"/>
                <w:szCs w:val="20"/>
                <w:lang w:eastAsia="en-GB"/>
              </w:rPr>
            </w:pPr>
            <w:r>
              <w:rPr>
                <w:rFonts w:eastAsia="Times New Roman" w:cstheme="minorHAnsi"/>
                <w:sz w:val="20"/>
                <w:szCs w:val="20"/>
                <w:lang w:eastAsia="en-GB"/>
              </w:rPr>
              <w:t>0</w:t>
            </w:r>
            <w:r w:rsidR="00271850">
              <w:rPr>
                <w:rFonts w:eastAsia="Times New Roman" w:cstheme="minorHAnsi"/>
                <w:sz w:val="20"/>
                <w:szCs w:val="20"/>
                <w:lang w:eastAsia="en-GB"/>
              </w:rPr>
              <w:t>.</w:t>
            </w:r>
            <w:r>
              <w:rPr>
                <w:rFonts w:eastAsia="Times New Roman" w:cstheme="minorHAnsi"/>
                <w:sz w:val="20"/>
                <w:szCs w:val="20"/>
                <w:lang w:eastAsia="en-GB"/>
              </w:rPr>
              <w:t>90</w:t>
            </w:r>
          </w:p>
        </w:tc>
        <w:tc>
          <w:tcPr>
            <w:tcW w:w="0" w:type="auto"/>
            <w:tcBorders>
              <w:bottom w:val="single" w:sz="12" w:space="0" w:color="auto"/>
            </w:tcBorders>
            <w:vAlign w:val="center"/>
          </w:tcPr>
          <w:p w14:paraId="53B449F0" w14:textId="643F2E4C" w:rsidR="00271850" w:rsidRPr="00C24F78" w:rsidRDefault="005E71B7" w:rsidP="00F61E90">
            <w:pPr>
              <w:spacing w:after="0" w:line="240" w:lineRule="auto"/>
              <w:jc w:val="right"/>
              <w:rPr>
                <w:rFonts w:eastAsia="Times New Roman" w:cstheme="minorHAnsi"/>
                <w:sz w:val="20"/>
                <w:szCs w:val="20"/>
                <w:lang w:eastAsia="en-GB"/>
              </w:rPr>
            </w:pPr>
            <w:r>
              <w:rPr>
                <w:rFonts w:eastAsia="Times New Roman" w:cstheme="minorHAnsi"/>
                <w:sz w:val="20"/>
                <w:szCs w:val="20"/>
                <w:lang w:eastAsia="en-GB"/>
              </w:rPr>
              <w:t>0</w:t>
            </w:r>
            <w:r w:rsidR="00271850">
              <w:rPr>
                <w:rFonts w:eastAsia="Times New Roman" w:cstheme="minorHAnsi"/>
                <w:sz w:val="20"/>
                <w:szCs w:val="20"/>
                <w:lang w:eastAsia="en-GB"/>
              </w:rPr>
              <w:t>.</w:t>
            </w:r>
            <w:r>
              <w:rPr>
                <w:rFonts w:eastAsia="Times New Roman" w:cstheme="minorHAnsi"/>
                <w:sz w:val="20"/>
                <w:szCs w:val="20"/>
                <w:lang w:eastAsia="en-GB"/>
              </w:rPr>
              <w:t>68</w:t>
            </w:r>
            <w:r w:rsidR="00271850" w:rsidRPr="00C24F78">
              <w:rPr>
                <w:rFonts w:eastAsia="Times New Roman" w:cstheme="minorHAnsi"/>
                <w:sz w:val="20"/>
                <w:szCs w:val="20"/>
                <w:lang w:eastAsia="en-GB"/>
              </w:rPr>
              <w:t>-1</w:t>
            </w:r>
            <w:r w:rsidR="00271850">
              <w:rPr>
                <w:rFonts w:eastAsia="Times New Roman" w:cstheme="minorHAnsi"/>
                <w:sz w:val="20"/>
                <w:szCs w:val="20"/>
                <w:lang w:eastAsia="en-GB"/>
              </w:rPr>
              <w:t>.</w:t>
            </w:r>
            <w:r>
              <w:rPr>
                <w:rFonts w:eastAsia="Times New Roman" w:cstheme="minorHAnsi"/>
                <w:sz w:val="20"/>
                <w:szCs w:val="20"/>
                <w:lang w:eastAsia="en-GB"/>
              </w:rPr>
              <w:t>18</w:t>
            </w:r>
          </w:p>
        </w:tc>
      </w:tr>
    </w:tbl>
    <w:p w14:paraId="09BC90DB" w14:textId="2EB903D4" w:rsidR="00E651BA" w:rsidRDefault="00E651BA" w:rsidP="00FF05F4">
      <w:pPr>
        <w:spacing w:after="0" w:line="480" w:lineRule="auto"/>
      </w:pPr>
    </w:p>
    <w:p w14:paraId="5BAD40B0" w14:textId="77777777" w:rsidR="00271850" w:rsidRDefault="00271850"/>
    <w:p w14:paraId="641A98A9" w14:textId="7269F457" w:rsidR="00827748" w:rsidRDefault="00827748" w:rsidP="00E37576">
      <w:pPr>
        <w:rPr>
          <w:b/>
        </w:rPr>
      </w:pPr>
      <w:bookmarkStart w:id="11" w:name="_Toc50542556"/>
      <w:r w:rsidRPr="00E37576">
        <w:rPr>
          <w:b/>
        </w:rPr>
        <w:t>Discussion</w:t>
      </w:r>
      <w:bookmarkEnd w:id="11"/>
    </w:p>
    <w:p w14:paraId="686AF2F8" w14:textId="081E7591" w:rsidR="007C37B0" w:rsidRDefault="00487DE3" w:rsidP="00C43C7E">
      <w:pPr>
        <w:spacing w:after="0" w:line="480" w:lineRule="auto"/>
      </w:pPr>
      <w:r>
        <w:t>In this analysis</w:t>
      </w:r>
      <w:r w:rsidR="0024484E">
        <w:t xml:space="preserve"> of a large general practice cohort of children</w:t>
      </w:r>
      <w:r w:rsidR="00A5521D">
        <w:t xml:space="preserve"> followed up for a mean of 5.1 years</w:t>
      </w:r>
      <w:r>
        <w:t>,</w:t>
      </w:r>
      <w:r w:rsidR="004D0789">
        <w:t xml:space="preserve"> </w:t>
      </w:r>
      <w:r w:rsidR="0024484E">
        <w:t>we</w:t>
      </w:r>
      <w:r w:rsidR="004D0789">
        <w:t xml:space="preserve"> found no evidence </w:t>
      </w:r>
      <w:r w:rsidR="00A5521D">
        <w:t>of</w:t>
      </w:r>
      <w:r w:rsidR="004D0789">
        <w:t xml:space="preserve"> a protective or negative effect of rotavirus vaccination on</w:t>
      </w:r>
      <w:r w:rsidR="0024484E">
        <w:t xml:space="preserve"> either </w:t>
      </w:r>
      <w:r w:rsidR="004D0789">
        <w:t>CD</w:t>
      </w:r>
      <w:r w:rsidR="0024484E">
        <w:t xml:space="preserve"> or T1D</w:t>
      </w:r>
      <w:r w:rsidR="004D0789">
        <w:t>.</w:t>
      </w:r>
      <w:r>
        <w:t xml:space="preserve"> </w:t>
      </w:r>
    </w:p>
    <w:p w14:paraId="6CEA7C62" w14:textId="77777777" w:rsidR="007C37B0" w:rsidRDefault="007C37B0" w:rsidP="00C43C7E">
      <w:pPr>
        <w:spacing w:after="0" w:line="480" w:lineRule="auto"/>
      </w:pPr>
    </w:p>
    <w:p w14:paraId="5C42B19D" w14:textId="6A57C0AF" w:rsidR="004B640E" w:rsidRDefault="004B640E" w:rsidP="004B640E">
      <w:pPr>
        <w:spacing w:after="0" w:line="480" w:lineRule="auto"/>
      </w:pPr>
      <w:r>
        <w:lastRenderedPageBreak/>
        <w:t xml:space="preserve">The </w:t>
      </w:r>
      <w:r w:rsidR="00D97F66">
        <w:t xml:space="preserve">study </w:t>
      </w:r>
      <w:r>
        <w:t>findings</w:t>
      </w:r>
      <w:r w:rsidR="00E03AE0">
        <w:t xml:space="preserve"> regarding the association with CD</w:t>
      </w:r>
      <w:r>
        <w:t xml:space="preserve"> are broadly compatible with those previous studies in other settings. Two small cohort studies previously found a protective effect of rotavirus vaccination on CD, although these studies were low-quality on the Newcastle-Ottawa scale with unclear adjustment for confounders.</w:t>
      </w:r>
      <w:r>
        <w:fldChar w:fldCharType="begin"/>
      </w:r>
      <w:r w:rsidR="00A4266C">
        <w:instrText xml:space="preserve"> ADDIN ZOTERO_ITEM CSL_CITATION {"citationID":"UeaOCDCX","properties":{"formattedCitation":"[25, 30]","plainCitation":"[25, 30]","noteIndex":0},"citationItems":[{"id":"f5DPIqS8/4f5QBrMR","uris":["http://zotero.org/users/5856738/items/GC7STZS6"],"uri":["http://zotero.org/users/5856738/items/GC7STZS6"],"itemData":{"id":1775,"type":"article-journal","abstract":"Background:Rotavirus (RV) infection has been proposed to trigger type 1 diabetes mellitus (DM1) and celiac disease (CD) by molecular mimicry in genetically susceptible children. If so, a live attenuated oral RV vaccine could also trigger these autoimmune diseases, or else, prevent the effect of wild","container-title":"The Pediatric Infectious Disease Journal","DOI":"10.1097/INF.0000000000002281","ISSN":"0891-3668","issue":"5","language":"ENGLISH","note":"PMID: 30986791","page":"539-541","source":"insights.ovid.com","title":"Rotavirus Vaccination Does Not Increase Type 1 Diabetes and May Decrease Celiac Disease in Children and Adolescents","volume":"38","author":[{"family":"Hemming-Harlo","given":"Maria"},{"family":"Lähdeaho","given":"Marja-Leena"},{"family":"Mäki","given":"Markku"},{"family":"Vesikari","given":"Timo"}],"issued":{"date-parts":[["2019",5]]}}},{"id":"f5DPIqS8/QViCKaPe","uris":["http://zotero.org/users/5856738/items/KD4B776P"],"uri":["http://zotero.org/users/5856738/items/KD4B776P"],"itemData":{"id":1786,"type":"article-journal","abstract":"Background &amp; Aims\nLittle is known about the pathogenic mechanisms of gluten immunogenicity in patients with celiac disease. We studied temporal associations between infections and the development of celiac disease autoimmunity, and examined effects of HLA alleles, rotavirus vaccination status, and infant feeding.\nMethods\nWe monitored 6327 children in the United States and Europe carrying HLA risk genotypes for celiac disease from 1 to 4 years of age for presence of tissue transglutaminase autoantibodies (the definition of celiac disease autoimmunity), until March 31, 2015. Parental reports of gastrointestinal and respiratory infections were collected every third month from birth. We analyzed time-varying relationships among reported infections, rotavirus vaccination status, time to first introduction of gluten, breastfeeding, and risk of celiac disease autoimmunity using proportional hazard models.\nResults\nWe identified 13,881 gastrointestinal infectious episodes (GIE) and 79,816 respiratory infectious episodes. During the follow-up period, 732 of 6327 (11.6%) children developed celiac disease autoimmunity. A GIE increased the risk of celiac disease autoimmunity within the following 3 months by 33% (hazard ratio [HR], 1.33; 95% confidence interval [CI], 1.11–1.59). This risk increased 2-fold among children born in winter and introduced to gluten before age 6 months (HR, 2.08; 95% CI, 1.46–2.98), and increased 10-fold among children without HLA-DQ2 alleles and breastfed for fewer than 4 months (HR, 9.76; 95% CI, 3.87–24.8). Risk of celiac disease autoimmunity was reduced in children vaccinated against rotavirus and introduced to gluten before age 6 months (HR, 0.57; 95% CI, 0.36–0.88).\nConclusions\nGastrointestinal infections increase the risk of celiac disease autoimmunity in children with genetic susceptibility to this autoimmune disorder. The risk is modified by HLA genotype, infant gluten consumption, breastfeeding, and rotavirus vaccination, indicating complex interactions among infections, genetic factors, and diet in the etiology of celiac disease in early childhood.","container-title":"Clinical Gastroenterology and Hepatology","DOI":"10.1016/j.cgh.2016.10.033","ISSN":"1542-3565","issue":"5","journalAbbreviation":"Clinical Gastroenterology and Hepatology","language":"en","page":"694-702.e5","source":"ScienceDirect","title":"Factors That Increase Risk of Celiac Disease Autoimmunity After a Gastrointestinal Infection in Early Life","volume":"15","author":[{"family":"Kemppainen","given":"Kaisa M."},{"family":"Lynch","given":"Kristian F."},{"family":"Liu","given":"Edwin"},{"family":"Lönnrot","given":"Maria"},{"family":"Simell","given":"Ville"},{"family":"Briese","given":"Thomas"},{"family":"Koletzko","given":"Sibylle"},{"family":"Hagopian","given":"William"},{"family":"Rewers","given":"Marian"},{"family":"She","given":"Jin-Xiong"},{"family":"Simell","given":"Olli"},{"family":"Toppari","given":"Jorma"},{"family":"Ziegler","given":"Anette-G."},{"family":"Akolkar","given":"Beena"},{"family":"Krischer","given":"Jeffrey P."},{"family":"Lernmark","given":"Åke"},{"family":"Hyöty","given":"Heikki"},{"family":"Triplett","given":"Eric W."},{"family":"Agardh","given":"Daniel"}],"issued":{"date-parts":[["2017",5,1]]}}}],"schema":"https://github.com/citation-style-language/schema/raw/master/csl-citation.json"} </w:instrText>
      </w:r>
      <w:r>
        <w:fldChar w:fldCharType="separate"/>
      </w:r>
      <w:r w:rsidR="001B04AA" w:rsidRPr="001B04AA">
        <w:rPr>
          <w:rFonts w:ascii="Calibri" w:hAnsi="Calibri" w:cs="Calibri"/>
        </w:rPr>
        <w:t>[25, 30]</w:t>
      </w:r>
      <w:r>
        <w:fldChar w:fldCharType="end"/>
      </w:r>
      <w:r>
        <w:t xml:space="preserve"> The largest cohort study, following 121</w:t>
      </w:r>
      <w:r w:rsidR="00C54E40">
        <w:t>,</w:t>
      </w:r>
      <w:r>
        <w:t>650 Finnish children over five years found a protective effect, but this was not significant.</w:t>
      </w:r>
      <w:r>
        <w:fldChar w:fldCharType="begin"/>
      </w:r>
      <w:r w:rsidR="00A4266C">
        <w:instrText xml:space="preserve"> ADDIN ZOTERO_ITEM CSL_CITATION {"citationID":"twulSIFN","properties":{"formattedCitation":"[31]","plainCitation":"[31]","noteIndex":0},"citationItems":[{"id":"f5DPIqS8/4eC1pkJZ","uris":["http://zotero.org/users/5856738/items/YQ76BFDN"],"uri":["http://zotero.org/users/5856738/items/YQ76BFDN"],"itemData":{"id":1783,"type":"article-journal","abstract":"Background:Rotavirus infection has been suggested as a trigger of type 1 diabetes (T1D)-related autoimmunity and celiac disease (CD)-related autoimmunity.Methods:We carried out a nationwide, population-based cohort study evaluating whether prevention of rotavirus infection with vaccination affects t","container-title":"The Pediatric Infectious Disease Journal","DOI":"10.1097/INF.0000000000001600","ISSN":"0891-3668","issue":"7","language":"ENGLISH","note":"PMID: 28399059","page":"674-675","source":"insights.ovid.com","title":"Rotavirus Vaccination and the Risk of Celiac Disease or Type 1 Diabetes in Finnish Children at Early Life","volume":"36","author":[{"family":"Vaarala","given":"Outi"},{"family":"Jokinen","given":"Jukka"},{"family":"Lahdenkari","given":"Mika"},{"family":"Leino","given":"Tuija"}],"issued":{"date-parts":[["2017",7]]}}}],"schema":"https://github.com/citation-style-language/schema/raw/master/csl-citation.json"} </w:instrText>
      </w:r>
      <w:r>
        <w:fldChar w:fldCharType="separate"/>
      </w:r>
      <w:r w:rsidR="001B04AA" w:rsidRPr="001B04AA">
        <w:rPr>
          <w:rFonts w:ascii="Calibri" w:hAnsi="Calibri" w:cs="Calibri"/>
        </w:rPr>
        <w:t>[31]</w:t>
      </w:r>
      <w:r>
        <w:fldChar w:fldCharType="end"/>
      </w:r>
      <w:r>
        <w:t xml:space="preserve"> This lack of significant association from two cohort studies in different European countries adds consistency of evidence to reject a causal association between rotavirus vaccination and risk of CD.</w:t>
      </w:r>
    </w:p>
    <w:p w14:paraId="05A4B393" w14:textId="38264E4E" w:rsidR="004B640E" w:rsidRDefault="004B640E" w:rsidP="004B640E">
      <w:pPr>
        <w:spacing w:after="0" w:line="480" w:lineRule="auto"/>
      </w:pPr>
    </w:p>
    <w:p w14:paraId="5A3C2DA7" w14:textId="2E263B99" w:rsidR="00E03AE0" w:rsidRDefault="00E03AE0" w:rsidP="00E76835">
      <w:pPr>
        <w:spacing w:after="0" w:line="480" w:lineRule="auto"/>
      </w:pPr>
      <w:r>
        <w:t xml:space="preserve">Regarding the study results for the association between rotavirus vaccination and T1D, our findings </w:t>
      </w:r>
      <w:r w:rsidR="00E76835">
        <w:t>do not support those from an ecological study in Australia</w:t>
      </w:r>
      <w:r w:rsidR="00643238">
        <w:t>,</w:t>
      </w:r>
      <w:r w:rsidR="00E76835">
        <w:t xml:space="preserve"> which found that rotavirus vaccination had a protective effect on T1D</w:t>
      </w:r>
      <w:r w:rsidR="00643238">
        <w:t>,</w:t>
      </w:r>
      <w:r w:rsidR="00E76835">
        <w:fldChar w:fldCharType="begin"/>
      </w:r>
      <w:r w:rsidR="00A4266C">
        <w:instrText xml:space="preserve"> ADDIN ZOTERO_ITEM CSL_CITATION {"citationID":"cGgTgyRr","properties":{"formattedCitation":"[32]","plainCitation":"[32]","noteIndex":0},"citationItems":[{"id":"f5DPIqS8/Iagugu42","uris":["http://zotero.org/users/5856738/items/N5PWJATF"],"uri":["http://zotero.org/users/5856738/items/N5PWJATF"],"itemData":{"id":2701,"type":"article-journal","container-title":"JAMA pediatrics","DOI":"10.1001/jamapediatrics.2018.4578","ISSN":"2168-6211","issue":"3","journalAbbreviation":"JAMA Pediatr","language":"eng","note":"PMID: 30667473\nPMCID: PMC6439878","page":"280-282","source":"PubMed","title":"Association of Rotavirus Vaccination With the Incidence of Type 1 Diabetes in Children","volume":"173","author":[{"family":"Perrett","given":"Kirsten P."},{"family":"Jachno","given":"Kim"},{"family":"Nolan","given":"Terry M."},{"family":"Harrison","given":"Leonard C."}],"issued":{"date-parts":[["2019",3,1]]}}}],"schema":"https://github.com/citation-style-language/schema/raw/master/csl-citation.json"} </w:instrText>
      </w:r>
      <w:r w:rsidR="00E76835">
        <w:fldChar w:fldCharType="separate"/>
      </w:r>
      <w:r w:rsidR="001B04AA" w:rsidRPr="001B04AA">
        <w:rPr>
          <w:rFonts w:ascii="Calibri" w:hAnsi="Calibri" w:cs="Calibri"/>
        </w:rPr>
        <w:t>[32]</w:t>
      </w:r>
      <w:r w:rsidR="00E76835">
        <w:fldChar w:fldCharType="end"/>
      </w:r>
      <w:r w:rsidR="00E76835">
        <w:t xml:space="preserve"> and another from a United States cohort study based on medical insurance data.</w:t>
      </w:r>
      <w:r w:rsidR="00E76835">
        <w:fldChar w:fldCharType="begin"/>
      </w:r>
      <w:r w:rsidR="00A4266C">
        <w:instrText xml:space="preserve"> ADDIN ZOTERO_ITEM CSL_CITATION {"citationID":"fkjH1bWF","properties":{"formattedCitation":"[33]","plainCitation":"[33]","noteIndex":0},"citationItems":[{"id":"f5DPIqS8/nZkbiGoj","uris":["http://zotero.org/users/5856738/items/YA732XAK"],"uri":["http://zotero.org/users/5856738/items/YA732XAK"],"itemData":{"id":2703,"type":"article-journal","abstract":"We evaluated whether rotavirus vaccination is associated with the incidence of type 1 diabetes among children. We designed a cohort study of 1,474,535 infants in the United States from 2001–2017, using data from a nationwide health insurer. There was a 33% reduction in the risk of type 1 diabetes with completion of the rotavirus vaccine series compared to the unvaccinated (95% CI: 17%, 46%). Completion of the pentavalent vaccine series was associated with 37% lower risk of type 1 diabetes (95% CI: 22%, 50%). Partial vaccination (incompletion of the series) was not associated with the incidence of type 1 diabetes. There was a 31% reduction in hospitalizations in the 60-day period after vaccination (95% CI: 27%, 35%) compared to unvaccinated children. Overall, there was a 3.4% decrease in incidence annually in children ages 0–4 in the United States from 2006–2017 which coincides with the vaccine introduction in 2006. We conclude that rotavirus vaccination is associated with a reduced incidence of type 1 diabetes. Rotavirus vaccination may be the first practical measure that could play a role in the prevention of this disease.","container-title":"Scientific Reports","DOI":"10.1038/s41598-019-44193-4","ISSN":"2045-2322","issue":"1","language":"en","note":"number: 1\npublisher: Nature Publishing Group","page":"7727","source":"www.nature.com","title":"Lower Incidence Rate of Type 1 Diabetes after Receipt of the Rotavirus Vaccine in the United States, 2001–2017","volume":"9","author":[{"family":"Rogers","given":"Mary A. M."},{"family":"Basu","given":"Tanima"},{"family":"Kim","given":"Catherine"}],"issued":{"date-parts":[["2019",6,13]]}}}],"schema":"https://github.com/citation-style-language/schema/raw/master/csl-citation.json"} </w:instrText>
      </w:r>
      <w:r w:rsidR="00E76835">
        <w:fldChar w:fldCharType="separate"/>
      </w:r>
      <w:r w:rsidR="001B04AA" w:rsidRPr="001B04AA">
        <w:rPr>
          <w:rFonts w:ascii="Calibri" w:hAnsi="Calibri" w:cs="Calibri"/>
        </w:rPr>
        <w:t>[33]</w:t>
      </w:r>
      <w:r w:rsidR="00E76835">
        <w:fldChar w:fldCharType="end"/>
      </w:r>
      <w:r w:rsidR="00E76835">
        <w:t xml:space="preserve"> However, our results </w:t>
      </w:r>
      <w:r>
        <w:t xml:space="preserve">are </w:t>
      </w:r>
      <w:r w:rsidR="00E76835">
        <w:t xml:space="preserve">in agreement </w:t>
      </w:r>
      <w:r>
        <w:t>with</w:t>
      </w:r>
      <w:r w:rsidR="00E76835">
        <w:t xml:space="preserve"> several recent </w:t>
      </w:r>
      <w:r>
        <w:t>cohort studies</w:t>
      </w:r>
      <w:r w:rsidR="00E76835">
        <w:t>, two from the United States</w:t>
      </w:r>
      <w:r>
        <w:t xml:space="preserve"> and two </w:t>
      </w:r>
      <w:r w:rsidR="00E76835">
        <w:t>from Finland,</w:t>
      </w:r>
      <w:r>
        <w:t xml:space="preserve"> which found that v</w:t>
      </w:r>
      <w:r w:rsidRPr="00E03AE0">
        <w:t xml:space="preserve">accination against rotavirus </w:t>
      </w:r>
      <w:r>
        <w:t xml:space="preserve">was </w:t>
      </w:r>
      <w:r w:rsidRPr="00E03AE0">
        <w:t>not associated with T1D incidence in children</w:t>
      </w:r>
      <w:r>
        <w:t>.</w:t>
      </w:r>
      <w:r>
        <w:fldChar w:fldCharType="begin"/>
      </w:r>
      <w:r w:rsidR="00A4266C">
        <w:instrText xml:space="preserve"> ADDIN ZOTERO_ITEM CSL_CITATION {"citationID":"pD0dKhW6","properties":{"formattedCitation":"[25, 31, 34, 35]","plainCitation":"[25, 31, 34, 35]","noteIndex":0},"citationItems":[{"id":"f5DPIqS8/4f5QBrMR","uris":["http://zotero.org/users/5856738/items/GC7STZS6"],"uri":["http://zotero.org/users/5856738/items/GC7STZS6"],"itemData":{"id":1775,"type":"article-journal","abstract":"Background:Rotavirus (RV) infection has been proposed to trigger type 1 diabetes mellitus (DM1) and celiac disease (CD) by molecular mimicry in genetically susceptible children. If so, a live attenuated oral RV vaccine could also trigger these autoimmune diseases, or else, prevent the effect of wild","container-title":"The Pediatric Infectious Disease Journal","DOI":"10.1097/INF.0000000000002281","ISSN":"0891-3668","issue":"5","language":"ENGLISH","note":"PMID: 30986791","page":"539-541","source":"insights.ovid.com","title":"Rotavirus Vaccination Does Not Increase Type 1 Diabetes and May Decrease Celiac Disease in Children and Adolescents","volume":"38","author":[{"family":"Hemming-Harlo","given":"Maria"},{"family":"Lähdeaho","given":"Marja-Leena"},{"family":"Mäki","given":"Markku"},{"family":"Vesikari","given":"Timo"}],"issued":{"date-parts":[["2019",5]]}}},{"id":"f5DPIqS8/4eC1pkJZ","uris":["http://zotero.org/users/5856738/items/YQ76BFDN"],"uri":["http://zotero.org/users/5856738/items/YQ76BFDN"],"itemData":{"id":1783,"type":"article-journal","abstract":"Background:Rotavirus infection has been suggested as a trigger of type 1 diabetes (T1D)-related autoimmunity and celiac disease (CD)-related autoimmunity.Methods:We carried out a nationwide, population-based cohort study evaluating whether prevention of rotavirus infection with vaccination affects t","container-title":"The Pediatric Infectious Disease Journal","DOI":"10.1097/INF.0000000000001600","ISSN":"0891-3668","issue":"7","language":"ENGLISH","note":"PMID: 28399059","page":"674-675","source":"insights.ovid.com","title":"Rotavirus Vaccination and the Risk of Celiac Disease or Type 1 Diabetes in Finnish Children at Early Life","volume":"36","author":[{"family":"Vaarala","given":"Outi"},{"family":"Jokinen","given":"Jukka"},{"family":"Lahdenkari","given":"Mika"},{"family":"Leino","given":"Tuija"}],"issued":{"date-parts":[["2017",7]]}}},{"id":"f5DPIqS8/eWKrPTxG","uris":["http://zotero.org/users/5856738/items/Y6D3H89D"],"uri":["http://zotero.org/users/5856738/items/Y6D3H89D"],"itemData":{"id":2693,"type":"article-journal","abstract":"Importance: Because rotavirus infection is a hypothesized risk factor for type 1 diabetes, live attenuated rotavirus vaccination could increase or decrease the risk of type 1 diabetes in children.\nObjective: To examine whether there is an association between rotavirus vaccination and incidence of type 1 diabetes in children aged 8 months to 11 years.\nDesign, Setting, and Participants: A retrospective cohort study of 386 937 children born between January 1, 2006, and December 31, 2014, was conducted in 7 US health care organizations of the Vaccine Safety Datalink. Eligible children were followed up until a diagnosis of type 1 diabetes, disenrollment, or December 31, 2017.\nExposures: Rotavirus vaccination for children aged 2 to 8 months. Three exposure groups were created. The first group included children who received all recommended doses of rotavirus vaccine by 8 months of age (fully exposed to rotavirus vaccination). The second group had received some, but not all, recommended rotavirus vaccines (partially exposed to rotavirus vaccination). The third group did not receive any doses of rotavirus vaccines (unexposed to rotavirus vaccination).\nMain Outcomes and Measures: Incidence of type 1 diabetes among children aged 8 months to 11 years. Type 1 diabetes was identified by International Classification of Diseases codes: 250.x1, 250.x3, or E10.xx in the outpatient setting. Cox proportional hazards regression models were used to analyze time to type 1 diabetes incidence from 8 months to 11 years. Hazard ratios and 95% CIs were calculated. Models were adjusted for sex, race/ethnicity, birth year, mother's age, birth weight, gestational age, number of well-child visits, and Vaccine Safety Datalink site.\nResults: In a cohort of 386 937 children (51.1% boys and 41.9% non-Hispanic white), 360 169 (93.1%) were fully exposed to rotavirus vaccination, 15 765 (4.1%) were partially exposed to rotavirus vaccination, and 11 003 (2.8%) were unexposed to rotavirus vaccination. Children were followed up a median of 5.4 years (interquartile range, 3.8-7.8 years). The total person-time follow-up in the cohort was 2 253 879 years. There were 464 cases of type 1 diabetes in the cohort, with an incidence rate of 20.6 cases per 100 000 person-years. Compared with children unexposed to rotavirus vaccination, the adjusted hazard ratio was 1.03 (95% CI, 0.62-1.72) for children fully exposed to rotavirus vaccination and 1.50 (95% CI, 0.81-2.77) for children partially exposed to rotavirus vaccination.\nConclusions and Relevance: The findings of this study suggest that rotavirus vaccination does not appear to be associated with type 1 diabetes in children.","container-title":"JAMA pediatrics","DOI":"10.1001/jamapediatrics.2019.6324","ISSN":"2168-6211","issue":"5","journalAbbreviation":"JAMA Pediatr","language":"eng","note":"PMID: 32150236\nPMCID: PMC7063538","page":"455-462","source":"PubMed","title":"Association Between Rotavirus Vaccination and Type 1 Diabetes in Children","volume":"174","author":[{"family":"Glanz","given":"Jason M."},{"family":"Clarke","given":"Christina L."},{"family":"Xu","given":"Stanley"},{"family":"Daley","given":"Matthew F."},{"family":"Shoup","given":"Jo Ann"},{"family":"Schroeder","given":"Emily B."},{"family":"Lewin","given":"Bruno J."},{"family":"McClure","given":"David L."},{"family":"Kharbanda","given":"Elyse"},{"family":"Klein","given":"Nicola P."},{"family":"DeStefano","given":"Frank"}],"issued":{"date-parts":[["2020",5,1]]}}},{"id":"f5DPIqS8/SUk8Usqv","uris":["http://zotero.org/users/5856738/items/X5XCH6R4"],"uri":["http://zotero.org/users/5856738/items/X5XCH6R4"],"itemData":{"id":2712,"type":"article-journal","container-title":"JAMA pediatrics","DOI":"10.1001/jamapediatrics.2019.5513","ISSN":"2168-6211","issue":"4","journalAbbreviation":"JAMA Pediatr","language":"eng","note":"PMID: 31961393\nPMCID: PMC6990735","page":"383-385","source":"PubMed","title":"Rotavirus Vaccination and Type 1 Diabetes Risk Among US Children With Commercial Insurance","volume":"174","author":[{"family":"Burke","given":"Rachel M."},{"family":"Tate","given":"Jacqueline E."},{"family":"Dahl","given":"Rebecca M."},{"family":"Saydah","given":"Sharon"},{"family":"Imperatore","given":"Giuseppina"},{"family":"Gregg","given":"Edward W."},{"family":"Parashar","given":"Umesh D."}],"issued":{"date-parts":[["2020",4,1]]}}}],"schema":"https://github.com/citation-style-language/schema/raw/master/csl-citation.json"} </w:instrText>
      </w:r>
      <w:r>
        <w:fldChar w:fldCharType="separate"/>
      </w:r>
      <w:r w:rsidR="001B04AA" w:rsidRPr="001B04AA">
        <w:rPr>
          <w:rFonts w:ascii="Calibri" w:hAnsi="Calibri" w:cs="Calibri"/>
        </w:rPr>
        <w:t>[25, 31, 34, 35]</w:t>
      </w:r>
      <w:r>
        <w:fldChar w:fldCharType="end"/>
      </w:r>
      <w:r>
        <w:t xml:space="preserve"> </w:t>
      </w:r>
    </w:p>
    <w:p w14:paraId="72BF30F4" w14:textId="77777777" w:rsidR="00643238" w:rsidRDefault="00643238" w:rsidP="00E76835">
      <w:pPr>
        <w:spacing w:after="0" w:line="480" w:lineRule="auto"/>
      </w:pPr>
    </w:p>
    <w:p w14:paraId="62E1CE39" w14:textId="7036A8C8" w:rsidR="007A5476" w:rsidRDefault="001E6B15" w:rsidP="00C43C7E">
      <w:pPr>
        <w:spacing w:after="0" w:line="480" w:lineRule="auto"/>
      </w:pPr>
      <w:r>
        <w:t>Although no association between rotavirus vaccination and two off-target chronic diseases, CD and T1D</w:t>
      </w:r>
      <w:r w:rsidR="00AC1DE1">
        <w:t>,</w:t>
      </w:r>
      <w:r>
        <w:t xml:space="preserve"> were found in this study previous studies have shown evidence of the benefit of rotavirus vaccinations on other syndromes such as, childhood seizures and Kawasaki disease.</w:t>
      </w:r>
      <w:r>
        <w:fldChar w:fldCharType="begin"/>
      </w:r>
      <w:r w:rsidR="00A4266C">
        <w:instrText xml:space="preserve"> ADDIN ZOTERO_ITEM CSL_CITATION {"citationID":"tRxbAfQ2","properties":{"formattedCitation":"[15, 36, 37]","plainCitation":"[15, 36, 37]","noteIndex":0},"citationItems":[{"id":5310,"uris":["http://zotero.org/users/1755126/items/UE22M3MQ"],"uri":["http://zotero.org/users/1755126/items/UE22M3MQ"],"itemData":{"id":5310,"type":"article-journal","abstract":"Introduction The incidence of severe childhood diarrhoea has fallen substantially following the introduction of rotavirus vaccine in the UK in July 2013. Since children with rotavirus infection may experience febrile and afebrile seizures, we evaluated the impact of rotavirus vaccination on seizure hospitalisations in children in England.\nMethods Using data from Hospital Episode Statistics, we employed interrupted time-series analyses to assess changes in monthly hospital admissions for seizures among children aged &lt;5 years from July 2000 to June 2017. Outcome measures comprised all seizures and febrile seizures, with and without a co-diagnosis of acute gastroenteritis (AGE). Models were adjusted for pneumococcal conjugate vaccine (PCV) introduction. Change-point analysis was used to independently identify step-changes in the time-series.\nResults Among hospitalised children aged &lt;5 years, the incidence of any seizures and febrile seizures with AGE decreased post-vaccine introduction by 23% (95% CI: 11% to 33%) and 31% (95% CI: 19% to 41%), respectively. For febrile seizures with AGE, a single change-point was identified in July 2013 (95% CI: June 2013 to December 2013). Reductions in seizure incidence were higher during the rotavirus season (49%, 95% CI: 37% to 58%) compared with out-of-season (13%, 95% CI: −4 to 28%) and showed no relation to PCV introduction. There were small reductions in any seizures with any co-diagnosis (4%, 95% CI: 0% to 8%) and in febrile seizures with any co-diagnosis (10%, 95% CI: 2% to 16%).\nConclusion Rotavirus vaccination has reduced hospitalisations for seizures associated with AGE in England, providing additional evidence of population-level impact of rotavirus vaccination on seizure incidence in high-income countries.","container-title":"J Epidemiol Community Health","DOI":"10.1136/jech-2019-213055","ISSN":"0143-005X, 1470-2738","issue":"11","journalAbbreviation":"J Epidemiol Community Health","language":"en","note":"PMID: 31511311","page":"1020-1025","source":"jech-bmj-com.liverpool.idm.oclc.org","title":"Reduction in hospitalisations for acute gastroenteritis-associated childhood seizures since introduction of rotavirus vaccination: a time-series and change-point analysis of hospital admissions in England","title-short":"Reduction in hospitalisations for acute gastroenteritis-associated childhood seizures since introduction of rotavirus vaccination","volume":"73","author":[{"family":"Hungerford","given":"Daniel James"},{"family":"French","given":"Neil"},{"family":"Iturriza-Gómara","given":"Miren"},{"family":"Read","given":"Jonathan M."},{"family":"Cunliffe","given":"Nigel A."},{"family":"Vivancos","given":"Roberto"}],"issued":{"date-parts":[["2019",11,1]]}}},{"id":414,"uris":["http://zotero.org/users/1755126/items/G9PIPXFH"],"uri":["http://zotero.org/users/1755126/items/G9PIPXFH"],"itemData":{"id":414,"type":"article-journal","abstract":"Background. Rotavirus illness has been linked to childhood seizures. We investigated whether a protective association exists between receipt of rotavirus vaccine and being hospitalized or visiting the emergency department for seizures in the year after vaccination. Methods. We retrospectively analyzed a cohort of children born after 28 February 2006 (when rotavirus vaccine was licensed in the United States) and enrolled in the Vaccine Safety Datalink (VSD) through November 2009. Seizure rates from 4 to 55 weeks following last rotavirus vaccination were compared by vaccine exposure status (fully vaccinated and unvaccinated). A time-to-event analysis using a Cox proportional hazards model was performed, accounting for time-varying covariates. We calculated the relative incidence of seizure compared by vaccine exposure status during the postexposure interval. Results. Our cohort contained VSD data on 250 601 infants, including 186 502 children fully vaccinated (74.4%) and 64 099 (25.6%) not vaccinated with rotavirus vaccine. Rates of seizures were associated with rotavirus vaccination status. After adjusting for covariates (VSD site, age at last dose, sex, and calendar month of the index date), a statistically significant protective association was observed between a full course of rotavirus vaccination vs no vaccination for both first-ever seizures (risk ratio [RR] = 0.82; 95% confidence interval [CI], .73-.91) and all seizures (RR = 0.79; 95% CI, .71-.88). Conclusions. A full course of rotavirus vaccination was statistically associated with an 18%-21% reduction in risk of seizure requiring hospitalization or emergency department care in the year following vaccination, compared with unvaccinated children. This reduction in childhood seizures complements the well-documented vaccine-related benefit of preventing US diarrhea hospitalizations.","container-title":"Clinical Infectious Diseases","DOI":"10.1093/cid/cit671","ISSN":"1058-4838","issue":"2","journalAbbreviation":"Clin. Infect. Dis.","language":"English","note":"WOS:000329131300006","page":"173-177","source":"ISI Web of Knowledge","title":"Protective Association Between Rotavirus Vaccination and Childhood Seizures in the Year Following Vaccination in US Children","volume":"58","author":[{"family":"Payne","given":"Daniel C."},{"family":"Baggs","given":"James"},{"family":"Zerr","given":"Danielle M."},{"family":"Klein","given":"Nicola P."},{"family":"Yih","given":"Katherine"},{"family":"Glanz","given":"Jason"},{"family":"Curns","given":"Aaron T."},{"family":"Weintraub","given":"Eric"},{"family":"Parashar","given":"Umesh D."}],"issued":{"date-parts":[["2014",1,15]]}}},{"id":7780,"uris":["http://zotero.org/users/1755126/items/EDI3TLZU"],"uri":["http://zotero.org/users/1755126/items/EDI3TLZU"],"itemData":{"id":7780,"type":"article-journal","abstract":"Background: The vaccine against the rotavirus is an effective measure in reducing hospitalizations and mortality caused by the virus. However, its use can result in serious adverse effects. The available evidence on Kawasaki disease has not yet been reported in the literature. This study investigated the risk of developing Kawasaki disease with the use of rotavirus vaccines in children., \nMethods: This is a systematic review of data collected from studies retrieved on the following databases: Cochrane, MEDLINE, Embase, CINAHL, Scopus, Web of Science, HealthSTAR, Lilacs, Clinical trial.gov, and International Clinical Trials Registry Platform, up to the 15th of August 2018, with no restrictions on language or date of publication. The outcomes measured were incidence of Kawasaki disease, risk of developing the disease, and rate of discontinuation of the vaccination schedule. Four reviewers independently selected the studies, performed data extraction, and assessed the quality of evidence. A meta-analysis of random effects was performed., \nResults: A total of 13 publications were included, with a population of 164,434 children included in the meta-analysis. The incidence of Kawasaki disease (24 cases per 100,000, 95% CI = 11.98–48.26) in the vaccinated children was low. No difference between the vaccines was found in the prevalence rate of adverse effects (RR = 1.55, 95% CI = 0.41–5.93). Use of the vaccines was not associated with risk of developing Kawasaki disease (low-quality evidence). None of the studies reported the rate of discontinuation of the vaccination schedule., \nConclusions: The vaccines were associated with a low incidence of developing Kawasaki disease, showing no association with this serious adverse effect.","container-title":"Frontiers in Pharmacology","DOI":"10.3389/fphar.2019.01075","ISSN":"1663-9812","journalAbbreviation":"Front Pharmacol","note":"PMID: 31616298\nPMCID: PMC6768949","source":"PubMed Central","title":"Kawasaki Disease and the Use of the Rotavirus Vaccine in Children: A Systematic Review and Meta-Analysis","title-short":"Kawasaki Disease and the Use of the Rotavirus Vaccine in Children","URL":"https://www.ncbi.nlm.nih.gov/pmc/articles/PMC6768949/","volume":"10","author":[{"family":"Mellone","given":"Natália Gibim"},{"family":"Silva","given":"Marcus Tolentino"},{"family":"Paglia","given":"Mariana Del Grossi"},{"family":"Lopes","given":"Luciane Cruz"},{"family":"Barberato-Filho","given":"Sílvio"},{"family":"Del Fiol","given":"Fernando de Sá"},{"family":"Bergamaschi","given":"Cristiane de Cássia"}],"accessed":{"date-parts":[["2021",1,28]]},"issued":{"date-parts":[["2019",9,24]]}}}],"schema":"https://github.com/citation-style-language/schema/raw/master/csl-citation.json"} </w:instrText>
      </w:r>
      <w:r>
        <w:fldChar w:fldCharType="separate"/>
      </w:r>
      <w:r w:rsidR="001B04AA" w:rsidRPr="001B04AA">
        <w:rPr>
          <w:rFonts w:ascii="Calibri" w:hAnsi="Calibri" w:cs="Calibri"/>
        </w:rPr>
        <w:t>[15, 36, 37]</w:t>
      </w:r>
      <w:r>
        <w:fldChar w:fldCharType="end"/>
      </w:r>
      <w:r>
        <w:t xml:space="preserve"> </w:t>
      </w:r>
      <w:r w:rsidR="00AC1DE1">
        <w:t>This s</w:t>
      </w:r>
      <w:r>
        <w:t>uggest</w:t>
      </w:r>
      <w:r w:rsidR="00AC1DE1">
        <w:t>s</w:t>
      </w:r>
      <w:r>
        <w:t xml:space="preserve"> that continued investigation into off-target effects of rotavirus vaccination is of scientific and public health value. </w:t>
      </w:r>
    </w:p>
    <w:p w14:paraId="2BC5F71B" w14:textId="77777777" w:rsidR="00643238" w:rsidRDefault="00643238" w:rsidP="00C43C7E">
      <w:pPr>
        <w:spacing w:after="0" w:line="480" w:lineRule="auto"/>
      </w:pPr>
    </w:p>
    <w:p w14:paraId="0BB15F57" w14:textId="5FB15815" w:rsidR="009C454F" w:rsidRPr="00365D2C" w:rsidRDefault="009C454F" w:rsidP="0024484E">
      <w:pPr>
        <w:rPr>
          <w:i/>
        </w:rPr>
      </w:pPr>
      <w:bookmarkStart w:id="12" w:name="_Toc50542558"/>
      <w:r w:rsidRPr="00365D2C">
        <w:rPr>
          <w:i/>
        </w:rPr>
        <w:t>Study strengths</w:t>
      </w:r>
      <w:bookmarkEnd w:id="12"/>
    </w:p>
    <w:p w14:paraId="6890812B" w14:textId="26C46A9F" w:rsidR="00D10FD0" w:rsidRDefault="00D10FD0" w:rsidP="00C43C7E">
      <w:pPr>
        <w:spacing w:after="0" w:line="480" w:lineRule="auto"/>
      </w:pPr>
      <w:r>
        <w:t xml:space="preserve">One of the key strengths of this study is that it uses </w:t>
      </w:r>
      <w:r w:rsidR="007F6CEC">
        <w:t xml:space="preserve">CPRD </w:t>
      </w:r>
      <w:r w:rsidR="00215631">
        <w:t xml:space="preserve">Aurum </w:t>
      </w:r>
      <w:r>
        <w:t>data. Patients at GP practices enrolled in CPRD are representative of the population in England with regard to age, gender, geographical spread and deprivation.</w:t>
      </w:r>
      <w:r>
        <w:fldChar w:fldCharType="begin"/>
      </w:r>
      <w:r w:rsidR="00A4266C">
        <w:instrText xml:space="preserve"> ADDIN ZOTERO_ITEM CSL_CITATION {"citationID":"QCk76JoM","properties":{"formattedCitation":"[19]","plainCitation":"[19]","noteIndex":0},"citationItems":[{"id":"f5DPIqS8/mnuieAFE","uris":["http://zotero.org/users/5856738/items/MI3P7MHN"],"uri":["http://zotero.org/users/5856738/items/MI3P7MHN"],"itemData":{"id":2633,"type":"article-journal","abstract":"Clinical Practice Research Datalink (CPRD) is a UK government, not-for-profit research service that has been supplying anonymized primary care data for public h","container-title":"International Journal of Epidemiology","DOI":"10.1093/ije/dyz034","ISSN":"0300-5771","issue":"6","journalAbbreviation":"Int J Epidemiol","language":"en","note":"publisher: Oxford Academic","page":"1740-1740g","source":"academic.oup.com","title":"Data resource profile: Clinical Practice Research Datalink (CPRD) Aurum","title-short":"Data resource profile","volume":"48","author":[{"family":"Wolf","given":"Achim"},{"family":"Dedman","given":"Daniel"},{"family":"Campbell","given":"Jennifer"},{"family":"Booth","given":"Helen"},{"family":"Lunn","given":"Darren"},{"family":"Chapman","given":"Jennifer"},{"family":"Myles","given":"Puja"}],"issued":{"date-parts":[["2019",12,1]]}}}],"schema":"https://github.com/citation-style-language/schema/raw/master/csl-citation.json"} </w:instrText>
      </w:r>
      <w:r>
        <w:fldChar w:fldCharType="separate"/>
      </w:r>
      <w:r w:rsidR="001B04AA" w:rsidRPr="001B04AA">
        <w:rPr>
          <w:rFonts w:ascii="Calibri" w:hAnsi="Calibri" w:cs="Calibri"/>
        </w:rPr>
        <w:t>[19]</w:t>
      </w:r>
      <w:r>
        <w:fldChar w:fldCharType="end"/>
      </w:r>
      <w:r>
        <w:t xml:space="preserve"> </w:t>
      </w:r>
      <w:r w:rsidR="009C696B">
        <w:t>Because this</w:t>
      </w:r>
      <w:r>
        <w:t xml:space="preserve"> sampling frame</w:t>
      </w:r>
      <w:r w:rsidR="009C696B">
        <w:t xml:space="preserve"> of CRPD </w:t>
      </w:r>
      <w:r w:rsidR="00215631">
        <w:t xml:space="preserve">Aurum </w:t>
      </w:r>
      <w:r w:rsidR="009C696B">
        <w:t xml:space="preserve">patients </w:t>
      </w:r>
      <w:r w:rsidR="00F33B6D">
        <w:t>i</w:t>
      </w:r>
      <w:r w:rsidR="009C696B">
        <w:t>s representative of the population of England</w:t>
      </w:r>
      <w:r>
        <w:t xml:space="preserve">, it would be reasonable to infer that the study findings </w:t>
      </w:r>
      <w:r>
        <w:lastRenderedPageBreak/>
        <w:t xml:space="preserve">are generalisable to the </w:t>
      </w:r>
      <w:r w:rsidR="00F33B6D">
        <w:t xml:space="preserve">wider </w:t>
      </w:r>
      <w:r>
        <w:t>population.</w:t>
      </w:r>
      <w:r w:rsidR="00F33B6D">
        <w:t xml:space="preserve"> </w:t>
      </w:r>
      <w:r w:rsidR="00B0774B">
        <w:t xml:space="preserve">The </w:t>
      </w:r>
      <w:r w:rsidR="007A5975">
        <w:t>size of</w:t>
      </w:r>
      <w:r w:rsidR="00B0774B">
        <w:t xml:space="preserve"> </w:t>
      </w:r>
      <w:r w:rsidR="007A5975">
        <w:t xml:space="preserve">the </w:t>
      </w:r>
      <w:r w:rsidR="00B0774B">
        <w:t>CPRD</w:t>
      </w:r>
      <w:r w:rsidR="007A5975">
        <w:t xml:space="preserve"> </w:t>
      </w:r>
      <w:r w:rsidR="00215631">
        <w:t xml:space="preserve">Aurum </w:t>
      </w:r>
      <w:r w:rsidR="007A5975">
        <w:t>dat</w:t>
      </w:r>
      <w:r w:rsidR="00D361C4">
        <w:t xml:space="preserve">abase meant that it was </w:t>
      </w:r>
      <w:r w:rsidR="00E63F7F">
        <w:t>feasible</w:t>
      </w:r>
      <w:r w:rsidR="00D361C4">
        <w:t xml:space="preserve"> to include over </w:t>
      </w:r>
      <w:r w:rsidR="00F33B6D">
        <w:t>880</w:t>
      </w:r>
      <w:r w:rsidR="00D361C4">
        <w:t xml:space="preserve">,000 </w:t>
      </w:r>
      <w:r w:rsidR="00E63F7F">
        <w:t>participants</w:t>
      </w:r>
      <w:r w:rsidR="009C696B">
        <w:t xml:space="preserve"> in this study</w:t>
      </w:r>
      <w:r w:rsidR="00F33B6D">
        <w:t>, exceeding the calculated sample size</w:t>
      </w:r>
      <w:r w:rsidR="00653C81">
        <w:t>.</w:t>
      </w:r>
    </w:p>
    <w:p w14:paraId="0AB84BAE" w14:textId="77777777" w:rsidR="00B0774B" w:rsidRDefault="00B0774B" w:rsidP="00C43C7E">
      <w:pPr>
        <w:spacing w:after="0" w:line="480" w:lineRule="auto"/>
      </w:pPr>
    </w:p>
    <w:p w14:paraId="5B3C0BC1" w14:textId="75889543" w:rsidR="00653C81" w:rsidRDefault="00653C81" w:rsidP="00C43C7E">
      <w:pPr>
        <w:spacing w:after="0" w:line="480" w:lineRule="auto"/>
      </w:pPr>
      <w:r>
        <w:t xml:space="preserve">Another strength of </w:t>
      </w:r>
      <w:r w:rsidR="00B86C2C">
        <w:t xml:space="preserve">using CPRD </w:t>
      </w:r>
      <w:r w:rsidR="00215631">
        <w:t xml:space="preserve">Aurum </w:t>
      </w:r>
      <w:r w:rsidR="00B86C2C">
        <w:t>data is the</w:t>
      </w:r>
      <w:r w:rsidR="004261BA">
        <w:t xml:space="preserve"> completeness and detail of information it contains</w:t>
      </w:r>
      <w:r w:rsidR="007F6CEC">
        <w:t xml:space="preserve">. </w:t>
      </w:r>
      <w:r w:rsidR="004261BA">
        <w:t>CPRD</w:t>
      </w:r>
      <w:r w:rsidR="00215631">
        <w:t xml:space="preserve"> Aurum</w:t>
      </w:r>
      <w:r w:rsidR="004261BA">
        <w:t xml:space="preserve"> routinely undertake</w:t>
      </w:r>
      <w:r w:rsidR="00B86C2C">
        <w:t xml:space="preserve"> data validation and quality assurance </w:t>
      </w:r>
      <w:r w:rsidR="004261BA">
        <w:t>work</w:t>
      </w:r>
      <w:r w:rsidR="00B86C2C">
        <w:t xml:space="preserve"> on their database.</w:t>
      </w:r>
      <w:r w:rsidR="00DF29F5">
        <w:fldChar w:fldCharType="begin"/>
      </w:r>
      <w:r w:rsidR="00A4266C">
        <w:instrText xml:space="preserve"> ADDIN ZOTERO_ITEM CSL_CITATION {"citationID":"znguhHXo","properties":{"formattedCitation":"[19]","plainCitation":"[19]","noteIndex":0},"citationItems":[{"id":"f5DPIqS8/mnuieAFE","uris":["http://zotero.org/users/5856738/items/MI3P7MHN"],"uri":["http://zotero.org/users/5856738/items/MI3P7MHN"],"itemData":{"id":2633,"type":"article-journal","abstract":"Clinical Practice Research Datalink (CPRD) is a UK government, not-for-profit research service that has been supplying anonymized primary care data for public h","container-title":"International Journal of Epidemiology","DOI":"10.1093/ije/dyz034","ISSN":"0300-5771","issue":"6","journalAbbreviation":"Int J Epidemiol","language":"en","note":"publisher: Oxford Academic","page":"1740-1740g","source":"academic.oup.com","title":"Data resource profile: Clinical Practice Research Datalink (CPRD) Aurum","title-short":"Data resource profile","volume":"48","author":[{"family":"Wolf","given":"Achim"},{"family":"Dedman","given":"Daniel"},{"family":"Campbell","given":"Jennifer"},{"family":"Booth","given":"Helen"},{"family":"Lunn","given":"Darren"},{"family":"Chapman","given":"Jennifer"},{"family":"Myles","given":"Puja"}],"issued":{"date-parts":[["2019",12,1]]}}}],"schema":"https://github.com/citation-style-language/schema/raw/master/csl-citation.json"} </w:instrText>
      </w:r>
      <w:r w:rsidR="00DF29F5">
        <w:fldChar w:fldCharType="separate"/>
      </w:r>
      <w:r w:rsidR="001B04AA" w:rsidRPr="001B04AA">
        <w:rPr>
          <w:rFonts w:ascii="Calibri" w:hAnsi="Calibri" w:cs="Calibri"/>
        </w:rPr>
        <w:t>[19]</w:t>
      </w:r>
      <w:r w:rsidR="00DF29F5">
        <w:fldChar w:fldCharType="end"/>
      </w:r>
      <w:r w:rsidR="00B86C2C">
        <w:t xml:space="preserve"> This meant that </w:t>
      </w:r>
      <w:r w:rsidR="00F33B6D">
        <w:t>we</w:t>
      </w:r>
      <w:r w:rsidR="00B86C2C">
        <w:t xml:space="preserve"> w</w:t>
      </w:r>
      <w:r w:rsidR="00F33B6D">
        <w:t>ere</w:t>
      </w:r>
      <w:r w:rsidR="00B86C2C">
        <w:t xml:space="preserve"> able to </w:t>
      </w:r>
      <w:r w:rsidR="00310EA7">
        <w:t>exclude potential participants w</w:t>
      </w:r>
      <w:r w:rsidR="0071536D">
        <w:t>here their</w:t>
      </w:r>
      <w:r w:rsidR="00310EA7">
        <w:t xml:space="preserve"> data did not meet </w:t>
      </w:r>
      <w:r w:rsidR="00310EA7" w:rsidRPr="00633839">
        <w:t>CPRD</w:t>
      </w:r>
      <w:r w:rsidR="00215631">
        <w:t xml:space="preserve"> Aurum</w:t>
      </w:r>
      <w:r w:rsidR="00310EA7" w:rsidRPr="00633839">
        <w:t xml:space="preserve"> quality sta</w:t>
      </w:r>
      <w:r w:rsidR="00310EA7">
        <w:t>ndards</w:t>
      </w:r>
      <w:r w:rsidR="00685CE8">
        <w:t xml:space="preserve">, </w:t>
      </w:r>
      <w:r w:rsidR="00F33B6D">
        <w:t>improving</w:t>
      </w:r>
      <w:r w:rsidR="00685CE8">
        <w:t xml:space="preserve"> confidence in the completeness and reliability of this data source</w:t>
      </w:r>
      <w:r w:rsidR="00310EA7">
        <w:t>.</w:t>
      </w:r>
      <w:r w:rsidR="0071536D">
        <w:t xml:space="preserve"> </w:t>
      </w:r>
    </w:p>
    <w:p w14:paraId="299BD823" w14:textId="77777777" w:rsidR="00653C81" w:rsidRDefault="00653C81" w:rsidP="00C43C7E">
      <w:pPr>
        <w:spacing w:after="0" w:line="480" w:lineRule="auto"/>
      </w:pPr>
    </w:p>
    <w:p w14:paraId="6982E846" w14:textId="665125EA" w:rsidR="0049105F" w:rsidRDefault="003A7E04" w:rsidP="00C43C7E">
      <w:pPr>
        <w:spacing w:after="0" w:line="480" w:lineRule="auto"/>
      </w:pPr>
      <w:r>
        <w:t>Regarding the use of CPRD</w:t>
      </w:r>
      <w:r w:rsidR="00215631">
        <w:t xml:space="preserve"> Aurum</w:t>
      </w:r>
      <w:r>
        <w:t xml:space="preserve"> records as a measure of CD </w:t>
      </w:r>
      <w:r w:rsidR="00372121">
        <w:t>and T1D d</w:t>
      </w:r>
      <w:r>
        <w:t>iagnoses, a similar approach of using diagnostic codes for CD in CPRD</w:t>
      </w:r>
      <w:r w:rsidR="00215631">
        <w:t xml:space="preserve"> Aurum</w:t>
      </w:r>
      <w:r>
        <w:t xml:space="preserve"> data </w:t>
      </w:r>
      <w:r w:rsidR="00685CE8">
        <w:t>was</w:t>
      </w:r>
      <w:r>
        <w:t xml:space="preserve"> used previously.</w:t>
      </w:r>
      <w:r>
        <w:fldChar w:fldCharType="begin"/>
      </w:r>
      <w:r w:rsidR="00A4266C">
        <w:instrText xml:space="preserve"> ADDIN ZOTERO_ITEM CSL_CITATION {"citationID":"CH8WvFLT","properties":{"formattedCitation":"[2]","plainCitation":"[2]","noteIndex":0},"citationItems":[{"id":"f5DPIqS8/R9isqeB7","uris":["http://zotero.org/users/5856738/items/6E9HDPQE"],"uri":["http://zotero.org/users/5856738/items/6E9HDPQE"],"itemData":{"id":2014,"type":"article-journal","abstract":"OBJECTIVES: Few studies have quantified the incidence and prevalence of celiac disease (CD) and dermatitis herpetiformis (DH) nationally and regionally by time and age groups. Understanding this epidemiology is crucial for hypothesizing about causes and quantifying the burden of disease.\nMETHODS: Patients with CD or DH were identified in the Clinical Practice Research Datalink between 1990 and 2011. Incidence rates and prevalence were calculated by age, sex, year, and region of residence. Incidence rate ratios (IRR) adjusted for age, sex, and region were calculated with Poisson regression.\nRESULTS: A total of 9,087 incident cases of CD and 809 incident cases of DH were identified. Between 1990 and 2011, the incidence rate of CD increased from 5.2 per 100,000 (95% confidence interval (CI), 3.8-6.8) to 19.1 per 100,000 person-years (95% CI, 17.8-20.5; IRR, 3.6; 95% CI, 2.7-4.8). The incidence of DH decreased over the same time period from 1.8 per 100,000 to 0.8 per 100,000 person-years (average annual IRR, 0.96; 95% CI, 0.94-0.97). The absolute incidence of CD per 100,000 person-years ranged from 22.3 in Northern Ireland to 10 in London. There were large regional variations in prevalence for CD but not DH.\nCONCLUSIONS: We found a fourfold increase in the incidence of CD in the United Kingdom over 22 years, with large regional variations in prevalence. This contrasted with a 4% annual decrease in the incidence of DH, with minimal regional variations in prevalence. These contrasts could reflect differences in diagnosis between CD (serological diagnosis and case finding) and DH (symptomatic presentation) or the possibility that diagnosing and treating CD prevents the development of DH.","container-title":"The American Journal of Gastroenterology","DOI":"10.1038/ajg.2014.55","ISSN":"1572-0241","issue":"5","journalAbbreviation":"Am. J. Gastroenterol.","language":"eng","note":"PMID: 24667576\nPMCID: PMC4012300","page":"757-768","source":"PubMed","title":"Incidence and prevalence of celiac disease and dermatitis herpetiformis in the UK over two decades: population-based study","title-short":"Incidence and prevalence of celiac disease and dermatitis herpetiformis in the UK over two decades","volume":"109","author":[{"family":"West","given":"Joe"},{"family":"Fleming","given":"Kate M."},{"family":"Tata","given":"Laila J."},{"family":"Card","given":"Timothy R."},{"family":"Crooks","given":"Colin J."}],"issued":{"date-parts":[["2014",5]]}}}],"schema":"https://github.com/citation-style-language/schema/raw/master/csl-citation.json"} </w:instrText>
      </w:r>
      <w:r>
        <w:fldChar w:fldCharType="separate"/>
      </w:r>
      <w:r w:rsidR="001B04AA" w:rsidRPr="001B04AA">
        <w:rPr>
          <w:rFonts w:ascii="Calibri" w:hAnsi="Calibri" w:cs="Calibri"/>
        </w:rPr>
        <w:t>[2]</w:t>
      </w:r>
      <w:r>
        <w:fldChar w:fldCharType="end"/>
      </w:r>
      <w:r>
        <w:t xml:space="preserve"> It is possible that this approach underestimate</w:t>
      </w:r>
      <w:r w:rsidR="00D10D73">
        <w:t>s</w:t>
      </w:r>
      <w:r>
        <w:t xml:space="preserve"> CD</w:t>
      </w:r>
      <w:r w:rsidR="00372121">
        <w:t xml:space="preserve"> and T1D</w:t>
      </w:r>
      <w:r>
        <w:t xml:space="preserve"> incidence by missing </w:t>
      </w:r>
      <w:r w:rsidR="00372121">
        <w:t>cases</w:t>
      </w:r>
      <w:r>
        <w:t xml:space="preserve"> diagnosed in secondary care and entered in GP notes as free text. However</w:t>
      </w:r>
      <w:r w:rsidR="00AC1DE1">
        <w:t xml:space="preserve"> as</w:t>
      </w:r>
      <w:r>
        <w:t xml:space="preserve"> participant-level free-text records were not available from CPRD</w:t>
      </w:r>
      <w:r w:rsidR="00215631">
        <w:t xml:space="preserve"> Aurum</w:t>
      </w:r>
      <w:r>
        <w:t xml:space="preserve"> due to privacy concerns, this meant that it was not possible to formally </w:t>
      </w:r>
      <w:r w:rsidR="00DF795C">
        <w:t>validate</w:t>
      </w:r>
      <w:r>
        <w:t xml:space="preserve"> this method</w:t>
      </w:r>
      <w:r w:rsidR="00DF795C">
        <w:t xml:space="preserve"> for </w:t>
      </w:r>
      <w:r w:rsidR="00372121">
        <w:t>our</w:t>
      </w:r>
      <w:r w:rsidR="00DF795C">
        <w:t xml:space="preserve"> diagnoses</w:t>
      </w:r>
      <w:r w:rsidR="00DA4C89">
        <w:t>.</w:t>
      </w:r>
    </w:p>
    <w:p w14:paraId="5E15A45D" w14:textId="77777777" w:rsidR="007A5975" w:rsidRDefault="007A5975" w:rsidP="00C43C7E">
      <w:pPr>
        <w:spacing w:after="0" w:line="480" w:lineRule="auto"/>
      </w:pPr>
    </w:p>
    <w:p w14:paraId="732B8DCF" w14:textId="46515197" w:rsidR="0082127A" w:rsidRDefault="007C403F" w:rsidP="00C43C7E">
      <w:pPr>
        <w:spacing w:after="0" w:line="480" w:lineRule="auto"/>
      </w:pPr>
      <w:r>
        <w:t>One trend which was relevant for this analysis is the</w:t>
      </w:r>
      <w:r w:rsidR="0082127A">
        <w:t xml:space="preserve"> increase in</w:t>
      </w:r>
      <w:r>
        <w:t xml:space="preserve"> the </w:t>
      </w:r>
      <w:r w:rsidR="00EE7109">
        <w:t>incidence</w:t>
      </w:r>
      <w:r>
        <w:t xml:space="preserve"> of </w:t>
      </w:r>
      <w:r w:rsidR="0082127A">
        <w:t>CD</w:t>
      </w:r>
      <w:r w:rsidR="00773E3C">
        <w:t xml:space="preserve"> </w:t>
      </w:r>
      <w:r w:rsidR="0082127A">
        <w:t>diagnoses over time in England</w:t>
      </w:r>
      <w:r>
        <w:t xml:space="preserve">; </w:t>
      </w:r>
      <w:r w:rsidR="00EE7109">
        <w:t xml:space="preserve">CD increased </w:t>
      </w:r>
      <w:r>
        <w:t xml:space="preserve">from </w:t>
      </w:r>
      <w:r w:rsidR="009841BF">
        <w:t>5</w:t>
      </w:r>
      <w:r w:rsidR="0085732A">
        <w:t>.</w:t>
      </w:r>
      <w:r w:rsidR="009841BF">
        <w:t>16 cases per 100</w:t>
      </w:r>
      <w:r w:rsidR="00C54E40">
        <w:t>,</w:t>
      </w:r>
      <w:r w:rsidR="009841BF">
        <w:t>000 in 1990 to 19</w:t>
      </w:r>
      <w:r w:rsidR="0085732A">
        <w:t>.</w:t>
      </w:r>
      <w:r w:rsidR="00840B42">
        <w:t>14 cases per 100</w:t>
      </w:r>
      <w:r w:rsidR="00C54E40">
        <w:t>,</w:t>
      </w:r>
      <w:r w:rsidR="00840B42">
        <w:t>000 in 2011</w:t>
      </w:r>
      <w:r w:rsidR="003038BA">
        <w:t>.</w:t>
      </w:r>
      <w:r w:rsidR="00840B42">
        <w:fldChar w:fldCharType="begin"/>
      </w:r>
      <w:r w:rsidR="00A4266C">
        <w:instrText xml:space="preserve"> ADDIN ZOTERO_ITEM CSL_CITATION {"citationID":"qIqzoKWe","properties":{"formattedCitation":"[2]","plainCitation":"[2]","noteIndex":0},"citationItems":[{"id":"f5DPIqS8/R9isqeB7","uris":["http://zotero.org/users/5856738/items/6E9HDPQE"],"uri":["http://zotero.org/users/5856738/items/6E9HDPQE"],"itemData":{"id":2014,"type":"article-journal","abstract":"OBJECTIVES: Few studies have quantified the incidence and prevalence of celiac disease (CD) and dermatitis herpetiformis (DH) nationally and regionally by time and age groups. Understanding this epidemiology is crucial for hypothesizing about causes and quantifying the burden of disease.\nMETHODS: Patients with CD or DH were identified in the Clinical Practice Research Datalink between 1990 and 2011. Incidence rates and prevalence were calculated by age, sex, year, and region of residence. Incidence rate ratios (IRR) adjusted for age, sex, and region were calculated with Poisson regression.\nRESULTS: A total of 9,087 incident cases of CD and 809 incident cases of DH were identified. Between 1990 and 2011, the incidence rate of CD increased from 5.2 per 100,000 (95% confidence interval (CI), 3.8-6.8) to 19.1 per 100,000 person-years (95% CI, 17.8-20.5; IRR, 3.6; 95% CI, 2.7-4.8). The incidence of DH decreased over the same time period from 1.8 per 100,000 to 0.8 per 100,000 person-years (average annual IRR, 0.96; 95% CI, 0.94-0.97). The absolute incidence of CD per 100,000 person-years ranged from 22.3 in Northern Ireland to 10 in London. There were large regional variations in prevalence for CD but not DH.\nCONCLUSIONS: We found a fourfold increase in the incidence of CD in the United Kingdom over 22 years, with large regional variations in prevalence. This contrasted with a 4% annual decrease in the incidence of DH, with minimal regional variations in prevalence. These contrasts could reflect differences in diagnosis between CD (serological diagnosis and case finding) and DH (symptomatic presentation) or the possibility that diagnosing and treating CD prevents the development of DH.","container-title":"The American Journal of Gastroenterology","DOI":"10.1038/ajg.2014.55","ISSN":"1572-0241","issue":"5","journalAbbreviation":"Am. J. Gastroenterol.","language":"eng","note":"PMID: 24667576\nPMCID: PMC4012300","page":"757-768","source":"PubMed","title":"Incidence and prevalence of celiac disease and dermatitis herpetiformis in the UK over two decades: population-based study","title-short":"Incidence and prevalence of celiac disease and dermatitis herpetiformis in the UK over two decades","volume":"109","author":[{"family":"West","given":"Joe"},{"family":"Fleming","given":"Kate M."},{"family":"Tata","given":"Laila J."},{"family":"Card","given":"Timothy R."},{"family":"Crooks","given":"Colin J."}],"issued":{"date-parts":[["2014",5]]}}}],"schema":"https://github.com/citation-style-language/schema/raw/master/csl-citation.json"} </w:instrText>
      </w:r>
      <w:r w:rsidR="00840B42">
        <w:fldChar w:fldCharType="separate"/>
      </w:r>
      <w:r w:rsidR="001B04AA" w:rsidRPr="001B04AA">
        <w:rPr>
          <w:rFonts w:ascii="Calibri" w:hAnsi="Calibri" w:cs="Calibri"/>
        </w:rPr>
        <w:t>[2]</w:t>
      </w:r>
      <w:r w:rsidR="00840B42">
        <w:fldChar w:fldCharType="end"/>
      </w:r>
      <w:r w:rsidR="009841BF">
        <w:t xml:space="preserve"> </w:t>
      </w:r>
      <w:r w:rsidR="00840B42">
        <w:t>Although these data do not cover most of the follow-up period in this study, from 2010 to 2020, it may be inferred that th</w:t>
      </w:r>
      <w:r w:rsidR="00773E3C">
        <w:t>e</w:t>
      </w:r>
      <w:r w:rsidR="00840B42">
        <w:t>s</w:t>
      </w:r>
      <w:r w:rsidR="00773E3C">
        <w:t>e</w:t>
      </w:r>
      <w:r w:rsidR="00840B42">
        <w:t xml:space="preserve"> trend</w:t>
      </w:r>
      <w:r w:rsidR="00773E3C">
        <w:t>s</w:t>
      </w:r>
      <w:r w:rsidR="00840B42">
        <w:t xml:space="preserve"> ha</w:t>
      </w:r>
      <w:r w:rsidR="00773E3C">
        <w:t>ve</w:t>
      </w:r>
      <w:r w:rsidR="00840B42">
        <w:t xml:space="preserve"> continued.</w:t>
      </w:r>
      <w:r w:rsidR="0082127A">
        <w:t xml:space="preserve"> </w:t>
      </w:r>
      <w:r w:rsidR="003038BA">
        <w:t>Compared to CD, T1D incidence in children in England has remained stable since 2013.</w:t>
      </w:r>
      <w:r w:rsidR="003038BA">
        <w:fldChar w:fldCharType="begin"/>
      </w:r>
      <w:r w:rsidR="00A4266C">
        <w:instrText xml:space="preserve"> ADDIN ZOTERO_ITEM CSL_CITATION {"citationID":"SJtRzXUY","properties":{"formattedCitation":"[4]","plainCitation":"[4]","noteIndex":0},"citationItems":[{"id":7716,"uris":["http://zotero.org/groups/2736408/items/TRU742C2"],"uri":["http://zotero.org/groups/2736408/items/TRU742C2"],"itemData":{"id":7716,"type":"article","publisher":"Royal College of Paediatrics and Child Health","title":"National Paediatric Diabetes Audit Annual Report 2018-19","URL":"https://www.rcpch.ac.uk/sites/default/files/2020-03/final_npda_core_report_2018-2019.pdf","author":[{"family":"National Paediatric Diabetes Audit","given":""}],"accessed":{"date-parts":[["2021",1,22]]},"issued":{"date-parts":[["2020",3,1]]}}}],"schema":"https://github.com/citation-style-language/schema/raw/master/csl-citation.json"} </w:instrText>
      </w:r>
      <w:r w:rsidR="003038BA">
        <w:fldChar w:fldCharType="separate"/>
      </w:r>
      <w:r w:rsidR="001B04AA" w:rsidRPr="001B04AA">
        <w:rPr>
          <w:rFonts w:ascii="Calibri" w:hAnsi="Calibri" w:cs="Calibri"/>
        </w:rPr>
        <w:t>[4]</w:t>
      </w:r>
      <w:r w:rsidR="003038BA">
        <w:fldChar w:fldCharType="end"/>
      </w:r>
      <w:r w:rsidR="003038BA">
        <w:t xml:space="preserve"> </w:t>
      </w:r>
      <w:r w:rsidR="0082127A">
        <w:t>Th</w:t>
      </w:r>
      <w:r w:rsidR="003038BA">
        <w:t>e</w:t>
      </w:r>
      <w:r w:rsidR="00840B42">
        <w:t xml:space="preserve"> increase in the rate of CD</w:t>
      </w:r>
      <w:r w:rsidR="00773E3C">
        <w:t xml:space="preserve"> </w:t>
      </w:r>
      <w:r w:rsidR="00840B42">
        <w:t>diagnoses</w:t>
      </w:r>
      <w:r w:rsidR="0082127A">
        <w:t xml:space="preserve"> may have affected the reliability of </w:t>
      </w:r>
      <w:r w:rsidR="00BF6451">
        <w:t>using CPRD</w:t>
      </w:r>
      <w:r w:rsidR="00215631">
        <w:t xml:space="preserve"> Aurum</w:t>
      </w:r>
      <w:r w:rsidR="00BF6451">
        <w:t xml:space="preserve"> </w:t>
      </w:r>
      <w:r w:rsidR="00773E3C">
        <w:t xml:space="preserve">as the </w:t>
      </w:r>
      <w:r w:rsidR="00BF6451">
        <w:t>record</w:t>
      </w:r>
      <w:r w:rsidR="00773E3C">
        <w:t>ing</w:t>
      </w:r>
      <w:r w:rsidR="00BF6451">
        <w:t xml:space="preserve"> as the</w:t>
      </w:r>
      <w:r w:rsidR="00773E3C">
        <w:t xml:space="preserve"> recording of these diseases</w:t>
      </w:r>
      <w:r w:rsidR="0082127A">
        <w:t xml:space="preserve"> may have</w:t>
      </w:r>
      <w:r w:rsidR="00BF6451">
        <w:t xml:space="preserve"> changed over time. This </w:t>
      </w:r>
      <w:r w:rsidR="00840B42">
        <w:t>may have created</w:t>
      </w:r>
      <w:r w:rsidR="00BF6451">
        <w:t xml:space="preserve"> a potentially confounding relationship as time was also associated with the probability of being vaccinated against rotavirus. </w:t>
      </w:r>
      <w:r w:rsidR="00840B42">
        <w:t xml:space="preserve">One of the strengths of this analysis was that </w:t>
      </w:r>
      <w:r w:rsidR="00773E3C">
        <w:t>we</w:t>
      </w:r>
      <w:r w:rsidR="00BF6451">
        <w:t xml:space="preserve"> attempted to adjust for this by including year of birth as an explanatory variable</w:t>
      </w:r>
      <w:r w:rsidR="00840B42">
        <w:t>;</w:t>
      </w:r>
      <w:r w:rsidR="00BF6451">
        <w:t xml:space="preserve"> however it is possible that some residual confounding remained.</w:t>
      </w:r>
    </w:p>
    <w:p w14:paraId="68EC2DFD" w14:textId="4332382D" w:rsidR="0082127A" w:rsidRDefault="0082127A" w:rsidP="00C43C7E">
      <w:pPr>
        <w:spacing w:after="0" w:line="480" w:lineRule="auto"/>
      </w:pPr>
    </w:p>
    <w:p w14:paraId="78A1E671" w14:textId="679FC795" w:rsidR="00152147" w:rsidRDefault="00152147" w:rsidP="00C43C7E">
      <w:pPr>
        <w:spacing w:after="0" w:line="480" w:lineRule="auto"/>
      </w:pPr>
      <w:r>
        <w:t>Another strength of the study was the inclusion of socio-economic deprivation data. This was</w:t>
      </w:r>
      <w:r w:rsidR="0091163C">
        <w:t xml:space="preserve"> an</w:t>
      </w:r>
      <w:r>
        <w:t xml:space="preserve"> important</w:t>
      </w:r>
      <w:r w:rsidR="0091163C">
        <w:t xml:space="preserve"> confounder</w:t>
      </w:r>
      <w:r>
        <w:t xml:space="preserve"> as rotavirus </w:t>
      </w:r>
      <w:r w:rsidR="00C06E5A">
        <w:t>vaccination coverage in the UK has been shown to be lower in more deprived socio-economic groups</w:t>
      </w:r>
      <w:r w:rsidR="0091163C">
        <w:t>,</w:t>
      </w:r>
      <w:r w:rsidR="0091163C">
        <w:fldChar w:fldCharType="begin"/>
      </w:r>
      <w:r w:rsidR="00A4266C">
        <w:instrText xml:space="preserve"> ADDIN ZOTERO_ITEM CSL_CITATION {"citationID":"wu9h7SkS","properties":{"formattedCitation":"[14]","plainCitation":"[14]","noteIndex":0},"citationItems":[{"id":"f5DPIqS8/6x0z7DXO","uris":["http://zotero.org/users/5856738/items/PZIA2DA7"],"uri":["http://zotero.org/users/5856738/items/PZIA2DA7"],"itemData":{"id":2661,"type":"article-journal","abstract":"Rotavirus causes severe gastroenteritis in infants and young children worldwide. The UK introduced the monovalent rotavirus vaccine (Rotarix®) in July 2013. Vaccination is free of charge to parents, with two doses delivered at 8 and 12 weeks of age. We evaluated vaccine impact across a health system in relation to socioeconomic deprivation.","container-title":"BMC Medicine","DOI":"10.1186/s12916-017-0989-z","ISSN":"1741-7015","issue":"1","journalAbbreviation":"BMC Med","language":"en","page":"10","source":"Springer Link","title":"Rotavirus vaccine impact and socioeconomic deprivation: an interrupted time-series analysis of gastrointestinal disease outcomes across primary and secondary care in the UK","title-short":"Rotavirus vaccine impact and socioeconomic deprivation","volume":"16","author":[{"family":"Hungerford","given":"Daniel"},{"family":"Vivancos","given":"Roberto"},{"family":"Read","given":"Jonathan M."},{"family":"Iturriza-Gόmara","given":"Miren"},{"family":"French","given":"Neil"},{"family":"Cunliffe","given":"Nigel A."}],"issued":{"date-parts":[["2018",1,29]]}}}],"schema":"https://github.com/citation-style-language/schema/raw/master/csl-citation.json"} </w:instrText>
      </w:r>
      <w:r w:rsidR="0091163C">
        <w:fldChar w:fldCharType="separate"/>
      </w:r>
      <w:r w:rsidR="001B04AA" w:rsidRPr="001B04AA">
        <w:rPr>
          <w:rFonts w:ascii="Calibri" w:hAnsi="Calibri" w:cs="Calibri"/>
        </w:rPr>
        <w:t>[14]</w:t>
      </w:r>
      <w:r w:rsidR="0091163C">
        <w:fldChar w:fldCharType="end"/>
      </w:r>
      <w:r w:rsidR="0091163C">
        <w:t xml:space="preserve"> and CD incidence has been found to be lower in the most deprived people.</w:t>
      </w:r>
      <w:r w:rsidR="0091163C">
        <w:fldChar w:fldCharType="begin"/>
      </w:r>
      <w:r w:rsidR="00A4266C">
        <w:instrText xml:space="preserve"> ADDIN ZOTERO_ITEM CSL_CITATION {"citationID":"ddD30neH","properties":{"formattedCitation":"[2]","plainCitation":"[2]","noteIndex":0},"citationItems":[{"id":"f5DPIqS8/R9isqeB7","uris":["http://zotero.org/users/5856738/items/6E9HDPQE"],"uri":["http://zotero.org/users/5856738/items/6E9HDPQE"],"itemData":{"id":2014,"type":"article-journal","abstract":"OBJECTIVES: Few studies have quantified the incidence and prevalence of celiac disease (CD) and dermatitis herpetiformis (DH) nationally and regionally by time and age groups. Understanding this epidemiology is crucial for hypothesizing about causes and quantifying the burden of disease.\nMETHODS: Patients with CD or DH were identified in the Clinical Practice Research Datalink between 1990 and 2011. Incidence rates and prevalence were calculated by age, sex, year, and region of residence. Incidence rate ratios (IRR) adjusted for age, sex, and region were calculated with Poisson regression.\nRESULTS: A total of 9,087 incident cases of CD and 809 incident cases of DH were identified. Between 1990 and 2011, the incidence rate of CD increased from 5.2 per 100,000 (95% confidence interval (CI), 3.8-6.8) to 19.1 per 100,000 person-years (95% CI, 17.8-20.5; IRR, 3.6; 95% CI, 2.7-4.8). The incidence of DH decreased over the same time period from 1.8 per 100,000 to 0.8 per 100,000 person-years (average annual IRR, 0.96; 95% CI, 0.94-0.97). The absolute incidence of CD per 100,000 person-years ranged from 22.3 in Northern Ireland to 10 in London. There were large regional variations in prevalence for CD but not DH.\nCONCLUSIONS: We found a fourfold increase in the incidence of CD in the United Kingdom over 22 years, with large regional variations in prevalence. This contrasted with a 4% annual decrease in the incidence of DH, with minimal regional variations in prevalence. These contrasts could reflect differences in diagnosis between CD (serological diagnosis and case finding) and DH (symptomatic presentation) or the possibility that diagnosing and treating CD prevents the development of DH.","container-title":"The American Journal of Gastroenterology","DOI":"10.1038/ajg.2014.55","ISSN":"1572-0241","issue":"5","journalAbbreviation":"Am. J. Gastroenterol.","language":"eng","note":"PMID: 24667576\nPMCID: PMC4012300","page":"757-768","source":"PubMed","title":"Incidence and prevalence of celiac disease and dermatitis herpetiformis in the UK over two decades: population-based study","title-short":"Incidence and prevalence of celiac disease and dermatitis herpetiformis in the UK over two decades","volume":"109","author":[{"family":"West","given":"Joe"},{"family":"Fleming","given":"Kate M."},{"family":"Tata","given":"Laila J."},{"family":"Card","given":"Timothy R."},{"family":"Crooks","given":"Colin J."}],"issued":{"date-parts":[["2014",5]]}}}],"schema":"https://github.com/citation-style-language/schema/raw/master/csl-citation.json"} </w:instrText>
      </w:r>
      <w:r w:rsidR="0091163C">
        <w:fldChar w:fldCharType="separate"/>
      </w:r>
      <w:r w:rsidR="001B04AA" w:rsidRPr="001B04AA">
        <w:rPr>
          <w:rFonts w:ascii="Calibri" w:hAnsi="Calibri" w:cs="Calibri"/>
        </w:rPr>
        <w:t>[2]</w:t>
      </w:r>
      <w:r w:rsidR="0091163C">
        <w:fldChar w:fldCharType="end"/>
      </w:r>
      <w:r w:rsidR="0091163C">
        <w:t xml:space="preserve"> This was consistent with our finding that the risk of CD was lower in those in IMD quintiles 4 and 5 (the most deprived).</w:t>
      </w:r>
    </w:p>
    <w:p w14:paraId="472F33A0" w14:textId="77777777" w:rsidR="00152147" w:rsidRDefault="00152147" w:rsidP="00C43C7E">
      <w:pPr>
        <w:spacing w:after="0" w:line="480" w:lineRule="auto"/>
      </w:pPr>
    </w:p>
    <w:p w14:paraId="47AD4369" w14:textId="5FA08458" w:rsidR="009C454F" w:rsidRPr="00EE7109" w:rsidRDefault="009C454F" w:rsidP="00EE7109">
      <w:pPr>
        <w:rPr>
          <w:i/>
        </w:rPr>
      </w:pPr>
      <w:bookmarkStart w:id="13" w:name="_Toc50542559"/>
      <w:r w:rsidRPr="00EE7109">
        <w:rPr>
          <w:i/>
        </w:rPr>
        <w:t>Study limitations</w:t>
      </w:r>
      <w:bookmarkEnd w:id="13"/>
    </w:p>
    <w:p w14:paraId="6C2B08DA" w14:textId="3F7E0DF5" w:rsidR="00DE6AD3" w:rsidRDefault="00B62854" w:rsidP="00C43C7E">
      <w:pPr>
        <w:spacing w:after="0" w:line="480" w:lineRule="auto"/>
      </w:pPr>
      <w:r>
        <w:t>A key</w:t>
      </w:r>
      <w:r w:rsidR="00DE6AD3">
        <w:t xml:space="preserve"> limitation of this study relates to the period of follow-up </w:t>
      </w:r>
      <w:r w:rsidR="003D4267">
        <w:t xml:space="preserve">in which </w:t>
      </w:r>
      <w:r>
        <w:t>we</w:t>
      </w:r>
      <w:r w:rsidR="003D4267">
        <w:t xml:space="preserve"> measured the diagnosis of </w:t>
      </w:r>
      <w:r>
        <w:t>CD and T1D</w:t>
      </w:r>
      <w:r w:rsidR="003D4267">
        <w:t>. In this study</w:t>
      </w:r>
      <w:r w:rsidR="00F112CD">
        <w:t>,</w:t>
      </w:r>
      <w:r w:rsidR="003D4267">
        <w:t xml:space="preserve"> </w:t>
      </w:r>
      <w:r w:rsidR="007F6CEC">
        <w:t>we</w:t>
      </w:r>
      <w:r w:rsidR="003D4267">
        <w:t xml:space="preserve"> used a seven</w:t>
      </w:r>
      <w:r w:rsidR="00F112CD">
        <w:t>-</w:t>
      </w:r>
      <w:r w:rsidR="003D4267">
        <w:t>year follow-up period</w:t>
      </w:r>
      <w:r w:rsidR="00B57033">
        <w:t xml:space="preserve">; this was the maximum period for those born since the introduction of routine rotavirus vaccination in </w:t>
      </w:r>
      <w:r w:rsidR="002E2D8A">
        <w:t>July 2013</w:t>
      </w:r>
      <w:r w:rsidR="00B57033">
        <w:t xml:space="preserve">. This was relevant because the incidence of </w:t>
      </w:r>
      <w:r w:rsidR="002E2D8A">
        <w:t>CD</w:t>
      </w:r>
      <w:r>
        <w:t xml:space="preserve"> and T1D</w:t>
      </w:r>
      <w:r w:rsidR="002E2D8A">
        <w:t xml:space="preserve"> changes with age</w:t>
      </w:r>
      <w:r>
        <w:t>.</w:t>
      </w:r>
      <w:r w:rsidR="002E2D8A">
        <w:t xml:space="preserve"> </w:t>
      </w:r>
      <w:r>
        <w:t xml:space="preserve">CD </w:t>
      </w:r>
      <w:r w:rsidR="002E2D8A">
        <w:t xml:space="preserve">is relatively higher in those under </w:t>
      </w:r>
      <w:r w:rsidR="00456CC8">
        <w:t>five</w:t>
      </w:r>
      <w:r w:rsidR="002E2D8A">
        <w:t xml:space="preserve">, then decreases and increases </w:t>
      </w:r>
      <w:r w:rsidR="00AC1DE1">
        <w:t xml:space="preserve">again </w:t>
      </w:r>
      <w:r w:rsidR="002E2D8A">
        <w:t>in those aged over 30.</w:t>
      </w:r>
      <w:r w:rsidR="002E2D8A">
        <w:fldChar w:fldCharType="begin"/>
      </w:r>
      <w:r w:rsidR="00A4266C">
        <w:instrText xml:space="preserve"> ADDIN ZOTERO_ITEM CSL_CITATION {"citationID":"9pSSkCiW","properties":{"formattedCitation":"[2]","plainCitation":"[2]","noteIndex":0},"citationItems":[{"id":"f5DPIqS8/R9isqeB7","uris":["http://zotero.org/users/5856738/items/6E9HDPQE"],"uri":["http://zotero.org/users/5856738/items/6E9HDPQE"],"itemData":{"id":2014,"type":"article-journal","abstract":"OBJECTIVES: Few studies have quantified the incidence and prevalence of celiac disease (CD) and dermatitis herpetiformis (DH) nationally and regionally by time and age groups. Understanding this epidemiology is crucial for hypothesizing about causes and quantifying the burden of disease.\nMETHODS: Patients with CD or DH were identified in the Clinical Practice Research Datalink between 1990 and 2011. Incidence rates and prevalence were calculated by age, sex, year, and region of residence. Incidence rate ratios (IRR) adjusted for age, sex, and region were calculated with Poisson regression.\nRESULTS: A total of 9,087 incident cases of CD and 809 incident cases of DH were identified. Between 1990 and 2011, the incidence rate of CD increased from 5.2 per 100,000 (95% confidence interval (CI), 3.8-6.8) to 19.1 per 100,000 person-years (95% CI, 17.8-20.5; IRR, 3.6; 95% CI, 2.7-4.8). The incidence of DH decreased over the same time period from 1.8 per 100,000 to 0.8 per 100,000 person-years (average annual IRR, 0.96; 95% CI, 0.94-0.97). The absolute incidence of CD per 100,000 person-years ranged from 22.3 in Northern Ireland to 10 in London. There were large regional variations in prevalence for CD but not DH.\nCONCLUSIONS: We found a fourfold increase in the incidence of CD in the United Kingdom over 22 years, with large regional variations in prevalence. This contrasted with a 4% annual decrease in the incidence of DH, with minimal regional variations in prevalence. These contrasts could reflect differences in diagnosis between CD (serological diagnosis and case finding) and DH (symptomatic presentation) or the possibility that diagnosing and treating CD prevents the development of DH.","container-title":"The American Journal of Gastroenterology","DOI":"10.1038/ajg.2014.55","ISSN":"1572-0241","issue":"5","journalAbbreviation":"Am. J. Gastroenterol.","language":"eng","note":"PMID: 24667576\nPMCID: PMC4012300","page":"757-768","source":"PubMed","title":"Incidence and prevalence of celiac disease and dermatitis herpetiformis in the UK over two decades: population-based study","title-short":"Incidence and prevalence of celiac disease and dermatitis herpetiformis in the UK over two decades","volume":"109","author":[{"family":"West","given":"Joe"},{"family":"Fleming","given":"Kate M."},{"family":"Tata","given":"Laila J."},{"family":"Card","given":"Timothy R."},{"family":"Crooks","given":"Colin J."}],"issued":{"date-parts":[["2014",5]]}}}],"schema":"https://github.com/citation-style-language/schema/raw/master/csl-citation.json"} </w:instrText>
      </w:r>
      <w:r w:rsidR="002E2D8A">
        <w:fldChar w:fldCharType="separate"/>
      </w:r>
      <w:r w:rsidR="001B04AA" w:rsidRPr="001B04AA">
        <w:rPr>
          <w:rFonts w:ascii="Calibri" w:hAnsi="Calibri" w:cs="Calibri"/>
        </w:rPr>
        <w:t>[2]</w:t>
      </w:r>
      <w:r w:rsidR="002E2D8A">
        <w:fldChar w:fldCharType="end"/>
      </w:r>
      <w:r>
        <w:t xml:space="preserve"> T1D i</w:t>
      </w:r>
      <w:r w:rsidR="009841BF">
        <w:t>ncidence is low in those under two years of age</w:t>
      </w:r>
      <w:r>
        <w:t xml:space="preserve">, then increases between </w:t>
      </w:r>
      <w:r w:rsidR="009841BF">
        <w:t>the ages of two and ten</w:t>
      </w:r>
      <w:r>
        <w:t>.</w:t>
      </w:r>
      <w:r>
        <w:fldChar w:fldCharType="begin"/>
      </w:r>
      <w:r w:rsidR="00A4266C">
        <w:instrText xml:space="preserve"> ADDIN ZOTERO_ITEM CSL_CITATION {"citationID":"tX0R5a0t","properties":{"formattedCitation":"[38]","plainCitation":"[38]","noteIndex":0},"citationItems":[{"id":"f5DPIqS8/fGpa8HrF","uris":["http://zotero.org/users/5856738/items/JAZ5DHDU"],"uri":["http://zotero.org/users/5856738/items/JAZ5DHDU"],"itemData":{"id":2692,"type":"article-journal","container-title":"The Lancet","issue":"9626","note":"ISBN: 0140-6736\npublisher: Elsevier","page":"1777-1782","title":"Time trends in the incidence of type 1 diabetes in Finnish children: a cohort study","volume":"371","author":[{"family":"Harjutsalo","given":"Valma"},{"family":"Sjöberg","given":"Lena"},{"family":"Tuomilehto","given":"Jaakko"}],"issued":{"date-parts":[["2008"]]}}}],"schema":"https://github.com/citation-style-language/schema/raw/master/csl-citation.json"} </w:instrText>
      </w:r>
      <w:r>
        <w:fldChar w:fldCharType="separate"/>
      </w:r>
      <w:r w:rsidR="001B04AA" w:rsidRPr="001B04AA">
        <w:rPr>
          <w:rFonts w:ascii="Calibri" w:hAnsi="Calibri" w:cs="Calibri"/>
        </w:rPr>
        <w:t>[38]</w:t>
      </w:r>
      <w:r>
        <w:fldChar w:fldCharType="end"/>
      </w:r>
      <w:r w:rsidR="002E2D8A">
        <w:t xml:space="preserve"> </w:t>
      </w:r>
      <w:r w:rsidR="00F02A85">
        <w:t>We</w:t>
      </w:r>
      <w:r w:rsidR="002E2D8A">
        <w:t xml:space="preserve"> used a sensitivity analysis to examine the impact of removing right-censoring at seven years, however as very few children born </w:t>
      </w:r>
      <w:r w:rsidR="00456CC8">
        <w:t>before</w:t>
      </w:r>
      <w:r w:rsidR="002E2D8A">
        <w:t xml:space="preserve"> July 2013 were exposed to rotavirus vaccine, </w:t>
      </w:r>
      <w:r w:rsidR="00F02A85">
        <w:t>t</w:t>
      </w:r>
      <w:r w:rsidR="002E2D8A">
        <w:t xml:space="preserve">his follow-up period of seven years limits the inference which could be made from this study on the association between rotavirus vaccination and </w:t>
      </w:r>
      <w:r w:rsidR="00F02A85">
        <w:t xml:space="preserve">both </w:t>
      </w:r>
      <w:r w:rsidR="002E2D8A">
        <w:t>CD</w:t>
      </w:r>
      <w:r w:rsidR="00F02A85">
        <w:t xml:space="preserve"> and T1D</w:t>
      </w:r>
      <w:r w:rsidR="002E2D8A">
        <w:t xml:space="preserve"> diagnosed later in life</w:t>
      </w:r>
      <w:r w:rsidR="00CA32F8">
        <w:t>.</w:t>
      </w:r>
      <w:r w:rsidR="007A428D">
        <w:t xml:space="preserve"> The impact of this seven-year follow-up period on the size and direction of results is uncertain. Should cases of CD and T1D continue to occur at similar proportions in older ages, these results would continue to apply. It could however be the case that a biological mechanism for rotavirus vaccination to protect against CD and/or T1D manifests later in life, and is not captured by this study. Subsequent follow-up of this cohort over a longer time period would be an effective method for addressing this issue.</w:t>
      </w:r>
    </w:p>
    <w:p w14:paraId="49FF83BD" w14:textId="77777777" w:rsidR="00D87738" w:rsidRDefault="00D87738" w:rsidP="00C43C7E">
      <w:pPr>
        <w:spacing w:after="0" w:line="480" w:lineRule="auto"/>
      </w:pPr>
    </w:p>
    <w:p w14:paraId="63A425FE" w14:textId="18C7FF4B" w:rsidR="009E2806" w:rsidRDefault="00B47B32" w:rsidP="00C43C7E">
      <w:pPr>
        <w:spacing w:after="0" w:line="480" w:lineRule="auto"/>
      </w:pPr>
      <w:r>
        <w:t xml:space="preserve">In this study </w:t>
      </w:r>
      <w:r w:rsidR="00F02A85">
        <w:t>we</w:t>
      </w:r>
      <w:r>
        <w:t xml:space="preserve"> analysed exposure as a binary variable; with exposure being based on having one or more rotavirus vaccinations. This is consistent with previous rotavirus research in England,</w:t>
      </w:r>
      <w:r>
        <w:fldChar w:fldCharType="begin"/>
      </w:r>
      <w:r w:rsidR="00A4266C">
        <w:instrText xml:space="preserve"> ADDIN ZOTERO_ITEM CSL_CITATION {"citationID":"0zdUM1RW","properties":{"formattedCitation":"[14]","plainCitation":"[14]","noteIndex":0},"citationItems":[{"id":"f5DPIqS8/6x0z7DXO","uris":["http://zotero.org/users/5856738/items/PZIA2DA7"],"uri":["http://zotero.org/users/5856738/items/PZIA2DA7"],"itemData":{"id":2661,"type":"article-journal","abstract":"Rotavirus causes severe gastroenteritis in infants and young children worldwide. The UK introduced the monovalent rotavirus vaccine (Rotarix®) in July 2013. Vaccination is free of charge to parents, with two doses delivered at 8 and 12 weeks of age. We evaluated vaccine impact across a health system in relation to socioeconomic deprivation.","container-title":"BMC Medicine","DOI":"10.1186/s12916-017-0989-z","ISSN":"1741-7015","issue":"1","journalAbbreviation":"BMC Med","language":"en","page":"10","source":"Springer Link","title":"Rotavirus vaccine impact and socioeconomic deprivation: an interrupted time-series analysis of gastrointestinal disease outcomes across primary and secondary care in the UK","title-short":"Rotavirus vaccine impact and socioeconomic deprivation","volume":"16","author":[{"family":"Hungerford","given":"Daniel"},{"family":"Vivancos","given":"Roberto"},{"family":"Read","given":"Jonathan M."},{"family":"Iturriza-Gόmara","given":"Miren"},{"family":"French","given":"Neil"},{"family":"Cunliffe","given":"Nigel A."}],"issued":{"date-parts":[["2018",1,29]]}}}],"schema":"https://github.com/citation-style-language/schema/raw/master/csl-citation.json"} </w:instrText>
      </w:r>
      <w:r>
        <w:fldChar w:fldCharType="separate"/>
      </w:r>
      <w:r w:rsidR="001B04AA" w:rsidRPr="001B04AA">
        <w:rPr>
          <w:rFonts w:ascii="Calibri" w:hAnsi="Calibri" w:cs="Calibri"/>
        </w:rPr>
        <w:t>[14]</w:t>
      </w:r>
      <w:r>
        <w:fldChar w:fldCharType="end"/>
      </w:r>
      <w:r>
        <w:t xml:space="preserve"> </w:t>
      </w:r>
      <w:r>
        <w:lastRenderedPageBreak/>
        <w:t xml:space="preserve">however there are two doses recommended in the routine schedule, so it could be viewed as a limitation that </w:t>
      </w:r>
      <w:r w:rsidR="00F02A85">
        <w:t>we</w:t>
      </w:r>
      <w:r>
        <w:t xml:space="preserve"> did not analyse the two “levels” of vaccination separately. </w:t>
      </w:r>
      <w:r w:rsidR="002C2C59">
        <w:t xml:space="preserve">Finding a dose-response relationship would have been valuable in providing evidence that a potential association is causal. However, in this study it was not possible to </w:t>
      </w:r>
      <w:r w:rsidR="007F6CEC">
        <w:t>analyse this as</w:t>
      </w:r>
      <w:r w:rsidR="002C2C59">
        <w:t xml:space="preserve"> </w:t>
      </w:r>
      <w:r w:rsidR="00F02A85">
        <w:t>the number of participants only receiving one dose</w:t>
      </w:r>
      <w:r w:rsidR="007F6CEC">
        <w:t xml:space="preserve"> was so small</w:t>
      </w:r>
      <w:r w:rsidR="00596B50">
        <w:t xml:space="preserve"> (5.7%)</w:t>
      </w:r>
      <w:r>
        <w:t>.</w:t>
      </w:r>
    </w:p>
    <w:p w14:paraId="4DC80EC9" w14:textId="77777777" w:rsidR="00EF5099" w:rsidRDefault="00EF5099" w:rsidP="00C43C7E">
      <w:pPr>
        <w:spacing w:after="0" w:line="480" w:lineRule="auto"/>
      </w:pPr>
    </w:p>
    <w:p w14:paraId="0EEC0738" w14:textId="161EF5F3" w:rsidR="00252CD4" w:rsidRPr="00B21568" w:rsidRDefault="00B21568" w:rsidP="001F55A8">
      <w:pPr>
        <w:rPr>
          <w:i/>
        </w:rPr>
      </w:pPr>
      <w:r>
        <w:rPr>
          <w:i/>
        </w:rPr>
        <w:t>Conclusions</w:t>
      </w:r>
    </w:p>
    <w:p w14:paraId="0E7124AC" w14:textId="68950A90" w:rsidR="009D7FE2" w:rsidRDefault="00B21568" w:rsidP="00C43C7E">
      <w:pPr>
        <w:spacing w:after="0" w:line="480" w:lineRule="auto"/>
      </w:pPr>
      <w:r>
        <w:t>Finding</w:t>
      </w:r>
      <w:r w:rsidR="00C864FF">
        <w:t xml:space="preserve"> a positive</w:t>
      </w:r>
      <w:r>
        <w:t xml:space="preserve"> non-rotavirus</w:t>
      </w:r>
      <w:r w:rsidR="00C864FF">
        <w:t xml:space="preserve"> health outcome from rotavirus vaccination would </w:t>
      </w:r>
      <w:r w:rsidR="00E76835">
        <w:t xml:space="preserve">further </w:t>
      </w:r>
      <w:r w:rsidR="00C864FF">
        <w:t>improve vaccine uptake, reducing health inequalities in the UK, and improve the economic case for introducing routine rotavirus vaccination in other European countries, reducing the burden of rotavirus morbidity in those populations.</w:t>
      </w:r>
      <w:r>
        <w:t xml:space="preserve"> However, i</w:t>
      </w:r>
      <w:r w:rsidR="0073482F">
        <w:t xml:space="preserve">n this </w:t>
      </w:r>
      <w:r>
        <w:t xml:space="preserve">large cohort </w:t>
      </w:r>
      <w:r w:rsidR="0073482F">
        <w:t xml:space="preserve">study, </w:t>
      </w:r>
      <w:r>
        <w:t>we</w:t>
      </w:r>
      <w:r w:rsidR="0073482F">
        <w:t xml:space="preserve"> did not find</w:t>
      </w:r>
      <w:r w:rsidR="0073482F" w:rsidRPr="0073482F">
        <w:t xml:space="preserve"> evidence that in children born in England between 2010 and 2015 </w:t>
      </w:r>
      <w:r>
        <w:t xml:space="preserve">given </w:t>
      </w:r>
      <w:r w:rsidR="0073482F" w:rsidRPr="0073482F">
        <w:t>rotavirus vaccination (Rotarix</w:t>
      </w:r>
      <w:r w:rsidR="00251BEC" w:rsidRPr="000B0C1F">
        <w:t>®</w:t>
      </w:r>
      <w:r w:rsidR="0073482F" w:rsidRPr="0073482F">
        <w:t>) have lower rate</w:t>
      </w:r>
      <w:r>
        <w:t>s</w:t>
      </w:r>
      <w:r w:rsidR="0073482F" w:rsidRPr="0073482F">
        <w:t xml:space="preserve"> of diagnosed CD</w:t>
      </w:r>
      <w:r>
        <w:t xml:space="preserve"> and T1D</w:t>
      </w:r>
      <w:r w:rsidR="0073482F" w:rsidRPr="0073482F">
        <w:t xml:space="preserve"> than those without this vaccination.</w:t>
      </w:r>
      <w:r w:rsidR="00B83425">
        <w:t xml:space="preserve"> However, it would be valuable to repeat this analysis </w:t>
      </w:r>
      <w:r w:rsidR="001C3DDA">
        <w:t>in the future to allow longer follow-up and understand the potential association in older children.</w:t>
      </w:r>
      <w:r w:rsidR="007F6CEC">
        <w:t xml:space="preserve"> </w:t>
      </w:r>
      <w:r w:rsidR="007F7CA5">
        <w:t xml:space="preserve">Importantly these findings provide further evidence of the safety of rotavirus vaccination in children. </w:t>
      </w:r>
      <w:r w:rsidR="001E6B15">
        <w:t>This study advocates for further observational studies investigating off-target effects of paediatric rotavirus vaccines in diverse settings</w:t>
      </w:r>
      <w:r w:rsidR="007F6CEC">
        <w:t>.</w:t>
      </w:r>
    </w:p>
    <w:p w14:paraId="19060CCB" w14:textId="77777777" w:rsidR="000E4C79" w:rsidRDefault="000E4C79" w:rsidP="00C43C7E">
      <w:pPr>
        <w:spacing w:after="0" w:line="480" w:lineRule="auto"/>
        <w:rPr>
          <w:b/>
        </w:rPr>
      </w:pPr>
    </w:p>
    <w:p w14:paraId="0F108F86" w14:textId="3A139302" w:rsidR="000E4C79" w:rsidRDefault="000E4C79" w:rsidP="00C43C7E">
      <w:pPr>
        <w:spacing w:after="0" w:line="480" w:lineRule="auto"/>
        <w:rPr>
          <w:b/>
        </w:rPr>
      </w:pPr>
      <w:r w:rsidRPr="000E4C79">
        <w:rPr>
          <w:b/>
        </w:rPr>
        <w:t>List of abbreviations</w:t>
      </w:r>
    </w:p>
    <w:p w14:paraId="5E00F269" w14:textId="65608993" w:rsidR="000E4C79" w:rsidRDefault="000E4C79" w:rsidP="00271850">
      <w:pPr>
        <w:spacing w:after="0" w:line="480" w:lineRule="auto"/>
      </w:pPr>
      <w:r>
        <w:t>AIC</w:t>
      </w:r>
      <w:r>
        <w:tab/>
        <w:t>Akaike Information C</w:t>
      </w:r>
      <w:r w:rsidRPr="001A25BD">
        <w:t>riterion</w:t>
      </w:r>
    </w:p>
    <w:p w14:paraId="229B4908" w14:textId="77777777" w:rsidR="00E16ED8" w:rsidRPr="000E4C79" w:rsidRDefault="00E16ED8" w:rsidP="00E16ED8">
      <w:pPr>
        <w:spacing w:after="0" w:line="480" w:lineRule="auto"/>
      </w:pPr>
      <w:r>
        <w:t>CPRD</w:t>
      </w:r>
      <w:r>
        <w:tab/>
      </w:r>
      <w:r w:rsidRPr="000E4C79">
        <w:t>Clinical Practice Research Datalink</w:t>
      </w:r>
    </w:p>
    <w:p w14:paraId="1BFB76B7" w14:textId="24AD58FA" w:rsidR="000E4C79" w:rsidRDefault="000E4C79" w:rsidP="00271850">
      <w:pPr>
        <w:spacing w:after="0" w:line="480" w:lineRule="auto"/>
      </w:pPr>
      <w:r w:rsidRPr="000E4C79">
        <w:t>CD</w:t>
      </w:r>
      <w:r w:rsidRPr="000E4C79">
        <w:tab/>
        <w:t>Coeliac disease</w:t>
      </w:r>
    </w:p>
    <w:p w14:paraId="0A9DF508" w14:textId="68CDF4F1" w:rsidR="000E4C79" w:rsidRDefault="000E4C79" w:rsidP="00271850">
      <w:pPr>
        <w:spacing w:after="0" w:line="480" w:lineRule="auto"/>
      </w:pPr>
      <w:r>
        <w:t>HR</w:t>
      </w:r>
      <w:r>
        <w:tab/>
        <w:t>Hazard ratio</w:t>
      </w:r>
    </w:p>
    <w:p w14:paraId="7DF108C5" w14:textId="77777777" w:rsidR="00E16ED8" w:rsidRDefault="00E16ED8" w:rsidP="00E16ED8">
      <w:pPr>
        <w:spacing w:after="0" w:line="480" w:lineRule="auto"/>
      </w:pPr>
      <w:r>
        <w:t>NHS</w:t>
      </w:r>
      <w:r>
        <w:tab/>
        <w:t>National Health Service</w:t>
      </w:r>
    </w:p>
    <w:p w14:paraId="6CA721CB" w14:textId="77777777" w:rsidR="00271850" w:rsidRDefault="00271850" w:rsidP="00271850">
      <w:pPr>
        <w:spacing w:after="0" w:line="480" w:lineRule="auto"/>
      </w:pPr>
      <w:r w:rsidRPr="002F2E5F">
        <w:rPr>
          <w:i/>
        </w:rPr>
        <w:t>SD</w:t>
      </w:r>
      <w:r>
        <w:tab/>
        <w:t>Standard deviation</w:t>
      </w:r>
    </w:p>
    <w:p w14:paraId="3B89C3C7" w14:textId="62C8655A" w:rsidR="000E4C79" w:rsidRDefault="000E4C79" w:rsidP="00271850">
      <w:pPr>
        <w:spacing w:after="0" w:line="480" w:lineRule="auto"/>
      </w:pPr>
      <w:r w:rsidRPr="000E4C79">
        <w:t>T1D</w:t>
      </w:r>
      <w:r w:rsidRPr="000E4C79">
        <w:tab/>
        <w:t>Type 1 diabetes</w:t>
      </w:r>
    </w:p>
    <w:p w14:paraId="293B3C00" w14:textId="607982EC" w:rsidR="000E4C79" w:rsidRPr="000E4C79" w:rsidRDefault="000E4C79" w:rsidP="00271850">
      <w:pPr>
        <w:spacing w:after="0" w:line="480" w:lineRule="auto"/>
      </w:pPr>
      <w:r>
        <w:lastRenderedPageBreak/>
        <w:t>UK</w:t>
      </w:r>
      <w:r>
        <w:tab/>
        <w:t>United Kingdom</w:t>
      </w:r>
    </w:p>
    <w:p w14:paraId="412176AD" w14:textId="77777777" w:rsidR="000E4C79" w:rsidRDefault="000E4C79" w:rsidP="00C43C7E">
      <w:pPr>
        <w:spacing w:after="0" w:line="480" w:lineRule="auto"/>
        <w:rPr>
          <w:b/>
        </w:rPr>
      </w:pPr>
    </w:p>
    <w:p w14:paraId="16B8D20A" w14:textId="7E2137CA" w:rsidR="00C24F78" w:rsidRPr="000E4C79" w:rsidRDefault="000E4C79" w:rsidP="00C43C7E">
      <w:pPr>
        <w:spacing w:after="0" w:line="480" w:lineRule="auto"/>
        <w:rPr>
          <w:b/>
        </w:rPr>
      </w:pPr>
      <w:r w:rsidRPr="000E4C79">
        <w:rPr>
          <w:b/>
        </w:rPr>
        <w:t>Declarations</w:t>
      </w:r>
    </w:p>
    <w:p w14:paraId="74A1E26E" w14:textId="357E7001" w:rsidR="002879E0" w:rsidRDefault="002879E0" w:rsidP="000E4C79">
      <w:pPr>
        <w:rPr>
          <w:i/>
        </w:rPr>
      </w:pPr>
      <w:r>
        <w:rPr>
          <w:i/>
        </w:rPr>
        <w:t>Acknowledgements</w:t>
      </w:r>
    </w:p>
    <w:p w14:paraId="359F25EB" w14:textId="557E95DD" w:rsidR="002879E0" w:rsidRDefault="002879E0" w:rsidP="00EB12C8">
      <w:pPr>
        <w:spacing w:line="480" w:lineRule="auto"/>
        <w:rPr>
          <w:i/>
        </w:rPr>
      </w:pPr>
      <w:r>
        <w:rPr>
          <w:i/>
        </w:rPr>
        <w:t xml:space="preserve">This study is </w:t>
      </w:r>
      <w:r w:rsidRPr="002879E0">
        <w:rPr>
          <w:i/>
        </w:rPr>
        <w:t>based on data from the Clinical Practice Research Datalink</w:t>
      </w:r>
      <w:r>
        <w:rPr>
          <w:i/>
        </w:rPr>
        <w:t xml:space="preserve"> (CPRD).</w:t>
      </w:r>
      <w:r w:rsidRPr="002879E0">
        <w:rPr>
          <w:i/>
        </w:rPr>
        <w:t xml:space="preserve"> CPRD is jointly sponsored by the Medicines and Healthcare products Regulatory Agency and the National Institute for Health Research (NIHR), as part of the Department of Health and Social Care.. </w:t>
      </w:r>
      <w:r w:rsidRPr="00AC1DE1">
        <w:t>This work uses data provided by patients and collected by the N</w:t>
      </w:r>
      <w:r>
        <w:t xml:space="preserve">ational </w:t>
      </w:r>
      <w:r w:rsidRPr="00AC1DE1">
        <w:t>H</w:t>
      </w:r>
      <w:r>
        <w:t xml:space="preserve">ealth </w:t>
      </w:r>
      <w:r w:rsidRPr="00AC1DE1">
        <w:t>S</w:t>
      </w:r>
      <w:r>
        <w:t>ervice</w:t>
      </w:r>
      <w:r w:rsidRPr="00AC1DE1">
        <w:t xml:space="preserve"> as part of their care and support</w:t>
      </w:r>
      <w:r>
        <w:rPr>
          <w:i/>
        </w:rPr>
        <w:t xml:space="preserve">. </w:t>
      </w:r>
      <w:r w:rsidRPr="002879E0">
        <w:rPr>
          <w:i/>
        </w:rPr>
        <w:t xml:space="preserve">We would like to acknowledge all the data providers and general </w:t>
      </w:r>
      <w:r>
        <w:rPr>
          <w:i/>
        </w:rPr>
        <w:t>practices that made the anonymis</w:t>
      </w:r>
      <w:r w:rsidRPr="002879E0">
        <w:rPr>
          <w:i/>
        </w:rPr>
        <w:t>ed data available for research.</w:t>
      </w:r>
    </w:p>
    <w:p w14:paraId="35B519B6" w14:textId="7448118E" w:rsidR="000E4C79" w:rsidRPr="00E27F9A" w:rsidRDefault="000E4C79" w:rsidP="000E4C79">
      <w:pPr>
        <w:rPr>
          <w:i/>
        </w:rPr>
      </w:pPr>
      <w:r w:rsidRPr="00E27F9A">
        <w:rPr>
          <w:i/>
        </w:rPr>
        <w:t>Ethic</w:t>
      </w:r>
      <w:r w:rsidR="00A4266C">
        <w:rPr>
          <w:i/>
        </w:rPr>
        <w:t>s</w:t>
      </w:r>
      <w:r w:rsidRPr="00E27F9A">
        <w:rPr>
          <w:i/>
        </w:rPr>
        <w:t xml:space="preserve"> approval</w:t>
      </w:r>
      <w:r w:rsidR="00A4266C">
        <w:rPr>
          <w:i/>
        </w:rPr>
        <w:t xml:space="preserve"> and consent to participate</w:t>
      </w:r>
    </w:p>
    <w:p w14:paraId="7FA8315B" w14:textId="77777777" w:rsidR="000E4C79" w:rsidRDefault="000E4C79" w:rsidP="000E4C79">
      <w:pPr>
        <w:spacing w:after="0" w:line="480" w:lineRule="auto"/>
      </w:pPr>
      <w:r>
        <w:t>Ethical a</w:t>
      </w:r>
      <w:r w:rsidRPr="00496AAA">
        <w:t>pproval</w:t>
      </w:r>
      <w:r>
        <w:t xml:space="preserve"> for this research</w:t>
      </w:r>
      <w:r w:rsidRPr="00496AAA">
        <w:t xml:space="preserve"> was given by the Independent Scientific and Ethical Committee</w:t>
      </w:r>
      <w:r>
        <w:t xml:space="preserve"> (ISAC)</w:t>
      </w:r>
      <w:r w:rsidRPr="00496AAA">
        <w:t xml:space="preserve"> of the CPRD (</w:t>
      </w:r>
      <w:r>
        <w:t xml:space="preserve">reference </w:t>
      </w:r>
      <w:r w:rsidRPr="005244DF">
        <w:t>20_024RA2</w:t>
      </w:r>
      <w:r w:rsidRPr="002B703E">
        <w:t>).</w:t>
      </w:r>
      <w:r>
        <w:t xml:space="preserve"> CPRD obtains annual rolling ethical approval (reference number 05/MRE04/87) and no additional ethical approval was required for this project which meets ISAC requirements. </w:t>
      </w:r>
    </w:p>
    <w:p w14:paraId="543F9EAB" w14:textId="27B6EDE6" w:rsidR="000E4C79" w:rsidRDefault="000E4C79" w:rsidP="000E4C79">
      <w:pPr>
        <w:spacing w:after="0" w:line="480" w:lineRule="auto"/>
        <w:rPr>
          <w:i/>
        </w:rPr>
      </w:pPr>
      <w:r w:rsidRPr="000E4C79">
        <w:rPr>
          <w:i/>
        </w:rPr>
        <w:t>Consent for publication</w:t>
      </w:r>
    </w:p>
    <w:p w14:paraId="0D75F2B0" w14:textId="6565D7B1" w:rsidR="000E4C79" w:rsidRPr="000E4C79" w:rsidRDefault="000E4C79" w:rsidP="000E4C79">
      <w:pPr>
        <w:spacing w:after="0" w:line="480" w:lineRule="auto"/>
        <w:rPr>
          <w:i/>
        </w:rPr>
      </w:pPr>
      <w:r>
        <w:t>Not applicable</w:t>
      </w:r>
    </w:p>
    <w:p w14:paraId="2B75B2D2" w14:textId="77777777" w:rsidR="000E4C79" w:rsidRDefault="000E4C79" w:rsidP="000E4C79">
      <w:pPr>
        <w:spacing w:after="0" w:line="480" w:lineRule="auto"/>
        <w:rPr>
          <w:i/>
        </w:rPr>
      </w:pPr>
      <w:r>
        <w:rPr>
          <w:i/>
        </w:rPr>
        <w:t>Availability of data and materials</w:t>
      </w:r>
    </w:p>
    <w:p w14:paraId="5D59E460" w14:textId="6ABFA735" w:rsidR="000E4C79" w:rsidRPr="00352643" w:rsidRDefault="000E4C79" w:rsidP="000E4C79">
      <w:pPr>
        <w:spacing w:after="0" w:line="480" w:lineRule="auto"/>
      </w:pPr>
      <w:r>
        <w:t>Data from this study is</w:t>
      </w:r>
      <w:r w:rsidRPr="00352643">
        <w:t xml:space="preserve"> not available from the authors. Study data is available through formal request from CPRD. </w:t>
      </w:r>
    </w:p>
    <w:p w14:paraId="7E6DE9F0" w14:textId="77777777" w:rsidR="000E4C79" w:rsidRPr="00476B2A" w:rsidRDefault="000E4C79" w:rsidP="000E4C79">
      <w:pPr>
        <w:spacing w:after="0" w:line="480" w:lineRule="auto"/>
        <w:rPr>
          <w:i/>
        </w:rPr>
      </w:pPr>
      <w:r w:rsidRPr="00476B2A">
        <w:rPr>
          <w:i/>
        </w:rPr>
        <w:t>Competing interests</w:t>
      </w:r>
    </w:p>
    <w:p w14:paraId="59B492E0" w14:textId="77777777" w:rsidR="000E4C79" w:rsidRDefault="000E4C79" w:rsidP="000E4C79">
      <w:pPr>
        <w:spacing w:after="0" w:line="480" w:lineRule="auto"/>
      </w:pPr>
      <w:r w:rsidRPr="00BE3B66">
        <w:t>DH and MIG report grants on the topic of rotavirus vaccines, outside of the submitted work, from GlaxoSmithKline Biologicals, Sanofi Pasteur and Merck and Co (Kenilworth, New Jersey, US) after the closure of Sanofi Pasteur-MSD in December 2016. MIG also reports personal fees for consultancy, outside the submitted work, from GlaxoSmithKline Biologicals. TI and KF have nothing to disclose.</w:t>
      </w:r>
    </w:p>
    <w:p w14:paraId="77F77A64" w14:textId="77777777" w:rsidR="00207B18" w:rsidRPr="005F2ECE" w:rsidRDefault="00207B18" w:rsidP="00207B18">
      <w:pPr>
        <w:spacing w:after="0" w:line="480" w:lineRule="auto"/>
        <w:rPr>
          <w:i/>
        </w:rPr>
      </w:pPr>
      <w:r w:rsidRPr="005F2ECE">
        <w:rPr>
          <w:i/>
        </w:rPr>
        <w:t>Funding</w:t>
      </w:r>
    </w:p>
    <w:p w14:paraId="0741837B" w14:textId="1D42A249" w:rsidR="000F2CA8" w:rsidRDefault="00EB1DB7" w:rsidP="00207B18">
      <w:pPr>
        <w:spacing w:after="0" w:line="480" w:lineRule="auto"/>
      </w:pPr>
      <w:r>
        <w:lastRenderedPageBreak/>
        <w:t>DH</w:t>
      </w:r>
      <w:r w:rsidR="00207B18">
        <w:t xml:space="preserve"> is funded by a National Institute for Health Research (NIHR) Post-doctoral Fellowship for this research project</w:t>
      </w:r>
      <w:r w:rsidR="006F512A">
        <w:t xml:space="preserve"> (</w:t>
      </w:r>
      <w:r w:rsidR="006F512A" w:rsidRPr="006F512A">
        <w:t>PDF-2018-11-ST2-006</w:t>
      </w:r>
      <w:r w:rsidR="006F512A">
        <w:t>)</w:t>
      </w:r>
      <w:r w:rsidR="00207B18">
        <w:t xml:space="preserve">. </w:t>
      </w:r>
      <w:r>
        <w:t>DH, MIG and TI</w:t>
      </w:r>
      <w:r w:rsidR="00207B18">
        <w:t xml:space="preserve"> are affiliated to the National Institute for Health Research Health Protection Research Unit (NIHR HPRU) in Gastrointestinal Infections at University of Liverpool in partnership with Public Health England (PHE), in collaboration with University of Warwick. </w:t>
      </w:r>
      <w:r w:rsidR="006F512A">
        <w:t>DH, MIG</w:t>
      </w:r>
      <w:r w:rsidR="00207B18">
        <w:t xml:space="preserve"> and </w:t>
      </w:r>
      <w:r w:rsidR="006F512A">
        <w:t>TI</w:t>
      </w:r>
      <w:r w:rsidR="00207B18">
        <w:t xml:space="preserve"> are based at the University of Liverpool. The views expressed are those of the author</w:t>
      </w:r>
      <w:r w:rsidR="002879E0">
        <w:t>s</w:t>
      </w:r>
      <w:r w:rsidR="00207B18">
        <w:t xml:space="preserve"> and not necessarily those of the NHS, the NIHR, the Department of Health and Social Care or Public Health England.</w:t>
      </w:r>
      <w:r w:rsidR="000F2CA8">
        <w:t xml:space="preserve"> The study funder had no role in study design, data collection, data analysis, data interpretation, or writing of the report. </w:t>
      </w:r>
    </w:p>
    <w:p w14:paraId="408A6A56" w14:textId="77777777" w:rsidR="000F2CA8" w:rsidRPr="005A4457" w:rsidRDefault="000F2CA8" w:rsidP="000F2CA8">
      <w:pPr>
        <w:spacing w:after="0" w:line="480" w:lineRule="auto"/>
        <w:rPr>
          <w:i/>
        </w:rPr>
      </w:pPr>
      <w:bookmarkStart w:id="14" w:name="_Toc50542552"/>
      <w:r w:rsidRPr="005A4457">
        <w:rPr>
          <w:i/>
        </w:rPr>
        <w:t>Author’s contribution</w:t>
      </w:r>
    </w:p>
    <w:p w14:paraId="191E4753" w14:textId="77777777" w:rsidR="000F2CA8" w:rsidRDefault="000F2CA8" w:rsidP="000F2CA8">
      <w:pPr>
        <w:spacing w:after="0" w:line="480" w:lineRule="auto"/>
      </w:pPr>
      <w:r w:rsidRPr="005A4457">
        <w:t>DH, KF and MIG conceptualised and designed the study and were responsible for supervision. TI, DH, KF were responsible for accessing and verifying the data. TI was responsible visualisation, formal analysis and for writing the original draft. All authors reviewed and edited the manuscript.</w:t>
      </w:r>
    </w:p>
    <w:bookmarkEnd w:id="14"/>
    <w:p w14:paraId="2B96D4D5" w14:textId="77777777" w:rsidR="00EF5600" w:rsidRDefault="00EF5600" w:rsidP="00F70E69">
      <w:pPr>
        <w:spacing w:after="0" w:line="480" w:lineRule="auto"/>
        <w:rPr>
          <w:rFonts w:cstheme="minorHAnsi"/>
          <w:b/>
        </w:rPr>
      </w:pPr>
    </w:p>
    <w:p w14:paraId="7F338C77" w14:textId="77777777" w:rsidR="00963CDA" w:rsidRPr="00F02A85" w:rsidRDefault="00055E48" w:rsidP="00F70E69">
      <w:pPr>
        <w:spacing w:after="0" w:line="480" w:lineRule="auto"/>
        <w:rPr>
          <w:rFonts w:cstheme="minorHAnsi"/>
          <w:b/>
        </w:rPr>
      </w:pPr>
      <w:r w:rsidRPr="00F02A85">
        <w:rPr>
          <w:rFonts w:cstheme="minorHAnsi"/>
          <w:b/>
        </w:rPr>
        <w:t>R</w:t>
      </w:r>
      <w:r w:rsidR="000600CD" w:rsidRPr="00F02A85">
        <w:rPr>
          <w:rFonts w:cstheme="minorHAnsi"/>
          <w:b/>
        </w:rPr>
        <w:t>eferences</w:t>
      </w:r>
    </w:p>
    <w:p w14:paraId="5CF3B5F8" w14:textId="77777777" w:rsidR="001B04AA" w:rsidRPr="001B04AA" w:rsidRDefault="007861D0" w:rsidP="001B04AA">
      <w:pPr>
        <w:pStyle w:val="Bibliography"/>
        <w:rPr>
          <w:rFonts w:ascii="Calibri" w:hAnsi="Calibri" w:cs="Calibri"/>
        </w:rPr>
      </w:pPr>
      <w:r>
        <w:fldChar w:fldCharType="begin"/>
      </w:r>
      <w:r w:rsidR="001B04AA">
        <w:instrText xml:space="preserve"> ADDIN ZOTERO_BIBL {"uncited":[],"omitted":[],"custom":[]} CSL_BIBLIOGRAPHY </w:instrText>
      </w:r>
      <w:r>
        <w:fldChar w:fldCharType="separate"/>
      </w:r>
      <w:r w:rsidR="001B04AA" w:rsidRPr="001B04AA">
        <w:rPr>
          <w:rFonts w:ascii="Calibri" w:hAnsi="Calibri" w:cs="Calibri"/>
        </w:rPr>
        <w:t>1. Singh P, Arora A, Strand TA, Leffler DA, Catassi C, Green PH, et al. Global Prevalence of Celiac Disease: Systematic Review and Meta-analysis. Clin Gastroenterol Hepatol. 2018;16:823-836.e2.</w:t>
      </w:r>
    </w:p>
    <w:p w14:paraId="0C98E588" w14:textId="77777777" w:rsidR="001B04AA" w:rsidRPr="001B04AA" w:rsidRDefault="001B04AA" w:rsidP="001B04AA">
      <w:pPr>
        <w:pStyle w:val="Bibliography"/>
        <w:rPr>
          <w:rFonts w:ascii="Calibri" w:hAnsi="Calibri" w:cs="Calibri"/>
        </w:rPr>
      </w:pPr>
      <w:r w:rsidRPr="001B04AA">
        <w:rPr>
          <w:rFonts w:ascii="Calibri" w:hAnsi="Calibri" w:cs="Calibri"/>
        </w:rPr>
        <w:t>2. West J, Fleming KM, Tata LJ, Card TR, Crooks CJ. Incidence and prevalence of celiac disease and dermatitis herpetiformis in the UK over two decades: population-based study. Am J Gastroenterol. 2014;109:757–68.</w:t>
      </w:r>
    </w:p>
    <w:p w14:paraId="60AA3E3D" w14:textId="77777777" w:rsidR="001B04AA" w:rsidRPr="001B04AA" w:rsidRDefault="001B04AA" w:rsidP="001B04AA">
      <w:pPr>
        <w:pStyle w:val="Bibliography"/>
        <w:rPr>
          <w:rFonts w:ascii="Calibri" w:hAnsi="Calibri" w:cs="Calibri"/>
        </w:rPr>
      </w:pPr>
      <w:r w:rsidRPr="001B04AA">
        <w:rPr>
          <w:rFonts w:ascii="Calibri" w:hAnsi="Calibri" w:cs="Calibri"/>
        </w:rPr>
        <w:t>3. Katsarou A, Gudbjörnsdottir S, Rawshani A, Dabelea D, Bonifacio E, Anderson BJ, et al. Type 1 diabetes mellitus. Nat Rev Dis Primer. 2017;3:1–17.</w:t>
      </w:r>
    </w:p>
    <w:p w14:paraId="7E228DF6" w14:textId="77777777" w:rsidR="001B04AA" w:rsidRPr="001B04AA" w:rsidRDefault="001B04AA" w:rsidP="001B04AA">
      <w:pPr>
        <w:pStyle w:val="Bibliography"/>
        <w:rPr>
          <w:rFonts w:ascii="Calibri" w:hAnsi="Calibri" w:cs="Calibri"/>
        </w:rPr>
      </w:pPr>
      <w:r w:rsidRPr="001B04AA">
        <w:rPr>
          <w:rFonts w:ascii="Calibri" w:hAnsi="Calibri" w:cs="Calibri"/>
        </w:rPr>
        <w:t>4. National Paediatric Diabetes Audit. National Paediatric Diabetes Audit Annual Report 2018-19. 2020. https://www.rcpch.ac.uk/sites/default/files/2020-03/final_npda_core_report_2018-2019.pdf. Accessed 22 Jan 2021.</w:t>
      </w:r>
    </w:p>
    <w:p w14:paraId="0EAD147A" w14:textId="77777777" w:rsidR="001B04AA" w:rsidRPr="001B04AA" w:rsidRDefault="001B04AA" w:rsidP="001B04AA">
      <w:pPr>
        <w:pStyle w:val="Bibliography"/>
        <w:rPr>
          <w:rFonts w:ascii="Calibri" w:hAnsi="Calibri" w:cs="Calibri"/>
        </w:rPr>
      </w:pPr>
      <w:r w:rsidRPr="001B04AA">
        <w:rPr>
          <w:rFonts w:ascii="Calibri" w:hAnsi="Calibri" w:cs="Calibri"/>
        </w:rPr>
        <w:t>5. National Institute for Health and Care Excellence. Type 1 diabetes in adults: diagnosis and management [NG17]. 2015. https://www.nice.org.uk/guidance/ng17/evidence/full-guideline-pdf-435400241. Accessed 29 Apr 2021.</w:t>
      </w:r>
    </w:p>
    <w:p w14:paraId="20F73469" w14:textId="77777777" w:rsidR="001B04AA" w:rsidRPr="001B04AA" w:rsidRDefault="001B04AA" w:rsidP="001B04AA">
      <w:pPr>
        <w:pStyle w:val="Bibliography"/>
        <w:rPr>
          <w:rFonts w:ascii="Calibri" w:hAnsi="Calibri" w:cs="Calibri"/>
        </w:rPr>
      </w:pPr>
      <w:r w:rsidRPr="001B04AA">
        <w:rPr>
          <w:rFonts w:ascii="Calibri" w:hAnsi="Calibri" w:cs="Calibri"/>
        </w:rPr>
        <w:t>6. Stene LC, Honeyman MC, Hoffenberg EJ, Haas JE, Sokol RJ, Emery L, et al. Rotavirus infection frequency and risk of celiac disease autoimmunity in early childhood: a longitudinal study. Am J Gastroenterol. 2006;101:2333–40.</w:t>
      </w:r>
    </w:p>
    <w:p w14:paraId="46A25A70" w14:textId="77777777" w:rsidR="001B04AA" w:rsidRPr="001B04AA" w:rsidRDefault="001B04AA" w:rsidP="001B04AA">
      <w:pPr>
        <w:pStyle w:val="Bibliography"/>
        <w:rPr>
          <w:rFonts w:ascii="Calibri" w:hAnsi="Calibri" w:cs="Calibri"/>
        </w:rPr>
      </w:pPr>
      <w:r w:rsidRPr="001B04AA">
        <w:rPr>
          <w:rFonts w:ascii="Calibri" w:hAnsi="Calibri" w:cs="Calibri"/>
        </w:rPr>
        <w:lastRenderedPageBreak/>
        <w:t>7. Zanoni G, Navone R, Lunardi C, Tridente G, Bason C, Sivori S, et al. In celiac disease, a subset of autoantibodies against transglutaminase binds toll-like receptor 4 and induces activation of monocytes. PLoS Med. 2006;3:e358.</w:t>
      </w:r>
    </w:p>
    <w:p w14:paraId="5D7460AA" w14:textId="77777777" w:rsidR="001B04AA" w:rsidRPr="001B04AA" w:rsidRDefault="001B04AA" w:rsidP="001B04AA">
      <w:pPr>
        <w:pStyle w:val="Bibliography"/>
        <w:rPr>
          <w:rFonts w:ascii="Calibri" w:hAnsi="Calibri" w:cs="Calibri"/>
        </w:rPr>
      </w:pPr>
      <w:r w:rsidRPr="001B04AA">
        <w:rPr>
          <w:rFonts w:ascii="Calibri" w:hAnsi="Calibri" w:cs="Calibri"/>
        </w:rPr>
        <w:t>8. Pane JA, Webster NL, Zufferey C, Coulson BS. Rotavirus acceleration of murine type 1 diabetes is associated with increased MHC class I-restricted antigen presentation by B cells and elevated proinflammatory cytokine expression by T cells. Virus Res. 2014;179:73–84.</w:t>
      </w:r>
    </w:p>
    <w:p w14:paraId="54AD3BC3" w14:textId="77777777" w:rsidR="001B04AA" w:rsidRPr="001B04AA" w:rsidRDefault="001B04AA" w:rsidP="001B04AA">
      <w:pPr>
        <w:pStyle w:val="Bibliography"/>
        <w:rPr>
          <w:rFonts w:ascii="Calibri" w:hAnsi="Calibri" w:cs="Calibri"/>
        </w:rPr>
      </w:pPr>
      <w:r w:rsidRPr="001B04AA">
        <w:rPr>
          <w:rFonts w:ascii="Calibri" w:hAnsi="Calibri" w:cs="Calibri"/>
        </w:rPr>
        <w:t>9. Honeyman MC, Coulson BS, Stone NL, Gellert SA, Goldwater PN, Steele CE, et al. Association between rotavirus infection and pancreatic islet autoimmunity in children at risk of developing type 1 diabetes. Diabetes. 2000;49:1319–24.</w:t>
      </w:r>
    </w:p>
    <w:p w14:paraId="14DA9829" w14:textId="77777777" w:rsidR="001B04AA" w:rsidRPr="001B04AA" w:rsidRDefault="001B04AA" w:rsidP="001B04AA">
      <w:pPr>
        <w:pStyle w:val="Bibliography"/>
        <w:rPr>
          <w:rFonts w:ascii="Calibri" w:hAnsi="Calibri" w:cs="Calibri"/>
        </w:rPr>
      </w:pPr>
      <w:r w:rsidRPr="001B04AA">
        <w:rPr>
          <w:rFonts w:ascii="Calibri" w:hAnsi="Calibri" w:cs="Calibri"/>
        </w:rPr>
        <w:t>10. Snell-Bergeon JK, Smith J, Dong F, Barón AE, Barriga K, Norris JM, et al. Early Childhood Infections and the Risk of Islet Autoimmunity: The Diabetes Autoimmunity Study in the Young (DAISY). Diabetes Care. 2012;35:2553–8.</w:t>
      </w:r>
    </w:p>
    <w:p w14:paraId="210C1B16" w14:textId="77777777" w:rsidR="001B04AA" w:rsidRPr="001B04AA" w:rsidRDefault="001B04AA" w:rsidP="001B04AA">
      <w:pPr>
        <w:pStyle w:val="Bibliography"/>
        <w:rPr>
          <w:rFonts w:ascii="Calibri" w:hAnsi="Calibri" w:cs="Calibri"/>
        </w:rPr>
      </w:pPr>
      <w:r w:rsidRPr="001B04AA">
        <w:rPr>
          <w:rFonts w:ascii="Calibri" w:hAnsi="Calibri" w:cs="Calibri"/>
        </w:rPr>
        <w:t>11. Iturriza-Gómara M, Cunliffe N. Rotavirus vaccine: a welcome addition to the immunisation schedule in the UK. BMJ. 2013;346:f2347.</w:t>
      </w:r>
    </w:p>
    <w:p w14:paraId="6877EBB0" w14:textId="77777777" w:rsidR="001B04AA" w:rsidRPr="001B04AA" w:rsidRDefault="001B04AA" w:rsidP="001B04AA">
      <w:pPr>
        <w:pStyle w:val="Bibliography"/>
        <w:rPr>
          <w:rFonts w:ascii="Calibri" w:hAnsi="Calibri" w:cs="Calibri"/>
        </w:rPr>
      </w:pPr>
      <w:r w:rsidRPr="001B04AA">
        <w:rPr>
          <w:rFonts w:ascii="Calibri" w:hAnsi="Calibri" w:cs="Calibri"/>
        </w:rPr>
        <w:t>12. NHS Digital. Childhood Vaccination Coverage Statistics 2019-20. 2020. https://digital.nhs.uk/data-and-information/publications/statistical/nhs-immunisation-statistics/england---2019-20. Accessed 21 Jan 2021.</w:t>
      </w:r>
    </w:p>
    <w:p w14:paraId="5B99B0D4" w14:textId="77777777" w:rsidR="001B04AA" w:rsidRPr="001B04AA" w:rsidRDefault="001B04AA" w:rsidP="001B04AA">
      <w:pPr>
        <w:pStyle w:val="Bibliography"/>
        <w:rPr>
          <w:rFonts w:ascii="Calibri" w:hAnsi="Calibri" w:cs="Calibri"/>
        </w:rPr>
      </w:pPr>
      <w:r w:rsidRPr="001B04AA">
        <w:rPr>
          <w:rFonts w:ascii="Calibri" w:hAnsi="Calibri" w:cs="Calibri"/>
        </w:rPr>
        <w:t>13. Atchison CJ, Stowe J, Andrews N, Collins S, Allen DJ, Nawaz S, et al. Rapid Declines in Age Group–Specific Rotavirus Infection and Acute Gastroenteritis Among Vaccinated and Unvaccinated Individuals Within 1 Year of Rotavirus Vaccine Introduction in England and Wales. J Infect Dis. 2016;213:243–9.</w:t>
      </w:r>
    </w:p>
    <w:p w14:paraId="32219274" w14:textId="77777777" w:rsidR="001B04AA" w:rsidRPr="001B04AA" w:rsidRDefault="001B04AA" w:rsidP="001B04AA">
      <w:pPr>
        <w:pStyle w:val="Bibliography"/>
        <w:rPr>
          <w:rFonts w:ascii="Calibri" w:hAnsi="Calibri" w:cs="Calibri"/>
        </w:rPr>
      </w:pPr>
      <w:r w:rsidRPr="001B04AA">
        <w:rPr>
          <w:rFonts w:ascii="Calibri" w:hAnsi="Calibri" w:cs="Calibri"/>
        </w:rPr>
        <w:t>14. Hungerford D, Vivancos R, Read JM, Iturriza-Gόmara M, French N, Cunliffe NA. Rotavirus vaccine impact and socioeconomic deprivation: an interrupted time-series analysis of gastrointestinal disease outcomes across primary and secondary care in the UK. BMC Med. 2018;16:10.</w:t>
      </w:r>
    </w:p>
    <w:p w14:paraId="4CFC3306" w14:textId="77777777" w:rsidR="001B04AA" w:rsidRPr="001B04AA" w:rsidRDefault="001B04AA" w:rsidP="001B04AA">
      <w:pPr>
        <w:pStyle w:val="Bibliography"/>
        <w:rPr>
          <w:rFonts w:ascii="Calibri" w:hAnsi="Calibri" w:cs="Calibri"/>
        </w:rPr>
      </w:pPr>
      <w:r w:rsidRPr="001B04AA">
        <w:rPr>
          <w:rFonts w:ascii="Calibri" w:hAnsi="Calibri" w:cs="Calibri"/>
        </w:rPr>
        <w:t>15. Hungerford DJ, French N, Iturriza-Gómara M, Read JM, Cunliffe NA, Vivancos R. Reduction in hospitalisations for acute gastroenteritis-associated childhood seizures since introduction of rotavirus vaccination: a time-series and change-point analysis of hospital admissions in England. J Epidemiol Community Health. 2019;73:1020–5.</w:t>
      </w:r>
    </w:p>
    <w:p w14:paraId="023E4094" w14:textId="77777777" w:rsidR="001B04AA" w:rsidRPr="001B04AA" w:rsidRDefault="001B04AA" w:rsidP="001B04AA">
      <w:pPr>
        <w:pStyle w:val="Bibliography"/>
        <w:rPr>
          <w:rFonts w:ascii="Calibri" w:hAnsi="Calibri" w:cs="Calibri"/>
        </w:rPr>
      </w:pPr>
      <w:r w:rsidRPr="001B04AA">
        <w:rPr>
          <w:rFonts w:ascii="Calibri" w:hAnsi="Calibri" w:cs="Calibri"/>
        </w:rPr>
        <w:t>16. Inns T, Fleming KM, Iturriza-Gomara M, Hungerford D. Systematic review of the association between rotavirus infection, or rotavirus vaccination and coeliac disease. medRxiv. 2020;:2020.12.01.20241869.</w:t>
      </w:r>
    </w:p>
    <w:p w14:paraId="2940279D" w14:textId="77777777" w:rsidR="001B04AA" w:rsidRPr="001B04AA" w:rsidRDefault="001B04AA" w:rsidP="001B04AA">
      <w:pPr>
        <w:pStyle w:val="Bibliography"/>
        <w:rPr>
          <w:rFonts w:ascii="Calibri" w:hAnsi="Calibri" w:cs="Calibri"/>
        </w:rPr>
      </w:pPr>
      <w:r w:rsidRPr="001B04AA">
        <w:rPr>
          <w:rFonts w:ascii="Calibri" w:hAnsi="Calibri" w:cs="Calibri"/>
        </w:rPr>
        <w:t>17. Burke RM, Tate JE, Jiang B, Parashar UD. Rotavirus and Type 1 Diabetes—Is There a Connection? A Synthesis of the Evidence. J Infect Dis. 2020;222:1076–83.</w:t>
      </w:r>
    </w:p>
    <w:p w14:paraId="1D3C6E35" w14:textId="77777777" w:rsidR="001B04AA" w:rsidRPr="001B04AA" w:rsidRDefault="001B04AA" w:rsidP="001B04AA">
      <w:pPr>
        <w:pStyle w:val="Bibliography"/>
        <w:rPr>
          <w:rFonts w:ascii="Calibri" w:hAnsi="Calibri" w:cs="Calibri"/>
        </w:rPr>
      </w:pPr>
      <w:r w:rsidRPr="001B04AA">
        <w:rPr>
          <w:rFonts w:ascii="Calibri" w:hAnsi="Calibri" w:cs="Calibri"/>
        </w:rPr>
        <w:t>18. Herrett E, Gallagher AM, Bhaskaran K, Forbes H, Mathur R, Van Staa T, et al. Data resource profile: clinical practice research datalink (CPRD). Int J Epidemiol. 2015;44:827–36.</w:t>
      </w:r>
    </w:p>
    <w:p w14:paraId="325CAC44" w14:textId="77777777" w:rsidR="001B04AA" w:rsidRPr="001B04AA" w:rsidRDefault="001B04AA" w:rsidP="001B04AA">
      <w:pPr>
        <w:pStyle w:val="Bibliography"/>
        <w:rPr>
          <w:rFonts w:ascii="Calibri" w:hAnsi="Calibri" w:cs="Calibri"/>
        </w:rPr>
      </w:pPr>
      <w:r w:rsidRPr="001B04AA">
        <w:rPr>
          <w:rFonts w:ascii="Calibri" w:hAnsi="Calibri" w:cs="Calibri"/>
        </w:rPr>
        <w:t>19. Wolf A, Dedman D, Campbell J, Booth H, Lunn D, Chapman J, et al. Data resource profile: Clinical Practice Research Datalink (CPRD) Aurum. Int J Epidemiol. 2019;48:1740–1740g.</w:t>
      </w:r>
    </w:p>
    <w:p w14:paraId="28496B58" w14:textId="77777777" w:rsidR="001B04AA" w:rsidRPr="001B04AA" w:rsidRDefault="001B04AA" w:rsidP="001B04AA">
      <w:pPr>
        <w:pStyle w:val="Bibliography"/>
        <w:rPr>
          <w:rFonts w:ascii="Calibri" w:hAnsi="Calibri" w:cs="Calibri"/>
        </w:rPr>
      </w:pPr>
      <w:r w:rsidRPr="001B04AA">
        <w:rPr>
          <w:rFonts w:ascii="Calibri" w:hAnsi="Calibri" w:cs="Calibri"/>
        </w:rPr>
        <w:t>20. Hungerford D, Vivancos R, Read JM, Bonnett LJ, Bar-Zeev N, Iturriza-Gómara M, et al. Mitigating bias in observational vaccine effectiveness studies using simulated comparator populations: Application to rotavirus vaccination in the UK. Vaccine. 2018;36:6674–82.</w:t>
      </w:r>
    </w:p>
    <w:p w14:paraId="23A7E31E" w14:textId="77777777" w:rsidR="001B04AA" w:rsidRPr="001B04AA" w:rsidRDefault="001B04AA" w:rsidP="001B04AA">
      <w:pPr>
        <w:pStyle w:val="Bibliography"/>
        <w:rPr>
          <w:rFonts w:ascii="Calibri" w:hAnsi="Calibri" w:cs="Calibri"/>
        </w:rPr>
      </w:pPr>
      <w:r w:rsidRPr="001B04AA">
        <w:rPr>
          <w:rFonts w:ascii="Calibri" w:hAnsi="Calibri" w:cs="Calibri"/>
        </w:rPr>
        <w:lastRenderedPageBreak/>
        <w:t>21. Panozzo CA, Becker-Dreps S, Pate V, Weber DJ, Jonsson Funk M, Stürmer T, et al. Direct, Indirect, Total, and Overall Effectiveness of the Rotavirus Vaccines for the Prevention of Gastroenteritis Hospitalizations in Privately Insured US Children, 2007-2010. Am J Epidemiol. 2014;179:895–909.</w:t>
      </w:r>
    </w:p>
    <w:p w14:paraId="7AC0A8B2" w14:textId="77777777" w:rsidR="001B04AA" w:rsidRPr="001B04AA" w:rsidRDefault="001B04AA" w:rsidP="001B04AA">
      <w:pPr>
        <w:pStyle w:val="Bibliography"/>
        <w:rPr>
          <w:rFonts w:ascii="Calibri" w:hAnsi="Calibri" w:cs="Calibri"/>
        </w:rPr>
      </w:pPr>
      <w:r w:rsidRPr="001B04AA">
        <w:rPr>
          <w:rFonts w:ascii="Calibri" w:hAnsi="Calibri" w:cs="Calibri"/>
        </w:rPr>
        <w:t>22. Violato M, Gray A, Papanicolas I, Ouellet M. Resource Use and Costs Associated with Coeliac Disease before and after Diagnosis in 3,646 Cases: Results of a UK Primary Care Database Analysis. PLOS ONE. 2012;7:e41308.</w:t>
      </w:r>
    </w:p>
    <w:p w14:paraId="4C14BAB6" w14:textId="77777777" w:rsidR="001B04AA" w:rsidRPr="001B04AA" w:rsidRDefault="001B04AA" w:rsidP="001B04AA">
      <w:pPr>
        <w:pStyle w:val="Bibliography"/>
        <w:rPr>
          <w:rFonts w:ascii="Calibri" w:hAnsi="Calibri" w:cs="Calibri"/>
        </w:rPr>
      </w:pPr>
      <w:r w:rsidRPr="001B04AA">
        <w:rPr>
          <w:rFonts w:ascii="Calibri" w:hAnsi="Calibri" w:cs="Calibri"/>
        </w:rPr>
        <w:t>23. Kuan V, Denaxas S, Gonzalez-Izquierdo A, Direk K, Bhatti O, Husain S, et al. A chronological map of 308 physical and mental health conditions from 4 million individuals in the English National Health Service. Lancet Digit Health. 2019;1:e63–77.</w:t>
      </w:r>
    </w:p>
    <w:p w14:paraId="524BB04F" w14:textId="77777777" w:rsidR="001B04AA" w:rsidRPr="001B04AA" w:rsidRDefault="001B04AA" w:rsidP="001B04AA">
      <w:pPr>
        <w:pStyle w:val="Bibliography"/>
        <w:rPr>
          <w:rFonts w:ascii="Calibri" w:hAnsi="Calibri" w:cs="Calibri"/>
        </w:rPr>
      </w:pPr>
      <w:r w:rsidRPr="001B04AA">
        <w:rPr>
          <w:rFonts w:ascii="Calibri" w:hAnsi="Calibri" w:cs="Calibri"/>
        </w:rPr>
        <w:t>24. Inns T. Codes used to extract coeliac disease, type I diabetes, rotavirus vaccination and DTP vaccination from CPRD Aurum. 2020. doi:10.5281/zenodo.4431770.</w:t>
      </w:r>
    </w:p>
    <w:p w14:paraId="3CB79885" w14:textId="77777777" w:rsidR="001B04AA" w:rsidRPr="001B04AA" w:rsidRDefault="001B04AA" w:rsidP="001B04AA">
      <w:pPr>
        <w:pStyle w:val="Bibliography"/>
        <w:rPr>
          <w:rFonts w:ascii="Calibri" w:hAnsi="Calibri" w:cs="Calibri"/>
        </w:rPr>
      </w:pPr>
      <w:r w:rsidRPr="001B04AA">
        <w:rPr>
          <w:rFonts w:ascii="Calibri" w:hAnsi="Calibri" w:cs="Calibri"/>
        </w:rPr>
        <w:t>25. Hemming-Harlo M, Lähdeaho M-L, Mäki M, Vesikari T. Rotavirus Vaccination Does Not Increase Type 1 Diabetes and May Decrease Celiac Disease in Children and Adolescents. Pediatr Infect Dis J. 2019;38:539–41.</w:t>
      </w:r>
    </w:p>
    <w:p w14:paraId="6A630DA4" w14:textId="77777777" w:rsidR="001B04AA" w:rsidRPr="001B04AA" w:rsidRDefault="001B04AA" w:rsidP="001B04AA">
      <w:pPr>
        <w:pStyle w:val="Bibliography"/>
        <w:rPr>
          <w:rFonts w:ascii="Calibri" w:hAnsi="Calibri" w:cs="Calibri"/>
        </w:rPr>
      </w:pPr>
      <w:r w:rsidRPr="001B04AA">
        <w:rPr>
          <w:rFonts w:ascii="Calibri" w:hAnsi="Calibri" w:cs="Calibri"/>
        </w:rPr>
        <w:t>26. Murch S, Jenkins H, Auth M, Bremner R, Butt A, France S, et al. Joint BSPGHAN and Coeliac UK guidelines for the diagnosis and management of coeliac disease in children. Arch Dis Child. 2013;98:806–11.</w:t>
      </w:r>
    </w:p>
    <w:p w14:paraId="750F38EC" w14:textId="77777777" w:rsidR="001B04AA" w:rsidRPr="001B04AA" w:rsidRDefault="001B04AA" w:rsidP="001B04AA">
      <w:pPr>
        <w:pStyle w:val="Bibliography"/>
        <w:rPr>
          <w:rFonts w:ascii="Calibri" w:hAnsi="Calibri" w:cs="Calibri"/>
        </w:rPr>
      </w:pPr>
      <w:r w:rsidRPr="001B04AA">
        <w:rPr>
          <w:rFonts w:ascii="Calibri" w:hAnsi="Calibri" w:cs="Calibri"/>
        </w:rPr>
        <w:t>27. Zingone F, West J, Crooks CJ, Fleming KM, Card TR, Ciacci C, et al. Socioeconomic variation in the incidence of childhood coeliac disease in the UK. Arch Dis Child. 2015;100:466–73.</w:t>
      </w:r>
    </w:p>
    <w:p w14:paraId="6407A899" w14:textId="77777777" w:rsidR="001B04AA" w:rsidRPr="001B04AA" w:rsidRDefault="001B04AA" w:rsidP="001B04AA">
      <w:pPr>
        <w:pStyle w:val="Bibliography"/>
        <w:rPr>
          <w:rFonts w:ascii="Calibri" w:hAnsi="Calibri" w:cs="Calibri"/>
        </w:rPr>
      </w:pPr>
      <w:r w:rsidRPr="001B04AA">
        <w:rPr>
          <w:rFonts w:ascii="Calibri" w:hAnsi="Calibri" w:cs="Calibri"/>
        </w:rPr>
        <w:t>28. Therneau TM. coxme: Mixed Effects Cox Models. 2020. https://CRAN.R-project.org/package=coxme. Accessed 23 Jul 2020.</w:t>
      </w:r>
    </w:p>
    <w:p w14:paraId="14DBE0F5" w14:textId="77777777" w:rsidR="001B04AA" w:rsidRPr="001B04AA" w:rsidRDefault="001B04AA" w:rsidP="001B04AA">
      <w:pPr>
        <w:pStyle w:val="Bibliography"/>
        <w:rPr>
          <w:rFonts w:ascii="Calibri" w:hAnsi="Calibri" w:cs="Calibri"/>
        </w:rPr>
      </w:pPr>
      <w:r w:rsidRPr="001B04AA">
        <w:rPr>
          <w:rFonts w:ascii="Calibri" w:hAnsi="Calibri" w:cs="Calibri"/>
        </w:rPr>
        <w:t>29. Therneau TM, Grambsch PM. The Cox model. In: Modeling survival data: extending the Cox model. Springer; 2000. p. 39–77.</w:t>
      </w:r>
    </w:p>
    <w:p w14:paraId="5251D5A5" w14:textId="77777777" w:rsidR="001B04AA" w:rsidRPr="001B04AA" w:rsidRDefault="001B04AA" w:rsidP="001B04AA">
      <w:pPr>
        <w:pStyle w:val="Bibliography"/>
        <w:rPr>
          <w:rFonts w:ascii="Calibri" w:hAnsi="Calibri" w:cs="Calibri"/>
        </w:rPr>
      </w:pPr>
      <w:r w:rsidRPr="001B04AA">
        <w:rPr>
          <w:rFonts w:ascii="Calibri" w:hAnsi="Calibri" w:cs="Calibri"/>
        </w:rPr>
        <w:t>30. Kemppainen KM, Lynch KF, Liu E, Lönnrot M, Simell V, Briese T, et al. Factors That Increase Risk of Celiac Disease Autoimmunity After a Gastrointestinal Infection in Early Life. Clin Gastroenterol Hepatol. 2017;15:694-702.e5.</w:t>
      </w:r>
    </w:p>
    <w:p w14:paraId="287DEF16" w14:textId="77777777" w:rsidR="001B04AA" w:rsidRPr="001B04AA" w:rsidRDefault="001B04AA" w:rsidP="001B04AA">
      <w:pPr>
        <w:pStyle w:val="Bibliography"/>
        <w:rPr>
          <w:rFonts w:ascii="Calibri" w:hAnsi="Calibri" w:cs="Calibri"/>
        </w:rPr>
      </w:pPr>
      <w:r w:rsidRPr="001B04AA">
        <w:rPr>
          <w:rFonts w:ascii="Calibri" w:hAnsi="Calibri" w:cs="Calibri"/>
        </w:rPr>
        <w:t>31. Vaarala O, Jokinen J, Lahdenkari M, Leino T. Rotavirus Vaccination and the Risk of Celiac Disease or Type 1 Diabetes in Finnish Children at Early Life. Pediatr Infect Dis J. 2017;36:674–5.</w:t>
      </w:r>
    </w:p>
    <w:p w14:paraId="0249F829" w14:textId="77777777" w:rsidR="001B04AA" w:rsidRPr="001B04AA" w:rsidRDefault="001B04AA" w:rsidP="001B04AA">
      <w:pPr>
        <w:pStyle w:val="Bibliography"/>
        <w:rPr>
          <w:rFonts w:ascii="Calibri" w:hAnsi="Calibri" w:cs="Calibri"/>
        </w:rPr>
      </w:pPr>
      <w:r w:rsidRPr="001B04AA">
        <w:rPr>
          <w:rFonts w:ascii="Calibri" w:hAnsi="Calibri" w:cs="Calibri"/>
        </w:rPr>
        <w:t>32. Perrett KP, Jachno K, Nolan TM, Harrison LC. Association of Rotavirus Vaccination With the Incidence of Type 1 Diabetes in Children. JAMA Pediatr. 2019;173:280–2.</w:t>
      </w:r>
    </w:p>
    <w:p w14:paraId="6AC1F636" w14:textId="77777777" w:rsidR="001B04AA" w:rsidRPr="001B04AA" w:rsidRDefault="001B04AA" w:rsidP="001B04AA">
      <w:pPr>
        <w:pStyle w:val="Bibliography"/>
        <w:rPr>
          <w:rFonts w:ascii="Calibri" w:hAnsi="Calibri" w:cs="Calibri"/>
        </w:rPr>
      </w:pPr>
      <w:r w:rsidRPr="001B04AA">
        <w:rPr>
          <w:rFonts w:ascii="Calibri" w:hAnsi="Calibri" w:cs="Calibri"/>
        </w:rPr>
        <w:t>33. Rogers MAM, Basu T, Kim C. Lower Incidence Rate of Type 1 Diabetes after Receipt of the Rotavirus Vaccine in the United States, 2001–2017. Sci Rep. 2019;9:7727.</w:t>
      </w:r>
    </w:p>
    <w:p w14:paraId="2E0F741A" w14:textId="77777777" w:rsidR="001B04AA" w:rsidRPr="001B04AA" w:rsidRDefault="001B04AA" w:rsidP="001B04AA">
      <w:pPr>
        <w:pStyle w:val="Bibliography"/>
        <w:rPr>
          <w:rFonts w:ascii="Calibri" w:hAnsi="Calibri" w:cs="Calibri"/>
        </w:rPr>
      </w:pPr>
      <w:r w:rsidRPr="001B04AA">
        <w:rPr>
          <w:rFonts w:ascii="Calibri" w:hAnsi="Calibri" w:cs="Calibri"/>
        </w:rPr>
        <w:t>34. Glanz JM, Clarke CL, Xu S, Daley MF, Shoup JA, Schroeder EB, et al. Association Between Rotavirus Vaccination and Type 1 Diabetes in Children. JAMA Pediatr. 2020;174:455–62.</w:t>
      </w:r>
    </w:p>
    <w:p w14:paraId="21E5C4F1" w14:textId="77777777" w:rsidR="001B04AA" w:rsidRPr="001B04AA" w:rsidRDefault="001B04AA" w:rsidP="001B04AA">
      <w:pPr>
        <w:pStyle w:val="Bibliography"/>
        <w:rPr>
          <w:rFonts w:ascii="Calibri" w:hAnsi="Calibri" w:cs="Calibri"/>
        </w:rPr>
      </w:pPr>
      <w:r w:rsidRPr="001B04AA">
        <w:rPr>
          <w:rFonts w:ascii="Calibri" w:hAnsi="Calibri" w:cs="Calibri"/>
        </w:rPr>
        <w:t>35. Burke RM, Tate JE, Dahl RM, Saydah S, Imperatore G, Gregg EW, et al. Rotavirus Vaccination and Type 1 Diabetes Risk Among US Children With Commercial Insurance. JAMA Pediatr. 2020;174:383–5.</w:t>
      </w:r>
    </w:p>
    <w:p w14:paraId="06C10D92" w14:textId="77777777" w:rsidR="001B04AA" w:rsidRPr="001B04AA" w:rsidRDefault="001B04AA" w:rsidP="001B04AA">
      <w:pPr>
        <w:pStyle w:val="Bibliography"/>
        <w:rPr>
          <w:rFonts w:ascii="Calibri" w:hAnsi="Calibri" w:cs="Calibri"/>
        </w:rPr>
      </w:pPr>
      <w:r w:rsidRPr="001B04AA">
        <w:rPr>
          <w:rFonts w:ascii="Calibri" w:hAnsi="Calibri" w:cs="Calibri"/>
        </w:rPr>
        <w:lastRenderedPageBreak/>
        <w:t>36. Payne DC, Baggs J, Zerr DM, Klein NP, Yih K, Glanz J, et al. Protective Association Between Rotavirus Vaccination and Childhood Seizures in the Year Following Vaccination in US Children. Clin Infect Dis. 2014;58:173–7.</w:t>
      </w:r>
    </w:p>
    <w:p w14:paraId="37326079" w14:textId="77777777" w:rsidR="001B04AA" w:rsidRPr="001B04AA" w:rsidRDefault="001B04AA" w:rsidP="001B04AA">
      <w:pPr>
        <w:pStyle w:val="Bibliography"/>
        <w:rPr>
          <w:rFonts w:ascii="Calibri" w:hAnsi="Calibri" w:cs="Calibri"/>
        </w:rPr>
      </w:pPr>
      <w:r w:rsidRPr="001B04AA">
        <w:rPr>
          <w:rFonts w:ascii="Calibri" w:hAnsi="Calibri" w:cs="Calibri"/>
        </w:rPr>
        <w:t>37. Mellone NG, Silva MT, Paglia MDG, Lopes LC, Barberato-Filho S, Del Fiol F de S, et al. Kawasaki Disease and the Use of the Rotavirus Vaccine in Children: A Systematic Review and Meta-Analysis. Front Pharmacol. 2019;10. doi:10.3389/fphar.2019.01075.</w:t>
      </w:r>
    </w:p>
    <w:p w14:paraId="22ABD1E8" w14:textId="77777777" w:rsidR="001B04AA" w:rsidRPr="001B04AA" w:rsidRDefault="001B04AA" w:rsidP="001B04AA">
      <w:pPr>
        <w:pStyle w:val="Bibliography"/>
        <w:rPr>
          <w:rFonts w:ascii="Calibri" w:hAnsi="Calibri" w:cs="Calibri"/>
        </w:rPr>
      </w:pPr>
      <w:r w:rsidRPr="001B04AA">
        <w:rPr>
          <w:rFonts w:ascii="Calibri" w:hAnsi="Calibri" w:cs="Calibri"/>
        </w:rPr>
        <w:t>38. Harjutsalo V, Sjöberg L, Tuomilehto J. Time trends in the incidence of type 1 diabetes in Finnish children: a cohort study. The Lancet. 2008;371:1777–82.</w:t>
      </w:r>
    </w:p>
    <w:p w14:paraId="4CC56B1E" w14:textId="34A083DA" w:rsidR="00E651BA" w:rsidRDefault="007861D0" w:rsidP="00EF5600">
      <w:pPr>
        <w:pStyle w:val="Bibliography"/>
        <w:spacing w:after="0" w:line="480" w:lineRule="auto"/>
      </w:pPr>
      <w:r>
        <w:rPr>
          <w:b/>
        </w:rPr>
        <w:fldChar w:fldCharType="end"/>
      </w:r>
    </w:p>
    <w:p w14:paraId="4CAB369D" w14:textId="77777777" w:rsidR="00E651BA" w:rsidRDefault="00E651BA" w:rsidP="00E651BA">
      <w:pPr>
        <w:spacing w:after="0"/>
        <w:ind w:left="-567"/>
      </w:pPr>
      <w:r>
        <w:rPr>
          <w:noProof/>
          <w:lang w:eastAsia="en-GB"/>
        </w:rPr>
        <w:lastRenderedPageBreak/>
        <w:drawing>
          <wp:inline distT="0" distB="0" distL="0" distR="0" wp14:anchorId="414CA4E9" wp14:editId="345F4740">
            <wp:extent cx="5731510" cy="7007225"/>
            <wp:effectExtent l="0" t="0" r="254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m_plot_figure_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7007225"/>
                    </a:xfrm>
                    <a:prstGeom prst="rect">
                      <a:avLst/>
                    </a:prstGeom>
                  </pic:spPr>
                </pic:pic>
              </a:graphicData>
            </a:graphic>
          </wp:inline>
        </w:drawing>
      </w:r>
    </w:p>
    <w:p w14:paraId="5F5B0145" w14:textId="77777777" w:rsidR="00E651BA" w:rsidRDefault="00E651BA" w:rsidP="00E651BA">
      <w:pPr>
        <w:pStyle w:val="Figure"/>
        <w:jc w:val="both"/>
      </w:pPr>
      <w:bookmarkStart w:id="15" w:name="_Toc50542579"/>
      <w:r w:rsidRPr="008140AB">
        <w:t>Figure</w:t>
      </w:r>
      <w:r>
        <w:t xml:space="preserve"> 1</w:t>
      </w:r>
      <w:r w:rsidRPr="008140AB">
        <w:t>: Kaplan</w:t>
      </w:r>
      <w:r>
        <w:t>-Meier survival estimator for (A) CD and (B) T1D, by rotavirus vaccination status</w:t>
      </w:r>
      <w:bookmarkEnd w:id="15"/>
    </w:p>
    <w:p w14:paraId="08DACBB4" w14:textId="77777777" w:rsidR="00E651BA" w:rsidRPr="00E651BA" w:rsidRDefault="00E651BA" w:rsidP="00E651BA"/>
    <w:sectPr w:rsidR="00E651BA" w:rsidRPr="00E651BA" w:rsidSect="00271850">
      <w:footerReference w:type="default" r:id="rId9"/>
      <w:pgSz w:w="11906" w:h="16838"/>
      <w:pgMar w:top="1440" w:right="1440" w:bottom="1440" w:left="1440" w:header="709" w:footer="709"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7071D2" w14:textId="77777777" w:rsidR="00A4266C" w:rsidRDefault="00A4266C" w:rsidP="00D109B9">
      <w:pPr>
        <w:spacing w:after="0" w:line="240" w:lineRule="auto"/>
      </w:pPr>
      <w:r>
        <w:separator/>
      </w:r>
    </w:p>
  </w:endnote>
  <w:endnote w:type="continuationSeparator" w:id="0">
    <w:p w14:paraId="1D309EA9" w14:textId="77777777" w:rsidR="00A4266C" w:rsidRDefault="00A4266C" w:rsidP="00D109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9705595"/>
      <w:docPartObj>
        <w:docPartGallery w:val="Page Numbers (Bottom of Page)"/>
        <w:docPartUnique/>
      </w:docPartObj>
    </w:sdtPr>
    <w:sdtEndPr>
      <w:rPr>
        <w:noProof/>
      </w:rPr>
    </w:sdtEndPr>
    <w:sdtContent>
      <w:p w14:paraId="15E898D5" w14:textId="4324BF98" w:rsidR="00A4266C" w:rsidRDefault="00A4266C">
        <w:pPr>
          <w:pStyle w:val="Footer"/>
          <w:jc w:val="center"/>
        </w:pPr>
        <w:r>
          <w:fldChar w:fldCharType="begin"/>
        </w:r>
        <w:r>
          <w:instrText xml:space="preserve"> PAGE   \* MERGEFORMAT </w:instrText>
        </w:r>
        <w:r>
          <w:fldChar w:fldCharType="separate"/>
        </w:r>
        <w:r w:rsidR="00EB12C8">
          <w:rPr>
            <w:noProof/>
          </w:rPr>
          <w:t>1</w:t>
        </w:r>
        <w:r>
          <w:rPr>
            <w:noProof/>
          </w:rPr>
          <w:fldChar w:fldCharType="end"/>
        </w:r>
      </w:p>
    </w:sdtContent>
  </w:sdt>
  <w:p w14:paraId="173BCE17" w14:textId="77777777" w:rsidR="00A4266C" w:rsidRDefault="00A426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5EEC9C" w14:textId="77777777" w:rsidR="00A4266C" w:rsidRDefault="00A4266C" w:rsidP="00D109B9">
      <w:pPr>
        <w:spacing w:after="0" w:line="240" w:lineRule="auto"/>
      </w:pPr>
      <w:r>
        <w:separator/>
      </w:r>
    </w:p>
  </w:footnote>
  <w:footnote w:type="continuationSeparator" w:id="0">
    <w:p w14:paraId="5636AFFC" w14:textId="77777777" w:rsidR="00A4266C" w:rsidRDefault="00A4266C" w:rsidP="00D109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3D0B11"/>
    <w:multiLevelType w:val="hybridMultilevel"/>
    <w:tmpl w:val="0A68956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471E14"/>
    <w:multiLevelType w:val="hybridMultilevel"/>
    <w:tmpl w:val="7D103F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A214D3"/>
    <w:multiLevelType w:val="hybridMultilevel"/>
    <w:tmpl w:val="3A7622B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C94E30"/>
    <w:multiLevelType w:val="hybridMultilevel"/>
    <w:tmpl w:val="CC98653A"/>
    <w:lvl w:ilvl="0" w:tplc="0C00D780">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4753DD"/>
    <w:multiLevelType w:val="hybridMultilevel"/>
    <w:tmpl w:val="FA32D7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B87139F"/>
    <w:multiLevelType w:val="multilevel"/>
    <w:tmpl w:val="C85C02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324074F2"/>
    <w:multiLevelType w:val="hybridMultilevel"/>
    <w:tmpl w:val="68A0255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DD13D9"/>
    <w:multiLevelType w:val="multilevel"/>
    <w:tmpl w:val="38348A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4CF38C5"/>
    <w:multiLevelType w:val="multilevel"/>
    <w:tmpl w:val="5DB2EB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94834A5"/>
    <w:multiLevelType w:val="hybridMultilevel"/>
    <w:tmpl w:val="F22C03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D2E5075"/>
    <w:multiLevelType w:val="hybridMultilevel"/>
    <w:tmpl w:val="A61C3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60771B"/>
    <w:multiLevelType w:val="multilevel"/>
    <w:tmpl w:val="106C66A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43A56382"/>
    <w:multiLevelType w:val="hybridMultilevel"/>
    <w:tmpl w:val="83BAE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987C93"/>
    <w:multiLevelType w:val="multilevel"/>
    <w:tmpl w:val="D702FE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6DB5495"/>
    <w:multiLevelType w:val="multilevel"/>
    <w:tmpl w:val="53CE8EE0"/>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5B602DE4"/>
    <w:multiLevelType w:val="multilevel"/>
    <w:tmpl w:val="9580B2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37138CE"/>
    <w:multiLevelType w:val="hybridMultilevel"/>
    <w:tmpl w:val="0734AD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C0E2D73"/>
    <w:multiLevelType w:val="hybridMultilevel"/>
    <w:tmpl w:val="3284740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1772FD3"/>
    <w:multiLevelType w:val="multilevel"/>
    <w:tmpl w:val="E5BE5C3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75BD3064"/>
    <w:multiLevelType w:val="hybridMultilevel"/>
    <w:tmpl w:val="3AAADB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5CF5AE0"/>
    <w:multiLevelType w:val="hybridMultilevel"/>
    <w:tmpl w:val="2F5E9508"/>
    <w:lvl w:ilvl="0" w:tplc="62B423F0">
      <w:start w:val="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5"/>
  </w:num>
  <w:num w:numId="5">
    <w:abstractNumId w:val="11"/>
  </w:num>
  <w:num w:numId="6">
    <w:abstractNumId w:val="18"/>
  </w:num>
  <w:num w:numId="7">
    <w:abstractNumId w:val="14"/>
  </w:num>
  <w:num w:numId="8">
    <w:abstractNumId w:val="17"/>
  </w:num>
  <w:num w:numId="9">
    <w:abstractNumId w:val="6"/>
  </w:num>
  <w:num w:numId="10">
    <w:abstractNumId w:val="9"/>
  </w:num>
  <w:num w:numId="11">
    <w:abstractNumId w:val="19"/>
  </w:num>
  <w:num w:numId="12">
    <w:abstractNumId w:val="15"/>
    <w:lvlOverride w:ilvl="0">
      <w:startOverride w:val="2"/>
    </w:lvlOverride>
  </w:num>
  <w:num w:numId="13">
    <w:abstractNumId w:val="7"/>
  </w:num>
  <w:num w:numId="14">
    <w:abstractNumId w:val="8"/>
  </w:num>
  <w:num w:numId="15">
    <w:abstractNumId w:val="13"/>
  </w:num>
  <w:num w:numId="16">
    <w:abstractNumId w:val="16"/>
  </w:num>
  <w:num w:numId="17">
    <w:abstractNumId w:val="1"/>
  </w:num>
  <w:num w:numId="18">
    <w:abstractNumId w:val="12"/>
  </w:num>
  <w:num w:numId="19">
    <w:abstractNumId w:val="2"/>
  </w:num>
  <w:num w:numId="20">
    <w:abstractNumId w:val="10"/>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CDA"/>
    <w:rsid w:val="00001B35"/>
    <w:rsid w:val="0000436C"/>
    <w:rsid w:val="00004BE5"/>
    <w:rsid w:val="00004D8F"/>
    <w:rsid w:val="000051B6"/>
    <w:rsid w:val="000059F2"/>
    <w:rsid w:val="0000627B"/>
    <w:rsid w:val="00006490"/>
    <w:rsid w:val="000079A4"/>
    <w:rsid w:val="00013668"/>
    <w:rsid w:val="00015F46"/>
    <w:rsid w:val="000238AB"/>
    <w:rsid w:val="00024AAA"/>
    <w:rsid w:val="00026443"/>
    <w:rsid w:val="00026AD1"/>
    <w:rsid w:val="00027005"/>
    <w:rsid w:val="00027CA8"/>
    <w:rsid w:val="0003250B"/>
    <w:rsid w:val="000333AE"/>
    <w:rsid w:val="000361C3"/>
    <w:rsid w:val="00040463"/>
    <w:rsid w:val="00040818"/>
    <w:rsid w:val="0004191E"/>
    <w:rsid w:val="00041FA8"/>
    <w:rsid w:val="00044C60"/>
    <w:rsid w:val="000459E9"/>
    <w:rsid w:val="00045B0C"/>
    <w:rsid w:val="00045DE4"/>
    <w:rsid w:val="0004760C"/>
    <w:rsid w:val="00052447"/>
    <w:rsid w:val="00055E48"/>
    <w:rsid w:val="00056395"/>
    <w:rsid w:val="00057491"/>
    <w:rsid w:val="000577E9"/>
    <w:rsid w:val="000600CD"/>
    <w:rsid w:val="00064D45"/>
    <w:rsid w:val="00066E23"/>
    <w:rsid w:val="000706FA"/>
    <w:rsid w:val="00070E56"/>
    <w:rsid w:val="00073071"/>
    <w:rsid w:val="00073075"/>
    <w:rsid w:val="0007417F"/>
    <w:rsid w:val="00083DC9"/>
    <w:rsid w:val="0008400B"/>
    <w:rsid w:val="0008681B"/>
    <w:rsid w:val="00086FFE"/>
    <w:rsid w:val="00091C1E"/>
    <w:rsid w:val="0009447E"/>
    <w:rsid w:val="00094D8D"/>
    <w:rsid w:val="0009776A"/>
    <w:rsid w:val="00097BB6"/>
    <w:rsid w:val="000A2223"/>
    <w:rsid w:val="000A4339"/>
    <w:rsid w:val="000B0178"/>
    <w:rsid w:val="000B0C1F"/>
    <w:rsid w:val="000B4165"/>
    <w:rsid w:val="000B4A78"/>
    <w:rsid w:val="000C1157"/>
    <w:rsid w:val="000C48A0"/>
    <w:rsid w:val="000C5EE9"/>
    <w:rsid w:val="000C60C3"/>
    <w:rsid w:val="000C78D4"/>
    <w:rsid w:val="000D1E17"/>
    <w:rsid w:val="000D3EB9"/>
    <w:rsid w:val="000D41B9"/>
    <w:rsid w:val="000D4A5D"/>
    <w:rsid w:val="000D50AB"/>
    <w:rsid w:val="000D564E"/>
    <w:rsid w:val="000D77A7"/>
    <w:rsid w:val="000E1F16"/>
    <w:rsid w:val="000E4C79"/>
    <w:rsid w:val="000F2CA8"/>
    <w:rsid w:val="000F56CF"/>
    <w:rsid w:val="000F63AA"/>
    <w:rsid w:val="00100D43"/>
    <w:rsid w:val="00105395"/>
    <w:rsid w:val="00105B11"/>
    <w:rsid w:val="00107C52"/>
    <w:rsid w:val="001140B4"/>
    <w:rsid w:val="00115FCD"/>
    <w:rsid w:val="001173D4"/>
    <w:rsid w:val="00123891"/>
    <w:rsid w:val="001241CD"/>
    <w:rsid w:val="00133E6C"/>
    <w:rsid w:val="00134181"/>
    <w:rsid w:val="00134A3B"/>
    <w:rsid w:val="0014315B"/>
    <w:rsid w:val="001432FE"/>
    <w:rsid w:val="0014474C"/>
    <w:rsid w:val="001451CC"/>
    <w:rsid w:val="00150688"/>
    <w:rsid w:val="0015070C"/>
    <w:rsid w:val="00150EA6"/>
    <w:rsid w:val="00151B93"/>
    <w:rsid w:val="00152147"/>
    <w:rsid w:val="001607A7"/>
    <w:rsid w:val="00163585"/>
    <w:rsid w:val="001649E7"/>
    <w:rsid w:val="0017100F"/>
    <w:rsid w:val="00171720"/>
    <w:rsid w:val="00171EF0"/>
    <w:rsid w:val="00172C8F"/>
    <w:rsid w:val="00177106"/>
    <w:rsid w:val="00184033"/>
    <w:rsid w:val="00185287"/>
    <w:rsid w:val="001942E7"/>
    <w:rsid w:val="001944BD"/>
    <w:rsid w:val="00194D0D"/>
    <w:rsid w:val="00195B12"/>
    <w:rsid w:val="00197D69"/>
    <w:rsid w:val="001A095B"/>
    <w:rsid w:val="001A1610"/>
    <w:rsid w:val="001A25BD"/>
    <w:rsid w:val="001A384D"/>
    <w:rsid w:val="001A3EE6"/>
    <w:rsid w:val="001B04AA"/>
    <w:rsid w:val="001B0D1B"/>
    <w:rsid w:val="001B768F"/>
    <w:rsid w:val="001C1430"/>
    <w:rsid w:val="001C1960"/>
    <w:rsid w:val="001C3AE9"/>
    <w:rsid w:val="001C3DDA"/>
    <w:rsid w:val="001C4214"/>
    <w:rsid w:val="001C5948"/>
    <w:rsid w:val="001C6B27"/>
    <w:rsid w:val="001C6CED"/>
    <w:rsid w:val="001D01B7"/>
    <w:rsid w:val="001D0B98"/>
    <w:rsid w:val="001D17A3"/>
    <w:rsid w:val="001D3696"/>
    <w:rsid w:val="001D7124"/>
    <w:rsid w:val="001D753E"/>
    <w:rsid w:val="001D7EE9"/>
    <w:rsid w:val="001E313D"/>
    <w:rsid w:val="001E6B15"/>
    <w:rsid w:val="001E6D49"/>
    <w:rsid w:val="001F1BE6"/>
    <w:rsid w:val="001F2598"/>
    <w:rsid w:val="001F3ECF"/>
    <w:rsid w:val="001F55A8"/>
    <w:rsid w:val="001F6BA4"/>
    <w:rsid w:val="00200B24"/>
    <w:rsid w:val="002026D4"/>
    <w:rsid w:val="00207B18"/>
    <w:rsid w:val="0021397D"/>
    <w:rsid w:val="00214604"/>
    <w:rsid w:val="00215613"/>
    <w:rsid w:val="00215631"/>
    <w:rsid w:val="002229BE"/>
    <w:rsid w:val="00224BE7"/>
    <w:rsid w:val="00224EC7"/>
    <w:rsid w:val="00225B40"/>
    <w:rsid w:val="00234AF5"/>
    <w:rsid w:val="002350DA"/>
    <w:rsid w:val="002356F8"/>
    <w:rsid w:val="00240DEC"/>
    <w:rsid w:val="002414E2"/>
    <w:rsid w:val="0024167A"/>
    <w:rsid w:val="00243B84"/>
    <w:rsid w:val="0024484E"/>
    <w:rsid w:val="00244C29"/>
    <w:rsid w:val="00244C99"/>
    <w:rsid w:val="00245B3D"/>
    <w:rsid w:val="002471BD"/>
    <w:rsid w:val="00250A28"/>
    <w:rsid w:val="00251BEC"/>
    <w:rsid w:val="00252CD4"/>
    <w:rsid w:val="0025417B"/>
    <w:rsid w:val="00254EA7"/>
    <w:rsid w:val="002560AD"/>
    <w:rsid w:val="002579D2"/>
    <w:rsid w:val="00260D6B"/>
    <w:rsid w:val="00264A7A"/>
    <w:rsid w:val="002656B8"/>
    <w:rsid w:val="00267316"/>
    <w:rsid w:val="0026739B"/>
    <w:rsid w:val="00267E1B"/>
    <w:rsid w:val="00271850"/>
    <w:rsid w:val="00271BE0"/>
    <w:rsid w:val="0027384C"/>
    <w:rsid w:val="00276F1B"/>
    <w:rsid w:val="00284B1E"/>
    <w:rsid w:val="00285DCD"/>
    <w:rsid w:val="002879E0"/>
    <w:rsid w:val="002926AC"/>
    <w:rsid w:val="00294BD6"/>
    <w:rsid w:val="00295A3A"/>
    <w:rsid w:val="00296A79"/>
    <w:rsid w:val="002A0716"/>
    <w:rsid w:val="002A121A"/>
    <w:rsid w:val="002A2624"/>
    <w:rsid w:val="002A5F50"/>
    <w:rsid w:val="002B0A7F"/>
    <w:rsid w:val="002B597F"/>
    <w:rsid w:val="002B6359"/>
    <w:rsid w:val="002B703E"/>
    <w:rsid w:val="002B7A0C"/>
    <w:rsid w:val="002C1B23"/>
    <w:rsid w:val="002C2C59"/>
    <w:rsid w:val="002D24EF"/>
    <w:rsid w:val="002D5646"/>
    <w:rsid w:val="002D5CAF"/>
    <w:rsid w:val="002D662D"/>
    <w:rsid w:val="002E16F3"/>
    <w:rsid w:val="002E2A10"/>
    <w:rsid w:val="002E2D8A"/>
    <w:rsid w:val="002E50D9"/>
    <w:rsid w:val="002E5CF2"/>
    <w:rsid w:val="002E645D"/>
    <w:rsid w:val="002F0579"/>
    <w:rsid w:val="002F2006"/>
    <w:rsid w:val="002F2E5F"/>
    <w:rsid w:val="002F400C"/>
    <w:rsid w:val="002F4CC6"/>
    <w:rsid w:val="002F67BF"/>
    <w:rsid w:val="002F7779"/>
    <w:rsid w:val="00301429"/>
    <w:rsid w:val="0030235F"/>
    <w:rsid w:val="00302AE1"/>
    <w:rsid w:val="00302E10"/>
    <w:rsid w:val="003038BA"/>
    <w:rsid w:val="00307A80"/>
    <w:rsid w:val="00307F0F"/>
    <w:rsid w:val="003103F2"/>
    <w:rsid w:val="00310EA7"/>
    <w:rsid w:val="003128E3"/>
    <w:rsid w:val="00317B02"/>
    <w:rsid w:val="003242AF"/>
    <w:rsid w:val="003248E2"/>
    <w:rsid w:val="00324E1D"/>
    <w:rsid w:val="0032516B"/>
    <w:rsid w:val="00327E10"/>
    <w:rsid w:val="0033142B"/>
    <w:rsid w:val="00331951"/>
    <w:rsid w:val="00331D66"/>
    <w:rsid w:val="00333630"/>
    <w:rsid w:val="003372AF"/>
    <w:rsid w:val="00337D38"/>
    <w:rsid w:val="003417C6"/>
    <w:rsid w:val="00343C26"/>
    <w:rsid w:val="003440B6"/>
    <w:rsid w:val="00351BBB"/>
    <w:rsid w:val="00352643"/>
    <w:rsid w:val="003528A7"/>
    <w:rsid w:val="00355289"/>
    <w:rsid w:val="00355DFA"/>
    <w:rsid w:val="0035773B"/>
    <w:rsid w:val="0036394E"/>
    <w:rsid w:val="003641BF"/>
    <w:rsid w:val="00365D2C"/>
    <w:rsid w:val="00366397"/>
    <w:rsid w:val="0036687C"/>
    <w:rsid w:val="003701E0"/>
    <w:rsid w:val="00371B82"/>
    <w:rsid w:val="00372121"/>
    <w:rsid w:val="00372820"/>
    <w:rsid w:val="00374C9B"/>
    <w:rsid w:val="0038097D"/>
    <w:rsid w:val="00382A5B"/>
    <w:rsid w:val="00385560"/>
    <w:rsid w:val="00391548"/>
    <w:rsid w:val="003925F4"/>
    <w:rsid w:val="003943F9"/>
    <w:rsid w:val="00394EA4"/>
    <w:rsid w:val="00396F17"/>
    <w:rsid w:val="003A1975"/>
    <w:rsid w:val="003A2B21"/>
    <w:rsid w:val="003A2C06"/>
    <w:rsid w:val="003A3D3C"/>
    <w:rsid w:val="003A7E04"/>
    <w:rsid w:val="003B0699"/>
    <w:rsid w:val="003B5202"/>
    <w:rsid w:val="003B769F"/>
    <w:rsid w:val="003C05B5"/>
    <w:rsid w:val="003C1211"/>
    <w:rsid w:val="003C5B35"/>
    <w:rsid w:val="003C7E95"/>
    <w:rsid w:val="003D0E0E"/>
    <w:rsid w:val="003D2525"/>
    <w:rsid w:val="003D4267"/>
    <w:rsid w:val="003D6B25"/>
    <w:rsid w:val="003D6FD9"/>
    <w:rsid w:val="003E0158"/>
    <w:rsid w:val="003E0292"/>
    <w:rsid w:val="003E14FF"/>
    <w:rsid w:val="003E21B8"/>
    <w:rsid w:val="003E3579"/>
    <w:rsid w:val="003E421C"/>
    <w:rsid w:val="003E6651"/>
    <w:rsid w:val="003E6C51"/>
    <w:rsid w:val="003F1241"/>
    <w:rsid w:val="003F62DE"/>
    <w:rsid w:val="003F679D"/>
    <w:rsid w:val="00400770"/>
    <w:rsid w:val="00405B22"/>
    <w:rsid w:val="00406814"/>
    <w:rsid w:val="004069FB"/>
    <w:rsid w:val="00407248"/>
    <w:rsid w:val="00410130"/>
    <w:rsid w:val="00410DBA"/>
    <w:rsid w:val="004134F5"/>
    <w:rsid w:val="00415E48"/>
    <w:rsid w:val="004222C9"/>
    <w:rsid w:val="004233BE"/>
    <w:rsid w:val="0042492C"/>
    <w:rsid w:val="00425822"/>
    <w:rsid w:val="004261BA"/>
    <w:rsid w:val="004261E9"/>
    <w:rsid w:val="0043005C"/>
    <w:rsid w:val="00432DAF"/>
    <w:rsid w:val="00437D0A"/>
    <w:rsid w:val="00443382"/>
    <w:rsid w:val="00443E43"/>
    <w:rsid w:val="00450DC7"/>
    <w:rsid w:val="00454531"/>
    <w:rsid w:val="00455A22"/>
    <w:rsid w:val="00456CC8"/>
    <w:rsid w:val="004605B7"/>
    <w:rsid w:val="0046066A"/>
    <w:rsid w:val="004618DA"/>
    <w:rsid w:val="004624B0"/>
    <w:rsid w:val="004635CA"/>
    <w:rsid w:val="00465A13"/>
    <w:rsid w:val="00465AEA"/>
    <w:rsid w:val="004662B3"/>
    <w:rsid w:val="00473A69"/>
    <w:rsid w:val="00473D5D"/>
    <w:rsid w:val="0047412B"/>
    <w:rsid w:val="0047665E"/>
    <w:rsid w:val="00476B2A"/>
    <w:rsid w:val="00481FD4"/>
    <w:rsid w:val="004838ED"/>
    <w:rsid w:val="004849FA"/>
    <w:rsid w:val="00487998"/>
    <w:rsid w:val="00487DE3"/>
    <w:rsid w:val="0049105F"/>
    <w:rsid w:val="00491BFC"/>
    <w:rsid w:val="00493B64"/>
    <w:rsid w:val="00496AAA"/>
    <w:rsid w:val="004A167D"/>
    <w:rsid w:val="004A21E2"/>
    <w:rsid w:val="004A737B"/>
    <w:rsid w:val="004A79ED"/>
    <w:rsid w:val="004B119B"/>
    <w:rsid w:val="004B24DF"/>
    <w:rsid w:val="004B26EF"/>
    <w:rsid w:val="004B33A3"/>
    <w:rsid w:val="004B43E2"/>
    <w:rsid w:val="004B4A65"/>
    <w:rsid w:val="004B4D4C"/>
    <w:rsid w:val="004B5408"/>
    <w:rsid w:val="004B5BD0"/>
    <w:rsid w:val="004B640E"/>
    <w:rsid w:val="004B7603"/>
    <w:rsid w:val="004C18B3"/>
    <w:rsid w:val="004C208A"/>
    <w:rsid w:val="004C3427"/>
    <w:rsid w:val="004C537B"/>
    <w:rsid w:val="004C5C0D"/>
    <w:rsid w:val="004C5C91"/>
    <w:rsid w:val="004D0789"/>
    <w:rsid w:val="004D1727"/>
    <w:rsid w:val="004D3FD9"/>
    <w:rsid w:val="004D56A8"/>
    <w:rsid w:val="004D5FCB"/>
    <w:rsid w:val="004D6E68"/>
    <w:rsid w:val="004D7A49"/>
    <w:rsid w:val="004E1105"/>
    <w:rsid w:val="004E27CD"/>
    <w:rsid w:val="004E35F2"/>
    <w:rsid w:val="004E3C65"/>
    <w:rsid w:val="004E5FB6"/>
    <w:rsid w:val="004E74DF"/>
    <w:rsid w:val="004F3490"/>
    <w:rsid w:val="004F6BB4"/>
    <w:rsid w:val="00503DC5"/>
    <w:rsid w:val="00506A91"/>
    <w:rsid w:val="00510108"/>
    <w:rsid w:val="00510A17"/>
    <w:rsid w:val="00510D4E"/>
    <w:rsid w:val="005123A3"/>
    <w:rsid w:val="00513A28"/>
    <w:rsid w:val="00515BCA"/>
    <w:rsid w:val="0051709D"/>
    <w:rsid w:val="005207F1"/>
    <w:rsid w:val="0052340D"/>
    <w:rsid w:val="0052425F"/>
    <w:rsid w:val="005244DF"/>
    <w:rsid w:val="00525CC0"/>
    <w:rsid w:val="00525DB2"/>
    <w:rsid w:val="0052705E"/>
    <w:rsid w:val="00527A82"/>
    <w:rsid w:val="00531500"/>
    <w:rsid w:val="00531C4A"/>
    <w:rsid w:val="00537048"/>
    <w:rsid w:val="0054079E"/>
    <w:rsid w:val="00541DC5"/>
    <w:rsid w:val="0054418A"/>
    <w:rsid w:val="00545621"/>
    <w:rsid w:val="0054754D"/>
    <w:rsid w:val="00550B96"/>
    <w:rsid w:val="005516C7"/>
    <w:rsid w:val="005520DD"/>
    <w:rsid w:val="00555010"/>
    <w:rsid w:val="0055542F"/>
    <w:rsid w:val="00556FC4"/>
    <w:rsid w:val="00561D80"/>
    <w:rsid w:val="00564319"/>
    <w:rsid w:val="0056793A"/>
    <w:rsid w:val="00570883"/>
    <w:rsid w:val="00572D95"/>
    <w:rsid w:val="00573A0C"/>
    <w:rsid w:val="00574354"/>
    <w:rsid w:val="005747FD"/>
    <w:rsid w:val="00576D63"/>
    <w:rsid w:val="005836CE"/>
    <w:rsid w:val="005844A6"/>
    <w:rsid w:val="00586051"/>
    <w:rsid w:val="00587DBD"/>
    <w:rsid w:val="005919B7"/>
    <w:rsid w:val="00596B50"/>
    <w:rsid w:val="005A052E"/>
    <w:rsid w:val="005A4457"/>
    <w:rsid w:val="005A6041"/>
    <w:rsid w:val="005A6431"/>
    <w:rsid w:val="005A7B5C"/>
    <w:rsid w:val="005A7F2A"/>
    <w:rsid w:val="005B0E0C"/>
    <w:rsid w:val="005B5275"/>
    <w:rsid w:val="005B5939"/>
    <w:rsid w:val="005C51C1"/>
    <w:rsid w:val="005D6FD3"/>
    <w:rsid w:val="005E172C"/>
    <w:rsid w:val="005E1BDD"/>
    <w:rsid w:val="005E474F"/>
    <w:rsid w:val="005E47F2"/>
    <w:rsid w:val="005E6314"/>
    <w:rsid w:val="005E6877"/>
    <w:rsid w:val="005E6C6A"/>
    <w:rsid w:val="005E71B7"/>
    <w:rsid w:val="005E72EF"/>
    <w:rsid w:val="005F202F"/>
    <w:rsid w:val="005F2839"/>
    <w:rsid w:val="005F3DD9"/>
    <w:rsid w:val="005F61AA"/>
    <w:rsid w:val="005F63C9"/>
    <w:rsid w:val="005F6CBA"/>
    <w:rsid w:val="005F7F7E"/>
    <w:rsid w:val="00604F33"/>
    <w:rsid w:val="00606136"/>
    <w:rsid w:val="006064D7"/>
    <w:rsid w:val="00606E42"/>
    <w:rsid w:val="00607A83"/>
    <w:rsid w:val="006104C3"/>
    <w:rsid w:val="00612F8D"/>
    <w:rsid w:val="006164FB"/>
    <w:rsid w:val="00616A69"/>
    <w:rsid w:val="0061702C"/>
    <w:rsid w:val="0062077D"/>
    <w:rsid w:val="006234D3"/>
    <w:rsid w:val="00625183"/>
    <w:rsid w:val="0062527C"/>
    <w:rsid w:val="00625BFB"/>
    <w:rsid w:val="006307F7"/>
    <w:rsid w:val="006309CE"/>
    <w:rsid w:val="00632DAB"/>
    <w:rsid w:val="00633839"/>
    <w:rsid w:val="00640B55"/>
    <w:rsid w:val="00642997"/>
    <w:rsid w:val="00643238"/>
    <w:rsid w:val="00646A5D"/>
    <w:rsid w:val="0065007D"/>
    <w:rsid w:val="00653C81"/>
    <w:rsid w:val="00656AE3"/>
    <w:rsid w:val="00656E97"/>
    <w:rsid w:val="00664497"/>
    <w:rsid w:val="0067108C"/>
    <w:rsid w:val="00671971"/>
    <w:rsid w:val="00673FC1"/>
    <w:rsid w:val="00674150"/>
    <w:rsid w:val="0067445A"/>
    <w:rsid w:val="00676E66"/>
    <w:rsid w:val="00685CE8"/>
    <w:rsid w:val="00686595"/>
    <w:rsid w:val="00686E1A"/>
    <w:rsid w:val="00687752"/>
    <w:rsid w:val="0069070F"/>
    <w:rsid w:val="00693343"/>
    <w:rsid w:val="0069347A"/>
    <w:rsid w:val="006A0996"/>
    <w:rsid w:val="006A179F"/>
    <w:rsid w:val="006A4966"/>
    <w:rsid w:val="006A505C"/>
    <w:rsid w:val="006A5068"/>
    <w:rsid w:val="006A6690"/>
    <w:rsid w:val="006A68F4"/>
    <w:rsid w:val="006A6E20"/>
    <w:rsid w:val="006A7189"/>
    <w:rsid w:val="006A7738"/>
    <w:rsid w:val="006B0AD6"/>
    <w:rsid w:val="006B131B"/>
    <w:rsid w:val="006B13D8"/>
    <w:rsid w:val="006B274A"/>
    <w:rsid w:val="006B27B6"/>
    <w:rsid w:val="006B29EE"/>
    <w:rsid w:val="006B3890"/>
    <w:rsid w:val="006B404E"/>
    <w:rsid w:val="006C19FB"/>
    <w:rsid w:val="006C2D90"/>
    <w:rsid w:val="006C4AEE"/>
    <w:rsid w:val="006D18D8"/>
    <w:rsid w:val="006D21FB"/>
    <w:rsid w:val="006E03EA"/>
    <w:rsid w:val="006E380A"/>
    <w:rsid w:val="006E393B"/>
    <w:rsid w:val="006E4BF8"/>
    <w:rsid w:val="006E54CE"/>
    <w:rsid w:val="006F1033"/>
    <w:rsid w:val="006F109F"/>
    <w:rsid w:val="006F2F4E"/>
    <w:rsid w:val="006F3DC2"/>
    <w:rsid w:val="006F512A"/>
    <w:rsid w:val="0070009B"/>
    <w:rsid w:val="007015EE"/>
    <w:rsid w:val="00705386"/>
    <w:rsid w:val="00705502"/>
    <w:rsid w:val="00705F3B"/>
    <w:rsid w:val="00710CD3"/>
    <w:rsid w:val="00711AF0"/>
    <w:rsid w:val="007149BE"/>
    <w:rsid w:val="0071536D"/>
    <w:rsid w:val="00715F93"/>
    <w:rsid w:val="00715FC7"/>
    <w:rsid w:val="0072265B"/>
    <w:rsid w:val="00725718"/>
    <w:rsid w:val="00726F49"/>
    <w:rsid w:val="007276CC"/>
    <w:rsid w:val="0073482F"/>
    <w:rsid w:val="00735FB2"/>
    <w:rsid w:val="0074216E"/>
    <w:rsid w:val="00742E04"/>
    <w:rsid w:val="00746B84"/>
    <w:rsid w:val="00747197"/>
    <w:rsid w:val="00747CE2"/>
    <w:rsid w:val="00753772"/>
    <w:rsid w:val="00755EEB"/>
    <w:rsid w:val="00757B11"/>
    <w:rsid w:val="00763659"/>
    <w:rsid w:val="00763D7D"/>
    <w:rsid w:val="0076642C"/>
    <w:rsid w:val="00766A94"/>
    <w:rsid w:val="007677B3"/>
    <w:rsid w:val="00767AF3"/>
    <w:rsid w:val="00773E3C"/>
    <w:rsid w:val="00775AA6"/>
    <w:rsid w:val="0078114F"/>
    <w:rsid w:val="0078340B"/>
    <w:rsid w:val="007861D0"/>
    <w:rsid w:val="00786E38"/>
    <w:rsid w:val="007A0A2E"/>
    <w:rsid w:val="007A1D6B"/>
    <w:rsid w:val="007A33A7"/>
    <w:rsid w:val="007A428D"/>
    <w:rsid w:val="007A4586"/>
    <w:rsid w:val="007A5476"/>
    <w:rsid w:val="007A5975"/>
    <w:rsid w:val="007A63D6"/>
    <w:rsid w:val="007B2023"/>
    <w:rsid w:val="007B373F"/>
    <w:rsid w:val="007B4A5D"/>
    <w:rsid w:val="007C0FA8"/>
    <w:rsid w:val="007C194D"/>
    <w:rsid w:val="007C1DF5"/>
    <w:rsid w:val="007C2012"/>
    <w:rsid w:val="007C31E4"/>
    <w:rsid w:val="007C37B0"/>
    <w:rsid w:val="007C403F"/>
    <w:rsid w:val="007C5A10"/>
    <w:rsid w:val="007C7F18"/>
    <w:rsid w:val="007D1593"/>
    <w:rsid w:val="007D2614"/>
    <w:rsid w:val="007D3794"/>
    <w:rsid w:val="007D4544"/>
    <w:rsid w:val="007D6A2F"/>
    <w:rsid w:val="007D6CD3"/>
    <w:rsid w:val="007D79C3"/>
    <w:rsid w:val="007E0D59"/>
    <w:rsid w:val="007E5D39"/>
    <w:rsid w:val="007E641A"/>
    <w:rsid w:val="007F07CB"/>
    <w:rsid w:val="007F6C40"/>
    <w:rsid w:val="007F6CEC"/>
    <w:rsid w:val="007F7CA5"/>
    <w:rsid w:val="00804103"/>
    <w:rsid w:val="00810E09"/>
    <w:rsid w:val="008140AB"/>
    <w:rsid w:val="008168C2"/>
    <w:rsid w:val="0081790C"/>
    <w:rsid w:val="00821213"/>
    <w:rsid w:val="0082127A"/>
    <w:rsid w:val="008229E6"/>
    <w:rsid w:val="00822D12"/>
    <w:rsid w:val="00822DCA"/>
    <w:rsid w:val="00827748"/>
    <w:rsid w:val="00833D52"/>
    <w:rsid w:val="00835D2A"/>
    <w:rsid w:val="00840AE5"/>
    <w:rsid w:val="00840B42"/>
    <w:rsid w:val="008442DB"/>
    <w:rsid w:val="008449F1"/>
    <w:rsid w:val="00844A5A"/>
    <w:rsid w:val="00846117"/>
    <w:rsid w:val="008464F6"/>
    <w:rsid w:val="00847D9F"/>
    <w:rsid w:val="00850B0C"/>
    <w:rsid w:val="008521BA"/>
    <w:rsid w:val="00852FE7"/>
    <w:rsid w:val="008536BF"/>
    <w:rsid w:val="0085732A"/>
    <w:rsid w:val="00862221"/>
    <w:rsid w:val="00862665"/>
    <w:rsid w:val="00862A89"/>
    <w:rsid w:val="00865FF4"/>
    <w:rsid w:val="00872803"/>
    <w:rsid w:val="00872937"/>
    <w:rsid w:val="00873449"/>
    <w:rsid w:val="0087451A"/>
    <w:rsid w:val="008755DB"/>
    <w:rsid w:val="008778B9"/>
    <w:rsid w:val="0088011E"/>
    <w:rsid w:val="00881EE6"/>
    <w:rsid w:val="00883DEE"/>
    <w:rsid w:val="00883E6A"/>
    <w:rsid w:val="008840C6"/>
    <w:rsid w:val="008917C0"/>
    <w:rsid w:val="0089432C"/>
    <w:rsid w:val="0089733B"/>
    <w:rsid w:val="008A6AC5"/>
    <w:rsid w:val="008A75D5"/>
    <w:rsid w:val="008B0685"/>
    <w:rsid w:val="008B52A7"/>
    <w:rsid w:val="008B5CEB"/>
    <w:rsid w:val="008C1320"/>
    <w:rsid w:val="008C4D0A"/>
    <w:rsid w:val="008C6758"/>
    <w:rsid w:val="008C6EA1"/>
    <w:rsid w:val="008D0778"/>
    <w:rsid w:val="008D4907"/>
    <w:rsid w:val="008D5211"/>
    <w:rsid w:val="008D7610"/>
    <w:rsid w:val="008E0C38"/>
    <w:rsid w:val="008E307D"/>
    <w:rsid w:val="008E411D"/>
    <w:rsid w:val="008E5947"/>
    <w:rsid w:val="008E6D74"/>
    <w:rsid w:val="008F16FA"/>
    <w:rsid w:val="008F3116"/>
    <w:rsid w:val="008F4B7F"/>
    <w:rsid w:val="008F5722"/>
    <w:rsid w:val="008F578C"/>
    <w:rsid w:val="008F719E"/>
    <w:rsid w:val="009107A2"/>
    <w:rsid w:val="0091163C"/>
    <w:rsid w:val="00911D36"/>
    <w:rsid w:val="00912509"/>
    <w:rsid w:val="00915057"/>
    <w:rsid w:val="00927FCA"/>
    <w:rsid w:val="00931A1C"/>
    <w:rsid w:val="00942E9A"/>
    <w:rsid w:val="00943C00"/>
    <w:rsid w:val="0094535A"/>
    <w:rsid w:val="009511DF"/>
    <w:rsid w:val="00955252"/>
    <w:rsid w:val="00955D07"/>
    <w:rsid w:val="00956509"/>
    <w:rsid w:val="00957C67"/>
    <w:rsid w:val="009616F3"/>
    <w:rsid w:val="00963CDA"/>
    <w:rsid w:val="00963CF7"/>
    <w:rsid w:val="00965209"/>
    <w:rsid w:val="00967DBD"/>
    <w:rsid w:val="00967F4A"/>
    <w:rsid w:val="00971094"/>
    <w:rsid w:val="00972FC9"/>
    <w:rsid w:val="00973136"/>
    <w:rsid w:val="00974555"/>
    <w:rsid w:val="00974749"/>
    <w:rsid w:val="009752E3"/>
    <w:rsid w:val="009758E3"/>
    <w:rsid w:val="0097672E"/>
    <w:rsid w:val="00977890"/>
    <w:rsid w:val="009809EE"/>
    <w:rsid w:val="00982FE6"/>
    <w:rsid w:val="00983702"/>
    <w:rsid w:val="00983D4B"/>
    <w:rsid w:val="009841BF"/>
    <w:rsid w:val="00985D1B"/>
    <w:rsid w:val="009908FB"/>
    <w:rsid w:val="00990DA9"/>
    <w:rsid w:val="00991192"/>
    <w:rsid w:val="0099144E"/>
    <w:rsid w:val="00991955"/>
    <w:rsid w:val="009933A2"/>
    <w:rsid w:val="009A01FE"/>
    <w:rsid w:val="009A1951"/>
    <w:rsid w:val="009A1B1D"/>
    <w:rsid w:val="009A1B95"/>
    <w:rsid w:val="009A3786"/>
    <w:rsid w:val="009A3E19"/>
    <w:rsid w:val="009A45BC"/>
    <w:rsid w:val="009A579F"/>
    <w:rsid w:val="009A7008"/>
    <w:rsid w:val="009B59C2"/>
    <w:rsid w:val="009B6412"/>
    <w:rsid w:val="009C34B5"/>
    <w:rsid w:val="009C454F"/>
    <w:rsid w:val="009C50BF"/>
    <w:rsid w:val="009C600F"/>
    <w:rsid w:val="009C606F"/>
    <w:rsid w:val="009C696B"/>
    <w:rsid w:val="009C6D89"/>
    <w:rsid w:val="009D02B3"/>
    <w:rsid w:val="009D0A5E"/>
    <w:rsid w:val="009D11D3"/>
    <w:rsid w:val="009D3E02"/>
    <w:rsid w:val="009D54E5"/>
    <w:rsid w:val="009D7FE2"/>
    <w:rsid w:val="009E0160"/>
    <w:rsid w:val="009E229F"/>
    <w:rsid w:val="009E25E6"/>
    <w:rsid w:val="009E2806"/>
    <w:rsid w:val="009E38E2"/>
    <w:rsid w:val="009E3C08"/>
    <w:rsid w:val="009F1D5B"/>
    <w:rsid w:val="009F1F64"/>
    <w:rsid w:val="009F5B29"/>
    <w:rsid w:val="009F5C0A"/>
    <w:rsid w:val="009F5F22"/>
    <w:rsid w:val="009F79DE"/>
    <w:rsid w:val="00A16876"/>
    <w:rsid w:val="00A22A11"/>
    <w:rsid w:val="00A233A1"/>
    <w:rsid w:val="00A23C52"/>
    <w:rsid w:val="00A274EA"/>
    <w:rsid w:val="00A3064B"/>
    <w:rsid w:val="00A30664"/>
    <w:rsid w:val="00A336CD"/>
    <w:rsid w:val="00A35290"/>
    <w:rsid w:val="00A35D74"/>
    <w:rsid w:val="00A36271"/>
    <w:rsid w:val="00A4266C"/>
    <w:rsid w:val="00A4289F"/>
    <w:rsid w:val="00A42A09"/>
    <w:rsid w:val="00A45657"/>
    <w:rsid w:val="00A45A1A"/>
    <w:rsid w:val="00A47FE5"/>
    <w:rsid w:val="00A506CB"/>
    <w:rsid w:val="00A533B2"/>
    <w:rsid w:val="00A54927"/>
    <w:rsid w:val="00A5521D"/>
    <w:rsid w:val="00A5631F"/>
    <w:rsid w:val="00A56A81"/>
    <w:rsid w:val="00A5769A"/>
    <w:rsid w:val="00A614E0"/>
    <w:rsid w:val="00A6230E"/>
    <w:rsid w:val="00A64422"/>
    <w:rsid w:val="00A65EE4"/>
    <w:rsid w:val="00A66D31"/>
    <w:rsid w:val="00A70A41"/>
    <w:rsid w:val="00A77235"/>
    <w:rsid w:val="00A8696D"/>
    <w:rsid w:val="00A87B0C"/>
    <w:rsid w:val="00A91E47"/>
    <w:rsid w:val="00A92209"/>
    <w:rsid w:val="00A93374"/>
    <w:rsid w:val="00A9421B"/>
    <w:rsid w:val="00A94A96"/>
    <w:rsid w:val="00A95795"/>
    <w:rsid w:val="00A97278"/>
    <w:rsid w:val="00AA0B0F"/>
    <w:rsid w:val="00AA1403"/>
    <w:rsid w:val="00AA1825"/>
    <w:rsid w:val="00AA2808"/>
    <w:rsid w:val="00AA3990"/>
    <w:rsid w:val="00AB4146"/>
    <w:rsid w:val="00AB4803"/>
    <w:rsid w:val="00AB75ED"/>
    <w:rsid w:val="00AB7BBF"/>
    <w:rsid w:val="00AC010F"/>
    <w:rsid w:val="00AC1DE1"/>
    <w:rsid w:val="00AC4960"/>
    <w:rsid w:val="00AD2BE2"/>
    <w:rsid w:val="00AD38D6"/>
    <w:rsid w:val="00AD3E2B"/>
    <w:rsid w:val="00AE13EC"/>
    <w:rsid w:val="00AE6326"/>
    <w:rsid w:val="00AE6E61"/>
    <w:rsid w:val="00AE6EB1"/>
    <w:rsid w:val="00AE7EC3"/>
    <w:rsid w:val="00AF10E5"/>
    <w:rsid w:val="00AF3604"/>
    <w:rsid w:val="00AF6279"/>
    <w:rsid w:val="00AF78EF"/>
    <w:rsid w:val="00AF7E5E"/>
    <w:rsid w:val="00B0774B"/>
    <w:rsid w:val="00B12F24"/>
    <w:rsid w:val="00B13E12"/>
    <w:rsid w:val="00B14FA3"/>
    <w:rsid w:val="00B21568"/>
    <w:rsid w:val="00B228B8"/>
    <w:rsid w:val="00B23634"/>
    <w:rsid w:val="00B23E0D"/>
    <w:rsid w:val="00B25534"/>
    <w:rsid w:val="00B269D9"/>
    <w:rsid w:val="00B2764B"/>
    <w:rsid w:val="00B33D1C"/>
    <w:rsid w:val="00B41913"/>
    <w:rsid w:val="00B41A32"/>
    <w:rsid w:val="00B44C0D"/>
    <w:rsid w:val="00B46E2A"/>
    <w:rsid w:val="00B4750F"/>
    <w:rsid w:val="00B47B32"/>
    <w:rsid w:val="00B53AC9"/>
    <w:rsid w:val="00B53FDE"/>
    <w:rsid w:val="00B545A6"/>
    <w:rsid w:val="00B57033"/>
    <w:rsid w:val="00B57DAA"/>
    <w:rsid w:val="00B61021"/>
    <w:rsid w:val="00B61754"/>
    <w:rsid w:val="00B62854"/>
    <w:rsid w:val="00B64424"/>
    <w:rsid w:val="00B654E3"/>
    <w:rsid w:val="00B6584B"/>
    <w:rsid w:val="00B6605E"/>
    <w:rsid w:val="00B71510"/>
    <w:rsid w:val="00B71E67"/>
    <w:rsid w:val="00B72EAA"/>
    <w:rsid w:val="00B73023"/>
    <w:rsid w:val="00B76F74"/>
    <w:rsid w:val="00B82AE1"/>
    <w:rsid w:val="00B83425"/>
    <w:rsid w:val="00B85BED"/>
    <w:rsid w:val="00B86B06"/>
    <w:rsid w:val="00B86C2C"/>
    <w:rsid w:val="00B92302"/>
    <w:rsid w:val="00B9540A"/>
    <w:rsid w:val="00B96FD7"/>
    <w:rsid w:val="00BA0C59"/>
    <w:rsid w:val="00BA1CBB"/>
    <w:rsid w:val="00BA1E70"/>
    <w:rsid w:val="00BA362B"/>
    <w:rsid w:val="00BA65B4"/>
    <w:rsid w:val="00BB06A4"/>
    <w:rsid w:val="00BB2AA3"/>
    <w:rsid w:val="00BB3B36"/>
    <w:rsid w:val="00BB3E25"/>
    <w:rsid w:val="00BB7C82"/>
    <w:rsid w:val="00BC0B58"/>
    <w:rsid w:val="00BC1117"/>
    <w:rsid w:val="00BC152D"/>
    <w:rsid w:val="00BC3C01"/>
    <w:rsid w:val="00BD5FF3"/>
    <w:rsid w:val="00BE1054"/>
    <w:rsid w:val="00BE149B"/>
    <w:rsid w:val="00BE3639"/>
    <w:rsid w:val="00BE3B66"/>
    <w:rsid w:val="00BE425F"/>
    <w:rsid w:val="00BF0463"/>
    <w:rsid w:val="00BF0520"/>
    <w:rsid w:val="00BF6451"/>
    <w:rsid w:val="00C01974"/>
    <w:rsid w:val="00C0308C"/>
    <w:rsid w:val="00C03B65"/>
    <w:rsid w:val="00C0419E"/>
    <w:rsid w:val="00C05EA3"/>
    <w:rsid w:val="00C06E5A"/>
    <w:rsid w:val="00C10956"/>
    <w:rsid w:val="00C131CA"/>
    <w:rsid w:val="00C178A9"/>
    <w:rsid w:val="00C21376"/>
    <w:rsid w:val="00C222A4"/>
    <w:rsid w:val="00C249F4"/>
    <w:rsid w:val="00C24F78"/>
    <w:rsid w:val="00C253CF"/>
    <w:rsid w:val="00C279E2"/>
    <w:rsid w:val="00C326A9"/>
    <w:rsid w:val="00C35DCF"/>
    <w:rsid w:val="00C3645C"/>
    <w:rsid w:val="00C4048A"/>
    <w:rsid w:val="00C41B4C"/>
    <w:rsid w:val="00C4307D"/>
    <w:rsid w:val="00C43611"/>
    <w:rsid w:val="00C43C7E"/>
    <w:rsid w:val="00C50277"/>
    <w:rsid w:val="00C51FA5"/>
    <w:rsid w:val="00C54E40"/>
    <w:rsid w:val="00C567B7"/>
    <w:rsid w:val="00C62F53"/>
    <w:rsid w:val="00C63AE6"/>
    <w:rsid w:val="00C64A63"/>
    <w:rsid w:val="00C67246"/>
    <w:rsid w:val="00C70B77"/>
    <w:rsid w:val="00C70D22"/>
    <w:rsid w:val="00C73DB9"/>
    <w:rsid w:val="00C77200"/>
    <w:rsid w:val="00C81EF9"/>
    <w:rsid w:val="00C831CA"/>
    <w:rsid w:val="00C85706"/>
    <w:rsid w:val="00C8633F"/>
    <w:rsid w:val="00C864FF"/>
    <w:rsid w:val="00C874C4"/>
    <w:rsid w:val="00C879DD"/>
    <w:rsid w:val="00C9094F"/>
    <w:rsid w:val="00C909D0"/>
    <w:rsid w:val="00C90C6C"/>
    <w:rsid w:val="00C911BA"/>
    <w:rsid w:val="00C91605"/>
    <w:rsid w:val="00C91A07"/>
    <w:rsid w:val="00C91BA7"/>
    <w:rsid w:val="00C91D3B"/>
    <w:rsid w:val="00C925B8"/>
    <w:rsid w:val="00C9263F"/>
    <w:rsid w:val="00C92716"/>
    <w:rsid w:val="00C93B02"/>
    <w:rsid w:val="00C93D73"/>
    <w:rsid w:val="00C9469F"/>
    <w:rsid w:val="00C96B92"/>
    <w:rsid w:val="00CA1C9F"/>
    <w:rsid w:val="00CA249B"/>
    <w:rsid w:val="00CA32F8"/>
    <w:rsid w:val="00CB0A1F"/>
    <w:rsid w:val="00CB0D56"/>
    <w:rsid w:val="00CB2075"/>
    <w:rsid w:val="00CB2CA0"/>
    <w:rsid w:val="00CB559A"/>
    <w:rsid w:val="00CB5ECC"/>
    <w:rsid w:val="00CB6F6B"/>
    <w:rsid w:val="00CB72CF"/>
    <w:rsid w:val="00CB7AD5"/>
    <w:rsid w:val="00CD118F"/>
    <w:rsid w:val="00CD1B37"/>
    <w:rsid w:val="00CD1D7D"/>
    <w:rsid w:val="00CD5C01"/>
    <w:rsid w:val="00CE0C63"/>
    <w:rsid w:val="00CE1250"/>
    <w:rsid w:val="00CE3DC5"/>
    <w:rsid w:val="00CE7FEC"/>
    <w:rsid w:val="00CF0DC5"/>
    <w:rsid w:val="00CF5DEF"/>
    <w:rsid w:val="00D0377A"/>
    <w:rsid w:val="00D053CB"/>
    <w:rsid w:val="00D109B9"/>
    <w:rsid w:val="00D10D73"/>
    <w:rsid w:val="00D10FD0"/>
    <w:rsid w:val="00D122A2"/>
    <w:rsid w:val="00D15883"/>
    <w:rsid w:val="00D1726D"/>
    <w:rsid w:val="00D31641"/>
    <w:rsid w:val="00D361C4"/>
    <w:rsid w:val="00D37236"/>
    <w:rsid w:val="00D37E3A"/>
    <w:rsid w:val="00D5127D"/>
    <w:rsid w:val="00D51632"/>
    <w:rsid w:val="00D556DB"/>
    <w:rsid w:val="00D65804"/>
    <w:rsid w:val="00D66636"/>
    <w:rsid w:val="00D668CE"/>
    <w:rsid w:val="00D66ECE"/>
    <w:rsid w:val="00D67C64"/>
    <w:rsid w:val="00D72191"/>
    <w:rsid w:val="00D72E05"/>
    <w:rsid w:val="00D74328"/>
    <w:rsid w:val="00D80F97"/>
    <w:rsid w:val="00D82488"/>
    <w:rsid w:val="00D82CB3"/>
    <w:rsid w:val="00D87738"/>
    <w:rsid w:val="00D91938"/>
    <w:rsid w:val="00D93974"/>
    <w:rsid w:val="00D95085"/>
    <w:rsid w:val="00D97864"/>
    <w:rsid w:val="00D97F66"/>
    <w:rsid w:val="00DA1F59"/>
    <w:rsid w:val="00DA35C9"/>
    <w:rsid w:val="00DA4C89"/>
    <w:rsid w:val="00DA5598"/>
    <w:rsid w:val="00DA7BA5"/>
    <w:rsid w:val="00DB031C"/>
    <w:rsid w:val="00DB46B6"/>
    <w:rsid w:val="00DC026E"/>
    <w:rsid w:val="00DC0F17"/>
    <w:rsid w:val="00DC337D"/>
    <w:rsid w:val="00DD050D"/>
    <w:rsid w:val="00DD2D5B"/>
    <w:rsid w:val="00DD37A2"/>
    <w:rsid w:val="00DD3EF0"/>
    <w:rsid w:val="00DD44F5"/>
    <w:rsid w:val="00DD4C05"/>
    <w:rsid w:val="00DE0B9D"/>
    <w:rsid w:val="00DE1982"/>
    <w:rsid w:val="00DE439D"/>
    <w:rsid w:val="00DE6AD3"/>
    <w:rsid w:val="00DE7145"/>
    <w:rsid w:val="00DE74A4"/>
    <w:rsid w:val="00DE756B"/>
    <w:rsid w:val="00DF083A"/>
    <w:rsid w:val="00DF2577"/>
    <w:rsid w:val="00DF29F5"/>
    <w:rsid w:val="00DF33ED"/>
    <w:rsid w:val="00DF67F2"/>
    <w:rsid w:val="00DF6BFE"/>
    <w:rsid w:val="00DF795C"/>
    <w:rsid w:val="00E0180F"/>
    <w:rsid w:val="00E01F71"/>
    <w:rsid w:val="00E02573"/>
    <w:rsid w:val="00E02882"/>
    <w:rsid w:val="00E03AE0"/>
    <w:rsid w:val="00E04FDA"/>
    <w:rsid w:val="00E05A37"/>
    <w:rsid w:val="00E0707C"/>
    <w:rsid w:val="00E10DE1"/>
    <w:rsid w:val="00E11D99"/>
    <w:rsid w:val="00E11F74"/>
    <w:rsid w:val="00E1219C"/>
    <w:rsid w:val="00E12604"/>
    <w:rsid w:val="00E153AC"/>
    <w:rsid w:val="00E16ED8"/>
    <w:rsid w:val="00E16FF6"/>
    <w:rsid w:val="00E218A8"/>
    <w:rsid w:val="00E22260"/>
    <w:rsid w:val="00E22DD4"/>
    <w:rsid w:val="00E22E2F"/>
    <w:rsid w:val="00E23873"/>
    <w:rsid w:val="00E27F9A"/>
    <w:rsid w:val="00E31765"/>
    <w:rsid w:val="00E3186E"/>
    <w:rsid w:val="00E31EE9"/>
    <w:rsid w:val="00E3242F"/>
    <w:rsid w:val="00E333A6"/>
    <w:rsid w:val="00E36BC3"/>
    <w:rsid w:val="00E37576"/>
    <w:rsid w:val="00E37F43"/>
    <w:rsid w:val="00E455B3"/>
    <w:rsid w:val="00E51F79"/>
    <w:rsid w:val="00E52F30"/>
    <w:rsid w:val="00E56945"/>
    <w:rsid w:val="00E57D81"/>
    <w:rsid w:val="00E60FB3"/>
    <w:rsid w:val="00E61373"/>
    <w:rsid w:val="00E62AA4"/>
    <w:rsid w:val="00E6302B"/>
    <w:rsid w:val="00E63CEA"/>
    <w:rsid w:val="00E63F7F"/>
    <w:rsid w:val="00E64053"/>
    <w:rsid w:val="00E640E5"/>
    <w:rsid w:val="00E651BA"/>
    <w:rsid w:val="00E7337D"/>
    <w:rsid w:val="00E75F7A"/>
    <w:rsid w:val="00E76835"/>
    <w:rsid w:val="00E769D6"/>
    <w:rsid w:val="00E8058E"/>
    <w:rsid w:val="00E8208C"/>
    <w:rsid w:val="00E84334"/>
    <w:rsid w:val="00E854DD"/>
    <w:rsid w:val="00E86265"/>
    <w:rsid w:val="00E91E37"/>
    <w:rsid w:val="00E92951"/>
    <w:rsid w:val="00E97E16"/>
    <w:rsid w:val="00EA1515"/>
    <w:rsid w:val="00EA1BDC"/>
    <w:rsid w:val="00EA1C4E"/>
    <w:rsid w:val="00EA5CAC"/>
    <w:rsid w:val="00EB0247"/>
    <w:rsid w:val="00EB12C8"/>
    <w:rsid w:val="00EB18F3"/>
    <w:rsid w:val="00EB1DB7"/>
    <w:rsid w:val="00EB24A6"/>
    <w:rsid w:val="00EB34F9"/>
    <w:rsid w:val="00EB36F8"/>
    <w:rsid w:val="00EB3E71"/>
    <w:rsid w:val="00EC5D11"/>
    <w:rsid w:val="00EC78C3"/>
    <w:rsid w:val="00ED0833"/>
    <w:rsid w:val="00ED32BC"/>
    <w:rsid w:val="00ED3B66"/>
    <w:rsid w:val="00EE1056"/>
    <w:rsid w:val="00EE12E1"/>
    <w:rsid w:val="00EE7109"/>
    <w:rsid w:val="00EE728A"/>
    <w:rsid w:val="00EF5099"/>
    <w:rsid w:val="00EF5600"/>
    <w:rsid w:val="00EF790C"/>
    <w:rsid w:val="00F00F24"/>
    <w:rsid w:val="00F02A85"/>
    <w:rsid w:val="00F03153"/>
    <w:rsid w:val="00F04278"/>
    <w:rsid w:val="00F05E83"/>
    <w:rsid w:val="00F10509"/>
    <w:rsid w:val="00F112CD"/>
    <w:rsid w:val="00F1231E"/>
    <w:rsid w:val="00F14F20"/>
    <w:rsid w:val="00F15120"/>
    <w:rsid w:val="00F1758F"/>
    <w:rsid w:val="00F21FDE"/>
    <w:rsid w:val="00F22497"/>
    <w:rsid w:val="00F30B54"/>
    <w:rsid w:val="00F30C19"/>
    <w:rsid w:val="00F3202D"/>
    <w:rsid w:val="00F3310F"/>
    <w:rsid w:val="00F33B6D"/>
    <w:rsid w:val="00F3676B"/>
    <w:rsid w:val="00F40DAE"/>
    <w:rsid w:val="00F41021"/>
    <w:rsid w:val="00F43761"/>
    <w:rsid w:val="00F44B21"/>
    <w:rsid w:val="00F50F4C"/>
    <w:rsid w:val="00F551C9"/>
    <w:rsid w:val="00F60BE0"/>
    <w:rsid w:val="00F61E90"/>
    <w:rsid w:val="00F629FC"/>
    <w:rsid w:val="00F63337"/>
    <w:rsid w:val="00F63D44"/>
    <w:rsid w:val="00F66E49"/>
    <w:rsid w:val="00F70866"/>
    <w:rsid w:val="00F70AA5"/>
    <w:rsid w:val="00F70E69"/>
    <w:rsid w:val="00F71494"/>
    <w:rsid w:val="00F7262E"/>
    <w:rsid w:val="00F74130"/>
    <w:rsid w:val="00F74A5C"/>
    <w:rsid w:val="00F76760"/>
    <w:rsid w:val="00F81919"/>
    <w:rsid w:val="00F863F7"/>
    <w:rsid w:val="00F90D96"/>
    <w:rsid w:val="00F9275A"/>
    <w:rsid w:val="00F940FC"/>
    <w:rsid w:val="00F94736"/>
    <w:rsid w:val="00F96915"/>
    <w:rsid w:val="00F96E51"/>
    <w:rsid w:val="00FA05BB"/>
    <w:rsid w:val="00FA122F"/>
    <w:rsid w:val="00FA1D0F"/>
    <w:rsid w:val="00FA26F6"/>
    <w:rsid w:val="00FA503C"/>
    <w:rsid w:val="00FA69D0"/>
    <w:rsid w:val="00FB0EC8"/>
    <w:rsid w:val="00FB6B19"/>
    <w:rsid w:val="00FB78A6"/>
    <w:rsid w:val="00FB7A47"/>
    <w:rsid w:val="00FB7AC0"/>
    <w:rsid w:val="00FC0152"/>
    <w:rsid w:val="00FC0B07"/>
    <w:rsid w:val="00FC0C4C"/>
    <w:rsid w:val="00FC149A"/>
    <w:rsid w:val="00FC2E48"/>
    <w:rsid w:val="00FC5D65"/>
    <w:rsid w:val="00FC659C"/>
    <w:rsid w:val="00FC6C21"/>
    <w:rsid w:val="00FC6F9C"/>
    <w:rsid w:val="00FD24E4"/>
    <w:rsid w:val="00FD5E6C"/>
    <w:rsid w:val="00FE0D70"/>
    <w:rsid w:val="00FE2384"/>
    <w:rsid w:val="00FE4E99"/>
    <w:rsid w:val="00FE5CA9"/>
    <w:rsid w:val="00FF05F4"/>
    <w:rsid w:val="00FF1603"/>
    <w:rsid w:val="00FF1E11"/>
    <w:rsid w:val="00FF2EB5"/>
    <w:rsid w:val="00FF6D5B"/>
    <w:rsid w:val="00FF73CD"/>
    <w:rsid w:val="00FF75CE"/>
    <w:rsid w:val="00FF75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E6664"/>
  <w15:chartTrackingRefBased/>
  <w15:docId w15:val="{E9370B61-21C2-4B7B-9127-6D4758764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64497"/>
    <w:pPr>
      <w:keepNext/>
      <w:keepLines/>
      <w:spacing w:before="240" w:after="0"/>
      <w:outlineLvl w:val="0"/>
    </w:pPr>
    <w:rPr>
      <w:rFonts w:ascii="Garamond" w:eastAsiaTheme="majorEastAsia" w:hAnsi="Garamond" w:cstheme="majorBidi"/>
      <w:b/>
      <w:sz w:val="40"/>
      <w:szCs w:val="32"/>
    </w:rPr>
  </w:style>
  <w:style w:type="paragraph" w:styleId="Heading2">
    <w:name w:val="heading 2"/>
    <w:basedOn w:val="Normal"/>
    <w:next w:val="Normal"/>
    <w:link w:val="Heading2Char"/>
    <w:uiPriority w:val="9"/>
    <w:unhideWhenUsed/>
    <w:qFormat/>
    <w:rsid w:val="00267E1B"/>
    <w:pPr>
      <w:keepNext/>
      <w:keepLines/>
      <w:spacing w:before="40" w:after="0"/>
      <w:outlineLvl w:val="1"/>
    </w:pPr>
    <w:rPr>
      <w:rFonts w:eastAsiaTheme="majorEastAsia" w:cstheme="majorBidi"/>
      <w:b/>
      <w:szCs w:val="26"/>
    </w:rPr>
  </w:style>
  <w:style w:type="paragraph" w:styleId="Heading3">
    <w:name w:val="heading 3"/>
    <w:basedOn w:val="Normal"/>
    <w:next w:val="Normal"/>
    <w:link w:val="Heading3Char"/>
    <w:uiPriority w:val="9"/>
    <w:semiHidden/>
    <w:unhideWhenUsed/>
    <w:qFormat/>
    <w:rsid w:val="000D4A5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54CE"/>
    <w:pPr>
      <w:ind w:left="720"/>
      <w:contextualSpacing/>
    </w:pPr>
  </w:style>
  <w:style w:type="paragraph" w:styleId="Bibliography">
    <w:name w:val="Bibliography"/>
    <w:basedOn w:val="Normal"/>
    <w:next w:val="Normal"/>
    <w:uiPriority w:val="37"/>
    <w:unhideWhenUsed/>
    <w:rsid w:val="000600CD"/>
    <w:pPr>
      <w:spacing w:after="240" w:line="240" w:lineRule="auto"/>
    </w:pPr>
  </w:style>
  <w:style w:type="table" w:styleId="TableGrid">
    <w:name w:val="Table Grid"/>
    <w:basedOn w:val="TableNormal"/>
    <w:uiPriority w:val="39"/>
    <w:rsid w:val="00541D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109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09B9"/>
  </w:style>
  <w:style w:type="paragraph" w:styleId="Footer">
    <w:name w:val="footer"/>
    <w:basedOn w:val="Normal"/>
    <w:link w:val="FooterChar"/>
    <w:uiPriority w:val="99"/>
    <w:unhideWhenUsed/>
    <w:rsid w:val="00D109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09B9"/>
  </w:style>
  <w:style w:type="character" w:styleId="LineNumber">
    <w:name w:val="line number"/>
    <w:basedOn w:val="DefaultParagraphFont"/>
    <w:uiPriority w:val="99"/>
    <w:semiHidden/>
    <w:unhideWhenUsed/>
    <w:rsid w:val="00D109B9"/>
  </w:style>
  <w:style w:type="character" w:customStyle="1" w:styleId="Heading1Char">
    <w:name w:val="Heading 1 Char"/>
    <w:basedOn w:val="DefaultParagraphFont"/>
    <w:link w:val="Heading1"/>
    <w:uiPriority w:val="9"/>
    <w:rsid w:val="00664497"/>
    <w:rPr>
      <w:rFonts w:ascii="Garamond" w:eastAsiaTheme="majorEastAsia" w:hAnsi="Garamond" w:cstheme="majorBidi"/>
      <w:b/>
      <w:sz w:val="40"/>
      <w:szCs w:val="32"/>
    </w:rPr>
  </w:style>
  <w:style w:type="character" w:customStyle="1" w:styleId="Heading2Char">
    <w:name w:val="Heading 2 Char"/>
    <w:basedOn w:val="DefaultParagraphFont"/>
    <w:link w:val="Heading2"/>
    <w:uiPriority w:val="9"/>
    <w:rsid w:val="00267E1B"/>
    <w:rPr>
      <w:rFonts w:eastAsiaTheme="majorEastAsia" w:cstheme="majorBidi"/>
      <w:b/>
      <w:szCs w:val="26"/>
    </w:rPr>
  </w:style>
  <w:style w:type="paragraph" w:styleId="TOC1">
    <w:name w:val="toc 1"/>
    <w:basedOn w:val="Normal"/>
    <w:next w:val="Normal"/>
    <w:autoRedefine/>
    <w:uiPriority w:val="39"/>
    <w:unhideWhenUsed/>
    <w:rsid w:val="00F15120"/>
    <w:pPr>
      <w:spacing w:after="100"/>
    </w:pPr>
    <w:rPr>
      <w:rFonts w:ascii="Calibri" w:hAnsi="Calibri"/>
    </w:rPr>
  </w:style>
  <w:style w:type="paragraph" w:styleId="TOC2">
    <w:name w:val="toc 2"/>
    <w:basedOn w:val="Normal"/>
    <w:next w:val="Normal"/>
    <w:autoRedefine/>
    <w:uiPriority w:val="39"/>
    <w:unhideWhenUsed/>
    <w:rsid w:val="0062077D"/>
    <w:pPr>
      <w:spacing w:after="100"/>
      <w:ind w:left="255"/>
    </w:pPr>
  </w:style>
  <w:style w:type="character" w:styleId="Hyperlink">
    <w:name w:val="Hyperlink"/>
    <w:basedOn w:val="DefaultParagraphFont"/>
    <w:uiPriority w:val="99"/>
    <w:unhideWhenUsed/>
    <w:rsid w:val="00E22260"/>
    <w:rPr>
      <w:color w:val="0563C1" w:themeColor="hyperlink"/>
      <w:u w:val="single"/>
    </w:rPr>
  </w:style>
  <w:style w:type="character" w:customStyle="1" w:styleId="Heading3Char">
    <w:name w:val="Heading 3 Char"/>
    <w:basedOn w:val="DefaultParagraphFont"/>
    <w:link w:val="Heading3"/>
    <w:uiPriority w:val="9"/>
    <w:semiHidden/>
    <w:rsid w:val="000D4A5D"/>
    <w:rPr>
      <w:rFonts w:asciiTheme="majorHAnsi" w:eastAsiaTheme="majorEastAsia" w:hAnsiTheme="majorHAnsi" w:cstheme="majorBidi"/>
      <w:color w:val="1F4D78" w:themeColor="accent1" w:themeShade="7F"/>
      <w:sz w:val="24"/>
      <w:szCs w:val="24"/>
    </w:rPr>
  </w:style>
  <w:style w:type="paragraph" w:styleId="TOC3">
    <w:name w:val="toc 3"/>
    <w:basedOn w:val="Normal"/>
    <w:next w:val="Normal"/>
    <w:autoRedefine/>
    <w:uiPriority w:val="39"/>
    <w:unhideWhenUsed/>
    <w:rsid w:val="00B61754"/>
    <w:pPr>
      <w:spacing w:after="100"/>
      <w:ind w:left="440"/>
    </w:pPr>
  </w:style>
  <w:style w:type="character" w:customStyle="1" w:styleId="ng-binding">
    <w:name w:val="ng-binding"/>
    <w:basedOn w:val="DefaultParagraphFont"/>
    <w:rsid w:val="002B597F"/>
  </w:style>
  <w:style w:type="paragraph" w:customStyle="1" w:styleId="Figure">
    <w:name w:val="Figure"/>
    <w:basedOn w:val="Normal"/>
    <w:link w:val="FigureChar"/>
    <w:qFormat/>
    <w:rsid w:val="00ED32BC"/>
    <w:pPr>
      <w:spacing w:after="0" w:line="480" w:lineRule="auto"/>
    </w:pPr>
    <w:rPr>
      <w:b/>
    </w:rPr>
  </w:style>
  <w:style w:type="paragraph" w:styleId="TableofFigures">
    <w:name w:val="table of figures"/>
    <w:basedOn w:val="Normal"/>
    <w:next w:val="Normal"/>
    <w:uiPriority w:val="99"/>
    <w:unhideWhenUsed/>
    <w:rsid w:val="00ED32BC"/>
    <w:pPr>
      <w:spacing w:after="0"/>
      <w:ind w:left="765" w:hanging="765"/>
    </w:pPr>
  </w:style>
  <w:style w:type="paragraph" w:customStyle="1" w:styleId="Table">
    <w:name w:val="Table"/>
    <w:basedOn w:val="Normal"/>
    <w:link w:val="TableChar"/>
    <w:qFormat/>
    <w:rsid w:val="00FC659C"/>
    <w:pPr>
      <w:spacing w:after="0"/>
    </w:pPr>
    <w:rPr>
      <w:b/>
    </w:rPr>
  </w:style>
  <w:style w:type="character" w:customStyle="1" w:styleId="FigureChar">
    <w:name w:val="Figure Char"/>
    <w:basedOn w:val="DefaultParagraphFont"/>
    <w:link w:val="Figure"/>
    <w:rsid w:val="00ED32BC"/>
    <w:rPr>
      <w:b/>
    </w:rPr>
  </w:style>
  <w:style w:type="character" w:customStyle="1" w:styleId="TableChar">
    <w:name w:val="Table Char"/>
    <w:basedOn w:val="DefaultParagraphFont"/>
    <w:link w:val="Table"/>
    <w:rsid w:val="00FC659C"/>
    <w:rPr>
      <w:b/>
    </w:rPr>
  </w:style>
  <w:style w:type="character" w:styleId="FollowedHyperlink">
    <w:name w:val="FollowedHyperlink"/>
    <w:basedOn w:val="DefaultParagraphFont"/>
    <w:uiPriority w:val="99"/>
    <w:semiHidden/>
    <w:unhideWhenUsed/>
    <w:rsid w:val="006E4BF8"/>
    <w:rPr>
      <w:color w:val="954F72" w:themeColor="followedHyperlink"/>
      <w:u w:val="single"/>
    </w:rPr>
  </w:style>
  <w:style w:type="character" w:styleId="CommentReference">
    <w:name w:val="annotation reference"/>
    <w:basedOn w:val="DefaultParagraphFont"/>
    <w:uiPriority w:val="99"/>
    <w:semiHidden/>
    <w:unhideWhenUsed/>
    <w:rsid w:val="00846117"/>
    <w:rPr>
      <w:sz w:val="16"/>
      <w:szCs w:val="16"/>
    </w:rPr>
  </w:style>
  <w:style w:type="paragraph" w:styleId="CommentText">
    <w:name w:val="annotation text"/>
    <w:basedOn w:val="Normal"/>
    <w:link w:val="CommentTextChar"/>
    <w:uiPriority w:val="99"/>
    <w:semiHidden/>
    <w:unhideWhenUsed/>
    <w:rsid w:val="00846117"/>
    <w:pPr>
      <w:spacing w:line="240" w:lineRule="auto"/>
    </w:pPr>
    <w:rPr>
      <w:sz w:val="20"/>
      <w:szCs w:val="20"/>
    </w:rPr>
  </w:style>
  <w:style w:type="character" w:customStyle="1" w:styleId="CommentTextChar">
    <w:name w:val="Comment Text Char"/>
    <w:basedOn w:val="DefaultParagraphFont"/>
    <w:link w:val="CommentText"/>
    <w:uiPriority w:val="99"/>
    <w:semiHidden/>
    <w:rsid w:val="00846117"/>
    <w:rPr>
      <w:sz w:val="20"/>
      <w:szCs w:val="20"/>
    </w:rPr>
  </w:style>
  <w:style w:type="paragraph" w:styleId="CommentSubject">
    <w:name w:val="annotation subject"/>
    <w:basedOn w:val="CommentText"/>
    <w:next w:val="CommentText"/>
    <w:link w:val="CommentSubjectChar"/>
    <w:uiPriority w:val="99"/>
    <w:semiHidden/>
    <w:unhideWhenUsed/>
    <w:rsid w:val="00846117"/>
    <w:rPr>
      <w:b/>
      <w:bCs/>
    </w:rPr>
  </w:style>
  <w:style w:type="character" w:customStyle="1" w:styleId="CommentSubjectChar">
    <w:name w:val="Comment Subject Char"/>
    <w:basedOn w:val="CommentTextChar"/>
    <w:link w:val="CommentSubject"/>
    <w:uiPriority w:val="99"/>
    <w:semiHidden/>
    <w:rsid w:val="00846117"/>
    <w:rPr>
      <w:b/>
      <w:bCs/>
      <w:sz w:val="20"/>
      <w:szCs w:val="20"/>
    </w:rPr>
  </w:style>
  <w:style w:type="paragraph" w:styleId="BalloonText">
    <w:name w:val="Balloon Text"/>
    <w:basedOn w:val="Normal"/>
    <w:link w:val="BalloonTextChar"/>
    <w:uiPriority w:val="99"/>
    <w:semiHidden/>
    <w:unhideWhenUsed/>
    <w:rsid w:val="008461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6117"/>
    <w:rPr>
      <w:rFonts w:ascii="Segoe UI" w:hAnsi="Segoe UI" w:cs="Segoe UI"/>
      <w:sz w:val="18"/>
      <w:szCs w:val="18"/>
    </w:rPr>
  </w:style>
  <w:style w:type="character" w:customStyle="1" w:styleId="cit-auth">
    <w:name w:val="cit-auth"/>
    <w:basedOn w:val="DefaultParagraphFont"/>
    <w:rsid w:val="00CD1B37"/>
  </w:style>
  <w:style w:type="character" w:customStyle="1" w:styleId="cit-name-surname">
    <w:name w:val="cit-name-surname"/>
    <w:basedOn w:val="DefaultParagraphFont"/>
    <w:rsid w:val="00CD1B37"/>
  </w:style>
  <w:style w:type="character" w:customStyle="1" w:styleId="cit-name-given-names">
    <w:name w:val="cit-name-given-names"/>
    <w:basedOn w:val="DefaultParagraphFont"/>
    <w:rsid w:val="00CD1B37"/>
  </w:style>
  <w:style w:type="character" w:customStyle="1" w:styleId="cit-etal">
    <w:name w:val="cit-etal"/>
    <w:basedOn w:val="DefaultParagraphFont"/>
    <w:rsid w:val="00CD1B37"/>
  </w:style>
  <w:style w:type="character" w:styleId="HTMLCite">
    <w:name w:val="HTML Cite"/>
    <w:basedOn w:val="DefaultParagraphFont"/>
    <w:uiPriority w:val="99"/>
    <w:semiHidden/>
    <w:unhideWhenUsed/>
    <w:rsid w:val="00CD1B37"/>
    <w:rPr>
      <w:i/>
      <w:iCs/>
    </w:rPr>
  </w:style>
  <w:style w:type="character" w:customStyle="1" w:styleId="cit-article-title">
    <w:name w:val="cit-article-title"/>
    <w:basedOn w:val="DefaultParagraphFont"/>
    <w:rsid w:val="00CD1B37"/>
  </w:style>
  <w:style w:type="character" w:customStyle="1" w:styleId="cit-pub-date">
    <w:name w:val="cit-pub-date"/>
    <w:basedOn w:val="DefaultParagraphFont"/>
    <w:rsid w:val="00CD1B37"/>
  </w:style>
  <w:style w:type="character" w:customStyle="1" w:styleId="cit-vol">
    <w:name w:val="cit-vol"/>
    <w:basedOn w:val="DefaultParagraphFont"/>
    <w:rsid w:val="00CD1B37"/>
  </w:style>
  <w:style w:type="character" w:customStyle="1" w:styleId="cit-elocation-id">
    <w:name w:val="cit-elocation-id"/>
    <w:basedOn w:val="DefaultParagraphFont"/>
    <w:rsid w:val="00CD1B37"/>
  </w:style>
  <w:style w:type="character" w:customStyle="1" w:styleId="cit-fpage">
    <w:name w:val="cit-fpage"/>
    <w:basedOn w:val="DefaultParagraphFont"/>
    <w:rsid w:val="00CD1B37"/>
  </w:style>
  <w:style w:type="character" w:customStyle="1" w:styleId="cit-lpage">
    <w:name w:val="cit-lpage"/>
    <w:basedOn w:val="DefaultParagraphFont"/>
    <w:rsid w:val="00CD1B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256444">
      <w:bodyDiv w:val="1"/>
      <w:marLeft w:val="0"/>
      <w:marRight w:val="0"/>
      <w:marTop w:val="0"/>
      <w:marBottom w:val="0"/>
      <w:divBdr>
        <w:top w:val="none" w:sz="0" w:space="0" w:color="auto"/>
        <w:left w:val="none" w:sz="0" w:space="0" w:color="auto"/>
        <w:bottom w:val="none" w:sz="0" w:space="0" w:color="auto"/>
        <w:right w:val="none" w:sz="0" w:space="0" w:color="auto"/>
      </w:divBdr>
      <w:divsChild>
        <w:div w:id="1707291687">
          <w:marLeft w:val="0"/>
          <w:marRight w:val="0"/>
          <w:marTop w:val="0"/>
          <w:marBottom w:val="0"/>
          <w:divBdr>
            <w:top w:val="none" w:sz="0" w:space="0" w:color="auto"/>
            <w:left w:val="none" w:sz="0" w:space="0" w:color="auto"/>
            <w:bottom w:val="none" w:sz="0" w:space="0" w:color="auto"/>
            <w:right w:val="none" w:sz="0" w:space="0" w:color="auto"/>
          </w:divBdr>
        </w:div>
        <w:div w:id="1415010950">
          <w:marLeft w:val="0"/>
          <w:marRight w:val="0"/>
          <w:marTop w:val="0"/>
          <w:marBottom w:val="0"/>
          <w:divBdr>
            <w:top w:val="none" w:sz="0" w:space="0" w:color="auto"/>
            <w:left w:val="none" w:sz="0" w:space="0" w:color="auto"/>
            <w:bottom w:val="none" w:sz="0" w:space="0" w:color="auto"/>
            <w:right w:val="none" w:sz="0" w:space="0" w:color="auto"/>
          </w:divBdr>
        </w:div>
        <w:div w:id="1593195864">
          <w:marLeft w:val="0"/>
          <w:marRight w:val="0"/>
          <w:marTop w:val="0"/>
          <w:marBottom w:val="0"/>
          <w:divBdr>
            <w:top w:val="none" w:sz="0" w:space="0" w:color="auto"/>
            <w:left w:val="none" w:sz="0" w:space="0" w:color="auto"/>
            <w:bottom w:val="none" w:sz="0" w:space="0" w:color="auto"/>
            <w:right w:val="none" w:sz="0" w:space="0" w:color="auto"/>
          </w:divBdr>
        </w:div>
        <w:div w:id="2076509858">
          <w:marLeft w:val="0"/>
          <w:marRight w:val="0"/>
          <w:marTop w:val="0"/>
          <w:marBottom w:val="0"/>
          <w:divBdr>
            <w:top w:val="none" w:sz="0" w:space="0" w:color="auto"/>
            <w:left w:val="none" w:sz="0" w:space="0" w:color="auto"/>
            <w:bottom w:val="none" w:sz="0" w:space="0" w:color="auto"/>
            <w:right w:val="none" w:sz="0" w:space="0" w:color="auto"/>
          </w:divBdr>
        </w:div>
      </w:divsChild>
    </w:div>
    <w:div w:id="405804549">
      <w:bodyDiv w:val="1"/>
      <w:marLeft w:val="0"/>
      <w:marRight w:val="0"/>
      <w:marTop w:val="0"/>
      <w:marBottom w:val="0"/>
      <w:divBdr>
        <w:top w:val="none" w:sz="0" w:space="0" w:color="auto"/>
        <w:left w:val="none" w:sz="0" w:space="0" w:color="auto"/>
        <w:bottom w:val="none" w:sz="0" w:space="0" w:color="auto"/>
        <w:right w:val="none" w:sz="0" w:space="0" w:color="auto"/>
      </w:divBdr>
    </w:div>
    <w:div w:id="651561701">
      <w:bodyDiv w:val="1"/>
      <w:marLeft w:val="0"/>
      <w:marRight w:val="0"/>
      <w:marTop w:val="0"/>
      <w:marBottom w:val="0"/>
      <w:divBdr>
        <w:top w:val="none" w:sz="0" w:space="0" w:color="auto"/>
        <w:left w:val="none" w:sz="0" w:space="0" w:color="auto"/>
        <w:bottom w:val="none" w:sz="0" w:space="0" w:color="auto"/>
        <w:right w:val="none" w:sz="0" w:space="0" w:color="auto"/>
      </w:divBdr>
      <w:divsChild>
        <w:div w:id="1573271240">
          <w:marLeft w:val="0"/>
          <w:marRight w:val="0"/>
          <w:marTop w:val="0"/>
          <w:marBottom w:val="0"/>
          <w:divBdr>
            <w:top w:val="none" w:sz="0" w:space="0" w:color="auto"/>
            <w:left w:val="none" w:sz="0" w:space="0" w:color="auto"/>
            <w:bottom w:val="none" w:sz="0" w:space="0" w:color="auto"/>
            <w:right w:val="none" w:sz="0" w:space="0" w:color="auto"/>
          </w:divBdr>
        </w:div>
        <w:div w:id="778796630">
          <w:marLeft w:val="0"/>
          <w:marRight w:val="0"/>
          <w:marTop w:val="0"/>
          <w:marBottom w:val="0"/>
          <w:divBdr>
            <w:top w:val="none" w:sz="0" w:space="0" w:color="auto"/>
            <w:left w:val="none" w:sz="0" w:space="0" w:color="auto"/>
            <w:bottom w:val="none" w:sz="0" w:space="0" w:color="auto"/>
            <w:right w:val="none" w:sz="0" w:space="0" w:color="auto"/>
          </w:divBdr>
        </w:div>
        <w:div w:id="1395161294">
          <w:marLeft w:val="0"/>
          <w:marRight w:val="0"/>
          <w:marTop w:val="0"/>
          <w:marBottom w:val="0"/>
          <w:divBdr>
            <w:top w:val="none" w:sz="0" w:space="0" w:color="auto"/>
            <w:left w:val="none" w:sz="0" w:space="0" w:color="auto"/>
            <w:bottom w:val="none" w:sz="0" w:space="0" w:color="auto"/>
            <w:right w:val="none" w:sz="0" w:space="0" w:color="auto"/>
          </w:divBdr>
        </w:div>
      </w:divsChild>
    </w:div>
    <w:div w:id="1070927363">
      <w:bodyDiv w:val="1"/>
      <w:marLeft w:val="0"/>
      <w:marRight w:val="0"/>
      <w:marTop w:val="0"/>
      <w:marBottom w:val="0"/>
      <w:divBdr>
        <w:top w:val="none" w:sz="0" w:space="0" w:color="auto"/>
        <w:left w:val="none" w:sz="0" w:space="0" w:color="auto"/>
        <w:bottom w:val="none" w:sz="0" w:space="0" w:color="auto"/>
        <w:right w:val="none" w:sz="0" w:space="0" w:color="auto"/>
      </w:divBdr>
    </w:div>
    <w:div w:id="1092435846">
      <w:bodyDiv w:val="1"/>
      <w:marLeft w:val="0"/>
      <w:marRight w:val="0"/>
      <w:marTop w:val="0"/>
      <w:marBottom w:val="0"/>
      <w:divBdr>
        <w:top w:val="none" w:sz="0" w:space="0" w:color="auto"/>
        <w:left w:val="none" w:sz="0" w:space="0" w:color="auto"/>
        <w:bottom w:val="none" w:sz="0" w:space="0" w:color="auto"/>
        <w:right w:val="none" w:sz="0" w:space="0" w:color="auto"/>
      </w:divBdr>
    </w:div>
    <w:div w:id="1104769677">
      <w:bodyDiv w:val="1"/>
      <w:marLeft w:val="0"/>
      <w:marRight w:val="0"/>
      <w:marTop w:val="0"/>
      <w:marBottom w:val="0"/>
      <w:divBdr>
        <w:top w:val="none" w:sz="0" w:space="0" w:color="auto"/>
        <w:left w:val="none" w:sz="0" w:space="0" w:color="auto"/>
        <w:bottom w:val="none" w:sz="0" w:space="0" w:color="auto"/>
        <w:right w:val="none" w:sz="0" w:space="0" w:color="auto"/>
      </w:divBdr>
      <w:divsChild>
        <w:div w:id="2146583829">
          <w:marLeft w:val="0"/>
          <w:marRight w:val="0"/>
          <w:marTop w:val="0"/>
          <w:marBottom w:val="0"/>
          <w:divBdr>
            <w:top w:val="none" w:sz="0" w:space="0" w:color="auto"/>
            <w:left w:val="none" w:sz="0" w:space="0" w:color="auto"/>
            <w:bottom w:val="none" w:sz="0" w:space="0" w:color="auto"/>
            <w:right w:val="none" w:sz="0" w:space="0" w:color="auto"/>
          </w:divBdr>
        </w:div>
      </w:divsChild>
    </w:div>
    <w:div w:id="1146894253">
      <w:bodyDiv w:val="1"/>
      <w:marLeft w:val="0"/>
      <w:marRight w:val="0"/>
      <w:marTop w:val="0"/>
      <w:marBottom w:val="0"/>
      <w:divBdr>
        <w:top w:val="none" w:sz="0" w:space="0" w:color="auto"/>
        <w:left w:val="none" w:sz="0" w:space="0" w:color="auto"/>
        <w:bottom w:val="none" w:sz="0" w:space="0" w:color="auto"/>
        <w:right w:val="none" w:sz="0" w:space="0" w:color="auto"/>
      </w:divBdr>
    </w:div>
    <w:div w:id="1219126280">
      <w:bodyDiv w:val="1"/>
      <w:marLeft w:val="0"/>
      <w:marRight w:val="0"/>
      <w:marTop w:val="0"/>
      <w:marBottom w:val="0"/>
      <w:divBdr>
        <w:top w:val="none" w:sz="0" w:space="0" w:color="auto"/>
        <w:left w:val="none" w:sz="0" w:space="0" w:color="auto"/>
        <w:bottom w:val="none" w:sz="0" w:space="0" w:color="auto"/>
        <w:right w:val="none" w:sz="0" w:space="0" w:color="auto"/>
      </w:divBdr>
    </w:div>
    <w:div w:id="1443305079">
      <w:bodyDiv w:val="1"/>
      <w:marLeft w:val="0"/>
      <w:marRight w:val="0"/>
      <w:marTop w:val="0"/>
      <w:marBottom w:val="0"/>
      <w:divBdr>
        <w:top w:val="none" w:sz="0" w:space="0" w:color="auto"/>
        <w:left w:val="none" w:sz="0" w:space="0" w:color="auto"/>
        <w:bottom w:val="none" w:sz="0" w:space="0" w:color="auto"/>
        <w:right w:val="none" w:sz="0" w:space="0" w:color="auto"/>
      </w:divBdr>
    </w:div>
    <w:div w:id="1888299427">
      <w:bodyDiv w:val="1"/>
      <w:marLeft w:val="0"/>
      <w:marRight w:val="0"/>
      <w:marTop w:val="0"/>
      <w:marBottom w:val="0"/>
      <w:divBdr>
        <w:top w:val="none" w:sz="0" w:space="0" w:color="auto"/>
        <w:left w:val="none" w:sz="0" w:space="0" w:color="auto"/>
        <w:bottom w:val="none" w:sz="0" w:space="0" w:color="auto"/>
        <w:right w:val="none" w:sz="0" w:space="0" w:color="auto"/>
      </w:divBdr>
    </w:div>
    <w:div w:id="1944914659">
      <w:bodyDiv w:val="1"/>
      <w:marLeft w:val="0"/>
      <w:marRight w:val="0"/>
      <w:marTop w:val="0"/>
      <w:marBottom w:val="0"/>
      <w:divBdr>
        <w:top w:val="none" w:sz="0" w:space="0" w:color="auto"/>
        <w:left w:val="none" w:sz="0" w:space="0" w:color="auto"/>
        <w:bottom w:val="none" w:sz="0" w:space="0" w:color="auto"/>
        <w:right w:val="none" w:sz="0" w:space="0" w:color="auto"/>
      </w:divBdr>
      <w:divsChild>
        <w:div w:id="1018121301">
          <w:marLeft w:val="0"/>
          <w:marRight w:val="0"/>
          <w:marTop w:val="0"/>
          <w:marBottom w:val="0"/>
          <w:divBdr>
            <w:top w:val="none" w:sz="0" w:space="0" w:color="auto"/>
            <w:left w:val="none" w:sz="0" w:space="0" w:color="auto"/>
            <w:bottom w:val="none" w:sz="0" w:space="0" w:color="auto"/>
            <w:right w:val="none" w:sz="0" w:space="0" w:color="auto"/>
          </w:divBdr>
        </w:div>
        <w:div w:id="1872691528">
          <w:marLeft w:val="0"/>
          <w:marRight w:val="0"/>
          <w:marTop w:val="0"/>
          <w:marBottom w:val="0"/>
          <w:divBdr>
            <w:top w:val="none" w:sz="0" w:space="0" w:color="auto"/>
            <w:left w:val="none" w:sz="0" w:space="0" w:color="auto"/>
            <w:bottom w:val="none" w:sz="0" w:space="0" w:color="auto"/>
            <w:right w:val="none" w:sz="0" w:space="0" w:color="auto"/>
          </w:divBdr>
          <w:divsChild>
            <w:div w:id="1206257571">
              <w:marLeft w:val="0"/>
              <w:marRight w:val="0"/>
              <w:marTop w:val="0"/>
              <w:marBottom w:val="0"/>
              <w:divBdr>
                <w:top w:val="none" w:sz="0" w:space="0" w:color="auto"/>
                <w:left w:val="none" w:sz="0" w:space="0" w:color="auto"/>
                <w:bottom w:val="none" w:sz="0" w:space="0" w:color="auto"/>
                <w:right w:val="none" w:sz="0" w:space="0" w:color="auto"/>
              </w:divBdr>
            </w:div>
            <w:div w:id="154734683">
              <w:marLeft w:val="0"/>
              <w:marRight w:val="0"/>
              <w:marTop w:val="0"/>
              <w:marBottom w:val="0"/>
              <w:divBdr>
                <w:top w:val="none" w:sz="0" w:space="0" w:color="auto"/>
                <w:left w:val="none" w:sz="0" w:space="0" w:color="auto"/>
                <w:bottom w:val="none" w:sz="0" w:space="0" w:color="auto"/>
                <w:right w:val="none" w:sz="0" w:space="0" w:color="auto"/>
              </w:divBdr>
            </w:div>
          </w:divsChild>
        </w:div>
        <w:div w:id="1394355605">
          <w:marLeft w:val="0"/>
          <w:marRight w:val="0"/>
          <w:marTop w:val="0"/>
          <w:marBottom w:val="0"/>
          <w:divBdr>
            <w:top w:val="none" w:sz="0" w:space="0" w:color="auto"/>
            <w:left w:val="none" w:sz="0" w:space="0" w:color="auto"/>
            <w:bottom w:val="none" w:sz="0" w:space="0" w:color="auto"/>
            <w:right w:val="none" w:sz="0" w:space="0" w:color="auto"/>
          </w:divBdr>
          <w:divsChild>
            <w:div w:id="1764449287">
              <w:marLeft w:val="0"/>
              <w:marRight w:val="0"/>
              <w:marTop w:val="0"/>
              <w:marBottom w:val="0"/>
              <w:divBdr>
                <w:top w:val="none" w:sz="0" w:space="0" w:color="auto"/>
                <w:left w:val="none" w:sz="0" w:space="0" w:color="auto"/>
                <w:bottom w:val="none" w:sz="0" w:space="0" w:color="auto"/>
                <w:right w:val="none" w:sz="0" w:space="0" w:color="auto"/>
              </w:divBdr>
            </w:div>
            <w:div w:id="497694816">
              <w:marLeft w:val="0"/>
              <w:marRight w:val="0"/>
              <w:marTop w:val="0"/>
              <w:marBottom w:val="0"/>
              <w:divBdr>
                <w:top w:val="none" w:sz="0" w:space="0" w:color="auto"/>
                <w:left w:val="none" w:sz="0" w:space="0" w:color="auto"/>
                <w:bottom w:val="none" w:sz="0" w:space="0" w:color="auto"/>
                <w:right w:val="none" w:sz="0" w:space="0" w:color="auto"/>
              </w:divBdr>
            </w:div>
          </w:divsChild>
        </w:div>
        <w:div w:id="1461653942">
          <w:marLeft w:val="0"/>
          <w:marRight w:val="0"/>
          <w:marTop w:val="0"/>
          <w:marBottom w:val="0"/>
          <w:divBdr>
            <w:top w:val="none" w:sz="0" w:space="0" w:color="auto"/>
            <w:left w:val="none" w:sz="0" w:space="0" w:color="auto"/>
            <w:bottom w:val="none" w:sz="0" w:space="0" w:color="auto"/>
            <w:right w:val="none" w:sz="0" w:space="0" w:color="auto"/>
          </w:divBdr>
          <w:divsChild>
            <w:div w:id="1117601086">
              <w:marLeft w:val="0"/>
              <w:marRight w:val="0"/>
              <w:marTop w:val="0"/>
              <w:marBottom w:val="0"/>
              <w:divBdr>
                <w:top w:val="none" w:sz="0" w:space="0" w:color="auto"/>
                <w:left w:val="none" w:sz="0" w:space="0" w:color="auto"/>
                <w:bottom w:val="none" w:sz="0" w:space="0" w:color="auto"/>
                <w:right w:val="none" w:sz="0" w:space="0" w:color="auto"/>
              </w:divBdr>
            </w:div>
            <w:div w:id="205712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884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1C0578-25F2-48B5-95E1-FC049CD0C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22958</Words>
  <Characters>130867</Characters>
  <Application>Microsoft Office Word</Application>
  <DocSecurity>0</DocSecurity>
  <Lines>1090</Lines>
  <Paragraphs>307</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153518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Inns, Thomas</dc:creator>
  <cp:keywords/>
  <dc:description/>
  <cp:lastModifiedBy>Hungerford, Dan</cp:lastModifiedBy>
  <cp:revision>2</cp:revision>
  <cp:lastPrinted>2020-09-11T07:41:00Z</cp:lastPrinted>
  <dcterms:created xsi:type="dcterms:W3CDTF">2021-05-26T11:05:00Z</dcterms:created>
  <dcterms:modified xsi:type="dcterms:W3CDTF">2021-05-26T11:05:00Z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zotero-version="5.0.96"&gt;&lt;session id="f5DPIqS8"/&gt;&lt;style id="http://www.zotero.org/styles/bmc-medicine" hasBibliography="1" bibliographyStyleHasBeenSet="1"/&gt;&lt;prefs&gt;&lt;pref name="fieldType" value="Field"/&gt;&lt;pref name="automaticJournalAbbr</vt:lpwstr>
  </property>
  <property fmtid="{D5CDD505-2E9C-101B-9397-08002B2CF9AE}" pid="3" name="ZOTERO_PREF_2">
    <vt:lpwstr>eviations" value="true"/&gt;&lt;/prefs&gt;&lt;/data&gt;</vt:lpwstr>
  </property>
</Properties>
</file>