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BA0A3" w14:textId="77777777" w:rsidR="0065537A" w:rsidRPr="001C7B25" w:rsidRDefault="0065537A" w:rsidP="0065537A">
      <w:pPr>
        <w:spacing w:line="480" w:lineRule="auto"/>
        <w:rPr>
          <w:rFonts w:ascii="Times New Roman" w:hAnsi="Times New Roman" w:cs="Times New Roman"/>
          <w:b/>
          <w:color w:val="000000" w:themeColor="text1"/>
          <w:sz w:val="24"/>
          <w:szCs w:val="24"/>
        </w:rPr>
      </w:pPr>
      <w:bookmarkStart w:id="0" w:name="_GoBack"/>
      <w:bookmarkEnd w:id="0"/>
      <w:r w:rsidRPr="001C7B25">
        <w:rPr>
          <w:rFonts w:ascii="Times New Roman" w:hAnsi="Times New Roman" w:cs="Times New Roman"/>
          <w:b/>
          <w:color w:val="000000" w:themeColor="text1"/>
          <w:sz w:val="24"/>
          <w:szCs w:val="24"/>
        </w:rPr>
        <w:t>Title page</w:t>
      </w:r>
    </w:p>
    <w:p w14:paraId="0564FAF0" w14:textId="18755ED1" w:rsidR="004732D4" w:rsidRPr="001C7B25" w:rsidRDefault="00817D82" w:rsidP="0065537A">
      <w:pPr>
        <w:spacing w:line="480" w:lineRule="auto"/>
        <w:rPr>
          <w:rFonts w:ascii="Times New Roman" w:hAnsi="Times New Roman" w:cs="Times New Roman"/>
          <w:b/>
          <w:color w:val="000000" w:themeColor="text1"/>
          <w:sz w:val="24"/>
          <w:szCs w:val="24"/>
        </w:rPr>
      </w:pPr>
      <w:r w:rsidRPr="001C7B25">
        <w:rPr>
          <w:rFonts w:ascii="Times New Roman" w:hAnsi="Times New Roman" w:cs="Times New Roman"/>
          <w:b/>
          <w:color w:val="000000" w:themeColor="text1"/>
          <w:sz w:val="24"/>
          <w:szCs w:val="24"/>
        </w:rPr>
        <w:t>C</w:t>
      </w:r>
      <w:r w:rsidR="00895585" w:rsidRPr="001C7B25">
        <w:rPr>
          <w:rFonts w:ascii="Times New Roman" w:hAnsi="Times New Roman" w:cs="Times New Roman"/>
          <w:b/>
          <w:color w:val="000000" w:themeColor="text1"/>
          <w:sz w:val="24"/>
          <w:szCs w:val="24"/>
        </w:rPr>
        <w:t xml:space="preserve">omparison of the </w:t>
      </w:r>
      <w:r w:rsidR="0000580E" w:rsidRPr="001C7B25">
        <w:rPr>
          <w:rFonts w:ascii="Times New Roman" w:hAnsi="Times New Roman" w:cs="Times New Roman"/>
          <w:b/>
          <w:color w:val="000000" w:themeColor="text1"/>
          <w:sz w:val="24"/>
          <w:szCs w:val="24"/>
        </w:rPr>
        <w:t xml:space="preserve">prognosis </w:t>
      </w:r>
      <w:r w:rsidR="00EB2A12" w:rsidRPr="001C7B25">
        <w:rPr>
          <w:rFonts w:ascii="Times New Roman" w:hAnsi="Times New Roman" w:cs="Times New Roman"/>
          <w:b/>
          <w:color w:val="000000" w:themeColor="text1"/>
          <w:sz w:val="24"/>
          <w:szCs w:val="24"/>
        </w:rPr>
        <w:t xml:space="preserve">of patients </w:t>
      </w:r>
      <w:r w:rsidR="00915D55" w:rsidRPr="001C7B25">
        <w:rPr>
          <w:rFonts w:ascii="Times New Roman" w:hAnsi="Times New Roman" w:cs="Times New Roman"/>
          <w:b/>
          <w:color w:val="000000" w:themeColor="text1"/>
          <w:sz w:val="24"/>
          <w:szCs w:val="24"/>
        </w:rPr>
        <w:t xml:space="preserve">with and without </w:t>
      </w:r>
      <w:r w:rsidR="00EB2A12" w:rsidRPr="001C7B25">
        <w:rPr>
          <w:rFonts w:ascii="Times New Roman" w:hAnsi="Times New Roman" w:cs="Times New Roman"/>
          <w:b/>
          <w:color w:val="000000" w:themeColor="text1"/>
          <w:sz w:val="24"/>
          <w:szCs w:val="24"/>
        </w:rPr>
        <w:t>direct acting antiviral</w:t>
      </w:r>
      <w:r w:rsidR="00915D55" w:rsidRPr="001C7B25">
        <w:rPr>
          <w:rFonts w:ascii="Times New Roman" w:hAnsi="Times New Roman" w:cs="Times New Roman"/>
          <w:b/>
          <w:color w:val="000000" w:themeColor="text1"/>
          <w:sz w:val="24"/>
          <w:szCs w:val="24"/>
        </w:rPr>
        <w:t xml:space="preserve"> treatment</w:t>
      </w:r>
      <w:r w:rsidR="0065537A" w:rsidRPr="001C7B25">
        <w:rPr>
          <w:rFonts w:ascii="Times New Roman" w:hAnsi="Times New Roman" w:cs="Times New Roman"/>
          <w:b/>
          <w:color w:val="000000" w:themeColor="text1"/>
          <w:sz w:val="24"/>
          <w:szCs w:val="24"/>
        </w:rPr>
        <w:t xml:space="preserve"> </w:t>
      </w:r>
      <w:r w:rsidR="00895585" w:rsidRPr="001C7B25">
        <w:rPr>
          <w:rFonts w:ascii="Times New Roman" w:hAnsi="Times New Roman" w:cs="Times New Roman"/>
          <w:b/>
          <w:color w:val="000000" w:themeColor="text1"/>
          <w:sz w:val="24"/>
          <w:szCs w:val="24"/>
        </w:rPr>
        <w:t xml:space="preserve">for </w:t>
      </w:r>
      <w:r w:rsidR="00EB2A12" w:rsidRPr="001C7B25">
        <w:rPr>
          <w:rFonts w:ascii="Times New Roman" w:hAnsi="Times New Roman" w:cs="Times New Roman"/>
          <w:b/>
          <w:color w:val="000000" w:themeColor="text1"/>
          <w:sz w:val="24"/>
          <w:szCs w:val="24"/>
        </w:rPr>
        <w:t>hepatitis</w:t>
      </w:r>
      <w:r w:rsidR="00915D55" w:rsidRPr="001C7B25">
        <w:rPr>
          <w:rFonts w:ascii="Times New Roman" w:hAnsi="Times New Roman" w:cs="Times New Roman"/>
          <w:b/>
          <w:color w:val="000000" w:themeColor="text1"/>
          <w:sz w:val="24"/>
          <w:szCs w:val="24"/>
        </w:rPr>
        <w:t xml:space="preserve"> </w:t>
      </w:r>
      <w:r w:rsidR="00EB2A12" w:rsidRPr="001C7B25">
        <w:rPr>
          <w:rFonts w:ascii="Times New Roman" w:hAnsi="Times New Roman" w:cs="Times New Roman"/>
          <w:b/>
          <w:color w:val="000000" w:themeColor="text1"/>
          <w:sz w:val="24"/>
          <w:szCs w:val="24"/>
        </w:rPr>
        <w:t xml:space="preserve">C </w:t>
      </w:r>
      <w:r w:rsidR="004732D4" w:rsidRPr="001C7B25">
        <w:rPr>
          <w:rFonts w:ascii="Times New Roman" w:hAnsi="Times New Roman" w:cs="Times New Roman"/>
          <w:b/>
          <w:color w:val="000000" w:themeColor="text1"/>
          <w:sz w:val="24"/>
          <w:szCs w:val="24"/>
        </w:rPr>
        <w:t>virus</w:t>
      </w:r>
      <w:r w:rsidR="00915D55" w:rsidRPr="001C7B25">
        <w:rPr>
          <w:rFonts w:ascii="Times New Roman" w:hAnsi="Times New Roman" w:cs="Times New Roman"/>
          <w:b/>
          <w:color w:val="000000" w:themeColor="text1"/>
          <w:sz w:val="24"/>
          <w:szCs w:val="24"/>
        </w:rPr>
        <w:t>–</w:t>
      </w:r>
      <w:r w:rsidR="00EB2A12" w:rsidRPr="001C7B25">
        <w:rPr>
          <w:rFonts w:ascii="Times New Roman" w:hAnsi="Times New Roman" w:cs="Times New Roman"/>
          <w:b/>
          <w:color w:val="000000" w:themeColor="text1"/>
          <w:sz w:val="24"/>
          <w:szCs w:val="24"/>
        </w:rPr>
        <w:t>related decompensated cirrhosis.</w:t>
      </w:r>
    </w:p>
    <w:p w14:paraId="49045C18" w14:textId="61C23605" w:rsidR="003D1988" w:rsidRPr="001C7B25" w:rsidRDefault="003D1988" w:rsidP="003D1988">
      <w:pPr>
        <w:spacing w:line="480" w:lineRule="auto"/>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rPr>
        <w:t>Takashi Kumada</w:t>
      </w:r>
      <w:r w:rsidRPr="001C7B25">
        <w:rPr>
          <w:rFonts w:ascii="Times New Roman" w:hAnsi="Times New Roman" w:cs="Times New Roman"/>
          <w:color w:val="000000" w:themeColor="text1"/>
          <w:sz w:val="24"/>
          <w:szCs w:val="24"/>
          <w:vertAlign w:val="superscript"/>
        </w:rPr>
        <w:t>1)</w:t>
      </w:r>
      <w:r w:rsidRPr="001C7B25">
        <w:rPr>
          <w:rFonts w:ascii="Times New Roman" w:hAnsi="Times New Roman" w:cs="Times New Roman"/>
          <w:color w:val="000000" w:themeColor="text1"/>
          <w:sz w:val="24"/>
          <w:szCs w:val="24"/>
        </w:rPr>
        <w:t>, Hidenori Toyoda</w:t>
      </w:r>
      <w:r w:rsidRPr="001C7B25">
        <w:rPr>
          <w:rFonts w:ascii="Times New Roman" w:hAnsi="Times New Roman" w:cs="Times New Roman"/>
          <w:color w:val="000000" w:themeColor="text1"/>
          <w:sz w:val="24"/>
          <w:szCs w:val="24"/>
          <w:vertAlign w:val="superscript"/>
        </w:rPr>
        <w:t>2)</w:t>
      </w:r>
      <w:r w:rsidRPr="001C7B25">
        <w:rPr>
          <w:rFonts w:ascii="Times New Roman" w:hAnsi="Times New Roman" w:cs="Times New Roman"/>
          <w:color w:val="000000" w:themeColor="text1"/>
          <w:sz w:val="24"/>
          <w:szCs w:val="24"/>
        </w:rPr>
        <w:t>, Satoshi Yasuda</w:t>
      </w:r>
      <w:r w:rsidRPr="001C7B25">
        <w:rPr>
          <w:rFonts w:ascii="Times New Roman" w:hAnsi="Times New Roman" w:cs="Times New Roman"/>
          <w:color w:val="000000" w:themeColor="text1"/>
          <w:sz w:val="24"/>
          <w:szCs w:val="24"/>
          <w:vertAlign w:val="superscript"/>
        </w:rPr>
        <w:t>2)</w:t>
      </w:r>
      <w:r w:rsidRPr="001C7B25">
        <w:rPr>
          <w:rFonts w:ascii="Times New Roman" w:hAnsi="Times New Roman" w:cs="Times New Roman"/>
          <w:color w:val="000000" w:themeColor="text1"/>
          <w:sz w:val="24"/>
          <w:szCs w:val="24"/>
        </w:rPr>
        <w:t>, Toshifumi Tada</w:t>
      </w:r>
      <w:r w:rsidRPr="001C7B25">
        <w:rPr>
          <w:rFonts w:ascii="Times New Roman" w:hAnsi="Times New Roman" w:cs="Times New Roman"/>
          <w:color w:val="000000" w:themeColor="text1"/>
          <w:sz w:val="24"/>
          <w:szCs w:val="24"/>
          <w:vertAlign w:val="superscript"/>
        </w:rPr>
        <w:t>2)</w:t>
      </w:r>
      <w:r w:rsidRPr="001C7B25">
        <w:rPr>
          <w:rFonts w:ascii="Times New Roman" w:hAnsi="Times New Roman" w:cs="Times New Roman"/>
          <w:color w:val="000000" w:themeColor="text1"/>
          <w:sz w:val="24"/>
          <w:szCs w:val="24"/>
        </w:rPr>
        <w:t>, Junko Tanaka</w:t>
      </w:r>
      <w:r w:rsidRPr="001C7B25">
        <w:rPr>
          <w:rFonts w:ascii="Times New Roman" w:hAnsi="Times New Roman" w:cs="Times New Roman"/>
          <w:color w:val="000000" w:themeColor="text1"/>
          <w:sz w:val="24"/>
          <w:szCs w:val="24"/>
          <w:vertAlign w:val="superscript"/>
        </w:rPr>
        <w:t>3)</w:t>
      </w:r>
      <w:r w:rsidRPr="001C7B25">
        <w:rPr>
          <w:rFonts w:ascii="Times New Roman" w:hAnsi="Times New Roman" w:cs="Times New Roman"/>
          <w:color w:val="000000" w:themeColor="text1"/>
          <w:sz w:val="24"/>
          <w:szCs w:val="24"/>
        </w:rPr>
        <w:t xml:space="preserve">, </w:t>
      </w:r>
      <w:r w:rsidRPr="001C7B25">
        <w:rPr>
          <w:rFonts w:ascii="Times New Roman" w:hAnsi="Times New Roman" w:cs="Times New Roman"/>
          <w:color w:val="000000" w:themeColor="text1"/>
          <w:kern w:val="0"/>
          <w:sz w:val="24"/>
          <w:szCs w:val="24"/>
        </w:rPr>
        <w:t>Kazuaki Chayama</w:t>
      </w:r>
      <w:r w:rsidRPr="001C7B25">
        <w:rPr>
          <w:rFonts w:ascii="Times New Roman" w:hAnsi="Times New Roman" w:cs="Times New Roman"/>
          <w:color w:val="000000" w:themeColor="text1"/>
          <w:kern w:val="0"/>
          <w:sz w:val="24"/>
          <w:szCs w:val="24"/>
          <w:vertAlign w:val="superscript"/>
        </w:rPr>
        <w:t>4)</w:t>
      </w:r>
      <w:r w:rsidRPr="001C7B25">
        <w:rPr>
          <w:rFonts w:ascii="Times New Roman" w:hAnsi="Times New Roman" w:cs="Times New Roman"/>
          <w:color w:val="000000" w:themeColor="text1"/>
          <w:sz w:val="24"/>
          <w:szCs w:val="24"/>
        </w:rPr>
        <w:t xml:space="preserve">, </w:t>
      </w:r>
      <w:r w:rsidRPr="001C7B25">
        <w:rPr>
          <w:rFonts w:ascii="Times New Roman" w:hAnsi="Times New Roman" w:cs="Times New Roman"/>
          <w:color w:val="000000" w:themeColor="text1"/>
          <w:sz w:val="24"/>
          <w:szCs w:val="24"/>
          <w:lang w:val="en-GB"/>
        </w:rPr>
        <w:t>Philip J. Johnson</w:t>
      </w:r>
      <w:r w:rsidRPr="001C7B25">
        <w:rPr>
          <w:rFonts w:ascii="Times New Roman" w:hAnsi="Times New Roman" w:cs="Times New Roman"/>
          <w:color w:val="000000" w:themeColor="text1"/>
          <w:sz w:val="24"/>
          <w:szCs w:val="24"/>
          <w:vertAlign w:val="superscript"/>
          <w:lang w:val="en-GB"/>
        </w:rPr>
        <w:t>5)</w:t>
      </w:r>
      <w:r w:rsidRPr="001C7B25">
        <w:rPr>
          <w:rFonts w:ascii="Times New Roman" w:hAnsi="Times New Roman" w:cs="Times New Roman"/>
          <w:color w:val="000000" w:themeColor="text1"/>
          <w:sz w:val="24"/>
          <w:szCs w:val="24"/>
          <w:lang w:val="en-GB"/>
        </w:rPr>
        <w:t>, William L. Irving</w:t>
      </w:r>
      <w:r w:rsidRPr="001C7B25">
        <w:rPr>
          <w:rFonts w:ascii="Times New Roman" w:hAnsi="Times New Roman" w:cs="Times New Roman"/>
          <w:color w:val="000000" w:themeColor="text1"/>
          <w:sz w:val="24"/>
          <w:szCs w:val="24"/>
          <w:vertAlign w:val="superscript"/>
          <w:lang w:val="en-GB"/>
        </w:rPr>
        <w:t>6)</w:t>
      </w:r>
    </w:p>
    <w:p w14:paraId="474DD0EC" w14:textId="77777777" w:rsidR="003D1988" w:rsidRPr="001C7B25" w:rsidRDefault="003D1988" w:rsidP="003D1988">
      <w:pPr>
        <w:spacing w:line="480" w:lineRule="auto"/>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rPr>
        <w:t>1) Department of Nursing, Faculty of Nursing, Gifu Kyoritsu University, Ogaki, Gifu, Japan</w:t>
      </w:r>
    </w:p>
    <w:p w14:paraId="0F54BD29" w14:textId="77777777" w:rsidR="003D1988" w:rsidRPr="001C7B25" w:rsidRDefault="003D1988" w:rsidP="003D1988">
      <w:pPr>
        <w:autoSpaceDE w:val="0"/>
        <w:autoSpaceDN w:val="0"/>
        <w:adjustRightInd w:val="0"/>
        <w:spacing w:line="480" w:lineRule="auto"/>
        <w:jc w:val="left"/>
        <w:rPr>
          <w:rFonts w:ascii="Times New Roman" w:hAnsi="Times New Roman" w:cs="Times New Roman"/>
          <w:color w:val="000000" w:themeColor="text1"/>
          <w:kern w:val="0"/>
          <w:sz w:val="24"/>
          <w:szCs w:val="24"/>
        </w:rPr>
      </w:pPr>
      <w:r w:rsidRPr="001C7B25">
        <w:rPr>
          <w:rFonts w:ascii="Times New Roman" w:hAnsi="Times New Roman" w:cs="Times New Roman"/>
          <w:color w:val="000000" w:themeColor="text1"/>
          <w:kern w:val="0"/>
          <w:sz w:val="24"/>
          <w:szCs w:val="24"/>
        </w:rPr>
        <w:t>2) Department of Gastroenterology and Hepatology, Ogaki Municipal Hospital, Ogaki, Gifu, Japan</w:t>
      </w:r>
    </w:p>
    <w:p w14:paraId="40E9960D" w14:textId="77777777" w:rsidR="003D1988" w:rsidRPr="001C7B25" w:rsidRDefault="003D1988" w:rsidP="003D1988">
      <w:pPr>
        <w:autoSpaceDE w:val="0"/>
        <w:autoSpaceDN w:val="0"/>
        <w:adjustRightInd w:val="0"/>
        <w:spacing w:line="480" w:lineRule="auto"/>
        <w:jc w:val="left"/>
        <w:rPr>
          <w:rFonts w:ascii="Times New Roman" w:hAnsi="Times New Roman" w:cs="Times New Roman"/>
          <w:color w:val="000000" w:themeColor="text1"/>
          <w:kern w:val="0"/>
          <w:sz w:val="24"/>
          <w:szCs w:val="24"/>
        </w:rPr>
      </w:pPr>
      <w:r w:rsidRPr="001C7B25">
        <w:rPr>
          <w:rFonts w:ascii="Times New Roman" w:hAnsi="Times New Roman" w:cs="Times New Roman"/>
          <w:color w:val="000000" w:themeColor="text1"/>
          <w:kern w:val="0"/>
          <w:sz w:val="24"/>
          <w:szCs w:val="24"/>
        </w:rPr>
        <w:t>3) Department of Epidemiology, Infectious Disease Control, and Prevention, Hiroshima University Institute of Biomedical and Health Sciences, Hiroshima, Japan</w:t>
      </w:r>
    </w:p>
    <w:p w14:paraId="5C2E477D" w14:textId="77777777" w:rsidR="003D1988" w:rsidRPr="001C7B25" w:rsidRDefault="003D1988" w:rsidP="003D1988">
      <w:pPr>
        <w:autoSpaceDE w:val="0"/>
        <w:autoSpaceDN w:val="0"/>
        <w:adjustRightInd w:val="0"/>
        <w:spacing w:line="480" w:lineRule="auto"/>
        <w:jc w:val="left"/>
        <w:rPr>
          <w:rFonts w:ascii="Times New Roman" w:hAnsi="Times New Roman" w:cs="Times New Roman"/>
          <w:color w:val="000000" w:themeColor="text1"/>
          <w:kern w:val="0"/>
          <w:sz w:val="24"/>
          <w:szCs w:val="24"/>
        </w:rPr>
      </w:pPr>
      <w:r w:rsidRPr="001C7B25">
        <w:rPr>
          <w:rFonts w:ascii="Times New Roman" w:hAnsi="Times New Roman" w:cs="Times New Roman"/>
          <w:color w:val="000000" w:themeColor="text1"/>
          <w:kern w:val="0"/>
          <w:sz w:val="24"/>
          <w:szCs w:val="24"/>
        </w:rPr>
        <w:t>4) Department of Gastroenterology and Metabolism, Institute of Biomedical and Health Sciences, Hiroshima University Hospital, Hiroshima, Japan</w:t>
      </w:r>
    </w:p>
    <w:p w14:paraId="76796D49" w14:textId="77777777" w:rsidR="003D1988" w:rsidRPr="001C7B25" w:rsidRDefault="003D1988" w:rsidP="003D1988">
      <w:pPr>
        <w:spacing w:line="480" w:lineRule="auto"/>
        <w:rPr>
          <w:rFonts w:ascii="Times New Roman" w:hAnsi="Times New Roman" w:cs="Times New Roman"/>
          <w:color w:val="000000" w:themeColor="text1"/>
          <w:kern w:val="0"/>
          <w:sz w:val="24"/>
          <w:szCs w:val="24"/>
        </w:rPr>
      </w:pPr>
      <w:r w:rsidRPr="001C7B25">
        <w:rPr>
          <w:rFonts w:ascii="Times New Roman" w:hAnsi="Times New Roman" w:cs="Times New Roman"/>
          <w:color w:val="000000" w:themeColor="text1"/>
          <w:kern w:val="0"/>
          <w:sz w:val="24"/>
          <w:szCs w:val="24"/>
        </w:rPr>
        <w:t xml:space="preserve">5) Department of Molecular and Clinical Cancer Medicine, </w:t>
      </w:r>
      <w:r w:rsidRPr="001C7B25">
        <w:rPr>
          <w:rFonts w:ascii="Times New Roman" w:hAnsi="Times New Roman" w:cs="Times New Roman"/>
          <w:color w:val="000000" w:themeColor="text1"/>
          <w:sz w:val="24"/>
          <w:szCs w:val="24"/>
          <w:lang w:val="en-GB"/>
        </w:rPr>
        <w:t>University of Liverpool, Liverpool,</w:t>
      </w:r>
      <w:r w:rsidRPr="001C7B25">
        <w:rPr>
          <w:rFonts w:ascii="Times New Roman" w:hAnsi="Times New Roman" w:cs="Times New Roman"/>
          <w:color w:val="000000" w:themeColor="text1"/>
          <w:kern w:val="0"/>
          <w:sz w:val="24"/>
          <w:szCs w:val="24"/>
        </w:rPr>
        <w:t xml:space="preserve"> United Kingdom</w:t>
      </w:r>
    </w:p>
    <w:p w14:paraId="2B62726C" w14:textId="5A84E61B" w:rsidR="003D1988" w:rsidRPr="001C7B25" w:rsidRDefault="003D1988" w:rsidP="003D1988">
      <w:pPr>
        <w:spacing w:line="480" w:lineRule="auto"/>
        <w:rPr>
          <w:rFonts w:ascii="Times New Roman" w:hAnsi="Times New Roman" w:cs="Times New Roman"/>
          <w:color w:val="000000" w:themeColor="text1"/>
          <w:sz w:val="24"/>
          <w:szCs w:val="24"/>
          <w:lang w:val="en-GB"/>
        </w:rPr>
      </w:pPr>
      <w:r w:rsidRPr="001C7B25">
        <w:rPr>
          <w:rFonts w:ascii="Times New Roman" w:hAnsi="Times New Roman" w:cs="Times New Roman"/>
          <w:color w:val="000000" w:themeColor="text1"/>
          <w:kern w:val="0"/>
          <w:sz w:val="24"/>
          <w:szCs w:val="24"/>
        </w:rPr>
        <w:t xml:space="preserve">6) NIHR Nottingham Biomedical Research </w:t>
      </w:r>
      <w:r w:rsidR="003F51B3" w:rsidRPr="001C7B25">
        <w:rPr>
          <w:rFonts w:ascii="Times New Roman" w:hAnsi="Times New Roman" w:cs="Times New Roman" w:hint="eastAsia"/>
          <w:color w:val="000000" w:themeColor="text1"/>
          <w:kern w:val="0"/>
          <w:sz w:val="24"/>
          <w:szCs w:val="24"/>
        </w:rPr>
        <w:t>Cent</w:t>
      </w:r>
      <w:r w:rsidR="003F51B3" w:rsidRPr="001C7B25">
        <w:rPr>
          <w:rFonts w:ascii="Times New Roman" w:hAnsi="Times New Roman" w:cs="Times New Roman"/>
          <w:color w:val="000000" w:themeColor="text1"/>
          <w:kern w:val="0"/>
          <w:sz w:val="24"/>
          <w:szCs w:val="24"/>
        </w:rPr>
        <w:t>re</w:t>
      </w:r>
      <w:r w:rsidR="003F51B3" w:rsidRPr="001C7B25">
        <w:rPr>
          <w:rFonts w:ascii="Times New Roman" w:hAnsi="Times New Roman" w:cs="Times New Roman" w:hint="eastAsia"/>
          <w:color w:val="000000" w:themeColor="text1"/>
          <w:kern w:val="0"/>
          <w:sz w:val="24"/>
          <w:szCs w:val="24"/>
        </w:rPr>
        <w:t xml:space="preserve">, </w:t>
      </w:r>
      <w:r w:rsidR="003F51B3" w:rsidRPr="001C7B25">
        <w:rPr>
          <w:rFonts w:ascii="Times New Roman" w:hAnsi="Times New Roman" w:cs="Times New Roman"/>
          <w:color w:val="000000" w:themeColor="text1"/>
          <w:kern w:val="0"/>
          <w:sz w:val="24"/>
          <w:szCs w:val="24"/>
        </w:rPr>
        <w:t>Nottingham University Hospitals NHS Trust and the University of Nottingham</w:t>
      </w:r>
      <w:r w:rsidRPr="001C7B25">
        <w:rPr>
          <w:rFonts w:ascii="Times New Roman" w:hAnsi="Times New Roman" w:cs="Times New Roman"/>
          <w:color w:val="000000" w:themeColor="text1"/>
          <w:kern w:val="0"/>
          <w:sz w:val="24"/>
          <w:szCs w:val="24"/>
        </w:rPr>
        <w:t>, United Kingdom</w:t>
      </w:r>
    </w:p>
    <w:p w14:paraId="394494B2" w14:textId="77777777" w:rsidR="00AB4774" w:rsidRPr="001C7B25" w:rsidRDefault="00AB4774" w:rsidP="00AB4774">
      <w:pPr>
        <w:autoSpaceDE w:val="0"/>
        <w:autoSpaceDN w:val="0"/>
        <w:adjustRightInd w:val="0"/>
        <w:spacing w:line="480" w:lineRule="auto"/>
        <w:jc w:val="left"/>
        <w:rPr>
          <w:rFonts w:ascii="Times New Roman" w:hAnsi="Times New Roman" w:cs="Times New Roman"/>
          <w:color w:val="000000" w:themeColor="text1"/>
          <w:kern w:val="0"/>
          <w:sz w:val="24"/>
          <w:szCs w:val="24"/>
          <w:lang w:val="en-GB"/>
        </w:rPr>
      </w:pPr>
    </w:p>
    <w:p w14:paraId="32777339" w14:textId="3BF1DE8A" w:rsidR="002925B4" w:rsidRPr="001C7B25" w:rsidRDefault="00AB4774" w:rsidP="002925B4">
      <w:pPr>
        <w:autoSpaceDE w:val="0"/>
        <w:autoSpaceDN w:val="0"/>
        <w:adjustRightInd w:val="0"/>
        <w:spacing w:line="480" w:lineRule="auto"/>
        <w:jc w:val="left"/>
        <w:rPr>
          <w:rFonts w:ascii="Times New Roman" w:hAnsi="Times New Roman" w:cs="Times New Roman"/>
          <w:color w:val="000000" w:themeColor="text1"/>
          <w:sz w:val="24"/>
          <w:szCs w:val="24"/>
        </w:rPr>
      </w:pPr>
      <w:r w:rsidRPr="001C7B25">
        <w:rPr>
          <w:rFonts w:ascii="Times New Roman" w:hAnsi="Times New Roman" w:cs="Times New Roman"/>
          <w:b/>
          <w:color w:val="000000" w:themeColor="text1"/>
          <w:kern w:val="0"/>
          <w:sz w:val="24"/>
          <w:szCs w:val="24"/>
        </w:rPr>
        <w:lastRenderedPageBreak/>
        <w:t>Short running title</w:t>
      </w:r>
      <w:r w:rsidRPr="001C7B25">
        <w:rPr>
          <w:rFonts w:ascii="Times New Roman" w:hAnsi="Times New Roman" w:cs="Times New Roman"/>
          <w:color w:val="000000" w:themeColor="text1"/>
          <w:kern w:val="0"/>
          <w:sz w:val="24"/>
          <w:szCs w:val="24"/>
        </w:rPr>
        <w:t xml:space="preserve">: </w:t>
      </w:r>
      <w:r w:rsidRPr="001C7B25">
        <w:rPr>
          <w:rFonts w:ascii="Times New Roman" w:hAnsi="Times New Roman" w:cs="Times New Roman"/>
          <w:color w:val="000000" w:themeColor="text1"/>
          <w:sz w:val="24"/>
          <w:szCs w:val="24"/>
        </w:rPr>
        <w:t xml:space="preserve">Impact of </w:t>
      </w:r>
      <w:r w:rsidR="00755378" w:rsidRPr="001C7B25">
        <w:rPr>
          <w:rFonts w:ascii="Times New Roman" w:hAnsi="Times New Roman" w:cs="Times New Roman"/>
          <w:color w:val="000000" w:themeColor="text1"/>
          <w:kern w:val="0"/>
          <w:sz w:val="24"/>
          <w:szCs w:val="24"/>
        </w:rPr>
        <w:t>DAA</w:t>
      </w:r>
      <w:r w:rsidRPr="001C7B25">
        <w:rPr>
          <w:rFonts w:ascii="Times New Roman" w:hAnsi="Times New Roman" w:cs="Times New Roman"/>
          <w:color w:val="000000" w:themeColor="text1"/>
          <w:kern w:val="0"/>
          <w:sz w:val="24"/>
          <w:szCs w:val="24"/>
        </w:rPr>
        <w:t>s</w:t>
      </w:r>
      <w:r w:rsidRPr="001C7B25">
        <w:rPr>
          <w:rFonts w:ascii="Times New Roman" w:hAnsi="Times New Roman" w:cs="Times New Roman"/>
          <w:color w:val="000000" w:themeColor="text1"/>
          <w:sz w:val="24"/>
          <w:szCs w:val="24"/>
        </w:rPr>
        <w:t xml:space="preserve"> </w:t>
      </w:r>
      <w:r w:rsidR="00915D55" w:rsidRPr="001C7B25">
        <w:rPr>
          <w:rFonts w:ascii="Times New Roman" w:hAnsi="Times New Roman" w:cs="Times New Roman"/>
          <w:color w:val="000000" w:themeColor="text1"/>
          <w:sz w:val="24"/>
          <w:szCs w:val="24"/>
        </w:rPr>
        <w:t xml:space="preserve">on </w:t>
      </w:r>
      <w:r w:rsidRPr="001C7B25">
        <w:rPr>
          <w:rFonts w:ascii="Times New Roman" w:hAnsi="Times New Roman" w:cs="Times New Roman"/>
          <w:color w:val="000000" w:themeColor="text1"/>
          <w:sz w:val="24"/>
          <w:szCs w:val="24"/>
        </w:rPr>
        <w:t>decompensated cirrhosis</w:t>
      </w:r>
    </w:p>
    <w:p w14:paraId="4AE446A8" w14:textId="77777777" w:rsidR="002925B4" w:rsidRPr="001C7B25" w:rsidRDefault="002925B4" w:rsidP="003053BB">
      <w:pPr>
        <w:pStyle w:val="Default"/>
        <w:spacing w:line="480" w:lineRule="auto"/>
        <w:rPr>
          <w:rFonts w:ascii="Times New Roman" w:hAnsi="Times New Roman" w:cs="Times New Roman"/>
          <w:b/>
          <w:bCs/>
          <w:color w:val="000000" w:themeColor="text1"/>
        </w:rPr>
      </w:pPr>
    </w:p>
    <w:p w14:paraId="51CCFF71" w14:textId="77777777" w:rsidR="003D1988" w:rsidRPr="001C7B25" w:rsidRDefault="003D1988" w:rsidP="003D1988">
      <w:pPr>
        <w:pStyle w:val="Default"/>
        <w:spacing w:line="480" w:lineRule="auto"/>
        <w:rPr>
          <w:rFonts w:ascii="Times New Roman" w:hAnsi="Times New Roman" w:cs="Times New Roman"/>
          <w:b/>
          <w:color w:val="000000" w:themeColor="text1"/>
        </w:rPr>
      </w:pPr>
      <w:r w:rsidRPr="001C7B25">
        <w:rPr>
          <w:rFonts w:ascii="Times New Roman" w:hAnsi="Times New Roman" w:cs="Times New Roman"/>
          <w:b/>
          <w:bCs/>
          <w:color w:val="000000" w:themeColor="text1"/>
        </w:rPr>
        <w:t>*Corresponding author</w:t>
      </w:r>
      <w:r w:rsidRPr="001C7B25">
        <w:rPr>
          <w:rFonts w:ascii="Times New Roman" w:hAnsi="Times New Roman" w:cs="Times New Roman"/>
          <w:b/>
          <w:color w:val="000000" w:themeColor="text1"/>
        </w:rPr>
        <w:t xml:space="preserve">: Takashi Kumada, MD </w:t>
      </w:r>
    </w:p>
    <w:p w14:paraId="4070691E" w14:textId="77777777" w:rsidR="003D1988" w:rsidRPr="001C7B25" w:rsidRDefault="003D1988" w:rsidP="003D1988">
      <w:pPr>
        <w:pStyle w:val="Default"/>
        <w:spacing w:line="480" w:lineRule="auto"/>
        <w:rPr>
          <w:rFonts w:ascii="Times New Roman" w:hAnsi="Times New Roman" w:cs="Times New Roman"/>
          <w:color w:val="000000" w:themeColor="text1"/>
        </w:rPr>
      </w:pPr>
      <w:r w:rsidRPr="001C7B25">
        <w:rPr>
          <w:rFonts w:ascii="Times New Roman" w:hAnsi="Times New Roman" w:cs="Times New Roman"/>
          <w:color w:val="000000" w:themeColor="text1"/>
        </w:rPr>
        <w:t>Department of Nursing, Faculty of Nursing, Gifu Kyoritsu University</w:t>
      </w:r>
    </w:p>
    <w:p w14:paraId="337D8049" w14:textId="77777777" w:rsidR="003D1988" w:rsidRPr="001C7B25" w:rsidRDefault="003D1988" w:rsidP="003D1988">
      <w:pPr>
        <w:pStyle w:val="Default"/>
        <w:spacing w:line="480" w:lineRule="auto"/>
        <w:rPr>
          <w:rFonts w:ascii="Times New Roman" w:hAnsi="Times New Roman" w:cs="Times New Roman"/>
          <w:color w:val="000000" w:themeColor="text1"/>
        </w:rPr>
      </w:pPr>
      <w:r w:rsidRPr="001C7B25">
        <w:rPr>
          <w:rFonts w:ascii="Times New Roman" w:hAnsi="Times New Roman" w:cs="Times New Roman"/>
          <w:color w:val="000000" w:themeColor="text1"/>
        </w:rPr>
        <w:t>5-50, Kitagata-cho, Ogaki-shi, Gifu-ken, 503-8550, JAPAN</w:t>
      </w:r>
    </w:p>
    <w:p w14:paraId="70AF48EF" w14:textId="77777777" w:rsidR="003D1988" w:rsidRPr="001C7B25" w:rsidRDefault="003D1988" w:rsidP="003D1988">
      <w:pPr>
        <w:pStyle w:val="Default"/>
        <w:spacing w:line="480" w:lineRule="auto"/>
        <w:rPr>
          <w:rFonts w:ascii="Times New Roman" w:hAnsi="Times New Roman" w:cs="Times New Roman"/>
          <w:color w:val="000000" w:themeColor="text1"/>
        </w:rPr>
      </w:pPr>
      <w:r w:rsidRPr="001C7B25">
        <w:rPr>
          <w:rFonts w:ascii="Times New Roman" w:hAnsi="Times New Roman" w:cs="Times New Roman"/>
          <w:color w:val="000000" w:themeColor="text1"/>
        </w:rPr>
        <w:t>TEL: +81-584-77-3512 FAX: +81-584-77-3510</w:t>
      </w:r>
    </w:p>
    <w:p w14:paraId="0F8DDF8E" w14:textId="77777777" w:rsidR="003D1988" w:rsidRPr="001C7B25" w:rsidRDefault="003D1988" w:rsidP="003D1988">
      <w:pPr>
        <w:pStyle w:val="Default"/>
        <w:spacing w:line="480" w:lineRule="auto"/>
        <w:rPr>
          <w:rFonts w:ascii="Times New Roman" w:hAnsi="Times New Roman" w:cs="Times New Roman"/>
          <w:color w:val="000000" w:themeColor="text1"/>
        </w:rPr>
      </w:pPr>
      <w:r w:rsidRPr="001C7B25">
        <w:rPr>
          <w:rFonts w:ascii="Times New Roman" w:hAnsi="Times New Roman" w:cs="Times New Roman"/>
          <w:color w:val="000000" w:themeColor="text1"/>
        </w:rPr>
        <w:t>E-mail: takashi.kumada@gmail.com</w:t>
      </w:r>
    </w:p>
    <w:p w14:paraId="6A0B02CB" w14:textId="77777777" w:rsidR="003053BB" w:rsidRPr="001C7B25" w:rsidRDefault="003053BB" w:rsidP="003053BB">
      <w:pPr>
        <w:pStyle w:val="Default"/>
        <w:spacing w:line="480" w:lineRule="auto"/>
        <w:rPr>
          <w:rFonts w:ascii="Times New Roman" w:hAnsi="Times New Roman" w:cs="Times New Roman"/>
          <w:color w:val="000000" w:themeColor="text1"/>
        </w:rPr>
      </w:pPr>
    </w:p>
    <w:p w14:paraId="437722A7" w14:textId="340D3A42" w:rsidR="003053BB" w:rsidRPr="001C7B25" w:rsidRDefault="003053BB" w:rsidP="003053BB">
      <w:pPr>
        <w:pStyle w:val="Default"/>
        <w:spacing w:line="480" w:lineRule="auto"/>
        <w:rPr>
          <w:rFonts w:ascii="Times New Roman" w:hAnsi="Times New Roman" w:cs="Times New Roman"/>
          <w:b/>
          <w:color w:val="000000" w:themeColor="text1"/>
        </w:rPr>
      </w:pPr>
      <w:r w:rsidRPr="001C7B25">
        <w:rPr>
          <w:rFonts w:ascii="Times New Roman" w:hAnsi="Times New Roman" w:cs="Times New Roman"/>
          <w:b/>
          <w:color w:val="000000" w:themeColor="text1"/>
        </w:rPr>
        <w:t>E-mail address</w:t>
      </w:r>
      <w:r w:rsidR="00817D82" w:rsidRPr="001C7B25">
        <w:rPr>
          <w:rFonts w:ascii="Times New Roman" w:hAnsi="Times New Roman" w:cs="Times New Roman"/>
          <w:b/>
          <w:color w:val="000000" w:themeColor="text1"/>
        </w:rPr>
        <w:t>es</w:t>
      </w:r>
      <w:r w:rsidRPr="001C7B25">
        <w:rPr>
          <w:rFonts w:ascii="Times New Roman" w:hAnsi="Times New Roman" w:cs="Times New Roman"/>
          <w:b/>
          <w:color w:val="000000" w:themeColor="text1"/>
        </w:rPr>
        <w:t xml:space="preserve"> of coauthors</w:t>
      </w:r>
    </w:p>
    <w:p w14:paraId="7BFED1AA" w14:textId="77777777" w:rsidR="003D1988" w:rsidRPr="001C7B25" w:rsidRDefault="003D1988" w:rsidP="003D1988">
      <w:pPr>
        <w:pStyle w:val="Default"/>
        <w:spacing w:line="480" w:lineRule="auto"/>
        <w:rPr>
          <w:rFonts w:ascii="Times New Roman" w:hAnsi="Times New Roman" w:cs="Times New Roman"/>
          <w:color w:val="000000" w:themeColor="text1"/>
        </w:rPr>
      </w:pPr>
      <w:r w:rsidRPr="001C7B25">
        <w:rPr>
          <w:rFonts w:ascii="Times New Roman" w:hAnsi="Times New Roman" w:cs="Times New Roman"/>
          <w:color w:val="000000" w:themeColor="text1"/>
        </w:rPr>
        <w:t>Hidenori Toyoda: tkumada@he.mirai.ne.jp</w:t>
      </w:r>
    </w:p>
    <w:p w14:paraId="79BE59C5" w14:textId="77777777" w:rsidR="003D1988" w:rsidRPr="001C7B25" w:rsidRDefault="003D1988" w:rsidP="003D1988">
      <w:pPr>
        <w:pStyle w:val="Default"/>
        <w:spacing w:line="480" w:lineRule="auto"/>
        <w:rPr>
          <w:rFonts w:ascii="Times New Roman" w:hAnsi="Times New Roman" w:cs="Times New Roman"/>
          <w:color w:val="000000" w:themeColor="text1"/>
        </w:rPr>
      </w:pPr>
      <w:r w:rsidRPr="001C7B25">
        <w:rPr>
          <w:rFonts w:ascii="Times New Roman" w:hAnsi="Times New Roman" w:cs="Times New Roman"/>
          <w:color w:val="000000" w:themeColor="text1"/>
        </w:rPr>
        <w:t>Satoshi Yasuda: satoshi.yasuda.1982@gmail.com</w:t>
      </w:r>
    </w:p>
    <w:p w14:paraId="1686D3E1" w14:textId="77777777" w:rsidR="003D1988" w:rsidRPr="001C7B25" w:rsidRDefault="003D1988" w:rsidP="003D1988">
      <w:pPr>
        <w:pStyle w:val="Default"/>
        <w:spacing w:line="480" w:lineRule="auto"/>
        <w:rPr>
          <w:rFonts w:ascii="Times New Roman" w:hAnsi="Times New Roman" w:cs="Times New Roman"/>
          <w:color w:val="000000" w:themeColor="text1"/>
        </w:rPr>
      </w:pPr>
      <w:r w:rsidRPr="001C7B25">
        <w:rPr>
          <w:rFonts w:ascii="Times New Roman" w:hAnsi="Times New Roman" w:cs="Times New Roman"/>
          <w:color w:val="000000" w:themeColor="text1"/>
        </w:rPr>
        <w:t>Toshifumi Tada: tadat0627@gmail.com</w:t>
      </w:r>
    </w:p>
    <w:p w14:paraId="4D7B1536" w14:textId="77777777" w:rsidR="003D1988" w:rsidRPr="001C7B25" w:rsidRDefault="003D1988" w:rsidP="003D1988">
      <w:pPr>
        <w:pStyle w:val="Default"/>
        <w:spacing w:line="480" w:lineRule="auto"/>
        <w:rPr>
          <w:rFonts w:ascii="Times New Roman" w:hAnsi="Times New Roman" w:cs="Times New Roman"/>
          <w:color w:val="000000" w:themeColor="text1"/>
        </w:rPr>
      </w:pPr>
      <w:r w:rsidRPr="001C7B25">
        <w:rPr>
          <w:rFonts w:ascii="Times New Roman" w:hAnsi="Times New Roman" w:cs="Times New Roman"/>
          <w:color w:val="000000" w:themeColor="text1"/>
        </w:rPr>
        <w:t>Junko Tanaka: jun-tanaka@hiroshima-u.ac.jp</w:t>
      </w:r>
    </w:p>
    <w:p w14:paraId="05E9947C" w14:textId="77777777" w:rsidR="003D1988" w:rsidRPr="001C7B25" w:rsidRDefault="003D1988" w:rsidP="003D1988">
      <w:pPr>
        <w:pStyle w:val="Default"/>
        <w:spacing w:line="480" w:lineRule="auto"/>
        <w:rPr>
          <w:rFonts w:ascii="Times New Roman" w:hAnsi="Times New Roman" w:cs="Times New Roman"/>
          <w:color w:val="000000" w:themeColor="text1"/>
        </w:rPr>
      </w:pPr>
      <w:r w:rsidRPr="001C7B25">
        <w:rPr>
          <w:rFonts w:ascii="Times New Roman" w:hAnsi="Times New Roman" w:cs="Times New Roman"/>
          <w:color w:val="000000" w:themeColor="text1"/>
        </w:rPr>
        <w:t>Kazuaki Chayama: chayama@mba.ocn.ne.jp</w:t>
      </w:r>
    </w:p>
    <w:p w14:paraId="6CF200AE" w14:textId="77777777" w:rsidR="003D1988" w:rsidRPr="001C7B25" w:rsidRDefault="003D1988" w:rsidP="003D1988">
      <w:pPr>
        <w:pStyle w:val="Default"/>
        <w:spacing w:line="480" w:lineRule="auto"/>
        <w:rPr>
          <w:rFonts w:ascii="Times New Roman" w:hAnsi="Times New Roman" w:cs="Times New Roman"/>
          <w:color w:val="000000" w:themeColor="text1"/>
          <w:lang w:val="en-GB"/>
        </w:rPr>
      </w:pPr>
      <w:r w:rsidRPr="001C7B25">
        <w:rPr>
          <w:rFonts w:ascii="Times New Roman" w:hAnsi="Times New Roman" w:cs="Times New Roman"/>
          <w:color w:val="000000" w:themeColor="text1"/>
          <w:lang w:val="en-GB"/>
        </w:rPr>
        <w:t>Philip J. Johnson: Philip.Johnson@liverpool.ac.uk</w:t>
      </w:r>
    </w:p>
    <w:p w14:paraId="1B1116CA" w14:textId="77777777" w:rsidR="003D1988" w:rsidRPr="001C7B25" w:rsidRDefault="003D1988" w:rsidP="003D1988">
      <w:pPr>
        <w:pStyle w:val="Default"/>
        <w:spacing w:line="480" w:lineRule="auto"/>
        <w:rPr>
          <w:rFonts w:ascii="Times New Roman" w:hAnsi="Times New Roman" w:cs="Times New Roman"/>
          <w:color w:val="000000" w:themeColor="text1"/>
          <w:lang w:val="en-GB"/>
        </w:rPr>
      </w:pPr>
      <w:r w:rsidRPr="001C7B25">
        <w:rPr>
          <w:rFonts w:ascii="Times New Roman" w:hAnsi="Times New Roman" w:cs="Times New Roman"/>
          <w:color w:val="000000" w:themeColor="text1"/>
          <w:lang w:val="en-GB"/>
        </w:rPr>
        <w:t>William L. Irving</w:t>
      </w:r>
      <w:r w:rsidRPr="001C7B25">
        <w:rPr>
          <w:rFonts w:ascii="Times New Roman" w:hAnsi="Times New Roman" w:cs="Times New Roman"/>
          <w:color w:val="000000" w:themeColor="text1"/>
        </w:rPr>
        <w:t xml:space="preserve">: </w:t>
      </w:r>
      <w:hyperlink r:id="rId7" w:tgtFrame="_blank" w:history="1">
        <w:r w:rsidRPr="001C7B25">
          <w:rPr>
            <w:rFonts w:ascii="Times New Roman" w:hAnsi="Times New Roman" w:cs="Times New Roman"/>
            <w:color w:val="000000" w:themeColor="text1"/>
          </w:rPr>
          <w:t>Will.Irving@nottingham.ac.uk</w:t>
        </w:r>
      </w:hyperlink>
    </w:p>
    <w:p w14:paraId="6ECA8B93" w14:textId="77777777" w:rsidR="003053BB" w:rsidRPr="001C7B25" w:rsidRDefault="003053BB" w:rsidP="00AB4774">
      <w:pPr>
        <w:autoSpaceDE w:val="0"/>
        <w:autoSpaceDN w:val="0"/>
        <w:adjustRightInd w:val="0"/>
        <w:spacing w:line="480" w:lineRule="auto"/>
        <w:jc w:val="left"/>
        <w:rPr>
          <w:rFonts w:ascii="Times New Roman" w:hAnsi="Times New Roman" w:cs="Times New Roman"/>
          <w:color w:val="000000" w:themeColor="text1"/>
          <w:sz w:val="24"/>
          <w:szCs w:val="24"/>
          <w:lang w:val="en-GB"/>
        </w:rPr>
      </w:pPr>
    </w:p>
    <w:p w14:paraId="24CFACC3" w14:textId="73E165E8" w:rsidR="009101AB" w:rsidRPr="001C7B25" w:rsidRDefault="009101AB" w:rsidP="009101AB">
      <w:pPr>
        <w:widowControl/>
        <w:spacing w:line="480" w:lineRule="auto"/>
        <w:jc w:val="left"/>
        <w:rPr>
          <w:rFonts w:ascii="Times New Roman" w:hAnsi="Times New Roman" w:cs="Times New Roman"/>
          <w:b/>
          <w:bCs/>
          <w:color w:val="000000" w:themeColor="text1"/>
          <w:sz w:val="24"/>
          <w:szCs w:val="24"/>
        </w:rPr>
      </w:pPr>
      <w:r w:rsidRPr="001C7B25">
        <w:rPr>
          <w:rFonts w:ascii="Times New Roman" w:hAnsi="Times New Roman" w:cs="Times New Roman"/>
          <w:b/>
          <w:bCs/>
          <w:color w:val="000000" w:themeColor="text1"/>
          <w:sz w:val="24"/>
          <w:szCs w:val="24"/>
        </w:rPr>
        <w:t>Authors</w:t>
      </w:r>
      <w:r w:rsidR="00915D55" w:rsidRPr="001C7B25">
        <w:rPr>
          <w:rFonts w:ascii="Times New Roman" w:hAnsi="Times New Roman" w:cs="Times New Roman"/>
          <w:b/>
          <w:bCs/>
          <w:color w:val="000000" w:themeColor="text1"/>
          <w:sz w:val="24"/>
          <w:szCs w:val="24"/>
        </w:rPr>
        <w:t>’</w:t>
      </w:r>
      <w:r w:rsidRPr="001C7B25">
        <w:rPr>
          <w:rFonts w:ascii="Times New Roman" w:hAnsi="Times New Roman" w:cs="Times New Roman"/>
          <w:b/>
          <w:bCs/>
          <w:color w:val="000000" w:themeColor="text1"/>
          <w:sz w:val="24"/>
          <w:szCs w:val="24"/>
        </w:rPr>
        <w:t xml:space="preserve"> contributions: </w:t>
      </w:r>
    </w:p>
    <w:p w14:paraId="4E2373EE" w14:textId="7CEA2F21" w:rsidR="009101AB" w:rsidRPr="001C7B25" w:rsidRDefault="009101AB" w:rsidP="009101AB">
      <w:pPr>
        <w:widowControl/>
        <w:spacing w:line="480" w:lineRule="auto"/>
        <w:jc w:val="left"/>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rPr>
        <w:t>The authors declare the following</w:t>
      </w:r>
      <w:r w:rsidR="00915D55" w:rsidRPr="001C7B25">
        <w:rPr>
          <w:rFonts w:ascii="Times New Roman" w:hAnsi="Times New Roman" w:cs="Times New Roman"/>
          <w:color w:val="000000" w:themeColor="text1"/>
          <w:sz w:val="24"/>
          <w:szCs w:val="24"/>
        </w:rPr>
        <w:t>:</w:t>
      </w:r>
    </w:p>
    <w:p w14:paraId="4123490D" w14:textId="480C3464" w:rsidR="009101AB" w:rsidRPr="001C7B25" w:rsidRDefault="009101AB" w:rsidP="009101AB">
      <w:pPr>
        <w:spacing w:line="480" w:lineRule="auto"/>
        <w:jc w:val="left"/>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rPr>
        <w:t>All authors have contributed to and agreed on the content of the manuscript.</w:t>
      </w:r>
    </w:p>
    <w:p w14:paraId="01B65E87" w14:textId="1E5551B5" w:rsidR="009101AB" w:rsidRPr="001C7B25" w:rsidRDefault="00915D55" w:rsidP="009101AB">
      <w:pPr>
        <w:spacing w:line="480" w:lineRule="auto"/>
        <w:jc w:val="left"/>
        <w:rPr>
          <w:rFonts w:ascii="Times New Roman" w:hAnsi="Times New Roman" w:cs="Times New Roman"/>
          <w:color w:val="000000" w:themeColor="text1"/>
          <w:sz w:val="24"/>
          <w:szCs w:val="24"/>
          <w:u w:val="single"/>
        </w:rPr>
      </w:pPr>
      <w:r w:rsidRPr="001C7B25">
        <w:rPr>
          <w:rFonts w:ascii="Times New Roman" w:hAnsi="Times New Roman" w:cs="Times New Roman"/>
          <w:color w:val="000000" w:themeColor="text1"/>
          <w:sz w:val="24"/>
          <w:szCs w:val="24"/>
          <w:u w:val="single"/>
        </w:rPr>
        <w:t>Author r</w:t>
      </w:r>
      <w:r w:rsidR="009101AB" w:rsidRPr="001C7B25">
        <w:rPr>
          <w:rFonts w:ascii="Times New Roman" w:hAnsi="Times New Roman" w:cs="Times New Roman"/>
          <w:color w:val="000000" w:themeColor="text1"/>
          <w:sz w:val="24"/>
          <w:szCs w:val="24"/>
          <w:u w:val="single"/>
        </w:rPr>
        <w:t>ole</w:t>
      </w:r>
      <w:r w:rsidRPr="001C7B25">
        <w:rPr>
          <w:rFonts w:ascii="Times New Roman" w:hAnsi="Times New Roman" w:cs="Times New Roman"/>
          <w:color w:val="000000" w:themeColor="text1"/>
          <w:sz w:val="24"/>
          <w:szCs w:val="24"/>
          <w:u w:val="single"/>
        </w:rPr>
        <w:t>s</w:t>
      </w:r>
    </w:p>
    <w:p w14:paraId="45578F61" w14:textId="77777777" w:rsidR="003D1988" w:rsidRPr="001C7B25" w:rsidRDefault="003D1988" w:rsidP="003D1988">
      <w:pPr>
        <w:autoSpaceDE w:val="0"/>
        <w:autoSpaceDN w:val="0"/>
        <w:adjustRightInd w:val="0"/>
        <w:spacing w:line="480" w:lineRule="auto"/>
        <w:jc w:val="left"/>
        <w:rPr>
          <w:rFonts w:ascii="Times New Roman" w:hAnsi="Times New Roman" w:cs="Times New Roman"/>
          <w:noProof/>
          <w:color w:val="000000" w:themeColor="text1"/>
          <w:sz w:val="24"/>
          <w:szCs w:val="24"/>
        </w:rPr>
      </w:pPr>
      <w:r w:rsidRPr="001C7B25">
        <w:rPr>
          <w:rFonts w:ascii="Times New Roman" w:hAnsi="Times New Roman" w:cs="Times New Roman"/>
          <w:noProof/>
          <w:color w:val="000000" w:themeColor="text1"/>
          <w:sz w:val="24"/>
          <w:szCs w:val="24"/>
        </w:rPr>
        <w:t xml:space="preserve">Concept and study design: Takashi Kumada and </w:t>
      </w:r>
      <w:r w:rsidRPr="001C7B25">
        <w:rPr>
          <w:rFonts w:ascii="Times New Roman" w:hAnsi="Times New Roman" w:cs="Times New Roman"/>
          <w:color w:val="000000" w:themeColor="text1"/>
          <w:sz w:val="24"/>
          <w:szCs w:val="24"/>
          <w:lang w:val="en-GB"/>
        </w:rPr>
        <w:t>William L. Irving</w:t>
      </w:r>
    </w:p>
    <w:p w14:paraId="4B2454CE" w14:textId="77777777" w:rsidR="003D1988" w:rsidRPr="001C7B25" w:rsidRDefault="003D1988" w:rsidP="003D1988">
      <w:pPr>
        <w:autoSpaceDE w:val="0"/>
        <w:autoSpaceDN w:val="0"/>
        <w:adjustRightInd w:val="0"/>
        <w:spacing w:line="480" w:lineRule="auto"/>
        <w:jc w:val="left"/>
        <w:rPr>
          <w:rFonts w:ascii="Times New Roman" w:hAnsi="Times New Roman" w:cs="Times New Roman"/>
          <w:noProof/>
          <w:color w:val="000000" w:themeColor="text1"/>
          <w:sz w:val="24"/>
          <w:szCs w:val="24"/>
        </w:rPr>
      </w:pPr>
      <w:r w:rsidRPr="001C7B25">
        <w:rPr>
          <w:rFonts w:ascii="Times New Roman" w:hAnsi="Times New Roman" w:cs="Times New Roman"/>
          <w:noProof/>
          <w:color w:val="000000" w:themeColor="text1"/>
          <w:sz w:val="24"/>
          <w:szCs w:val="24"/>
        </w:rPr>
        <w:t>Data acquisition: All authors</w:t>
      </w:r>
    </w:p>
    <w:p w14:paraId="4BD63123" w14:textId="4A2C4194" w:rsidR="003D1988" w:rsidRPr="001C7B25" w:rsidRDefault="003D1988" w:rsidP="003D1988">
      <w:pPr>
        <w:autoSpaceDE w:val="0"/>
        <w:autoSpaceDN w:val="0"/>
        <w:adjustRightInd w:val="0"/>
        <w:spacing w:line="480" w:lineRule="auto"/>
        <w:jc w:val="left"/>
        <w:rPr>
          <w:rFonts w:ascii="Times New Roman" w:hAnsi="Times New Roman" w:cs="Times New Roman"/>
          <w:noProof/>
          <w:color w:val="000000" w:themeColor="text1"/>
          <w:sz w:val="24"/>
          <w:szCs w:val="24"/>
        </w:rPr>
      </w:pPr>
      <w:r w:rsidRPr="001C7B25">
        <w:rPr>
          <w:rFonts w:ascii="Times New Roman" w:hAnsi="Times New Roman" w:cs="Times New Roman"/>
          <w:noProof/>
          <w:color w:val="000000" w:themeColor="text1"/>
          <w:sz w:val="24"/>
          <w:szCs w:val="24"/>
        </w:rPr>
        <w:t>Analyses of the data: Junko Tanaka and Toshifumi Tada</w:t>
      </w:r>
    </w:p>
    <w:p w14:paraId="7327DE6F" w14:textId="1EDCA6C8" w:rsidR="003D1988" w:rsidRPr="001C7B25" w:rsidRDefault="003D1988" w:rsidP="003D1988">
      <w:pPr>
        <w:autoSpaceDE w:val="0"/>
        <w:autoSpaceDN w:val="0"/>
        <w:adjustRightInd w:val="0"/>
        <w:spacing w:line="480" w:lineRule="auto"/>
        <w:jc w:val="left"/>
        <w:rPr>
          <w:rFonts w:ascii="Times New Roman" w:hAnsi="Times New Roman" w:cs="Times New Roman"/>
          <w:noProof/>
          <w:color w:val="000000" w:themeColor="text1"/>
          <w:sz w:val="24"/>
          <w:szCs w:val="24"/>
        </w:rPr>
      </w:pPr>
      <w:r w:rsidRPr="001C7B25">
        <w:rPr>
          <w:rFonts w:ascii="Times New Roman" w:hAnsi="Times New Roman" w:cs="Times New Roman"/>
          <w:noProof/>
          <w:color w:val="000000" w:themeColor="text1"/>
          <w:sz w:val="24"/>
          <w:szCs w:val="24"/>
        </w:rPr>
        <w:t>Statistics: Junko Tanaka</w:t>
      </w:r>
    </w:p>
    <w:p w14:paraId="02776A92" w14:textId="11F6FC3C" w:rsidR="009101AB" w:rsidRPr="001C7B25" w:rsidRDefault="009101AB" w:rsidP="009101AB">
      <w:pPr>
        <w:autoSpaceDE w:val="0"/>
        <w:autoSpaceDN w:val="0"/>
        <w:adjustRightInd w:val="0"/>
        <w:spacing w:line="480" w:lineRule="auto"/>
        <w:jc w:val="left"/>
        <w:rPr>
          <w:rFonts w:ascii="Times New Roman" w:hAnsi="Times New Roman" w:cs="Times New Roman"/>
          <w:noProof/>
          <w:color w:val="000000" w:themeColor="text1"/>
          <w:sz w:val="24"/>
          <w:szCs w:val="24"/>
        </w:rPr>
      </w:pPr>
      <w:r w:rsidRPr="001C7B25">
        <w:rPr>
          <w:rFonts w:ascii="Times New Roman" w:hAnsi="Times New Roman" w:cs="Times New Roman"/>
          <w:noProof/>
          <w:color w:val="000000" w:themeColor="text1"/>
          <w:sz w:val="24"/>
          <w:szCs w:val="24"/>
        </w:rPr>
        <w:t>Supervis</w:t>
      </w:r>
      <w:r w:rsidR="00915D55" w:rsidRPr="001C7B25">
        <w:rPr>
          <w:rFonts w:ascii="Times New Roman" w:hAnsi="Times New Roman" w:cs="Times New Roman"/>
          <w:noProof/>
          <w:color w:val="000000" w:themeColor="text1"/>
          <w:sz w:val="24"/>
          <w:szCs w:val="24"/>
        </w:rPr>
        <w:t>ion</w:t>
      </w:r>
      <w:r w:rsidRPr="001C7B25">
        <w:rPr>
          <w:rFonts w:ascii="Times New Roman" w:hAnsi="Times New Roman" w:cs="Times New Roman"/>
          <w:noProof/>
          <w:color w:val="000000" w:themeColor="text1"/>
          <w:sz w:val="24"/>
          <w:szCs w:val="24"/>
        </w:rPr>
        <w:t xml:space="preserve">: </w:t>
      </w:r>
      <w:r w:rsidR="003D1988" w:rsidRPr="001C7B25">
        <w:rPr>
          <w:rFonts w:ascii="Times New Roman" w:hAnsi="Times New Roman" w:cs="Times New Roman"/>
          <w:color w:val="000000" w:themeColor="text1"/>
          <w:sz w:val="24"/>
          <w:szCs w:val="24"/>
        </w:rPr>
        <w:t>Kazuaki Chayama</w:t>
      </w:r>
      <w:r w:rsidR="003D1988" w:rsidRPr="001C7B25">
        <w:rPr>
          <w:rFonts w:ascii="Times New Roman" w:hAnsi="Times New Roman" w:cs="Times New Roman"/>
          <w:noProof/>
          <w:color w:val="000000" w:themeColor="text1"/>
          <w:sz w:val="24"/>
          <w:szCs w:val="24"/>
        </w:rPr>
        <w:t xml:space="preserve">, </w:t>
      </w:r>
      <w:r w:rsidR="003D1988" w:rsidRPr="001C7B25">
        <w:rPr>
          <w:rFonts w:ascii="Times New Roman" w:hAnsi="Times New Roman" w:cs="Times New Roman"/>
          <w:color w:val="000000" w:themeColor="text1"/>
          <w:sz w:val="24"/>
          <w:szCs w:val="24"/>
          <w:lang w:val="en-GB"/>
        </w:rPr>
        <w:t>Philip J Johnson, and William L. Irving</w:t>
      </w:r>
    </w:p>
    <w:p w14:paraId="3A401F48" w14:textId="207BA083" w:rsidR="009101AB" w:rsidRPr="001C7B25" w:rsidRDefault="00915D55" w:rsidP="009101AB">
      <w:pPr>
        <w:autoSpaceDE w:val="0"/>
        <w:autoSpaceDN w:val="0"/>
        <w:adjustRightInd w:val="0"/>
        <w:spacing w:line="480" w:lineRule="auto"/>
        <w:jc w:val="left"/>
        <w:rPr>
          <w:rFonts w:ascii="Times New Roman" w:hAnsi="Times New Roman" w:cs="Times New Roman"/>
          <w:noProof/>
          <w:color w:val="000000" w:themeColor="text1"/>
          <w:sz w:val="24"/>
          <w:szCs w:val="24"/>
        </w:rPr>
      </w:pPr>
      <w:r w:rsidRPr="001C7B25">
        <w:rPr>
          <w:rFonts w:ascii="Times New Roman" w:hAnsi="Times New Roman" w:cs="Times New Roman"/>
          <w:noProof/>
          <w:color w:val="000000" w:themeColor="text1"/>
          <w:sz w:val="24"/>
          <w:szCs w:val="24"/>
        </w:rPr>
        <w:t>Manuscript p</w:t>
      </w:r>
      <w:r w:rsidR="009101AB" w:rsidRPr="001C7B25">
        <w:rPr>
          <w:rFonts w:ascii="Times New Roman" w:hAnsi="Times New Roman" w:cs="Times New Roman"/>
          <w:noProof/>
          <w:color w:val="000000" w:themeColor="text1"/>
          <w:sz w:val="24"/>
          <w:szCs w:val="24"/>
        </w:rPr>
        <w:t>repar</w:t>
      </w:r>
      <w:r w:rsidRPr="001C7B25">
        <w:rPr>
          <w:rFonts w:ascii="Times New Roman" w:hAnsi="Times New Roman" w:cs="Times New Roman"/>
          <w:noProof/>
          <w:color w:val="000000" w:themeColor="text1"/>
          <w:sz w:val="24"/>
          <w:szCs w:val="24"/>
        </w:rPr>
        <w:t>ation</w:t>
      </w:r>
      <w:r w:rsidR="009101AB" w:rsidRPr="001C7B25">
        <w:rPr>
          <w:rFonts w:ascii="Times New Roman" w:hAnsi="Times New Roman" w:cs="Times New Roman"/>
          <w:noProof/>
          <w:color w:val="000000" w:themeColor="text1"/>
          <w:sz w:val="24"/>
          <w:szCs w:val="24"/>
        </w:rPr>
        <w:t xml:space="preserve">: </w:t>
      </w:r>
      <w:r w:rsidR="003D1988" w:rsidRPr="001C7B25">
        <w:rPr>
          <w:rFonts w:ascii="Times New Roman" w:hAnsi="Times New Roman" w:cs="Times New Roman"/>
          <w:noProof/>
          <w:color w:val="000000" w:themeColor="text1"/>
          <w:sz w:val="24"/>
          <w:szCs w:val="24"/>
        </w:rPr>
        <w:t>Takashi Kumada</w:t>
      </w:r>
    </w:p>
    <w:p w14:paraId="48FCE87F" w14:textId="41C973F1" w:rsidR="009101AB" w:rsidRPr="001C7B25" w:rsidRDefault="009101AB" w:rsidP="009101AB">
      <w:pPr>
        <w:spacing w:line="480" w:lineRule="auto"/>
        <w:jc w:val="left"/>
        <w:rPr>
          <w:rFonts w:ascii="Times New Roman" w:hAnsi="Times New Roman" w:cs="Times New Roman"/>
          <w:noProof/>
          <w:color w:val="000000" w:themeColor="text1"/>
          <w:sz w:val="24"/>
          <w:szCs w:val="24"/>
        </w:rPr>
      </w:pPr>
      <w:r w:rsidRPr="001C7B25">
        <w:rPr>
          <w:rFonts w:ascii="Times New Roman" w:hAnsi="Times New Roman" w:cs="Times New Roman"/>
          <w:noProof/>
          <w:color w:val="000000" w:themeColor="text1"/>
          <w:sz w:val="24"/>
          <w:szCs w:val="24"/>
        </w:rPr>
        <w:t>Review and approval: All authors</w:t>
      </w:r>
    </w:p>
    <w:p w14:paraId="29702ABA" w14:textId="77777777" w:rsidR="009101AB" w:rsidRPr="001C7B25" w:rsidRDefault="009101AB" w:rsidP="009101AB">
      <w:pPr>
        <w:spacing w:line="480" w:lineRule="auto"/>
        <w:jc w:val="left"/>
        <w:rPr>
          <w:rFonts w:ascii="Times New Roman" w:hAnsi="Times New Roman" w:cs="Times New Roman"/>
          <w:noProof/>
          <w:color w:val="000000" w:themeColor="text1"/>
          <w:sz w:val="24"/>
          <w:szCs w:val="24"/>
        </w:rPr>
      </w:pPr>
    </w:p>
    <w:p w14:paraId="7DD8BCA1" w14:textId="045E2C13" w:rsidR="009101AB" w:rsidRPr="001C7B25" w:rsidRDefault="009101AB" w:rsidP="009101AB">
      <w:pPr>
        <w:pStyle w:val="Default"/>
        <w:spacing w:line="480" w:lineRule="auto"/>
        <w:rPr>
          <w:rFonts w:ascii="Times New Roman" w:hAnsi="Times New Roman" w:cs="Times New Roman"/>
          <w:color w:val="000000" w:themeColor="text1"/>
        </w:rPr>
      </w:pPr>
      <w:r w:rsidRPr="001C7B25">
        <w:rPr>
          <w:rFonts w:ascii="Times New Roman" w:hAnsi="Times New Roman" w:cs="Times New Roman"/>
          <w:color w:val="000000" w:themeColor="text1"/>
        </w:rPr>
        <w:t xml:space="preserve">Word count: </w:t>
      </w:r>
      <w:r w:rsidR="00AE32DB" w:rsidRPr="001C7B25">
        <w:rPr>
          <w:rFonts w:ascii="Times New Roman" w:hAnsi="Times New Roman" w:cs="Times New Roman"/>
          <w:color w:val="000000" w:themeColor="text1"/>
        </w:rPr>
        <w:t>4,721</w:t>
      </w:r>
    </w:p>
    <w:p w14:paraId="7EC962DF" w14:textId="78F38742" w:rsidR="009101AB" w:rsidRPr="001C7B25" w:rsidRDefault="009101AB" w:rsidP="009101AB">
      <w:pPr>
        <w:pStyle w:val="Default"/>
        <w:spacing w:line="480" w:lineRule="auto"/>
        <w:rPr>
          <w:rFonts w:ascii="Times New Roman" w:hAnsi="Times New Roman" w:cs="Times New Roman"/>
          <w:color w:val="000000" w:themeColor="text1"/>
        </w:rPr>
      </w:pPr>
      <w:r w:rsidRPr="001C7B25">
        <w:rPr>
          <w:rFonts w:ascii="Times New Roman" w:hAnsi="Times New Roman" w:cs="Times New Roman"/>
          <w:color w:val="000000" w:themeColor="text1"/>
        </w:rPr>
        <w:t xml:space="preserve">Number of tables: </w:t>
      </w:r>
      <w:r w:rsidR="00DF7AEF" w:rsidRPr="001C7B25">
        <w:rPr>
          <w:rFonts w:ascii="Times New Roman" w:hAnsi="Times New Roman" w:cs="Times New Roman" w:hint="eastAsia"/>
          <w:color w:val="000000" w:themeColor="text1"/>
        </w:rPr>
        <w:t>4</w:t>
      </w:r>
    </w:p>
    <w:p w14:paraId="0EE304EB" w14:textId="0991AAA8" w:rsidR="009101AB" w:rsidRPr="001C7B25" w:rsidRDefault="009101AB" w:rsidP="009101AB">
      <w:pPr>
        <w:pStyle w:val="Default"/>
        <w:spacing w:line="480" w:lineRule="auto"/>
        <w:rPr>
          <w:rFonts w:ascii="Times New Roman" w:hAnsi="Times New Roman" w:cs="Times New Roman"/>
          <w:color w:val="000000" w:themeColor="text1"/>
        </w:rPr>
      </w:pPr>
      <w:r w:rsidRPr="001C7B25">
        <w:rPr>
          <w:rFonts w:ascii="Times New Roman" w:hAnsi="Times New Roman" w:cs="Times New Roman"/>
          <w:color w:val="000000" w:themeColor="text1"/>
        </w:rPr>
        <w:t xml:space="preserve">Number of figures: </w:t>
      </w:r>
      <w:r w:rsidR="00DF7AEF" w:rsidRPr="001C7B25">
        <w:rPr>
          <w:rFonts w:ascii="Times New Roman" w:hAnsi="Times New Roman" w:cs="Times New Roman" w:hint="eastAsia"/>
          <w:color w:val="000000" w:themeColor="text1"/>
        </w:rPr>
        <w:t>5</w:t>
      </w:r>
    </w:p>
    <w:p w14:paraId="0DF59B91" w14:textId="77777777" w:rsidR="00913832" w:rsidRPr="001C7B25" w:rsidRDefault="00913832" w:rsidP="009101AB">
      <w:pPr>
        <w:pStyle w:val="Default"/>
        <w:spacing w:line="480" w:lineRule="auto"/>
        <w:rPr>
          <w:rFonts w:ascii="Times New Roman" w:hAnsi="Times New Roman" w:cs="Times New Roman"/>
          <w:color w:val="000000" w:themeColor="text1"/>
        </w:rPr>
      </w:pPr>
    </w:p>
    <w:p w14:paraId="60167C95" w14:textId="2D8A3902" w:rsidR="00F75BF3" w:rsidRPr="001C7B25" w:rsidRDefault="00F75BF3" w:rsidP="00F75BF3">
      <w:pPr>
        <w:tabs>
          <w:tab w:val="left" w:pos="1418"/>
        </w:tabs>
        <w:autoSpaceDE w:val="0"/>
        <w:autoSpaceDN w:val="0"/>
        <w:adjustRightInd w:val="0"/>
        <w:spacing w:line="480" w:lineRule="auto"/>
        <w:jc w:val="left"/>
        <w:rPr>
          <w:rFonts w:ascii="Times New Roman" w:hAnsi="Times New Roman" w:cs="Times New Roman"/>
          <w:color w:val="000000" w:themeColor="text1"/>
          <w:kern w:val="0"/>
          <w:sz w:val="24"/>
          <w:szCs w:val="24"/>
        </w:rPr>
      </w:pPr>
      <w:r w:rsidRPr="001C7B25">
        <w:rPr>
          <w:rFonts w:ascii="Times New Roman" w:hAnsi="Times New Roman" w:cs="Times New Roman"/>
          <w:b/>
          <w:bCs/>
          <w:color w:val="000000" w:themeColor="text1"/>
          <w:kern w:val="0"/>
          <w:sz w:val="24"/>
          <w:szCs w:val="24"/>
        </w:rPr>
        <w:t>Conflicts of interest</w:t>
      </w:r>
      <w:r w:rsidRPr="001C7B25">
        <w:rPr>
          <w:rFonts w:ascii="Times New Roman" w:hAnsi="Times New Roman" w:cs="Times New Roman"/>
          <w:b/>
          <w:color w:val="000000" w:themeColor="text1"/>
          <w:kern w:val="0"/>
          <w:sz w:val="24"/>
          <w:szCs w:val="24"/>
        </w:rPr>
        <w:t xml:space="preserve">: </w:t>
      </w:r>
      <w:r w:rsidRPr="001C7B25">
        <w:rPr>
          <w:rFonts w:ascii="Times New Roman" w:hAnsi="Times New Roman" w:cs="Times New Roman"/>
          <w:color w:val="000000" w:themeColor="text1"/>
          <w:sz w:val="24"/>
          <w:szCs w:val="24"/>
        </w:rPr>
        <w:t>Takashi Kumada</w:t>
      </w:r>
      <w:r w:rsidRPr="001C7B25">
        <w:rPr>
          <w:rFonts w:ascii="Times New Roman" w:hAnsi="Times New Roman" w:cs="Times New Roman"/>
          <w:color w:val="000000" w:themeColor="text1"/>
          <w:kern w:val="0"/>
          <w:sz w:val="24"/>
          <w:szCs w:val="24"/>
        </w:rPr>
        <w:t xml:space="preserve"> (Gilead Sciences, AbbVie), Hidenori Toyoda </w:t>
      </w:r>
      <w:r w:rsidRPr="001C7B25">
        <w:rPr>
          <w:rFonts w:ascii="Times New Roman" w:eastAsia="ＭＳ明朝" w:hAnsi="Times New Roman" w:cs="Times New Roman"/>
          <w:color w:val="000000" w:themeColor="text1"/>
          <w:kern w:val="0"/>
          <w:sz w:val="24"/>
          <w:szCs w:val="24"/>
        </w:rPr>
        <w:t>(</w:t>
      </w:r>
      <w:r w:rsidR="003F51B3" w:rsidRPr="001C7B25">
        <w:rPr>
          <w:rFonts w:ascii="Times New Roman" w:hAnsi="Times New Roman" w:cs="Times New Roman"/>
          <w:color w:val="000000" w:themeColor="text1"/>
          <w:kern w:val="0"/>
          <w:sz w:val="24"/>
          <w:szCs w:val="24"/>
        </w:rPr>
        <w:t>Gilead Sciences</w:t>
      </w:r>
      <w:r w:rsidRPr="001C7B25">
        <w:rPr>
          <w:rFonts w:ascii="Times New Roman" w:hAnsi="Times New Roman" w:cs="Times New Roman"/>
          <w:color w:val="000000" w:themeColor="text1"/>
          <w:kern w:val="0"/>
          <w:sz w:val="24"/>
          <w:szCs w:val="24"/>
        </w:rPr>
        <w:t xml:space="preserve">, </w:t>
      </w:r>
      <w:r w:rsidRPr="001C7B25">
        <w:rPr>
          <w:rFonts w:ascii="Times New Roman" w:eastAsia="ＭＳ明朝" w:hAnsi="Times New Roman" w:cs="Times New Roman"/>
          <w:color w:val="000000" w:themeColor="text1"/>
          <w:kern w:val="0"/>
          <w:sz w:val="24"/>
          <w:szCs w:val="24"/>
        </w:rPr>
        <w:t xml:space="preserve">AbbVie, </w:t>
      </w:r>
      <w:r w:rsidR="003F51B3" w:rsidRPr="001C7B25">
        <w:rPr>
          <w:rFonts w:ascii="Times New Roman" w:hAnsi="Times New Roman" w:cs="Times New Roman"/>
          <w:color w:val="000000" w:themeColor="text1"/>
          <w:sz w:val="24"/>
          <w:szCs w:val="24"/>
        </w:rPr>
        <w:t>Merck Sharp and Dohme</w:t>
      </w:r>
      <w:r w:rsidRPr="001C7B25">
        <w:rPr>
          <w:rFonts w:ascii="Times New Roman" w:hAnsi="Times New Roman" w:cs="Times New Roman"/>
          <w:snapToGrid w:val="0"/>
          <w:color w:val="000000" w:themeColor="text1"/>
          <w:sz w:val="24"/>
          <w:szCs w:val="24"/>
          <w:lang w:eastAsia="en-US"/>
        </w:rPr>
        <w:t>,</w:t>
      </w:r>
      <w:r w:rsidRPr="001C7B25">
        <w:rPr>
          <w:rFonts w:ascii="Times New Roman" w:hAnsi="Times New Roman" w:cs="Times New Roman"/>
          <w:snapToGrid w:val="0"/>
          <w:color w:val="000000" w:themeColor="text1"/>
          <w:sz w:val="24"/>
          <w:szCs w:val="24"/>
        </w:rPr>
        <w:t xml:space="preserve"> </w:t>
      </w:r>
      <w:r w:rsidRPr="001C7B25">
        <w:rPr>
          <w:rFonts w:ascii="Times New Roman" w:hAnsi="Times New Roman" w:cs="Times New Roman"/>
          <w:snapToGrid w:val="0"/>
          <w:color w:val="000000" w:themeColor="text1"/>
          <w:sz w:val="24"/>
          <w:szCs w:val="24"/>
          <w:lang w:eastAsia="en-US"/>
        </w:rPr>
        <w:t>Bayer</w:t>
      </w:r>
      <w:r w:rsidRPr="001C7B25">
        <w:rPr>
          <w:rFonts w:ascii="Times New Roman" w:eastAsia="ＭＳ明朝" w:hAnsi="Times New Roman" w:cs="Times New Roman"/>
          <w:color w:val="000000" w:themeColor="text1"/>
          <w:kern w:val="0"/>
          <w:sz w:val="24"/>
          <w:szCs w:val="24"/>
        </w:rPr>
        <w:t>), Junko Tanaka (</w:t>
      </w:r>
      <w:r w:rsidR="003F51B3" w:rsidRPr="001C7B25">
        <w:rPr>
          <w:rFonts w:ascii="Times New Roman" w:hAnsi="Times New Roman" w:cs="Times New Roman"/>
          <w:color w:val="000000" w:themeColor="text1"/>
          <w:kern w:val="0"/>
          <w:sz w:val="24"/>
          <w:szCs w:val="24"/>
        </w:rPr>
        <w:t>Gilead Sciences</w:t>
      </w:r>
      <w:r w:rsidRPr="001C7B25">
        <w:rPr>
          <w:rFonts w:ascii="Times New Roman" w:hAnsi="Times New Roman" w:cs="Times New Roman"/>
          <w:snapToGrid w:val="0"/>
          <w:color w:val="000000" w:themeColor="text1"/>
          <w:sz w:val="24"/>
          <w:szCs w:val="24"/>
          <w:lang w:eastAsia="en-US"/>
        </w:rPr>
        <w:t xml:space="preserve">, AbbVie), </w:t>
      </w:r>
      <w:r w:rsidRPr="001C7B25">
        <w:rPr>
          <w:rFonts w:ascii="Times New Roman" w:hAnsi="Times New Roman" w:cs="Times New Roman"/>
          <w:color w:val="000000" w:themeColor="text1"/>
          <w:sz w:val="24"/>
          <w:szCs w:val="24"/>
        </w:rPr>
        <w:t>Kazuaki Chayama (</w:t>
      </w:r>
      <w:r w:rsidR="003F51B3" w:rsidRPr="001C7B25">
        <w:rPr>
          <w:rFonts w:ascii="Times New Roman" w:hAnsi="Times New Roman" w:cs="Times New Roman"/>
          <w:color w:val="000000" w:themeColor="text1"/>
          <w:kern w:val="0"/>
          <w:sz w:val="24"/>
          <w:szCs w:val="24"/>
        </w:rPr>
        <w:t>Gilead Sciences</w:t>
      </w:r>
      <w:r w:rsidR="00EC5244" w:rsidRPr="001C7B25">
        <w:rPr>
          <w:rFonts w:ascii="Times New Roman" w:hAnsi="Times New Roman" w:cs="Times New Roman"/>
          <w:snapToGrid w:val="0"/>
          <w:color w:val="000000" w:themeColor="text1"/>
          <w:sz w:val="24"/>
          <w:szCs w:val="24"/>
          <w:lang w:eastAsia="en-US"/>
        </w:rPr>
        <w:t xml:space="preserve">, </w:t>
      </w:r>
      <w:r w:rsidR="003F51B3" w:rsidRPr="001C7B25">
        <w:rPr>
          <w:rFonts w:ascii="Times New Roman" w:hAnsi="Times New Roman" w:cs="Times New Roman"/>
          <w:color w:val="000000" w:themeColor="text1"/>
          <w:sz w:val="24"/>
          <w:szCs w:val="24"/>
        </w:rPr>
        <w:t>Merck Sharp and Dohme</w:t>
      </w:r>
      <w:r w:rsidRPr="001C7B25">
        <w:rPr>
          <w:rFonts w:ascii="Times New Roman" w:hAnsi="Times New Roman" w:cs="Times New Roman"/>
          <w:color w:val="000000" w:themeColor="text1"/>
          <w:sz w:val="24"/>
          <w:szCs w:val="24"/>
        </w:rPr>
        <w:t xml:space="preserve">, </w:t>
      </w:r>
      <w:r w:rsidRPr="001C7B25">
        <w:rPr>
          <w:rFonts w:ascii="Times New Roman" w:hAnsi="Times New Roman" w:cs="Times New Roman"/>
          <w:snapToGrid w:val="0"/>
          <w:color w:val="000000" w:themeColor="text1"/>
          <w:sz w:val="24"/>
          <w:szCs w:val="24"/>
          <w:lang w:eastAsia="en-US"/>
        </w:rPr>
        <w:t>AbbVie, Ajinomoto, Bristol-Myers Squibb, Chugai, Sumitomo Dainippon, Mitsubishi Tanabe, Abbot, Astellas, Otsuka, Roche, Janssen, EA, and Toray)</w:t>
      </w:r>
      <w:r w:rsidR="003F51B3" w:rsidRPr="001C7B25">
        <w:rPr>
          <w:rFonts w:ascii="Times New Roman" w:hAnsi="Times New Roman" w:cs="Times New Roman"/>
          <w:snapToGrid w:val="0"/>
          <w:color w:val="000000" w:themeColor="text1"/>
          <w:sz w:val="24"/>
          <w:szCs w:val="24"/>
          <w:lang w:eastAsia="en-US"/>
        </w:rPr>
        <w:t xml:space="preserve">, </w:t>
      </w:r>
      <w:r w:rsidR="00C66C9F" w:rsidRPr="001C7B25">
        <w:rPr>
          <w:rFonts w:ascii="Times New Roman" w:hAnsi="Times New Roman" w:cs="Times New Roman"/>
          <w:snapToGrid w:val="0"/>
          <w:color w:val="000000" w:themeColor="text1"/>
          <w:sz w:val="24"/>
          <w:szCs w:val="24"/>
        </w:rPr>
        <w:t xml:space="preserve">and </w:t>
      </w:r>
      <w:r w:rsidR="003F51B3" w:rsidRPr="001C7B25">
        <w:rPr>
          <w:rFonts w:ascii="Times New Roman" w:hAnsi="Times New Roman" w:cs="Times New Roman"/>
          <w:color w:val="000000" w:themeColor="text1"/>
          <w:sz w:val="24"/>
          <w:szCs w:val="24"/>
          <w:lang w:val="en-GB"/>
        </w:rPr>
        <w:t>Will Irving (</w:t>
      </w:r>
      <w:r w:rsidR="003F51B3" w:rsidRPr="001C7B25">
        <w:rPr>
          <w:rFonts w:ascii="Times New Roman" w:hAnsi="Times New Roman" w:cs="Times New Roman"/>
          <w:color w:val="000000" w:themeColor="text1"/>
          <w:sz w:val="24"/>
          <w:szCs w:val="24"/>
        </w:rPr>
        <w:t>Roche, Janssen Cilag, Gilead Sciences</w:t>
      </w:r>
      <w:r w:rsidR="00C66C9F" w:rsidRPr="001C7B25">
        <w:rPr>
          <w:rFonts w:ascii="Times New Roman" w:hAnsi="Times New Roman" w:cs="Times New Roman"/>
          <w:color w:val="000000" w:themeColor="text1"/>
          <w:sz w:val="24"/>
          <w:szCs w:val="24"/>
        </w:rPr>
        <w:t xml:space="preserve">, </w:t>
      </w:r>
      <w:r w:rsidR="003F51B3" w:rsidRPr="001C7B25">
        <w:rPr>
          <w:rFonts w:ascii="Times New Roman" w:hAnsi="Times New Roman" w:cs="Times New Roman"/>
          <w:color w:val="000000" w:themeColor="text1"/>
          <w:sz w:val="24"/>
          <w:szCs w:val="24"/>
        </w:rPr>
        <w:t>Novartis, Boehringer Ingelheim, Merck Sharp and Dohme and, GlaxoSmithKline, Pfizer, and Bristol-Myers Squibb</w:t>
      </w:r>
      <w:r w:rsidR="003F51B3" w:rsidRPr="001C7B25">
        <w:rPr>
          <w:rFonts w:ascii="Times New Roman" w:hAnsi="Times New Roman" w:cs="Times New Roman"/>
          <w:color w:val="000000" w:themeColor="text1"/>
          <w:sz w:val="24"/>
          <w:szCs w:val="24"/>
          <w:lang w:val="en-GB"/>
        </w:rPr>
        <w:t>)</w:t>
      </w:r>
      <w:r w:rsidRPr="001C7B25">
        <w:rPr>
          <w:rFonts w:ascii="Times New Roman" w:hAnsi="Times New Roman" w:cs="Times New Roman"/>
          <w:color w:val="000000" w:themeColor="text1"/>
          <w:sz w:val="24"/>
          <w:szCs w:val="24"/>
          <w:lang w:val="en-GB"/>
        </w:rPr>
        <w:t>.</w:t>
      </w:r>
    </w:p>
    <w:p w14:paraId="7BAFCFA0" w14:textId="77777777" w:rsidR="009101AB" w:rsidRPr="001C7B25" w:rsidRDefault="009101AB" w:rsidP="009101AB">
      <w:pPr>
        <w:tabs>
          <w:tab w:val="left" w:pos="1418"/>
        </w:tabs>
        <w:autoSpaceDE w:val="0"/>
        <w:autoSpaceDN w:val="0"/>
        <w:adjustRightInd w:val="0"/>
        <w:spacing w:line="480" w:lineRule="auto"/>
        <w:jc w:val="left"/>
        <w:rPr>
          <w:rFonts w:ascii="Times New Roman" w:eastAsia="AdvGulliv-R" w:hAnsi="Times New Roman" w:cs="Times New Roman"/>
          <w:color w:val="000000" w:themeColor="text1"/>
          <w:kern w:val="0"/>
          <w:sz w:val="24"/>
          <w:szCs w:val="24"/>
        </w:rPr>
      </w:pPr>
    </w:p>
    <w:p w14:paraId="57CFE750" w14:textId="6FD73A1C" w:rsidR="00AB4774" w:rsidRPr="001C7B25" w:rsidRDefault="009101AB" w:rsidP="00AB4774">
      <w:pPr>
        <w:autoSpaceDE w:val="0"/>
        <w:autoSpaceDN w:val="0"/>
        <w:adjustRightInd w:val="0"/>
        <w:spacing w:line="480" w:lineRule="auto"/>
        <w:jc w:val="left"/>
        <w:rPr>
          <w:rFonts w:ascii="Times New Roman" w:hAnsi="Times New Roman" w:cs="Times New Roman"/>
          <w:color w:val="000000" w:themeColor="text1"/>
          <w:sz w:val="24"/>
          <w:szCs w:val="24"/>
        </w:rPr>
      </w:pPr>
      <w:r w:rsidRPr="001C7B25">
        <w:rPr>
          <w:rFonts w:ascii="Times New Roman" w:eastAsia="AdvGulliv-R" w:hAnsi="Times New Roman" w:cs="Times New Roman"/>
          <w:b/>
          <w:color w:val="000000" w:themeColor="text1"/>
          <w:kern w:val="0"/>
          <w:sz w:val="24"/>
          <w:szCs w:val="24"/>
        </w:rPr>
        <w:t>Financial support</w:t>
      </w:r>
      <w:r w:rsidRPr="001C7B25">
        <w:rPr>
          <w:rFonts w:ascii="Times New Roman" w:eastAsia="AdvGulliv-R" w:hAnsi="Times New Roman" w:cs="Times New Roman"/>
          <w:color w:val="000000" w:themeColor="text1"/>
          <w:kern w:val="0"/>
          <w:sz w:val="24"/>
          <w:szCs w:val="24"/>
        </w:rPr>
        <w:t>: This work was supported by Health and Labour Sciences Research Grants (Research on Hepatitis) from the Ministry of Health, Labour and Welfare of Japan.</w:t>
      </w:r>
      <w:r w:rsidR="00C66C9F" w:rsidRPr="001C7B25">
        <w:rPr>
          <w:rFonts w:ascii="Times New Roman" w:eastAsia="AdvGulliv-R" w:hAnsi="Times New Roman" w:cs="Times New Roman"/>
          <w:color w:val="000000" w:themeColor="text1"/>
          <w:kern w:val="0"/>
          <w:sz w:val="24"/>
          <w:szCs w:val="24"/>
        </w:rPr>
        <w:t xml:space="preserve"> </w:t>
      </w:r>
      <w:r w:rsidR="00C66C9F" w:rsidRPr="001C7B25">
        <w:rPr>
          <w:rFonts w:ascii="Times New Roman" w:hAnsi="Times New Roman" w:cs="Times New Roman"/>
          <w:color w:val="000000" w:themeColor="text1"/>
          <w:kern w:val="0"/>
          <w:sz w:val="24"/>
          <w:szCs w:val="24"/>
          <w:lang w:val="en-GB"/>
        </w:rPr>
        <w:t>HCV Research UK was established by a grant from the Medical Research Foundation (award no: C0365).</w:t>
      </w:r>
    </w:p>
    <w:p w14:paraId="651C91D9" w14:textId="77777777" w:rsidR="00646552" w:rsidRPr="001C7B25" w:rsidRDefault="00646552">
      <w:pPr>
        <w:widowControl/>
        <w:jc w:val="left"/>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rPr>
        <w:br w:type="page"/>
      </w:r>
    </w:p>
    <w:p w14:paraId="33549F4B" w14:textId="14142A2B" w:rsidR="00646552" w:rsidRPr="001C7B25" w:rsidRDefault="00646552" w:rsidP="0065537A">
      <w:pPr>
        <w:spacing w:line="480" w:lineRule="auto"/>
        <w:rPr>
          <w:rFonts w:ascii="Times New Roman" w:hAnsi="Times New Roman" w:cs="Times New Roman"/>
          <w:b/>
          <w:color w:val="000000" w:themeColor="text1"/>
          <w:sz w:val="24"/>
          <w:szCs w:val="24"/>
        </w:rPr>
      </w:pPr>
      <w:r w:rsidRPr="001C7B25">
        <w:rPr>
          <w:rFonts w:ascii="Times New Roman" w:hAnsi="Times New Roman" w:cs="Times New Roman"/>
          <w:b/>
          <w:color w:val="000000" w:themeColor="text1"/>
          <w:sz w:val="24"/>
          <w:szCs w:val="24"/>
        </w:rPr>
        <w:t>Abstract</w:t>
      </w:r>
    </w:p>
    <w:p w14:paraId="09E35FBA" w14:textId="5D816E7A" w:rsidR="009101AB" w:rsidRPr="001C7B25" w:rsidRDefault="009101AB" w:rsidP="0065537A">
      <w:pPr>
        <w:spacing w:line="480" w:lineRule="auto"/>
        <w:rPr>
          <w:rFonts w:ascii="Times New Roman" w:hAnsi="Times New Roman" w:cs="Times New Roman"/>
          <w:color w:val="000000" w:themeColor="text1"/>
          <w:sz w:val="24"/>
          <w:szCs w:val="24"/>
        </w:rPr>
      </w:pPr>
      <w:r w:rsidRPr="001C7B25">
        <w:rPr>
          <w:rFonts w:ascii="Times New Roman" w:hAnsi="Times New Roman" w:cs="Times New Roman"/>
          <w:b/>
          <w:color w:val="000000" w:themeColor="text1"/>
          <w:sz w:val="24"/>
          <w:szCs w:val="24"/>
        </w:rPr>
        <w:t>Background &amp; Aims</w:t>
      </w:r>
      <w:r w:rsidRPr="001C7B25">
        <w:rPr>
          <w:rFonts w:ascii="Times New Roman" w:hAnsi="Times New Roman" w:cs="Times New Roman"/>
          <w:color w:val="000000" w:themeColor="text1"/>
          <w:sz w:val="24"/>
          <w:szCs w:val="24"/>
        </w:rPr>
        <w:t>:</w:t>
      </w:r>
      <w:r w:rsidR="00C06DCC" w:rsidRPr="001C7B25">
        <w:rPr>
          <w:rFonts w:ascii="Times New Roman" w:hAnsi="Times New Roman" w:cs="Times New Roman"/>
          <w:color w:val="000000" w:themeColor="text1"/>
          <w:sz w:val="24"/>
          <w:szCs w:val="24"/>
        </w:rPr>
        <w:t xml:space="preserve"> </w:t>
      </w:r>
      <w:r w:rsidR="00C06DCC" w:rsidRPr="001C7B25">
        <w:rPr>
          <w:rFonts w:ascii="Times New Roman" w:hAnsi="Times New Roman" w:cs="Times New Roman"/>
          <w:color w:val="000000" w:themeColor="text1"/>
          <w:kern w:val="0"/>
          <w:sz w:val="24"/>
          <w:szCs w:val="24"/>
        </w:rPr>
        <w:t xml:space="preserve">In patients with hepatitis C virus (HCV) infection and decompensated cirrhosis (DC), it is uncertain whether viral clearance is </w:t>
      </w:r>
      <w:r w:rsidR="006911B1" w:rsidRPr="001C7B25">
        <w:rPr>
          <w:rFonts w:ascii="Times New Roman" w:hAnsi="Times New Roman" w:cs="Times New Roman"/>
          <w:color w:val="000000" w:themeColor="text1"/>
          <w:kern w:val="0"/>
          <w:sz w:val="24"/>
          <w:szCs w:val="24"/>
        </w:rPr>
        <w:t xml:space="preserve">clinically </w:t>
      </w:r>
      <w:r w:rsidR="00C06DCC" w:rsidRPr="001C7B25">
        <w:rPr>
          <w:rFonts w:ascii="Times New Roman" w:hAnsi="Times New Roman" w:cs="Times New Roman"/>
          <w:color w:val="000000" w:themeColor="text1"/>
          <w:kern w:val="0"/>
          <w:sz w:val="24"/>
          <w:szCs w:val="24"/>
        </w:rPr>
        <w:t xml:space="preserve">meaningful and </w:t>
      </w:r>
      <w:r w:rsidR="006911B1" w:rsidRPr="001C7B25">
        <w:rPr>
          <w:rFonts w:ascii="Times New Roman" w:hAnsi="Times New Roman" w:cs="Times New Roman"/>
          <w:color w:val="000000" w:themeColor="text1"/>
          <w:kern w:val="0"/>
          <w:sz w:val="24"/>
          <w:szCs w:val="24"/>
        </w:rPr>
        <w:t xml:space="preserve">whether it </w:t>
      </w:r>
      <w:r w:rsidR="00F14A4B" w:rsidRPr="001C7B25">
        <w:rPr>
          <w:rFonts w:ascii="Times New Roman" w:hAnsi="Times New Roman" w:cs="Times New Roman"/>
          <w:color w:val="000000" w:themeColor="text1"/>
          <w:kern w:val="0"/>
          <w:sz w:val="24"/>
          <w:szCs w:val="24"/>
        </w:rPr>
        <w:t>decreases</w:t>
      </w:r>
      <w:r w:rsidR="00C06DCC" w:rsidRPr="001C7B25">
        <w:rPr>
          <w:rFonts w:ascii="Times New Roman" w:hAnsi="Times New Roman" w:cs="Times New Roman"/>
          <w:color w:val="000000" w:themeColor="text1"/>
          <w:kern w:val="0"/>
          <w:sz w:val="24"/>
          <w:szCs w:val="24"/>
        </w:rPr>
        <w:t xml:space="preserve"> liver-related and non</w:t>
      </w:r>
      <w:r w:rsidR="00F14A4B" w:rsidRPr="001C7B25">
        <w:rPr>
          <w:rFonts w:ascii="Times New Roman" w:hAnsi="Times New Roman" w:cs="Times New Roman"/>
          <w:color w:val="000000" w:themeColor="text1"/>
          <w:kern w:val="0"/>
          <w:sz w:val="24"/>
          <w:szCs w:val="24"/>
        </w:rPr>
        <w:t>–</w:t>
      </w:r>
      <w:r w:rsidR="00C06DCC" w:rsidRPr="001C7B25">
        <w:rPr>
          <w:rFonts w:ascii="Times New Roman" w:hAnsi="Times New Roman" w:cs="Times New Roman"/>
          <w:color w:val="000000" w:themeColor="text1"/>
          <w:kern w:val="0"/>
          <w:sz w:val="24"/>
          <w:szCs w:val="24"/>
        </w:rPr>
        <w:t xml:space="preserve">liver-related mortality. </w:t>
      </w:r>
      <w:r w:rsidR="00C06DCC" w:rsidRPr="001C7B25">
        <w:rPr>
          <w:rFonts w:ascii="Times New Roman" w:hAnsi="Times New Roman" w:cs="Times New Roman"/>
          <w:color w:val="000000" w:themeColor="text1"/>
          <w:sz w:val="24"/>
          <w:szCs w:val="24"/>
        </w:rPr>
        <w:t xml:space="preserve">The aim of this study </w:t>
      </w:r>
      <w:r w:rsidR="00F14A4B" w:rsidRPr="001C7B25">
        <w:rPr>
          <w:rFonts w:ascii="Times New Roman" w:hAnsi="Times New Roman" w:cs="Times New Roman"/>
          <w:color w:val="000000" w:themeColor="text1"/>
          <w:sz w:val="24"/>
          <w:szCs w:val="24"/>
        </w:rPr>
        <w:t xml:space="preserve">was </w:t>
      </w:r>
      <w:r w:rsidR="00C06DCC" w:rsidRPr="001C7B25">
        <w:rPr>
          <w:rFonts w:ascii="Times New Roman" w:hAnsi="Times New Roman" w:cs="Times New Roman"/>
          <w:color w:val="000000" w:themeColor="text1"/>
          <w:sz w:val="24"/>
          <w:szCs w:val="24"/>
        </w:rPr>
        <w:t>to assess whether viral eradication reduc</w:t>
      </w:r>
      <w:r w:rsidR="00F14A4B" w:rsidRPr="001C7B25">
        <w:rPr>
          <w:rFonts w:ascii="Times New Roman" w:hAnsi="Times New Roman" w:cs="Times New Roman"/>
          <w:color w:val="000000" w:themeColor="text1"/>
          <w:sz w:val="24"/>
          <w:szCs w:val="24"/>
        </w:rPr>
        <w:t>ed</w:t>
      </w:r>
      <w:r w:rsidR="00C06DCC" w:rsidRPr="001C7B25">
        <w:rPr>
          <w:rFonts w:ascii="Times New Roman" w:hAnsi="Times New Roman" w:cs="Times New Roman"/>
          <w:color w:val="000000" w:themeColor="text1"/>
          <w:sz w:val="24"/>
          <w:szCs w:val="24"/>
        </w:rPr>
        <w:t xml:space="preserve"> liver-related and non</w:t>
      </w:r>
      <w:r w:rsidR="00F14A4B" w:rsidRPr="001C7B25">
        <w:rPr>
          <w:rFonts w:ascii="Times New Roman" w:hAnsi="Times New Roman" w:cs="Times New Roman"/>
          <w:color w:val="000000" w:themeColor="text1"/>
          <w:sz w:val="24"/>
          <w:szCs w:val="24"/>
        </w:rPr>
        <w:t>–</w:t>
      </w:r>
      <w:r w:rsidR="00C06DCC" w:rsidRPr="001C7B25">
        <w:rPr>
          <w:rFonts w:ascii="Times New Roman" w:hAnsi="Times New Roman" w:cs="Times New Roman"/>
          <w:color w:val="000000" w:themeColor="text1"/>
          <w:sz w:val="24"/>
          <w:szCs w:val="24"/>
        </w:rPr>
        <w:t>liver-related mortality in patients with HCV infection and DC.</w:t>
      </w:r>
    </w:p>
    <w:p w14:paraId="00213DB7" w14:textId="6FE4983D" w:rsidR="009101AB" w:rsidRPr="001C7B25" w:rsidRDefault="009101AB" w:rsidP="0065537A">
      <w:pPr>
        <w:spacing w:line="480" w:lineRule="auto"/>
        <w:rPr>
          <w:rFonts w:ascii="Times New Roman" w:hAnsi="Times New Roman" w:cs="Times New Roman"/>
          <w:color w:val="000000" w:themeColor="text1"/>
          <w:sz w:val="24"/>
          <w:szCs w:val="24"/>
        </w:rPr>
      </w:pPr>
      <w:r w:rsidRPr="001C7B25">
        <w:rPr>
          <w:rFonts w:ascii="Times New Roman" w:hAnsi="Times New Roman" w:cs="Times New Roman"/>
          <w:b/>
          <w:color w:val="000000" w:themeColor="text1"/>
          <w:sz w:val="24"/>
          <w:szCs w:val="24"/>
        </w:rPr>
        <w:t>Methods</w:t>
      </w:r>
      <w:r w:rsidRPr="001C7B25">
        <w:rPr>
          <w:rFonts w:ascii="Times New Roman" w:hAnsi="Times New Roman" w:cs="Times New Roman"/>
          <w:color w:val="000000" w:themeColor="text1"/>
          <w:sz w:val="24"/>
          <w:szCs w:val="24"/>
        </w:rPr>
        <w:t>:</w:t>
      </w:r>
      <w:r w:rsidR="00C06DCC" w:rsidRPr="001C7B25">
        <w:rPr>
          <w:rFonts w:ascii="Times New Roman" w:hAnsi="Times New Roman" w:cs="Times New Roman"/>
          <w:color w:val="000000" w:themeColor="text1"/>
          <w:sz w:val="24"/>
          <w:szCs w:val="24"/>
        </w:rPr>
        <w:t xml:space="preserve"> </w:t>
      </w:r>
      <w:r w:rsidR="00817D82" w:rsidRPr="001C7B25">
        <w:rPr>
          <w:rFonts w:ascii="Times New Roman" w:hAnsi="Times New Roman" w:cs="Times New Roman"/>
          <w:color w:val="000000" w:themeColor="text1"/>
          <w:sz w:val="24"/>
          <w:szCs w:val="24"/>
        </w:rPr>
        <w:t xml:space="preserve">To </w:t>
      </w:r>
      <w:r w:rsidR="00817D82" w:rsidRPr="001C7B25">
        <w:rPr>
          <w:rFonts w:ascii="Times New Roman" w:hAnsi="Times New Roman" w:cs="Times New Roman"/>
          <w:color w:val="000000" w:themeColor="text1"/>
          <w:sz w:val="24"/>
          <w:szCs w:val="24"/>
          <w:shd w:val="clear" w:color="auto" w:fill="F5F5F5"/>
        </w:rPr>
        <w:t>clarify the impact of viral eradication on liver-related and non–liver-related mortality</w:t>
      </w:r>
      <w:r w:rsidR="00817D82" w:rsidRPr="001C7B25">
        <w:rPr>
          <w:rFonts w:ascii="Times New Roman" w:hAnsi="Times New Roman" w:cs="Times New Roman"/>
          <w:color w:val="000000" w:themeColor="text1"/>
          <w:sz w:val="24"/>
          <w:szCs w:val="24"/>
        </w:rPr>
        <w:t xml:space="preserve">, 433 </w:t>
      </w:r>
      <w:r w:rsidR="00C06DCC" w:rsidRPr="001C7B25">
        <w:rPr>
          <w:rFonts w:ascii="Times New Roman" w:hAnsi="Times New Roman" w:cs="Times New Roman"/>
          <w:color w:val="000000" w:themeColor="text1"/>
          <w:sz w:val="24"/>
          <w:szCs w:val="24"/>
        </w:rPr>
        <w:t>patients</w:t>
      </w:r>
      <w:r w:rsidR="00C77957" w:rsidRPr="001C7B25">
        <w:rPr>
          <w:rFonts w:ascii="Times New Roman" w:hAnsi="Times New Roman" w:cs="Times New Roman"/>
          <w:color w:val="000000" w:themeColor="text1"/>
          <w:sz w:val="24"/>
          <w:szCs w:val="24"/>
        </w:rPr>
        <w:t xml:space="preserve"> with DC</w:t>
      </w:r>
      <w:r w:rsidR="00C06DCC" w:rsidRPr="001C7B25">
        <w:rPr>
          <w:rFonts w:ascii="Times New Roman" w:hAnsi="Times New Roman" w:cs="Times New Roman"/>
          <w:color w:val="000000" w:themeColor="text1"/>
          <w:sz w:val="24"/>
          <w:szCs w:val="24"/>
        </w:rPr>
        <w:t xml:space="preserve"> who received </w:t>
      </w:r>
      <w:r w:rsidR="00C06DCC" w:rsidRPr="001C7B25">
        <w:rPr>
          <w:rFonts w:ascii="Times New Roman" w:hAnsi="Times New Roman" w:cs="Times New Roman"/>
          <w:color w:val="000000" w:themeColor="text1"/>
          <w:kern w:val="0"/>
          <w:sz w:val="24"/>
          <w:szCs w:val="24"/>
        </w:rPr>
        <w:t xml:space="preserve">direct-acting antivirals (DAAs) and achieved </w:t>
      </w:r>
      <w:r w:rsidR="00853964" w:rsidRPr="001C7B25">
        <w:rPr>
          <w:rFonts w:ascii="Times New Roman" w:hAnsi="Times New Roman" w:cs="Times New Roman"/>
          <w:color w:val="000000" w:themeColor="text1"/>
          <w:kern w:val="0"/>
          <w:sz w:val="24"/>
          <w:szCs w:val="24"/>
        </w:rPr>
        <w:t>sustained virological response (</w:t>
      </w:r>
      <w:r w:rsidR="00C06DCC" w:rsidRPr="001C7B25">
        <w:rPr>
          <w:rFonts w:ascii="Times New Roman" w:hAnsi="Times New Roman" w:cs="Times New Roman"/>
          <w:color w:val="000000" w:themeColor="text1"/>
          <w:kern w:val="0"/>
          <w:sz w:val="24"/>
          <w:szCs w:val="24"/>
        </w:rPr>
        <w:t>SVR</w:t>
      </w:r>
      <w:r w:rsidR="00853964" w:rsidRPr="001C7B25">
        <w:rPr>
          <w:rFonts w:ascii="Times New Roman" w:hAnsi="Times New Roman" w:cs="Times New Roman"/>
          <w:color w:val="000000" w:themeColor="text1"/>
          <w:kern w:val="0"/>
          <w:sz w:val="24"/>
          <w:szCs w:val="24"/>
        </w:rPr>
        <w:t>)</w:t>
      </w:r>
      <w:r w:rsidR="00C06DCC" w:rsidRPr="001C7B25">
        <w:rPr>
          <w:rFonts w:ascii="Times New Roman" w:hAnsi="Times New Roman" w:cs="Times New Roman"/>
          <w:color w:val="000000" w:themeColor="text1"/>
          <w:kern w:val="0"/>
          <w:sz w:val="24"/>
          <w:szCs w:val="24"/>
        </w:rPr>
        <w:t xml:space="preserve"> in the </w:t>
      </w:r>
      <w:r w:rsidR="00F14A4B" w:rsidRPr="001C7B25">
        <w:rPr>
          <w:rFonts w:ascii="Times New Roman" w:hAnsi="Times New Roman" w:cs="Times New Roman"/>
          <w:color w:val="000000" w:themeColor="text1"/>
          <w:kern w:val="0"/>
          <w:sz w:val="24"/>
          <w:szCs w:val="24"/>
        </w:rPr>
        <w:t xml:space="preserve">United Kingdom </w:t>
      </w:r>
      <w:r w:rsidR="00C06DCC" w:rsidRPr="001C7B25">
        <w:rPr>
          <w:rFonts w:ascii="Times New Roman" w:hAnsi="Times New Roman" w:cs="Times New Roman"/>
          <w:color w:val="000000" w:themeColor="text1"/>
          <w:kern w:val="0"/>
          <w:sz w:val="24"/>
          <w:szCs w:val="24"/>
        </w:rPr>
        <w:t>(</w:t>
      </w:r>
      <w:r w:rsidR="00C40D81" w:rsidRPr="001C7B25">
        <w:rPr>
          <w:rFonts w:ascii="Times New Roman" w:hAnsi="Times New Roman" w:cs="Times New Roman"/>
          <w:color w:val="000000" w:themeColor="text1"/>
          <w:kern w:val="0"/>
          <w:sz w:val="24"/>
          <w:szCs w:val="24"/>
        </w:rPr>
        <w:t xml:space="preserve">DAA </w:t>
      </w:r>
      <w:r w:rsidR="00C06DCC" w:rsidRPr="001C7B25">
        <w:rPr>
          <w:rFonts w:ascii="Times New Roman" w:hAnsi="Times New Roman" w:cs="Times New Roman"/>
          <w:color w:val="000000" w:themeColor="text1"/>
          <w:kern w:val="0"/>
          <w:sz w:val="24"/>
          <w:szCs w:val="24"/>
        </w:rPr>
        <w:t xml:space="preserve">group) were compared with </w:t>
      </w:r>
      <w:r w:rsidR="00C77957" w:rsidRPr="001C7B25">
        <w:rPr>
          <w:rFonts w:ascii="Times New Roman" w:hAnsi="Times New Roman" w:cs="Times New Roman"/>
          <w:color w:val="000000" w:themeColor="text1"/>
          <w:kern w:val="0"/>
          <w:sz w:val="24"/>
          <w:szCs w:val="24"/>
        </w:rPr>
        <w:t xml:space="preserve">621 patients with DC who did not </w:t>
      </w:r>
      <w:r w:rsidR="00C77957" w:rsidRPr="001C7B25">
        <w:rPr>
          <w:rFonts w:ascii="Times New Roman" w:hAnsi="Times New Roman" w:cs="Times New Roman"/>
          <w:color w:val="000000" w:themeColor="text1"/>
          <w:sz w:val="24"/>
          <w:szCs w:val="24"/>
        </w:rPr>
        <w:t>receive DAAs</w:t>
      </w:r>
      <w:r w:rsidR="00C77957" w:rsidRPr="001C7B25">
        <w:rPr>
          <w:rFonts w:ascii="Times New Roman" w:eastAsia="Lato-Regular" w:hAnsi="Times New Roman" w:cs="Times New Roman"/>
          <w:color w:val="000000" w:themeColor="text1"/>
          <w:kern w:val="0"/>
          <w:sz w:val="24"/>
          <w:szCs w:val="24"/>
        </w:rPr>
        <w:t xml:space="preserve"> and </w:t>
      </w:r>
      <w:r w:rsidR="00F14A4B" w:rsidRPr="001C7B25">
        <w:rPr>
          <w:rFonts w:ascii="Times New Roman" w:eastAsia="Lato-Regular" w:hAnsi="Times New Roman" w:cs="Times New Roman"/>
          <w:color w:val="000000" w:themeColor="text1"/>
          <w:kern w:val="0"/>
          <w:sz w:val="24"/>
          <w:szCs w:val="24"/>
        </w:rPr>
        <w:t xml:space="preserve">who </w:t>
      </w:r>
      <w:r w:rsidR="00C77957" w:rsidRPr="001C7B25">
        <w:rPr>
          <w:rFonts w:ascii="Times New Roman" w:eastAsia="Lato-Regular" w:hAnsi="Times New Roman" w:cs="Times New Roman"/>
          <w:color w:val="000000" w:themeColor="text1"/>
          <w:kern w:val="0"/>
          <w:sz w:val="24"/>
          <w:szCs w:val="24"/>
        </w:rPr>
        <w:t>underwent symptomatic treatment in Japan (Non-</w:t>
      </w:r>
      <w:r w:rsidR="00C40D81" w:rsidRPr="001C7B25">
        <w:rPr>
          <w:rFonts w:ascii="Times New Roman" w:eastAsia="Lato-Regular" w:hAnsi="Times New Roman" w:cs="Times New Roman"/>
          <w:color w:val="000000" w:themeColor="text1"/>
          <w:kern w:val="0"/>
          <w:sz w:val="24"/>
          <w:szCs w:val="24"/>
        </w:rPr>
        <w:t xml:space="preserve">DAA </w:t>
      </w:r>
      <w:r w:rsidR="00C77957" w:rsidRPr="001C7B25">
        <w:rPr>
          <w:rFonts w:ascii="Times New Roman" w:eastAsia="Lato-Regular" w:hAnsi="Times New Roman" w:cs="Times New Roman"/>
          <w:color w:val="000000" w:themeColor="text1"/>
          <w:kern w:val="0"/>
          <w:sz w:val="24"/>
          <w:szCs w:val="24"/>
        </w:rPr>
        <w:t>group)</w:t>
      </w:r>
      <w:r w:rsidR="00C77957" w:rsidRPr="001C7B25">
        <w:rPr>
          <w:rFonts w:ascii="Times New Roman" w:hAnsi="Times New Roman" w:cs="Times New Roman"/>
          <w:color w:val="000000" w:themeColor="text1"/>
          <w:sz w:val="24"/>
          <w:szCs w:val="24"/>
          <w:shd w:val="clear" w:color="auto" w:fill="F5F5F5"/>
        </w:rPr>
        <w:t xml:space="preserve">. </w:t>
      </w:r>
      <w:r w:rsidR="00C77957" w:rsidRPr="001C7B25">
        <w:rPr>
          <w:rFonts w:ascii="Times New Roman" w:hAnsi="Times New Roman" w:cs="Times New Roman"/>
          <w:color w:val="000000" w:themeColor="text1"/>
          <w:kern w:val="0"/>
          <w:sz w:val="24"/>
          <w:szCs w:val="24"/>
        </w:rPr>
        <w:t xml:space="preserve">Cox proportional hazards models </w:t>
      </w:r>
      <w:r w:rsidR="00511E45" w:rsidRPr="001C7B25">
        <w:rPr>
          <w:rFonts w:ascii="Times New Roman" w:hAnsi="Times New Roman" w:cs="Times New Roman"/>
          <w:color w:val="000000" w:themeColor="text1"/>
          <w:kern w:val="0"/>
          <w:sz w:val="24"/>
          <w:szCs w:val="24"/>
        </w:rPr>
        <w:t xml:space="preserve">were used </w:t>
      </w:r>
      <w:r w:rsidR="00C77957" w:rsidRPr="001C7B25">
        <w:rPr>
          <w:rFonts w:ascii="Times New Roman" w:hAnsi="Times New Roman" w:cs="Times New Roman"/>
          <w:color w:val="000000" w:themeColor="text1"/>
          <w:kern w:val="0"/>
          <w:sz w:val="24"/>
          <w:szCs w:val="24"/>
        </w:rPr>
        <w:t>for all-cause mortality and Fine and Gray proportional hazards models</w:t>
      </w:r>
      <w:r w:rsidR="00511E45" w:rsidRPr="001C7B25">
        <w:rPr>
          <w:rFonts w:ascii="Times New Roman" w:hAnsi="Times New Roman" w:cs="Times New Roman"/>
          <w:color w:val="000000" w:themeColor="text1"/>
          <w:kern w:val="0"/>
          <w:sz w:val="24"/>
          <w:szCs w:val="24"/>
        </w:rPr>
        <w:t xml:space="preserve"> were used for liver-related and non–liver-related mortality.</w:t>
      </w:r>
    </w:p>
    <w:p w14:paraId="73CFF624" w14:textId="283575F8" w:rsidR="009101AB" w:rsidRPr="001C7B25" w:rsidRDefault="009101AB" w:rsidP="0065537A">
      <w:pPr>
        <w:spacing w:line="480" w:lineRule="auto"/>
        <w:rPr>
          <w:rFonts w:ascii="Times New Roman" w:hAnsi="Times New Roman" w:cs="Times New Roman"/>
          <w:color w:val="000000" w:themeColor="text1"/>
          <w:sz w:val="24"/>
          <w:szCs w:val="24"/>
        </w:rPr>
      </w:pPr>
      <w:r w:rsidRPr="001C7B25">
        <w:rPr>
          <w:rFonts w:ascii="Times New Roman" w:hAnsi="Times New Roman" w:cs="Times New Roman"/>
          <w:b/>
          <w:color w:val="000000" w:themeColor="text1"/>
          <w:sz w:val="24"/>
          <w:szCs w:val="24"/>
        </w:rPr>
        <w:t>Results</w:t>
      </w:r>
      <w:r w:rsidRPr="001C7B25">
        <w:rPr>
          <w:rFonts w:ascii="Times New Roman" w:hAnsi="Times New Roman" w:cs="Times New Roman"/>
          <w:color w:val="000000" w:themeColor="text1"/>
          <w:sz w:val="24"/>
          <w:szCs w:val="24"/>
        </w:rPr>
        <w:t>:</w:t>
      </w:r>
      <w:r w:rsidR="002C2C55" w:rsidRPr="001C7B25">
        <w:rPr>
          <w:rFonts w:ascii="Times New Roman" w:hAnsi="Times New Roman" w:cs="Times New Roman"/>
          <w:color w:val="000000" w:themeColor="text1"/>
          <w:kern w:val="0"/>
          <w:sz w:val="24"/>
          <w:szCs w:val="24"/>
        </w:rPr>
        <w:t xml:space="preserve"> </w:t>
      </w:r>
      <w:r w:rsidR="00F14A4B" w:rsidRPr="001C7B25">
        <w:rPr>
          <w:rFonts w:ascii="Times New Roman" w:hAnsi="Times New Roman" w:cs="Times New Roman"/>
          <w:color w:val="000000" w:themeColor="text1"/>
          <w:sz w:val="24"/>
          <w:szCs w:val="24"/>
          <w:shd w:val="clear" w:color="auto" w:fill="F5F5F5"/>
        </w:rPr>
        <w:t>Cox’s proportional hazards model</w:t>
      </w:r>
      <w:r w:rsidR="00F14A4B" w:rsidRPr="001C7B25">
        <w:rPr>
          <w:rFonts w:ascii="Times New Roman" w:hAnsi="Times New Roman" w:cs="Times New Roman"/>
          <w:color w:val="000000" w:themeColor="text1"/>
          <w:kern w:val="0"/>
          <w:sz w:val="24"/>
          <w:szCs w:val="24"/>
        </w:rPr>
        <w:t xml:space="preserve"> demonstrated that f</w:t>
      </w:r>
      <w:r w:rsidR="002C2C55" w:rsidRPr="001C7B25">
        <w:rPr>
          <w:rFonts w:ascii="Times New Roman" w:hAnsi="Times New Roman" w:cs="Times New Roman"/>
          <w:color w:val="000000" w:themeColor="text1"/>
          <w:kern w:val="0"/>
          <w:sz w:val="24"/>
          <w:szCs w:val="24"/>
        </w:rPr>
        <w:t xml:space="preserve">actors associated with all-cause mortality were </w:t>
      </w:r>
      <w:r w:rsidR="00853964" w:rsidRPr="001C7B25">
        <w:rPr>
          <w:rFonts w:ascii="Times New Roman" w:hAnsi="Times New Roman" w:cs="Times New Roman"/>
          <w:color w:val="000000" w:themeColor="text1"/>
          <w:sz w:val="24"/>
          <w:szCs w:val="24"/>
          <w:shd w:val="clear" w:color="auto" w:fill="F5F5F5"/>
        </w:rPr>
        <w:t>a</w:t>
      </w:r>
      <w:r w:rsidR="002C2C55" w:rsidRPr="001C7B25">
        <w:rPr>
          <w:rFonts w:ascii="Times New Roman" w:hAnsi="Times New Roman" w:cs="Times New Roman"/>
          <w:color w:val="000000" w:themeColor="text1"/>
          <w:sz w:val="24"/>
          <w:szCs w:val="24"/>
          <w:shd w:val="clear" w:color="auto" w:fill="F5F5F5"/>
        </w:rPr>
        <w:t xml:space="preserve">ge </w:t>
      </w:r>
      <w:r w:rsidR="002C2C55" w:rsidRPr="001C7B25">
        <w:rPr>
          <w:rFonts w:ascii="Times New Roman" w:hAnsi="Times New Roman" w:cs="Times New Roman"/>
          <w:color w:val="000000" w:themeColor="text1"/>
          <w:sz w:val="24"/>
          <w:szCs w:val="24"/>
        </w:rPr>
        <w:t xml:space="preserve">≥ </w:t>
      </w:r>
      <w:r w:rsidR="002C2C55" w:rsidRPr="001C7B25">
        <w:rPr>
          <w:rFonts w:ascii="Times New Roman" w:hAnsi="Times New Roman" w:cs="Times New Roman"/>
          <w:color w:val="000000" w:themeColor="text1"/>
          <w:sz w:val="24"/>
          <w:szCs w:val="24"/>
          <w:shd w:val="clear" w:color="auto" w:fill="F5F5F5"/>
        </w:rPr>
        <w:t xml:space="preserve">65 years, male gender, </w:t>
      </w:r>
      <w:r w:rsidR="00F14A4B" w:rsidRPr="001C7B25">
        <w:rPr>
          <w:rFonts w:ascii="Times New Roman" w:hAnsi="Times New Roman" w:cs="Times New Roman"/>
          <w:color w:val="000000" w:themeColor="text1"/>
          <w:sz w:val="24"/>
          <w:szCs w:val="24"/>
          <w:shd w:val="clear" w:color="auto" w:fill="F5F5F5"/>
        </w:rPr>
        <w:t>albumin</w:t>
      </w:r>
      <w:r w:rsidR="00DD34BB" w:rsidRPr="001C7B25">
        <w:rPr>
          <w:rFonts w:ascii="Times New Roman" w:hAnsi="Times New Roman" w:cs="Times New Roman"/>
          <w:color w:val="000000" w:themeColor="text1"/>
          <w:sz w:val="24"/>
          <w:szCs w:val="24"/>
          <w:shd w:val="clear" w:color="auto" w:fill="F5F5F5"/>
        </w:rPr>
        <w:t>–</w:t>
      </w:r>
      <w:r w:rsidR="00F14A4B" w:rsidRPr="001C7B25">
        <w:rPr>
          <w:rFonts w:ascii="Times New Roman" w:hAnsi="Times New Roman" w:cs="Times New Roman"/>
          <w:color w:val="000000" w:themeColor="text1"/>
          <w:sz w:val="24"/>
          <w:szCs w:val="24"/>
          <w:shd w:val="clear" w:color="auto" w:fill="F5F5F5"/>
        </w:rPr>
        <w:t>bilirubin (</w:t>
      </w:r>
      <w:r w:rsidR="002C2C55" w:rsidRPr="001C7B25">
        <w:rPr>
          <w:rFonts w:ascii="Times New Roman" w:hAnsi="Times New Roman" w:cs="Times New Roman"/>
          <w:color w:val="000000" w:themeColor="text1"/>
          <w:sz w:val="24"/>
          <w:szCs w:val="24"/>
          <w:shd w:val="clear" w:color="auto" w:fill="F5F5F5"/>
        </w:rPr>
        <w:t>ALBI</w:t>
      </w:r>
      <w:r w:rsidR="00853964" w:rsidRPr="001C7B25">
        <w:rPr>
          <w:rFonts w:ascii="Times New Roman" w:hAnsi="Times New Roman" w:cs="Times New Roman"/>
          <w:color w:val="000000" w:themeColor="text1"/>
          <w:sz w:val="24"/>
          <w:szCs w:val="24"/>
          <w:shd w:val="clear" w:color="auto" w:fill="F5F5F5"/>
        </w:rPr>
        <w:t>)</w:t>
      </w:r>
      <w:r w:rsidR="002C2C55" w:rsidRPr="001C7B25">
        <w:rPr>
          <w:rFonts w:ascii="Times New Roman" w:hAnsi="Times New Roman" w:cs="Times New Roman"/>
          <w:color w:val="000000" w:themeColor="text1"/>
          <w:sz w:val="24"/>
          <w:szCs w:val="24"/>
          <w:shd w:val="clear" w:color="auto" w:fill="F5F5F5"/>
        </w:rPr>
        <w:t xml:space="preserve"> score </w:t>
      </w:r>
      <w:r w:rsidR="002C2C55" w:rsidRPr="001C7B25">
        <w:rPr>
          <w:rFonts w:ascii="Times New Roman" w:hAnsi="Times New Roman" w:cs="Times New Roman"/>
          <w:color w:val="000000" w:themeColor="text1"/>
          <w:sz w:val="24"/>
          <w:szCs w:val="24"/>
        </w:rPr>
        <w:t xml:space="preserve">≥ </w:t>
      </w:r>
      <w:r w:rsidR="00DD34BB" w:rsidRPr="001C7B25">
        <w:rPr>
          <w:rFonts w:ascii="Times New Roman" w:hAnsi="Times New Roman" w:cs="Times New Roman"/>
          <w:color w:val="000000" w:themeColor="text1"/>
          <w:sz w:val="24"/>
          <w:szCs w:val="24"/>
        </w:rPr>
        <w:t>−</w:t>
      </w:r>
      <w:r w:rsidR="002C2C55" w:rsidRPr="001C7B25">
        <w:rPr>
          <w:rFonts w:ascii="Times New Roman" w:hAnsi="Times New Roman" w:cs="Times New Roman"/>
          <w:color w:val="000000" w:themeColor="text1"/>
          <w:sz w:val="24"/>
          <w:szCs w:val="24"/>
        </w:rPr>
        <w:t>2.60</w:t>
      </w:r>
      <w:r w:rsidR="002C2C55" w:rsidRPr="001C7B25">
        <w:rPr>
          <w:rFonts w:ascii="Times New Roman" w:hAnsi="Times New Roman" w:cs="Times New Roman"/>
          <w:color w:val="000000" w:themeColor="text1"/>
          <w:sz w:val="24"/>
          <w:szCs w:val="24"/>
          <w:shd w:val="clear" w:color="auto" w:fill="F5F5F5"/>
        </w:rPr>
        <w:t xml:space="preserve">, and </w:t>
      </w:r>
      <w:r w:rsidR="00DF7AEF" w:rsidRPr="001C7B25">
        <w:rPr>
          <w:rFonts w:ascii="Times New Roman" w:hAnsi="Times New Roman" w:cs="Times New Roman" w:hint="eastAsia"/>
          <w:color w:val="000000" w:themeColor="text1"/>
          <w:sz w:val="24"/>
          <w:szCs w:val="24"/>
          <w:shd w:val="clear" w:color="auto" w:fill="F5F5F5"/>
        </w:rPr>
        <w:t>Non-</w:t>
      </w:r>
      <w:r w:rsidR="00817D82" w:rsidRPr="001C7B25">
        <w:rPr>
          <w:rFonts w:ascii="Times New Roman" w:hAnsi="Times New Roman" w:cs="Times New Roman"/>
          <w:color w:val="000000" w:themeColor="text1"/>
          <w:sz w:val="24"/>
          <w:szCs w:val="24"/>
          <w:shd w:val="clear" w:color="auto" w:fill="F5F5F5"/>
        </w:rPr>
        <w:t xml:space="preserve">DAA </w:t>
      </w:r>
      <w:r w:rsidR="00F14A4B" w:rsidRPr="001C7B25">
        <w:rPr>
          <w:rFonts w:ascii="Times New Roman" w:hAnsi="Times New Roman" w:cs="Times New Roman"/>
          <w:color w:val="000000" w:themeColor="text1"/>
          <w:sz w:val="24"/>
          <w:szCs w:val="24"/>
          <w:shd w:val="clear" w:color="auto" w:fill="F5F5F5"/>
        </w:rPr>
        <w:t>group</w:t>
      </w:r>
      <w:r w:rsidR="002C2C55" w:rsidRPr="001C7B25">
        <w:rPr>
          <w:rFonts w:ascii="Times New Roman" w:hAnsi="Times New Roman" w:cs="Times New Roman"/>
          <w:color w:val="000000" w:themeColor="text1"/>
          <w:sz w:val="24"/>
          <w:szCs w:val="24"/>
          <w:shd w:val="clear" w:color="auto" w:fill="F5F5F5"/>
        </w:rPr>
        <w:t xml:space="preserve">. </w:t>
      </w:r>
      <w:r w:rsidR="002C2C55" w:rsidRPr="001C7B25">
        <w:rPr>
          <w:rFonts w:ascii="Times New Roman" w:eastAsia="AdvOT678fd422" w:hAnsi="Times New Roman" w:cs="Times New Roman"/>
          <w:color w:val="000000" w:themeColor="text1"/>
          <w:kern w:val="0"/>
          <w:sz w:val="24"/>
          <w:szCs w:val="24"/>
        </w:rPr>
        <w:t xml:space="preserve">Fine and Gray proportional hazards models </w:t>
      </w:r>
      <w:r w:rsidR="002C2C55" w:rsidRPr="001C7B25">
        <w:rPr>
          <w:rFonts w:ascii="Times New Roman" w:eastAsia="Lato-Regular" w:hAnsi="Times New Roman" w:cs="Times New Roman"/>
          <w:color w:val="000000" w:themeColor="text1"/>
          <w:kern w:val="0"/>
          <w:sz w:val="24"/>
          <w:szCs w:val="24"/>
        </w:rPr>
        <w:t xml:space="preserve">showed that </w:t>
      </w:r>
      <w:r w:rsidR="002C2C55" w:rsidRPr="001C7B25">
        <w:rPr>
          <w:rFonts w:ascii="Times New Roman" w:hAnsi="Times New Roman" w:cs="Times New Roman"/>
          <w:color w:val="000000" w:themeColor="text1"/>
          <w:sz w:val="24"/>
          <w:szCs w:val="24"/>
          <w:shd w:val="clear" w:color="auto" w:fill="F5F5F5"/>
        </w:rPr>
        <w:t>alcohol abuse</w:t>
      </w:r>
      <w:r w:rsidR="002C2C55" w:rsidRPr="001C7B25">
        <w:rPr>
          <w:rFonts w:ascii="Times New Roman" w:hAnsi="Times New Roman" w:cs="Times New Roman"/>
          <w:color w:val="000000" w:themeColor="text1"/>
          <w:kern w:val="24"/>
          <w:sz w:val="24"/>
          <w:szCs w:val="24"/>
        </w:rPr>
        <w:t>,</w:t>
      </w:r>
      <w:r w:rsidR="002C2C55" w:rsidRPr="001C7B25">
        <w:rPr>
          <w:rFonts w:ascii="Times New Roman" w:hAnsi="Times New Roman" w:cs="Times New Roman"/>
          <w:color w:val="000000" w:themeColor="text1"/>
          <w:sz w:val="24"/>
          <w:szCs w:val="24"/>
          <w:shd w:val="clear" w:color="auto" w:fill="F5F5F5"/>
        </w:rPr>
        <w:t xml:space="preserve"> ALBI score </w:t>
      </w:r>
      <w:r w:rsidR="002C2C55" w:rsidRPr="001C7B25">
        <w:rPr>
          <w:rFonts w:ascii="Times New Roman" w:hAnsi="Times New Roman" w:cs="Times New Roman"/>
          <w:color w:val="000000" w:themeColor="text1"/>
          <w:sz w:val="24"/>
          <w:szCs w:val="24"/>
        </w:rPr>
        <w:t xml:space="preserve">≥ </w:t>
      </w:r>
      <w:r w:rsidR="0089018A" w:rsidRPr="001C7B25">
        <w:rPr>
          <w:rFonts w:ascii="Times New Roman" w:hAnsi="Times New Roman" w:cs="Times New Roman"/>
          <w:color w:val="000000" w:themeColor="text1"/>
          <w:sz w:val="24"/>
          <w:szCs w:val="24"/>
        </w:rPr>
        <w:t>−</w:t>
      </w:r>
      <w:r w:rsidR="002C2C55" w:rsidRPr="001C7B25">
        <w:rPr>
          <w:rFonts w:ascii="Times New Roman" w:hAnsi="Times New Roman" w:cs="Times New Roman"/>
          <w:color w:val="000000" w:themeColor="text1"/>
          <w:sz w:val="24"/>
          <w:szCs w:val="24"/>
        </w:rPr>
        <w:t>2.60</w:t>
      </w:r>
      <w:r w:rsidR="002C2C55" w:rsidRPr="001C7B25">
        <w:rPr>
          <w:rFonts w:ascii="Times New Roman" w:hAnsi="Times New Roman" w:cs="Times New Roman"/>
          <w:color w:val="000000" w:themeColor="text1"/>
          <w:sz w:val="24"/>
          <w:szCs w:val="24"/>
          <w:shd w:val="clear" w:color="auto" w:fill="F5F5F5"/>
        </w:rPr>
        <w:t xml:space="preserve">, FIB-4 index </w:t>
      </w:r>
      <w:r w:rsidR="00EC5244" w:rsidRPr="001C7B25">
        <w:rPr>
          <w:rFonts w:ascii="Times New Roman" w:hAnsi="Times New Roman" w:cs="Times New Roman"/>
          <w:color w:val="000000" w:themeColor="text1"/>
          <w:sz w:val="24"/>
          <w:szCs w:val="24"/>
        </w:rPr>
        <w:t xml:space="preserve">≤ </w:t>
      </w:r>
      <w:r w:rsidR="002C2C55" w:rsidRPr="001C7B25">
        <w:rPr>
          <w:rFonts w:ascii="Times New Roman" w:hAnsi="Times New Roman" w:cs="Times New Roman"/>
          <w:color w:val="000000" w:themeColor="text1"/>
          <w:sz w:val="24"/>
          <w:szCs w:val="24"/>
        </w:rPr>
        <w:t>3.25</w:t>
      </w:r>
      <w:r w:rsidR="002C2C55" w:rsidRPr="001C7B25">
        <w:rPr>
          <w:rFonts w:ascii="Times New Roman" w:hAnsi="Times New Roman" w:cs="Times New Roman"/>
          <w:color w:val="000000" w:themeColor="text1"/>
          <w:sz w:val="24"/>
          <w:szCs w:val="24"/>
          <w:shd w:val="clear" w:color="auto" w:fill="F5F5F5"/>
        </w:rPr>
        <w:t xml:space="preserve">, and </w:t>
      </w:r>
      <w:r w:rsidR="00DF7AEF" w:rsidRPr="001C7B25">
        <w:rPr>
          <w:rFonts w:ascii="Times New Roman" w:hAnsi="Times New Roman" w:cs="Times New Roman" w:hint="eastAsia"/>
          <w:color w:val="000000" w:themeColor="text1"/>
          <w:sz w:val="24"/>
          <w:szCs w:val="24"/>
          <w:shd w:val="clear" w:color="auto" w:fill="F5F5F5"/>
        </w:rPr>
        <w:t>Non-</w:t>
      </w:r>
      <w:r w:rsidR="00C40D81" w:rsidRPr="001C7B25">
        <w:rPr>
          <w:rFonts w:ascii="Times New Roman" w:hAnsi="Times New Roman" w:cs="Times New Roman"/>
          <w:color w:val="000000" w:themeColor="text1"/>
          <w:sz w:val="24"/>
          <w:szCs w:val="24"/>
          <w:shd w:val="clear" w:color="auto" w:fill="F5F5F5"/>
        </w:rPr>
        <w:t xml:space="preserve">DAA </w:t>
      </w:r>
      <w:r w:rsidR="00F14A4B" w:rsidRPr="001C7B25">
        <w:rPr>
          <w:rFonts w:ascii="Times New Roman" w:hAnsi="Times New Roman" w:cs="Times New Roman"/>
          <w:color w:val="000000" w:themeColor="text1"/>
          <w:sz w:val="24"/>
          <w:szCs w:val="24"/>
          <w:shd w:val="clear" w:color="auto" w:fill="F5F5F5"/>
        </w:rPr>
        <w:t>group</w:t>
      </w:r>
      <w:r w:rsidR="002C2C55" w:rsidRPr="001C7B25">
        <w:rPr>
          <w:rFonts w:ascii="Times New Roman" w:hAnsi="Times New Roman" w:cs="Times New Roman"/>
          <w:color w:val="000000" w:themeColor="text1"/>
          <w:sz w:val="24"/>
          <w:szCs w:val="24"/>
          <w:shd w:val="clear" w:color="auto" w:fill="F5F5F5"/>
        </w:rPr>
        <w:t xml:space="preserve"> </w:t>
      </w:r>
      <w:r w:rsidR="002C2C55" w:rsidRPr="001C7B25">
        <w:rPr>
          <w:rFonts w:ascii="Times New Roman" w:hAnsi="Times New Roman" w:cs="Times New Roman"/>
          <w:color w:val="000000" w:themeColor="text1"/>
          <w:kern w:val="24"/>
          <w:sz w:val="24"/>
          <w:szCs w:val="24"/>
        </w:rPr>
        <w:t xml:space="preserve">were independently associated with liver-related mortality. </w:t>
      </w:r>
      <w:r w:rsidR="002C2C55" w:rsidRPr="001C7B25">
        <w:rPr>
          <w:rFonts w:ascii="Times New Roman" w:eastAsia="AdvOT678fd422" w:hAnsi="Times New Roman" w:cs="Times New Roman"/>
          <w:color w:val="000000" w:themeColor="text1"/>
          <w:kern w:val="0"/>
          <w:sz w:val="24"/>
          <w:szCs w:val="24"/>
        </w:rPr>
        <w:t>Fine and Gray proportional hazards models</w:t>
      </w:r>
      <w:r w:rsidR="002C2C55" w:rsidRPr="001C7B25">
        <w:rPr>
          <w:rFonts w:ascii="Times New Roman" w:eastAsia="Lato-Regular" w:hAnsi="Times New Roman" w:cs="Times New Roman"/>
          <w:color w:val="000000" w:themeColor="text1"/>
          <w:kern w:val="0"/>
          <w:sz w:val="24"/>
          <w:szCs w:val="24"/>
        </w:rPr>
        <w:t xml:space="preserve"> showed that </w:t>
      </w:r>
      <w:r w:rsidR="00F14A4B" w:rsidRPr="001C7B25">
        <w:rPr>
          <w:rFonts w:ascii="Times New Roman" w:hAnsi="Times New Roman" w:cs="Times New Roman"/>
          <w:color w:val="000000" w:themeColor="text1"/>
          <w:sz w:val="24"/>
          <w:szCs w:val="24"/>
          <w:shd w:val="clear" w:color="auto" w:fill="F5F5F5"/>
        </w:rPr>
        <w:t>a</w:t>
      </w:r>
      <w:r w:rsidR="002C2C55" w:rsidRPr="001C7B25">
        <w:rPr>
          <w:rFonts w:ascii="Times New Roman" w:hAnsi="Times New Roman" w:cs="Times New Roman"/>
          <w:color w:val="000000" w:themeColor="text1"/>
          <w:sz w:val="24"/>
          <w:szCs w:val="24"/>
          <w:shd w:val="clear" w:color="auto" w:fill="F5F5F5"/>
        </w:rPr>
        <w:t xml:space="preserve">ge </w:t>
      </w:r>
      <w:r w:rsidR="002C2C55" w:rsidRPr="001C7B25">
        <w:rPr>
          <w:rFonts w:ascii="Times New Roman" w:hAnsi="Times New Roman" w:cs="Times New Roman"/>
          <w:color w:val="000000" w:themeColor="text1"/>
          <w:sz w:val="24"/>
          <w:szCs w:val="24"/>
        </w:rPr>
        <w:t xml:space="preserve">≥ </w:t>
      </w:r>
      <w:r w:rsidR="002C2C55" w:rsidRPr="001C7B25">
        <w:rPr>
          <w:rFonts w:ascii="Times New Roman" w:hAnsi="Times New Roman" w:cs="Times New Roman"/>
          <w:color w:val="000000" w:themeColor="text1"/>
          <w:sz w:val="24"/>
          <w:szCs w:val="24"/>
          <w:shd w:val="clear" w:color="auto" w:fill="F5F5F5"/>
        </w:rPr>
        <w:t>65, male gender, no alcohol abuse</w:t>
      </w:r>
      <w:r w:rsidR="002C2C55" w:rsidRPr="001C7B25">
        <w:rPr>
          <w:rFonts w:ascii="Times New Roman" w:hAnsi="Times New Roman" w:cs="Times New Roman"/>
          <w:color w:val="000000" w:themeColor="text1"/>
          <w:kern w:val="24"/>
          <w:sz w:val="24"/>
          <w:szCs w:val="24"/>
        </w:rPr>
        <w:t>,</w:t>
      </w:r>
      <w:r w:rsidR="002C2C55" w:rsidRPr="001C7B25">
        <w:rPr>
          <w:rFonts w:ascii="Times New Roman" w:hAnsi="Times New Roman" w:cs="Times New Roman"/>
          <w:color w:val="000000" w:themeColor="text1"/>
          <w:sz w:val="24"/>
          <w:szCs w:val="24"/>
          <w:shd w:val="clear" w:color="auto" w:fill="F5F5F5"/>
        </w:rPr>
        <w:t xml:space="preserve"> ALBI score </w:t>
      </w:r>
      <w:r w:rsidR="002C2C55" w:rsidRPr="001C7B25">
        <w:rPr>
          <w:rFonts w:ascii="Times New Roman" w:hAnsi="Times New Roman" w:cs="Times New Roman"/>
          <w:color w:val="000000" w:themeColor="text1"/>
          <w:sz w:val="24"/>
          <w:szCs w:val="24"/>
        </w:rPr>
        <w:t xml:space="preserve">≥ </w:t>
      </w:r>
      <w:r w:rsidR="00EE6857" w:rsidRPr="001C7B25">
        <w:rPr>
          <w:rFonts w:ascii="Times New Roman" w:hAnsi="Times New Roman" w:cs="Times New Roman"/>
          <w:color w:val="000000" w:themeColor="text1"/>
          <w:sz w:val="24"/>
          <w:szCs w:val="24"/>
        </w:rPr>
        <w:t>−</w:t>
      </w:r>
      <w:r w:rsidR="002C2C55" w:rsidRPr="001C7B25">
        <w:rPr>
          <w:rFonts w:ascii="Times New Roman" w:hAnsi="Times New Roman" w:cs="Times New Roman"/>
          <w:color w:val="000000" w:themeColor="text1"/>
          <w:sz w:val="24"/>
          <w:szCs w:val="24"/>
        </w:rPr>
        <w:t>2.60</w:t>
      </w:r>
      <w:r w:rsidR="002C2C55" w:rsidRPr="001C7B25">
        <w:rPr>
          <w:rFonts w:ascii="Times New Roman" w:hAnsi="Times New Roman" w:cs="Times New Roman"/>
          <w:color w:val="000000" w:themeColor="text1"/>
          <w:sz w:val="24"/>
          <w:szCs w:val="24"/>
          <w:shd w:val="clear" w:color="auto" w:fill="F5F5F5"/>
        </w:rPr>
        <w:t xml:space="preserve">, and FIB-4 index </w:t>
      </w:r>
      <w:r w:rsidR="00F14A4B" w:rsidRPr="001C7B25">
        <w:rPr>
          <w:rFonts w:ascii="Times New Roman" w:hAnsi="Times New Roman" w:cs="Times New Roman"/>
          <w:color w:val="000000" w:themeColor="text1"/>
          <w:sz w:val="24"/>
          <w:szCs w:val="24"/>
        </w:rPr>
        <w:t>≤</w:t>
      </w:r>
      <w:r w:rsidR="002C2C55" w:rsidRPr="001C7B25">
        <w:rPr>
          <w:rFonts w:ascii="Times New Roman" w:hAnsi="Times New Roman" w:cs="Times New Roman"/>
          <w:color w:val="000000" w:themeColor="text1"/>
          <w:sz w:val="24"/>
          <w:szCs w:val="24"/>
        </w:rPr>
        <w:t xml:space="preserve"> </w:t>
      </w:r>
      <w:r w:rsidR="00EE6857" w:rsidRPr="001C7B25">
        <w:rPr>
          <w:rFonts w:ascii="Times New Roman" w:hAnsi="Times New Roman" w:cs="Times New Roman"/>
          <w:color w:val="000000" w:themeColor="text1"/>
          <w:sz w:val="24"/>
          <w:szCs w:val="24"/>
        </w:rPr>
        <w:t>−</w:t>
      </w:r>
      <w:r w:rsidR="002C2C55" w:rsidRPr="001C7B25">
        <w:rPr>
          <w:rFonts w:ascii="Times New Roman" w:hAnsi="Times New Roman" w:cs="Times New Roman"/>
          <w:color w:val="000000" w:themeColor="text1"/>
          <w:sz w:val="24"/>
          <w:szCs w:val="24"/>
        </w:rPr>
        <w:t>3.25</w:t>
      </w:r>
      <w:r w:rsidR="002C2C55" w:rsidRPr="001C7B25">
        <w:rPr>
          <w:rFonts w:ascii="Times New Roman" w:hAnsi="Times New Roman" w:cs="Times New Roman"/>
          <w:color w:val="000000" w:themeColor="text1"/>
          <w:sz w:val="24"/>
          <w:szCs w:val="24"/>
          <w:shd w:val="clear" w:color="auto" w:fill="F5F5F5"/>
        </w:rPr>
        <w:t>, and</w:t>
      </w:r>
      <w:r w:rsidR="002C2C55" w:rsidRPr="001C7B25">
        <w:rPr>
          <w:rFonts w:ascii="Times New Roman" w:hAnsi="Times New Roman" w:cs="Times New Roman"/>
          <w:color w:val="000000" w:themeColor="text1"/>
          <w:sz w:val="24"/>
          <w:szCs w:val="24"/>
        </w:rPr>
        <w:t xml:space="preserve"> </w:t>
      </w:r>
      <w:r w:rsidR="00DF7AEF" w:rsidRPr="001C7B25">
        <w:rPr>
          <w:rFonts w:ascii="Times New Roman" w:hAnsi="Times New Roman" w:cs="Times New Roman" w:hint="eastAsia"/>
          <w:color w:val="000000" w:themeColor="text1"/>
          <w:sz w:val="24"/>
          <w:szCs w:val="24"/>
          <w:shd w:val="clear" w:color="auto" w:fill="F5F5F5"/>
        </w:rPr>
        <w:t>Non-</w:t>
      </w:r>
      <w:r w:rsidR="00C40D81" w:rsidRPr="001C7B25">
        <w:rPr>
          <w:rFonts w:ascii="Times New Roman" w:hAnsi="Times New Roman" w:cs="Times New Roman"/>
          <w:color w:val="000000" w:themeColor="text1"/>
          <w:sz w:val="24"/>
          <w:szCs w:val="24"/>
        </w:rPr>
        <w:t>DAA</w:t>
      </w:r>
      <w:r w:rsidR="00C40D81" w:rsidRPr="001C7B25">
        <w:rPr>
          <w:rFonts w:ascii="Times New Roman" w:hAnsi="Times New Roman" w:cs="Times New Roman" w:hint="eastAsia"/>
          <w:color w:val="000000" w:themeColor="text1"/>
          <w:sz w:val="24"/>
          <w:szCs w:val="24"/>
        </w:rPr>
        <w:t xml:space="preserve"> </w:t>
      </w:r>
      <w:r w:rsidR="00F14A4B" w:rsidRPr="001C7B25">
        <w:rPr>
          <w:rFonts w:ascii="Times New Roman" w:hAnsi="Times New Roman" w:cs="Times New Roman"/>
          <w:color w:val="000000" w:themeColor="text1"/>
          <w:sz w:val="24"/>
          <w:szCs w:val="24"/>
        </w:rPr>
        <w:t xml:space="preserve">group </w:t>
      </w:r>
      <w:r w:rsidR="002C2C55" w:rsidRPr="001C7B25">
        <w:rPr>
          <w:rFonts w:ascii="Times New Roman" w:hAnsi="Times New Roman" w:cs="Times New Roman"/>
          <w:color w:val="000000" w:themeColor="text1"/>
          <w:kern w:val="24"/>
          <w:sz w:val="24"/>
          <w:szCs w:val="24"/>
        </w:rPr>
        <w:t>were independently associated with non</w:t>
      </w:r>
      <w:r w:rsidR="00F14A4B" w:rsidRPr="001C7B25">
        <w:rPr>
          <w:rFonts w:ascii="Times New Roman" w:hAnsi="Times New Roman" w:cs="Times New Roman"/>
          <w:color w:val="000000" w:themeColor="text1"/>
          <w:kern w:val="24"/>
          <w:sz w:val="24"/>
          <w:szCs w:val="24"/>
        </w:rPr>
        <w:t>–</w:t>
      </w:r>
      <w:r w:rsidR="002C2C55" w:rsidRPr="001C7B25">
        <w:rPr>
          <w:rFonts w:ascii="Times New Roman" w:hAnsi="Times New Roman" w:cs="Times New Roman"/>
          <w:color w:val="000000" w:themeColor="text1"/>
          <w:kern w:val="24"/>
          <w:sz w:val="24"/>
          <w:szCs w:val="24"/>
        </w:rPr>
        <w:t>liver-related mortality.</w:t>
      </w:r>
    </w:p>
    <w:p w14:paraId="4FDD530F" w14:textId="040DC9C4" w:rsidR="009101AB" w:rsidRPr="001C7B25" w:rsidRDefault="009101AB" w:rsidP="0065537A">
      <w:pPr>
        <w:spacing w:line="480" w:lineRule="auto"/>
        <w:rPr>
          <w:rFonts w:ascii="Times New Roman" w:hAnsi="Times New Roman" w:cs="Times New Roman"/>
          <w:color w:val="000000" w:themeColor="text1"/>
          <w:sz w:val="24"/>
          <w:szCs w:val="24"/>
        </w:rPr>
      </w:pPr>
      <w:r w:rsidRPr="001C7B25">
        <w:rPr>
          <w:rFonts w:ascii="Times New Roman" w:hAnsi="Times New Roman" w:cs="Times New Roman"/>
          <w:b/>
          <w:color w:val="000000" w:themeColor="text1"/>
          <w:sz w:val="24"/>
          <w:szCs w:val="24"/>
        </w:rPr>
        <w:t>Conclusion</w:t>
      </w:r>
      <w:r w:rsidRPr="001C7B25">
        <w:rPr>
          <w:rFonts w:ascii="Times New Roman" w:hAnsi="Times New Roman" w:cs="Times New Roman"/>
          <w:color w:val="000000" w:themeColor="text1"/>
          <w:sz w:val="24"/>
          <w:szCs w:val="24"/>
        </w:rPr>
        <w:t>:</w:t>
      </w:r>
      <w:r w:rsidR="00853964" w:rsidRPr="001C7B25">
        <w:rPr>
          <w:rFonts w:ascii="Times New Roman" w:hAnsi="Times New Roman" w:cs="Times New Roman" w:hint="eastAsia"/>
          <w:color w:val="000000" w:themeColor="text1"/>
          <w:sz w:val="24"/>
          <w:szCs w:val="24"/>
        </w:rPr>
        <w:t xml:space="preserve"> </w:t>
      </w:r>
      <w:r w:rsidR="00C66C9F" w:rsidRPr="001C7B25">
        <w:rPr>
          <w:rFonts w:ascii="Times New Roman" w:hAnsi="Times New Roman" w:cs="Times New Roman"/>
          <w:color w:val="000000" w:themeColor="text1"/>
          <w:sz w:val="24"/>
          <w:szCs w:val="24"/>
        </w:rPr>
        <w:t>DAA-mediated viral</w:t>
      </w:r>
      <w:r w:rsidR="00853964" w:rsidRPr="001C7B25">
        <w:rPr>
          <w:rFonts w:ascii="Times New Roman" w:hAnsi="Times New Roman" w:cs="Times New Roman"/>
          <w:color w:val="000000" w:themeColor="text1"/>
          <w:sz w:val="24"/>
          <w:szCs w:val="24"/>
        </w:rPr>
        <w:t xml:space="preserve"> eradication reduced </w:t>
      </w:r>
      <w:r w:rsidR="00853964" w:rsidRPr="001C7B25">
        <w:rPr>
          <w:rFonts w:ascii="Times New Roman" w:hAnsi="Times New Roman" w:cs="Times New Roman"/>
          <w:color w:val="000000" w:themeColor="text1"/>
          <w:sz w:val="24"/>
          <w:szCs w:val="24"/>
          <w:shd w:val="clear" w:color="auto" w:fill="F5F5F5"/>
        </w:rPr>
        <w:t>not only liver-related mortality but also non</w:t>
      </w:r>
      <w:r w:rsidR="00F14A4B" w:rsidRPr="001C7B25">
        <w:rPr>
          <w:rFonts w:ascii="Times New Roman" w:hAnsi="Times New Roman" w:cs="Times New Roman"/>
          <w:color w:val="000000" w:themeColor="text1"/>
          <w:sz w:val="24"/>
          <w:szCs w:val="24"/>
          <w:shd w:val="clear" w:color="auto" w:fill="F5F5F5"/>
        </w:rPr>
        <w:t>–</w:t>
      </w:r>
      <w:r w:rsidR="00853964" w:rsidRPr="001C7B25">
        <w:rPr>
          <w:rFonts w:ascii="Times New Roman" w:hAnsi="Times New Roman" w:cs="Times New Roman"/>
          <w:color w:val="000000" w:themeColor="text1"/>
          <w:sz w:val="24"/>
          <w:szCs w:val="24"/>
          <w:shd w:val="clear" w:color="auto" w:fill="F5F5F5"/>
        </w:rPr>
        <w:t>liver</w:t>
      </w:r>
      <w:r w:rsidR="00010BD0" w:rsidRPr="001C7B25">
        <w:rPr>
          <w:rFonts w:ascii="Times New Roman" w:hAnsi="Times New Roman" w:cs="Times New Roman"/>
          <w:color w:val="000000" w:themeColor="text1"/>
          <w:sz w:val="24"/>
          <w:szCs w:val="24"/>
          <w:shd w:val="clear" w:color="auto" w:fill="F5F5F5"/>
        </w:rPr>
        <w:t>-</w:t>
      </w:r>
      <w:r w:rsidR="00853964" w:rsidRPr="001C7B25">
        <w:rPr>
          <w:rFonts w:ascii="Times New Roman" w:hAnsi="Times New Roman" w:cs="Times New Roman"/>
          <w:color w:val="000000" w:themeColor="text1"/>
          <w:sz w:val="24"/>
          <w:szCs w:val="24"/>
          <w:shd w:val="clear" w:color="auto" w:fill="F5F5F5"/>
        </w:rPr>
        <w:t>related mortality in patients with HCV infection and DC. (24</w:t>
      </w:r>
      <w:r w:rsidR="00C66C9F" w:rsidRPr="001C7B25">
        <w:rPr>
          <w:rFonts w:ascii="Times New Roman" w:hAnsi="Times New Roman" w:cs="Times New Roman"/>
          <w:color w:val="000000" w:themeColor="text1"/>
          <w:sz w:val="24"/>
          <w:szCs w:val="24"/>
          <w:shd w:val="clear" w:color="auto" w:fill="F5F5F5"/>
        </w:rPr>
        <w:t>8</w:t>
      </w:r>
      <w:r w:rsidR="00853964" w:rsidRPr="001C7B25">
        <w:rPr>
          <w:rFonts w:ascii="Times New Roman" w:hAnsi="Times New Roman" w:cs="Times New Roman"/>
          <w:color w:val="000000" w:themeColor="text1"/>
          <w:sz w:val="24"/>
          <w:szCs w:val="24"/>
          <w:shd w:val="clear" w:color="auto" w:fill="F5F5F5"/>
        </w:rPr>
        <w:t xml:space="preserve"> words).</w:t>
      </w:r>
    </w:p>
    <w:p w14:paraId="66FDCA80" w14:textId="77777777" w:rsidR="009341FD" w:rsidRPr="001C7B25" w:rsidRDefault="009341FD" w:rsidP="009101AB">
      <w:pPr>
        <w:autoSpaceDE w:val="0"/>
        <w:autoSpaceDN w:val="0"/>
        <w:adjustRightInd w:val="0"/>
        <w:spacing w:line="480" w:lineRule="auto"/>
        <w:jc w:val="left"/>
        <w:rPr>
          <w:rFonts w:ascii="Times New Roman" w:hAnsi="Times New Roman" w:cs="Times New Roman"/>
          <w:b/>
          <w:color w:val="000000" w:themeColor="text1"/>
          <w:kern w:val="0"/>
          <w:sz w:val="24"/>
          <w:szCs w:val="24"/>
        </w:rPr>
      </w:pPr>
    </w:p>
    <w:p w14:paraId="64F5DA59" w14:textId="77777777" w:rsidR="009101AB" w:rsidRPr="001C7B25" w:rsidRDefault="009101AB" w:rsidP="009101AB">
      <w:pPr>
        <w:autoSpaceDE w:val="0"/>
        <w:autoSpaceDN w:val="0"/>
        <w:adjustRightInd w:val="0"/>
        <w:spacing w:line="480" w:lineRule="auto"/>
        <w:jc w:val="left"/>
        <w:rPr>
          <w:rFonts w:ascii="Times New Roman" w:hAnsi="Times New Roman" w:cs="Times New Roman"/>
          <w:b/>
          <w:color w:val="000000" w:themeColor="text1"/>
          <w:kern w:val="0"/>
          <w:sz w:val="24"/>
          <w:szCs w:val="24"/>
        </w:rPr>
      </w:pPr>
      <w:r w:rsidRPr="001C7B25">
        <w:rPr>
          <w:rFonts w:ascii="Times New Roman" w:hAnsi="Times New Roman" w:cs="Times New Roman"/>
          <w:b/>
          <w:color w:val="000000" w:themeColor="text1"/>
          <w:kern w:val="0"/>
          <w:sz w:val="24"/>
          <w:szCs w:val="24"/>
        </w:rPr>
        <w:t>Lay Summary</w:t>
      </w:r>
    </w:p>
    <w:p w14:paraId="53B7BC9A" w14:textId="6C0FA90F" w:rsidR="00642E5D" w:rsidRPr="001C7B25" w:rsidRDefault="00C206A9" w:rsidP="00642E5D">
      <w:pPr>
        <w:spacing w:line="480" w:lineRule="auto"/>
        <w:rPr>
          <w:rFonts w:ascii="Times New Roman" w:hAnsi="Times New Roman" w:cs="Times New Roman"/>
          <w:color w:val="000000" w:themeColor="text1"/>
          <w:sz w:val="24"/>
          <w:szCs w:val="24"/>
        </w:rPr>
      </w:pPr>
      <w:r w:rsidRPr="001C7B25">
        <w:rPr>
          <w:rFonts w:ascii="Times New Roman" w:hAnsi="Times New Roman" w:cs="Times New Roman"/>
          <w:color w:val="000000" w:themeColor="text1"/>
          <w:kern w:val="0"/>
          <w:sz w:val="24"/>
          <w:szCs w:val="24"/>
        </w:rPr>
        <w:t xml:space="preserve">It is uncertain whether viral clearance is </w:t>
      </w:r>
      <w:r w:rsidR="00817D82" w:rsidRPr="001C7B25">
        <w:rPr>
          <w:rFonts w:ascii="Times New Roman" w:hAnsi="Times New Roman" w:cs="Times New Roman"/>
          <w:color w:val="000000" w:themeColor="text1"/>
          <w:kern w:val="0"/>
          <w:sz w:val="24"/>
          <w:szCs w:val="24"/>
        </w:rPr>
        <w:t xml:space="preserve">clinically </w:t>
      </w:r>
      <w:r w:rsidRPr="001C7B25">
        <w:rPr>
          <w:rFonts w:ascii="Times New Roman" w:hAnsi="Times New Roman" w:cs="Times New Roman"/>
          <w:color w:val="000000" w:themeColor="text1"/>
          <w:kern w:val="0"/>
          <w:sz w:val="24"/>
          <w:szCs w:val="24"/>
        </w:rPr>
        <w:t xml:space="preserve">meaningful and </w:t>
      </w:r>
      <w:r w:rsidR="00817D82" w:rsidRPr="001C7B25">
        <w:rPr>
          <w:rFonts w:ascii="Times New Roman" w:hAnsi="Times New Roman" w:cs="Times New Roman"/>
          <w:color w:val="000000" w:themeColor="text1"/>
          <w:kern w:val="0"/>
          <w:sz w:val="24"/>
          <w:szCs w:val="24"/>
        </w:rPr>
        <w:t xml:space="preserve">whether it </w:t>
      </w:r>
      <w:r w:rsidR="00EF7C51" w:rsidRPr="001C7B25">
        <w:rPr>
          <w:rFonts w:ascii="Times New Roman" w:hAnsi="Times New Roman" w:cs="Times New Roman"/>
          <w:color w:val="000000" w:themeColor="text1"/>
          <w:kern w:val="0"/>
          <w:sz w:val="24"/>
          <w:szCs w:val="24"/>
        </w:rPr>
        <w:t>reduces</w:t>
      </w:r>
      <w:r w:rsidRPr="001C7B25">
        <w:rPr>
          <w:rFonts w:ascii="Times New Roman" w:hAnsi="Times New Roman" w:cs="Times New Roman"/>
          <w:color w:val="000000" w:themeColor="text1"/>
          <w:kern w:val="0"/>
          <w:sz w:val="24"/>
          <w:szCs w:val="24"/>
        </w:rPr>
        <w:t xml:space="preserve"> liver-related and non</w:t>
      </w:r>
      <w:r w:rsidR="00EF7C51" w:rsidRPr="001C7B25">
        <w:rPr>
          <w:rFonts w:ascii="Times New Roman" w:hAnsi="Times New Roman" w:cs="Times New Roman"/>
          <w:color w:val="000000" w:themeColor="text1"/>
          <w:kern w:val="0"/>
          <w:sz w:val="24"/>
          <w:szCs w:val="24"/>
        </w:rPr>
        <w:t>–</w:t>
      </w:r>
      <w:r w:rsidRPr="001C7B25">
        <w:rPr>
          <w:rFonts w:ascii="Times New Roman" w:hAnsi="Times New Roman" w:cs="Times New Roman"/>
          <w:color w:val="000000" w:themeColor="text1"/>
          <w:kern w:val="0"/>
          <w:sz w:val="24"/>
          <w:szCs w:val="24"/>
        </w:rPr>
        <w:t xml:space="preserve">liver-related mortality in patients with </w:t>
      </w:r>
      <w:r w:rsidR="009341FD" w:rsidRPr="001C7B25">
        <w:rPr>
          <w:rFonts w:ascii="Times New Roman" w:hAnsi="Times New Roman" w:cs="Times New Roman"/>
          <w:color w:val="000000" w:themeColor="text1"/>
          <w:kern w:val="0"/>
          <w:sz w:val="24"/>
          <w:szCs w:val="24"/>
        </w:rPr>
        <w:t xml:space="preserve">hepatitis C virus infection and </w:t>
      </w:r>
      <w:r w:rsidRPr="001C7B25">
        <w:rPr>
          <w:rFonts w:ascii="Times New Roman" w:hAnsi="Times New Roman" w:cs="Times New Roman"/>
          <w:color w:val="000000" w:themeColor="text1"/>
          <w:kern w:val="0"/>
          <w:sz w:val="24"/>
          <w:szCs w:val="24"/>
        </w:rPr>
        <w:t>decompensated cirrhosis. We compare</w:t>
      </w:r>
      <w:r w:rsidR="00EF7C51" w:rsidRPr="001C7B25">
        <w:rPr>
          <w:rFonts w:ascii="Times New Roman" w:hAnsi="Times New Roman" w:cs="Times New Roman"/>
          <w:color w:val="000000" w:themeColor="text1"/>
          <w:kern w:val="0"/>
          <w:sz w:val="24"/>
          <w:szCs w:val="24"/>
        </w:rPr>
        <w:t>d</w:t>
      </w:r>
      <w:r w:rsidRPr="001C7B25">
        <w:rPr>
          <w:rFonts w:ascii="Times New Roman" w:hAnsi="Times New Roman" w:cs="Times New Roman"/>
          <w:color w:val="000000" w:themeColor="text1"/>
          <w:kern w:val="0"/>
          <w:sz w:val="24"/>
          <w:szCs w:val="24"/>
        </w:rPr>
        <w:t xml:space="preserve"> the prognosis of patients </w:t>
      </w:r>
      <w:r w:rsidR="00EF7C51" w:rsidRPr="001C7B25">
        <w:rPr>
          <w:rFonts w:ascii="Times New Roman" w:eastAsiaTheme="majorEastAsia" w:hAnsi="Times New Roman" w:cs="Times New Roman"/>
          <w:color w:val="000000" w:themeColor="text1"/>
          <w:sz w:val="24"/>
          <w:szCs w:val="24"/>
        </w:rPr>
        <w:t xml:space="preserve">in the United Kingdom who were </w:t>
      </w:r>
      <w:r w:rsidR="00EF7C51" w:rsidRPr="001C7B25">
        <w:rPr>
          <w:rFonts w:ascii="Times New Roman" w:hAnsi="Times New Roman" w:cs="Times New Roman"/>
          <w:color w:val="000000" w:themeColor="text1"/>
          <w:kern w:val="0"/>
          <w:sz w:val="24"/>
          <w:szCs w:val="24"/>
        </w:rPr>
        <w:t xml:space="preserve">treated with </w:t>
      </w:r>
      <w:r w:rsidR="00EF7C51" w:rsidRPr="001C7B25">
        <w:rPr>
          <w:rFonts w:ascii="Times New Roman" w:eastAsiaTheme="majorEastAsia" w:hAnsi="Times New Roman" w:cs="Times New Roman"/>
          <w:color w:val="000000" w:themeColor="text1"/>
          <w:sz w:val="24"/>
          <w:szCs w:val="24"/>
        </w:rPr>
        <w:t>direct-acting antiviral</w:t>
      </w:r>
      <w:r w:rsidR="00EF7C51" w:rsidRPr="001C7B25">
        <w:rPr>
          <w:rFonts w:ascii="Times New Roman" w:eastAsiaTheme="majorEastAsia" w:hAnsi="Times New Roman" w:cs="Times New Roman" w:hint="eastAsia"/>
          <w:color w:val="000000" w:themeColor="text1"/>
          <w:sz w:val="24"/>
          <w:szCs w:val="24"/>
        </w:rPr>
        <w:t>s</w:t>
      </w:r>
      <w:r w:rsidR="00EF7C51" w:rsidRPr="001C7B25">
        <w:rPr>
          <w:rFonts w:ascii="Times New Roman" w:eastAsiaTheme="majorEastAsia" w:hAnsi="Times New Roman" w:cs="Times New Roman"/>
          <w:color w:val="000000" w:themeColor="text1"/>
          <w:sz w:val="24"/>
          <w:szCs w:val="24"/>
        </w:rPr>
        <w:t xml:space="preserve"> </w:t>
      </w:r>
      <w:r w:rsidR="00EF7C51" w:rsidRPr="001C7B25">
        <w:rPr>
          <w:rFonts w:ascii="Times New Roman" w:hAnsi="Times New Roman" w:cs="Times New Roman"/>
          <w:color w:val="000000" w:themeColor="text1"/>
          <w:kern w:val="0"/>
          <w:sz w:val="24"/>
          <w:szCs w:val="24"/>
        </w:rPr>
        <w:t xml:space="preserve">and achieved </w:t>
      </w:r>
      <w:r w:rsidRPr="001C7B25">
        <w:rPr>
          <w:rFonts w:ascii="Times New Roman" w:hAnsi="Times New Roman" w:cs="Times New Roman"/>
          <w:color w:val="000000" w:themeColor="text1"/>
          <w:kern w:val="0"/>
          <w:sz w:val="24"/>
          <w:szCs w:val="24"/>
        </w:rPr>
        <w:t xml:space="preserve">sustained </w:t>
      </w:r>
      <w:r w:rsidR="00EF7C51" w:rsidRPr="001C7B25">
        <w:rPr>
          <w:rFonts w:ascii="Times New Roman" w:hAnsi="Times New Roman" w:cs="Times New Roman"/>
          <w:color w:val="000000" w:themeColor="text1"/>
          <w:kern w:val="0"/>
          <w:sz w:val="24"/>
          <w:szCs w:val="24"/>
        </w:rPr>
        <w:t>virological</w:t>
      </w:r>
      <w:r w:rsidRPr="001C7B25">
        <w:rPr>
          <w:rFonts w:ascii="Times New Roman" w:hAnsi="Times New Roman" w:cs="Times New Roman"/>
          <w:color w:val="000000" w:themeColor="text1"/>
          <w:kern w:val="0"/>
          <w:sz w:val="24"/>
          <w:szCs w:val="24"/>
        </w:rPr>
        <w:t xml:space="preserve"> response </w:t>
      </w:r>
      <w:r w:rsidR="00EF7C51" w:rsidRPr="001C7B25">
        <w:rPr>
          <w:rFonts w:ascii="Times New Roman" w:hAnsi="Times New Roman" w:cs="Times New Roman"/>
          <w:color w:val="000000" w:themeColor="text1"/>
          <w:kern w:val="0"/>
          <w:sz w:val="24"/>
          <w:szCs w:val="24"/>
        </w:rPr>
        <w:t>with</w:t>
      </w:r>
      <w:r w:rsidRPr="001C7B25">
        <w:rPr>
          <w:rFonts w:ascii="Times New Roman" w:eastAsiaTheme="majorEastAsia" w:hAnsi="Times New Roman" w:cs="Times New Roman"/>
          <w:color w:val="000000" w:themeColor="text1"/>
          <w:sz w:val="24"/>
          <w:szCs w:val="24"/>
        </w:rPr>
        <w:t xml:space="preserve"> untreated patients </w:t>
      </w:r>
      <w:r w:rsidR="00817D82" w:rsidRPr="001C7B25">
        <w:rPr>
          <w:rFonts w:ascii="Times New Roman" w:eastAsiaTheme="majorEastAsia" w:hAnsi="Times New Roman" w:cs="Times New Roman"/>
          <w:color w:val="000000" w:themeColor="text1"/>
          <w:sz w:val="24"/>
          <w:szCs w:val="24"/>
        </w:rPr>
        <w:t xml:space="preserve">in Japan </w:t>
      </w:r>
      <w:r w:rsidRPr="001C7B25">
        <w:rPr>
          <w:rFonts w:ascii="Times New Roman" w:eastAsiaTheme="majorEastAsia" w:hAnsi="Times New Roman" w:cs="Times New Roman"/>
          <w:color w:val="000000" w:themeColor="text1"/>
          <w:sz w:val="24"/>
          <w:szCs w:val="24"/>
        </w:rPr>
        <w:t xml:space="preserve">who did not receive direct-acting antiviral therapy. </w:t>
      </w:r>
      <w:r w:rsidR="00642E5D" w:rsidRPr="001C7B25">
        <w:rPr>
          <w:rFonts w:ascii="Times New Roman" w:hAnsi="Times New Roman" w:cs="Times New Roman"/>
          <w:color w:val="000000" w:themeColor="text1"/>
          <w:sz w:val="24"/>
          <w:szCs w:val="24"/>
          <w:shd w:val="clear" w:color="auto" w:fill="F5F5F5"/>
        </w:rPr>
        <w:t xml:space="preserve">Eradication of </w:t>
      </w:r>
      <w:r w:rsidR="00642E5D" w:rsidRPr="001C7B25">
        <w:rPr>
          <w:rFonts w:ascii="Times New Roman" w:hAnsi="Times New Roman" w:cs="Times New Roman"/>
          <w:color w:val="000000" w:themeColor="text1"/>
          <w:kern w:val="0"/>
          <w:sz w:val="24"/>
          <w:szCs w:val="24"/>
        </w:rPr>
        <w:t xml:space="preserve">hepatitis C virus </w:t>
      </w:r>
      <w:r w:rsidR="00642E5D" w:rsidRPr="001C7B25">
        <w:rPr>
          <w:rFonts w:ascii="Times New Roman" w:hAnsi="Times New Roman" w:cs="Times New Roman"/>
          <w:color w:val="000000" w:themeColor="text1"/>
          <w:sz w:val="24"/>
          <w:szCs w:val="24"/>
          <w:shd w:val="clear" w:color="auto" w:fill="F5F5F5"/>
        </w:rPr>
        <w:t>reduce</w:t>
      </w:r>
      <w:r w:rsidR="00EF7C51" w:rsidRPr="001C7B25">
        <w:rPr>
          <w:rFonts w:ascii="Times New Roman" w:hAnsi="Times New Roman" w:cs="Times New Roman"/>
          <w:color w:val="000000" w:themeColor="text1"/>
          <w:sz w:val="24"/>
          <w:szCs w:val="24"/>
          <w:shd w:val="clear" w:color="auto" w:fill="F5F5F5"/>
        </w:rPr>
        <w:t>d</w:t>
      </w:r>
      <w:r w:rsidR="00642E5D" w:rsidRPr="001C7B25">
        <w:rPr>
          <w:rFonts w:ascii="Times New Roman" w:hAnsi="Times New Roman" w:cs="Times New Roman"/>
          <w:color w:val="000000" w:themeColor="text1"/>
          <w:sz w:val="24"/>
          <w:szCs w:val="24"/>
          <w:shd w:val="clear" w:color="auto" w:fill="F5F5F5"/>
        </w:rPr>
        <w:t xml:space="preserve"> not only liver-related </w:t>
      </w:r>
      <w:r w:rsidR="00EF7C51" w:rsidRPr="001C7B25">
        <w:rPr>
          <w:rFonts w:ascii="Times New Roman" w:hAnsi="Times New Roman" w:cs="Times New Roman"/>
          <w:color w:val="000000" w:themeColor="text1"/>
          <w:sz w:val="24"/>
          <w:szCs w:val="24"/>
          <w:shd w:val="clear" w:color="auto" w:fill="F5F5F5"/>
        </w:rPr>
        <w:t xml:space="preserve">mortality </w:t>
      </w:r>
      <w:r w:rsidR="00642E5D" w:rsidRPr="001C7B25">
        <w:rPr>
          <w:rFonts w:ascii="Times New Roman" w:hAnsi="Times New Roman" w:cs="Times New Roman"/>
          <w:color w:val="000000" w:themeColor="text1"/>
          <w:sz w:val="24"/>
          <w:szCs w:val="24"/>
          <w:shd w:val="clear" w:color="auto" w:fill="F5F5F5"/>
        </w:rPr>
        <w:t xml:space="preserve">but also </w:t>
      </w:r>
      <w:r w:rsidR="00EF7C51" w:rsidRPr="001C7B25">
        <w:rPr>
          <w:rFonts w:ascii="Times New Roman" w:hAnsi="Times New Roman" w:cs="Times New Roman"/>
          <w:color w:val="000000" w:themeColor="text1"/>
          <w:sz w:val="24"/>
          <w:szCs w:val="24"/>
          <w:shd w:val="clear" w:color="auto" w:fill="F5F5F5"/>
        </w:rPr>
        <w:t xml:space="preserve">non–liver-related </w:t>
      </w:r>
      <w:r w:rsidR="00642E5D" w:rsidRPr="001C7B25">
        <w:rPr>
          <w:rFonts w:ascii="Times New Roman" w:hAnsi="Times New Roman" w:cs="Times New Roman"/>
          <w:color w:val="000000" w:themeColor="text1"/>
          <w:sz w:val="24"/>
          <w:szCs w:val="24"/>
          <w:shd w:val="clear" w:color="auto" w:fill="F5F5F5"/>
        </w:rPr>
        <w:t>mortality.</w:t>
      </w:r>
    </w:p>
    <w:p w14:paraId="65C14788" w14:textId="77777777" w:rsidR="009341FD" w:rsidRPr="001C7B25" w:rsidRDefault="009341FD" w:rsidP="004337E8">
      <w:pPr>
        <w:spacing w:line="480" w:lineRule="auto"/>
        <w:rPr>
          <w:rFonts w:ascii="Times New Roman" w:hAnsi="Times New Roman" w:cs="Times New Roman"/>
          <w:b/>
          <w:color w:val="000000" w:themeColor="text1"/>
          <w:sz w:val="24"/>
          <w:szCs w:val="24"/>
        </w:rPr>
      </w:pPr>
    </w:p>
    <w:p w14:paraId="021FF4F9" w14:textId="77777777" w:rsidR="004337E8" w:rsidRPr="001C7B25" w:rsidRDefault="004337E8" w:rsidP="004337E8">
      <w:pPr>
        <w:spacing w:line="480" w:lineRule="auto"/>
        <w:rPr>
          <w:rFonts w:ascii="Times New Roman" w:hAnsi="Times New Roman" w:cs="Times New Roman"/>
          <w:b/>
          <w:color w:val="000000" w:themeColor="text1"/>
          <w:sz w:val="24"/>
          <w:szCs w:val="24"/>
        </w:rPr>
      </w:pPr>
      <w:r w:rsidRPr="001C7B25">
        <w:rPr>
          <w:rFonts w:ascii="Times New Roman" w:hAnsi="Times New Roman" w:cs="Times New Roman"/>
          <w:b/>
          <w:color w:val="000000" w:themeColor="text1"/>
          <w:sz w:val="24"/>
          <w:szCs w:val="24"/>
        </w:rPr>
        <w:t>What You Need to Know</w:t>
      </w:r>
    </w:p>
    <w:p w14:paraId="1F05A610" w14:textId="77777777" w:rsidR="004337E8" w:rsidRPr="001C7B25" w:rsidRDefault="004337E8" w:rsidP="004337E8">
      <w:pPr>
        <w:spacing w:line="480" w:lineRule="auto"/>
        <w:rPr>
          <w:rFonts w:ascii="Times New Roman" w:hAnsi="Times New Roman" w:cs="Times New Roman"/>
          <w:b/>
          <w:color w:val="000000" w:themeColor="text1"/>
          <w:sz w:val="24"/>
          <w:szCs w:val="24"/>
        </w:rPr>
      </w:pPr>
      <w:r w:rsidRPr="001C7B25">
        <w:rPr>
          <w:rFonts w:ascii="Times New Roman" w:hAnsi="Times New Roman" w:cs="Times New Roman"/>
          <w:b/>
          <w:color w:val="000000" w:themeColor="text1"/>
          <w:sz w:val="24"/>
          <w:szCs w:val="24"/>
        </w:rPr>
        <w:t>Background</w:t>
      </w:r>
    </w:p>
    <w:p w14:paraId="4234E827" w14:textId="3214ACAD" w:rsidR="004337E8" w:rsidRPr="001C7B25" w:rsidRDefault="004337E8" w:rsidP="004337E8">
      <w:pPr>
        <w:spacing w:line="480" w:lineRule="auto"/>
        <w:rPr>
          <w:rFonts w:ascii="Times New Roman" w:hAnsi="Times New Roman" w:cs="Times New Roman"/>
          <w:b/>
          <w:color w:val="000000" w:themeColor="text1"/>
          <w:sz w:val="24"/>
          <w:szCs w:val="24"/>
        </w:rPr>
      </w:pPr>
      <w:r w:rsidRPr="001C7B25">
        <w:rPr>
          <w:rFonts w:ascii="Times New Roman" w:hAnsi="Times New Roman" w:cs="Times New Roman"/>
          <w:color w:val="000000" w:themeColor="text1"/>
          <w:kern w:val="0"/>
          <w:sz w:val="24"/>
          <w:szCs w:val="24"/>
        </w:rPr>
        <w:t xml:space="preserve">It is uncertain whether viral clearance is meaningful and </w:t>
      </w:r>
      <w:r w:rsidR="00EF7C51" w:rsidRPr="001C7B25">
        <w:rPr>
          <w:rFonts w:ascii="Times New Roman" w:hAnsi="Times New Roman" w:cs="Times New Roman"/>
          <w:color w:val="000000" w:themeColor="text1"/>
          <w:kern w:val="0"/>
          <w:sz w:val="24"/>
          <w:szCs w:val="24"/>
        </w:rPr>
        <w:t>reduces</w:t>
      </w:r>
      <w:r w:rsidRPr="001C7B25">
        <w:rPr>
          <w:rFonts w:ascii="Times New Roman" w:hAnsi="Times New Roman" w:cs="Times New Roman"/>
          <w:color w:val="000000" w:themeColor="text1"/>
          <w:kern w:val="0"/>
          <w:sz w:val="24"/>
          <w:szCs w:val="24"/>
        </w:rPr>
        <w:t xml:space="preserve"> liver-related and </w:t>
      </w:r>
      <w:r w:rsidR="00EF7C51" w:rsidRPr="001C7B25">
        <w:rPr>
          <w:rFonts w:ascii="Times New Roman" w:hAnsi="Times New Roman" w:cs="Times New Roman"/>
          <w:color w:val="000000" w:themeColor="text1"/>
          <w:kern w:val="0"/>
          <w:sz w:val="24"/>
          <w:szCs w:val="24"/>
        </w:rPr>
        <w:t xml:space="preserve">non–liver-related </w:t>
      </w:r>
      <w:r w:rsidRPr="001C7B25">
        <w:rPr>
          <w:rFonts w:ascii="Times New Roman" w:hAnsi="Times New Roman" w:cs="Times New Roman"/>
          <w:color w:val="000000" w:themeColor="text1"/>
          <w:kern w:val="0"/>
          <w:sz w:val="24"/>
          <w:szCs w:val="24"/>
        </w:rPr>
        <w:t>mortality in patients with hepatitis C virus infection and decompensated cirrhosis.</w:t>
      </w:r>
    </w:p>
    <w:p w14:paraId="309F8607" w14:textId="6CD92101" w:rsidR="004337E8" w:rsidRPr="001C7B25" w:rsidRDefault="004337E8" w:rsidP="004337E8">
      <w:pPr>
        <w:spacing w:line="480" w:lineRule="auto"/>
        <w:rPr>
          <w:rFonts w:ascii="Times New Roman" w:hAnsi="Times New Roman" w:cs="Times New Roman"/>
          <w:b/>
          <w:color w:val="000000" w:themeColor="text1"/>
          <w:sz w:val="24"/>
          <w:szCs w:val="24"/>
        </w:rPr>
      </w:pPr>
      <w:r w:rsidRPr="001C7B25">
        <w:rPr>
          <w:rFonts w:ascii="Times New Roman" w:hAnsi="Times New Roman" w:cs="Times New Roman"/>
          <w:b/>
          <w:color w:val="000000" w:themeColor="text1"/>
          <w:sz w:val="24"/>
          <w:szCs w:val="24"/>
        </w:rPr>
        <w:t>Findings</w:t>
      </w:r>
    </w:p>
    <w:p w14:paraId="7E9C132F" w14:textId="29698D81" w:rsidR="004337E8" w:rsidRPr="001C7B25" w:rsidRDefault="004337E8" w:rsidP="004337E8">
      <w:pPr>
        <w:spacing w:line="480" w:lineRule="auto"/>
        <w:rPr>
          <w:rFonts w:ascii="Times New Roman" w:hAnsi="Times New Roman" w:cs="Times New Roman"/>
          <w:b/>
          <w:color w:val="000000" w:themeColor="text1"/>
          <w:sz w:val="24"/>
          <w:szCs w:val="24"/>
        </w:rPr>
      </w:pPr>
      <w:r w:rsidRPr="001C7B25">
        <w:rPr>
          <w:rFonts w:ascii="Times New Roman" w:hAnsi="Times New Roman" w:cs="Times New Roman"/>
          <w:color w:val="000000" w:themeColor="text1"/>
          <w:sz w:val="24"/>
          <w:szCs w:val="24"/>
          <w:shd w:val="clear" w:color="auto" w:fill="F5F5F5"/>
        </w:rPr>
        <w:t xml:space="preserve">Eradication of </w:t>
      </w:r>
      <w:r w:rsidRPr="001C7B25">
        <w:rPr>
          <w:rFonts w:ascii="Times New Roman" w:hAnsi="Times New Roman" w:cs="Times New Roman"/>
          <w:color w:val="000000" w:themeColor="text1"/>
          <w:kern w:val="0"/>
          <w:sz w:val="24"/>
          <w:szCs w:val="24"/>
        </w:rPr>
        <w:t xml:space="preserve">hepatitis C virus </w:t>
      </w:r>
      <w:r w:rsidRPr="001C7B25">
        <w:rPr>
          <w:rFonts w:ascii="Times New Roman" w:hAnsi="Times New Roman" w:cs="Times New Roman"/>
          <w:color w:val="000000" w:themeColor="text1"/>
          <w:sz w:val="24"/>
          <w:szCs w:val="24"/>
          <w:shd w:val="clear" w:color="auto" w:fill="F5F5F5"/>
        </w:rPr>
        <w:t>reduce</w:t>
      </w:r>
      <w:r w:rsidR="00EF7C51" w:rsidRPr="001C7B25">
        <w:rPr>
          <w:rFonts w:ascii="Times New Roman" w:hAnsi="Times New Roman" w:cs="Times New Roman"/>
          <w:color w:val="000000" w:themeColor="text1"/>
          <w:sz w:val="24"/>
          <w:szCs w:val="24"/>
          <w:shd w:val="clear" w:color="auto" w:fill="F5F5F5"/>
        </w:rPr>
        <w:t>d</w:t>
      </w:r>
      <w:r w:rsidRPr="001C7B25">
        <w:rPr>
          <w:rFonts w:ascii="Times New Roman" w:hAnsi="Times New Roman" w:cs="Times New Roman"/>
          <w:color w:val="000000" w:themeColor="text1"/>
          <w:sz w:val="24"/>
          <w:szCs w:val="24"/>
          <w:shd w:val="clear" w:color="auto" w:fill="F5F5F5"/>
        </w:rPr>
        <w:t xml:space="preserve"> not only liver-related </w:t>
      </w:r>
      <w:r w:rsidR="00EF7C51" w:rsidRPr="001C7B25">
        <w:rPr>
          <w:rFonts w:ascii="Times New Roman" w:hAnsi="Times New Roman" w:cs="Times New Roman"/>
          <w:color w:val="000000" w:themeColor="text1"/>
          <w:sz w:val="24"/>
          <w:szCs w:val="24"/>
          <w:shd w:val="clear" w:color="auto" w:fill="F5F5F5"/>
        </w:rPr>
        <w:t xml:space="preserve">mortality </w:t>
      </w:r>
      <w:r w:rsidRPr="001C7B25">
        <w:rPr>
          <w:rFonts w:ascii="Times New Roman" w:hAnsi="Times New Roman" w:cs="Times New Roman"/>
          <w:color w:val="000000" w:themeColor="text1"/>
          <w:sz w:val="24"/>
          <w:szCs w:val="24"/>
          <w:shd w:val="clear" w:color="auto" w:fill="F5F5F5"/>
        </w:rPr>
        <w:t xml:space="preserve">but also </w:t>
      </w:r>
      <w:r w:rsidR="00EF7C51" w:rsidRPr="001C7B25">
        <w:rPr>
          <w:rFonts w:ascii="Times New Roman" w:hAnsi="Times New Roman" w:cs="Times New Roman"/>
          <w:color w:val="000000" w:themeColor="text1"/>
          <w:sz w:val="24"/>
          <w:szCs w:val="24"/>
          <w:shd w:val="clear" w:color="auto" w:fill="F5F5F5"/>
        </w:rPr>
        <w:t xml:space="preserve">non–liver-related </w:t>
      </w:r>
      <w:r w:rsidRPr="001C7B25">
        <w:rPr>
          <w:rFonts w:ascii="Times New Roman" w:hAnsi="Times New Roman" w:cs="Times New Roman"/>
          <w:color w:val="000000" w:themeColor="text1"/>
          <w:sz w:val="24"/>
          <w:szCs w:val="24"/>
          <w:shd w:val="clear" w:color="auto" w:fill="F5F5F5"/>
        </w:rPr>
        <w:t>mortality</w:t>
      </w:r>
      <w:r w:rsidRPr="001C7B25">
        <w:rPr>
          <w:rFonts w:ascii="Times New Roman" w:hAnsi="Times New Roman" w:cs="Times New Roman"/>
          <w:color w:val="000000" w:themeColor="text1"/>
          <w:kern w:val="0"/>
          <w:sz w:val="24"/>
          <w:szCs w:val="24"/>
        </w:rPr>
        <w:t xml:space="preserve"> in patients with hepatitis C virus infection and decompensated cirrhosis</w:t>
      </w:r>
      <w:r w:rsidRPr="001C7B25">
        <w:rPr>
          <w:rFonts w:ascii="Times New Roman" w:hAnsi="Times New Roman" w:cs="Times New Roman"/>
          <w:color w:val="000000" w:themeColor="text1"/>
          <w:sz w:val="24"/>
          <w:szCs w:val="24"/>
          <w:shd w:val="clear" w:color="auto" w:fill="F5F5F5"/>
        </w:rPr>
        <w:t>.</w:t>
      </w:r>
    </w:p>
    <w:p w14:paraId="0FB19A44" w14:textId="77777777" w:rsidR="004337E8" w:rsidRPr="001C7B25" w:rsidRDefault="004337E8" w:rsidP="004337E8">
      <w:pPr>
        <w:spacing w:line="480" w:lineRule="auto"/>
        <w:rPr>
          <w:rFonts w:ascii="Times New Roman" w:hAnsi="Times New Roman" w:cs="Times New Roman"/>
          <w:b/>
          <w:color w:val="000000" w:themeColor="text1"/>
          <w:sz w:val="24"/>
          <w:szCs w:val="24"/>
        </w:rPr>
      </w:pPr>
      <w:r w:rsidRPr="001C7B25">
        <w:rPr>
          <w:rFonts w:ascii="Times New Roman" w:hAnsi="Times New Roman" w:cs="Times New Roman"/>
          <w:b/>
          <w:color w:val="000000" w:themeColor="text1"/>
          <w:sz w:val="24"/>
          <w:szCs w:val="24"/>
        </w:rPr>
        <w:t>Implications for patient care</w:t>
      </w:r>
    </w:p>
    <w:p w14:paraId="46C6762D" w14:textId="3D0E41C4" w:rsidR="009101AB" w:rsidRPr="001C7B25" w:rsidRDefault="004337E8" w:rsidP="009341FD">
      <w:pPr>
        <w:spacing w:line="480" w:lineRule="auto"/>
        <w:rPr>
          <w:rFonts w:ascii="Times New Roman" w:hAnsi="Times New Roman" w:cs="Times New Roman"/>
          <w:b/>
          <w:color w:val="000000" w:themeColor="text1"/>
          <w:sz w:val="24"/>
          <w:szCs w:val="24"/>
        </w:rPr>
      </w:pPr>
      <w:r w:rsidRPr="001C7B25">
        <w:rPr>
          <w:rFonts w:ascii="Times New Roman" w:hAnsi="Times New Roman" w:cs="Times New Roman" w:hint="eastAsia"/>
          <w:color w:val="000000" w:themeColor="text1"/>
          <w:sz w:val="24"/>
          <w:szCs w:val="24"/>
          <w:shd w:val="clear" w:color="auto" w:fill="F5F5F5"/>
        </w:rPr>
        <w:t xml:space="preserve">Patients with </w:t>
      </w:r>
      <w:r w:rsidRPr="001C7B25">
        <w:rPr>
          <w:rFonts w:ascii="Times New Roman" w:hAnsi="Times New Roman" w:cs="Times New Roman"/>
          <w:color w:val="000000" w:themeColor="text1"/>
          <w:kern w:val="0"/>
          <w:sz w:val="24"/>
          <w:szCs w:val="24"/>
        </w:rPr>
        <w:t>hepatitis C virus infection and decompensated cirrhosis</w:t>
      </w:r>
      <w:r w:rsidRPr="001C7B25">
        <w:rPr>
          <w:rFonts w:ascii="Times New Roman" w:hAnsi="Times New Roman" w:cs="Times New Roman"/>
          <w:color w:val="000000" w:themeColor="text1"/>
          <w:sz w:val="24"/>
          <w:szCs w:val="24"/>
          <w:shd w:val="clear" w:color="auto" w:fill="F5F5F5"/>
        </w:rPr>
        <w:t xml:space="preserve"> should be actively treated with antiviral therapy whenever possible, regardless of liver function.</w:t>
      </w:r>
    </w:p>
    <w:p w14:paraId="42E21B27" w14:textId="77777777" w:rsidR="009341FD" w:rsidRPr="001C7B25" w:rsidRDefault="009341FD" w:rsidP="0065537A">
      <w:pPr>
        <w:spacing w:line="480" w:lineRule="auto"/>
        <w:rPr>
          <w:rFonts w:ascii="Times New Roman" w:hAnsi="Times New Roman" w:cs="Times New Roman"/>
          <w:b/>
          <w:bCs/>
          <w:color w:val="000000" w:themeColor="text1"/>
          <w:sz w:val="24"/>
          <w:szCs w:val="24"/>
        </w:rPr>
      </w:pPr>
    </w:p>
    <w:p w14:paraId="1F49956B" w14:textId="2BBB9E6A" w:rsidR="009101AB" w:rsidRPr="001C7B25" w:rsidRDefault="009101AB" w:rsidP="0065537A">
      <w:pPr>
        <w:spacing w:line="480" w:lineRule="auto"/>
        <w:rPr>
          <w:rFonts w:ascii="Times New Roman" w:hAnsi="Times New Roman" w:cs="Times New Roman"/>
          <w:color w:val="000000" w:themeColor="text1"/>
          <w:sz w:val="24"/>
          <w:szCs w:val="24"/>
        </w:rPr>
      </w:pPr>
      <w:r w:rsidRPr="001C7B25">
        <w:rPr>
          <w:rFonts w:ascii="Times New Roman" w:hAnsi="Times New Roman" w:cs="Times New Roman"/>
          <w:b/>
          <w:bCs/>
          <w:color w:val="000000" w:themeColor="text1"/>
          <w:sz w:val="24"/>
          <w:szCs w:val="24"/>
        </w:rPr>
        <w:t>Key words</w:t>
      </w:r>
      <w:r w:rsidRPr="001C7B25">
        <w:rPr>
          <w:rFonts w:ascii="Times New Roman" w:hAnsi="Times New Roman" w:cs="Times New Roman"/>
          <w:color w:val="000000" w:themeColor="text1"/>
          <w:sz w:val="24"/>
          <w:szCs w:val="24"/>
        </w:rPr>
        <w:t>:</w:t>
      </w:r>
      <w:r w:rsidR="00BA5745" w:rsidRPr="001C7B25">
        <w:rPr>
          <w:rFonts w:ascii="Times New Roman" w:hAnsi="Times New Roman" w:cs="Times New Roman"/>
          <w:color w:val="000000" w:themeColor="text1"/>
          <w:sz w:val="24"/>
          <w:szCs w:val="24"/>
        </w:rPr>
        <w:t xml:space="preserve"> </w:t>
      </w:r>
      <w:r w:rsidR="00344497" w:rsidRPr="001C7B25">
        <w:rPr>
          <w:rFonts w:ascii="Times New Roman" w:hAnsi="Times New Roman" w:cs="Times New Roman"/>
          <w:color w:val="000000" w:themeColor="text1"/>
          <w:sz w:val="24"/>
          <w:szCs w:val="24"/>
        </w:rPr>
        <w:t>h</w:t>
      </w:r>
      <w:r w:rsidR="00BA5745" w:rsidRPr="001C7B25">
        <w:rPr>
          <w:rFonts w:ascii="Times New Roman" w:hAnsi="Times New Roman" w:cs="Times New Roman"/>
          <w:color w:val="000000" w:themeColor="text1"/>
          <w:sz w:val="24"/>
          <w:szCs w:val="24"/>
        </w:rPr>
        <w:t xml:space="preserve">epatitis C virus (HCV); decompensated cirrhosis; </w:t>
      </w:r>
      <w:r w:rsidR="00BA5745" w:rsidRPr="001C7B25">
        <w:rPr>
          <w:rFonts w:ascii="Times New Roman" w:eastAsiaTheme="majorEastAsia" w:hAnsi="Times New Roman" w:cs="Times New Roman"/>
          <w:color w:val="000000" w:themeColor="text1"/>
          <w:sz w:val="24"/>
          <w:szCs w:val="24"/>
        </w:rPr>
        <w:t xml:space="preserve">direct-acting antiviral (DAA); </w:t>
      </w:r>
      <w:r w:rsidR="00BA5745" w:rsidRPr="001C7B25">
        <w:rPr>
          <w:rFonts w:ascii="Times New Roman" w:eastAsia="AdvGulliv-R" w:hAnsi="Times New Roman" w:cs="Times New Roman"/>
          <w:color w:val="000000" w:themeColor="text1"/>
          <w:sz w:val="24"/>
          <w:szCs w:val="24"/>
        </w:rPr>
        <w:t>sustained virological response</w:t>
      </w:r>
      <w:r w:rsidR="00BA5745" w:rsidRPr="001C7B25">
        <w:rPr>
          <w:rFonts w:ascii="Times New Roman" w:eastAsia="Lato-Regular" w:hAnsi="Times New Roman" w:cs="Times New Roman"/>
          <w:color w:val="000000" w:themeColor="text1"/>
          <w:sz w:val="24"/>
          <w:szCs w:val="24"/>
        </w:rPr>
        <w:t xml:space="preserve"> (SVR), liver-related mortality; non</w:t>
      </w:r>
      <w:r w:rsidR="00EB2BD3" w:rsidRPr="001C7B25">
        <w:rPr>
          <w:rFonts w:ascii="Times New Roman" w:eastAsia="Lato-Regular" w:hAnsi="Times New Roman" w:cs="Times New Roman"/>
          <w:color w:val="000000" w:themeColor="text1"/>
          <w:sz w:val="24"/>
          <w:szCs w:val="24"/>
        </w:rPr>
        <w:t>–</w:t>
      </w:r>
      <w:r w:rsidR="00BA5745" w:rsidRPr="001C7B25">
        <w:rPr>
          <w:rFonts w:ascii="Times New Roman" w:eastAsia="Lato-Regular" w:hAnsi="Times New Roman" w:cs="Times New Roman"/>
          <w:color w:val="000000" w:themeColor="text1"/>
          <w:sz w:val="24"/>
          <w:szCs w:val="24"/>
        </w:rPr>
        <w:t>liver</w:t>
      </w:r>
      <w:r w:rsidR="00EB2BD3" w:rsidRPr="001C7B25">
        <w:rPr>
          <w:rFonts w:ascii="Times New Roman" w:eastAsia="Lato-Regular" w:hAnsi="Times New Roman" w:cs="Times New Roman"/>
          <w:color w:val="000000" w:themeColor="text1"/>
          <w:sz w:val="24"/>
          <w:szCs w:val="24"/>
        </w:rPr>
        <w:t>-</w:t>
      </w:r>
      <w:r w:rsidR="00BA5745" w:rsidRPr="001C7B25">
        <w:rPr>
          <w:rFonts w:ascii="Times New Roman" w:eastAsia="Lato-Regular" w:hAnsi="Times New Roman" w:cs="Times New Roman"/>
          <w:color w:val="000000" w:themeColor="text1"/>
          <w:sz w:val="24"/>
          <w:szCs w:val="24"/>
        </w:rPr>
        <w:t>related mortality.</w:t>
      </w:r>
    </w:p>
    <w:p w14:paraId="78884F75" w14:textId="77777777" w:rsidR="00646552" w:rsidRPr="001C7B25" w:rsidRDefault="00646552">
      <w:pPr>
        <w:widowControl/>
        <w:jc w:val="left"/>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rPr>
        <w:br w:type="page"/>
      </w:r>
    </w:p>
    <w:p w14:paraId="64A28285" w14:textId="205D3F9B" w:rsidR="00646552" w:rsidRPr="001C7B25" w:rsidRDefault="00646552" w:rsidP="0065537A">
      <w:pPr>
        <w:spacing w:line="480" w:lineRule="auto"/>
        <w:rPr>
          <w:rFonts w:ascii="Times New Roman" w:hAnsi="Times New Roman" w:cs="Times New Roman"/>
          <w:b/>
          <w:color w:val="000000" w:themeColor="text1"/>
          <w:sz w:val="24"/>
          <w:szCs w:val="24"/>
        </w:rPr>
      </w:pPr>
      <w:r w:rsidRPr="001C7B25">
        <w:rPr>
          <w:rFonts w:ascii="Times New Roman" w:hAnsi="Times New Roman" w:cs="Times New Roman"/>
          <w:b/>
          <w:color w:val="000000" w:themeColor="text1"/>
          <w:sz w:val="24"/>
          <w:szCs w:val="24"/>
        </w:rPr>
        <w:t>Introduction</w:t>
      </w:r>
    </w:p>
    <w:p w14:paraId="4FAC8741" w14:textId="3E4727FB" w:rsidR="00B55307" w:rsidRPr="001C7B25" w:rsidRDefault="00B55307" w:rsidP="00432642">
      <w:pPr>
        <w:autoSpaceDE w:val="0"/>
        <w:autoSpaceDN w:val="0"/>
        <w:adjustRightInd w:val="0"/>
        <w:spacing w:line="480" w:lineRule="auto"/>
        <w:ind w:firstLine="840"/>
        <w:jc w:val="left"/>
        <w:rPr>
          <w:rFonts w:ascii="Times New Roman" w:hAnsi="Times New Roman" w:cs="Times New Roman"/>
          <w:color w:val="000000" w:themeColor="text1"/>
          <w:kern w:val="0"/>
          <w:sz w:val="24"/>
          <w:szCs w:val="24"/>
        </w:rPr>
      </w:pPr>
      <w:r w:rsidRPr="001C7B25">
        <w:rPr>
          <w:rFonts w:ascii="Times New Roman" w:hAnsi="Times New Roman" w:cs="Times New Roman"/>
          <w:color w:val="000000" w:themeColor="text1"/>
          <w:sz w:val="24"/>
          <w:szCs w:val="24"/>
        </w:rPr>
        <w:t xml:space="preserve">One of the most severe </w:t>
      </w:r>
      <w:r w:rsidRPr="001C7B25">
        <w:rPr>
          <w:rFonts w:ascii="Times New Roman" w:hAnsi="Times New Roman" w:cs="Times New Roman"/>
          <w:color w:val="000000" w:themeColor="text1"/>
          <w:kern w:val="0"/>
          <w:sz w:val="24"/>
          <w:szCs w:val="24"/>
        </w:rPr>
        <w:t>sequelae of chronic infection with the hepatitis C virus (HCV) is decompensated cirrhosis (DC)</w:t>
      </w:r>
      <w:r w:rsidR="00CF3CB1" w:rsidRPr="001C7B25">
        <w:rPr>
          <w:rFonts w:ascii="Times New Roman" w:hAnsi="Times New Roman" w:cs="Times New Roman"/>
          <w:color w:val="000000" w:themeColor="text1"/>
          <w:kern w:val="0"/>
          <w:sz w:val="24"/>
          <w:szCs w:val="24"/>
        </w:rPr>
        <w:t xml:space="preserve"> [1, 2]</w:t>
      </w:r>
      <w:r w:rsidRPr="001C7B25">
        <w:rPr>
          <w:rFonts w:ascii="Times New Roman" w:hAnsi="Times New Roman" w:cs="Times New Roman"/>
          <w:color w:val="000000" w:themeColor="text1"/>
          <w:kern w:val="0"/>
          <w:sz w:val="24"/>
          <w:szCs w:val="24"/>
        </w:rPr>
        <w:t xml:space="preserve">. Patients with DC have </w:t>
      </w:r>
      <w:r w:rsidR="005D4A21" w:rsidRPr="001C7B25">
        <w:rPr>
          <w:rFonts w:ascii="Times New Roman" w:hAnsi="Times New Roman" w:cs="Times New Roman"/>
          <w:color w:val="000000" w:themeColor="text1"/>
          <w:kern w:val="0"/>
          <w:sz w:val="24"/>
          <w:szCs w:val="24"/>
        </w:rPr>
        <w:t xml:space="preserve">a poor prognosis and treatment options </w:t>
      </w:r>
      <w:r w:rsidR="00EB2BD3" w:rsidRPr="001C7B25">
        <w:rPr>
          <w:rFonts w:ascii="Times New Roman" w:hAnsi="Times New Roman" w:cs="Times New Roman"/>
          <w:color w:val="000000" w:themeColor="text1"/>
          <w:kern w:val="0"/>
          <w:sz w:val="24"/>
          <w:szCs w:val="24"/>
        </w:rPr>
        <w:t>remain limited</w:t>
      </w:r>
      <w:r w:rsidR="005D4A21" w:rsidRPr="001C7B25">
        <w:rPr>
          <w:rFonts w:ascii="Times New Roman" w:hAnsi="Times New Roman" w:cs="Times New Roman"/>
          <w:color w:val="000000" w:themeColor="text1"/>
          <w:kern w:val="0"/>
          <w:sz w:val="24"/>
          <w:szCs w:val="24"/>
        </w:rPr>
        <w:t xml:space="preserve">. Complications </w:t>
      </w:r>
      <w:r w:rsidR="00EB2BD3" w:rsidRPr="001C7B25">
        <w:rPr>
          <w:rFonts w:ascii="Times New Roman" w:hAnsi="Times New Roman" w:cs="Times New Roman"/>
          <w:color w:val="000000" w:themeColor="text1"/>
          <w:kern w:val="0"/>
          <w:sz w:val="24"/>
          <w:szCs w:val="24"/>
        </w:rPr>
        <w:t xml:space="preserve">of </w:t>
      </w:r>
      <w:r w:rsidR="005D4A21" w:rsidRPr="001C7B25">
        <w:rPr>
          <w:rFonts w:ascii="Times New Roman" w:hAnsi="Times New Roman" w:cs="Times New Roman"/>
          <w:color w:val="000000" w:themeColor="text1"/>
          <w:kern w:val="0"/>
          <w:sz w:val="24"/>
          <w:szCs w:val="24"/>
        </w:rPr>
        <w:t xml:space="preserve">DC include jaundice, variceal hemorrhage, ascites, and encephalopathy. </w:t>
      </w:r>
      <w:r w:rsidR="00EB2BD3" w:rsidRPr="001C7B25">
        <w:rPr>
          <w:rFonts w:ascii="Times New Roman" w:hAnsi="Times New Roman" w:cs="Times New Roman"/>
          <w:color w:val="000000" w:themeColor="text1"/>
          <w:kern w:val="0"/>
          <w:sz w:val="24"/>
          <w:szCs w:val="24"/>
        </w:rPr>
        <w:t xml:space="preserve">Interferon-based treatment has not been recommended for </w:t>
      </w:r>
      <w:r w:rsidR="005D4A21" w:rsidRPr="001C7B25">
        <w:rPr>
          <w:rFonts w:ascii="Times New Roman" w:hAnsi="Times New Roman" w:cs="Times New Roman"/>
          <w:color w:val="000000" w:themeColor="text1"/>
          <w:kern w:val="0"/>
          <w:sz w:val="24"/>
          <w:szCs w:val="24"/>
        </w:rPr>
        <w:t xml:space="preserve">HCV-infected patients with DC </w:t>
      </w:r>
      <w:r w:rsidR="00432642" w:rsidRPr="001C7B25">
        <w:rPr>
          <w:rFonts w:ascii="Times New Roman" w:hAnsi="Times New Roman" w:cs="Times New Roman"/>
          <w:color w:val="000000" w:themeColor="text1"/>
          <w:kern w:val="0"/>
          <w:sz w:val="24"/>
          <w:szCs w:val="24"/>
        </w:rPr>
        <w:t xml:space="preserve">due to </w:t>
      </w:r>
      <w:r w:rsidR="008230A2" w:rsidRPr="001C7B25">
        <w:rPr>
          <w:rFonts w:ascii="Times New Roman" w:hAnsi="Times New Roman" w:cs="Times New Roman"/>
          <w:color w:val="000000" w:themeColor="text1"/>
          <w:kern w:val="0"/>
          <w:sz w:val="24"/>
          <w:szCs w:val="24"/>
        </w:rPr>
        <w:t>severity</w:t>
      </w:r>
      <w:r w:rsidR="00432642" w:rsidRPr="001C7B25">
        <w:rPr>
          <w:rFonts w:ascii="Times New Roman" w:hAnsi="Times New Roman" w:cs="Times New Roman"/>
          <w:color w:val="000000" w:themeColor="text1"/>
          <w:kern w:val="0"/>
          <w:sz w:val="24"/>
          <w:szCs w:val="24"/>
        </w:rPr>
        <w:t xml:space="preserve"> of adverse effects</w:t>
      </w:r>
      <w:r w:rsidR="002A0A34" w:rsidRPr="001C7B25">
        <w:rPr>
          <w:rFonts w:ascii="Times New Roman" w:hAnsi="Times New Roman" w:cs="Times New Roman"/>
          <w:color w:val="000000" w:themeColor="text1"/>
          <w:kern w:val="0"/>
          <w:sz w:val="24"/>
          <w:szCs w:val="24"/>
        </w:rPr>
        <w:t xml:space="preserve"> </w:t>
      </w:r>
      <w:r w:rsidR="002D4516" w:rsidRPr="001C7B25">
        <w:rPr>
          <w:rFonts w:ascii="Times New Roman" w:hAnsi="Times New Roman" w:cs="Times New Roman"/>
          <w:color w:val="000000" w:themeColor="text1"/>
          <w:kern w:val="0"/>
          <w:sz w:val="24"/>
          <w:szCs w:val="24"/>
        </w:rPr>
        <w:t xml:space="preserve">in this population </w:t>
      </w:r>
      <w:r w:rsidR="002A0A34" w:rsidRPr="001C7B25">
        <w:rPr>
          <w:rFonts w:ascii="Times New Roman" w:hAnsi="Times New Roman" w:cs="Times New Roman"/>
          <w:color w:val="000000" w:themeColor="text1"/>
          <w:kern w:val="0"/>
          <w:sz w:val="24"/>
          <w:szCs w:val="24"/>
        </w:rPr>
        <w:t>[3, 4]</w:t>
      </w:r>
      <w:r w:rsidR="00432642" w:rsidRPr="001C7B25">
        <w:rPr>
          <w:rFonts w:ascii="Times New Roman" w:hAnsi="Times New Roman" w:cs="Times New Roman"/>
          <w:color w:val="000000" w:themeColor="text1"/>
          <w:kern w:val="0"/>
          <w:sz w:val="24"/>
          <w:szCs w:val="24"/>
        </w:rPr>
        <w:t xml:space="preserve">. </w:t>
      </w:r>
      <w:r w:rsidR="009101AB" w:rsidRPr="001C7B25">
        <w:rPr>
          <w:rFonts w:ascii="Times New Roman" w:hAnsi="Times New Roman" w:cs="Times New Roman"/>
          <w:color w:val="000000" w:themeColor="text1"/>
          <w:kern w:val="0"/>
          <w:sz w:val="24"/>
          <w:szCs w:val="24"/>
        </w:rPr>
        <w:t>However, t</w:t>
      </w:r>
      <w:r w:rsidR="00432642" w:rsidRPr="001C7B25">
        <w:rPr>
          <w:rFonts w:ascii="Times New Roman" w:hAnsi="Times New Roman" w:cs="Times New Roman"/>
          <w:color w:val="000000" w:themeColor="text1"/>
          <w:kern w:val="0"/>
          <w:sz w:val="24"/>
          <w:szCs w:val="24"/>
        </w:rPr>
        <w:t xml:space="preserve">he introduction </w:t>
      </w:r>
      <w:r w:rsidR="002D4516" w:rsidRPr="001C7B25">
        <w:rPr>
          <w:rFonts w:ascii="Times New Roman" w:hAnsi="Times New Roman" w:cs="Times New Roman"/>
          <w:color w:val="000000" w:themeColor="text1"/>
          <w:kern w:val="0"/>
          <w:sz w:val="24"/>
          <w:szCs w:val="24"/>
        </w:rPr>
        <w:t xml:space="preserve">of </w:t>
      </w:r>
      <w:r w:rsidR="00432642" w:rsidRPr="001C7B25">
        <w:rPr>
          <w:rFonts w:ascii="Times New Roman" w:hAnsi="Times New Roman" w:cs="Times New Roman"/>
          <w:color w:val="000000" w:themeColor="text1"/>
          <w:kern w:val="0"/>
          <w:sz w:val="24"/>
          <w:szCs w:val="24"/>
        </w:rPr>
        <w:t>oral direct-acting antiviral (DAA)</w:t>
      </w:r>
      <w:r w:rsidR="00344497" w:rsidRPr="001C7B25">
        <w:rPr>
          <w:rFonts w:ascii="Times New Roman" w:hAnsi="Times New Roman" w:cs="Times New Roman"/>
          <w:color w:val="000000" w:themeColor="text1"/>
          <w:kern w:val="0"/>
          <w:sz w:val="24"/>
          <w:szCs w:val="24"/>
        </w:rPr>
        <w:t>-</w:t>
      </w:r>
      <w:r w:rsidR="00432642" w:rsidRPr="001C7B25">
        <w:rPr>
          <w:rFonts w:ascii="Times New Roman" w:hAnsi="Times New Roman" w:cs="Times New Roman"/>
          <w:color w:val="000000" w:themeColor="text1"/>
          <w:kern w:val="0"/>
          <w:sz w:val="24"/>
          <w:szCs w:val="24"/>
        </w:rPr>
        <w:t>based HCV therapy has dramatically increased the number of patients who are eligible for antiviral therapy</w:t>
      </w:r>
      <w:r w:rsidR="00CA2409" w:rsidRPr="001C7B25">
        <w:rPr>
          <w:rFonts w:ascii="Times New Roman" w:hAnsi="Times New Roman" w:cs="Times New Roman"/>
          <w:color w:val="000000" w:themeColor="text1"/>
          <w:kern w:val="0"/>
          <w:sz w:val="24"/>
          <w:szCs w:val="24"/>
        </w:rPr>
        <w:t>,</w:t>
      </w:r>
      <w:r w:rsidR="00432642" w:rsidRPr="001C7B25">
        <w:rPr>
          <w:rFonts w:ascii="Times New Roman" w:hAnsi="Times New Roman" w:cs="Times New Roman"/>
          <w:color w:val="000000" w:themeColor="text1"/>
          <w:kern w:val="0"/>
          <w:sz w:val="24"/>
          <w:szCs w:val="24"/>
        </w:rPr>
        <w:t xml:space="preserve"> and high response rates can be achieved with various combinatio</w:t>
      </w:r>
      <w:r w:rsidR="00CA2409" w:rsidRPr="001C7B25">
        <w:rPr>
          <w:rFonts w:ascii="Times New Roman" w:hAnsi="Times New Roman" w:cs="Times New Roman"/>
          <w:color w:val="000000" w:themeColor="text1"/>
          <w:kern w:val="0"/>
          <w:sz w:val="24"/>
          <w:szCs w:val="24"/>
        </w:rPr>
        <w:t>n</w:t>
      </w:r>
      <w:r w:rsidR="00432642" w:rsidRPr="001C7B25">
        <w:rPr>
          <w:rFonts w:ascii="Times New Roman" w:hAnsi="Times New Roman" w:cs="Times New Roman"/>
          <w:color w:val="000000" w:themeColor="text1"/>
          <w:kern w:val="0"/>
          <w:sz w:val="24"/>
          <w:szCs w:val="24"/>
        </w:rPr>
        <w:t xml:space="preserve"> treatment regimens</w:t>
      </w:r>
      <w:r w:rsidR="000E1795" w:rsidRPr="001C7B25">
        <w:rPr>
          <w:rFonts w:ascii="Times New Roman" w:hAnsi="Times New Roman" w:cs="Times New Roman"/>
          <w:color w:val="000000" w:themeColor="text1"/>
          <w:kern w:val="0"/>
          <w:sz w:val="24"/>
          <w:szCs w:val="24"/>
        </w:rPr>
        <w:t xml:space="preserve"> [5, </w:t>
      </w:r>
      <w:r w:rsidR="0028789F" w:rsidRPr="001C7B25">
        <w:rPr>
          <w:rFonts w:ascii="Times New Roman" w:hAnsi="Times New Roman" w:cs="Times New Roman"/>
          <w:color w:val="000000" w:themeColor="text1"/>
          <w:kern w:val="0"/>
          <w:sz w:val="24"/>
          <w:szCs w:val="24"/>
        </w:rPr>
        <w:t>6]</w:t>
      </w:r>
      <w:r w:rsidR="00B0641A" w:rsidRPr="001C7B25">
        <w:rPr>
          <w:rFonts w:ascii="Times New Roman" w:hAnsi="Times New Roman" w:cs="Times New Roman"/>
          <w:color w:val="000000" w:themeColor="text1"/>
          <w:kern w:val="0"/>
          <w:sz w:val="24"/>
          <w:szCs w:val="24"/>
        </w:rPr>
        <w:t>.</w:t>
      </w:r>
    </w:p>
    <w:p w14:paraId="2E533837" w14:textId="709ACCA4" w:rsidR="00B0641A" w:rsidRPr="001C7B25" w:rsidRDefault="005B45BF" w:rsidP="00432642">
      <w:pPr>
        <w:autoSpaceDE w:val="0"/>
        <w:autoSpaceDN w:val="0"/>
        <w:adjustRightInd w:val="0"/>
        <w:spacing w:line="480" w:lineRule="auto"/>
        <w:ind w:firstLine="840"/>
        <w:jc w:val="left"/>
        <w:rPr>
          <w:rFonts w:ascii="Times New Roman" w:hAnsi="Times New Roman" w:cs="Times New Roman"/>
          <w:color w:val="000000" w:themeColor="text1"/>
          <w:kern w:val="0"/>
          <w:sz w:val="24"/>
          <w:szCs w:val="24"/>
        </w:rPr>
      </w:pPr>
      <w:r w:rsidRPr="001C7B25">
        <w:rPr>
          <w:rFonts w:ascii="Times New Roman" w:hAnsi="Times New Roman" w:cs="Times New Roman"/>
          <w:color w:val="000000" w:themeColor="text1"/>
          <w:kern w:val="0"/>
          <w:sz w:val="24"/>
          <w:szCs w:val="24"/>
        </w:rPr>
        <w:t>V</w:t>
      </w:r>
      <w:r w:rsidR="00B0641A" w:rsidRPr="001C7B25">
        <w:rPr>
          <w:rFonts w:ascii="Times New Roman" w:hAnsi="Times New Roman" w:cs="Times New Roman"/>
          <w:color w:val="000000" w:themeColor="text1"/>
          <w:kern w:val="0"/>
          <w:sz w:val="24"/>
          <w:szCs w:val="24"/>
        </w:rPr>
        <w:t xml:space="preserve">iral eradication in patients with </w:t>
      </w:r>
      <w:r w:rsidR="002A0A34" w:rsidRPr="001C7B25">
        <w:rPr>
          <w:rFonts w:ascii="Times New Roman" w:hAnsi="Times New Roman" w:cs="Times New Roman"/>
          <w:color w:val="000000" w:themeColor="text1"/>
          <w:kern w:val="0"/>
          <w:sz w:val="24"/>
          <w:szCs w:val="24"/>
        </w:rPr>
        <w:t xml:space="preserve">HCV infection and chronic hepatitis or </w:t>
      </w:r>
      <w:r w:rsidR="00B0641A" w:rsidRPr="001C7B25">
        <w:rPr>
          <w:rFonts w:ascii="Times New Roman" w:hAnsi="Times New Roman" w:cs="Times New Roman"/>
          <w:color w:val="000000" w:themeColor="text1"/>
          <w:kern w:val="0"/>
          <w:sz w:val="24"/>
          <w:szCs w:val="24"/>
        </w:rPr>
        <w:t>compensated cirrhosi</w:t>
      </w:r>
      <w:r w:rsidR="008B27C9" w:rsidRPr="001C7B25">
        <w:rPr>
          <w:rFonts w:ascii="Times New Roman" w:hAnsi="Times New Roman" w:cs="Times New Roman"/>
          <w:color w:val="000000" w:themeColor="text1"/>
          <w:kern w:val="0"/>
          <w:sz w:val="24"/>
          <w:szCs w:val="24"/>
        </w:rPr>
        <w:t>s</w:t>
      </w:r>
      <w:r w:rsidR="00B0641A" w:rsidRPr="001C7B25">
        <w:rPr>
          <w:rFonts w:ascii="Times New Roman" w:hAnsi="Times New Roman" w:cs="Times New Roman"/>
          <w:color w:val="000000" w:themeColor="text1"/>
          <w:kern w:val="0"/>
          <w:sz w:val="24"/>
          <w:szCs w:val="24"/>
        </w:rPr>
        <w:t xml:space="preserve"> </w:t>
      </w:r>
      <w:r w:rsidR="008B27C9" w:rsidRPr="001C7B25">
        <w:rPr>
          <w:rFonts w:ascii="Times New Roman" w:hAnsi="Times New Roman" w:cs="Times New Roman"/>
          <w:color w:val="000000" w:themeColor="text1"/>
          <w:kern w:val="0"/>
          <w:sz w:val="24"/>
          <w:szCs w:val="24"/>
        </w:rPr>
        <w:t>reduce</w:t>
      </w:r>
      <w:r w:rsidR="00895585" w:rsidRPr="001C7B25">
        <w:rPr>
          <w:rFonts w:ascii="Times New Roman" w:hAnsi="Times New Roman" w:cs="Times New Roman"/>
          <w:color w:val="000000" w:themeColor="text1"/>
          <w:kern w:val="0"/>
          <w:sz w:val="24"/>
          <w:szCs w:val="24"/>
        </w:rPr>
        <w:t>s</w:t>
      </w:r>
      <w:r w:rsidR="008B27C9" w:rsidRPr="001C7B25">
        <w:rPr>
          <w:rFonts w:ascii="Times New Roman" w:hAnsi="Times New Roman" w:cs="Times New Roman"/>
          <w:color w:val="000000" w:themeColor="text1"/>
          <w:kern w:val="0"/>
          <w:sz w:val="24"/>
          <w:szCs w:val="24"/>
        </w:rPr>
        <w:t xml:space="preserve"> all-cause mortality</w:t>
      </w:r>
      <w:r w:rsidR="00895585" w:rsidRPr="001C7B25">
        <w:rPr>
          <w:rFonts w:ascii="Times New Roman" w:hAnsi="Times New Roman" w:cs="Times New Roman"/>
          <w:color w:val="000000" w:themeColor="text1"/>
          <w:kern w:val="0"/>
          <w:sz w:val="24"/>
          <w:szCs w:val="24"/>
        </w:rPr>
        <w:t>,</w:t>
      </w:r>
      <w:r w:rsidR="008B27C9" w:rsidRPr="001C7B25">
        <w:rPr>
          <w:rFonts w:ascii="Times New Roman" w:hAnsi="Times New Roman" w:cs="Times New Roman"/>
          <w:color w:val="000000" w:themeColor="text1"/>
          <w:kern w:val="0"/>
          <w:sz w:val="24"/>
          <w:szCs w:val="24"/>
        </w:rPr>
        <w:t xml:space="preserve"> including liver-related and </w:t>
      </w:r>
      <w:r w:rsidR="00EF7C51" w:rsidRPr="001C7B25">
        <w:rPr>
          <w:rFonts w:ascii="Times New Roman" w:hAnsi="Times New Roman" w:cs="Times New Roman"/>
          <w:color w:val="000000" w:themeColor="text1"/>
          <w:kern w:val="0"/>
          <w:sz w:val="24"/>
          <w:szCs w:val="24"/>
        </w:rPr>
        <w:t xml:space="preserve">non–liver-related </w:t>
      </w:r>
      <w:r w:rsidR="008B27C9" w:rsidRPr="001C7B25">
        <w:rPr>
          <w:rFonts w:ascii="Times New Roman" w:hAnsi="Times New Roman" w:cs="Times New Roman"/>
          <w:color w:val="000000" w:themeColor="text1"/>
          <w:kern w:val="0"/>
          <w:sz w:val="24"/>
          <w:szCs w:val="24"/>
        </w:rPr>
        <w:t>mortality</w:t>
      </w:r>
      <w:r w:rsidR="0028789F" w:rsidRPr="001C7B25">
        <w:rPr>
          <w:rFonts w:ascii="Times New Roman" w:hAnsi="Times New Roman" w:cs="Times New Roman"/>
          <w:color w:val="000000" w:themeColor="text1"/>
          <w:kern w:val="0"/>
          <w:sz w:val="24"/>
          <w:szCs w:val="24"/>
        </w:rPr>
        <w:t xml:space="preserve"> [7, 8, 9]</w:t>
      </w:r>
      <w:r w:rsidR="008B27C9" w:rsidRPr="001C7B25">
        <w:rPr>
          <w:rFonts w:ascii="Times New Roman" w:hAnsi="Times New Roman" w:cs="Times New Roman"/>
          <w:color w:val="000000" w:themeColor="text1"/>
          <w:kern w:val="0"/>
          <w:sz w:val="24"/>
          <w:szCs w:val="24"/>
        </w:rPr>
        <w:t xml:space="preserve">. </w:t>
      </w:r>
      <w:r w:rsidR="006C2BD6" w:rsidRPr="001C7B25">
        <w:rPr>
          <w:rFonts w:ascii="Times New Roman" w:hAnsi="Times New Roman" w:cs="Times New Roman"/>
          <w:color w:val="000000" w:themeColor="text1"/>
          <w:kern w:val="0"/>
          <w:sz w:val="24"/>
          <w:szCs w:val="24"/>
        </w:rPr>
        <w:t xml:space="preserve">In </w:t>
      </w:r>
      <w:r w:rsidR="00895585" w:rsidRPr="001C7B25">
        <w:rPr>
          <w:rFonts w:ascii="Times New Roman" w:hAnsi="Times New Roman" w:cs="Times New Roman"/>
          <w:color w:val="000000" w:themeColor="text1"/>
          <w:kern w:val="0"/>
          <w:sz w:val="24"/>
          <w:szCs w:val="24"/>
        </w:rPr>
        <w:t xml:space="preserve">a </w:t>
      </w:r>
      <w:r w:rsidR="006C2BD6" w:rsidRPr="001C7B25">
        <w:rPr>
          <w:rFonts w:ascii="Times New Roman" w:hAnsi="Times New Roman" w:cs="Times New Roman"/>
          <w:color w:val="000000" w:themeColor="text1"/>
          <w:kern w:val="0"/>
          <w:sz w:val="24"/>
          <w:szCs w:val="24"/>
        </w:rPr>
        <w:t xml:space="preserve">previous study of patients with DC, viral eradication was associated with a </w:t>
      </w:r>
      <w:r w:rsidR="00895585" w:rsidRPr="001C7B25">
        <w:rPr>
          <w:rFonts w:ascii="Times New Roman" w:hAnsi="Times New Roman" w:cs="Times New Roman"/>
          <w:color w:val="000000" w:themeColor="text1"/>
          <w:kern w:val="0"/>
          <w:sz w:val="24"/>
          <w:szCs w:val="24"/>
        </w:rPr>
        <w:t xml:space="preserve">rapid </w:t>
      </w:r>
      <w:r w:rsidR="006C2BD6" w:rsidRPr="001C7B25">
        <w:rPr>
          <w:rFonts w:ascii="Times New Roman" w:hAnsi="Times New Roman" w:cs="Times New Roman"/>
          <w:color w:val="000000" w:themeColor="text1"/>
          <w:kern w:val="0"/>
          <w:sz w:val="24"/>
          <w:szCs w:val="24"/>
        </w:rPr>
        <w:t xml:space="preserve">improvement in liver function and complications [10, </w:t>
      </w:r>
      <w:r w:rsidR="006479D7" w:rsidRPr="001C7B25">
        <w:rPr>
          <w:rFonts w:ascii="Times New Roman" w:hAnsi="Times New Roman" w:cs="Times New Roman"/>
          <w:color w:val="000000" w:themeColor="text1"/>
          <w:kern w:val="0"/>
          <w:sz w:val="24"/>
          <w:szCs w:val="24"/>
        </w:rPr>
        <w:t>11</w:t>
      </w:r>
      <w:r w:rsidR="006C2BD6" w:rsidRPr="001C7B25">
        <w:rPr>
          <w:rFonts w:ascii="Times New Roman" w:hAnsi="Times New Roman" w:cs="Times New Roman"/>
          <w:color w:val="000000" w:themeColor="text1"/>
          <w:kern w:val="0"/>
          <w:sz w:val="24"/>
          <w:szCs w:val="24"/>
        </w:rPr>
        <w:t xml:space="preserve">]. </w:t>
      </w:r>
      <w:r w:rsidR="001A7AC2" w:rsidRPr="001C7B25">
        <w:rPr>
          <w:rFonts w:ascii="Times New Roman" w:hAnsi="Times New Roman" w:cs="Times New Roman"/>
          <w:color w:val="000000" w:themeColor="text1"/>
          <w:kern w:val="0"/>
          <w:sz w:val="24"/>
          <w:szCs w:val="24"/>
        </w:rPr>
        <w:t xml:space="preserve">Two </w:t>
      </w:r>
      <w:r w:rsidR="00D331C4" w:rsidRPr="001C7B25">
        <w:rPr>
          <w:rFonts w:ascii="Times New Roman" w:hAnsi="Times New Roman" w:cs="Times New Roman"/>
          <w:color w:val="000000" w:themeColor="text1"/>
          <w:kern w:val="0"/>
          <w:sz w:val="24"/>
          <w:szCs w:val="24"/>
        </w:rPr>
        <w:t xml:space="preserve">previous </w:t>
      </w:r>
      <w:r w:rsidR="001A7AC2" w:rsidRPr="001C7B25">
        <w:rPr>
          <w:rFonts w:ascii="Times New Roman" w:hAnsi="Times New Roman" w:cs="Times New Roman"/>
          <w:color w:val="000000" w:themeColor="text1"/>
          <w:kern w:val="0"/>
          <w:sz w:val="24"/>
          <w:szCs w:val="24"/>
        </w:rPr>
        <w:t>studies</w:t>
      </w:r>
      <w:r w:rsidR="00B215DE" w:rsidRPr="001C7B25">
        <w:rPr>
          <w:rFonts w:ascii="Times New Roman" w:hAnsi="Times New Roman" w:cs="Times New Roman"/>
          <w:color w:val="000000" w:themeColor="text1"/>
          <w:kern w:val="0"/>
          <w:sz w:val="24"/>
          <w:szCs w:val="24"/>
        </w:rPr>
        <w:t xml:space="preserve"> in patients with DC enrolled</w:t>
      </w:r>
      <w:r w:rsidR="00D331C4" w:rsidRPr="001C7B25">
        <w:rPr>
          <w:rFonts w:ascii="Times New Roman" w:hAnsi="Times New Roman" w:cs="Times New Roman"/>
          <w:color w:val="000000" w:themeColor="text1"/>
          <w:kern w:val="0"/>
          <w:sz w:val="24"/>
          <w:szCs w:val="24"/>
        </w:rPr>
        <w:t xml:space="preserve"> in </w:t>
      </w:r>
      <w:r w:rsidR="001A7AC2" w:rsidRPr="001C7B25">
        <w:rPr>
          <w:rFonts w:ascii="Times New Roman" w:hAnsi="Times New Roman" w:cs="Times New Roman"/>
          <w:color w:val="000000" w:themeColor="text1"/>
          <w:kern w:val="0"/>
          <w:sz w:val="24"/>
          <w:szCs w:val="24"/>
        </w:rPr>
        <w:t xml:space="preserve">a United Kingdom </w:t>
      </w:r>
      <w:r w:rsidR="00D331C4" w:rsidRPr="001C7B25">
        <w:rPr>
          <w:rFonts w:ascii="Times New Roman" w:hAnsi="Times New Roman" w:cs="Times New Roman"/>
          <w:color w:val="000000" w:themeColor="text1"/>
          <w:kern w:val="0"/>
          <w:sz w:val="24"/>
          <w:szCs w:val="24"/>
        </w:rPr>
        <w:t>hepatitis C registry</w:t>
      </w:r>
      <w:r w:rsidR="00B215DE" w:rsidRPr="001C7B25">
        <w:rPr>
          <w:rFonts w:ascii="Times New Roman" w:hAnsi="Times New Roman" w:cs="Times New Roman"/>
          <w:color w:val="000000" w:themeColor="text1"/>
          <w:kern w:val="0"/>
          <w:sz w:val="24"/>
          <w:szCs w:val="24"/>
        </w:rPr>
        <w:t xml:space="preserve">, </w:t>
      </w:r>
      <w:r w:rsidR="00D331C4" w:rsidRPr="001C7B25">
        <w:rPr>
          <w:rFonts w:ascii="Times New Roman" w:hAnsi="Times New Roman" w:cs="Times New Roman"/>
          <w:color w:val="000000" w:themeColor="text1"/>
          <w:kern w:val="0"/>
          <w:sz w:val="24"/>
          <w:szCs w:val="24"/>
        </w:rPr>
        <w:t>HCV Research UK</w:t>
      </w:r>
      <w:r w:rsidR="00B215DE" w:rsidRPr="001C7B25">
        <w:rPr>
          <w:rFonts w:ascii="Times New Roman" w:hAnsi="Times New Roman" w:cs="Times New Roman"/>
          <w:color w:val="000000" w:themeColor="text1"/>
          <w:kern w:val="0"/>
          <w:sz w:val="24"/>
          <w:szCs w:val="24"/>
        </w:rPr>
        <w:t>, had a follow-up period of less than 12 months [12, 13]</w:t>
      </w:r>
      <w:r w:rsidR="00D331C4" w:rsidRPr="001C7B25">
        <w:rPr>
          <w:rFonts w:ascii="Times New Roman" w:hAnsi="Times New Roman" w:cs="Times New Roman"/>
          <w:color w:val="000000" w:themeColor="text1"/>
          <w:kern w:val="0"/>
          <w:sz w:val="24"/>
          <w:szCs w:val="24"/>
        </w:rPr>
        <w:t xml:space="preserve">. </w:t>
      </w:r>
      <w:r w:rsidR="00B215DE" w:rsidRPr="001C7B25">
        <w:rPr>
          <w:rFonts w:ascii="Times New Roman" w:hAnsi="Times New Roman" w:cs="Times New Roman"/>
          <w:color w:val="000000" w:themeColor="text1"/>
          <w:kern w:val="0"/>
          <w:sz w:val="24"/>
          <w:szCs w:val="24"/>
        </w:rPr>
        <w:t>Therefore</w:t>
      </w:r>
      <w:r w:rsidR="008B27C9" w:rsidRPr="001C7B25">
        <w:rPr>
          <w:rFonts w:ascii="Times New Roman" w:hAnsi="Times New Roman" w:cs="Times New Roman"/>
          <w:color w:val="000000" w:themeColor="text1"/>
          <w:kern w:val="0"/>
          <w:sz w:val="24"/>
          <w:szCs w:val="24"/>
        </w:rPr>
        <w:t xml:space="preserve">, in patients with </w:t>
      </w:r>
      <w:r w:rsidR="00B215DE" w:rsidRPr="001C7B25">
        <w:rPr>
          <w:rFonts w:ascii="Times New Roman" w:hAnsi="Times New Roman" w:cs="Times New Roman"/>
          <w:color w:val="000000" w:themeColor="text1"/>
          <w:kern w:val="0"/>
          <w:sz w:val="24"/>
          <w:szCs w:val="24"/>
        </w:rPr>
        <w:t xml:space="preserve">HCV infection and </w:t>
      </w:r>
      <w:r w:rsidR="008B27C9" w:rsidRPr="001C7B25">
        <w:rPr>
          <w:rFonts w:ascii="Times New Roman" w:hAnsi="Times New Roman" w:cs="Times New Roman"/>
          <w:color w:val="000000" w:themeColor="text1"/>
          <w:kern w:val="0"/>
          <w:sz w:val="24"/>
          <w:szCs w:val="24"/>
        </w:rPr>
        <w:t xml:space="preserve">DC, it is uncertain whether viral clearance is meaningful and </w:t>
      </w:r>
      <w:r w:rsidR="001A7AC2" w:rsidRPr="001C7B25">
        <w:rPr>
          <w:rFonts w:ascii="Times New Roman" w:hAnsi="Times New Roman" w:cs="Times New Roman"/>
          <w:color w:val="000000" w:themeColor="text1"/>
          <w:kern w:val="0"/>
          <w:sz w:val="24"/>
          <w:szCs w:val="24"/>
        </w:rPr>
        <w:t xml:space="preserve">whether it </w:t>
      </w:r>
      <w:r w:rsidR="008B27C9" w:rsidRPr="001C7B25">
        <w:rPr>
          <w:rFonts w:ascii="Times New Roman" w:hAnsi="Times New Roman" w:cs="Times New Roman"/>
          <w:color w:val="000000" w:themeColor="text1"/>
          <w:kern w:val="0"/>
          <w:sz w:val="24"/>
          <w:szCs w:val="24"/>
        </w:rPr>
        <w:t>reduc</w:t>
      </w:r>
      <w:r w:rsidR="001A7AC2" w:rsidRPr="001C7B25">
        <w:rPr>
          <w:rFonts w:ascii="Times New Roman" w:hAnsi="Times New Roman" w:cs="Times New Roman"/>
          <w:color w:val="000000" w:themeColor="text1"/>
          <w:kern w:val="0"/>
          <w:sz w:val="24"/>
          <w:szCs w:val="24"/>
        </w:rPr>
        <w:t>es</w:t>
      </w:r>
      <w:r w:rsidR="008B27C9" w:rsidRPr="001C7B25">
        <w:rPr>
          <w:rFonts w:ascii="Times New Roman" w:hAnsi="Times New Roman" w:cs="Times New Roman"/>
          <w:color w:val="000000" w:themeColor="text1"/>
          <w:kern w:val="0"/>
          <w:sz w:val="24"/>
          <w:szCs w:val="24"/>
        </w:rPr>
        <w:t xml:space="preserve"> liver-related a</w:t>
      </w:r>
      <w:r w:rsidR="00E2206A" w:rsidRPr="001C7B25">
        <w:rPr>
          <w:rFonts w:ascii="Times New Roman" w:hAnsi="Times New Roman" w:cs="Times New Roman"/>
          <w:color w:val="000000" w:themeColor="text1"/>
          <w:kern w:val="0"/>
          <w:sz w:val="24"/>
          <w:szCs w:val="24"/>
        </w:rPr>
        <w:t xml:space="preserve">nd </w:t>
      </w:r>
      <w:r w:rsidR="00EF7C51" w:rsidRPr="001C7B25">
        <w:rPr>
          <w:rFonts w:ascii="Times New Roman" w:hAnsi="Times New Roman" w:cs="Times New Roman"/>
          <w:color w:val="000000" w:themeColor="text1"/>
          <w:kern w:val="0"/>
          <w:sz w:val="24"/>
          <w:szCs w:val="24"/>
        </w:rPr>
        <w:t xml:space="preserve">non–liver-related </w:t>
      </w:r>
      <w:r w:rsidR="00E2206A" w:rsidRPr="001C7B25">
        <w:rPr>
          <w:rFonts w:ascii="Times New Roman" w:hAnsi="Times New Roman" w:cs="Times New Roman"/>
          <w:color w:val="000000" w:themeColor="text1"/>
          <w:kern w:val="0"/>
          <w:sz w:val="24"/>
          <w:szCs w:val="24"/>
        </w:rPr>
        <w:t>mortality.</w:t>
      </w:r>
    </w:p>
    <w:p w14:paraId="4B2362E0" w14:textId="6F2E7B67" w:rsidR="00E2206A" w:rsidRPr="001C7B25" w:rsidRDefault="00E2206A" w:rsidP="00432642">
      <w:pPr>
        <w:autoSpaceDE w:val="0"/>
        <w:autoSpaceDN w:val="0"/>
        <w:adjustRightInd w:val="0"/>
        <w:spacing w:line="480" w:lineRule="auto"/>
        <w:ind w:firstLine="840"/>
        <w:jc w:val="left"/>
        <w:rPr>
          <w:rFonts w:ascii="Times New Roman" w:hAnsi="Times New Roman" w:cs="Times New Roman"/>
          <w:color w:val="000000" w:themeColor="text1"/>
          <w:sz w:val="24"/>
          <w:szCs w:val="24"/>
          <w:shd w:val="clear" w:color="auto" w:fill="F5F5F5"/>
        </w:rPr>
      </w:pPr>
      <w:r w:rsidRPr="001C7B25">
        <w:rPr>
          <w:rFonts w:ascii="Times New Roman" w:hAnsi="Times New Roman" w:cs="Times New Roman"/>
          <w:color w:val="000000" w:themeColor="text1"/>
          <w:sz w:val="24"/>
          <w:szCs w:val="24"/>
        </w:rPr>
        <w:t>The aim of this study</w:t>
      </w:r>
      <w:r w:rsidR="00AE04C9" w:rsidRPr="001C7B25">
        <w:rPr>
          <w:rFonts w:ascii="Times New Roman" w:hAnsi="Times New Roman" w:cs="Times New Roman"/>
          <w:color w:val="000000" w:themeColor="text1"/>
          <w:sz w:val="24"/>
          <w:szCs w:val="24"/>
        </w:rPr>
        <w:t xml:space="preserve"> </w:t>
      </w:r>
      <w:r w:rsidR="001A7AC2" w:rsidRPr="001C7B25">
        <w:rPr>
          <w:rFonts w:ascii="Times New Roman" w:hAnsi="Times New Roman" w:cs="Times New Roman"/>
          <w:color w:val="000000" w:themeColor="text1"/>
          <w:sz w:val="24"/>
          <w:szCs w:val="24"/>
        </w:rPr>
        <w:t xml:space="preserve">was </w:t>
      </w:r>
      <w:r w:rsidRPr="001C7B25">
        <w:rPr>
          <w:rFonts w:ascii="Times New Roman" w:hAnsi="Times New Roman" w:cs="Times New Roman"/>
          <w:color w:val="000000" w:themeColor="text1"/>
          <w:sz w:val="24"/>
          <w:szCs w:val="24"/>
        </w:rPr>
        <w:t xml:space="preserve">to </w:t>
      </w:r>
      <w:r w:rsidR="00AE04C9" w:rsidRPr="001C7B25">
        <w:rPr>
          <w:rFonts w:ascii="Times New Roman" w:hAnsi="Times New Roman" w:cs="Times New Roman"/>
          <w:color w:val="000000" w:themeColor="text1"/>
          <w:sz w:val="24"/>
          <w:szCs w:val="24"/>
        </w:rPr>
        <w:t>assess</w:t>
      </w:r>
      <w:r w:rsidRPr="001C7B25">
        <w:rPr>
          <w:rFonts w:ascii="Times New Roman" w:hAnsi="Times New Roman" w:cs="Times New Roman"/>
          <w:color w:val="000000" w:themeColor="text1"/>
          <w:sz w:val="24"/>
          <w:szCs w:val="24"/>
        </w:rPr>
        <w:t xml:space="preserve"> whether </w:t>
      </w:r>
      <w:r w:rsidR="00AE04C9" w:rsidRPr="001C7B25">
        <w:rPr>
          <w:rFonts w:ascii="Times New Roman" w:hAnsi="Times New Roman" w:cs="Times New Roman"/>
          <w:color w:val="000000" w:themeColor="text1"/>
          <w:sz w:val="24"/>
          <w:szCs w:val="24"/>
        </w:rPr>
        <w:t>viral eradication</w:t>
      </w:r>
      <w:r w:rsidRPr="001C7B25">
        <w:rPr>
          <w:rFonts w:ascii="Times New Roman" w:hAnsi="Times New Roman" w:cs="Times New Roman"/>
          <w:color w:val="000000" w:themeColor="text1"/>
          <w:sz w:val="24"/>
          <w:szCs w:val="24"/>
        </w:rPr>
        <w:t xml:space="preserve"> </w:t>
      </w:r>
      <w:r w:rsidR="001A7AC2" w:rsidRPr="001C7B25">
        <w:rPr>
          <w:rFonts w:ascii="Times New Roman" w:hAnsi="Times New Roman" w:cs="Times New Roman"/>
          <w:color w:val="000000" w:themeColor="text1"/>
          <w:sz w:val="24"/>
          <w:szCs w:val="24"/>
        </w:rPr>
        <w:t>decreased</w:t>
      </w:r>
      <w:r w:rsidR="00AE04C9" w:rsidRPr="001C7B25">
        <w:rPr>
          <w:rFonts w:ascii="Times New Roman" w:hAnsi="Times New Roman" w:cs="Times New Roman"/>
          <w:color w:val="000000" w:themeColor="text1"/>
          <w:sz w:val="24"/>
          <w:szCs w:val="24"/>
        </w:rPr>
        <w:t xml:space="preserve"> </w:t>
      </w:r>
      <w:r w:rsidRPr="001C7B25">
        <w:rPr>
          <w:rFonts w:ascii="Times New Roman" w:hAnsi="Times New Roman" w:cs="Times New Roman"/>
          <w:color w:val="000000" w:themeColor="text1"/>
          <w:sz w:val="24"/>
          <w:szCs w:val="24"/>
        </w:rPr>
        <w:t>liver</w:t>
      </w:r>
      <w:r w:rsidR="00AE04C9" w:rsidRPr="001C7B25">
        <w:rPr>
          <w:rFonts w:ascii="Times New Roman" w:hAnsi="Times New Roman" w:cs="Times New Roman"/>
          <w:color w:val="000000" w:themeColor="text1"/>
          <w:sz w:val="24"/>
          <w:szCs w:val="24"/>
        </w:rPr>
        <w:t>-</w:t>
      </w:r>
      <w:r w:rsidRPr="001C7B25">
        <w:rPr>
          <w:rFonts w:ascii="Times New Roman" w:hAnsi="Times New Roman" w:cs="Times New Roman"/>
          <w:color w:val="000000" w:themeColor="text1"/>
          <w:sz w:val="24"/>
          <w:szCs w:val="24"/>
        </w:rPr>
        <w:t xml:space="preserve">related and </w:t>
      </w:r>
      <w:r w:rsidR="00EF7C51" w:rsidRPr="001C7B25">
        <w:rPr>
          <w:rFonts w:ascii="Times New Roman" w:hAnsi="Times New Roman" w:cs="Times New Roman"/>
          <w:color w:val="000000" w:themeColor="text1"/>
          <w:sz w:val="24"/>
          <w:szCs w:val="24"/>
        </w:rPr>
        <w:t xml:space="preserve">non–liver-related </w:t>
      </w:r>
      <w:r w:rsidR="00AE04C9" w:rsidRPr="001C7B25">
        <w:rPr>
          <w:rFonts w:ascii="Times New Roman" w:hAnsi="Times New Roman" w:cs="Times New Roman"/>
          <w:color w:val="000000" w:themeColor="text1"/>
          <w:sz w:val="24"/>
          <w:szCs w:val="24"/>
        </w:rPr>
        <w:t>mortality</w:t>
      </w:r>
      <w:r w:rsidRPr="001C7B25">
        <w:rPr>
          <w:rFonts w:ascii="Times New Roman" w:hAnsi="Times New Roman" w:cs="Times New Roman"/>
          <w:color w:val="000000" w:themeColor="text1"/>
          <w:sz w:val="24"/>
          <w:szCs w:val="24"/>
        </w:rPr>
        <w:t xml:space="preserve"> in patients with </w:t>
      </w:r>
      <w:r w:rsidR="00AE04C9" w:rsidRPr="001C7B25">
        <w:rPr>
          <w:rFonts w:ascii="Times New Roman" w:hAnsi="Times New Roman" w:cs="Times New Roman"/>
          <w:color w:val="000000" w:themeColor="text1"/>
          <w:sz w:val="24"/>
          <w:szCs w:val="24"/>
        </w:rPr>
        <w:t xml:space="preserve">HCV infection and </w:t>
      </w:r>
      <w:r w:rsidR="00C06DCC" w:rsidRPr="001C7B25">
        <w:rPr>
          <w:rFonts w:ascii="Times New Roman" w:hAnsi="Times New Roman" w:cs="Times New Roman"/>
          <w:color w:val="000000" w:themeColor="text1"/>
          <w:sz w:val="24"/>
          <w:szCs w:val="24"/>
        </w:rPr>
        <w:t>DC</w:t>
      </w:r>
      <w:r w:rsidRPr="001C7B25">
        <w:rPr>
          <w:rFonts w:ascii="Times New Roman" w:hAnsi="Times New Roman" w:cs="Times New Roman"/>
          <w:color w:val="000000" w:themeColor="text1"/>
          <w:sz w:val="24"/>
          <w:szCs w:val="24"/>
        </w:rPr>
        <w:t>.</w:t>
      </w:r>
      <w:r w:rsidRPr="001C7B25">
        <w:rPr>
          <w:rFonts w:ascii="Times New Roman" w:hAnsi="Times New Roman" w:cs="Times New Roman"/>
          <w:color w:val="000000" w:themeColor="text1"/>
          <w:sz w:val="24"/>
          <w:szCs w:val="24"/>
          <w:shd w:val="clear" w:color="auto" w:fill="F5F5F5"/>
        </w:rPr>
        <w:t xml:space="preserve"> </w:t>
      </w:r>
      <w:r w:rsidR="001A7AC2" w:rsidRPr="001C7B25">
        <w:rPr>
          <w:rFonts w:ascii="Times New Roman" w:hAnsi="Times New Roman" w:cs="Times New Roman"/>
          <w:color w:val="000000" w:themeColor="text1"/>
          <w:sz w:val="24"/>
          <w:szCs w:val="24"/>
          <w:shd w:val="clear" w:color="auto" w:fill="F5F5F5"/>
        </w:rPr>
        <w:t xml:space="preserve">The </w:t>
      </w:r>
      <w:r w:rsidR="001A7AC2" w:rsidRPr="001C7B25">
        <w:rPr>
          <w:rFonts w:ascii="Times New Roman" w:hAnsi="Times New Roman" w:cs="Times New Roman"/>
          <w:color w:val="000000" w:themeColor="text1"/>
          <w:sz w:val="24"/>
          <w:szCs w:val="24"/>
        </w:rPr>
        <w:t>treatment cohort</w:t>
      </w:r>
      <w:r w:rsidR="009F5F14" w:rsidRPr="001C7B25">
        <w:rPr>
          <w:rFonts w:ascii="Times New Roman" w:hAnsi="Times New Roman" w:cs="Times New Roman"/>
          <w:color w:val="000000" w:themeColor="text1"/>
          <w:sz w:val="24"/>
          <w:szCs w:val="24"/>
          <w:shd w:val="clear" w:color="auto" w:fill="F5F5F5"/>
        </w:rPr>
        <w:t xml:space="preserve">, </w:t>
      </w:r>
      <w:r w:rsidR="001A7AC2" w:rsidRPr="001C7B25">
        <w:rPr>
          <w:rFonts w:ascii="Times New Roman" w:hAnsi="Times New Roman" w:cs="Times New Roman"/>
          <w:color w:val="000000" w:themeColor="text1"/>
          <w:sz w:val="24"/>
          <w:szCs w:val="24"/>
          <w:shd w:val="clear" w:color="auto" w:fill="F5F5F5"/>
        </w:rPr>
        <w:t>based on</w:t>
      </w:r>
      <w:r w:rsidR="00AE04C9" w:rsidRPr="001C7B25">
        <w:rPr>
          <w:rFonts w:ascii="Times New Roman" w:hAnsi="Times New Roman" w:cs="Times New Roman"/>
          <w:color w:val="000000" w:themeColor="text1"/>
          <w:sz w:val="24"/>
          <w:szCs w:val="24"/>
          <w:shd w:val="clear" w:color="auto" w:fill="F5F5F5"/>
        </w:rPr>
        <w:t xml:space="preserve"> data from </w:t>
      </w:r>
      <w:r w:rsidR="00F9615A" w:rsidRPr="001C7B25">
        <w:rPr>
          <w:rFonts w:ascii="Times New Roman" w:hAnsi="Times New Roman" w:cs="Times New Roman"/>
          <w:color w:val="000000" w:themeColor="text1"/>
          <w:kern w:val="0"/>
          <w:sz w:val="24"/>
          <w:szCs w:val="24"/>
        </w:rPr>
        <w:t>HCV Research UK</w:t>
      </w:r>
      <w:r w:rsidR="00AE04C9" w:rsidRPr="001C7B25">
        <w:rPr>
          <w:rFonts w:ascii="Times New Roman" w:hAnsi="Times New Roman" w:cs="Times New Roman"/>
          <w:color w:val="000000" w:themeColor="text1"/>
          <w:sz w:val="24"/>
          <w:szCs w:val="24"/>
        </w:rPr>
        <w:t xml:space="preserve">, </w:t>
      </w:r>
      <w:r w:rsidR="009F5F14" w:rsidRPr="001C7B25">
        <w:rPr>
          <w:rFonts w:ascii="Times New Roman" w:hAnsi="Times New Roman" w:cs="Times New Roman"/>
          <w:color w:val="000000" w:themeColor="text1"/>
          <w:sz w:val="24"/>
          <w:szCs w:val="24"/>
        </w:rPr>
        <w:t>was</w:t>
      </w:r>
      <w:r w:rsidR="00AE04C9" w:rsidRPr="001C7B25">
        <w:rPr>
          <w:rFonts w:ascii="Times New Roman" w:hAnsi="Times New Roman" w:cs="Times New Roman"/>
          <w:color w:val="000000" w:themeColor="text1"/>
          <w:sz w:val="24"/>
          <w:szCs w:val="24"/>
        </w:rPr>
        <w:t xml:space="preserve"> </w:t>
      </w:r>
      <w:r w:rsidR="00F462CF" w:rsidRPr="001C7B25">
        <w:rPr>
          <w:rFonts w:ascii="Times New Roman" w:hAnsi="Times New Roman" w:cs="Times New Roman"/>
          <w:color w:val="000000" w:themeColor="text1"/>
          <w:sz w:val="24"/>
          <w:szCs w:val="24"/>
        </w:rPr>
        <w:t xml:space="preserve">treated with DAAs, achieved sustained virological response (SVR), and </w:t>
      </w:r>
      <w:r w:rsidR="006B3C64" w:rsidRPr="001C7B25">
        <w:rPr>
          <w:rFonts w:ascii="Times New Roman" w:hAnsi="Times New Roman" w:cs="Times New Roman"/>
          <w:color w:val="000000" w:themeColor="text1"/>
          <w:sz w:val="24"/>
          <w:szCs w:val="24"/>
        </w:rPr>
        <w:t>was</w:t>
      </w:r>
      <w:r w:rsidR="004804D7" w:rsidRPr="001C7B25">
        <w:rPr>
          <w:rFonts w:ascii="Times New Roman" w:hAnsi="Times New Roman" w:cs="Times New Roman"/>
          <w:color w:val="000000" w:themeColor="text1"/>
          <w:sz w:val="24"/>
          <w:szCs w:val="24"/>
        </w:rPr>
        <w:t xml:space="preserve"> </w:t>
      </w:r>
      <w:r w:rsidR="00AE04C9" w:rsidRPr="001C7B25">
        <w:rPr>
          <w:rFonts w:ascii="Times New Roman" w:hAnsi="Times New Roman" w:cs="Times New Roman"/>
          <w:color w:val="000000" w:themeColor="text1"/>
          <w:sz w:val="24"/>
          <w:szCs w:val="24"/>
        </w:rPr>
        <w:t xml:space="preserve">prospectively followed for 3 years, </w:t>
      </w:r>
      <w:r w:rsidR="001A7AC2" w:rsidRPr="001C7B25">
        <w:rPr>
          <w:rFonts w:ascii="Times New Roman" w:hAnsi="Times New Roman" w:cs="Times New Roman"/>
          <w:color w:val="000000" w:themeColor="text1"/>
          <w:sz w:val="24"/>
          <w:szCs w:val="24"/>
        </w:rPr>
        <w:t>while the no-treatment cohort was</w:t>
      </w:r>
      <w:r w:rsidRPr="001C7B25">
        <w:rPr>
          <w:rFonts w:ascii="Times New Roman" w:hAnsi="Times New Roman" w:cs="Times New Roman"/>
          <w:color w:val="000000" w:themeColor="text1"/>
          <w:sz w:val="24"/>
          <w:szCs w:val="24"/>
        </w:rPr>
        <w:t xml:space="preserve"> </w:t>
      </w:r>
      <w:r w:rsidR="004804D7" w:rsidRPr="001C7B25">
        <w:rPr>
          <w:rFonts w:ascii="Times New Roman" w:hAnsi="Times New Roman" w:cs="Times New Roman"/>
          <w:color w:val="000000" w:themeColor="text1"/>
          <w:sz w:val="24"/>
          <w:szCs w:val="24"/>
        </w:rPr>
        <w:t>based on</w:t>
      </w:r>
      <w:r w:rsidRPr="001C7B25">
        <w:rPr>
          <w:rFonts w:ascii="Times New Roman" w:hAnsi="Times New Roman" w:cs="Times New Roman"/>
          <w:color w:val="000000" w:themeColor="text1"/>
          <w:sz w:val="24"/>
          <w:szCs w:val="24"/>
        </w:rPr>
        <w:t xml:space="preserve"> data from one hospital in Japan</w:t>
      </w:r>
      <w:r w:rsidR="00F462CF" w:rsidRPr="001C7B25">
        <w:rPr>
          <w:rFonts w:ascii="Times New Roman" w:hAnsi="Times New Roman" w:cs="Times New Roman"/>
          <w:color w:val="000000" w:themeColor="text1"/>
          <w:sz w:val="24"/>
          <w:szCs w:val="24"/>
        </w:rPr>
        <w:t xml:space="preserve"> </w:t>
      </w:r>
      <w:r w:rsidR="004804D7" w:rsidRPr="001C7B25">
        <w:rPr>
          <w:rFonts w:ascii="Times New Roman" w:hAnsi="Times New Roman" w:cs="Times New Roman"/>
          <w:color w:val="000000" w:themeColor="text1"/>
          <w:sz w:val="24"/>
          <w:szCs w:val="24"/>
        </w:rPr>
        <w:t xml:space="preserve">and </w:t>
      </w:r>
      <w:r w:rsidR="006B3C64" w:rsidRPr="001C7B25">
        <w:rPr>
          <w:rFonts w:ascii="Times New Roman" w:hAnsi="Times New Roman" w:cs="Times New Roman"/>
          <w:color w:val="000000" w:themeColor="text1"/>
          <w:sz w:val="24"/>
          <w:szCs w:val="24"/>
        </w:rPr>
        <w:t>included only</w:t>
      </w:r>
      <w:r w:rsidR="00F462CF" w:rsidRPr="001C7B25">
        <w:rPr>
          <w:rFonts w:ascii="Times New Roman" w:hAnsi="Times New Roman" w:cs="Times New Roman"/>
          <w:color w:val="000000" w:themeColor="text1"/>
          <w:sz w:val="24"/>
          <w:szCs w:val="24"/>
        </w:rPr>
        <w:t xml:space="preserve"> patients </w:t>
      </w:r>
      <w:r w:rsidR="004804D7" w:rsidRPr="001C7B25">
        <w:rPr>
          <w:rFonts w:ascii="Times New Roman" w:hAnsi="Times New Roman" w:cs="Times New Roman"/>
          <w:color w:val="000000" w:themeColor="text1"/>
          <w:sz w:val="24"/>
          <w:szCs w:val="24"/>
        </w:rPr>
        <w:t xml:space="preserve">who </w:t>
      </w:r>
      <w:r w:rsidR="00F462CF" w:rsidRPr="001C7B25">
        <w:rPr>
          <w:rFonts w:ascii="Times New Roman" w:hAnsi="Times New Roman" w:cs="Times New Roman"/>
          <w:color w:val="000000" w:themeColor="text1"/>
          <w:sz w:val="24"/>
          <w:szCs w:val="24"/>
        </w:rPr>
        <w:t>did not receive DAAs</w:t>
      </w:r>
      <w:r w:rsidRPr="001C7B25">
        <w:rPr>
          <w:rFonts w:ascii="Times New Roman" w:hAnsi="Times New Roman" w:cs="Times New Roman"/>
          <w:color w:val="000000" w:themeColor="text1"/>
          <w:sz w:val="24"/>
          <w:szCs w:val="24"/>
        </w:rPr>
        <w:t>.</w:t>
      </w:r>
    </w:p>
    <w:p w14:paraId="134F77DF" w14:textId="77777777" w:rsidR="00646552" w:rsidRPr="001C7B25" w:rsidRDefault="00646552" w:rsidP="009954A0">
      <w:pPr>
        <w:widowControl/>
        <w:spacing w:line="480" w:lineRule="auto"/>
        <w:jc w:val="left"/>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rPr>
        <w:br w:type="page"/>
      </w:r>
    </w:p>
    <w:p w14:paraId="7293A0B6" w14:textId="49258557" w:rsidR="00646552" w:rsidRPr="001C7B25" w:rsidRDefault="00646552" w:rsidP="00646552">
      <w:pPr>
        <w:spacing w:line="480" w:lineRule="auto"/>
        <w:rPr>
          <w:rFonts w:ascii="Times New Roman" w:hAnsi="Times New Roman" w:cs="Times New Roman"/>
          <w:b/>
          <w:bCs/>
          <w:color w:val="000000" w:themeColor="text1"/>
          <w:sz w:val="24"/>
          <w:szCs w:val="24"/>
        </w:rPr>
      </w:pPr>
      <w:r w:rsidRPr="001C7B25">
        <w:rPr>
          <w:rFonts w:ascii="Times New Roman" w:hAnsi="Times New Roman" w:cs="Times New Roman"/>
          <w:b/>
          <w:bCs/>
          <w:color w:val="000000" w:themeColor="text1"/>
          <w:sz w:val="24"/>
          <w:szCs w:val="24"/>
        </w:rPr>
        <w:t>Materials and Methods</w:t>
      </w:r>
    </w:p>
    <w:p w14:paraId="3F7936C5" w14:textId="7F94135A" w:rsidR="00BF7096" w:rsidRPr="001C7B25" w:rsidRDefault="004732D4" w:rsidP="00646552">
      <w:pPr>
        <w:spacing w:line="480" w:lineRule="auto"/>
        <w:rPr>
          <w:rFonts w:ascii="Times New Roman" w:hAnsi="Times New Roman" w:cs="Times New Roman"/>
          <w:b/>
          <w:bCs/>
          <w:color w:val="000000" w:themeColor="text1"/>
          <w:sz w:val="24"/>
          <w:szCs w:val="24"/>
        </w:rPr>
      </w:pPr>
      <w:r w:rsidRPr="001C7B25">
        <w:rPr>
          <w:rFonts w:ascii="Times New Roman" w:hAnsi="Times New Roman" w:cs="Times New Roman"/>
          <w:b/>
          <w:bCs/>
          <w:color w:val="000000" w:themeColor="text1"/>
          <w:sz w:val="24"/>
          <w:szCs w:val="24"/>
        </w:rPr>
        <w:t>Ethics</w:t>
      </w:r>
    </w:p>
    <w:p w14:paraId="702D3114" w14:textId="38792765" w:rsidR="00646552" w:rsidRPr="001C7B25" w:rsidRDefault="00646B03" w:rsidP="009144BD">
      <w:pPr>
        <w:autoSpaceDE w:val="0"/>
        <w:autoSpaceDN w:val="0"/>
        <w:adjustRightInd w:val="0"/>
        <w:spacing w:line="480" w:lineRule="auto"/>
        <w:jc w:val="left"/>
        <w:rPr>
          <w:rFonts w:ascii="Times New Roman" w:hAnsi="Times New Roman" w:cs="Times New Roman"/>
          <w:color w:val="000000" w:themeColor="text1"/>
          <w:kern w:val="0"/>
          <w:sz w:val="24"/>
          <w:szCs w:val="24"/>
        </w:rPr>
      </w:pPr>
      <w:r w:rsidRPr="001C7B25">
        <w:rPr>
          <w:rFonts w:ascii="Times New Roman" w:hAnsi="Times New Roman" w:cs="Times New Roman"/>
          <w:color w:val="000000" w:themeColor="text1"/>
          <w:sz w:val="24"/>
          <w:szCs w:val="24"/>
        </w:rPr>
        <w:tab/>
      </w:r>
      <w:r w:rsidR="00D34ECF" w:rsidRPr="001C7B25">
        <w:rPr>
          <w:rFonts w:ascii="Times New Roman" w:hAnsi="Times New Roman" w:cs="Times New Roman"/>
          <w:color w:val="000000" w:themeColor="text1"/>
          <w:sz w:val="24"/>
          <w:szCs w:val="24"/>
        </w:rPr>
        <w:t xml:space="preserve">Ethics approval for </w:t>
      </w:r>
      <w:r w:rsidR="00F9615A" w:rsidRPr="001C7B25">
        <w:rPr>
          <w:rFonts w:ascii="Times New Roman" w:hAnsi="Times New Roman" w:cs="Times New Roman"/>
          <w:color w:val="000000" w:themeColor="text1"/>
          <w:kern w:val="0"/>
          <w:sz w:val="24"/>
          <w:szCs w:val="24"/>
        </w:rPr>
        <w:t>HCV Research UK</w:t>
      </w:r>
      <w:r w:rsidR="00D34ECF" w:rsidRPr="001C7B25">
        <w:rPr>
          <w:rFonts w:ascii="Times New Roman" w:hAnsi="Times New Roman" w:cs="Times New Roman"/>
          <w:color w:val="000000" w:themeColor="text1"/>
          <w:sz w:val="24"/>
          <w:szCs w:val="24"/>
        </w:rPr>
        <w:t xml:space="preserve"> was given by </w:t>
      </w:r>
      <w:r w:rsidR="009144BD" w:rsidRPr="001C7B25">
        <w:rPr>
          <w:rFonts w:ascii="Times New Roman" w:hAnsi="Times New Roman" w:cs="Times New Roman"/>
          <w:color w:val="000000" w:themeColor="text1"/>
          <w:kern w:val="0"/>
          <w:sz w:val="24"/>
          <w:szCs w:val="24"/>
        </w:rPr>
        <w:t>the national research ethics service</w:t>
      </w:r>
      <w:r w:rsidR="009144BD" w:rsidRPr="001C7B25">
        <w:rPr>
          <w:rFonts w:ascii="Times New Roman" w:hAnsi="Times New Roman" w:cs="Times New Roman" w:hint="eastAsia"/>
          <w:color w:val="000000" w:themeColor="text1"/>
          <w:kern w:val="0"/>
          <w:sz w:val="24"/>
          <w:szCs w:val="24"/>
        </w:rPr>
        <w:t xml:space="preserve"> </w:t>
      </w:r>
      <w:r w:rsidR="009144BD" w:rsidRPr="001C7B25">
        <w:rPr>
          <w:rFonts w:ascii="Times New Roman" w:hAnsi="Times New Roman" w:cs="Times New Roman"/>
          <w:color w:val="000000" w:themeColor="text1"/>
          <w:kern w:val="0"/>
          <w:sz w:val="24"/>
          <w:szCs w:val="24"/>
        </w:rPr>
        <w:t>(NRES)</w:t>
      </w:r>
      <w:r w:rsidR="00D34ECF" w:rsidRPr="001C7B25">
        <w:rPr>
          <w:rFonts w:ascii="Times New Roman" w:hAnsi="Times New Roman" w:cs="Times New Roman"/>
          <w:color w:val="000000" w:themeColor="text1"/>
          <w:sz w:val="24"/>
          <w:szCs w:val="24"/>
        </w:rPr>
        <w:t xml:space="preserve"> Committee East Midlands - Derby 1 (Research Ethics Committee reference 11/EM/0314)</w:t>
      </w:r>
      <w:r w:rsidR="009144BD" w:rsidRPr="001C7B25">
        <w:rPr>
          <w:rFonts w:ascii="Times New Roman" w:hAnsi="Times New Roman" w:cs="Times New Roman"/>
          <w:color w:val="000000" w:themeColor="text1"/>
          <w:sz w:val="24"/>
          <w:szCs w:val="24"/>
        </w:rPr>
        <w:t xml:space="preserve"> and </w:t>
      </w:r>
      <w:r w:rsidR="00635F83" w:rsidRPr="001C7B25">
        <w:rPr>
          <w:rFonts w:ascii="Times New Roman" w:hAnsi="Times New Roman" w:cs="Times New Roman"/>
          <w:color w:val="000000" w:themeColor="text1"/>
          <w:sz w:val="24"/>
          <w:szCs w:val="24"/>
        </w:rPr>
        <w:t>the proposal for the analysis reported herein was accepted by the HCVRUK Tissue and Data Access committee in January 2019</w:t>
      </w:r>
      <w:r w:rsidR="004804D7" w:rsidRPr="001C7B25">
        <w:rPr>
          <w:rFonts w:ascii="Times New Roman" w:eastAsia="Lato-Regular" w:hAnsi="Times New Roman" w:cs="Times New Roman"/>
          <w:color w:val="000000" w:themeColor="text1"/>
          <w:kern w:val="0"/>
          <w:sz w:val="24"/>
          <w:szCs w:val="24"/>
        </w:rPr>
        <w:t>,</w:t>
      </w:r>
      <w:r w:rsidR="00D34ECF" w:rsidRPr="001C7B25">
        <w:rPr>
          <w:rFonts w:ascii="Times New Roman" w:eastAsia="Lato-Regular" w:hAnsi="Times New Roman" w:cs="Times New Roman"/>
          <w:color w:val="000000" w:themeColor="text1"/>
          <w:kern w:val="0"/>
          <w:sz w:val="24"/>
          <w:szCs w:val="24"/>
        </w:rPr>
        <w:t xml:space="preserve"> </w:t>
      </w:r>
      <w:r w:rsidR="00D34ECF" w:rsidRPr="001C7B25">
        <w:rPr>
          <w:rFonts w:ascii="Times New Roman" w:hAnsi="Times New Roman" w:cs="Times New Roman"/>
          <w:color w:val="000000" w:themeColor="text1"/>
          <w:sz w:val="24"/>
          <w:szCs w:val="24"/>
        </w:rPr>
        <w:t xml:space="preserve">and informed consent was obtained from each patient included in the study. </w:t>
      </w:r>
      <w:r w:rsidR="004732D4" w:rsidRPr="001C7B25">
        <w:rPr>
          <w:rFonts w:ascii="Times New Roman" w:hAnsi="Times New Roman" w:cs="Times New Roman"/>
          <w:color w:val="000000" w:themeColor="text1"/>
          <w:kern w:val="0"/>
          <w:sz w:val="24"/>
          <w:szCs w:val="24"/>
        </w:rPr>
        <w:t xml:space="preserve">The study protocol was also approved by the institutional review board of Ogaki Municipal Hospital </w:t>
      </w:r>
      <w:r w:rsidR="00BD1048" w:rsidRPr="001C7B25">
        <w:rPr>
          <w:rFonts w:ascii="Times New Roman" w:hAnsi="Times New Roman" w:cs="Times New Roman"/>
          <w:color w:val="000000" w:themeColor="text1"/>
          <w:kern w:val="0"/>
          <w:sz w:val="24"/>
          <w:szCs w:val="24"/>
        </w:rPr>
        <w:t xml:space="preserve">in </w:t>
      </w:r>
      <w:r w:rsidR="00B85EA8" w:rsidRPr="001C7B25">
        <w:rPr>
          <w:rFonts w:ascii="Times New Roman" w:hAnsi="Times New Roman" w:cs="Times New Roman"/>
          <w:color w:val="000000" w:themeColor="text1"/>
          <w:kern w:val="0"/>
          <w:sz w:val="24"/>
          <w:szCs w:val="24"/>
        </w:rPr>
        <w:t xml:space="preserve">March 2019 </w:t>
      </w:r>
      <w:r w:rsidR="004732D4" w:rsidRPr="001C7B25">
        <w:rPr>
          <w:rFonts w:ascii="Times New Roman" w:hAnsi="Times New Roman" w:cs="Times New Roman"/>
          <w:color w:val="000000" w:themeColor="text1"/>
          <w:kern w:val="0"/>
          <w:sz w:val="24"/>
          <w:szCs w:val="24"/>
        </w:rPr>
        <w:t xml:space="preserve">and </w:t>
      </w:r>
      <w:r w:rsidR="00BD1048" w:rsidRPr="001C7B25">
        <w:rPr>
          <w:rFonts w:ascii="Times New Roman" w:hAnsi="Times New Roman" w:cs="Times New Roman"/>
          <w:color w:val="000000" w:themeColor="text1"/>
          <w:kern w:val="0"/>
          <w:sz w:val="24"/>
          <w:szCs w:val="24"/>
        </w:rPr>
        <w:t xml:space="preserve">was </w:t>
      </w:r>
      <w:r w:rsidR="004732D4" w:rsidRPr="001C7B25">
        <w:rPr>
          <w:rFonts w:ascii="Times New Roman" w:hAnsi="Times New Roman" w:cs="Times New Roman"/>
          <w:color w:val="000000" w:themeColor="text1"/>
          <w:kern w:val="0"/>
          <w:sz w:val="24"/>
          <w:szCs w:val="24"/>
        </w:rPr>
        <w:t>conducted in compliance with the Helsinki Declaration.</w:t>
      </w:r>
    </w:p>
    <w:p w14:paraId="5E7E08E6" w14:textId="29D22C51" w:rsidR="004732D4" w:rsidRPr="001C7B25" w:rsidRDefault="004732D4" w:rsidP="00646552">
      <w:pPr>
        <w:autoSpaceDE w:val="0"/>
        <w:autoSpaceDN w:val="0"/>
        <w:adjustRightInd w:val="0"/>
        <w:spacing w:line="480" w:lineRule="auto"/>
        <w:jc w:val="left"/>
        <w:rPr>
          <w:rFonts w:ascii="Times New Roman" w:eastAsia="Lato-Regular" w:hAnsi="Times New Roman" w:cs="Times New Roman"/>
          <w:b/>
          <w:color w:val="000000" w:themeColor="text1"/>
          <w:kern w:val="0"/>
          <w:sz w:val="24"/>
          <w:szCs w:val="24"/>
        </w:rPr>
      </w:pPr>
      <w:r w:rsidRPr="001C7B25">
        <w:rPr>
          <w:rFonts w:ascii="Times New Roman" w:eastAsia="Lato-Regular" w:hAnsi="Times New Roman" w:cs="Times New Roman"/>
          <w:b/>
          <w:color w:val="000000" w:themeColor="text1"/>
          <w:kern w:val="0"/>
          <w:sz w:val="24"/>
          <w:szCs w:val="24"/>
        </w:rPr>
        <w:t>Patients</w:t>
      </w:r>
    </w:p>
    <w:p w14:paraId="6E788895" w14:textId="64B38E4A" w:rsidR="00CD10F5" w:rsidRPr="001C7B25" w:rsidRDefault="00CD10F5" w:rsidP="00646552">
      <w:pPr>
        <w:autoSpaceDE w:val="0"/>
        <w:autoSpaceDN w:val="0"/>
        <w:adjustRightInd w:val="0"/>
        <w:spacing w:line="480" w:lineRule="auto"/>
        <w:jc w:val="left"/>
        <w:rPr>
          <w:rFonts w:ascii="Times New Roman" w:eastAsia="Lato-Regular" w:hAnsi="Times New Roman" w:cs="Times New Roman"/>
          <w:color w:val="000000" w:themeColor="text1"/>
          <w:kern w:val="0"/>
          <w:sz w:val="24"/>
          <w:szCs w:val="24"/>
        </w:rPr>
      </w:pPr>
      <w:r w:rsidRPr="001C7B25">
        <w:rPr>
          <w:rFonts w:ascii="Times New Roman" w:eastAsia="Lato-Regular" w:hAnsi="Times New Roman" w:cs="Times New Roman"/>
          <w:color w:val="000000" w:themeColor="text1"/>
          <w:kern w:val="0"/>
          <w:sz w:val="24"/>
          <w:szCs w:val="24"/>
        </w:rPr>
        <w:tab/>
        <w:t xml:space="preserve">Between </w:t>
      </w:r>
      <w:r w:rsidR="001F7024" w:rsidRPr="001C7B25">
        <w:rPr>
          <w:rFonts w:ascii="Times New Roman" w:eastAsia="Lato-Regular" w:hAnsi="Times New Roman" w:cs="Times New Roman"/>
          <w:color w:val="000000" w:themeColor="text1"/>
          <w:kern w:val="0"/>
          <w:sz w:val="24"/>
          <w:szCs w:val="24"/>
        </w:rPr>
        <w:t xml:space="preserve">May 2015 and September 2015, </w:t>
      </w:r>
      <w:r w:rsidR="002C6345" w:rsidRPr="001C7B25">
        <w:rPr>
          <w:rFonts w:ascii="Times New Roman" w:eastAsia="Lato-Regular" w:hAnsi="Times New Roman" w:cs="Times New Roman"/>
          <w:color w:val="000000" w:themeColor="text1"/>
          <w:kern w:val="0"/>
          <w:sz w:val="24"/>
          <w:szCs w:val="24"/>
        </w:rPr>
        <w:t xml:space="preserve">653 </w:t>
      </w:r>
      <w:r w:rsidR="001F7024" w:rsidRPr="001C7B25">
        <w:rPr>
          <w:rFonts w:ascii="Times New Roman" w:eastAsia="Lato-Regular" w:hAnsi="Times New Roman" w:cs="Times New Roman"/>
          <w:color w:val="000000" w:themeColor="text1"/>
          <w:kern w:val="0"/>
          <w:sz w:val="24"/>
          <w:szCs w:val="24"/>
        </w:rPr>
        <w:t xml:space="preserve">patients </w:t>
      </w:r>
      <w:r w:rsidR="00635F83" w:rsidRPr="001C7B25">
        <w:rPr>
          <w:rFonts w:ascii="Times New Roman" w:eastAsia="Lato-Regular" w:hAnsi="Times New Roman" w:cs="Times New Roman"/>
          <w:color w:val="000000" w:themeColor="text1"/>
          <w:kern w:val="0"/>
          <w:sz w:val="24"/>
          <w:szCs w:val="24"/>
        </w:rPr>
        <w:t xml:space="preserve">with a history of DC liver disease </w:t>
      </w:r>
      <w:r w:rsidR="001F7024" w:rsidRPr="001C7B25">
        <w:rPr>
          <w:rFonts w:ascii="Times New Roman" w:eastAsia="Lato-Regular" w:hAnsi="Times New Roman" w:cs="Times New Roman"/>
          <w:color w:val="000000" w:themeColor="text1"/>
          <w:kern w:val="0"/>
          <w:sz w:val="24"/>
          <w:szCs w:val="24"/>
        </w:rPr>
        <w:t xml:space="preserve">who received DAA therapy were enrolled in the </w:t>
      </w:r>
      <w:r w:rsidR="00F9615A" w:rsidRPr="001C7B25">
        <w:rPr>
          <w:rFonts w:ascii="Times New Roman" w:hAnsi="Times New Roman" w:cs="Times New Roman"/>
          <w:color w:val="000000" w:themeColor="text1"/>
          <w:kern w:val="0"/>
          <w:sz w:val="24"/>
          <w:szCs w:val="24"/>
        </w:rPr>
        <w:t>HCV Research UK</w:t>
      </w:r>
      <w:r w:rsidR="001F7024" w:rsidRPr="001C7B25">
        <w:rPr>
          <w:rFonts w:ascii="Times New Roman" w:eastAsia="Lato-Regular" w:hAnsi="Times New Roman" w:cs="Times New Roman"/>
          <w:color w:val="000000" w:themeColor="text1"/>
          <w:kern w:val="0"/>
          <w:sz w:val="24"/>
          <w:szCs w:val="24"/>
        </w:rPr>
        <w:t xml:space="preserve"> registry for prospective data collection. </w:t>
      </w:r>
      <w:r w:rsidR="00BD1048" w:rsidRPr="001C7B25">
        <w:rPr>
          <w:rFonts w:ascii="Times New Roman" w:eastAsia="Lato-Regular" w:hAnsi="Times New Roman" w:cs="Times New Roman"/>
          <w:color w:val="000000" w:themeColor="text1"/>
          <w:kern w:val="0"/>
          <w:sz w:val="24"/>
          <w:szCs w:val="24"/>
        </w:rPr>
        <w:t>Inclusion c</w:t>
      </w:r>
      <w:r w:rsidR="00DC573E" w:rsidRPr="001C7B25">
        <w:rPr>
          <w:rFonts w:ascii="Times New Roman" w:eastAsia="Lato-Regular" w:hAnsi="Times New Roman" w:cs="Times New Roman"/>
          <w:color w:val="000000" w:themeColor="text1"/>
          <w:kern w:val="0"/>
          <w:sz w:val="24"/>
          <w:szCs w:val="24"/>
        </w:rPr>
        <w:t xml:space="preserve">riteria </w:t>
      </w:r>
      <w:r w:rsidR="009D04CB" w:rsidRPr="001C7B25">
        <w:rPr>
          <w:rFonts w:ascii="Times New Roman" w:eastAsia="Lato-Regular" w:hAnsi="Times New Roman" w:cs="Times New Roman"/>
          <w:color w:val="000000" w:themeColor="text1"/>
          <w:kern w:val="0"/>
          <w:sz w:val="24"/>
          <w:szCs w:val="24"/>
        </w:rPr>
        <w:t>for</w:t>
      </w:r>
      <w:r w:rsidR="00DC573E" w:rsidRPr="001C7B25">
        <w:rPr>
          <w:rFonts w:ascii="Times New Roman" w:eastAsia="Lato-Regular" w:hAnsi="Times New Roman" w:cs="Times New Roman"/>
          <w:color w:val="000000" w:themeColor="text1"/>
          <w:kern w:val="0"/>
          <w:sz w:val="24"/>
          <w:szCs w:val="24"/>
        </w:rPr>
        <w:t xml:space="preserve"> </w:t>
      </w:r>
      <w:r w:rsidR="009D04CB" w:rsidRPr="001C7B25">
        <w:rPr>
          <w:rFonts w:ascii="Times New Roman" w:eastAsia="Lato-Regular" w:hAnsi="Times New Roman" w:cs="Times New Roman"/>
          <w:color w:val="000000" w:themeColor="text1"/>
          <w:kern w:val="0"/>
          <w:sz w:val="24"/>
          <w:szCs w:val="24"/>
        </w:rPr>
        <w:t>DC</w:t>
      </w:r>
      <w:r w:rsidR="002B056D" w:rsidRPr="001C7B25">
        <w:rPr>
          <w:rFonts w:ascii="Times New Roman" w:eastAsia="Lato-Regular" w:hAnsi="Times New Roman" w:cs="Times New Roman"/>
          <w:color w:val="000000" w:themeColor="text1"/>
          <w:kern w:val="0"/>
          <w:sz w:val="24"/>
          <w:szCs w:val="24"/>
        </w:rPr>
        <w:t xml:space="preserve"> includ</w:t>
      </w:r>
      <w:r w:rsidR="00445CAD" w:rsidRPr="001C7B25">
        <w:rPr>
          <w:rFonts w:ascii="Times New Roman" w:eastAsia="Lato-Regular" w:hAnsi="Times New Roman" w:cs="Times New Roman"/>
          <w:color w:val="000000" w:themeColor="text1"/>
          <w:kern w:val="0"/>
          <w:sz w:val="24"/>
          <w:szCs w:val="24"/>
        </w:rPr>
        <w:t>ed</w:t>
      </w:r>
      <w:r w:rsidR="002B056D" w:rsidRPr="001C7B25">
        <w:rPr>
          <w:rFonts w:ascii="Times New Roman" w:eastAsia="Lato-Regular" w:hAnsi="Times New Roman" w:cs="Times New Roman"/>
          <w:color w:val="000000" w:themeColor="text1"/>
          <w:kern w:val="0"/>
          <w:sz w:val="24"/>
          <w:szCs w:val="24"/>
        </w:rPr>
        <w:t xml:space="preserve"> ascites, variceal bleeding</w:t>
      </w:r>
      <w:r w:rsidR="009D04CB" w:rsidRPr="001C7B25">
        <w:rPr>
          <w:rFonts w:ascii="Times New Roman" w:eastAsia="Lato-Regular" w:hAnsi="Times New Roman" w:cs="Times New Roman"/>
          <w:color w:val="000000" w:themeColor="text1"/>
          <w:kern w:val="0"/>
          <w:sz w:val="24"/>
          <w:szCs w:val="24"/>
        </w:rPr>
        <w:t>,</w:t>
      </w:r>
      <w:r w:rsidR="002B056D" w:rsidRPr="001C7B25">
        <w:rPr>
          <w:rFonts w:ascii="Times New Roman" w:eastAsia="Lato-Regular" w:hAnsi="Times New Roman" w:cs="Times New Roman"/>
          <w:color w:val="000000" w:themeColor="text1"/>
          <w:kern w:val="0"/>
          <w:sz w:val="24"/>
          <w:szCs w:val="24"/>
        </w:rPr>
        <w:t xml:space="preserve"> or hepatic encephalopathy (past or current). Treatment involved </w:t>
      </w:r>
      <w:r w:rsidR="002C6345" w:rsidRPr="001C7B25">
        <w:rPr>
          <w:rFonts w:ascii="Times New Roman" w:eastAsia="Lato-Regular" w:hAnsi="Times New Roman" w:cs="Times New Roman"/>
          <w:color w:val="000000" w:themeColor="text1"/>
          <w:kern w:val="0"/>
          <w:sz w:val="24"/>
          <w:szCs w:val="24"/>
        </w:rPr>
        <w:t xml:space="preserve">mainly </w:t>
      </w:r>
      <w:r w:rsidR="002B056D" w:rsidRPr="001C7B25">
        <w:rPr>
          <w:rFonts w:ascii="Times New Roman" w:eastAsia="Lato-Regular" w:hAnsi="Times New Roman" w:cs="Times New Roman"/>
          <w:color w:val="000000" w:themeColor="text1"/>
          <w:kern w:val="0"/>
          <w:sz w:val="24"/>
          <w:szCs w:val="24"/>
        </w:rPr>
        <w:t xml:space="preserve">ledipasvir/sofosbuvir, sofosbuvir/daclatasvir, or </w:t>
      </w:r>
      <w:r w:rsidR="002C6345" w:rsidRPr="001C7B25">
        <w:rPr>
          <w:rFonts w:ascii="Times New Roman" w:eastAsia="Lato-Regular" w:hAnsi="Times New Roman" w:cs="Times New Roman"/>
          <w:color w:val="000000" w:themeColor="text1"/>
          <w:kern w:val="0"/>
          <w:sz w:val="24"/>
          <w:szCs w:val="24"/>
        </w:rPr>
        <w:t xml:space="preserve">other regimens with or without ribavirin for a total of 12 weeks. Of the 653 patients, 22 who had a history of </w:t>
      </w:r>
      <w:r w:rsidR="00B85EA8" w:rsidRPr="001C7B25">
        <w:rPr>
          <w:rFonts w:ascii="Times New Roman" w:eastAsia="Lato-Regular" w:hAnsi="Times New Roman" w:cs="Times New Roman"/>
          <w:color w:val="000000" w:themeColor="text1"/>
          <w:kern w:val="0"/>
          <w:sz w:val="24"/>
          <w:szCs w:val="24"/>
        </w:rPr>
        <w:t>hepatocellular carcinoma (</w:t>
      </w:r>
      <w:r w:rsidR="002C6345" w:rsidRPr="001C7B25">
        <w:rPr>
          <w:rFonts w:ascii="Times New Roman" w:eastAsia="Lato-Regular" w:hAnsi="Times New Roman" w:cs="Times New Roman"/>
          <w:color w:val="000000" w:themeColor="text1"/>
          <w:kern w:val="0"/>
          <w:sz w:val="24"/>
          <w:szCs w:val="24"/>
        </w:rPr>
        <w:t>HCC</w:t>
      </w:r>
      <w:r w:rsidR="00B85EA8" w:rsidRPr="001C7B25">
        <w:rPr>
          <w:rFonts w:ascii="Times New Roman" w:eastAsia="Lato-Regular" w:hAnsi="Times New Roman" w:cs="Times New Roman"/>
          <w:color w:val="000000" w:themeColor="text1"/>
          <w:kern w:val="0"/>
          <w:sz w:val="24"/>
          <w:szCs w:val="24"/>
        </w:rPr>
        <w:t>)</w:t>
      </w:r>
      <w:r w:rsidR="002C6345" w:rsidRPr="001C7B25">
        <w:rPr>
          <w:rFonts w:ascii="Times New Roman" w:eastAsia="Lato-Regular" w:hAnsi="Times New Roman" w:cs="Times New Roman"/>
          <w:color w:val="000000" w:themeColor="text1"/>
          <w:kern w:val="0"/>
          <w:sz w:val="24"/>
          <w:szCs w:val="24"/>
        </w:rPr>
        <w:t xml:space="preserve">, 55 who did not achieve SVR, 71 </w:t>
      </w:r>
      <w:r w:rsidR="00445CAD" w:rsidRPr="001C7B25">
        <w:rPr>
          <w:rFonts w:ascii="Times New Roman" w:eastAsia="Lato-Regular" w:hAnsi="Times New Roman" w:cs="Times New Roman"/>
          <w:color w:val="000000" w:themeColor="text1"/>
          <w:kern w:val="0"/>
          <w:sz w:val="24"/>
          <w:szCs w:val="24"/>
        </w:rPr>
        <w:t>who developed</w:t>
      </w:r>
      <w:r w:rsidR="00EF5927" w:rsidRPr="001C7B25">
        <w:rPr>
          <w:rFonts w:ascii="Times New Roman" w:eastAsia="Lato-Regular" w:hAnsi="Times New Roman" w:cs="Times New Roman"/>
          <w:color w:val="000000" w:themeColor="text1"/>
          <w:kern w:val="0"/>
          <w:sz w:val="24"/>
          <w:szCs w:val="24"/>
        </w:rPr>
        <w:t xml:space="preserve"> HCC within 1 year after starting DAA therapy, and 64 with incomplete clinical information were excluded. The remaining 439 patients </w:t>
      </w:r>
      <w:r w:rsidR="00AA737F" w:rsidRPr="001C7B25">
        <w:rPr>
          <w:rFonts w:ascii="Times New Roman" w:eastAsia="Lato-Regular" w:hAnsi="Times New Roman" w:cs="Times New Roman"/>
          <w:color w:val="000000" w:themeColor="text1"/>
          <w:kern w:val="0"/>
          <w:sz w:val="24"/>
          <w:szCs w:val="24"/>
        </w:rPr>
        <w:t>were analyzed as the “DAA group</w:t>
      </w:r>
      <w:r w:rsidR="00445CAD" w:rsidRPr="001C7B25">
        <w:rPr>
          <w:rFonts w:ascii="Times New Roman" w:eastAsia="Lato-Regular" w:hAnsi="Times New Roman" w:cs="Times New Roman"/>
          <w:color w:val="000000" w:themeColor="text1"/>
          <w:kern w:val="0"/>
          <w:sz w:val="24"/>
          <w:szCs w:val="24"/>
        </w:rPr>
        <w:t>.</w:t>
      </w:r>
      <w:r w:rsidR="00EF5927" w:rsidRPr="001C7B25">
        <w:rPr>
          <w:rFonts w:ascii="Times New Roman" w:eastAsia="Lato-Regular" w:hAnsi="Times New Roman" w:cs="Times New Roman"/>
          <w:color w:val="000000" w:themeColor="text1"/>
          <w:kern w:val="0"/>
          <w:sz w:val="24"/>
          <w:szCs w:val="24"/>
        </w:rPr>
        <w:t>”</w:t>
      </w:r>
    </w:p>
    <w:p w14:paraId="57D36A3E" w14:textId="3282C118" w:rsidR="00EF5927" w:rsidRPr="001C7B25" w:rsidRDefault="00EF5927" w:rsidP="00646552">
      <w:pPr>
        <w:autoSpaceDE w:val="0"/>
        <w:autoSpaceDN w:val="0"/>
        <w:adjustRightInd w:val="0"/>
        <w:spacing w:line="480" w:lineRule="auto"/>
        <w:jc w:val="left"/>
        <w:rPr>
          <w:rFonts w:ascii="Times New Roman" w:eastAsia="Lato-Regular" w:hAnsi="Times New Roman" w:cs="Times New Roman"/>
          <w:color w:val="000000" w:themeColor="text1"/>
          <w:kern w:val="0"/>
          <w:sz w:val="24"/>
          <w:szCs w:val="24"/>
        </w:rPr>
      </w:pPr>
      <w:r w:rsidRPr="001C7B25">
        <w:rPr>
          <w:rFonts w:ascii="Times New Roman" w:eastAsia="Lato-Regular" w:hAnsi="Times New Roman" w:cs="Times New Roman"/>
          <w:color w:val="000000" w:themeColor="text1"/>
          <w:kern w:val="0"/>
          <w:sz w:val="24"/>
          <w:szCs w:val="24"/>
        </w:rPr>
        <w:tab/>
      </w:r>
      <w:r w:rsidR="006C2819" w:rsidRPr="001C7B25">
        <w:rPr>
          <w:rFonts w:ascii="Times New Roman" w:eastAsia="Lato-Regular" w:hAnsi="Times New Roman" w:cs="Times New Roman"/>
          <w:color w:val="000000" w:themeColor="text1"/>
          <w:kern w:val="0"/>
          <w:sz w:val="24"/>
          <w:szCs w:val="24"/>
        </w:rPr>
        <w:t>As a control, a</w:t>
      </w:r>
      <w:r w:rsidRPr="001C7B25">
        <w:rPr>
          <w:rFonts w:ascii="Times New Roman" w:eastAsia="Lato-Regular" w:hAnsi="Times New Roman" w:cs="Times New Roman"/>
          <w:color w:val="000000" w:themeColor="text1"/>
          <w:kern w:val="0"/>
          <w:sz w:val="24"/>
          <w:szCs w:val="24"/>
        </w:rPr>
        <w:t xml:space="preserve">n untreated cohort of patients with decompensated HCV cirrhosis </w:t>
      </w:r>
      <w:r w:rsidR="006C2819" w:rsidRPr="001C7B25">
        <w:rPr>
          <w:rFonts w:ascii="Times New Roman" w:eastAsia="Lato-Regular" w:hAnsi="Times New Roman" w:cs="Times New Roman"/>
          <w:color w:val="000000" w:themeColor="text1"/>
          <w:kern w:val="0"/>
          <w:sz w:val="24"/>
          <w:szCs w:val="24"/>
        </w:rPr>
        <w:t xml:space="preserve">who did not receive DAA therapy and </w:t>
      </w:r>
      <w:r w:rsidR="00445CAD" w:rsidRPr="001C7B25">
        <w:rPr>
          <w:rFonts w:ascii="Times New Roman" w:eastAsia="Lato-Regular" w:hAnsi="Times New Roman" w:cs="Times New Roman"/>
          <w:color w:val="000000" w:themeColor="text1"/>
          <w:kern w:val="0"/>
          <w:sz w:val="24"/>
          <w:szCs w:val="24"/>
        </w:rPr>
        <w:t xml:space="preserve">who </w:t>
      </w:r>
      <w:r w:rsidR="006C2819" w:rsidRPr="001C7B25">
        <w:rPr>
          <w:rFonts w:ascii="Times New Roman" w:eastAsia="Lato-Regular" w:hAnsi="Times New Roman" w:cs="Times New Roman"/>
          <w:color w:val="000000" w:themeColor="text1"/>
          <w:kern w:val="0"/>
          <w:sz w:val="24"/>
          <w:szCs w:val="24"/>
        </w:rPr>
        <w:t xml:space="preserve">underwent symptomatic treatment </w:t>
      </w:r>
      <w:r w:rsidRPr="001C7B25">
        <w:rPr>
          <w:rFonts w:ascii="Times New Roman" w:eastAsia="Lato-Regular" w:hAnsi="Times New Roman" w:cs="Times New Roman"/>
          <w:color w:val="000000" w:themeColor="text1"/>
          <w:kern w:val="0"/>
          <w:sz w:val="24"/>
          <w:szCs w:val="24"/>
        </w:rPr>
        <w:t xml:space="preserve">was studied </w:t>
      </w:r>
      <w:r w:rsidR="00445CAD" w:rsidRPr="001C7B25">
        <w:rPr>
          <w:rFonts w:ascii="Times New Roman" w:eastAsia="Lato-Regular" w:hAnsi="Times New Roman" w:cs="Times New Roman"/>
          <w:color w:val="000000" w:themeColor="text1"/>
          <w:kern w:val="0"/>
          <w:sz w:val="24"/>
          <w:szCs w:val="24"/>
        </w:rPr>
        <w:t xml:space="preserve">at </w:t>
      </w:r>
      <w:r w:rsidR="00BE7509" w:rsidRPr="001C7B25">
        <w:rPr>
          <w:rFonts w:ascii="Times New Roman" w:eastAsia="Lato-Regular" w:hAnsi="Times New Roman" w:cs="Times New Roman"/>
          <w:color w:val="000000" w:themeColor="text1"/>
          <w:kern w:val="0"/>
          <w:sz w:val="24"/>
          <w:szCs w:val="24"/>
        </w:rPr>
        <w:t xml:space="preserve">Ogaki Municipal Hospital in Japan between 1995 and 2007. Of </w:t>
      </w:r>
      <w:r w:rsidR="00445CAD" w:rsidRPr="001C7B25">
        <w:rPr>
          <w:rFonts w:ascii="Times New Roman" w:eastAsia="Lato-Regular" w:hAnsi="Times New Roman" w:cs="Times New Roman"/>
          <w:color w:val="000000" w:themeColor="text1"/>
          <w:kern w:val="0"/>
          <w:sz w:val="24"/>
          <w:szCs w:val="24"/>
        </w:rPr>
        <w:t xml:space="preserve">6,638 </w:t>
      </w:r>
      <w:r w:rsidR="00BE7509" w:rsidRPr="001C7B25">
        <w:rPr>
          <w:rFonts w:ascii="Times New Roman" w:eastAsia="Lato-Regular" w:hAnsi="Times New Roman" w:cs="Times New Roman"/>
          <w:color w:val="000000" w:themeColor="text1"/>
          <w:kern w:val="0"/>
          <w:sz w:val="24"/>
          <w:szCs w:val="24"/>
        </w:rPr>
        <w:t xml:space="preserve">consecutive </w:t>
      </w:r>
      <w:r w:rsidR="00DE3941" w:rsidRPr="001C7B25">
        <w:rPr>
          <w:rFonts w:ascii="Times New Roman" w:eastAsia="Lato-Regular" w:hAnsi="Times New Roman" w:cs="Times New Roman"/>
          <w:color w:val="000000" w:themeColor="text1"/>
          <w:kern w:val="0"/>
          <w:sz w:val="24"/>
          <w:szCs w:val="24"/>
        </w:rPr>
        <w:t xml:space="preserve">patients whose data </w:t>
      </w:r>
      <w:r w:rsidR="00445CAD" w:rsidRPr="001C7B25">
        <w:rPr>
          <w:rFonts w:ascii="Times New Roman" w:eastAsia="Lato-Regular" w:hAnsi="Times New Roman" w:cs="Times New Roman"/>
          <w:color w:val="000000" w:themeColor="text1"/>
          <w:kern w:val="0"/>
          <w:sz w:val="24"/>
          <w:szCs w:val="24"/>
        </w:rPr>
        <w:t xml:space="preserve">were </w:t>
      </w:r>
      <w:r w:rsidR="00DE3941" w:rsidRPr="001C7B25">
        <w:rPr>
          <w:rFonts w:ascii="Times New Roman" w:eastAsia="Lato-Regular" w:hAnsi="Times New Roman" w:cs="Times New Roman"/>
          <w:color w:val="000000" w:themeColor="text1"/>
          <w:kern w:val="0"/>
          <w:sz w:val="24"/>
          <w:szCs w:val="24"/>
        </w:rPr>
        <w:t>collected retrospectively, 530 who had a history of HCC, 1</w:t>
      </w:r>
      <w:r w:rsidR="007B7051" w:rsidRPr="001C7B25">
        <w:rPr>
          <w:rFonts w:ascii="Times New Roman" w:eastAsia="Lato-Regular" w:hAnsi="Times New Roman" w:cs="Times New Roman"/>
          <w:color w:val="000000" w:themeColor="text1"/>
          <w:kern w:val="0"/>
          <w:sz w:val="24"/>
          <w:szCs w:val="24"/>
        </w:rPr>
        <w:t>,</w:t>
      </w:r>
      <w:r w:rsidR="00DE3941" w:rsidRPr="001C7B25">
        <w:rPr>
          <w:rFonts w:ascii="Times New Roman" w:eastAsia="Lato-Regular" w:hAnsi="Times New Roman" w:cs="Times New Roman"/>
          <w:color w:val="000000" w:themeColor="text1"/>
          <w:kern w:val="0"/>
          <w:sz w:val="24"/>
          <w:szCs w:val="24"/>
        </w:rPr>
        <w:t xml:space="preserve">970 who </w:t>
      </w:r>
      <w:r w:rsidR="00383AF3" w:rsidRPr="001C7B25">
        <w:rPr>
          <w:rFonts w:ascii="Times New Roman" w:eastAsia="Lato-Regular" w:hAnsi="Times New Roman" w:cs="Times New Roman"/>
          <w:color w:val="000000" w:themeColor="text1"/>
          <w:kern w:val="0"/>
          <w:sz w:val="24"/>
          <w:szCs w:val="24"/>
        </w:rPr>
        <w:t>received</w:t>
      </w:r>
      <w:r w:rsidR="00DE3941" w:rsidRPr="001C7B25">
        <w:rPr>
          <w:rFonts w:ascii="Times New Roman" w:eastAsia="Lato-Regular" w:hAnsi="Times New Roman" w:cs="Times New Roman"/>
          <w:color w:val="000000" w:themeColor="text1"/>
          <w:kern w:val="0"/>
          <w:sz w:val="24"/>
          <w:szCs w:val="24"/>
        </w:rPr>
        <w:t xml:space="preserve"> antiviral therapy inc</w:t>
      </w:r>
      <w:r w:rsidR="00C77957" w:rsidRPr="001C7B25">
        <w:rPr>
          <w:rFonts w:ascii="Times New Roman" w:eastAsia="Lato-Regular" w:hAnsi="Times New Roman" w:cs="Times New Roman"/>
          <w:color w:val="000000" w:themeColor="text1"/>
          <w:kern w:val="0"/>
          <w:sz w:val="24"/>
          <w:szCs w:val="24"/>
        </w:rPr>
        <w:t xml:space="preserve">luding interferon-based </w:t>
      </w:r>
      <w:r w:rsidR="00DE3941" w:rsidRPr="001C7B25">
        <w:rPr>
          <w:rFonts w:ascii="Times New Roman" w:eastAsia="Lato-Regular" w:hAnsi="Times New Roman" w:cs="Times New Roman"/>
          <w:color w:val="000000" w:themeColor="text1"/>
          <w:kern w:val="0"/>
          <w:sz w:val="24"/>
          <w:szCs w:val="24"/>
        </w:rPr>
        <w:t>therapy, 2</w:t>
      </w:r>
      <w:r w:rsidR="007B7051" w:rsidRPr="001C7B25">
        <w:rPr>
          <w:rFonts w:ascii="Times New Roman" w:eastAsia="Lato-Regular" w:hAnsi="Times New Roman" w:cs="Times New Roman"/>
          <w:color w:val="000000" w:themeColor="text1"/>
          <w:kern w:val="0"/>
          <w:sz w:val="24"/>
          <w:szCs w:val="24"/>
        </w:rPr>
        <w:t>,</w:t>
      </w:r>
      <w:r w:rsidR="00DE3941" w:rsidRPr="001C7B25">
        <w:rPr>
          <w:rFonts w:ascii="Times New Roman" w:eastAsia="Lato-Regular" w:hAnsi="Times New Roman" w:cs="Times New Roman"/>
          <w:color w:val="000000" w:themeColor="text1"/>
          <w:kern w:val="0"/>
          <w:sz w:val="24"/>
          <w:szCs w:val="24"/>
        </w:rPr>
        <w:t xml:space="preserve">562 </w:t>
      </w:r>
      <w:r w:rsidR="00383AF3" w:rsidRPr="001C7B25">
        <w:rPr>
          <w:rFonts w:ascii="Times New Roman" w:eastAsia="Lato-Regular" w:hAnsi="Times New Roman" w:cs="Times New Roman"/>
          <w:color w:val="000000" w:themeColor="text1"/>
          <w:kern w:val="0"/>
          <w:sz w:val="24"/>
          <w:szCs w:val="24"/>
        </w:rPr>
        <w:t xml:space="preserve">who had no history of decompensation, 472 </w:t>
      </w:r>
      <w:r w:rsidR="00445CAD" w:rsidRPr="001C7B25">
        <w:rPr>
          <w:rFonts w:ascii="Times New Roman" w:eastAsia="Lato-Regular" w:hAnsi="Times New Roman" w:cs="Times New Roman"/>
          <w:color w:val="000000" w:themeColor="text1"/>
          <w:kern w:val="0"/>
          <w:sz w:val="24"/>
          <w:szCs w:val="24"/>
        </w:rPr>
        <w:t>who developed</w:t>
      </w:r>
      <w:r w:rsidR="00383AF3" w:rsidRPr="001C7B25">
        <w:rPr>
          <w:rFonts w:ascii="Times New Roman" w:eastAsia="Lato-Regular" w:hAnsi="Times New Roman" w:cs="Times New Roman"/>
          <w:color w:val="000000" w:themeColor="text1"/>
          <w:kern w:val="0"/>
          <w:sz w:val="24"/>
          <w:szCs w:val="24"/>
        </w:rPr>
        <w:t xml:space="preserve"> HCC within 1 year from the date of </w:t>
      </w:r>
      <w:r w:rsidR="00445CAD" w:rsidRPr="001C7B25">
        <w:rPr>
          <w:rFonts w:ascii="Times New Roman" w:eastAsia="Lato-Regular" w:hAnsi="Times New Roman" w:cs="Times New Roman"/>
          <w:color w:val="000000" w:themeColor="text1"/>
          <w:kern w:val="0"/>
          <w:sz w:val="24"/>
          <w:szCs w:val="24"/>
        </w:rPr>
        <w:t xml:space="preserve">DC </w:t>
      </w:r>
      <w:r w:rsidR="00383AF3" w:rsidRPr="001C7B25">
        <w:rPr>
          <w:rFonts w:ascii="Times New Roman" w:eastAsia="Lato-Regular" w:hAnsi="Times New Roman" w:cs="Times New Roman"/>
          <w:color w:val="000000" w:themeColor="text1"/>
          <w:kern w:val="0"/>
          <w:sz w:val="24"/>
          <w:szCs w:val="24"/>
        </w:rPr>
        <w:t>diagnosis, and 483 with incomplete clinical information were excluded. The remaining 621</w:t>
      </w:r>
      <w:r w:rsidR="00445CAD" w:rsidRPr="001C7B25">
        <w:rPr>
          <w:rFonts w:ascii="Times New Roman" w:eastAsia="Lato-Regular" w:hAnsi="Times New Roman" w:cs="Times New Roman"/>
          <w:color w:val="000000" w:themeColor="text1"/>
          <w:kern w:val="0"/>
          <w:sz w:val="24"/>
          <w:szCs w:val="24"/>
        </w:rPr>
        <w:t xml:space="preserve"> </w:t>
      </w:r>
      <w:r w:rsidR="00383AF3" w:rsidRPr="001C7B25">
        <w:rPr>
          <w:rFonts w:ascii="Times New Roman" w:eastAsia="Lato-Regular" w:hAnsi="Times New Roman" w:cs="Times New Roman"/>
          <w:color w:val="000000" w:themeColor="text1"/>
          <w:kern w:val="0"/>
          <w:sz w:val="24"/>
          <w:szCs w:val="24"/>
        </w:rPr>
        <w:t>patients were enrolled as the control “Non-DAA group” (Figure 1).</w:t>
      </w:r>
    </w:p>
    <w:p w14:paraId="01B0514F" w14:textId="61CAEC1D" w:rsidR="007045EE" w:rsidRPr="001C7B25" w:rsidRDefault="00383AF3" w:rsidP="00646B03">
      <w:pPr>
        <w:autoSpaceDE w:val="0"/>
        <w:autoSpaceDN w:val="0"/>
        <w:adjustRightInd w:val="0"/>
        <w:spacing w:line="480" w:lineRule="auto"/>
        <w:jc w:val="left"/>
        <w:rPr>
          <w:rFonts w:ascii="Times New Roman" w:hAnsi="Times New Roman" w:cs="Times New Roman"/>
          <w:color w:val="000000" w:themeColor="text1"/>
          <w:sz w:val="24"/>
          <w:szCs w:val="24"/>
          <w:shd w:val="clear" w:color="auto" w:fill="F5F5F5"/>
        </w:rPr>
      </w:pPr>
      <w:r w:rsidRPr="001C7B25">
        <w:rPr>
          <w:rFonts w:ascii="Times New Roman" w:eastAsia="Lato-Regular" w:hAnsi="Times New Roman" w:cs="Times New Roman"/>
          <w:color w:val="000000" w:themeColor="text1"/>
          <w:kern w:val="0"/>
          <w:sz w:val="24"/>
          <w:szCs w:val="24"/>
        </w:rPr>
        <w:tab/>
        <w:t xml:space="preserve">Observation was started on the </w:t>
      </w:r>
      <w:r w:rsidR="00445CAD" w:rsidRPr="001C7B25">
        <w:rPr>
          <w:rFonts w:ascii="Times New Roman" w:eastAsia="Lato-Regular" w:hAnsi="Times New Roman" w:cs="Times New Roman"/>
          <w:color w:val="000000" w:themeColor="text1"/>
          <w:kern w:val="0"/>
          <w:sz w:val="24"/>
          <w:szCs w:val="24"/>
        </w:rPr>
        <w:t xml:space="preserve">first </w:t>
      </w:r>
      <w:r w:rsidRPr="001C7B25">
        <w:rPr>
          <w:rFonts w:ascii="Times New Roman" w:eastAsia="Lato-Regular" w:hAnsi="Times New Roman" w:cs="Times New Roman"/>
          <w:color w:val="000000" w:themeColor="text1"/>
          <w:kern w:val="0"/>
          <w:sz w:val="24"/>
          <w:szCs w:val="24"/>
        </w:rPr>
        <w:t xml:space="preserve">day of DAA treatment in </w:t>
      </w:r>
      <w:r w:rsidR="00445CAD" w:rsidRPr="001C7B25">
        <w:rPr>
          <w:rFonts w:ascii="Times New Roman" w:eastAsia="Lato-Regular" w:hAnsi="Times New Roman" w:cs="Times New Roman"/>
          <w:color w:val="000000" w:themeColor="text1"/>
          <w:kern w:val="0"/>
          <w:sz w:val="24"/>
          <w:szCs w:val="24"/>
        </w:rPr>
        <w:t xml:space="preserve">the </w:t>
      </w:r>
      <w:r w:rsidRPr="001C7B25">
        <w:rPr>
          <w:rFonts w:ascii="Times New Roman" w:eastAsia="Lato-Regular" w:hAnsi="Times New Roman" w:cs="Times New Roman"/>
          <w:color w:val="000000" w:themeColor="text1"/>
          <w:kern w:val="0"/>
          <w:sz w:val="24"/>
          <w:szCs w:val="24"/>
        </w:rPr>
        <w:t>DAA group</w:t>
      </w:r>
      <w:r w:rsidR="007045EE" w:rsidRPr="001C7B25">
        <w:rPr>
          <w:rFonts w:ascii="Times New Roman" w:eastAsia="Lato-Regular" w:hAnsi="Times New Roman" w:cs="Times New Roman"/>
          <w:color w:val="000000" w:themeColor="text1"/>
          <w:kern w:val="0"/>
          <w:sz w:val="24"/>
          <w:szCs w:val="24"/>
        </w:rPr>
        <w:t xml:space="preserve"> and on the day of </w:t>
      </w:r>
      <w:r w:rsidR="00445CAD" w:rsidRPr="001C7B25">
        <w:rPr>
          <w:rFonts w:ascii="Times New Roman" w:eastAsia="Lato-Regular" w:hAnsi="Times New Roman" w:cs="Times New Roman"/>
          <w:color w:val="000000" w:themeColor="text1"/>
          <w:kern w:val="0"/>
          <w:sz w:val="24"/>
          <w:szCs w:val="24"/>
        </w:rPr>
        <w:t xml:space="preserve">DC </w:t>
      </w:r>
      <w:r w:rsidR="007045EE" w:rsidRPr="001C7B25">
        <w:rPr>
          <w:rFonts w:ascii="Times New Roman" w:eastAsia="Lato-Regular" w:hAnsi="Times New Roman" w:cs="Times New Roman"/>
          <w:color w:val="000000" w:themeColor="text1"/>
          <w:kern w:val="0"/>
          <w:sz w:val="24"/>
          <w:szCs w:val="24"/>
        </w:rPr>
        <w:t xml:space="preserve">diagnosis in </w:t>
      </w:r>
      <w:r w:rsidR="00445CAD" w:rsidRPr="001C7B25">
        <w:rPr>
          <w:rFonts w:ascii="Times New Roman" w:eastAsia="Lato-Regular" w:hAnsi="Times New Roman" w:cs="Times New Roman"/>
          <w:color w:val="000000" w:themeColor="text1"/>
          <w:kern w:val="0"/>
          <w:sz w:val="24"/>
          <w:szCs w:val="24"/>
        </w:rPr>
        <w:t xml:space="preserve">the </w:t>
      </w:r>
      <w:r w:rsidR="007045EE" w:rsidRPr="001C7B25">
        <w:rPr>
          <w:rFonts w:ascii="Times New Roman" w:eastAsia="Lato-Regular" w:hAnsi="Times New Roman" w:cs="Times New Roman"/>
          <w:color w:val="000000" w:themeColor="text1"/>
          <w:kern w:val="0"/>
          <w:sz w:val="24"/>
          <w:szCs w:val="24"/>
        </w:rPr>
        <w:t xml:space="preserve">Non-DAA group. </w:t>
      </w:r>
      <w:r w:rsidR="007045EE" w:rsidRPr="001C7B25">
        <w:rPr>
          <w:rFonts w:ascii="Times New Roman" w:hAnsi="Times New Roman" w:cs="Times New Roman"/>
          <w:color w:val="000000" w:themeColor="text1"/>
          <w:sz w:val="24"/>
          <w:szCs w:val="24"/>
          <w:shd w:val="clear" w:color="auto" w:fill="F5F5F5"/>
        </w:rPr>
        <w:t xml:space="preserve">Observation was terminated on the day of death or </w:t>
      </w:r>
      <w:r w:rsidR="00347DBE" w:rsidRPr="001C7B25">
        <w:rPr>
          <w:rFonts w:ascii="Times New Roman" w:hAnsi="Times New Roman" w:cs="Times New Roman"/>
          <w:color w:val="000000" w:themeColor="text1"/>
          <w:sz w:val="24"/>
          <w:szCs w:val="24"/>
          <w:shd w:val="clear" w:color="auto" w:fill="F5F5F5"/>
        </w:rPr>
        <w:t xml:space="preserve">the </w:t>
      </w:r>
      <w:r w:rsidR="007045EE" w:rsidRPr="001C7B25">
        <w:rPr>
          <w:rFonts w:ascii="Times New Roman" w:hAnsi="Times New Roman" w:cs="Times New Roman"/>
          <w:color w:val="000000" w:themeColor="text1"/>
          <w:sz w:val="24"/>
          <w:szCs w:val="24"/>
          <w:shd w:val="clear" w:color="auto" w:fill="F5F5F5"/>
        </w:rPr>
        <w:t xml:space="preserve">last visit in both groups. </w:t>
      </w:r>
    </w:p>
    <w:p w14:paraId="1E5CED49" w14:textId="0F912F3A" w:rsidR="007045EE" w:rsidRPr="001C7B25" w:rsidRDefault="0028405F" w:rsidP="00AA737F">
      <w:pPr>
        <w:autoSpaceDE w:val="0"/>
        <w:autoSpaceDN w:val="0"/>
        <w:adjustRightInd w:val="0"/>
        <w:spacing w:line="480" w:lineRule="auto"/>
        <w:ind w:firstLine="840"/>
        <w:jc w:val="left"/>
        <w:rPr>
          <w:rFonts w:ascii="Times New Roman" w:hAnsi="Times New Roman" w:cs="Times New Roman"/>
          <w:color w:val="000000" w:themeColor="text1"/>
          <w:kern w:val="0"/>
          <w:sz w:val="24"/>
          <w:szCs w:val="24"/>
        </w:rPr>
      </w:pPr>
      <w:r w:rsidRPr="001C7B25">
        <w:rPr>
          <w:rFonts w:ascii="Times New Roman" w:hAnsi="Times New Roman" w:cs="Times New Roman"/>
          <w:color w:val="000000" w:themeColor="text1"/>
          <w:kern w:val="0"/>
          <w:sz w:val="24"/>
          <w:szCs w:val="24"/>
        </w:rPr>
        <w:t xml:space="preserve">At the start of follow-up, </w:t>
      </w:r>
      <w:r w:rsidRPr="001C7B25">
        <w:rPr>
          <w:rFonts w:ascii="Times New Roman" w:eastAsia="Lato-Regular" w:hAnsi="Times New Roman" w:cs="Times New Roman"/>
          <w:color w:val="000000" w:themeColor="text1"/>
          <w:kern w:val="0"/>
          <w:sz w:val="24"/>
          <w:szCs w:val="24"/>
        </w:rPr>
        <w:t xml:space="preserve">alanine aminotransferase (ALT), aspartate aminotransferase (AST), </w:t>
      </w:r>
      <w:r w:rsidRPr="001C7B25">
        <w:rPr>
          <w:rFonts w:ascii="Times New Roman" w:eastAsia="AdvGulliv-R" w:hAnsi="Times New Roman" w:cs="Times New Roman"/>
          <w:color w:val="000000" w:themeColor="text1"/>
          <w:kern w:val="0"/>
          <w:sz w:val="24"/>
          <w:szCs w:val="24"/>
        </w:rPr>
        <w:t>platelet count, albumin, total bilirubin, prothrombin time-international normalized ratio (PT-INR), creatinine</w:t>
      </w:r>
      <w:r w:rsidRPr="001C7B25">
        <w:rPr>
          <w:rFonts w:ascii="Times New Roman" w:hAnsi="Times New Roman" w:cs="Times New Roman"/>
          <w:color w:val="000000" w:themeColor="text1"/>
          <w:kern w:val="0"/>
          <w:sz w:val="24"/>
          <w:szCs w:val="24"/>
        </w:rPr>
        <w:t xml:space="preserve">, </w:t>
      </w:r>
      <w:r w:rsidRPr="001C7B25">
        <w:rPr>
          <w:rFonts w:ascii="Times New Roman" w:eastAsia="AdvGulliv-R" w:hAnsi="Times New Roman" w:cs="Times New Roman"/>
          <w:color w:val="000000" w:themeColor="text1"/>
          <w:kern w:val="0"/>
          <w:sz w:val="24"/>
          <w:szCs w:val="24"/>
        </w:rPr>
        <w:t>and estimated glomerular filtration rate (eGFR)</w:t>
      </w:r>
      <w:r w:rsidR="00B3115D" w:rsidRPr="001C7B25">
        <w:rPr>
          <w:rFonts w:ascii="Times New Roman" w:eastAsia="AdvGulliv-R" w:hAnsi="Times New Roman" w:cs="Times New Roman"/>
          <w:color w:val="000000" w:themeColor="text1"/>
          <w:kern w:val="0"/>
          <w:sz w:val="24"/>
          <w:szCs w:val="24"/>
        </w:rPr>
        <w:t xml:space="preserve"> [14]</w:t>
      </w:r>
      <w:r w:rsidRPr="001C7B25">
        <w:rPr>
          <w:rFonts w:ascii="Times New Roman" w:eastAsia="AdvGulliv-R" w:hAnsi="Times New Roman" w:cs="Times New Roman"/>
          <w:color w:val="000000" w:themeColor="text1"/>
          <w:kern w:val="0"/>
          <w:sz w:val="24"/>
          <w:szCs w:val="24"/>
        </w:rPr>
        <w:t xml:space="preserve"> were measured. </w:t>
      </w:r>
      <w:r w:rsidR="007045EE" w:rsidRPr="001C7B25">
        <w:rPr>
          <w:rFonts w:ascii="Times New Roman" w:hAnsi="Times New Roman" w:cs="Times New Roman"/>
          <w:color w:val="000000" w:themeColor="text1"/>
          <w:kern w:val="0"/>
          <w:sz w:val="24"/>
          <w:szCs w:val="24"/>
        </w:rPr>
        <w:t xml:space="preserve">The FIB-4 </w:t>
      </w:r>
      <w:r w:rsidR="00472247" w:rsidRPr="001C7B25">
        <w:rPr>
          <w:rFonts w:ascii="Times New Roman" w:hAnsi="Times New Roman" w:cs="Times New Roman"/>
          <w:color w:val="000000" w:themeColor="text1"/>
          <w:kern w:val="0"/>
          <w:sz w:val="24"/>
          <w:szCs w:val="24"/>
        </w:rPr>
        <w:t>index</w:t>
      </w:r>
      <w:r w:rsidR="007045EE" w:rsidRPr="001C7B25">
        <w:rPr>
          <w:rFonts w:ascii="Times New Roman" w:hAnsi="Times New Roman" w:cs="Times New Roman"/>
          <w:color w:val="000000" w:themeColor="text1"/>
          <w:kern w:val="0"/>
          <w:sz w:val="24"/>
          <w:szCs w:val="24"/>
        </w:rPr>
        <w:t xml:space="preserve"> was calculated at the start of follow-up by the following formula: aspartate aminotransferase (AST) concentration (IU/L) × age (years) / (platelet count [10</w:t>
      </w:r>
      <w:r w:rsidR="007045EE" w:rsidRPr="001C7B25">
        <w:rPr>
          <w:rFonts w:ascii="Times New Roman" w:hAnsi="Times New Roman" w:cs="Times New Roman"/>
          <w:color w:val="000000" w:themeColor="text1"/>
          <w:kern w:val="0"/>
          <w:sz w:val="24"/>
          <w:szCs w:val="24"/>
          <w:vertAlign w:val="superscript"/>
        </w:rPr>
        <w:t>9</w:t>
      </w:r>
      <w:r w:rsidR="007045EE" w:rsidRPr="001C7B25">
        <w:rPr>
          <w:rFonts w:ascii="Times New Roman" w:hAnsi="Times New Roman" w:cs="Times New Roman"/>
          <w:color w:val="000000" w:themeColor="text1"/>
          <w:kern w:val="0"/>
          <w:sz w:val="24"/>
          <w:szCs w:val="24"/>
        </w:rPr>
        <w:t xml:space="preserve">/L] × </w:t>
      </w:r>
      <w:r w:rsidR="007045EE" w:rsidRPr="001C7B25">
        <w:rPr>
          <w:rFonts w:ascii="Times New Roman" w:hAnsi="Times New Roman" w:cs="Times New Roman"/>
          <w:color w:val="000000" w:themeColor="text1"/>
          <w:sz w:val="24"/>
          <w:szCs w:val="24"/>
        </w:rPr>
        <w:t>alanine aminotransferase</w:t>
      </w:r>
      <w:r w:rsidR="007045EE" w:rsidRPr="001C7B25">
        <w:rPr>
          <w:rFonts w:ascii="Times New Roman" w:hAnsi="Times New Roman" w:cs="Times New Roman"/>
          <w:color w:val="000000" w:themeColor="text1"/>
          <w:kern w:val="0"/>
          <w:sz w:val="24"/>
          <w:szCs w:val="24"/>
        </w:rPr>
        <w:t xml:space="preserve"> [ALT] concentration</w:t>
      </w:r>
      <w:r w:rsidR="007045EE" w:rsidRPr="001C7B25">
        <w:rPr>
          <w:rFonts w:ascii="Times New Roman" w:hAnsi="Times New Roman" w:cs="Times New Roman"/>
          <w:color w:val="000000" w:themeColor="text1"/>
          <w:kern w:val="0"/>
          <w:sz w:val="24"/>
          <w:szCs w:val="24"/>
          <w:vertAlign w:val="superscript"/>
        </w:rPr>
        <w:t xml:space="preserve">1/2 </w:t>
      </w:r>
      <w:r w:rsidR="007045EE" w:rsidRPr="001C7B25">
        <w:rPr>
          <w:rFonts w:ascii="Times New Roman" w:hAnsi="Times New Roman" w:cs="Times New Roman"/>
          <w:color w:val="000000" w:themeColor="text1"/>
          <w:kern w:val="0"/>
          <w:sz w:val="24"/>
          <w:szCs w:val="24"/>
        </w:rPr>
        <w:t>[IU/L]) [</w:t>
      </w:r>
      <w:r w:rsidR="00B3115D" w:rsidRPr="001C7B25">
        <w:rPr>
          <w:rFonts w:ascii="Times New Roman" w:hAnsi="Times New Roman" w:cs="Times New Roman"/>
          <w:color w:val="000000" w:themeColor="text1"/>
          <w:kern w:val="0"/>
          <w:sz w:val="24"/>
          <w:szCs w:val="24"/>
        </w:rPr>
        <w:t>15</w:t>
      </w:r>
      <w:r w:rsidR="007045EE" w:rsidRPr="001C7B25">
        <w:rPr>
          <w:rFonts w:ascii="Times New Roman" w:hAnsi="Times New Roman" w:cs="Times New Roman"/>
          <w:color w:val="000000" w:themeColor="text1"/>
          <w:kern w:val="0"/>
          <w:sz w:val="24"/>
          <w:szCs w:val="24"/>
        </w:rPr>
        <w:t>]. We used previously published cut-off values for the FIB-4</w:t>
      </w:r>
      <w:r w:rsidR="00866DD5" w:rsidRPr="001C7B25">
        <w:rPr>
          <w:rFonts w:ascii="Times New Roman" w:hAnsi="Times New Roman" w:cs="Times New Roman"/>
          <w:color w:val="000000" w:themeColor="text1"/>
          <w:kern w:val="0"/>
          <w:sz w:val="24"/>
          <w:szCs w:val="24"/>
        </w:rPr>
        <w:t xml:space="preserve"> </w:t>
      </w:r>
      <w:r w:rsidR="00472247" w:rsidRPr="001C7B25">
        <w:rPr>
          <w:rFonts w:ascii="Times New Roman" w:hAnsi="Times New Roman" w:cs="Times New Roman"/>
          <w:color w:val="000000" w:themeColor="text1"/>
          <w:kern w:val="0"/>
          <w:sz w:val="24"/>
          <w:szCs w:val="24"/>
        </w:rPr>
        <w:t>index</w:t>
      </w:r>
      <w:r w:rsidR="007045EE" w:rsidRPr="001C7B25">
        <w:rPr>
          <w:rFonts w:ascii="Times New Roman" w:hAnsi="Times New Roman" w:cs="Times New Roman"/>
          <w:color w:val="000000" w:themeColor="text1"/>
          <w:kern w:val="0"/>
          <w:sz w:val="24"/>
          <w:szCs w:val="24"/>
        </w:rPr>
        <w:t>. Patients with a FIB-4 value &lt;</w:t>
      </w:r>
      <w:r w:rsidR="00347DBE" w:rsidRPr="001C7B25">
        <w:rPr>
          <w:rFonts w:ascii="Times New Roman" w:hAnsi="Times New Roman" w:cs="Times New Roman"/>
          <w:color w:val="000000" w:themeColor="text1"/>
          <w:kern w:val="0"/>
          <w:sz w:val="24"/>
          <w:szCs w:val="24"/>
        </w:rPr>
        <w:t xml:space="preserve"> </w:t>
      </w:r>
      <w:r w:rsidR="007045EE" w:rsidRPr="001C7B25">
        <w:rPr>
          <w:rFonts w:ascii="Times New Roman" w:hAnsi="Times New Roman" w:cs="Times New Roman"/>
          <w:color w:val="000000" w:themeColor="text1"/>
          <w:kern w:val="0"/>
          <w:sz w:val="24"/>
          <w:szCs w:val="24"/>
        </w:rPr>
        <w:t xml:space="preserve">1.45 were </w:t>
      </w:r>
      <w:r w:rsidR="006B3C64" w:rsidRPr="001C7B25">
        <w:rPr>
          <w:rFonts w:ascii="Times New Roman" w:hAnsi="Times New Roman" w:cs="Times New Roman"/>
          <w:color w:val="000000" w:themeColor="text1"/>
          <w:kern w:val="0"/>
          <w:sz w:val="24"/>
          <w:szCs w:val="24"/>
        </w:rPr>
        <w:t xml:space="preserve">defined </w:t>
      </w:r>
      <w:r w:rsidR="00347DBE" w:rsidRPr="001C7B25">
        <w:rPr>
          <w:rFonts w:ascii="Times New Roman" w:hAnsi="Times New Roman" w:cs="Times New Roman"/>
          <w:color w:val="000000" w:themeColor="text1"/>
          <w:kern w:val="0"/>
          <w:sz w:val="24"/>
          <w:szCs w:val="24"/>
        </w:rPr>
        <w:t xml:space="preserve">as </w:t>
      </w:r>
      <w:r w:rsidR="007045EE" w:rsidRPr="001C7B25">
        <w:rPr>
          <w:rFonts w:ascii="Times New Roman" w:hAnsi="Times New Roman" w:cs="Times New Roman"/>
          <w:color w:val="000000" w:themeColor="text1"/>
          <w:kern w:val="0"/>
          <w:sz w:val="24"/>
          <w:szCs w:val="24"/>
        </w:rPr>
        <w:t>having no or moderate fibrosis, while those with a FIB-4 value &gt;</w:t>
      </w:r>
      <w:r w:rsidR="00347DBE" w:rsidRPr="001C7B25">
        <w:rPr>
          <w:rFonts w:ascii="Times New Roman" w:hAnsi="Times New Roman" w:cs="Times New Roman"/>
          <w:color w:val="000000" w:themeColor="text1"/>
          <w:kern w:val="0"/>
          <w:sz w:val="24"/>
          <w:szCs w:val="24"/>
        </w:rPr>
        <w:t xml:space="preserve"> </w:t>
      </w:r>
      <w:r w:rsidR="007045EE" w:rsidRPr="001C7B25">
        <w:rPr>
          <w:rFonts w:ascii="Times New Roman" w:hAnsi="Times New Roman" w:cs="Times New Roman"/>
          <w:color w:val="000000" w:themeColor="text1"/>
          <w:kern w:val="0"/>
          <w:sz w:val="24"/>
          <w:szCs w:val="24"/>
        </w:rPr>
        <w:t>3.25 were defined as having extensive fibrosis or cirrhosis [</w:t>
      </w:r>
      <w:r w:rsidR="00B3115D" w:rsidRPr="001C7B25">
        <w:rPr>
          <w:rFonts w:ascii="Times New Roman" w:hAnsi="Times New Roman" w:cs="Times New Roman"/>
          <w:color w:val="000000" w:themeColor="text1"/>
          <w:kern w:val="0"/>
          <w:sz w:val="24"/>
          <w:szCs w:val="24"/>
        </w:rPr>
        <w:t>16</w:t>
      </w:r>
      <w:r w:rsidR="007045EE" w:rsidRPr="001C7B25">
        <w:rPr>
          <w:rFonts w:ascii="Times New Roman" w:hAnsi="Times New Roman" w:cs="Times New Roman"/>
          <w:color w:val="000000" w:themeColor="text1"/>
          <w:kern w:val="0"/>
          <w:sz w:val="24"/>
          <w:szCs w:val="24"/>
        </w:rPr>
        <w:t xml:space="preserve">]. </w:t>
      </w:r>
      <w:r w:rsidR="007A68BD" w:rsidRPr="001C7B25">
        <w:rPr>
          <w:rFonts w:ascii="Times New Roman" w:hAnsi="Times New Roman" w:cs="Times New Roman"/>
          <w:color w:val="000000" w:themeColor="text1"/>
          <w:kern w:val="0"/>
          <w:sz w:val="24"/>
          <w:szCs w:val="24"/>
        </w:rPr>
        <w:t xml:space="preserve">In addition, </w:t>
      </w:r>
      <w:r w:rsidR="00347DBE" w:rsidRPr="001C7B25">
        <w:rPr>
          <w:rFonts w:ascii="Times New Roman" w:hAnsi="Times New Roman" w:cs="Times New Roman"/>
          <w:color w:val="000000" w:themeColor="text1"/>
          <w:kern w:val="0"/>
          <w:sz w:val="24"/>
          <w:szCs w:val="24"/>
        </w:rPr>
        <w:t xml:space="preserve">the </w:t>
      </w:r>
      <w:r w:rsidRPr="001C7B25">
        <w:rPr>
          <w:rFonts w:ascii="Times New Roman" w:hAnsi="Times New Roman" w:cs="Times New Roman"/>
          <w:color w:val="000000" w:themeColor="text1"/>
          <w:kern w:val="0"/>
          <w:sz w:val="24"/>
          <w:szCs w:val="24"/>
        </w:rPr>
        <w:t xml:space="preserve">Child-Pugh classification, </w:t>
      </w:r>
      <w:r w:rsidR="007A68BD" w:rsidRPr="001C7B25">
        <w:rPr>
          <w:rFonts w:ascii="Times New Roman" w:hAnsi="Times New Roman" w:cs="Times New Roman"/>
          <w:color w:val="000000" w:themeColor="text1"/>
          <w:kern w:val="0"/>
          <w:sz w:val="24"/>
          <w:szCs w:val="24"/>
        </w:rPr>
        <w:t>Child-Pugh score,</w:t>
      </w:r>
      <w:r w:rsidRPr="001C7B25">
        <w:rPr>
          <w:rFonts w:ascii="Times New Roman" w:hAnsi="Times New Roman" w:cs="Times New Roman"/>
          <w:color w:val="000000" w:themeColor="text1"/>
          <w:kern w:val="0"/>
          <w:sz w:val="24"/>
          <w:szCs w:val="24"/>
        </w:rPr>
        <w:t xml:space="preserve"> </w:t>
      </w:r>
      <w:r w:rsidR="0039585B" w:rsidRPr="001C7B25">
        <w:rPr>
          <w:rFonts w:ascii="Times New Roman" w:hAnsi="Times New Roman" w:cs="Times New Roman"/>
          <w:color w:val="000000" w:themeColor="text1"/>
          <w:kern w:val="0"/>
          <w:sz w:val="24"/>
          <w:szCs w:val="24"/>
        </w:rPr>
        <w:t xml:space="preserve">model for end-stage liver disease (MELD) score, </w:t>
      </w:r>
      <w:r w:rsidRPr="001C7B25">
        <w:rPr>
          <w:rFonts w:ascii="Times New Roman" w:hAnsi="Times New Roman" w:cs="Times New Roman"/>
          <w:color w:val="000000" w:themeColor="text1"/>
          <w:kern w:val="0"/>
          <w:sz w:val="24"/>
          <w:szCs w:val="24"/>
        </w:rPr>
        <w:t xml:space="preserve">and </w:t>
      </w:r>
      <w:r w:rsidR="007A68BD" w:rsidRPr="001C7B25">
        <w:rPr>
          <w:rFonts w:ascii="Times New Roman" w:hAnsi="Times New Roman" w:cs="Times New Roman"/>
          <w:color w:val="000000" w:themeColor="text1"/>
          <w:kern w:val="0"/>
          <w:sz w:val="24"/>
          <w:szCs w:val="24"/>
        </w:rPr>
        <w:t>albumin–bilirubin (ALBI)</w:t>
      </w:r>
      <w:r w:rsidRPr="001C7B25">
        <w:rPr>
          <w:rFonts w:ascii="Times New Roman" w:hAnsi="Times New Roman" w:cs="Times New Roman"/>
          <w:color w:val="000000" w:themeColor="text1"/>
          <w:kern w:val="0"/>
          <w:sz w:val="24"/>
          <w:szCs w:val="24"/>
        </w:rPr>
        <w:t xml:space="preserve"> grade were </w:t>
      </w:r>
      <w:r w:rsidR="006B3C64" w:rsidRPr="001C7B25">
        <w:rPr>
          <w:rFonts w:ascii="Times New Roman" w:hAnsi="Times New Roman" w:cs="Times New Roman"/>
          <w:color w:val="000000" w:themeColor="text1"/>
          <w:kern w:val="0"/>
          <w:sz w:val="24"/>
          <w:szCs w:val="24"/>
        </w:rPr>
        <w:t xml:space="preserve">used </w:t>
      </w:r>
      <w:r w:rsidRPr="001C7B25">
        <w:rPr>
          <w:rFonts w:ascii="Times New Roman" w:hAnsi="Times New Roman" w:cs="Times New Roman"/>
          <w:color w:val="000000" w:themeColor="text1"/>
          <w:kern w:val="0"/>
          <w:sz w:val="24"/>
          <w:szCs w:val="24"/>
        </w:rPr>
        <w:t>as indicator</w:t>
      </w:r>
      <w:r w:rsidR="00347DBE" w:rsidRPr="001C7B25">
        <w:rPr>
          <w:rFonts w:ascii="Times New Roman" w:hAnsi="Times New Roman" w:cs="Times New Roman"/>
          <w:color w:val="000000" w:themeColor="text1"/>
          <w:kern w:val="0"/>
          <w:sz w:val="24"/>
          <w:szCs w:val="24"/>
        </w:rPr>
        <w:t>s</w:t>
      </w:r>
      <w:r w:rsidRPr="001C7B25">
        <w:rPr>
          <w:rFonts w:ascii="Times New Roman" w:hAnsi="Times New Roman" w:cs="Times New Roman"/>
          <w:color w:val="000000" w:themeColor="text1"/>
          <w:kern w:val="0"/>
          <w:sz w:val="24"/>
          <w:szCs w:val="24"/>
        </w:rPr>
        <w:t xml:space="preserve"> of liver function</w:t>
      </w:r>
      <w:r w:rsidR="00472247" w:rsidRPr="001C7B25">
        <w:rPr>
          <w:rFonts w:ascii="Times New Roman" w:hAnsi="Times New Roman" w:cs="Times New Roman"/>
          <w:color w:val="000000" w:themeColor="text1"/>
          <w:kern w:val="0"/>
          <w:sz w:val="24"/>
          <w:szCs w:val="24"/>
        </w:rPr>
        <w:t xml:space="preserve"> [3]</w:t>
      </w:r>
      <w:r w:rsidR="00AA737F" w:rsidRPr="001C7B25">
        <w:rPr>
          <w:rFonts w:ascii="Times New Roman" w:hAnsi="Times New Roman" w:cs="Times New Roman"/>
          <w:color w:val="000000" w:themeColor="text1"/>
          <w:kern w:val="0"/>
          <w:sz w:val="24"/>
          <w:szCs w:val="24"/>
        </w:rPr>
        <w:t xml:space="preserve">. </w:t>
      </w:r>
      <w:r w:rsidR="007045EE" w:rsidRPr="001C7B25">
        <w:rPr>
          <w:rFonts w:ascii="Times New Roman" w:hAnsi="Times New Roman" w:cs="Times New Roman"/>
          <w:color w:val="000000" w:themeColor="text1"/>
          <w:kern w:val="0"/>
          <w:sz w:val="24"/>
          <w:szCs w:val="24"/>
        </w:rPr>
        <w:t xml:space="preserve">The </w:t>
      </w:r>
      <w:r w:rsidR="007A68BD" w:rsidRPr="001C7B25">
        <w:rPr>
          <w:rFonts w:ascii="Times New Roman" w:hAnsi="Times New Roman" w:cs="Times New Roman"/>
          <w:color w:val="000000" w:themeColor="text1"/>
          <w:kern w:val="0"/>
          <w:sz w:val="24"/>
          <w:szCs w:val="24"/>
        </w:rPr>
        <w:t>ALBI</w:t>
      </w:r>
      <w:r w:rsidR="007045EE" w:rsidRPr="001C7B25">
        <w:rPr>
          <w:rFonts w:ascii="Times New Roman" w:hAnsi="Times New Roman" w:cs="Times New Roman"/>
          <w:color w:val="000000" w:themeColor="text1"/>
          <w:kern w:val="0"/>
          <w:sz w:val="24"/>
          <w:szCs w:val="24"/>
        </w:rPr>
        <w:t xml:space="preserve"> grade was calculated using the following </w:t>
      </w:r>
      <w:r w:rsidR="00601204" w:rsidRPr="001C7B25">
        <w:rPr>
          <w:rFonts w:ascii="Times New Roman" w:hAnsi="Times New Roman" w:cs="Times New Roman"/>
          <w:color w:val="000000" w:themeColor="text1"/>
          <w:kern w:val="0"/>
          <w:sz w:val="24"/>
          <w:szCs w:val="24"/>
        </w:rPr>
        <w:t xml:space="preserve">linear </w:t>
      </w:r>
      <w:r w:rsidR="007045EE" w:rsidRPr="001C7B25">
        <w:rPr>
          <w:rFonts w:ascii="Times New Roman" w:hAnsi="Times New Roman" w:cs="Times New Roman"/>
          <w:color w:val="000000" w:themeColor="text1"/>
          <w:kern w:val="0"/>
          <w:sz w:val="24"/>
          <w:szCs w:val="24"/>
        </w:rPr>
        <w:t>equation: (log</w:t>
      </w:r>
      <w:r w:rsidR="007045EE" w:rsidRPr="001C7B25">
        <w:rPr>
          <w:rFonts w:ascii="Times New Roman" w:hAnsi="Times New Roman" w:cs="Times New Roman"/>
          <w:color w:val="000000" w:themeColor="text1"/>
          <w:kern w:val="0"/>
          <w:sz w:val="24"/>
          <w:szCs w:val="24"/>
          <w:vertAlign w:val="subscript"/>
        </w:rPr>
        <w:t>10</w:t>
      </w:r>
      <w:r w:rsidR="007045EE" w:rsidRPr="001C7B25">
        <w:rPr>
          <w:rFonts w:ascii="Times New Roman" w:hAnsi="Times New Roman" w:cs="Times New Roman"/>
          <w:color w:val="000000" w:themeColor="text1"/>
          <w:kern w:val="0"/>
          <w:sz w:val="24"/>
          <w:szCs w:val="24"/>
        </w:rPr>
        <w:t xml:space="preserve"> bilirubin μmol/L ×</w:t>
      </w:r>
      <w:r w:rsidR="007045EE" w:rsidRPr="001C7B25">
        <w:rPr>
          <w:rFonts w:ascii="Times New Roman" w:eastAsia="AdvP4C4E74" w:hAnsi="Times New Roman" w:cs="Times New Roman"/>
          <w:color w:val="000000" w:themeColor="text1"/>
          <w:kern w:val="0"/>
          <w:sz w:val="24"/>
          <w:szCs w:val="24"/>
        </w:rPr>
        <w:t xml:space="preserve"> </w:t>
      </w:r>
      <w:r w:rsidR="007045EE" w:rsidRPr="001C7B25">
        <w:rPr>
          <w:rFonts w:ascii="Times New Roman" w:hAnsi="Times New Roman" w:cs="Times New Roman"/>
          <w:color w:val="000000" w:themeColor="text1"/>
          <w:kern w:val="0"/>
          <w:sz w:val="24"/>
          <w:szCs w:val="24"/>
        </w:rPr>
        <w:t>0.66) + (albumin/L × −0.085) [</w:t>
      </w:r>
      <w:r w:rsidR="00B3115D" w:rsidRPr="001C7B25">
        <w:rPr>
          <w:rFonts w:ascii="Times New Roman" w:hAnsi="Times New Roman" w:cs="Times New Roman"/>
          <w:color w:val="000000" w:themeColor="text1"/>
          <w:kern w:val="0"/>
          <w:sz w:val="24"/>
          <w:szCs w:val="24"/>
        </w:rPr>
        <w:t>17</w:t>
      </w:r>
      <w:r w:rsidR="007045EE" w:rsidRPr="001C7B25">
        <w:rPr>
          <w:rFonts w:ascii="Times New Roman" w:hAnsi="Times New Roman" w:cs="Times New Roman"/>
          <w:color w:val="000000" w:themeColor="text1"/>
          <w:kern w:val="0"/>
          <w:sz w:val="24"/>
          <w:szCs w:val="24"/>
        </w:rPr>
        <w:t>]. The continuous linear predictor was further categorized into three different grades for prognostic stratification purposes, as previously described: grade 1 (less than −2.60), grade 2 (between −2.60 and −1.39), and grade 3 (above −1.39) [</w:t>
      </w:r>
      <w:r w:rsidR="00B3115D" w:rsidRPr="001C7B25">
        <w:rPr>
          <w:rFonts w:ascii="Times New Roman" w:hAnsi="Times New Roman" w:cs="Times New Roman"/>
          <w:color w:val="000000" w:themeColor="text1"/>
          <w:kern w:val="0"/>
          <w:sz w:val="24"/>
          <w:szCs w:val="24"/>
        </w:rPr>
        <w:t>17</w:t>
      </w:r>
      <w:r w:rsidR="007045EE" w:rsidRPr="001C7B25">
        <w:rPr>
          <w:rFonts w:ascii="Times New Roman" w:hAnsi="Times New Roman" w:cs="Times New Roman"/>
          <w:color w:val="000000" w:themeColor="text1"/>
          <w:kern w:val="0"/>
          <w:sz w:val="24"/>
          <w:szCs w:val="24"/>
        </w:rPr>
        <w:t>].</w:t>
      </w:r>
      <w:r w:rsidR="00646B03" w:rsidRPr="001C7B25">
        <w:rPr>
          <w:rFonts w:ascii="Times New Roman" w:hAnsi="Times New Roman" w:cs="Times New Roman"/>
          <w:color w:val="000000" w:themeColor="text1"/>
          <w:kern w:val="0"/>
          <w:sz w:val="24"/>
          <w:szCs w:val="24"/>
        </w:rPr>
        <w:t xml:space="preserve"> HCV genotype was assessed using PCR with genotype-specific primers to amplify core gene sequences.</w:t>
      </w:r>
      <w:r w:rsidR="00AA737F" w:rsidRPr="001C7B25">
        <w:rPr>
          <w:rFonts w:ascii="Times New Roman" w:hAnsi="Times New Roman" w:cs="Times New Roman"/>
          <w:color w:val="000000" w:themeColor="text1"/>
          <w:kern w:val="0"/>
          <w:sz w:val="24"/>
          <w:szCs w:val="24"/>
        </w:rPr>
        <w:t xml:space="preserve"> </w:t>
      </w:r>
      <w:r w:rsidR="00646B03" w:rsidRPr="001C7B25">
        <w:rPr>
          <w:rFonts w:ascii="Times New Roman" w:hAnsi="Times New Roman" w:cs="Times New Roman"/>
          <w:color w:val="000000" w:themeColor="text1"/>
          <w:kern w:val="0"/>
          <w:sz w:val="24"/>
          <w:szCs w:val="24"/>
        </w:rPr>
        <w:t xml:space="preserve">SVR was </w:t>
      </w:r>
      <w:r w:rsidR="00601204" w:rsidRPr="001C7B25">
        <w:rPr>
          <w:rFonts w:ascii="Times New Roman" w:hAnsi="Times New Roman" w:cs="Times New Roman"/>
          <w:color w:val="000000" w:themeColor="text1"/>
          <w:kern w:val="0"/>
          <w:sz w:val="24"/>
          <w:szCs w:val="24"/>
        </w:rPr>
        <w:t>defined as undetectable</w:t>
      </w:r>
      <w:r w:rsidR="00646B03" w:rsidRPr="001C7B25">
        <w:rPr>
          <w:rFonts w:ascii="Times New Roman" w:hAnsi="Times New Roman" w:cs="Times New Roman"/>
          <w:color w:val="000000" w:themeColor="text1"/>
          <w:kern w:val="0"/>
          <w:sz w:val="24"/>
          <w:szCs w:val="24"/>
        </w:rPr>
        <w:t xml:space="preserve"> serum HCV RNA at 12 weeks after the end of treatment.</w:t>
      </w:r>
    </w:p>
    <w:p w14:paraId="5F367CE4" w14:textId="1DD905C5" w:rsidR="00E07087" w:rsidRPr="001C7B25" w:rsidRDefault="00E07087" w:rsidP="00D43527">
      <w:pPr>
        <w:autoSpaceDE w:val="0"/>
        <w:autoSpaceDN w:val="0"/>
        <w:adjustRightInd w:val="0"/>
        <w:spacing w:line="480" w:lineRule="auto"/>
        <w:ind w:firstLine="840"/>
        <w:jc w:val="left"/>
        <w:rPr>
          <w:rFonts w:ascii="Times New Roman" w:hAnsi="Times New Roman" w:cs="Times New Roman"/>
          <w:color w:val="000000" w:themeColor="text1"/>
          <w:kern w:val="0"/>
          <w:sz w:val="24"/>
          <w:szCs w:val="24"/>
        </w:rPr>
      </w:pPr>
      <w:r w:rsidRPr="001C7B25">
        <w:rPr>
          <w:rFonts w:ascii="Times New Roman" w:hAnsi="Times New Roman" w:cs="Times New Roman"/>
          <w:color w:val="000000" w:themeColor="text1"/>
          <w:kern w:val="0"/>
          <w:sz w:val="24"/>
          <w:szCs w:val="24"/>
        </w:rPr>
        <w:t>In this study, causes of death were divided into liver-related disease</w:t>
      </w:r>
      <w:r w:rsidR="00601204" w:rsidRPr="001C7B25">
        <w:rPr>
          <w:rFonts w:ascii="Times New Roman" w:hAnsi="Times New Roman" w:cs="Times New Roman"/>
          <w:color w:val="000000" w:themeColor="text1"/>
          <w:kern w:val="0"/>
          <w:sz w:val="24"/>
          <w:szCs w:val="24"/>
        </w:rPr>
        <w:t>,</w:t>
      </w:r>
      <w:r w:rsidRPr="001C7B25">
        <w:rPr>
          <w:rFonts w:ascii="Times New Roman" w:hAnsi="Times New Roman" w:cs="Times New Roman"/>
          <w:color w:val="000000" w:themeColor="text1"/>
          <w:kern w:val="0"/>
          <w:sz w:val="24"/>
          <w:szCs w:val="24"/>
        </w:rPr>
        <w:t xml:space="preserve"> </w:t>
      </w:r>
      <w:r w:rsidR="006B3C64" w:rsidRPr="001C7B25">
        <w:rPr>
          <w:rFonts w:ascii="Times New Roman" w:hAnsi="Times New Roman" w:cs="Times New Roman"/>
          <w:color w:val="000000" w:themeColor="text1"/>
          <w:kern w:val="0"/>
          <w:sz w:val="24"/>
          <w:szCs w:val="24"/>
        </w:rPr>
        <w:t xml:space="preserve">which included </w:t>
      </w:r>
      <w:r w:rsidR="002B5B37" w:rsidRPr="001C7B25">
        <w:rPr>
          <w:rFonts w:ascii="Times New Roman" w:hAnsi="Times New Roman" w:cs="Times New Roman"/>
          <w:color w:val="000000" w:themeColor="text1"/>
          <w:kern w:val="0"/>
          <w:sz w:val="24"/>
          <w:szCs w:val="24"/>
        </w:rPr>
        <w:t xml:space="preserve">HCC, liver failure, and </w:t>
      </w:r>
      <w:r w:rsidR="00601204" w:rsidRPr="001C7B25">
        <w:rPr>
          <w:rFonts w:ascii="Times New Roman" w:hAnsi="Times New Roman" w:cs="Times New Roman"/>
          <w:color w:val="000000" w:themeColor="text1"/>
          <w:kern w:val="0"/>
          <w:sz w:val="24"/>
          <w:szCs w:val="24"/>
        </w:rPr>
        <w:t>variceal</w:t>
      </w:r>
      <w:r w:rsidR="002B5B37" w:rsidRPr="001C7B25">
        <w:rPr>
          <w:rFonts w:ascii="Times New Roman" w:hAnsi="Times New Roman" w:cs="Times New Roman"/>
          <w:color w:val="000000" w:themeColor="text1"/>
          <w:kern w:val="0"/>
          <w:sz w:val="24"/>
          <w:szCs w:val="24"/>
        </w:rPr>
        <w:t xml:space="preserve"> bleeding, </w:t>
      </w:r>
      <w:r w:rsidRPr="001C7B25">
        <w:rPr>
          <w:rFonts w:ascii="Times New Roman" w:hAnsi="Times New Roman" w:cs="Times New Roman"/>
          <w:color w:val="000000" w:themeColor="text1"/>
          <w:kern w:val="0"/>
          <w:sz w:val="24"/>
          <w:szCs w:val="24"/>
        </w:rPr>
        <w:t xml:space="preserve">and </w:t>
      </w:r>
      <w:r w:rsidR="00EF7C51" w:rsidRPr="001C7B25">
        <w:rPr>
          <w:rFonts w:ascii="Times New Roman" w:hAnsi="Times New Roman" w:cs="Times New Roman"/>
          <w:color w:val="000000" w:themeColor="text1"/>
          <w:kern w:val="0"/>
          <w:sz w:val="24"/>
          <w:szCs w:val="24"/>
        </w:rPr>
        <w:t xml:space="preserve">non–liver-related </w:t>
      </w:r>
      <w:r w:rsidRPr="001C7B25">
        <w:rPr>
          <w:rFonts w:ascii="Times New Roman" w:hAnsi="Times New Roman" w:cs="Times New Roman"/>
          <w:color w:val="000000" w:themeColor="text1"/>
          <w:kern w:val="0"/>
          <w:sz w:val="24"/>
          <w:szCs w:val="24"/>
        </w:rPr>
        <w:t xml:space="preserve">disease. </w:t>
      </w:r>
      <w:r w:rsidR="00601204" w:rsidRPr="001C7B25">
        <w:rPr>
          <w:rFonts w:ascii="Times New Roman" w:hAnsi="Times New Roman" w:cs="Times New Roman"/>
          <w:color w:val="000000" w:themeColor="text1"/>
          <w:sz w:val="24"/>
          <w:szCs w:val="24"/>
          <w:shd w:val="clear" w:color="auto" w:fill="F5F5F5"/>
        </w:rPr>
        <w:t>C</w:t>
      </w:r>
      <w:r w:rsidR="00D43527" w:rsidRPr="001C7B25">
        <w:rPr>
          <w:rFonts w:ascii="Times New Roman" w:hAnsi="Times New Roman" w:cs="Times New Roman"/>
          <w:color w:val="000000" w:themeColor="text1"/>
          <w:sz w:val="24"/>
          <w:szCs w:val="24"/>
          <w:shd w:val="clear" w:color="auto" w:fill="F5F5F5"/>
        </w:rPr>
        <w:t>ause</w:t>
      </w:r>
      <w:r w:rsidR="00601204" w:rsidRPr="001C7B25">
        <w:rPr>
          <w:rFonts w:ascii="Times New Roman" w:hAnsi="Times New Roman" w:cs="Times New Roman"/>
          <w:color w:val="000000" w:themeColor="text1"/>
          <w:sz w:val="24"/>
          <w:szCs w:val="24"/>
          <w:shd w:val="clear" w:color="auto" w:fill="F5F5F5"/>
        </w:rPr>
        <w:t>s</w:t>
      </w:r>
      <w:r w:rsidR="00D43527" w:rsidRPr="001C7B25">
        <w:rPr>
          <w:rFonts w:ascii="Times New Roman" w:hAnsi="Times New Roman" w:cs="Times New Roman"/>
          <w:color w:val="000000" w:themeColor="text1"/>
          <w:sz w:val="24"/>
          <w:szCs w:val="24"/>
          <w:shd w:val="clear" w:color="auto" w:fill="F5F5F5"/>
        </w:rPr>
        <w:t xml:space="preserve"> of death in the UK </w:t>
      </w:r>
      <w:r w:rsidR="00601204" w:rsidRPr="001C7B25">
        <w:rPr>
          <w:rFonts w:ascii="Times New Roman" w:hAnsi="Times New Roman" w:cs="Times New Roman"/>
          <w:color w:val="000000" w:themeColor="text1"/>
          <w:sz w:val="24"/>
          <w:szCs w:val="24"/>
          <w:shd w:val="clear" w:color="auto" w:fill="F5F5F5"/>
        </w:rPr>
        <w:t xml:space="preserve">were </w:t>
      </w:r>
      <w:r w:rsidR="00D43527" w:rsidRPr="001C7B25">
        <w:rPr>
          <w:rFonts w:ascii="Times New Roman" w:hAnsi="Times New Roman" w:cs="Times New Roman"/>
          <w:color w:val="000000" w:themeColor="text1"/>
          <w:sz w:val="24"/>
          <w:szCs w:val="24"/>
          <w:shd w:val="clear" w:color="auto" w:fill="F5F5F5"/>
        </w:rPr>
        <w:t xml:space="preserve">determined from </w:t>
      </w:r>
      <w:r w:rsidR="00601204" w:rsidRPr="001C7B25">
        <w:rPr>
          <w:rFonts w:ascii="Times New Roman" w:hAnsi="Times New Roman" w:cs="Times New Roman"/>
          <w:color w:val="000000" w:themeColor="text1"/>
          <w:sz w:val="24"/>
          <w:szCs w:val="24"/>
          <w:shd w:val="clear" w:color="auto" w:fill="F5F5F5"/>
        </w:rPr>
        <w:t xml:space="preserve">the </w:t>
      </w:r>
      <w:r w:rsidR="00D43527" w:rsidRPr="001C7B25">
        <w:rPr>
          <w:rFonts w:ascii="Times New Roman" w:hAnsi="Times New Roman" w:cs="Times New Roman"/>
          <w:color w:val="000000" w:themeColor="text1"/>
          <w:sz w:val="24"/>
          <w:szCs w:val="24"/>
          <w:shd w:val="clear" w:color="auto" w:fill="F5F5F5"/>
        </w:rPr>
        <w:t>description</w:t>
      </w:r>
      <w:r w:rsidR="00601204" w:rsidRPr="001C7B25">
        <w:rPr>
          <w:rFonts w:ascii="Times New Roman" w:hAnsi="Times New Roman" w:cs="Times New Roman"/>
          <w:color w:val="000000" w:themeColor="text1"/>
          <w:sz w:val="24"/>
          <w:szCs w:val="24"/>
          <w:shd w:val="clear" w:color="auto" w:fill="F5F5F5"/>
        </w:rPr>
        <w:t>s</w:t>
      </w:r>
      <w:r w:rsidR="00D43527" w:rsidRPr="001C7B25">
        <w:rPr>
          <w:rFonts w:ascii="Times New Roman" w:hAnsi="Times New Roman" w:cs="Times New Roman"/>
          <w:color w:val="000000" w:themeColor="text1"/>
          <w:sz w:val="24"/>
          <w:szCs w:val="24"/>
          <w:shd w:val="clear" w:color="auto" w:fill="F5F5F5"/>
        </w:rPr>
        <w:t xml:space="preserve"> </w:t>
      </w:r>
      <w:r w:rsidR="006B3C64" w:rsidRPr="001C7B25">
        <w:rPr>
          <w:rFonts w:ascii="Times New Roman" w:hAnsi="Times New Roman" w:cs="Times New Roman"/>
          <w:color w:val="000000" w:themeColor="text1"/>
          <w:sz w:val="24"/>
          <w:szCs w:val="24"/>
          <w:shd w:val="clear" w:color="auto" w:fill="F5F5F5"/>
        </w:rPr>
        <w:t xml:space="preserve">in </w:t>
      </w:r>
      <w:r w:rsidR="00D43527" w:rsidRPr="001C7B25">
        <w:rPr>
          <w:rFonts w:ascii="Times New Roman" w:hAnsi="Times New Roman" w:cs="Times New Roman"/>
          <w:color w:val="000000" w:themeColor="text1"/>
          <w:sz w:val="24"/>
          <w:szCs w:val="24"/>
          <w:shd w:val="clear" w:color="auto" w:fill="F5F5F5"/>
        </w:rPr>
        <w:t xml:space="preserve">the </w:t>
      </w:r>
      <w:r w:rsidR="00F9615A" w:rsidRPr="001C7B25">
        <w:rPr>
          <w:rFonts w:ascii="Times New Roman" w:hAnsi="Times New Roman" w:cs="Times New Roman"/>
          <w:color w:val="000000" w:themeColor="text1"/>
          <w:kern w:val="0"/>
          <w:sz w:val="24"/>
          <w:szCs w:val="24"/>
        </w:rPr>
        <w:t>HCV Research UK</w:t>
      </w:r>
      <w:r w:rsidR="00D43527" w:rsidRPr="001C7B25">
        <w:rPr>
          <w:rFonts w:ascii="Times New Roman" w:hAnsi="Times New Roman" w:cs="Times New Roman"/>
          <w:color w:val="000000" w:themeColor="text1"/>
          <w:sz w:val="24"/>
          <w:szCs w:val="24"/>
          <w:shd w:val="clear" w:color="auto" w:fill="F5F5F5"/>
        </w:rPr>
        <w:t xml:space="preserve"> database</w:t>
      </w:r>
      <w:r w:rsidR="00D43527" w:rsidRPr="001C7B25">
        <w:rPr>
          <w:rFonts w:ascii="Times New Roman" w:hAnsi="Times New Roman" w:cs="Times New Roman"/>
          <w:color w:val="000000" w:themeColor="text1"/>
          <w:kern w:val="0"/>
          <w:sz w:val="24"/>
          <w:szCs w:val="24"/>
        </w:rPr>
        <w:t xml:space="preserve">. </w:t>
      </w:r>
      <w:r w:rsidR="00601204" w:rsidRPr="001C7B25">
        <w:rPr>
          <w:rFonts w:ascii="Times New Roman" w:hAnsi="Times New Roman" w:cs="Times New Roman"/>
          <w:color w:val="000000" w:themeColor="text1"/>
          <w:kern w:val="0"/>
          <w:sz w:val="24"/>
          <w:szCs w:val="24"/>
        </w:rPr>
        <w:t>C</w:t>
      </w:r>
      <w:r w:rsidRPr="001C7B25">
        <w:rPr>
          <w:rFonts w:ascii="Times New Roman" w:hAnsi="Times New Roman" w:cs="Times New Roman"/>
          <w:color w:val="000000" w:themeColor="text1"/>
          <w:kern w:val="0"/>
          <w:sz w:val="24"/>
          <w:szCs w:val="24"/>
        </w:rPr>
        <w:t>ause</w:t>
      </w:r>
      <w:r w:rsidR="00601204" w:rsidRPr="001C7B25">
        <w:rPr>
          <w:rFonts w:ascii="Times New Roman" w:hAnsi="Times New Roman" w:cs="Times New Roman"/>
          <w:color w:val="000000" w:themeColor="text1"/>
          <w:kern w:val="0"/>
          <w:sz w:val="24"/>
          <w:szCs w:val="24"/>
        </w:rPr>
        <w:t>s</w:t>
      </w:r>
      <w:r w:rsidRPr="001C7B25">
        <w:rPr>
          <w:rFonts w:ascii="Times New Roman" w:hAnsi="Times New Roman" w:cs="Times New Roman"/>
          <w:color w:val="000000" w:themeColor="text1"/>
          <w:kern w:val="0"/>
          <w:sz w:val="24"/>
          <w:szCs w:val="24"/>
        </w:rPr>
        <w:t xml:space="preserve"> of death</w:t>
      </w:r>
      <w:r w:rsidR="00D43527" w:rsidRPr="001C7B25">
        <w:rPr>
          <w:rFonts w:ascii="Times New Roman" w:hAnsi="Times New Roman" w:cs="Times New Roman"/>
          <w:color w:val="000000" w:themeColor="text1"/>
          <w:kern w:val="0"/>
          <w:sz w:val="24"/>
          <w:szCs w:val="24"/>
        </w:rPr>
        <w:t xml:space="preserve"> </w:t>
      </w:r>
      <w:r w:rsidR="00601204" w:rsidRPr="001C7B25">
        <w:rPr>
          <w:rFonts w:ascii="Times New Roman" w:hAnsi="Times New Roman" w:cs="Times New Roman"/>
          <w:color w:val="000000" w:themeColor="text1"/>
          <w:kern w:val="0"/>
          <w:sz w:val="24"/>
          <w:szCs w:val="24"/>
        </w:rPr>
        <w:t xml:space="preserve">of patients who died at Ogaki Municipal Hospital </w:t>
      </w:r>
      <w:r w:rsidR="00D43527" w:rsidRPr="001C7B25">
        <w:rPr>
          <w:rFonts w:ascii="Times New Roman" w:hAnsi="Times New Roman" w:cs="Times New Roman"/>
          <w:color w:val="000000" w:themeColor="text1"/>
          <w:kern w:val="0"/>
          <w:sz w:val="24"/>
          <w:szCs w:val="24"/>
        </w:rPr>
        <w:t>in Japan</w:t>
      </w:r>
      <w:r w:rsidRPr="001C7B25">
        <w:rPr>
          <w:rFonts w:ascii="Times New Roman" w:hAnsi="Times New Roman" w:cs="Times New Roman"/>
          <w:color w:val="000000" w:themeColor="text1"/>
          <w:kern w:val="0"/>
          <w:sz w:val="24"/>
          <w:szCs w:val="24"/>
        </w:rPr>
        <w:t xml:space="preserve"> were retrospectively </w:t>
      </w:r>
      <w:r w:rsidR="00601204" w:rsidRPr="001C7B25">
        <w:rPr>
          <w:rFonts w:ascii="Times New Roman" w:hAnsi="Times New Roman" w:cs="Times New Roman"/>
          <w:color w:val="000000" w:themeColor="text1"/>
          <w:kern w:val="0"/>
          <w:sz w:val="24"/>
          <w:szCs w:val="24"/>
        </w:rPr>
        <w:t xml:space="preserve">identified </w:t>
      </w:r>
      <w:r w:rsidRPr="001C7B25">
        <w:rPr>
          <w:rFonts w:ascii="Times New Roman" w:hAnsi="Times New Roman" w:cs="Times New Roman"/>
          <w:color w:val="000000" w:themeColor="text1"/>
          <w:kern w:val="0"/>
          <w:sz w:val="24"/>
          <w:szCs w:val="24"/>
        </w:rPr>
        <w:t>by reviewing medical records</w:t>
      </w:r>
      <w:r w:rsidR="00834A62" w:rsidRPr="001C7B25">
        <w:rPr>
          <w:rFonts w:ascii="Times New Roman" w:hAnsi="Times New Roman" w:cs="Times New Roman"/>
          <w:color w:val="000000" w:themeColor="text1"/>
          <w:kern w:val="0"/>
          <w:sz w:val="24"/>
          <w:szCs w:val="24"/>
        </w:rPr>
        <w:t xml:space="preserve">; for </w:t>
      </w:r>
      <w:r w:rsidRPr="001C7B25">
        <w:rPr>
          <w:rFonts w:ascii="Times New Roman" w:hAnsi="Times New Roman" w:cs="Times New Roman"/>
          <w:color w:val="000000" w:themeColor="text1"/>
          <w:kern w:val="0"/>
          <w:sz w:val="24"/>
          <w:szCs w:val="24"/>
        </w:rPr>
        <w:t>patients who died elsewhere, for example in other hospitals, hospices, or their own home</w:t>
      </w:r>
      <w:r w:rsidR="00834A62" w:rsidRPr="001C7B25">
        <w:rPr>
          <w:rFonts w:ascii="Times New Roman" w:hAnsi="Times New Roman" w:cs="Times New Roman"/>
          <w:color w:val="000000" w:themeColor="text1"/>
          <w:kern w:val="0"/>
          <w:sz w:val="24"/>
          <w:szCs w:val="24"/>
        </w:rPr>
        <w:t>s</w:t>
      </w:r>
      <w:r w:rsidRPr="001C7B25">
        <w:rPr>
          <w:rFonts w:ascii="Times New Roman" w:hAnsi="Times New Roman" w:cs="Times New Roman"/>
          <w:color w:val="000000" w:themeColor="text1"/>
          <w:kern w:val="0"/>
          <w:sz w:val="24"/>
          <w:szCs w:val="24"/>
        </w:rPr>
        <w:t>, information</w:t>
      </w:r>
      <w:r w:rsidR="00D43527" w:rsidRPr="001C7B25">
        <w:rPr>
          <w:rFonts w:ascii="Times New Roman" w:hAnsi="Times New Roman" w:cs="Times New Roman"/>
          <w:color w:val="000000" w:themeColor="text1"/>
          <w:kern w:val="0"/>
          <w:sz w:val="24"/>
          <w:szCs w:val="24"/>
        </w:rPr>
        <w:t xml:space="preserve"> regarding cause of death was obtained from the attending physician or the family physician.</w:t>
      </w:r>
    </w:p>
    <w:p w14:paraId="08B00D9E" w14:textId="4862305D" w:rsidR="00BF7096" w:rsidRPr="001C7B25" w:rsidRDefault="00BF7096" w:rsidP="00E07087">
      <w:pPr>
        <w:autoSpaceDE w:val="0"/>
        <w:autoSpaceDN w:val="0"/>
        <w:adjustRightInd w:val="0"/>
        <w:spacing w:line="480" w:lineRule="auto"/>
        <w:jc w:val="left"/>
        <w:rPr>
          <w:rFonts w:ascii="Times New Roman" w:hAnsi="Times New Roman" w:cs="Times New Roman"/>
          <w:color w:val="000000" w:themeColor="text1"/>
          <w:kern w:val="0"/>
          <w:sz w:val="24"/>
          <w:szCs w:val="24"/>
        </w:rPr>
      </w:pPr>
      <w:r w:rsidRPr="001C7B25">
        <w:rPr>
          <w:rFonts w:ascii="Times New Roman" w:eastAsia="Lato-Regular" w:hAnsi="Times New Roman" w:cs="Times New Roman"/>
          <w:b/>
          <w:color w:val="000000" w:themeColor="text1"/>
          <w:kern w:val="0"/>
          <w:sz w:val="24"/>
          <w:szCs w:val="24"/>
        </w:rPr>
        <w:t>Statistical Analysis</w:t>
      </w:r>
    </w:p>
    <w:p w14:paraId="07F97953" w14:textId="6CC2EE2D" w:rsidR="00BF7096" w:rsidRPr="001C7B25" w:rsidRDefault="00BF7096" w:rsidP="00E07087">
      <w:pPr>
        <w:autoSpaceDE w:val="0"/>
        <w:autoSpaceDN w:val="0"/>
        <w:adjustRightInd w:val="0"/>
        <w:spacing w:line="480" w:lineRule="auto"/>
        <w:ind w:firstLine="840"/>
        <w:jc w:val="left"/>
        <w:rPr>
          <w:rFonts w:ascii="Times New Roman" w:eastAsia="AdvOT678fd422" w:hAnsi="Times New Roman" w:cs="Times New Roman"/>
          <w:color w:val="000000" w:themeColor="text1"/>
          <w:kern w:val="0"/>
          <w:sz w:val="24"/>
          <w:szCs w:val="24"/>
        </w:rPr>
      </w:pPr>
      <w:r w:rsidRPr="001C7B25">
        <w:rPr>
          <w:rFonts w:ascii="Times New Roman" w:eastAsia="AdvOT678fd422" w:hAnsi="Times New Roman" w:cs="Times New Roman"/>
          <w:color w:val="000000" w:themeColor="text1"/>
          <w:kern w:val="0"/>
          <w:sz w:val="24"/>
          <w:szCs w:val="24"/>
        </w:rPr>
        <w:t xml:space="preserve">Continuous variables were expressed as medians (interquartile range). The </w:t>
      </w:r>
      <w:r w:rsidRPr="001C7B25">
        <w:rPr>
          <w:rFonts w:ascii="Times New Roman" w:eastAsia="Lato-Regular" w:hAnsi="Times New Roman" w:cs="Times New Roman"/>
          <w:color w:val="000000" w:themeColor="text1"/>
          <w:kern w:val="0"/>
          <w:sz w:val="24"/>
          <w:szCs w:val="24"/>
        </w:rPr>
        <w:t xml:space="preserve">Mann–Whitney </w:t>
      </w:r>
      <w:r w:rsidRPr="001C7B25">
        <w:rPr>
          <w:rFonts w:ascii="Times New Roman" w:eastAsia="Lato-Regular" w:hAnsi="Times New Roman" w:cs="Times New Roman"/>
          <w:i/>
          <w:iCs/>
          <w:color w:val="000000" w:themeColor="text1"/>
          <w:kern w:val="0"/>
          <w:sz w:val="24"/>
          <w:szCs w:val="24"/>
        </w:rPr>
        <w:t xml:space="preserve">U </w:t>
      </w:r>
      <w:r w:rsidRPr="001C7B25">
        <w:rPr>
          <w:rFonts w:ascii="Times New Roman" w:eastAsia="Lato-Regular" w:hAnsi="Times New Roman" w:cs="Times New Roman"/>
          <w:color w:val="000000" w:themeColor="text1"/>
          <w:kern w:val="0"/>
          <w:sz w:val="24"/>
          <w:szCs w:val="24"/>
        </w:rPr>
        <w:t>test</w:t>
      </w:r>
      <w:r w:rsidRPr="001C7B25">
        <w:rPr>
          <w:rFonts w:ascii="Times New Roman" w:eastAsia="AdvOT678fd422" w:hAnsi="Times New Roman" w:cs="Times New Roman"/>
          <w:color w:val="000000" w:themeColor="text1"/>
          <w:kern w:val="0"/>
          <w:sz w:val="24"/>
          <w:szCs w:val="24"/>
        </w:rPr>
        <w:t xml:space="preserve"> was used </w:t>
      </w:r>
      <w:r w:rsidR="00834A62" w:rsidRPr="001C7B25">
        <w:rPr>
          <w:rFonts w:ascii="Times New Roman" w:eastAsia="AdvOT678fd422" w:hAnsi="Times New Roman" w:cs="Times New Roman"/>
          <w:color w:val="000000" w:themeColor="text1"/>
          <w:kern w:val="0"/>
          <w:sz w:val="24"/>
          <w:szCs w:val="24"/>
        </w:rPr>
        <w:t xml:space="preserve">to assess </w:t>
      </w:r>
      <w:r w:rsidRPr="001C7B25">
        <w:rPr>
          <w:rFonts w:ascii="Times New Roman" w:eastAsia="AdvOT678fd422" w:hAnsi="Times New Roman" w:cs="Times New Roman"/>
          <w:color w:val="000000" w:themeColor="text1"/>
          <w:kern w:val="0"/>
          <w:sz w:val="24"/>
          <w:szCs w:val="24"/>
        </w:rPr>
        <w:t xml:space="preserve">continuous variables. The chi-square test with Fisher’s exact test was used </w:t>
      </w:r>
      <w:r w:rsidR="00834A62" w:rsidRPr="001C7B25">
        <w:rPr>
          <w:rFonts w:ascii="Times New Roman" w:eastAsia="AdvOT678fd422" w:hAnsi="Times New Roman" w:cs="Times New Roman"/>
          <w:color w:val="000000" w:themeColor="text1"/>
          <w:kern w:val="0"/>
          <w:sz w:val="24"/>
          <w:szCs w:val="24"/>
        </w:rPr>
        <w:t xml:space="preserve">to evaluate </w:t>
      </w:r>
      <w:r w:rsidRPr="001C7B25">
        <w:rPr>
          <w:rFonts w:ascii="Times New Roman" w:eastAsia="AdvOT678fd422" w:hAnsi="Times New Roman" w:cs="Times New Roman"/>
          <w:color w:val="000000" w:themeColor="text1"/>
          <w:kern w:val="0"/>
          <w:sz w:val="24"/>
          <w:szCs w:val="24"/>
        </w:rPr>
        <w:t xml:space="preserve">categorical variables. </w:t>
      </w:r>
    </w:p>
    <w:p w14:paraId="77386C79" w14:textId="51DA14DF" w:rsidR="009341FD" w:rsidRPr="001C7B25" w:rsidRDefault="00242208" w:rsidP="00E07087">
      <w:pPr>
        <w:autoSpaceDE w:val="0"/>
        <w:autoSpaceDN w:val="0"/>
        <w:adjustRightInd w:val="0"/>
        <w:spacing w:line="480" w:lineRule="auto"/>
        <w:ind w:firstLine="840"/>
        <w:jc w:val="left"/>
        <w:rPr>
          <w:rFonts w:ascii="Times New Roman" w:eastAsia="AdvOT678fd422" w:hAnsi="Times New Roman" w:cs="Times New Roman"/>
          <w:color w:val="000000" w:themeColor="text1"/>
          <w:kern w:val="0"/>
          <w:sz w:val="24"/>
          <w:szCs w:val="24"/>
        </w:rPr>
      </w:pPr>
      <w:r w:rsidRPr="001C7B25">
        <w:rPr>
          <w:rFonts w:ascii="Times New Roman" w:hAnsi="Times New Roman" w:cs="Times New Roman"/>
          <w:color w:val="000000" w:themeColor="text1"/>
          <w:kern w:val="0"/>
          <w:sz w:val="24"/>
          <w:szCs w:val="24"/>
        </w:rPr>
        <w:t xml:space="preserve">Multivariate </w:t>
      </w:r>
      <w:r w:rsidR="009341FD" w:rsidRPr="001C7B25">
        <w:rPr>
          <w:rFonts w:ascii="Times New Roman" w:hAnsi="Times New Roman" w:cs="Times New Roman"/>
          <w:color w:val="000000" w:themeColor="text1"/>
          <w:kern w:val="0"/>
          <w:sz w:val="24"/>
          <w:szCs w:val="24"/>
        </w:rPr>
        <w:t xml:space="preserve">Cox proportional hazards models </w:t>
      </w:r>
      <w:r w:rsidRPr="001C7B25">
        <w:rPr>
          <w:rFonts w:ascii="Times New Roman" w:hAnsi="Times New Roman" w:cs="Times New Roman"/>
          <w:color w:val="000000" w:themeColor="text1"/>
          <w:kern w:val="0"/>
          <w:sz w:val="24"/>
          <w:szCs w:val="24"/>
        </w:rPr>
        <w:t xml:space="preserve">were used </w:t>
      </w:r>
      <w:r w:rsidR="00834A62" w:rsidRPr="001C7B25">
        <w:rPr>
          <w:rFonts w:ascii="Times New Roman" w:hAnsi="Times New Roman" w:cs="Times New Roman"/>
          <w:color w:val="000000" w:themeColor="text1"/>
          <w:kern w:val="0"/>
          <w:sz w:val="24"/>
          <w:szCs w:val="24"/>
        </w:rPr>
        <w:t>to analyze</w:t>
      </w:r>
      <w:r w:rsidRPr="001C7B25">
        <w:rPr>
          <w:rFonts w:ascii="Times New Roman" w:hAnsi="Times New Roman" w:cs="Times New Roman"/>
          <w:color w:val="000000" w:themeColor="text1"/>
          <w:kern w:val="0"/>
          <w:sz w:val="24"/>
          <w:szCs w:val="24"/>
        </w:rPr>
        <w:t xml:space="preserve"> factors related to </w:t>
      </w:r>
      <w:r w:rsidR="009341FD" w:rsidRPr="001C7B25">
        <w:rPr>
          <w:rFonts w:ascii="Times New Roman" w:hAnsi="Times New Roman" w:cs="Times New Roman"/>
          <w:color w:val="000000" w:themeColor="text1"/>
          <w:kern w:val="0"/>
          <w:sz w:val="24"/>
          <w:szCs w:val="24"/>
        </w:rPr>
        <w:t>all-cause mortality</w:t>
      </w:r>
      <w:r w:rsidRPr="001C7B25">
        <w:rPr>
          <w:rFonts w:ascii="Times New Roman" w:hAnsi="Times New Roman" w:cs="Times New Roman"/>
          <w:color w:val="000000" w:themeColor="text1"/>
          <w:kern w:val="0"/>
          <w:sz w:val="24"/>
          <w:szCs w:val="24"/>
        </w:rPr>
        <w:t xml:space="preserve">. Fine and Gray proportional hazards models for the subdistribution of a competing risk (18) were used </w:t>
      </w:r>
      <w:r w:rsidR="00834A62" w:rsidRPr="001C7B25">
        <w:rPr>
          <w:rFonts w:ascii="Times New Roman" w:hAnsi="Times New Roman" w:cs="Times New Roman"/>
          <w:color w:val="000000" w:themeColor="text1"/>
          <w:kern w:val="0"/>
          <w:sz w:val="24"/>
          <w:szCs w:val="24"/>
        </w:rPr>
        <w:t>to analyze</w:t>
      </w:r>
      <w:r w:rsidRPr="001C7B25">
        <w:rPr>
          <w:rFonts w:ascii="Times New Roman" w:hAnsi="Times New Roman" w:cs="Times New Roman"/>
          <w:color w:val="000000" w:themeColor="text1"/>
          <w:kern w:val="0"/>
          <w:sz w:val="24"/>
          <w:szCs w:val="24"/>
        </w:rPr>
        <w:t xml:space="preserve"> factors related to liver-related and non–liver-related mortality. The cut-off</w:t>
      </w:r>
      <w:r w:rsidR="00834A62" w:rsidRPr="001C7B25">
        <w:rPr>
          <w:rFonts w:ascii="Times New Roman" w:hAnsi="Times New Roman" w:cs="Times New Roman"/>
          <w:color w:val="000000" w:themeColor="text1"/>
          <w:kern w:val="0"/>
          <w:sz w:val="24"/>
          <w:szCs w:val="24"/>
        </w:rPr>
        <w:t>s</w:t>
      </w:r>
      <w:r w:rsidRPr="001C7B25">
        <w:rPr>
          <w:rFonts w:ascii="Times New Roman" w:hAnsi="Times New Roman" w:cs="Times New Roman"/>
          <w:color w:val="000000" w:themeColor="text1"/>
          <w:kern w:val="0"/>
          <w:sz w:val="24"/>
          <w:szCs w:val="24"/>
        </w:rPr>
        <w:t xml:space="preserve"> of </w:t>
      </w:r>
      <w:r w:rsidRPr="001C7B25">
        <w:rPr>
          <w:rStyle w:val="tlid-translation"/>
          <w:rFonts w:ascii="Times New Roman" w:hAnsi="Times New Roman" w:cs="Times New Roman"/>
          <w:color w:val="000000" w:themeColor="text1"/>
          <w:sz w:val="24"/>
          <w:szCs w:val="24"/>
          <w:lang w:val="en"/>
        </w:rPr>
        <w:t>analyzed factors</w:t>
      </w:r>
      <w:r w:rsidRPr="001C7B25">
        <w:rPr>
          <w:rFonts w:ascii="Times New Roman" w:hAnsi="Times New Roman" w:cs="Times New Roman"/>
          <w:color w:val="000000" w:themeColor="text1"/>
          <w:kern w:val="0"/>
          <w:sz w:val="24"/>
          <w:szCs w:val="24"/>
        </w:rPr>
        <w:t xml:space="preserve"> </w:t>
      </w:r>
      <w:r w:rsidR="00834A62" w:rsidRPr="001C7B25">
        <w:rPr>
          <w:rFonts w:ascii="Times New Roman" w:hAnsi="Times New Roman" w:cs="Times New Roman"/>
          <w:color w:val="000000" w:themeColor="text1"/>
          <w:kern w:val="0"/>
          <w:sz w:val="24"/>
          <w:szCs w:val="24"/>
        </w:rPr>
        <w:t xml:space="preserve">were </w:t>
      </w:r>
      <w:r w:rsidRPr="001C7B25">
        <w:rPr>
          <w:rFonts w:ascii="Times New Roman" w:hAnsi="Times New Roman" w:cs="Times New Roman"/>
          <w:color w:val="000000" w:themeColor="text1"/>
          <w:kern w:val="0"/>
          <w:sz w:val="24"/>
          <w:szCs w:val="24"/>
        </w:rPr>
        <w:t>based on previous reports: age, 65 years [12]</w:t>
      </w:r>
      <w:r w:rsidR="00834A62" w:rsidRPr="001C7B25">
        <w:rPr>
          <w:rFonts w:ascii="Times New Roman" w:hAnsi="Times New Roman" w:cs="Times New Roman"/>
          <w:color w:val="000000" w:themeColor="text1"/>
          <w:kern w:val="0"/>
          <w:sz w:val="24"/>
          <w:szCs w:val="24"/>
        </w:rPr>
        <w:t>;</w:t>
      </w:r>
      <w:r w:rsidR="0030527F" w:rsidRPr="001C7B25">
        <w:rPr>
          <w:rFonts w:ascii="Times New Roman" w:hAnsi="Times New Roman" w:cs="Times New Roman"/>
          <w:color w:val="000000" w:themeColor="text1"/>
          <w:kern w:val="0"/>
          <w:sz w:val="24"/>
          <w:szCs w:val="24"/>
        </w:rPr>
        <w:t xml:space="preserve"> </w:t>
      </w:r>
      <w:r w:rsidRPr="001C7B25">
        <w:rPr>
          <w:rFonts w:ascii="Times New Roman" w:hAnsi="Times New Roman" w:cs="Times New Roman"/>
          <w:color w:val="000000" w:themeColor="text1"/>
          <w:kern w:val="0"/>
          <w:sz w:val="24"/>
          <w:szCs w:val="24"/>
        </w:rPr>
        <w:t>ALBI score,</w:t>
      </w:r>
      <w:r w:rsidR="00D27ED0" w:rsidRPr="001C7B25">
        <w:rPr>
          <w:rFonts w:ascii="Times New Roman" w:hAnsi="Times New Roman" w:cs="Times New Roman"/>
          <w:color w:val="000000" w:themeColor="text1"/>
          <w:kern w:val="0"/>
          <w:sz w:val="24"/>
          <w:szCs w:val="24"/>
        </w:rPr>
        <w:t xml:space="preserve"> </w:t>
      </w:r>
      <w:r w:rsidR="004B5D1D" w:rsidRPr="001C7B25">
        <w:rPr>
          <w:rFonts w:ascii="Times New Roman" w:hAnsi="Times New Roman" w:cs="Times New Roman"/>
          <w:color w:val="000000" w:themeColor="text1"/>
          <w:kern w:val="0"/>
          <w:sz w:val="24"/>
          <w:szCs w:val="24"/>
        </w:rPr>
        <w:t>−</w:t>
      </w:r>
      <w:r w:rsidRPr="001C7B25">
        <w:rPr>
          <w:rFonts w:ascii="Times New Roman" w:hAnsi="Times New Roman" w:cs="Times New Roman"/>
          <w:color w:val="000000" w:themeColor="text1"/>
          <w:kern w:val="0"/>
          <w:sz w:val="24"/>
          <w:szCs w:val="24"/>
        </w:rPr>
        <w:t>1.39 [17]</w:t>
      </w:r>
      <w:r w:rsidR="00834A62" w:rsidRPr="001C7B25">
        <w:rPr>
          <w:rFonts w:ascii="Times New Roman" w:hAnsi="Times New Roman" w:cs="Times New Roman"/>
          <w:color w:val="000000" w:themeColor="text1"/>
          <w:kern w:val="0"/>
          <w:sz w:val="24"/>
          <w:szCs w:val="24"/>
        </w:rPr>
        <w:t>;</w:t>
      </w:r>
      <w:r w:rsidRPr="001C7B25">
        <w:rPr>
          <w:rFonts w:ascii="Times New Roman" w:hAnsi="Times New Roman" w:cs="Times New Roman"/>
          <w:color w:val="000000" w:themeColor="text1"/>
          <w:kern w:val="0"/>
          <w:sz w:val="24"/>
          <w:szCs w:val="24"/>
        </w:rPr>
        <w:t xml:space="preserve"> FIB-4 index, 3.25 [16]</w:t>
      </w:r>
      <w:r w:rsidR="00834A62" w:rsidRPr="001C7B25">
        <w:rPr>
          <w:rFonts w:ascii="Times New Roman" w:hAnsi="Times New Roman" w:cs="Times New Roman"/>
          <w:color w:val="000000" w:themeColor="text1"/>
          <w:kern w:val="0"/>
          <w:sz w:val="24"/>
          <w:szCs w:val="24"/>
        </w:rPr>
        <w:t>;</w:t>
      </w:r>
      <w:r w:rsidR="0030527F" w:rsidRPr="001C7B25">
        <w:rPr>
          <w:rFonts w:ascii="Times New Roman" w:hAnsi="Times New Roman" w:cs="Times New Roman"/>
          <w:color w:val="000000" w:themeColor="text1"/>
          <w:kern w:val="0"/>
          <w:sz w:val="24"/>
          <w:szCs w:val="24"/>
        </w:rPr>
        <w:t xml:space="preserve"> and </w:t>
      </w:r>
      <w:r w:rsidRPr="001C7B25">
        <w:rPr>
          <w:rFonts w:ascii="Times New Roman" w:hAnsi="Times New Roman" w:cs="Times New Roman"/>
          <w:color w:val="000000" w:themeColor="text1"/>
          <w:kern w:val="0"/>
          <w:sz w:val="24"/>
          <w:szCs w:val="24"/>
        </w:rPr>
        <w:t xml:space="preserve">eGFR, 60 </w:t>
      </w:r>
      <w:r w:rsidRPr="001C7B25">
        <w:rPr>
          <w:rFonts w:ascii="Times New Roman" w:eastAsia="Yu Gothic" w:hAnsi="Times New Roman" w:cs="Times New Roman"/>
          <w:color w:val="000000" w:themeColor="text1"/>
          <w:kern w:val="0"/>
          <w:sz w:val="24"/>
          <w:szCs w:val="24"/>
        </w:rPr>
        <w:t>mL/min/1.73m</w:t>
      </w:r>
      <w:r w:rsidRPr="001C7B25">
        <w:rPr>
          <w:rFonts w:ascii="Times New Roman" w:eastAsia="Yu Gothic" w:hAnsi="Times New Roman" w:cs="Times New Roman"/>
          <w:color w:val="000000" w:themeColor="text1"/>
          <w:kern w:val="0"/>
          <w:sz w:val="24"/>
          <w:szCs w:val="24"/>
          <w:vertAlign w:val="superscript"/>
        </w:rPr>
        <w:t>2</w:t>
      </w:r>
      <w:r w:rsidRPr="001C7B25">
        <w:rPr>
          <w:rFonts w:ascii="Times New Roman" w:hAnsi="Times New Roman" w:cs="Times New Roman"/>
          <w:color w:val="000000" w:themeColor="text1"/>
          <w:kern w:val="0"/>
          <w:sz w:val="24"/>
          <w:szCs w:val="24"/>
        </w:rPr>
        <w:t xml:space="preserve"> [14].</w:t>
      </w:r>
    </w:p>
    <w:p w14:paraId="2F645D85" w14:textId="750BC4CE" w:rsidR="00646B03" w:rsidRPr="001C7B25" w:rsidRDefault="0038604C" w:rsidP="00242208">
      <w:pPr>
        <w:autoSpaceDE w:val="0"/>
        <w:autoSpaceDN w:val="0"/>
        <w:adjustRightInd w:val="0"/>
        <w:spacing w:line="480" w:lineRule="auto"/>
        <w:ind w:firstLine="840"/>
        <w:jc w:val="left"/>
        <w:rPr>
          <w:rFonts w:ascii="Times New Roman" w:hAnsi="Times New Roman" w:cs="Times New Roman"/>
          <w:color w:val="000000" w:themeColor="text1"/>
          <w:sz w:val="24"/>
          <w:szCs w:val="24"/>
        </w:rPr>
      </w:pPr>
      <w:r w:rsidRPr="001C7B25">
        <w:rPr>
          <w:rFonts w:ascii="Times New Roman" w:hAnsi="Times New Roman" w:cs="Times New Roman"/>
          <w:color w:val="000000" w:themeColor="text1"/>
          <w:kern w:val="0"/>
          <w:sz w:val="24"/>
          <w:szCs w:val="24"/>
        </w:rPr>
        <w:t xml:space="preserve">In this study, we applied </w:t>
      </w:r>
      <w:r w:rsidR="00755378" w:rsidRPr="001C7B25">
        <w:rPr>
          <w:rFonts w:ascii="Times New Roman" w:hAnsi="Times New Roman" w:cs="Times New Roman"/>
          <w:color w:val="000000" w:themeColor="text1"/>
          <w:kern w:val="0"/>
          <w:sz w:val="24"/>
          <w:szCs w:val="24"/>
        </w:rPr>
        <w:t>inverse probability weighting (</w:t>
      </w:r>
      <w:r w:rsidRPr="001C7B25">
        <w:rPr>
          <w:rFonts w:ascii="Times New Roman" w:hAnsi="Times New Roman" w:cs="Times New Roman"/>
          <w:color w:val="000000" w:themeColor="text1"/>
          <w:kern w:val="0"/>
          <w:sz w:val="24"/>
          <w:szCs w:val="24"/>
        </w:rPr>
        <w:t>IPW</w:t>
      </w:r>
      <w:r w:rsidR="00755378" w:rsidRPr="001C7B25">
        <w:rPr>
          <w:rFonts w:ascii="Times New Roman" w:hAnsi="Times New Roman" w:cs="Times New Roman"/>
          <w:color w:val="000000" w:themeColor="text1"/>
          <w:kern w:val="0"/>
          <w:sz w:val="24"/>
          <w:szCs w:val="24"/>
        </w:rPr>
        <w:t>)</w:t>
      </w:r>
      <w:r w:rsidRPr="001C7B25">
        <w:rPr>
          <w:rFonts w:ascii="Times New Roman" w:hAnsi="Times New Roman" w:cs="Times New Roman"/>
          <w:color w:val="000000" w:themeColor="text1"/>
          <w:kern w:val="0"/>
          <w:sz w:val="24"/>
          <w:szCs w:val="24"/>
        </w:rPr>
        <w:t xml:space="preserve"> to the Kaplan–Meier method for all-cause mortality</w:t>
      </w:r>
      <w:r w:rsidR="00834A62" w:rsidRPr="001C7B25">
        <w:rPr>
          <w:rFonts w:ascii="Times New Roman" w:hAnsi="Times New Roman" w:cs="Times New Roman"/>
          <w:color w:val="000000" w:themeColor="text1"/>
          <w:kern w:val="0"/>
          <w:sz w:val="24"/>
          <w:szCs w:val="24"/>
        </w:rPr>
        <w:t>,</w:t>
      </w:r>
      <w:r w:rsidR="0030527F" w:rsidRPr="001C7B25">
        <w:rPr>
          <w:rFonts w:ascii="Times New Roman" w:hAnsi="Times New Roman" w:cs="Times New Roman"/>
          <w:color w:val="000000" w:themeColor="text1"/>
          <w:kern w:val="0"/>
          <w:sz w:val="24"/>
          <w:szCs w:val="24"/>
        </w:rPr>
        <w:t xml:space="preserve"> including liver-related and non–liver-related mortality</w:t>
      </w:r>
      <w:r w:rsidR="00834A62" w:rsidRPr="001C7B25">
        <w:rPr>
          <w:rFonts w:ascii="Times New Roman" w:hAnsi="Times New Roman" w:cs="Times New Roman"/>
          <w:color w:val="000000" w:themeColor="text1"/>
          <w:kern w:val="0"/>
          <w:sz w:val="24"/>
          <w:szCs w:val="24"/>
        </w:rPr>
        <w:t>,</w:t>
      </w:r>
      <w:r w:rsidRPr="001C7B25">
        <w:rPr>
          <w:rFonts w:ascii="Times New Roman" w:hAnsi="Times New Roman" w:cs="Times New Roman"/>
          <w:color w:val="000000" w:themeColor="text1"/>
          <w:kern w:val="0"/>
          <w:sz w:val="24"/>
          <w:szCs w:val="24"/>
        </w:rPr>
        <w:t xml:space="preserve"> to adjust for potential imbalances</w:t>
      </w:r>
      <w:r w:rsidR="00B3115D" w:rsidRPr="001C7B25">
        <w:rPr>
          <w:rFonts w:ascii="Times New Roman" w:hAnsi="Times New Roman" w:cs="Times New Roman"/>
          <w:color w:val="000000" w:themeColor="text1"/>
          <w:kern w:val="0"/>
          <w:sz w:val="24"/>
          <w:szCs w:val="24"/>
        </w:rPr>
        <w:t xml:space="preserve"> [</w:t>
      </w:r>
      <w:r w:rsidR="00472247" w:rsidRPr="001C7B25">
        <w:rPr>
          <w:rFonts w:ascii="Times New Roman" w:hAnsi="Times New Roman" w:cs="Times New Roman"/>
          <w:color w:val="000000" w:themeColor="text1"/>
          <w:kern w:val="0"/>
          <w:sz w:val="24"/>
          <w:szCs w:val="24"/>
        </w:rPr>
        <w:t>19</w:t>
      </w:r>
      <w:r w:rsidR="00B3115D" w:rsidRPr="001C7B25">
        <w:rPr>
          <w:rFonts w:ascii="Times New Roman" w:hAnsi="Times New Roman" w:cs="Times New Roman"/>
          <w:color w:val="000000" w:themeColor="text1"/>
          <w:kern w:val="0"/>
          <w:sz w:val="24"/>
          <w:szCs w:val="24"/>
        </w:rPr>
        <w:t>]</w:t>
      </w:r>
      <w:r w:rsidRPr="001C7B25">
        <w:rPr>
          <w:rFonts w:ascii="Times New Roman" w:hAnsi="Times New Roman" w:cs="Times New Roman"/>
          <w:color w:val="000000" w:themeColor="text1"/>
          <w:kern w:val="0"/>
          <w:sz w:val="24"/>
          <w:szCs w:val="24"/>
        </w:rPr>
        <w:t xml:space="preserve">. SVR </w:t>
      </w:r>
      <w:r w:rsidR="008000B4" w:rsidRPr="001C7B25">
        <w:rPr>
          <w:rFonts w:ascii="Times New Roman" w:hAnsi="Times New Roman" w:cs="Times New Roman"/>
          <w:color w:val="000000" w:themeColor="text1"/>
          <w:kern w:val="0"/>
          <w:sz w:val="24"/>
          <w:szCs w:val="24"/>
        </w:rPr>
        <w:t>and n</w:t>
      </w:r>
      <w:r w:rsidRPr="001C7B25">
        <w:rPr>
          <w:rFonts w:ascii="Times New Roman" w:hAnsi="Times New Roman" w:cs="Times New Roman"/>
          <w:color w:val="000000" w:themeColor="text1"/>
          <w:kern w:val="0"/>
          <w:sz w:val="24"/>
          <w:szCs w:val="24"/>
        </w:rPr>
        <w:t>on-SVR probabilities (propensit</w:t>
      </w:r>
      <w:r w:rsidR="00834A62" w:rsidRPr="001C7B25">
        <w:rPr>
          <w:rFonts w:ascii="Times New Roman" w:hAnsi="Times New Roman" w:cs="Times New Roman"/>
          <w:color w:val="000000" w:themeColor="text1"/>
          <w:kern w:val="0"/>
          <w:sz w:val="24"/>
          <w:szCs w:val="24"/>
        </w:rPr>
        <w:t>ies</w:t>
      </w:r>
      <w:r w:rsidRPr="001C7B25">
        <w:rPr>
          <w:rFonts w:ascii="Times New Roman" w:hAnsi="Times New Roman" w:cs="Times New Roman"/>
          <w:color w:val="000000" w:themeColor="text1"/>
          <w:kern w:val="0"/>
          <w:sz w:val="24"/>
          <w:szCs w:val="24"/>
        </w:rPr>
        <w:t xml:space="preserve">) were calculated using logistic regression analysis with a set of covariates deemed likely to have affected mortality in patients with DC; these included age, sex, presence or absence of </w:t>
      </w:r>
      <w:r w:rsidR="00F83C15" w:rsidRPr="001C7B25">
        <w:rPr>
          <w:rFonts w:ascii="Times New Roman" w:eastAsia="Yu Gothic" w:hAnsi="Times New Roman" w:cs="Times New Roman"/>
          <w:color w:val="000000" w:themeColor="text1"/>
          <w:kern w:val="0"/>
          <w:sz w:val="24"/>
          <w:szCs w:val="24"/>
        </w:rPr>
        <w:t>d</w:t>
      </w:r>
      <w:r w:rsidRPr="001C7B25">
        <w:rPr>
          <w:rFonts w:ascii="Times New Roman" w:eastAsia="Yu Gothic" w:hAnsi="Times New Roman" w:cs="Times New Roman"/>
          <w:color w:val="000000" w:themeColor="text1"/>
          <w:kern w:val="0"/>
          <w:sz w:val="24"/>
          <w:szCs w:val="24"/>
        </w:rPr>
        <w:t>iabetes mellitus</w:t>
      </w:r>
      <w:r w:rsidRPr="001C7B25">
        <w:rPr>
          <w:rFonts w:ascii="Times New Roman" w:hAnsi="Times New Roman" w:cs="Times New Roman"/>
          <w:color w:val="000000" w:themeColor="text1"/>
          <w:kern w:val="0"/>
          <w:sz w:val="24"/>
          <w:szCs w:val="24"/>
        </w:rPr>
        <w:t xml:space="preserve">, presence or absence of alcohol abuse, FIB-4 index, </w:t>
      </w:r>
      <w:r w:rsidR="00755378" w:rsidRPr="001C7B25">
        <w:rPr>
          <w:rFonts w:ascii="Times New Roman" w:hAnsi="Times New Roman" w:cs="Times New Roman"/>
          <w:color w:val="000000" w:themeColor="text1"/>
          <w:kern w:val="0"/>
          <w:sz w:val="24"/>
          <w:szCs w:val="24"/>
        </w:rPr>
        <w:t>ALBI score, and eGFR</w:t>
      </w:r>
      <w:r w:rsidRPr="001C7B25">
        <w:rPr>
          <w:rFonts w:ascii="Times New Roman" w:hAnsi="Times New Roman" w:cs="Times New Roman"/>
          <w:color w:val="000000" w:themeColor="text1"/>
          <w:kern w:val="0"/>
          <w:sz w:val="24"/>
          <w:szCs w:val="24"/>
        </w:rPr>
        <w:t xml:space="preserve">. </w:t>
      </w:r>
      <w:r w:rsidR="00755378" w:rsidRPr="001C7B25">
        <w:rPr>
          <w:rFonts w:ascii="Times New Roman" w:hAnsi="Times New Roman" w:cs="Times New Roman"/>
          <w:color w:val="000000" w:themeColor="text1"/>
          <w:kern w:val="0"/>
          <w:sz w:val="24"/>
          <w:szCs w:val="24"/>
        </w:rPr>
        <w:t xml:space="preserve">All of these variables were included, regardless of statistical significance. The </w:t>
      </w:r>
      <w:r w:rsidR="00864F08" w:rsidRPr="001C7B25">
        <w:rPr>
          <w:rFonts w:ascii="Times New Roman" w:hAnsi="Times New Roman" w:cs="Times New Roman"/>
          <w:color w:val="000000" w:themeColor="text1"/>
          <w:kern w:val="0"/>
          <w:sz w:val="24"/>
          <w:szCs w:val="24"/>
        </w:rPr>
        <w:t xml:space="preserve">inverse probability weights </w:t>
      </w:r>
      <w:r w:rsidR="00755378" w:rsidRPr="001C7B25">
        <w:rPr>
          <w:rFonts w:ascii="Times New Roman" w:hAnsi="Times New Roman" w:cs="Times New Roman"/>
          <w:color w:val="000000" w:themeColor="text1"/>
          <w:kern w:val="0"/>
          <w:sz w:val="24"/>
          <w:szCs w:val="24"/>
        </w:rPr>
        <w:t>were defined as 1/</w:t>
      </w:r>
      <w:r w:rsidR="00635F83" w:rsidRPr="001C7B25">
        <w:rPr>
          <w:rFonts w:ascii="Times New Roman" w:hAnsi="Times New Roman" w:cs="Times New Roman"/>
          <w:color w:val="000000" w:themeColor="text1"/>
          <w:kern w:val="0"/>
          <w:sz w:val="24"/>
          <w:szCs w:val="24"/>
        </w:rPr>
        <w:t xml:space="preserve"> </w:t>
      </w:r>
      <w:r w:rsidR="00755378" w:rsidRPr="001C7B25">
        <w:rPr>
          <w:rFonts w:ascii="Times New Roman" w:hAnsi="Times New Roman" w:cs="Times New Roman"/>
          <w:color w:val="000000" w:themeColor="text1"/>
          <w:kern w:val="0"/>
          <w:sz w:val="24"/>
          <w:szCs w:val="24"/>
        </w:rPr>
        <w:t xml:space="preserve">(propensity score) for the </w:t>
      </w:r>
      <w:r w:rsidR="008000B4" w:rsidRPr="001C7B25">
        <w:rPr>
          <w:rFonts w:ascii="Times New Roman" w:hAnsi="Times New Roman" w:cs="Times New Roman"/>
          <w:color w:val="000000" w:themeColor="text1"/>
          <w:kern w:val="0"/>
          <w:sz w:val="24"/>
          <w:szCs w:val="24"/>
        </w:rPr>
        <w:t xml:space="preserve">DAA </w:t>
      </w:r>
      <w:r w:rsidR="00755378" w:rsidRPr="001C7B25">
        <w:rPr>
          <w:rFonts w:ascii="Times New Roman" w:hAnsi="Times New Roman" w:cs="Times New Roman"/>
          <w:color w:val="000000" w:themeColor="text1"/>
          <w:kern w:val="0"/>
          <w:sz w:val="24"/>
          <w:szCs w:val="24"/>
        </w:rPr>
        <w:t>group and 1/</w:t>
      </w:r>
      <w:r w:rsidR="00635F83" w:rsidRPr="001C7B25">
        <w:rPr>
          <w:rFonts w:ascii="Times New Roman" w:hAnsi="Times New Roman" w:cs="Times New Roman"/>
          <w:color w:val="000000" w:themeColor="text1"/>
          <w:kern w:val="0"/>
          <w:sz w:val="24"/>
          <w:szCs w:val="24"/>
        </w:rPr>
        <w:t xml:space="preserve"> </w:t>
      </w:r>
      <w:r w:rsidR="00755378" w:rsidRPr="001C7B25">
        <w:rPr>
          <w:rFonts w:ascii="Times New Roman" w:hAnsi="Times New Roman" w:cs="Times New Roman"/>
          <w:color w:val="000000" w:themeColor="text1"/>
          <w:kern w:val="0"/>
          <w:sz w:val="24"/>
          <w:szCs w:val="24"/>
        </w:rPr>
        <w:t xml:space="preserve">(1−propensity score) for </w:t>
      </w:r>
      <w:r w:rsidR="00834A62" w:rsidRPr="001C7B25">
        <w:rPr>
          <w:rFonts w:ascii="Times New Roman" w:hAnsi="Times New Roman" w:cs="Times New Roman"/>
          <w:color w:val="000000" w:themeColor="text1"/>
          <w:kern w:val="0"/>
          <w:sz w:val="24"/>
          <w:szCs w:val="24"/>
        </w:rPr>
        <w:t xml:space="preserve">the </w:t>
      </w:r>
      <w:r w:rsidR="00265597" w:rsidRPr="001C7B25">
        <w:rPr>
          <w:rFonts w:ascii="Times New Roman" w:hAnsi="Times New Roman" w:cs="Times New Roman"/>
          <w:color w:val="000000" w:themeColor="text1"/>
          <w:kern w:val="0"/>
          <w:sz w:val="24"/>
          <w:szCs w:val="24"/>
        </w:rPr>
        <w:t>N</w:t>
      </w:r>
      <w:r w:rsidR="00755378" w:rsidRPr="001C7B25">
        <w:rPr>
          <w:rFonts w:ascii="Times New Roman" w:hAnsi="Times New Roman" w:cs="Times New Roman"/>
          <w:color w:val="000000" w:themeColor="text1"/>
          <w:kern w:val="0"/>
          <w:sz w:val="24"/>
          <w:szCs w:val="24"/>
        </w:rPr>
        <w:t>on-</w:t>
      </w:r>
      <w:r w:rsidR="008000B4" w:rsidRPr="001C7B25">
        <w:rPr>
          <w:rFonts w:ascii="Times New Roman" w:hAnsi="Times New Roman" w:cs="Times New Roman"/>
          <w:color w:val="000000" w:themeColor="text1"/>
          <w:kern w:val="0"/>
          <w:sz w:val="24"/>
          <w:szCs w:val="24"/>
        </w:rPr>
        <w:t xml:space="preserve">DAA </w:t>
      </w:r>
      <w:r w:rsidR="00755378" w:rsidRPr="001C7B25">
        <w:rPr>
          <w:rFonts w:ascii="Times New Roman" w:hAnsi="Times New Roman" w:cs="Times New Roman"/>
          <w:color w:val="000000" w:themeColor="text1"/>
          <w:kern w:val="0"/>
          <w:sz w:val="24"/>
          <w:szCs w:val="24"/>
        </w:rPr>
        <w:t xml:space="preserve">group. </w:t>
      </w:r>
      <w:r w:rsidR="00F83C15" w:rsidRPr="001C7B25">
        <w:rPr>
          <w:rFonts w:ascii="Times New Roman" w:hAnsi="Times New Roman" w:cs="Times New Roman"/>
          <w:color w:val="000000" w:themeColor="text1"/>
          <w:kern w:val="0"/>
          <w:sz w:val="24"/>
          <w:szCs w:val="24"/>
        </w:rPr>
        <w:t xml:space="preserve">Actuarial analysis </w:t>
      </w:r>
      <w:r w:rsidR="00EF45F4">
        <w:rPr>
          <w:rFonts w:ascii="Times New Roman" w:hAnsi="Times New Roman" w:cs="Times New Roman"/>
          <w:color w:val="000000" w:themeColor="text1"/>
          <w:kern w:val="0"/>
          <w:sz w:val="24"/>
          <w:szCs w:val="24"/>
        </w:rPr>
        <w:t xml:space="preserve">of </w:t>
      </w:r>
      <w:r w:rsidR="00F83C15" w:rsidRPr="001C7B25">
        <w:rPr>
          <w:rFonts w:ascii="Times New Roman" w:hAnsi="Times New Roman" w:cs="Times New Roman"/>
          <w:color w:val="000000" w:themeColor="text1"/>
          <w:kern w:val="0"/>
          <w:sz w:val="24"/>
          <w:szCs w:val="24"/>
        </w:rPr>
        <w:t xml:space="preserve">liver-related </w:t>
      </w:r>
      <w:r w:rsidR="00834A62" w:rsidRPr="001C7B25">
        <w:rPr>
          <w:rFonts w:ascii="Times New Roman" w:hAnsi="Times New Roman" w:cs="Times New Roman"/>
          <w:color w:val="000000" w:themeColor="text1"/>
          <w:kern w:val="0"/>
          <w:sz w:val="24"/>
          <w:szCs w:val="24"/>
        </w:rPr>
        <w:t xml:space="preserve">and </w:t>
      </w:r>
      <w:r w:rsidR="00F83C15" w:rsidRPr="001C7B25">
        <w:rPr>
          <w:rFonts w:ascii="Times New Roman" w:hAnsi="Times New Roman" w:cs="Times New Roman"/>
          <w:color w:val="000000" w:themeColor="text1"/>
          <w:kern w:val="0"/>
          <w:sz w:val="24"/>
          <w:szCs w:val="24"/>
        </w:rPr>
        <w:t>non–liver-related mortality</w:t>
      </w:r>
      <w:r w:rsidR="00EF45F4">
        <w:rPr>
          <w:rFonts w:ascii="Times New Roman" w:hAnsi="Times New Roman" w:cs="Times New Roman"/>
          <w:color w:val="000000" w:themeColor="text1"/>
          <w:kern w:val="0"/>
          <w:sz w:val="24"/>
          <w:szCs w:val="24"/>
        </w:rPr>
        <w:t xml:space="preserve"> </w:t>
      </w:r>
      <w:r w:rsidR="00F83C15" w:rsidRPr="001C7B25">
        <w:rPr>
          <w:rFonts w:ascii="Times New Roman" w:hAnsi="Times New Roman" w:cs="Times New Roman"/>
          <w:color w:val="000000" w:themeColor="text1"/>
          <w:kern w:val="0"/>
          <w:sz w:val="24"/>
          <w:szCs w:val="24"/>
        </w:rPr>
        <w:t>was performed using the cumulative incidence with the IPW competing risks method</w:t>
      </w:r>
      <w:r w:rsidR="0014664C" w:rsidRPr="001C7B25">
        <w:rPr>
          <w:rFonts w:ascii="Times New Roman" w:hAnsi="Times New Roman" w:cs="Times New Roman"/>
          <w:color w:val="000000" w:themeColor="text1"/>
          <w:sz w:val="24"/>
          <w:szCs w:val="24"/>
        </w:rPr>
        <w:t xml:space="preserve"> [20]</w:t>
      </w:r>
      <w:r w:rsidR="00F83C15" w:rsidRPr="001C7B25">
        <w:rPr>
          <w:rFonts w:ascii="Times New Roman" w:hAnsi="Times New Roman" w:cs="Times New Roman"/>
          <w:color w:val="000000" w:themeColor="text1"/>
          <w:kern w:val="0"/>
          <w:sz w:val="24"/>
          <w:szCs w:val="24"/>
        </w:rPr>
        <w:t xml:space="preserve">, and differences were tested using </w:t>
      </w:r>
      <w:r w:rsidR="00F83C15" w:rsidRPr="001C7B25">
        <w:rPr>
          <w:rFonts w:ascii="Times New Roman" w:hAnsi="Times New Roman" w:cs="Times New Roman"/>
          <w:color w:val="000000" w:themeColor="text1"/>
          <w:sz w:val="24"/>
          <w:szCs w:val="24"/>
        </w:rPr>
        <w:t>IPW</w:t>
      </w:r>
      <w:r w:rsidR="00DE2754" w:rsidRPr="001C7B25">
        <w:rPr>
          <w:rFonts w:ascii="Times New Roman" w:hAnsi="Times New Roman" w:cs="Times New Roman"/>
          <w:color w:val="000000" w:themeColor="text1"/>
          <w:sz w:val="24"/>
          <w:szCs w:val="24"/>
        </w:rPr>
        <w:t>-</w:t>
      </w:r>
      <w:r w:rsidR="00F83C15" w:rsidRPr="001C7B25">
        <w:rPr>
          <w:rFonts w:ascii="Times New Roman" w:hAnsi="Times New Roman" w:cs="Times New Roman"/>
          <w:color w:val="000000" w:themeColor="text1"/>
          <w:sz w:val="24"/>
          <w:szCs w:val="24"/>
        </w:rPr>
        <w:t>adjusted log-rank test</w:t>
      </w:r>
      <w:r w:rsidR="00F83C15" w:rsidRPr="001C7B25">
        <w:rPr>
          <w:rFonts w:ascii="Times New Roman" w:hAnsi="Times New Roman" w:cs="Times New Roman"/>
          <w:color w:val="000000" w:themeColor="text1"/>
          <w:kern w:val="0"/>
          <w:sz w:val="24"/>
          <w:szCs w:val="24"/>
        </w:rPr>
        <w:t>.</w:t>
      </w:r>
    </w:p>
    <w:p w14:paraId="1392F5A7" w14:textId="2B3CBE4B" w:rsidR="00CE1143" w:rsidRPr="001C7B25" w:rsidRDefault="00CE1143" w:rsidP="00755378">
      <w:pPr>
        <w:autoSpaceDE w:val="0"/>
        <w:autoSpaceDN w:val="0"/>
        <w:adjustRightInd w:val="0"/>
        <w:spacing w:line="480" w:lineRule="auto"/>
        <w:ind w:firstLine="840"/>
        <w:jc w:val="left"/>
        <w:rPr>
          <w:rFonts w:ascii="Times New Roman" w:eastAsia="AdvOT678fd422" w:hAnsi="Times New Roman" w:cs="Times New Roman"/>
          <w:color w:val="000000" w:themeColor="text1"/>
          <w:kern w:val="0"/>
          <w:sz w:val="24"/>
          <w:szCs w:val="24"/>
        </w:rPr>
      </w:pPr>
      <w:r w:rsidRPr="001C7B25">
        <w:rPr>
          <w:rFonts w:ascii="Times New Roman" w:eastAsia="AdvOT678fd422" w:hAnsi="Times New Roman" w:cs="Times New Roman"/>
          <w:color w:val="000000" w:themeColor="text1"/>
          <w:kern w:val="0"/>
          <w:sz w:val="24"/>
          <w:szCs w:val="24"/>
        </w:rPr>
        <w:t xml:space="preserve">Statistical significance was defined as </w:t>
      </w:r>
      <w:r w:rsidRPr="001C7B25">
        <w:rPr>
          <w:rFonts w:ascii="Times New Roman" w:eastAsia="AdvOT3bd4862d.I" w:hAnsi="Times New Roman" w:cs="Times New Roman"/>
          <w:color w:val="000000" w:themeColor="text1"/>
          <w:kern w:val="0"/>
          <w:sz w:val="24"/>
          <w:szCs w:val="24"/>
        </w:rPr>
        <w:t>p</w:t>
      </w:r>
      <w:r w:rsidRPr="001C7B25">
        <w:rPr>
          <w:rFonts w:ascii="Times New Roman" w:eastAsia="AdvP4C4E51" w:hAnsi="Times New Roman" w:cs="Times New Roman"/>
          <w:color w:val="000000" w:themeColor="text1"/>
          <w:kern w:val="0"/>
          <w:sz w:val="24"/>
          <w:szCs w:val="24"/>
        </w:rPr>
        <w:t>&lt;</w:t>
      </w:r>
      <w:r w:rsidRPr="001C7B25">
        <w:rPr>
          <w:rFonts w:ascii="Times New Roman" w:eastAsia="AdvOT678fd422" w:hAnsi="Times New Roman" w:cs="Times New Roman"/>
          <w:color w:val="000000" w:themeColor="text1"/>
          <w:kern w:val="0"/>
          <w:sz w:val="24"/>
          <w:szCs w:val="24"/>
        </w:rPr>
        <w:t>0.05. All statistical analyses were performed with EZR (Saitama Medical Center, Jichi Medical University, Saitama, Japan), which is a graphical user interface for R (R Foundation for Statistical Computing, Vienna, Austria)</w:t>
      </w:r>
      <w:r w:rsidR="00822E40" w:rsidRPr="001C7B25">
        <w:rPr>
          <w:rFonts w:ascii="Times New Roman" w:eastAsia="AdvOT678fd422" w:hAnsi="Times New Roman" w:cs="Times New Roman"/>
          <w:color w:val="000000" w:themeColor="text1"/>
          <w:kern w:val="0"/>
          <w:sz w:val="24"/>
          <w:szCs w:val="24"/>
        </w:rPr>
        <w:t xml:space="preserve"> [</w:t>
      </w:r>
      <w:r w:rsidR="006F4D12" w:rsidRPr="001C7B25">
        <w:rPr>
          <w:rFonts w:ascii="Times New Roman" w:eastAsia="AdvOT678fd422" w:hAnsi="Times New Roman" w:cs="Times New Roman"/>
          <w:color w:val="000000" w:themeColor="text1"/>
          <w:kern w:val="0"/>
          <w:sz w:val="24"/>
          <w:szCs w:val="24"/>
        </w:rPr>
        <w:t>21</w:t>
      </w:r>
      <w:r w:rsidR="00822E40" w:rsidRPr="001C7B25">
        <w:rPr>
          <w:rFonts w:ascii="Times New Roman" w:eastAsia="AdvOT678fd422" w:hAnsi="Times New Roman" w:cs="Times New Roman"/>
          <w:color w:val="000000" w:themeColor="text1"/>
          <w:kern w:val="0"/>
          <w:sz w:val="24"/>
          <w:szCs w:val="24"/>
        </w:rPr>
        <w:t>]</w:t>
      </w:r>
      <w:r w:rsidRPr="001C7B25">
        <w:rPr>
          <w:rFonts w:ascii="Times New Roman" w:eastAsia="AdvOT678fd422" w:hAnsi="Times New Roman" w:cs="Times New Roman"/>
          <w:color w:val="000000" w:themeColor="text1"/>
          <w:kern w:val="0"/>
          <w:sz w:val="24"/>
          <w:szCs w:val="24"/>
        </w:rPr>
        <w:t>. More precisely, it is a modified version of R commander designed to add statistical functions frequently used in biostatistics.</w:t>
      </w:r>
    </w:p>
    <w:p w14:paraId="6985373F" w14:textId="77777777" w:rsidR="00BF7096" w:rsidRPr="001C7B25" w:rsidRDefault="00BF7096" w:rsidP="00BC1D2D">
      <w:pPr>
        <w:widowControl/>
        <w:spacing w:line="480" w:lineRule="auto"/>
        <w:jc w:val="left"/>
        <w:rPr>
          <w:rFonts w:ascii="Times New Roman" w:hAnsi="Times New Roman" w:cs="Times New Roman"/>
          <w:color w:val="000000" w:themeColor="text1"/>
          <w:kern w:val="0"/>
          <w:sz w:val="24"/>
          <w:szCs w:val="24"/>
        </w:rPr>
      </w:pPr>
      <w:r w:rsidRPr="001C7B25">
        <w:rPr>
          <w:rFonts w:ascii="Times New Roman" w:hAnsi="Times New Roman" w:cs="Times New Roman"/>
          <w:color w:val="000000" w:themeColor="text1"/>
          <w:kern w:val="0"/>
          <w:sz w:val="24"/>
          <w:szCs w:val="24"/>
        </w:rPr>
        <w:br w:type="page"/>
      </w:r>
    </w:p>
    <w:p w14:paraId="345DD9C7" w14:textId="206BFAE7" w:rsidR="00646552" w:rsidRPr="001C7B25" w:rsidRDefault="00646552" w:rsidP="00A1765E">
      <w:pPr>
        <w:spacing w:line="480" w:lineRule="auto"/>
        <w:rPr>
          <w:rFonts w:ascii="Times New Roman" w:hAnsi="Times New Roman" w:cs="Times New Roman"/>
          <w:b/>
          <w:color w:val="000000" w:themeColor="text1"/>
          <w:sz w:val="24"/>
          <w:szCs w:val="24"/>
        </w:rPr>
      </w:pPr>
      <w:r w:rsidRPr="001C7B25">
        <w:rPr>
          <w:rFonts w:ascii="Times New Roman" w:hAnsi="Times New Roman" w:cs="Times New Roman"/>
          <w:b/>
          <w:color w:val="000000" w:themeColor="text1"/>
          <w:sz w:val="24"/>
          <w:szCs w:val="24"/>
        </w:rPr>
        <w:t>Results</w:t>
      </w:r>
    </w:p>
    <w:p w14:paraId="21CE1ACE" w14:textId="444F7F45" w:rsidR="00A1765E" w:rsidRPr="001C7B25" w:rsidRDefault="00A1765E" w:rsidP="00A1765E">
      <w:pPr>
        <w:widowControl/>
        <w:spacing w:line="480" w:lineRule="auto"/>
        <w:jc w:val="left"/>
        <w:rPr>
          <w:rFonts w:ascii="Times New Roman" w:hAnsi="Times New Roman" w:cs="Times New Roman"/>
          <w:b/>
          <w:color w:val="000000" w:themeColor="text1"/>
          <w:kern w:val="0"/>
          <w:sz w:val="24"/>
          <w:szCs w:val="24"/>
        </w:rPr>
      </w:pPr>
      <w:r w:rsidRPr="001C7B25">
        <w:rPr>
          <w:rFonts w:ascii="Times New Roman" w:hAnsi="Times New Roman" w:cs="Times New Roman"/>
          <w:b/>
          <w:color w:val="000000" w:themeColor="text1"/>
          <w:kern w:val="0"/>
          <w:sz w:val="24"/>
          <w:szCs w:val="24"/>
        </w:rPr>
        <w:t>Differences in baseline pati</w:t>
      </w:r>
      <w:r w:rsidR="001B062C" w:rsidRPr="001C7B25">
        <w:rPr>
          <w:rFonts w:ascii="Times New Roman" w:hAnsi="Times New Roman" w:cs="Times New Roman"/>
          <w:b/>
          <w:color w:val="000000" w:themeColor="text1"/>
          <w:kern w:val="0"/>
          <w:sz w:val="24"/>
          <w:szCs w:val="24"/>
        </w:rPr>
        <w:t>ent</w:t>
      </w:r>
      <w:r w:rsidRPr="001C7B25">
        <w:rPr>
          <w:rFonts w:ascii="Times New Roman" w:hAnsi="Times New Roman" w:cs="Times New Roman"/>
          <w:b/>
          <w:color w:val="000000" w:themeColor="text1"/>
          <w:kern w:val="0"/>
          <w:sz w:val="24"/>
          <w:szCs w:val="24"/>
        </w:rPr>
        <w:t xml:space="preserve"> characteristics </w:t>
      </w:r>
      <w:r w:rsidR="002B1684" w:rsidRPr="001C7B25">
        <w:rPr>
          <w:rFonts w:ascii="Times New Roman" w:hAnsi="Times New Roman" w:cs="Times New Roman"/>
          <w:b/>
          <w:color w:val="000000" w:themeColor="text1"/>
          <w:kern w:val="0"/>
          <w:sz w:val="24"/>
          <w:szCs w:val="24"/>
        </w:rPr>
        <w:t xml:space="preserve">between the </w:t>
      </w:r>
      <w:r w:rsidRPr="001C7B25">
        <w:rPr>
          <w:rFonts w:ascii="Times New Roman" w:hAnsi="Times New Roman" w:cs="Times New Roman"/>
          <w:b/>
          <w:color w:val="000000" w:themeColor="text1"/>
          <w:kern w:val="0"/>
          <w:sz w:val="24"/>
          <w:szCs w:val="24"/>
        </w:rPr>
        <w:t xml:space="preserve">DAA </w:t>
      </w:r>
      <w:r w:rsidR="002B1684" w:rsidRPr="001C7B25">
        <w:rPr>
          <w:rFonts w:ascii="Times New Roman" w:hAnsi="Times New Roman" w:cs="Times New Roman"/>
          <w:b/>
          <w:color w:val="000000" w:themeColor="text1"/>
          <w:kern w:val="0"/>
          <w:sz w:val="24"/>
          <w:szCs w:val="24"/>
        </w:rPr>
        <w:t xml:space="preserve">and </w:t>
      </w:r>
      <w:r w:rsidRPr="001C7B25">
        <w:rPr>
          <w:rFonts w:ascii="Times New Roman" w:hAnsi="Times New Roman" w:cs="Times New Roman"/>
          <w:b/>
          <w:color w:val="000000" w:themeColor="text1"/>
          <w:kern w:val="0"/>
          <w:sz w:val="24"/>
          <w:szCs w:val="24"/>
        </w:rPr>
        <w:t>Non-DAA group</w:t>
      </w:r>
      <w:r w:rsidR="002B1684" w:rsidRPr="001C7B25">
        <w:rPr>
          <w:rFonts w:ascii="Times New Roman" w:hAnsi="Times New Roman" w:cs="Times New Roman"/>
          <w:b/>
          <w:color w:val="000000" w:themeColor="text1"/>
          <w:kern w:val="0"/>
          <w:sz w:val="24"/>
          <w:szCs w:val="24"/>
        </w:rPr>
        <w:t>s</w:t>
      </w:r>
      <w:r w:rsidR="001B062C" w:rsidRPr="001C7B25">
        <w:rPr>
          <w:rFonts w:ascii="Times New Roman" w:hAnsi="Times New Roman" w:cs="Times New Roman"/>
          <w:b/>
          <w:color w:val="000000" w:themeColor="text1"/>
          <w:kern w:val="0"/>
          <w:sz w:val="24"/>
          <w:szCs w:val="24"/>
        </w:rPr>
        <w:t xml:space="preserve"> </w:t>
      </w:r>
    </w:p>
    <w:p w14:paraId="3E74AF76" w14:textId="6F5808B6" w:rsidR="00B74990" w:rsidRPr="001C7B25" w:rsidRDefault="00A1765E" w:rsidP="00A1765E">
      <w:pPr>
        <w:widowControl/>
        <w:spacing w:line="480" w:lineRule="auto"/>
        <w:jc w:val="left"/>
        <w:rPr>
          <w:rFonts w:ascii="Times New Roman" w:hAnsi="Times New Roman" w:cs="Times New Roman"/>
          <w:color w:val="000000" w:themeColor="text1"/>
          <w:kern w:val="0"/>
          <w:sz w:val="24"/>
          <w:szCs w:val="24"/>
        </w:rPr>
      </w:pPr>
      <w:r w:rsidRPr="001C7B25">
        <w:rPr>
          <w:rFonts w:ascii="Times New Roman" w:hAnsi="Times New Roman" w:cs="Times New Roman"/>
          <w:color w:val="000000" w:themeColor="text1"/>
          <w:kern w:val="0"/>
          <w:sz w:val="24"/>
          <w:szCs w:val="24"/>
        </w:rPr>
        <w:tab/>
        <w:t xml:space="preserve">Table 1 shows </w:t>
      </w:r>
      <w:r w:rsidR="002B1684" w:rsidRPr="001C7B25">
        <w:rPr>
          <w:rFonts w:ascii="Times New Roman" w:hAnsi="Times New Roman" w:cs="Times New Roman"/>
          <w:color w:val="000000" w:themeColor="text1"/>
          <w:kern w:val="0"/>
          <w:sz w:val="24"/>
          <w:szCs w:val="24"/>
        </w:rPr>
        <w:t xml:space="preserve">the </w:t>
      </w:r>
      <w:r w:rsidRPr="001C7B25">
        <w:rPr>
          <w:rFonts w:ascii="Times New Roman" w:hAnsi="Times New Roman" w:cs="Times New Roman"/>
          <w:color w:val="000000" w:themeColor="text1"/>
          <w:kern w:val="0"/>
          <w:sz w:val="24"/>
          <w:szCs w:val="24"/>
        </w:rPr>
        <w:t xml:space="preserve">characteristics </w:t>
      </w:r>
      <w:r w:rsidR="002B1684" w:rsidRPr="001C7B25">
        <w:rPr>
          <w:rFonts w:ascii="Times New Roman" w:hAnsi="Times New Roman" w:cs="Times New Roman"/>
          <w:color w:val="000000" w:themeColor="text1"/>
          <w:kern w:val="0"/>
          <w:sz w:val="24"/>
          <w:szCs w:val="24"/>
        </w:rPr>
        <w:t xml:space="preserve">of patients in </w:t>
      </w:r>
      <w:r w:rsidRPr="001C7B25">
        <w:rPr>
          <w:rFonts w:ascii="Times New Roman" w:hAnsi="Times New Roman" w:cs="Times New Roman"/>
          <w:color w:val="000000" w:themeColor="text1"/>
          <w:kern w:val="0"/>
          <w:sz w:val="24"/>
          <w:szCs w:val="24"/>
        </w:rPr>
        <w:t xml:space="preserve">both </w:t>
      </w:r>
      <w:r w:rsidR="002B1684" w:rsidRPr="001C7B25">
        <w:rPr>
          <w:rFonts w:ascii="Times New Roman" w:hAnsi="Times New Roman" w:cs="Times New Roman"/>
          <w:color w:val="000000" w:themeColor="text1"/>
          <w:kern w:val="0"/>
          <w:sz w:val="24"/>
          <w:szCs w:val="24"/>
        </w:rPr>
        <w:t xml:space="preserve">the DAA and Non-DAA </w:t>
      </w:r>
      <w:r w:rsidRPr="001C7B25">
        <w:rPr>
          <w:rFonts w:ascii="Times New Roman" w:hAnsi="Times New Roman" w:cs="Times New Roman"/>
          <w:color w:val="000000" w:themeColor="text1"/>
          <w:kern w:val="0"/>
          <w:sz w:val="24"/>
          <w:szCs w:val="24"/>
        </w:rPr>
        <w:t xml:space="preserve">groups. The DAA group </w:t>
      </w:r>
      <w:r w:rsidR="00C11D35" w:rsidRPr="001C7B25">
        <w:rPr>
          <w:rFonts w:ascii="Times New Roman" w:hAnsi="Times New Roman" w:cs="Times New Roman"/>
          <w:color w:val="000000" w:themeColor="text1"/>
          <w:kern w:val="0"/>
          <w:sz w:val="24"/>
          <w:szCs w:val="24"/>
        </w:rPr>
        <w:t xml:space="preserve">had </w:t>
      </w:r>
      <w:r w:rsidR="00883DE5" w:rsidRPr="001C7B25">
        <w:rPr>
          <w:rFonts w:ascii="Times New Roman" w:hAnsi="Times New Roman" w:cs="Times New Roman"/>
          <w:color w:val="000000" w:themeColor="text1"/>
          <w:kern w:val="0"/>
          <w:sz w:val="24"/>
          <w:szCs w:val="24"/>
        </w:rPr>
        <w:t xml:space="preserve">a </w:t>
      </w:r>
      <w:r w:rsidR="00C11D35" w:rsidRPr="001C7B25">
        <w:rPr>
          <w:rFonts w:ascii="Times New Roman" w:hAnsi="Times New Roman" w:cs="Times New Roman"/>
          <w:color w:val="000000" w:themeColor="text1"/>
          <w:kern w:val="0"/>
          <w:sz w:val="24"/>
          <w:szCs w:val="24"/>
        </w:rPr>
        <w:t>hig</w:t>
      </w:r>
      <w:r w:rsidR="00883DE5" w:rsidRPr="001C7B25">
        <w:rPr>
          <w:rFonts w:ascii="Times New Roman" w:hAnsi="Times New Roman" w:cs="Times New Roman"/>
          <w:color w:val="000000" w:themeColor="text1"/>
          <w:kern w:val="0"/>
          <w:sz w:val="24"/>
          <w:szCs w:val="24"/>
        </w:rPr>
        <w:t>her</w:t>
      </w:r>
      <w:r w:rsidR="00C11D35" w:rsidRPr="001C7B25">
        <w:rPr>
          <w:rFonts w:ascii="Times New Roman" w:hAnsi="Times New Roman" w:cs="Times New Roman"/>
          <w:color w:val="000000" w:themeColor="text1"/>
          <w:kern w:val="0"/>
          <w:sz w:val="24"/>
          <w:szCs w:val="24"/>
        </w:rPr>
        <w:t xml:space="preserve"> frequency of male</w:t>
      </w:r>
      <w:r w:rsidR="00883DE5" w:rsidRPr="001C7B25">
        <w:rPr>
          <w:rFonts w:ascii="Times New Roman" w:hAnsi="Times New Roman" w:cs="Times New Roman"/>
          <w:color w:val="000000" w:themeColor="text1"/>
          <w:kern w:val="0"/>
          <w:sz w:val="24"/>
          <w:szCs w:val="24"/>
        </w:rPr>
        <w:t>s</w:t>
      </w:r>
      <w:r w:rsidR="00C11D35" w:rsidRPr="001C7B25">
        <w:rPr>
          <w:rFonts w:ascii="Times New Roman" w:hAnsi="Times New Roman" w:cs="Times New Roman"/>
          <w:color w:val="000000" w:themeColor="text1"/>
          <w:kern w:val="0"/>
          <w:sz w:val="24"/>
          <w:szCs w:val="24"/>
        </w:rPr>
        <w:t>, alcohol abuse, and smoking</w:t>
      </w:r>
      <w:r w:rsidR="00883DE5" w:rsidRPr="001C7B25">
        <w:rPr>
          <w:rFonts w:ascii="Times New Roman" w:hAnsi="Times New Roman" w:cs="Times New Roman"/>
          <w:color w:val="000000" w:themeColor="text1"/>
          <w:kern w:val="0"/>
          <w:sz w:val="24"/>
          <w:szCs w:val="24"/>
        </w:rPr>
        <w:t>,</w:t>
      </w:r>
      <w:r w:rsidR="00C11D35" w:rsidRPr="001C7B25">
        <w:rPr>
          <w:rFonts w:ascii="Times New Roman" w:hAnsi="Times New Roman" w:cs="Times New Roman"/>
          <w:color w:val="000000" w:themeColor="text1"/>
          <w:kern w:val="0"/>
          <w:sz w:val="24"/>
          <w:szCs w:val="24"/>
        </w:rPr>
        <w:t xml:space="preserve"> and high</w:t>
      </w:r>
      <w:r w:rsidR="00883DE5" w:rsidRPr="001C7B25">
        <w:rPr>
          <w:rFonts w:ascii="Times New Roman" w:hAnsi="Times New Roman" w:cs="Times New Roman"/>
          <w:color w:val="000000" w:themeColor="text1"/>
          <w:kern w:val="0"/>
          <w:sz w:val="24"/>
          <w:szCs w:val="24"/>
        </w:rPr>
        <w:t>er</w:t>
      </w:r>
      <w:r w:rsidR="00C11D35" w:rsidRPr="001C7B25">
        <w:rPr>
          <w:rFonts w:ascii="Times New Roman" w:hAnsi="Times New Roman" w:cs="Times New Roman"/>
          <w:color w:val="000000" w:themeColor="text1"/>
          <w:kern w:val="0"/>
          <w:sz w:val="24"/>
          <w:szCs w:val="24"/>
        </w:rPr>
        <w:t xml:space="preserve"> values </w:t>
      </w:r>
      <w:r w:rsidR="00883DE5" w:rsidRPr="001C7B25">
        <w:rPr>
          <w:rFonts w:ascii="Times New Roman" w:hAnsi="Times New Roman" w:cs="Times New Roman"/>
          <w:color w:val="000000" w:themeColor="text1"/>
          <w:kern w:val="0"/>
          <w:sz w:val="24"/>
          <w:szCs w:val="24"/>
        </w:rPr>
        <w:t xml:space="preserve">for </w:t>
      </w:r>
      <w:r w:rsidR="008000B4" w:rsidRPr="001C7B25">
        <w:rPr>
          <w:rFonts w:ascii="Times New Roman" w:hAnsi="Times New Roman" w:cs="Times New Roman"/>
          <w:color w:val="000000" w:themeColor="text1"/>
          <w:kern w:val="0"/>
          <w:sz w:val="24"/>
          <w:szCs w:val="24"/>
        </w:rPr>
        <w:t xml:space="preserve">the </w:t>
      </w:r>
      <w:r w:rsidR="00F243D9" w:rsidRPr="001C7B25">
        <w:rPr>
          <w:rFonts w:ascii="Times New Roman" w:hAnsi="Times New Roman" w:cs="Times New Roman"/>
          <w:color w:val="000000" w:themeColor="text1"/>
          <w:kern w:val="0"/>
          <w:sz w:val="24"/>
          <w:szCs w:val="24"/>
        </w:rPr>
        <w:t>Child-Pugh score</w:t>
      </w:r>
      <w:r w:rsidR="0039585B" w:rsidRPr="001C7B25">
        <w:rPr>
          <w:rFonts w:ascii="Times New Roman" w:hAnsi="Times New Roman" w:cs="Times New Roman"/>
          <w:color w:val="000000" w:themeColor="text1"/>
          <w:kern w:val="0"/>
          <w:sz w:val="24"/>
          <w:szCs w:val="24"/>
        </w:rPr>
        <w:t xml:space="preserve">, MELD score, </w:t>
      </w:r>
      <w:r w:rsidR="00C11D35" w:rsidRPr="001C7B25">
        <w:rPr>
          <w:rFonts w:ascii="Times New Roman" w:hAnsi="Times New Roman" w:cs="Times New Roman"/>
          <w:color w:val="000000" w:themeColor="text1"/>
          <w:kern w:val="0"/>
          <w:sz w:val="24"/>
          <w:szCs w:val="24"/>
        </w:rPr>
        <w:t xml:space="preserve">BMI, ALT, AST, FIB-4 index, eGFR, </w:t>
      </w:r>
      <w:r w:rsidR="00D11B77" w:rsidRPr="001C7B25">
        <w:rPr>
          <w:rFonts w:ascii="Times New Roman" w:hAnsi="Times New Roman" w:cs="Times New Roman"/>
          <w:color w:val="000000" w:themeColor="text1"/>
          <w:kern w:val="0"/>
          <w:sz w:val="24"/>
          <w:szCs w:val="24"/>
        </w:rPr>
        <w:t xml:space="preserve">total bilirubin, </w:t>
      </w:r>
      <w:r w:rsidR="00C11D35" w:rsidRPr="001C7B25">
        <w:rPr>
          <w:rFonts w:ascii="Times New Roman" w:hAnsi="Times New Roman" w:cs="Times New Roman"/>
          <w:color w:val="000000" w:themeColor="text1"/>
          <w:kern w:val="0"/>
          <w:sz w:val="24"/>
          <w:szCs w:val="24"/>
        </w:rPr>
        <w:t>and PT-INR.</w:t>
      </w:r>
      <w:r w:rsidR="00D11B77" w:rsidRPr="001C7B25">
        <w:rPr>
          <w:rFonts w:ascii="Times New Roman" w:hAnsi="Times New Roman" w:cs="Times New Roman"/>
          <w:color w:val="000000" w:themeColor="text1"/>
          <w:kern w:val="0"/>
          <w:sz w:val="24"/>
          <w:szCs w:val="24"/>
        </w:rPr>
        <w:t xml:space="preserve"> </w:t>
      </w:r>
      <w:r w:rsidR="00F8229A" w:rsidRPr="001C7B25">
        <w:rPr>
          <w:rFonts w:ascii="Times New Roman" w:hAnsi="Times New Roman" w:cs="Times New Roman"/>
          <w:color w:val="000000" w:themeColor="text1"/>
          <w:kern w:val="0"/>
          <w:sz w:val="24"/>
          <w:szCs w:val="24"/>
        </w:rPr>
        <w:t xml:space="preserve">By </w:t>
      </w:r>
      <w:r w:rsidR="00D11B77" w:rsidRPr="001C7B25">
        <w:rPr>
          <w:rFonts w:ascii="Times New Roman" w:hAnsi="Times New Roman" w:cs="Times New Roman"/>
          <w:color w:val="000000" w:themeColor="text1"/>
          <w:kern w:val="0"/>
          <w:sz w:val="24"/>
          <w:szCs w:val="24"/>
        </w:rPr>
        <w:t xml:space="preserve">contrast, </w:t>
      </w:r>
      <w:r w:rsidR="00756765" w:rsidRPr="001C7B25">
        <w:rPr>
          <w:rFonts w:ascii="Times New Roman" w:hAnsi="Times New Roman" w:cs="Times New Roman"/>
          <w:color w:val="000000" w:themeColor="text1"/>
          <w:kern w:val="0"/>
          <w:sz w:val="24"/>
          <w:szCs w:val="24"/>
        </w:rPr>
        <w:t>t</w:t>
      </w:r>
      <w:r w:rsidR="00D11B77" w:rsidRPr="001C7B25">
        <w:rPr>
          <w:rFonts w:ascii="Times New Roman" w:hAnsi="Times New Roman" w:cs="Times New Roman"/>
          <w:color w:val="000000" w:themeColor="text1"/>
          <w:kern w:val="0"/>
          <w:sz w:val="24"/>
          <w:szCs w:val="24"/>
        </w:rPr>
        <w:t xml:space="preserve">he Non-DAA group had </w:t>
      </w:r>
      <w:r w:rsidR="00756765" w:rsidRPr="001C7B25">
        <w:rPr>
          <w:rFonts w:ascii="Times New Roman" w:hAnsi="Times New Roman" w:cs="Times New Roman"/>
          <w:color w:val="000000" w:themeColor="text1"/>
          <w:kern w:val="0"/>
          <w:sz w:val="24"/>
          <w:szCs w:val="24"/>
        </w:rPr>
        <w:t xml:space="preserve">a </w:t>
      </w:r>
      <w:r w:rsidR="00D11B77" w:rsidRPr="001C7B25">
        <w:rPr>
          <w:rFonts w:ascii="Times New Roman" w:hAnsi="Times New Roman" w:cs="Times New Roman"/>
          <w:color w:val="000000" w:themeColor="text1"/>
          <w:kern w:val="0"/>
          <w:sz w:val="24"/>
          <w:szCs w:val="24"/>
        </w:rPr>
        <w:t>high</w:t>
      </w:r>
      <w:r w:rsidR="00756765" w:rsidRPr="001C7B25">
        <w:rPr>
          <w:rFonts w:ascii="Times New Roman" w:hAnsi="Times New Roman" w:cs="Times New Roman"/>
          <w:color w:val="000000" w:themeColor="text1"/>
          <w:kern w:val="0"/>
          <w:sz w:val="24"/>
          <w:szCs w:val="24"/>
        </w:rPr>
        <w:t>er</w:t>
      </w:r>
      <w:r w:rsidR="00D11B77" w:rsidRPr="001C7B25">
        <w:rPr>
          <w:rFonts w:ascii="Times New Roman" w:hAnsi="Times New Roman" w:cs="Times New Roman"/>
          <w:color w:val="000000" w:themeColor="text1"/>
          <w:kern w:val="0"/>
          <w:sz w:val="24"/>
          <w:szCs w:val="24"/>
        </w:rPr>
        <w:t xml:space="preserve"> frequency of DM</w:t>
      </w:r>
      <w:r w:rsidR="00756765" w:rsidRPr="001C7B25">
        <w:rPr>
          <w:rFonts w:ascii="Times New Roman" w:hAnsi="Times New Roman" w:cs="Times New Roman"/>
          <w:color w:val="000000" w:themeColor="text1"/>
          <w:kern w:val="0"/>
          <w:sz w:val="24"/>
          <w:szCs w:val="24"/>
        </w:rPr>
        <w:t>, greater</w:t>
      </w:r>
      <w:r w:rsidR="00D11B77" w:rsidRPr="001C7B25">
        <w:rPr>
          <w:rFonts w:ascii="Times New Roman" w:hAnsi="Times New Roman" w:cs="Times New Roman"/>
          <w:color w:val="000000" w:themeColor="text1"/>
          <w:kern w:val="0"/>
          <w:sz w:val="24"/>
          <w:szCs w:val="24"/>
        </w:rPr>
        <w:t xml:space="preserve"> age</w:t>
      </w:r>
      <w:r w:rsidR="00756765" w:rsidRPr="001C7B25">
        <w:rPr>
          <w:rFonts w:ascii="Times New Roman" w:hAnsi="Times New Roman" w:cs="Times New Roman"/>
          <w:color w:val="000000" w:themeColor="text1"/>
          <w:kern w:val="0"/>
          <w:sz w:val="24"/>
          <w:szCs w:val="24"/>
        </w:rPr>
        <w:t>,</w:t>
      </w:r>
      <w:r w:rsidR="00D11B77" w:rsidRPr="001C7B25">
        <w:rPr>
          <w:rFonts w:ascii="Times New Roman" w:hAnsi="Times New Roman" w:cs="Times New Roman"/>
          <w:color w:val="000000" w:themeColor="text1"/>
          <w:kern w:val="0"/>
          <w:sz w:val="24"/>
          <w:szCs w:val="24"/>
        </w:rPr>
        <w:t xml:space="preserve"> and </w:t>
      </w:r>
      <w:r w:rsidR="00756765" w:rsidRPr="001C7B25">
        <w:rPr>
          <w:rFonts w:ascii="Times New Roman" w:hAnsi="Times New Roman" w:cs="Times New Roman"/>
          <w:color w:val="000000" w:themeColor="text1"/>
          <w:kern w:val="0"/>
          <w:sz w:val="24"/>
          <w:szCs w:val="24"/>
        </w:rPr>
        <w:t xml:space="preserve">higher </w:t>
      </w:r>
      <w:r w:rsidR="00D11B77" w:rsidRPr="001C7B25">
        <w:rPr>
          <w:rFonts w:ascii="Times New Roman" w:hAnsi="Times New Roman" w:cs="Times New Roman"/>
          <w:color w:val="000000" w:themeColor="text1"/>
          <w:kern w:val="0"/>
          <w:sz w:val="24"/>
          <w:szCs w:val="24"/>
        </w:rPr>
        <w:t xml:space="preserve">platelet count. The </w:t>
      </w:r>
      <w:r w:rsidR="00756765" w:rsidRPr="001C7B25">
        <w:rPr>
          <w:rFonts w:ascii="Times New Roman" w:hAnsi="Times New Roman" w:cs="Times New Roman"/>
          <w:color w:val="000000" w:themeColor="text1"/>
          <w:kern w:val="0"/>
          <w:sz w:val="24"/>
          <w:szCs w:val="24"/>
        </w:rPr>
        <w:t xml:space="preserve">percentages of patients with </w:t>
      </w:r>
      <w:r w:rsidR="00D11B77" w:rsidRPr="001C7B25">
        <w:rPr>
          <w:rFonts w:ascii="Times New Roman" w:hAnsi="Times New Roman" w:cs="Times New Roman"/>
          <w:color w:val="000000" w:themeColor="text1"/>
          <w:kern w:val="0"/>
          <w:sz w:val="24"/>
          <w:szCs w:val="24"/>
        </w:rPr>
        <w:t>HCV genotype</w:t>
      </w:r>
      <w:r w:rsidR="00756765" w:rsidRPr="001C7B25">
        <w:rPr>
          <w:rFonts w:ascii="Times New Roman" w:hAnsi="Times New Roman" w:cs="Times New Roman"/>
          <w:color w:val="000000" w:themeColor="text1"/>
          <w:kern w:val="0"/>
          <w:sz w:val="24"/>
          <w:szCs w:val="24"/>
        </w:rPr>
        <w:t>s</w:t>
      </w:r>
      <w:r w:rsidR="00D11B77" w:rsidRPr="001C7B25">
        <w:rPr>
          <w:rFonts w:ascii="Times New Roman" w:hAnsi="Times New Roman" w:cs="Times New Roman"/>
          <w:color w:val="000000" w:themeColor="text1"/>
          <w:kern w:val="0"/>
          <w:sz w:val="24"/>
          <w:szCs w:val="24"/>
        </w:rPr>
        <w:t xml:space="preserve"> 1, 2, 3, and 4 in the DAA and Non-DAA group</w:t>
      </w:r>
      <w:r w:rsidR="00756765" w:rsidRPr="001C7B25">
        <w:rPr>
          <w:rFonts w:ascii="Times New Roman" w:hAnsi="Times New Roman" w:cs="Times New Roman"/>
          <w:color w:val="000000" w:themeColor="text1"/>
          <w:kern w:val="0"/>
          <w:sz w:val="24"/>
          <w:szCs w:val="24"/>
        </w:rPr>
        <w:t>s</w:t>
      </w:r>
      <w:r w:rsidR="00D11B77" w:rsidRPr="001C7B25">
        <w:rPr>
          <w:rFonts w:ascii="Times New Roman" w:hAnsi="Times New Roman" w:cs="Times New Roman"/>
          <w:color w:val="000000" w:themeColor="text1"/>
          <w:kern w:val="0"/>
          <w:sz w:val="24"/>
          <w:szCs w:val="24"/>
        </w:rPr>
        <w:t xml:space="preserve"> </w:t>
      </w:r>
      <w:r w:rsidR="00756765" w:rsidRPr="001C7B25">
        <w:rPr>
          <w:rFonts w:ascii="Times New Roman" w:hAnsi="Times New Roman" w:cs="Times New Roman"/>
          <w:color w:val="000000" w:themeColor="text1"/>
          <w:kern w:val="0"/>
          <w:sz w:val="24"/>
          <w:szCs w:val="24"/>
        </w:rPr>
        <w:t xml:space="preserve">were </w:t>
      </w:r>
      <w:r w:rsidR="00D11B77" w:rsidRPr="001C7B25">
        <w:rPr>
          <w:rFonts w:ascii="Times New Roman" w:hAnsi="Times New Roman" w:cs="Times New Roman"/>
          <w:color w:val="000000" w:themeColor="text1"/>
          <w:kern w:val="0"/>
          <w:sz w:val="24"/>
          <w:szCs w:val="24"/>
        </w:rPr>
        <w:t xml:space="preserve">54.5% (n=236) and 71.1% (n=275), 4.2% (n=18) and 28.9 (n=112), 35.8% (n=155) and 0.0% (n=0), and 5.5% (n=24) and 0.0% (n=0), respectively, </w:t>
      </w:r>
      <w:r w:rsidR="00756765" w:rsidRPr="001C7B25">
        <w:rPr>
          <w:rFonts w:ascii="Times New Roman" w:hAnsi="Times New Roman" w:cs="Times New Roman"/>
          <w:color w:val="000000" w:themeColor="text1"/>
          <w:kern w:val="0"/>
          <w:sz w:val="24"/>
          <w:szCs w:val="24"/>
        </w:rPr>
        <w:t>indicating</w:t>
      </w:r>
      <w:r w:rsidR="00D11B77" w:rsidRPr="001C7B25">
        <w:rPr>
          <w:rFonts w:ascii="Times New Roman" w:hAnsi="Times New Roman" w:cs="Times New Roman"/>
          <w:color w:val="000000" w:themeColor="text1"/>
          <w:kern w:val="0"/>
          <w:sz w:val="24"/>
          <w:szCs w:val="24"/>
        </w:rPr>
        <w:t xml:space="preserve"> a significant difference between </w:t>
      </w:r>
      <w:r w:rsidR="00756765" w:rsidRPr="001C7B25">
        <w:rPr>
          <w:rFonts w:ascii="Times New Roman" w:hAnsi="Times New Roman" w:cs="Times New Roman"/>
          <w:color w:val="000000" w:themeColor="text1"/>
          <w:kern w:val="0"/>
          <w:sz w:val="24"/>
          <w:szCs w:val="24"/>
        </w:rPr>
        <w:t xml:space="preserve">the </w:t>
      </w:r>
      <w:r w:rsidR="00D11B77" w:rsidRPr="001C7B25">
        <w:rPr>
          <w:rFonts w:ascii="Times New Roman" w:hAnsi="Times New Roman" w:cs="Times New Roman"/>
          <w:color w:val="000000" w:themeColor="text1"/>
          <w:kern w:val="0"/>
          <w:sz w:val="24"/>
          <w:szCs w:val="24"/>
        </w:rPr>
        <w:t>two groups (</w:t>
      </w:r>
      <w:r w:rsidR="00D11B77" w:rsidRPr="001C7B25">
        <w:rPr>
          <w:rFonts w:ascii="Times New Roman" w:hAnsi="Times New Roman" w:cs="Times New Roman"/>
          <w:i/>
          <w:color w:val="000000" w:themeColor="text1"/>
          <w:kern w:val="0"/>
          <w:sz w:val="24"/>
          <w:szCs w:val="24"/>
        </w:rPr>
        <w:t>p</w:t>
      </w:r>
      <w:r w:rsidR="00D11B77" w:rsidRPr="001C7B25">
        <w:rPr>
          <w:rFonts w:ascii="Times New Roman" w:hAnsi="Times New Roman" w:cs="Times New Roman"/>
          <w:color w:val="000000" w:themeColor="text1"/>
          <w:kern w:val="0"/>
          <w:sz w:val="24"/>
          <w:szCs w:val="24"/>
        </w:rPr>
        <w:t>&lt;0.0001).</w:t>
      </w:r>
      <w:r w:rsidR="00B74990" w:rsidRPr="001C7B25">
        <w:rPr>
          <w:rFonts w:ascii="Times New Roman" w:hAnsi="Times New Roman" w:cs="Times New Roman"/>
          <w:color w:val="000000" w:themeColor="text1"/>
          <w:kern w:val="0"/>
          <w:sz w:val="24"/>
          <w:szCs w:val="24"/>
        </w:rPr>
        <w:t xml:space="preserve"> The proportions of </w:t>
      </w:r>
      <w:r w:rsidR="00756765" w:rsidRPr="001C7B25">
        <w:rPr>
          <w:rFonts w:ascii="Times New Roman" w:hAnsi="Times New Roman" w:cs="Times New Roman"/>
          <w:color w:val="000000" w:themeColor="text1"/>
          <w:kern w:val="0"/>
          <w:sz w:val="24"/>
          <w:szCs w:val="24"/>
        </w:rPr>
        <w:t>individuals with</w:t>
      </w:r>
      <w:r w:rsidR="00B74990" w:rsidRPr="001C7B25">
        <w:rPr>
          <w:rFonts w:ascii="Times New Roman" w:hAnsi="Times New Roman" w:cs="Times New Roman"/>
          <w:color w:val="000000" w:themeColor="text1"/>
          <w:kern w:val="0"/>
          <w:sz w:val="24"/>
          <w:szCs w:val="24"/>
        </w:rPr>
        <w:t xml:space="preserve"> liver-related </w:t>
      </w:r>
      <w:r w:rsidR="00756765" w:rsidRPr="001C7B25">
        <w:rPr>
          <w:rFonts w:ascii="Times New Roman" w:hAnsi="Times New Roman" w:cs="Times New Roman"/>
          <w:color w:val="000000" w:themeColor="text1"/>
          <w:kern w:val="0"/>
          <w:sz w:val="24"/>
          <w:szCs w:val="24"/>
        </w:rPr>
        <w:t xml:space="preserve">versus </w:t>
      </w:r>
      <w:r w:rsidR="00EF7C51" w:rsidRPr="001C7B25">
        <w:rPr>
          <w:rFonts w:ascii="Times New Roman" w:hAnsi="Times New Roman" w:cs="Times New Roman"/>
          <w:color w:val="000000" w:themeColor="text1"/>
          <w:kern w:val="0"/>
          <w:sz w:val="24"/>
          <w:szCs w:val="24"/>
        </w:rPr>
        <w:t xml:space="preserve">non–liver-related </w:t>
      </w:r>
      <w:r w:rsidR="00B74990" w:rsidRPr="001C7B25">
        <w:rPr>
          <w:rFonts w:ascii="Times New Roman" w:hAnsi="Times New Roman" w:cs="Times New Roman"/>
          <w:color w:val="000000" w:themeColor="text1"/>
          <w:kern w:val="0"/>
          <w:sz w:val="24"/>
          <w:szCs w:val="24"/>
        </w:rPr>
        <w:t xml:space="preserve">death </w:t>
      </w:r>
      <w:r w:rsidR="00756765" w:rsidRPr="001C7B25">
        <w:rPr>
          <w:rFonts w:ascii="Times New Roman" w:hAnsi="Times New Roman" w:cs="Times New Roman"/>
          <w:color w:val="000000" w:themeColor="text1"/>
          <w:kern w:val="0"/>
          <w:sz w:val="24"/>
          <w:szCs w:val="24"/>
        </w:rPr>
        <w:t>were</w:t>
      </w:r>
      <w:r w:rsidR="00B74990" w:rsidRPr="001C7B25">
        <w:rPr>
          <w:rFonts w:ascii="Times New Roman" w:hAnsi="Times New Roman" w:cs="Times New Roman"/>
          <w:color w:val="000000" w:themeColor="text1"/>
          <w:kern w:val="0"/>
          <w:sz w:val="24"/>
          <w:szCs w:val="24"/>
        </w:rPr>
        <w:t xml:space="preserve"> 45.6% and 54.4%</w:t>
      </w:r>
      <w:r w:rsidR="00756765" w:rsidRPr="001C7B25">
        <w:rPr>
          <w:rFonts w:ascii="Times New Roman" w:hAnsi="Times New Roman" w:cs="Times New Roman"/>
          <w:color w:val="000000" w:themeColor="text1"/>
          <w:kern w:val="0"/>
          <w:sz w:val="24"/>
          <w:szCs w:val="24"/>
        </w:rPr>
        <w:t xml:space="preserve"> in the DAA group</w:t>
      </w:r>
      <w:r w:rsidR="00B74990" w:rsidRPr="001C7B25">
        <w:rPr>
          <w:rFonts w:ascii="Times New Roman" w:hAnsi="Times New Roman" w:cs="Times New Roman"/>
          <w:color w:val="000000" w:themeColor="text1"/>
          <w:kern w:val="0"/>
          <w:sz w:val="24"/>
          <w:szCs w:val="24"/>
        </w:rPr>
        <w:t xml:space="preserve">, </w:t>
      </w:r>
      <w:r w:rsidR="00756765" w:rsidRPr="001C7B25">
        <w:rPr>
          <w:rFonts w:ascii="Times New Roman" w:hAnsi="Times New Roman" w:cs="Times New Roman"/>
          <w:color w:val="000000" w:themeColor="text1"/>
          <w:kern w:val="0"/>
          <w:sz w:val="24"/>
          <w:szCs w:val="24"/>
        </w:rPr>
        <w:t xml:space="preserve">respectively, and </w:t>
      </w:r>
      <w:r w:rsidR="00B74990" w:rsidRPr="001C7B25">
        <w:rPr>
          <w:rFonts w:ascii="Times New Roman" w:hAnsi="Times New Roman" w:cs="Times New Roman"/>
          <w:color w:val="000000" w:themeColor="text1"/>
          <w:kern w:val="0"/>
          <w:sz w:val="24"/>
          <w:szCs w:val="24"/>
        </w:rPr>
        <w:t>46.7% and 53.3%</w:t>
      </w:r>
      <w:r w:rsidR="00756765" w:rsidRPr="001C7B25">
        <w:rPr>
          <w:rFonts w:ascii="Times New Roman" w:hAnsi="Times New Roman" w:cs="Times New Roman"/>
          <w:color w:val="000000" w:themeColor="text1"/>
          <w:kern w:val="0"/>
          <w:sz w:val="24"/>
          <w:szCs w:val="24"/>
        </w:rPr>
        <w:t xml:space="preserve"> in the Non-DAA group</w:t>
      </w:r>
      <w:r w:rsidR="00B74990" w:rsidRPr="001C7B25">
        <w:rPr>
          <w:rFonts w:ascii="Times New Roman" w:hAnsi="Times New Roman" w:cs="Times New Roman"/>
          <w:color w:val="000000" w:themeColor="text1"/>
          <w:kern w:val="0"/>
          <w:sz w:val="24"/>
          <w:szCs w:val="24"/>
        </w:rPr>
        <w:t xml:space="preserve">, respectively, </w:t>
      </w:r>
      <w:r w:rsidR="00756765" w:rsidRPr="001C7B25">
        <w:rPr>
          <w:rFonts w:ascii="Times New Roman" w:hAnsi="Times New Roman" w:cs="Times New Roman"/>
          <w:color w:val="000000" w:themeColor="text1"/>
          <w:kern w:val="0"/>
          <w:sz w:val="24"/>
          <w:szCs w:val="24"/>
        </w:rPr>
        <w:t>indicating</w:t>
      </w:r>
      <w:r w:rsidR="00B74990" w:rsidRPr="001C7B25">
        <w:rPr>
          <w:rFonts w:ascii="Times New Roman" w:hAnsi="Times New Roman" w:cs="Times New Roman"/>
          <w:color w:val="000000" w:themeColor="text1"/>
          <w:kern w:val="0"/>
          <w:sz w:val="24"/>
          <w:szCs w:val="24"/>
        </w:rPr>
        <w:t xml:space="preserve"> no difference between </w:t>
      </w:r>
      <w:r w:rsidR="00756765" w:rsidRPr="001C7B25">
        <w:rPr>
          <w:rFonts w:ascii="Times New Roman" w:hAnsi="Times New Roman" w:cs="Times New Roman"/>
          <w:color w:val="000000" w:themeColor="text1"/>
          <w:kern w:val="0"/>
          <w:sz w:val="24"/>
          <w:szCs w:val="24"/>
        </w:rPr>
        <w:t xml:space="preserve">the </w:t>
      </w:r>
      <w:r w:rsidR="00B74990" w:rsidRPr="001C7B25">
        <w:rPr>
          <w:rFonts w:ascii="Times New Roman" w:hAnsi="Times New Roman" w:cs="Times New Roman"/>
          <w:color w:val="000000" w:themeColor="text1"/>
          <w:kern w:val="0"/>
          <w:sz w:val="24"/>
          <w:szCs w:val="24"/>
        </w:rPr>
        <w:t>two groups. The calculated propensity score</w:t>
      </w:r>
      <w:r w:rsidR="0016670E" w:rsidRPr="001C7B25">
        <w:rPr>
          <w:rFonts w:ascii="Times New Roman" w:hAnsi="Times New Roman" w:cs="Times New Roman"/>
          <w:color w:val="000000" w:themeColor="text1"/>
          <w:kern w:val="0"/>
          <w:sz w:val="24"/>
          <w:szCs w:val="24"/>
        </w:rPr>
        <w:t>s</w:t>
      </w:r>
      <w:r w:rsidR="00B74990" w:rsidRPr="001C7B25">
        <w:rPr>
          <w:rFonts w:ascii="Times New Roman" w:hAnsi="Times New Roman" w:cs="Times New Roman"/>
          <w:color w:val="000000" w:themeColor="text1"/>
          <w:kern w:val="0"/>
          <w:sz w:val="24"/>
          <w:szCs w:val="24"/>
        </w:rPr>
        <w:t xml:space="preserve"> of patients </w:t>
      </w:r>
      <w:r w:rsidR="0016670E" w:rsidRPr="001C7B25">
        <w:rPr>
          <w:rFonts w:ascii="Times New Roman" w:hAnsi="Times New Roman" w:cs="Times New Roman"/>
          <w:color w:val="000000" w:themeColor="text1"/>
          <w:kern w:val="0"/>
          <w:sz w:val="24"/>
          <w:szCs w:val="24"/>
        </w:rPr>
        <w:t>in the DAA and Non-DAA</w:t>
      </w:r>
      <w:r w:rsidR="00B74990" w:rsidRPr="001C7B25">
        <w:rPr>
          <w:rFonts w:ascii="Times New Roman" w:hAnsi="Times New Roman" w:cs="Times New Roman"/>
          <w:color w:val="000000" w:themeColor="text1"/>
          <w:kern w:val="0"/>
          <w:sz w:val="24"/>
          <w:szCs w:val="24"/>
        </w:rPr>
        <w:t xml:space="preserve"> group</w:t>
      </w:r>
      <w:r w:rsidR="0016670E" w:rsidRPr="001C7B25">
        <w:rPr>
          <w:rFonts w:ascii="Times New Roman" w:hAnsi="Times New Roman" w:cs="Times New Roman"/>
          <w:color w:val="000000" w:themeColor="text1"/>
          <w:kern w:val="0"/>
          <w:sz w:val="24"/>
          <w:szCs w:val="24"/>
        </w:rPr>
        <w:t>s</w:t>
      </w:r>
      <w:r w:rsidR="00B74990" w:rsidRPr="001C7B25">
        <w:rPr>
          <w:rFonts w:ascii="Times New Roman" w:hAnsi="Times New Roman" w:cs="Times New Roman"/>
          <w:color w:val="000000" w:themeColor="text1"/>
          <w:kern w:val="0"/>
          <w:sz w:val="24"/>
          <w:szCs w:val="24"/>
        </w:rPr>
        <w:t xml:space="preserve"> were 0.80 (0.54–0.94) and 0.07 (0.02–0.19), respect</w:t>
      </w:r>
      <w:r w:rsidR="00DD4FC5" w:rsidRPr="001C7B25">
        <w:rPr>
          <w:rFonts w:ascii="Times New Roman" w:hAnsi="Times New Roman" w:cs="Times New Roman"/>
          <w:color w:val="000000" w:themeColor="text1"/>
          <w:kern w:val="0"/>
          <w:sz w:val="24"/>
          <w:szCs w:val="24"/>
        </w:rPr>
        <w:t xml:space="preserve">ively (p&lt;0.001). In addition, the calculated IPW scores of patients </w:t>
      </w:r>
      <w:r w:rsidR="0016670E" w:rsidRPr="001C7B25">
        <w:rPr>
          <w:rFonts w:ascii="Times New Roman" w:hAnsi="Times New Roman" w:cs="Times New Roman"/>
          <w:color w:val="000000" w:themeColor="text1"/>
          <w:kern w:val="0"/>
          <w:sz w:val="24"/>
          <w:szCs w:val="24"/>
        </w:rPr>
        <w:t>in the DAA and non-DAA</w:t>
      </w:r>
      <w:r w:rsidR="00DD4FC5" w:rsidRPr="001C7B25">
        <w:rPr>
          <w:rFonts w:ascii="Times New Roman" w:hAnsi="Times New Roman" w:cs="Times New Roman"/>
          <w:color w:val="000000" w:themeColor="text1"/>
          <w:kern w:val="0"/>
          <w:sz w:val="24"/>
          <w:szCs w:val="24"/>
        </w:rPr>
        <w:t xml:space="preserve"> group</w:t>
      </w:r>
      <w:r w:rsidR="0016670E" w:rsidRPr="001C7B25">
        <w:rPr>
          <w:rFonts w:ascii="Times New Roman" w:hAnsi="Times New Roman" w:cs="Times New Roman"/>
          <w:color w:val="000000" w:themeColor="text1"/>
          <w:kern w:val="0"/>
          <w:sz w:val="24"/>
          <w:szCs w:val="24"/>
        </w:rPr>
        <w:t>s</w:t>
      </w:r>
      <w:r w:rsidR="00DD4FC5" w:rsidRPr="001C7B25">
        <w:rPr>
          <w:rFonts w:ascii="Times New Roman" w:hAnsi="Times New Roman" w:cs="Times New Roman"/>
          <w:color w:val="000000" w:themeColor="text1"/>
          <w:kern w:val="0"/>
          <w:sz w:val="24"/>
          <w:szCs w:val="24"/>
        </w:rPr>
        <w:t xml:space="preserve"> were 1.25 (1.06–1.85) and 1.08 (1.02–1.24), respectively (</w:t>
      </w:r>
      <w:r w:rsidR="00DD4FC5" w:rsidRPr="001C7B25">
        <w:rPr>
          <w:rFonts w:ascii="Times New Roman" w:hAnsi="Times New Roman" w:cs="Times New Roman"/>
          <w:i/>
          <w:color w:val="000000" w:themeColor="text1"/>
          <w:kern w:val="0"/>
          <w:sz w:val="24"/>
          <w:szCs w:val="24"/>
        </w:rPr>
        <w:t>p</w:t>
      </w:r>
      <w:r w:rsidR="00DD4FC5" w:rsidRPr="001C7B25">
        <w:rPr>
          <w:rFonts w:ascii="Times New Roman" w:hAnsi="Times New Roman" w:cs="Times New Roman"/>
          <w:color w:val="000000" w:themeColor="text1"/>
          <w:kern w:val="0"/>
          <w:sz w:val="24"/>
          <w:szCs w:val="24"/>
        </w:rPr>
        <w:t>&lt;0.001).</w:t>
      </w:r>
    </w:p>
    <w:p w14:paraId="4DB5C3A7" w14:textId="0D4B9A82" w:rsidR="00D11B77" w:rsidRPr="001C7B25" w:rsidRDefault="00D11B77" w:rsidP="00A1765E">
      <w:pPr>
        <w:widowControl/>
        <w:spacing w:line="480" w:lineRule="auto"/>
        <w:jc w:val="left"/>
        <w:rPr>
          <w:rFonts w:ascii="Times New Roman" w:hAnsi="Times New Roman" w:cs="Times New Roman"/>
          <w:b/>
          <w:color w:val="000000" w:themeColor="text1"/>
          <w:kern w:val="0"/>
          <w:sz w:val="24"/>
          <w:szCs w:val="24"/>
        </w:rPr>
      </w:pPr>
      <w:r w:rsidRPr="001C7B25">
        <w:rPr>
          <w:rFonts w:ascii="Times New Roman" w:hAnsi="Times New Roman" w:cs="Times New Roman"/>
          <w:b/>
          <w:color w:val="000000" w:themeColor="text1"/>
          <w:kern w:val="0"/>
          <w:sz w:val="24"/>
          <w:szCs w:val="24"/>
        </w:rPr>
        <w:t xml:space="preserve">Factors associated </w:t>
      </w:r>
      <w:r w:rsidR="000D3D93" w:rsidRPr="001C7B25">
        <w:rPr>
          <w:rFonts w:ascii="Times New Roman" w:hAnsi="Times New Roman" w:cs="Times New Roman"/>
          <w:b/>
          <w:color w:val="000000" w:themeColor="text1"/>
          <w:kern w:val="0"/>
          <w:sz w:val="24"/>
          <w:szCs w:val="24"/>
        </w:rPr>
        <w:t>with</w:t>
      </w:r>
      <w:r w:rsidRPr="001C7B25">
        <w:rPr>
          <w:rFonts w:ascii="Times New Roman" w:hAnsi="Times New Roman" w:cs="Times New Roman"/>
          <w:b/>
          <w:color w:val="000000" w:themeColor="text1"/>
          <w:kern w:val="0"/>
          <w:sz w:val="24"/>
          <w:szCs w:val="24"/>
        </w:rPr>
        <w:t xml:space="preserve"> all-cause mortality</w:t>
      </w:r>
    </w:p>
    <w:p w14:paraId="24F28FD6" w14:textId="069CF3E7" w:rsidR="00FC1AD2" w:rsidRPr="001C7B25" w:rsidRDefault="00D11B77" w:rsidP="00A1765E">
      <w:pPr>
        <w:widowControl/>
        <w:spacing w:line="480" w:lineRule="auto"/>
        <w:jc w:val="left"/>
        <w:rPr>
          <w:rFonts w:ascii="Times New Roman" w:hAnsi="Times New Roman" w:cs="Times New Roman"/>
          <w:color w:val="000000" w:themeColor="text1"/>
          <w:kern w:val="0"/>
          <w:sz w:val="24"/>
          <w:szCs w:val="24"/>
        </w:rPr>
      </w:pPr>
      <w:r w:rsidRPr="001C7B25">
        <w:rPr>
          <w:rFonts w:ascii="Times New Roman" w:hAnsi="Times New Roman" w:cs="Times New Roman"/>
          <w:color w:val="000000" w:themeColor="text1"/>
          <w:kern w:val="0"/>
          <w:sz w:val="24"/>
          <w:szCs w:val="24"/>
        </w:rPr>
        <w:tab/>
      </w:r>
      <w:r w:rsidR="000D3D93" w:rsidRPr="001C7B25">
        <w:rPr>
          <w:rFonts w:ascii="Times New Roman" w:hAnsi="Times New Roman" w:cs="Times New Roman"/>
          <w:color w:val="000000" w:themeColor="text1"/>
          <w:kern w:val="0"/>
          <w:sz w:val="24"/>
          <w:szCs w:val="24"/>
        </w:rPr>
        <w:t>Factors associated with</w:t>
      </w:r>
      <w:r w:rsidR="00FB390D" w:rsidRPr="001C7B25">
        <w:rPr>
          <w:rFonts w:ascii="Times New Roman" w:hAnsi="Times New Roman" w:cs="Times New Roman"/>
          <w:color w:val="000000" w:themeColor="text1"/>
          <w:kern w:val="0"/>
          <w:sz w:val="24"/>
          <w:szCs w:val="24"/>
        </w:rPr>
        <w:t xml:space="preserve"> all-cause mortality were analyzed using </w:t>
      </w:r>
      <w:r w:rsidR="00FB390D" w:rsidRPr="001C7B25">
        <w:rPr>
          <w:rFonts w:ascii="Times New Roman" w:hAnsi="Times New Roman" w:cs="Times New Roman"/>
          <w:color w:val="000000" w:themeColor="text1"/>
          <w:sz w:val="24"/>
          <w:szCs w:val="24"/>
          <w:shd w:val="clear" w:color="auto" w:fill="F5F5F5"/>
        </w:rPr>
        <w:t>Cox</w:t>
      </w:r>
      <w:r w:rsidR="0016670E" w:rsidRPr="001C7B25">
        <w:rPr>
          <w:rFonts w:ascii="Times New Roman" w:hAnsi="Times New Roman" w:cs="Times New Roman"/>
          <w:color w:val="000000" w:themeColor="text1"/>
          <w:sz w:val="24"/>
          <w:szCs w:val="24"/>
          <w:shd w:val="clear" w:color="auto" w:fill="F5F5F5"/>
        </w:rPr>
        <w:t>’</w:t>
      </w:r>
      <w:r w:rsidR="00FB390D" w:rsidRPr="001C7B25">
        <w:rPr>
          <w:rFonts w:ascii="Times New Roman" w:hAnsi="Times New Roman" w:cs="Times New Roman"/>
          <w:color w:val="000000" w:themeColor="text1"/>
          <w:sz w:val="24"/>
          <w:szCs w:val="24"/>
          <w:shd w:val="clear" w:color="auto" w:fill="F5F5F5"/>
        </w:rPr>
        <w:t xml:space="preserve">s proportional hazards model (Table </w:t>
      </w:r>
      <w:r w:rsidR="00822E40" w:rsidRPr="001C7B25">
        <w:rPr>
          <w:rFonts w:ascii="Times New Roman" w:hAnsi="Times New Roman" w:cs="Times New Roman"/>
          <w:color w:val="000000" w:themeColor="text1"/>
          <w:sz w:val="24"/>
          <w:szCs w:val="24"/>
          <w:shd w:val="clear" w:color="auto" w:fill="F5F5F5"/>
        </w:rPr>
        <w:t>2</w:t>
      </w:r>
      <w:r w:rsidR="00FB390D" w:rsidRPr="001C7B25">
        <w:rPr>
          <w:rFonts w:ascii="Times New Roman" w:hAnsi="Times New Roman" w:cs="Times New Roman"/>
          <w:color w:val="000000" w:themeColor="text1"/>
          <w:sz w:val="24"/>
          <w:szCs w:val="24"/>
          <w:shd w:val="clear" w:color="auto" w:fill="F5F5F5"/>
        </w:rPr>
        <w:t xml:space="preserve">). </w:t>
      </w:r>
      <w:r w:rsidR="008D5E01" w:rsidRPr="001C7B25">
        <w:rPr>
          <w:rStyle w:val="tlid-translation"/>
          <w:rFonts w:ascii="Times New Roman" w:hAnsi="Times New Roman" w:cs="Times New Roman"/>
          <w:color w:val="000000" w:themeColor="text1"/>
          <w:sz w:val="24"/>
          <w:szCs w:val="24"/>
          <w:lang w:val="en"/>
        </w:rPr>
        <w:t xml:space="preserve">The analyzed factors were age, gender, </w:t>
      </w:r>
      <w:r w:rsidR="00353AFF" w:rsidRPr="001C7B25">
        <w:rPr>
          <w:rStyle w:val="tlid-translation"/>
          <w:rFonts w:ascii="Times New Roman" w:hAnsi="Times New Roman" w:cs="Times New Roman"/>
          <w:color w:val="000000" w:themeColor="text1"/>
          <w:sz w:val="24"/>
          <w:szCs w:val="24"/>
          <w:lang w:val="en"/>
        </w:rPr>
        <w:t xml:space="preserve">alcohol abuse (presence or absence), DM (presence or absence), </w:t>
      </w:r>
      <w:r w:rsidR="008D5E01" w:rsidRPr="001C7B25">
        <w:rPr>
          <w:rStyle w:val="tlid-translation"/>
          <w:rFonts w:ascii="Times New Roman" w:hAnsi="Times New Roman" w:cs="Times New Roman"/>
          <w:color w:val="000000" w:themeColor="text1"/>
          <w:sz w:val="24"/>
          <w:szCs w:val="24"/>
          <w:lang w:val="en"/>
        </w:rPr>
        <w:t xml:space="preserve">therapy (DAA vs. Non-DAA), FIB-4 index, ALBI grade, </w:t>
      </w:r>
      <w:r w:rsidR="00353AFF" w:rsidRPr="001C7B25">
        <w:rPr>
          <w:rFonts w:ascii="Times New Roman" w:eastAsia="Lato-Regular" w:hAnsi="Times New Roman" w:cs="Times New Roman"/>
          <w:color w:val="000000" w:themeColor="text1"/>
          <w:kern w:val="0"/>
          <w:sz w:val="24"/>
          <w:szCs w:val="24"/>
        </w:rPr>
        <w:t xml:space="preserve">and eGFR. </w:t>
      </w:r>
      <w:r w:rsidR="00FA0B08" w:rsidRPr="001C7B25">
        <w:rPr>
          <w:rFonts w:ascii="Times New Roman" w:hAnsi="Times New Roman" w:cs="Times New Roman"/>
          <w:color w:val="000000" w:themeColor="text1"/>
          <w:sz w:val="24"/>
          <w:szCs w:val="24"/>
          <w:shd w:val="clear" w:color="auto" w:fill="F5F5F5"/>
        </w:rPr>
        <w:t xml:space="preserve">Age </w:t>
      </w:r>
      <w:r w:rsidR="00BB42B0" w:rsidRPr="001C7B25">
        <w:rPr>
          <w:rFonts w:ascii="Times New Roman" w:hAnsi="Times New Roman" w:cs="Times New Roman"/>
          <w:color w:val="000000" w:themeColor="text1"/>
          <w:sz w:val="24"/>
          <w:szCs w:val="24"/>
        </w:rPr>
        <w:t xml:space="preserve">≥ </w:t>
      </w:r>
      <w:r w:rsidR="00FA0B08" w:rsidRPr="001C7B25">
        <w:rPr>
          <w:rFonts w:ascii="Times New Roman" w:hAnsi="Times New Roman" w:cs="Times New Roman"/>
          <w:color w:val="000000" w:themeColor="text1"/>
          <w:sz w:val="24"/>
          <w:szCs w:val="24"/>
          <w:shd w:val="clear" w:color="auto" w:fill="F5F5F5"/>
        </w:rPr>
        <w:t>65</w:t>
      </w:r>
      <w:r w:rsidR="00BB42B0" w:rsidRPr="001C7B25">
        <w:rPr>
          <w:rFonts w:ascii="Times New Roman" w:hAnsi="Times New Roman" w:cs="Times New Roman"/>
          <w:color w:val="000000" w:themeColor="text1"/>
          <w:sz w:val="24"/>
          <w:szCs w:val="24"/>
          <w:shd w:val="clear" w:color="auto" w:fill="F5F5F5"/>
        </w:rPr>
        <w:t xml:space="preserve"> years</w:t>
      </w:r>
      <w:r w:rsidR="00FA0B08" w:rsidRPr="001C7B25">
        <w:rPr>
          <w:rFonts w:ascii="Times New Roman" w:hAnsi="Times New Roman" w:cs="Times New Roman"/>
          <w:color w:val="000000" w:themeColor="text1"/>
          <w:sz w:val="24"/>
          <w:szCs w:val="24"/>
          <w:shd w:val="clear" w:color="auto" w:fill="F5F5F5"/>
        </w:rPr>
        <w:t xml:space="preserve"> </w:t>
      </w:r>
      <w:r w:rsidR="00734AF6" w:rsidRPr="001C7B25">
        <w:rPr>
          <w:rFonts w:ascii="Times New Roman" w:hAnsi="Times New Roman" w:cs="Times New Roman"/>
          <w:color w:val="000000" w:themeColor="text1"/>
          <w:sz w:val="24"/>
          <w:szCs w:val="24"/>
          <w:shd w:val="clear" w:color="auto" w:fill="F5F5F5"/>
        </w:rPr>
        <w:t>(</w:t>
      </w:r>
      <w:r w:rsidR="008B133D" w:rsidRPr="001C7B25">
        <w:rPr>
          <w:rFonts w:ascii="Times New Roman" w:hAnsi="Times New Roman" w:cs="Times New Roman"/>
          <w:color w:val="000000" w:themeColor="text1"/>
          <w:sz w:val="24"/>
          <w:szCs w:val="24"/>
          <w:shd w:val="clear" w:color="auto" w:fill="F5F5F5"/>
        </w:rPr>
        <w:t>hazard ratio [HR]</w:t>
      </w:r>
      <w:r w:rsidR="00734AF6" w:rsidRPr="001C7B25">
        <w:rPr>
          <w:rFonts w:ascii="Times New Roman" w:hAnsi="Times New Roman" w:cs="Times New Roman"/>
          <w:color w:val="000000" w:themeColor="text1"/>
          <w:sz w:val="24"/>
          <w:szCs w:val="24"/>
          <w:shd w:val="clear" w:color="auto" w:fill="F5F5F5"/>
        </w:rPr>
        <w:t xml:space="preserve">, </w:t>
      </w:r>
      <w:r w:rsidR="00DD4FC5" w:rsidRPr="001C7B25">
        <w:rPr>
          <w:rFonts w:ascii="Times New Roman" w:hAnsi="Times New Roman" w:cs="Times New Roman"/>
          <w:color w:val="000000" w:themeColor="text1"/>
          <w:sz w:val="24"/>
          <w:szCs w:val="24"/>
          <w:shd w:val="clear" w:color="auto" w:fill="F5F5F5"/>
        </w:rPr>
        <w:t>1.385</w:t>
      </w:r>
      <w:r w:rsidR="00734AF6" w:rsidRPr="001C7B25">
        <w:rPr>
          <w:rFonts w:ascii="Times New Roman" w:hAnsi="Times New Roman" w:cs="Times New Roman"/>
          <w:color w:val="000000" w:themeColor="text1"/>
          <w:sz w:val="24"/>
          <w:szCs w:val="24"/>
          <w:shd w:val="clear" w:color="auto" w:fill="F5F5F5"/>
        </w:rPr>
        <w:t xml:space="preserve">, </w:t>
      </w:r>
      <w:r w:rsidR="00FA0B08" w:rsidRPr="001C7B25">
        <w:rPr>
          <w:rFonts w:ascii="Times New Roman" w:hAnsi="Times New Roman" w:cs="Times New Roman"/>
          <w:color w:val="000000" w:themeColor="text1"/>
          <w:sz w:val="24"/>
          <w:szCs w:val="24"/>
          <w:shd w:val="clear" w:color="auto" w:fill="F5F5F5"/>
        </w:rPr>
        <w:t>95% confidential interval [CI]</w:t>
      </w:r>
      <w:r w:rsidR="00BB42B0" w:rsidRPr="001C7B25">
        <w:rPr>
          <w:rFonts w:ascii="Times New Roman" w:hAnsi="Times New Roman" w:cs="Times New Roman"/>
          <w:color w:val="000000" w:themeColor="text1"/>
          <w:sz w:val="24"/>
          <w:szCs w:val="24"/>
          <w:shd w:val="clear" w:color="auto" w:fill="F5F5F5"/>
        </w:rPr>
        <w:t>,</w:t>
      </w:r>
      <w:r w:rsidR="00FA0B08" w:rsidRPr="001C7B25">
        <w:rPr>
          <w:rFonts w:ascii="Times New Roman" w:hAnsi="Times New Roman" w:cs="Times New Roman"/>
          <w:color w:val="000000" w:themeColor="text1"/>
          <w:sz w:val="24"/>
          <w:szCs w:val="24"/>
          <w:shd w:val="clear" w:color="auto" w:fill="F5F5F5"/>
        </w:rPr>
        <w:t xml:space="preserve"> 1.</w:t>
      </w:r>
      <w:r w:rsidR="00DD4FC5" w:rsidRPr="001C7B25">
        <w:rPr>
          <w:rFonts w:ascii="Times New Roman" w:hAnsi="Times New Roman" w:cs="Times New Roman"/>
          <w:color w:val="000000" w:themeColor="text1"/>
          <w:sz w:val="24"/>
          <w:szCs w:val="24"/>
          <w:shd w:val="clear" w:color="auto" w:fill="F5F5F5"/>
        </w:rPr>
        <w:t>119</w:t>
      </w:r>
      <w:r w:rsidR="0016670E" w:rsidRPr="001C7B25">
        <w:rPr>
          <w:rFonts w:ascii="Times New Roman" w:hAnsi="Times New Roman" w:cs="Times New Roman" w:hint="cs"/>
          <w:color w:val="000000" w:themeColor="text1"/>
          <w:sz w:val="24"/>
          <w:szCs w:val="24"/>
          <w:shd w:val="clear" w:color="auto" w:fill="F5F5F5"/>
        </w:rPr>
        <w:t>–</w:t>
      </w:r>
      <w:r w:rsidR="00FA0B08" w:rsidRPr="001C7B25">
        <w:rPr>
          <w:rFonts w:ascii="Times New Roman" w:hAnsi="Times New Roman" w:cs="Times New Roman"/>
          <w:color w:val="000000" w:themeColor="text1"/>
          <w:sz w:val="24"/>
          <w:szCs w:val="24"/>
          <w:shd w:val="clear" w:color="auto" w:fill="F5F5F5"/>
        </w:rPr>
        <w:t>1.7</w:t>
      </w:r>
      <w:r w:rsidR="00DD4FC5" w:rsidRPr="001C7B25">
        <w:rPr>
          <w:rFonts w:ascii="Times New Roman" w:hAnsi="Times New Roman" w:cs="Times New Roman"/>
          <w:color w:val="000000" w:themeColor="text1"/>
          <w:sz w:val="24"/>
          <w:szCs w:val="24"/>
          <w:shd w:val="clear" w:color="auto" w:fill="F5F5F5"/>
        </w:rPr>
        <w:t>14</w:t>
      </w:r>
      <w:r w:rsidR="00734AF6" w:rsidRPr="001C7B25">
        <w:rPr>
          <w:rFonts w:ascii="Times New Roman" w:hAnsi="Times New Roman" w:cs="Times New Roman"/>
          <w:color w:val="000000" w:themeColor="text1"/>
          <w:sz w:val="24"/>
          <w:szCs w:val="24"/>
          <w:shd w:val="clear" w:color="auto" w:fill="F5F5F5"/>
        </w:rPr>
        <w:t xml:space="preserve">, </w:t>
      </w:r>
      <w:r w:rsidR="00734AF6" w:rsidRPr="001C7B25">
        <w:rPr>
          <w:rFonts w:ascii="Times New Roman" w:hAnsi="Times New Roman" w:cs="Times New Roman"/>
          <w:i/>
          <w:color w:val="000000" w:themeColor="text1"/>
          <w:sz w:val="24"/>
          <w:szCs w:val="24"/>
          <w:shd w:val="clear" w:color="auto" w:fill="F5F5F5"/>
        </w:rPr>
        <w:t>p</w:t>
      </w:r>
      <w:r w:rsidR="00734AF6" w:rsidRPr="001C7B25">
        <w:rPr>
          <w:rFonts w:ascii="Times New Roman" w:hAnsi="Times New Roman" w:cs="Times New Roman"/>
          <w:color w:val="000000" w:themeColor="text1"/>
          <w:sz w:val="24"/>
          <w:szCs w:val="24"/>
          <w:shd w:val="clear" w:color="auto" w:fill="F5F5F5"/>
        </w:rPr>
        <w:t>=0.</w:t>
      </w:r>
      <w:r w:rsidR="00DD4FC5" w:rsidRPr="001C7B25">
        <w:rPr>
          <w:rFonts w:ascii="Times New Roman" w:hAnsi="Times New Roman" w:cs="Times New Roman"/>
          <w:color w:val="000000" w:themeColor="text1"/>
          <w:sz w:val="24"/>
          <w:szCs w:val="24"/>
          <w:shd w:val="clear" w:color="auto" w:fill="F5F5F5"/>
        </w:rPr>
        <w:t>0028</w:t>
      </w:r>
      <w:r w:rsidR="00FA0B08" w:rsidRPr="001C7B25">
        <w:rPr>
          <w:rFonts w:ascii="Times New Roman" w:hAnsi="Times New Roman" w:cs="Times New Roman"/>
          <w:color w:val="000000" w:themeColor="text1"/>
          <w:sz w:val="24"/>
          <w:szCs w:val="24"/>
          <w:shd w:val="clear" w:color="auto" w:fill="F5F5F5"/>
        </w:rPr>
        <w:t xml:space="preserve">), male gender </w:t>
      </w:r>
      <w:r w:rsidR="00734AF6" w:rsidRPr="001C7B25">
        <w:rPr>
          <w:rFonts w:ascii="Times New Roman" w:hAnsi="Times New Roman" w:cs="Times New Roman"/>
          <w:color w:val="000000" w:themeColor="text1"/>
          <w:sz w:val="24"/>
          <w:szCs w:val="24"/>
          <w:shd w:val="clear" w:color="auto" w:fill="F5F5F5"/>
        </w:rPr>
        <w:t>(</w:t>
      </w:r>
      <w:r w:rsidR="008B133D" w:rsidRPr="001C7B25">
        <w:rPr>
          <w:rFonts w:ascii="Times New Roman" w:hAnsi="Times New Roman" w:cs="Times New Roman"/>
          <w:color w:val="000000" w:themeColor="text1"/>
          <w:sz w:val="24"/>
          <w:szCs w:val="24"/>
          <w:shd w:val="clear" w:color="auto" w:fill="F5F5F5"/>
        </w:rPr>
        <w:t>HR</w:t>
      </w:r>
      <w:r w:rsidR="00734AF6" w:rsidRPr="001C7B25">
        <w:rPr>
          <w:rFonts w:ascii="Times New Roman" w:hAnsi="Times New Roman" w:cs="Times New Roman"/>
          <w:color w:val="000000" w:themeColor="text1"/>
          <w:sz w:val="24"/>
          <w:szCs w:val="24"/>
          <w:shd w:val="clear" w:color="auto" w:fill="F5F5F5"/>
        </w:rPr>
        <w:t xml:space="preserve">, </w:t>
      </w:r>
      <w:r w:rsidR="00FA0B08" w:rsidRPr="001C7B25">
        <w:rPr>
          <w:rFonts w:ascii="Times New Roman" w:hAnsi="Times New Roman" w:cs="Times New Roman"/>
          <w:color w:val="000000" w:themeColor="text1"/>
          <w:sz w:val="24"/>
          <w:szCs w:val="24"/>
          <w:shd w:val="clear" w:color="auto" w:fill="F5F5F5"/>
        </w:rPr>
        <w:t>1.2</w:t>
      </w:r>
      <w:r w:rsidR="00DD4FC5" w:rsidRPr="001C7B25">
        <w:rPr>
          <w:rFonts w:ascii="Times New Roman" w:hAnsi="Times New Roman" w:cs="Times New Roman"/>
          <w:color w:val="000000" w:themeColor="text1"/>
          <w:sz w:val="24"/>
          <w:szCs w:val="24"/>
          <w:shd w:val="clear" w:color="auto" w:fill="F5F5F5"/>
        </w:rPr>
        <w:t>88</w:t>
      </w:r>
      <w:r w:rsidR="00734AF6" w:rsidRPr="001C7B25">
        <w:rPr>
          <w:rFonts w:ascii="Times New Roman" w:hAnsi="Times New Roman" w:cs="Times New Roman"/>
          <w:color w:val="000000" w:themeColor="text1"/>
          <w:sz w:val="24"/>
          <w:szCs w:val="24"/>
          <w:shd w:val="clear" w:color="auto" w:fill="F5F5F5"/>
        </w:rPr>
        <w:t xml:space="preserve">, 95%CI, </w:t>
      </w:r>
      <w:r w:rsidR="00DD4FC5" w:rsidRPr="001C7B25">
        <w:rPr>
          <w:rFonts w:ascii="Times New Roman" w:hAnsi="Times New Roman" w:cs="Times New Roman"/>
          <w:color w:val="000000" w:themeColor="text1"/>
          <w:sz w:val="24"/>
          <w:szCs w:val="24"/>
          <w:shd w:val="clear" w:color="auto" w:fill="F5F5F5"/>
        </w:rPr>
        <w:t>1.053</w:t>
      </w:r>
      <w:r w:rsidR="0016670E" w:rsidRPr="001C7B25">
        <w:rPr>
          <w:rFonts w:ascii="Times New Roman" w:hAnsi="Times New Roman" w:cs="Times New Roman" w:hint="cs"/>
          <w:color w:val="000000" w:themeColor="text1"/>
          <w:sz w:val="24"/>
          <w:szCs w:val="24"/>
          <w:shd w:val="clear" w:color="auto" w:fill="F5F5F5"/>
        </w:rPr>
        <w:t>–</w:t>
      </w:r>
      <w:r w:rsidR="00DD4FC5" w:rsidRPr="001C7B25">
        <w:rPr>
          <w:rFonts w:ascii="Times New Roman" w:hAnsi="Times New Roman" w:cs="Times New Roman"/>
          <w:color w:val="000000" w:themeColor="text1"/>
          <w:sz w:val="24"/>
          <w:szCs w:val="24"/>
          <w:shd w:val="clear" w:color="auto" w:fill="F5F5F5"/>
        </w:rPr>
        <w:t>1.576</w:t>
      </w:r>
      <w:r w:rsidR="00734AF6" w:rsidRPr="001C7B25">
        <w:rPr>
          <w:rFonts w:ascii="Times New Roman" w:hAnsi="Times New Roman" w:cs="Times New Roman"/>
          <w:color w:val="000000" w:themeColor="text1"/>
          <w:sz w:val="24"/>
          <w:szCs w:val="24"/>
          <w:shd w:val="clear" w:color="auto" w:fill="F5F5F5"/>
        </w:rPr>
        <w:t xml:space="preserve">, </w:t>
      </w:r>
      <w:r w:rsidR="00734AF6" w:rsidRPr="001C7B25">
        <w:rPr>
          <w:rFonts w:ascii="Times New Roman" w:hAnsi="Times New Roman" w:cs="Times New Roman"/>
          <w:i/>
          <w:color w:val="000000" w:themeColor="text1"/>
          <w:sz w:val="24"/>
          <w:szCs w:val="24"/>
          <w:shd w:val="clear" w:color="auto" w:fill="F5F5F5"/>
        </w:rPr>
        <w:t>p</w:t>
      </w:r>
      <w:r w:rsidR="00734AF6" w:rsidRPr="001C7B25">
        <w:rPr>
          <w:rFonts w:ascii="Times New Roman" w:hAnsi="Times New Roman" w:cs="Times New Roman"/>
          <w:color w:val="000000" w:themeColor="text1"/>
          <w:sz w:val="24"/>
          <w:szCs w:val="24"/>
          <w:shd w:val="clear" w:color="auto" w:fill="F5F5F5"/>
        </w:rPr>
        <w:t>=0.0</w:t>
      </w:r>
      <w:r w:rsidR="00DD4FC5" w:rsidRPr="001C7B25">
        <w:rPr>
          <w:rFonts w:ascii="Times New Roman" w:hAnsi="Times New Roman" w:cs="Times New Roman"/>
          <w:color w:val="000000" w:themeColor="text1"/>
          <w:sz w:val="24"/>
          <w:szCs w:val="24"/>
          <w:shd w:val="clear" w:color="auto" w:fill="F5F5F5"/>
        </w:rPr>
        <w:t>139</w:t>
      </w:r>
      <w:r w:rsidR="00FC1AD2" w:rsidRPr="001C7B25">
        <w:rPr>
          <w:rFonts w:ascii="Times New Roman" w:hAnsi="Times New Roman" w:cs="Times New Roman"/>
          <w:color w:val="000000" w:themeColor="text1"/>
          <w:sz w:val="24"/>
          <w:szCs w:val="24"/>
          <w:shd w:val="clear" w:color="auto" w:fill="F5F5F5"/>
        </w:rPr>
        <w:t xml:space="preserve">), ALBI score </w:t>
      </w:r>
      <w:r w:rsidR="00FC1AD2" w:rsidRPr="001C7B25">
        <w:rPr>
          <w:rFonts w:ascii="Times New Roman" w:hAnsi="Times New Roman" w:cs="Times New Roman"/>
          <w:color w:val="000000" w:themeColor="text1"/>
          <w:sz w:val="24"/>
          <w:szCs w:val="24"/>
        </w:rPr>
        <w:t xml:space="preserve">≥ </w:t>
      </w:r>
      <w:r w:rsidR="00E70856" w:rsidRPr="001C7B25">
        <w:rPr>
          <w:rFonts w:ascii="Times New Roman" w:hAnsi="Times New Roman" w:cs="Times New Roman"/>
          <w:color w:val="000000" w:themeColor="text1"/>
          <w:sz w:val="24"/>
          <w:szCs w:val="24"/>
        </w:rPr>
        <w:t>−</w:t>
      </w:r>
      <w:r w:rsidR="00FC1AD2" w:rsidRPr="001C7B25">
        <w:rPr>
          <w:rFonts w:ascii="Times New Roman" w:hAnsi="Times New Roman" w:cs="Times New Roman"/>
          <w:color w:val="000000" w:themeColor="text1"/>
          <w:sz w:val="24"/>
          <w:szCs w:val="24"/>
        </w:rPr>
        <w:t xml:space="preserve">2.60 </w:t>
      </w:r>
      <w:r w:rsidR="00734AF6" w:rsidRPr="001C7B25">
        <w:rPr>
          <w:rFonts w:ascii="Times New Roman" w:hAnsi="Times New Roman" w:cs="Times New Roman"/>
          <w:color w:val="000000" w:themeColor="text1"/>
          <w:sz w:val="24"/>
          <w:szCs w:val="24"/>
        </w:rPr>
        <w:t>(</w:t>
      </w:r>
      <w:r w:rsidR="00FC1AD2" w:rsidRPr="001C7B25">
        <w:rPr>
          <w:rFonts w:ascii="Times New Roman" w:hAnsi="Times New Roman" w:cs="Times New Roman"/>
          <w:color w:val="000000" w:themeColor="text1"/>
          <w:sz w:val="24"/>
          <w:szCs w:val="24"/>
        </w:rPr>
        <w:t>HR</w:t>
      </w:r>
      <w:r w:rsidR="00734AF6" w:rsidRPr="001C7B25">
        <w:rPr>
          <w:rFonts w:ascii="Times New Roman" w:hAnsi="Times New Roman" w:cs="Times New Roman"/>
          <w:color w:val="000000" w:themeColor="text1"/>
          <w:sz w:val="24"/>
          <w:szCs w:val="24"/>
        </w:rPr>
        <w:t xml:space="preserve">, </w:t>
      </w:r>
      <w:r w:rsidR="00DD4FC5" w:rsidRPr="001C7B25">
        <w:rPr>
          <w:rFonts w:ascii="Times New Roman" w:hAnsi="Times New Roman" w:cs="Times New Roman"/>
          <w:color w:val="000000" w:themeColor="text1"/>
          <w:sz w:val="24"/>
          <w:szCs w:val="24"/>
        </w:rPr>
        <w:t>1.885</w:t>
      </w:r>
      <w:r w:rsidR="00734AF6" w:rsidRPr="001C7B25">
        <w:rPr>
          <w:rFonts w:ascii="Times New Roman" w:hAnsi="Times New Roman" w:cs="Times New Roman"/>
          <w:color w:val="000000" w:themeColor="text1"/>
          <w:sz w:val="24"/>
          <w:szCs w:val="24"/>
        </w:rPr>
        <w:t xml:space="preserve">, </w:t>
      </w:r>
      <w:r w:rsidR="00FC1AD2" w:rsidRPr="001C7B25">
        <w:rPr>
          <w:rFonts w:ascii="Times New Roman" w:hAnsi="Times New Roman" w:cs="Times New Roman"/>
          <w:color w:val="000000" w:themeColor="text1"/>
          <w:sz w:val="24"/>
          <w:szCs w:val="24"/>
        </w:rPr>
        <w:t>95%CI</w:t>
      </w:r>
      <w:r w:rsidR="00734AF6" w:rsidRPr="001C7B25">
        <w:rPr>
          <w:rFonts w:ascii="Times New Roman" w:hAnsi="Times New Roman" w:cs="Times New Roman"/>
          <w:color w:val="000000" w:themeColor="text1"/>
          <w:sz w:val="24"/>
          <w:szCs w:val="24"/>
        </w:rPr>
        <w:t xml:space="preserve">, </w:t>
      </w:r>
      <w:r w:rsidR="00FC1AD2" w:rsidRPr="001C7B25">
        <w:rPr>
          <w:rFonts w:ascii="Times New Roman" w:hAnsi="Times New Roman" w:cs="Times New Roman"/>
          <w:color w:val="000000" w:themeColor="text1"/>
          <w:sz w:val="24"/>
          <w:szCs w:val="24"/>
        </w:rPr>
        <w:t>1.5</w:t>
      </w:r>
      <w:r w:rsidR="00DD4FC5" w:rsidRPr="001C7B25">
        <w:rPr>
          <w:rFonts w:ascii="Times New Roman" w:hAnsi="Times New Roman" w:cs="Times New Roman"/>
          <w:color w:val="000000" w:themeColor="text1"/>
          <w:sz w:val="24"/>
          <w:szCs w:val="24"/>
        </w:rPr>
        <w:t>24</w:t>
      </w:r>
      <w:r w:rsidR="0016670E" w:rsidRPr="001C7B25">
        <w:rPr>
          <w:rFonts w:ascii="Times New Roman" w:hAnsi="Times New Roman" w:cs="Times New Roman"/>
          <w:color w:val="000000" w:themeColor="text1"/>
          <w:sz w:val="24"/>
          <w:szCs w:val="24"/>
          <w:shd w:val="clear" w:color="auto" w:fill="F5F5F5"/>
        </w:rPr>
        <w:t>–</w:t>
      </w:r>
      <w:r w:rsidR="00FC1AD2" w:rsidRPr="001C7B25">
        <w:rPr>
          <w:rFonts w:ascii="Times New Roman" w:hAnsi="Times New Roman" w:cs="Times New Roman"/>
          <w:color w:val="000000" w:themeColor="text1"/>
          <w:sz w:val="24"/>
          <w:szCs w:val="24"/>
          <w:shd w:val="clear" w:color="auto" w:fill="F5F5F5"/>
        </w:rPr>
        <w:t>2.</w:t>
      </w:r>
      <w:r w:rsidR="00DD4FC5" w:rsidRPr="001C7B25">
        <w:rPr>
          <w:rFonts w:ascii="Times New Roman" w:hAnsi="Times New Roman" w:cs="Times New Roman"/>
          <w:color w:val="000000" w:themeColor="text1"/>
          <w:sz w:val="24"/>
          <w:szCs w:val="24"/>
          <w:shd w:val="clear" w:color="auto" w:fill="F5F5F5"/>
        </w:rPr>
        <w:t>331</w:t>
      </w:r>
      <w:r w:rsidR="00734AF6" w:rsidRPr="001C7B25">
        <w:rPr>
          <w:rFonts w:ascii="Times New Roman" w:hAnsi="Times New Roman" w:cs="Times New Roman"/>
          <w:color w:val="000000" w:themeColor="text1"/>
          <w:sz w:val="24"/>
          <w:szCs w:val="24"/>
          <w:shd w:val="clear" w:color="auto" w:fill="F5F5F5"/>
        </w:rPr>
        <w:t xml:space="preserve">, </w:t>
      </w:r>
      <w:r w:rsidR="00734AF6" w:rsidRPr="001C7B25">
        <w:rPr>
          <w:rFonts w:ascii="Times New Roman" w:hAnsi="Times New Roman" w:cs="Times New Roman"/>
          <w:i/>
          <w:color w:val="000000" w:themeColor="text1"/>
          <w:sz w:val="24"/>
          <w:szCs w:val="24"/>
          <w:shd w:val="clear" w:color="auto" w:fill="F5F5F5"/>
        </w:rPr>
        <w:t>p</w:t>
      </w:r>
      <w:r w:rsidR="00734AF6" w:rsidRPr="001C7B25">
        <w:rPr>
          <w:rFonts w:ascii="Times New Roman" w:hAnsi="Times New Roman" w:cs="Times New Roman"/>
          <w:color w:val="000000" w:themeColor="text1"/>
          <w:sz w:val="24"/>
          <w:szCs w:val="24"/>
          <w:shd w:val="clear" w:color="auto" w:fill="F5F5F5"/>
        </w:rPr>
        <w:t>&lt;0.0001</w:t>
      </w:r>
      <w:r w:rsidR="00FC1AD2" w:rsidRPr="001C7B25">
        <w:rPr>
          <w:rFonts w:ascii="Times New Roman" w:hAnsi="Times New Roman" w:cs="Times New Roman"/>
          <w:color w:val="000000" w:themeColor="text1"/>
          <w:sz w:val="24"/>
          <w:szCs w:val="24"/>
          <w:shd w:val="clear" w:color="auto" w:fill="F5F5F5"/>
        </w:rPr>
        <w:t xml:space="preserve">), </w:t>
      </w:r>
      <w:r w:rsidR="00734AF6" w:rsidRPr="001C7B25">
        <w:rPr>
          <w:rFonts w:ascii="Times New Roman" w:hAnsi="Times New Roman" w:cs="Times New Roman"/>
          <w:color w:val="000000" w:themeColor="text1"/>
          <w:sz w:val="24"/>
          <w:szCs w:val="24"/>
          <w:shd w:val="clear" w:color="auto" w:fill="F5F5F5"/>
        </w:rPr>
        <w:t xml:space="preserve">and </w:t>
      </w:r>
      <w:r w:rsidR="00FC1AD2" w:rsidRPr="001C7B25">
        <w:rPr>
          <w:rFonts w:ascii="Times New Roman" w:hAnsi="Times New Roman" w:cs="Times New Roman"/>
          <w:color w:val="000000" w:themeColor="text1"/>
          <w:sz w:val="24"/>
          <w:szCs w:val="24"/>
          <w:shd w:val="clear" w:color="auto" w:fill="F5F5F5"/>
        </w:rPr>
        <w:t xml:space="preserve">SVR </w:t>
      </w:r>
      <w:r w:rsidR="00734AF6" w:rsidRPr="001C7B25">
        <w:rPr>
          <w:rFonts w:ascii="Times New Roman" w:hAnsi="Times New Roman" w:cs="Times New Roman"/>
          <w:color w:val="000000" w:themeColor="text1"/>
          <w:sz w:val="24"/>
          <w:szCs w:val="24"/>
          <w:shd w:val="clear" w:color="auto" w:fill="F5F5F5"/>
        </w:rPr>
        <w:t>(</w:t>
      </w:r>
      <w:r w:rsidR="00FC1AD2" w:rsidRPr="001C7B25">
        <w:rPr>
          <w:rFonts w:ascii="Times New Roman" w:hAnsi="Times New Roman" w:cs="Times New Roman"/>
          <w:color w:val="000000" w:themeColor="text1"/>
          <w:sz w:val="24"/>
          <w:szCs w:val="24"/>
          <w:shd w:val="clear" w:color="auto" w:fill="F5F5F5"/>
        </w:rPr>
        <w:t>HR</w:t>
      </w:r>
      <w:r w:rsidR="00734AF6" w:rsidRPr="001C7B25">
        <w:rPr>
          <w:rFonts w:ascii="Times New Roman" w:hAnsi="Times New Roman" w:cs="Times New Roman"/>
          <w:color w:val="000000" w:themeColor="text1"/>
          <w:sz w:val="24"/>
          <w:szCs w:val="24"/>
          <w:shd w:val="clear" w:color="auto" w:fill="F5F5F5"/>
        </w:rPr>
        <w:t>, 0.</w:t>
      </w:r>
      <w:r w:rsidR="00DD4FC5" w:rsidRPr="001C7B25">
        <w:rPr>
          <w:rFonts w:ascii="Times New Roman" w:hAnsi="Times New Roman" w:cs="Times New Roman"/>
          <w:color w:val="000000" w:themeColor="text1"/>
          <w:sz w:val="24"/>
          <w:szCs w:val="24"/>
          <w:shd w:val="clear" w:color="auto" w:fill="F5F5F5"/>
        </w:rPr>
        <w:t>397</w:t>
      </w:r>
      <w:r w:rsidR="00734AF6" w:rsidRPr="001C7B25">
        <w:rPr>
          <w:rFonts w:ascii="Times New Roman" w:hAnsi="Times New Roman" w:cs="Times New Roman"/>
          <w:color w:val="000000" w:themeColor="text1"/>
          <w:sz w:val="24"/>
          <w:szCs w:val="24"/>
          <w:shd w:val="clear" w:color="auto" w:fill="F5F5F5"/>
        </w:rPr>
        <w:t xml:space="preserve">, </w:t>
      </w:r>
      <w:r w:rsidR="00FC1AD2" w:rsidRPr="001C7B25">
        <w:rPr>
          <w:rFonts w:ascii="Times New Roman" w:hAnsi="Times New Roman" w:cs="Times New Roman"/>
          <w:color w:val="000000" w:themeColor="text1"/>
          <w:sz w:val="24"/>
          <w:szCs w:val="24"/>
          <w:shd w:val="clear" w:color="auto" w:fill="F5F5F5"/>
        </w:rPr>
        <w:t>95%CI</w:t>
      </w:r>
      <w:r w:rsidR="00734AF6" w:rsidRPr="001C7B25">
        <w:rPr>
          <w:rFonts w:ascii="Times New Roman" w:hAnsi="Times New Roman" w:cs="Times New Roman"/>
          <w:color w:val="000000" w:themeColor="text1"/>
          <w:sz w:val="24"/>
          <w:szCs w:val="24"/>
          <w:shd w:val="clear" w:color="auto" w:fill="F5F5F5"/>
        </w:rPr>
        <w:t xml:space="preserve">, </w:t>
      </w:r>
      <w:r w:rsidR="00FC1AD2" w:rsidRPr="001C7B25">
        <w:rPr>
          <w:rFonts w:ascii="Times New Roman" w:hAnsi="Times New Roman" w:cs="Times New Roman"/>
          <w:color w:val="000000" w:themeColor="text1"/>
          <w:sz w:val="24"/>
          <w:szCs w:val="24"/>
          <w:shd w:val="clear" w:color="auto" w:fill="F5F5F5"/>
        </w:rPr>
        <w:t>0.</w:t>
      </w:r>
      <w:r w:rsidR="00DD4FC5" w:rsidRPr="001C7B25">
        <w:rPr>
          <w:rFonts w:ascii="Times New Roman" w:hAnsi="Times New Roman" w:cs="Times New Roman"/>
          <w:color w:val="000000" w:themeColor="text1"/>
          <w:sz w:val="24"/>
          <w:szCs w:val="24"/>
          <w:shd w:val="clear" w:color="auto" w:fill="F5F5F5"/>
        </w:rPr>
        <w:t>275</w:t>
      </w:r>
      <w:r w:rsidR="0016670E" w:rsidRPr="001C7B25">
        <w:rPr>
          <w:rFonts w:ascii="Times New Roman" w:hAnsi="Times New Roman" w:cs="Times New Roman" w:hint="cs"/>
          <w:color w:val="000000" w:themeColor="text1"/>
          <w:sz w:val="24"/>
          <w:szCs w:val="24"/>
          <w:shd w:val="clear" w:color="auto" w:fill="F5F5F5"/>
        </w:rPr>
        <w:t>–</w:t>
      </w:r>
      <w:r w:rsidR="00FC1AD2" w:rsidRPr="001C7B25">
        <w:rPr>
          <w:rFonts w:ascii="Times New Roman" w:hAnsi="Times New Roman" w:cs="Times New Roman"/>
          <w:color w:val="000000" w:themeColor="text1"/>
          <w:sz w:val="24"/>
          <w:szCs w:val="24"/>
          <w:shd w:val="clear" w:color="auto" w:fill="F5F5F5"/>
        </w:rPr>
        <w:t>0.6</w:t>
      </w:r>
      <w:r w:rsidR="00DD4FC5" w:rsidRPr="001C7B25">
        <w:rPr>
          <w:rFonts w:ascii="Times New Roman" w:hAnsi="Times New Roman" w:cs="Times New Roman"/>
          <w:color w:val="000000" w:themeColor="text1"/>
          <w:sz w:val="24"/>
          <w:szCs w:val="24"/>
          <w:shd w:val="clear" w:color="auto" w:fill="F5F5F5"/>
        </w:rPr>
        <w:t>572</w:t>
      </w:r>
      <w:r w:rsidR="00734AF6" w:rsidRPr="001C7B25">
        <w:rPr>
          <w:rFonts w:ascii="Times New Roman" w:hAnsi="Times New Roman" w:cs="Times New Roman"/>
          <w:color w:val="000000" w:themeColor="text1"/>
          <w:sz w:val="24"/>
          <w:szCs w:val="24"/>
          <w:shd w:val="clear" w:color="auto" w:fill="F5F5F5"/>
        </w:rPr>
        <w:t xml:space="preserve">, </w:t>
      </w:r>
      <w:r w:rsidR="00734AF6" w:rsidRPr="001C7B25">
        <w:rPr>
          <w:rFonts w:ascii="Times New Roman" w:hAnsi="Times New Roman" w:cs="Times New Roman"/>
          <w:i/>
          <w:color w:val="000000" w:themeColor="text1"/>
          <w:sz w:val="24"/>
          <w:szCs w:val="24"/>
          <w:shd w:val="clear" w:color="auto" w:fill="F5F5F5"/>
        </w:rPr>
        <w:t>p</w:t>
      </w:r>
      <w:r w:rsidR="00734AF6" w:rsidRPr="001C7B25">
        <w:rPr>
          <w:rFonts w:ascii="Times New Roman" w:hAnsi="Times New Roman" w:cs="Times New Roman"/>
          <w:color w:val="000000" w:themeColor="text1"/>
          <w:sz w:val="24"/>
          <w:szCs w:val="24"/>
          <w:shd w:val="clear" w:color="auto" w:fill="F5F5F5"/>
        </w:rPr>
        <w:t>&lt;0.0001</w:t>
      </w:r>
      <w:r w:rsidR="00FC1AD2" w:rsidRPr="001C7B25">
        <w:rPr>
          <w:rFonts w:ascii="Times New Roman" w:hAnsi="Times New Roman" w:cs="Times New Roman"/>
          <w:color w:val="000000" w:themeColor="text1"/>
          <w:sz w:val="24"/>
          <w:szCs w:val="24"/>
          <w:shd w:val="clear" w:color="auto" w:fill="F5F5F5"/>
        </w:rPr>
        <w:t xml:space="preserve">) were </w:t>
      </w:r>
      <w:r w:rsidR="002B5B37" w:rsidRPr="001C7B25">
        <w:rPr>
          <w:rFonts w:ascii="Times New Roman" w:hAnsi="Times New Roman" w:cs="Times New Roman"/>
          <w:color w:val="000000" w:themeColor="text1"/>
          <w:sz w:val="24"/>
          <w:szCs w:val="24"/>
          <w:shd w:val="clear" w:color="auto" w:fill="F5F5F5"/>
        </w:rPr>
        <w:t>independently</w:t>
      </w:r>
      <w:r w:rsidR="00FC1AD2" w:rsidRPr="001C7B25">
        <w:rPr>
          <w:rFonts w:ascii="Times New Roman" w:hAnsi="Times New Roman" w:cs="Times New Roman"/>
          <w:color w:val="000000" w:themeColor="text1"/>
          <w:sz w:val="24"/>
          <w:szCs w:val="24"/>
          <w:shd w:val="clear" w:color="auto" w:fill="F5F5F5"/>
        </w:rPr>
        <w:t xml:space="preserve"> associated </w:t>
      </w:r>
      <w:r w:rsidR="000D3D93" w:rsidRPr="001C7B25">
        <w:rPr>
          <w:rFonts w:ascii="Times New Roman" w:hAnsi="Times New Roman" w:cs="Times New Roman"/>
          <w:color w:val="000000" w:themeColor="text1"/>
          <w:sz w:val="24"/>
          <w:szCs w:val="24"/>
          <w:shd w:val="clear" w:color="auto" w:fill="F5F5F5"/>
        </w:rPr>
        <w:t>with</w:t>
      </w:r>
      <w:r w:rsidR="00FC1AD2" w:rsidRPr="001C7B25">
        <w:rPr>
          <w:rFonts w:ascii="Times New Roman" w:hAnsi="Times New Roman" w:cs="Times New Roman"/>
          <w:color w:val="000000" w:themeColor="text1"/>
          <w:sz w:val="24"/>
          <w:szCs w:val="24"/>
          <w:shd w:val="clear" w:color="auto" w:fill="F5F5F5"/>
        </w:rPr>
        <w:t xml:space="preserve"> </w:t>
      </w:r>
      <w:r w:rsidR="00FC1AD2" w:rsidRPr="001C7B25">
        <w:rPr>
          <w:rFonts w:ascii="Times New Roman" w:hAnsi="Times New Roman" w:cs="Times New Roman"/>
          <w:color w:val="000000" w:themeColor="text1"/>
          <w:kern w:val="0"/>
          <w:sz w:val="24"/>
          <w:szCs w:val="24"/>
        </w:rPr>
        <w:t>all-cause mortality. Figure</w:t>
      </w:r>
      <w:r w:rsidR="009E0EF9" w:rsidRPr="001C7B25">
        <w:rPr>
          <w:rFonts w:ascii="Times New Roman" w:hAnsi="Times New Roman" w:cs="Times New Roman"/>
          <w:color w:val="000000" w:themeColor="text1"/>
          <w:kern w:val="0"/>
          <w:sz w:val="24"/>
          <w:szCs w:val="24"/>
        </w:rPr>
        <w:t xml:space="preserve"> 2 s</w:t>
      </w:r>
      <w:r w:rsidR="002B5B37" w:rsidRPr="001C7B25">
        <w:rPr>
          <w:rFonts w:ascii="Times New Roman" w:hAnsi="Times New Roman" w:cs="Times New Roman"/>
          <w:color w:val="000000" w:themeColor="text1"/>
          <w:kern w:val="0"/>
          <w:sz w:val="24"/>
          <w:szCs w:val="24"/>
        </w:rPr>
        <w:t xml:space="preserve">hows that the </w:t>
      </w:r>
      <w:r w:rsidR="005867BE" w:rsidRPr="001C7B25">
        <w:rPr>
          <w:rFonts w:ascii="Times New Roman" w:hAnsi="Times New Roman" w:cs="Times New Roman"/>
          <w:color w:val="000000" w:themeColor="text1"/>
          <w:kern w:val="0"/>
          <w:sz w:val="24"/>
          <w:szCs w:val="24"/>
        </w:rPr>
        <w:t xml:space="preserve">IPW-adjusted </w:t>
      </w:r>
      <w:r w:rsidR="002B5B37" w:rsidRPr="001C7B25">
        <w:rPr>
          <w:rFonts w:ascii="Times New Roman" w:hAnsi="Times New Roman" w:cs="Times New Roman"/>
          <w:color w:val="000000" w:themeColor="text1"/>
          <w:kern w:val="0"/>
          <w:sz w:val="24"/>
          <w:szCs w:val="24"/>
        </w:rPr>
        <w:t xml:space="preserve">cumulative </w:t>
      </w:r>
      <w:r w:rsidR="008D5E01" w:rsidRPr="001C7B25">
        <w:rPr>
          <w:rFonts w:ascii="Times New Roman" w:hAnsi="Times New Roman" w:cs="Times New Roman"/>
          <w:color w:val="000000" w:themeColor="text1"/>
          <w:kern w:val="0"/>
          <w:sz w:val="24"/>
          <w:szCs w:val="24"/>
        </w:rPr>
        <w:t xml:space="preserve">all-cause </w:t>
      </w:r>
      <w:r w:rsidR="002B5B37" w:rsidRPr="001C7B25">
        <w:rPr>
          <w:rFonts w:ascii="Times New Roman" w:hAnsi="Times New Roman" w:cs="Times New Roman"/>
          <w:color w:val="000000" w:themeColor="text1"/>
          <w:kern w:val="0"/>
          <w:sz w:val="24"/>
          <w:szCs w:val="24"/>
        </w:rPr>
        <w:t>mortality rate</w:t>
      </w:r>
      <w:r w:rsidR="005867BE" w:rsidRPr="001C7B25">
        <w:rPr>
          <w:rFonts w:ascii="Times New Roman" w:hAnsi="Times New Roman" w:cs="Times New Roman"/>
          <w:color w:val="000000" w:themeColor="text1"/>
          <w:kern w:val="0"/>
          <w:sz w:val="24"/>
          <w:szCs w:val="24"/>
        </w:rPr>
        <w:t>s</w:t>
      </w:r>
      <w:r w:rsidR="002B5B37" w:rsidRPr="001C7B25">
        <w:rPr>
          <w:rFonts w:ascii="Times New Roman" w:hAnsi="Times New Roman" w:cs="Times New Roman"/>
          <w:color w:val="000000" w:themeColor="text1"/>
          <w:kern w:val="0"/>
          <w:sz w:val="24"/>
          <w:szCs w:val="24"/>
        </w:rPr>
        <w:t xml:space="preserve"> </w:t>
      </w:r>
      <w:r w:rsidR="005867BE" w:rsidRPr="001C7B25">
        <w:rPr>
          <w:rFonts w:ascii="Times New Roman" w:hAnsi="Times New Roman" w:cs="Times New Roman"/>
          <w:color w:val="000000" w:themeColor="text1"/>
          <w:kern w:val="0"/>
          <w:sz w:val="24"/>
          <w:szCs w:val="24"/>
        </w:rPr>
        <w:t xml:space="preserve">in the DAA </w:t>
      </w:r>
      <w:r w:rsidR="002B5B37" w:rsidRPr="001C7B25">
        <w:rPr>
          <w:rFonts w:ascii="Times New Roman" w:hAnsi="Times New Roman" w:cs="Times New Roman"/>
          <w:color w:val="000000" w:themeColor="text1"/>
          <w:kern w:val="0"/>
          <w:sz w:val="24"/>
          <w:szCs w:val="24"/>
        </w:rPr>
        <w:t>and Non-</w:t>
      </w:r>
      <w:r w:rsidR="005867BE" w:rsidRPr="001C7B25">
        <w:rPr>
          <w:rFonts w:ascii="Times New Roman" w:hAnsi="Times New Roman" w:cs="Times New Roman"/>
          <w:color w:val="000000" w:themeColor="text1"/>
          <w:kern w:val="0"/>
          <w:sz w:val="24"/>
          <w:szCs w:val="24"/>
        </w:rPr>
        <w:t xml:space="preserve">DAA </w:t>
      </w:r>
      <w:r w:rsidR="002B5B37" w:rsidRPr="001C7B25">
        <w:rPr>
          <w:rFonts w:ascii="Times New Roman" w:hAnsi="Times New Roman" w:cs="Times New Roman"/>
          <w:color w:val="000000" w:themeColor="text1"/>
          <w:kern w:val="0"/>
          <w:sz w:val="24"/>
          <w:szCs w:val="24"/>
        </w:rPr>
        <w:t xml:space="preserve">groups </w:t>
      </w:r>
      <w:r w:rsidR="005867BE" w:rsidRPr="001C7B25">
        <w:rPr>
          <w:rFonts w:ascii="Times New Roman" w:hAnsi="Times New Roman" w:cs="Times New Roman"/>
          <w:color w:val="000000" w:themeColor="text1"/>
          <w:kern w:val="0"/>
          <w:sz w:val="24"/>
          <w:szCs w:val="24"/>
        </w:rPr>
        <w:t>were</w:t>
      </w:r>
      <w:r w:rsidR="00814944" w:rsidRPr="001C7B25">
        <w:rPr>
          <w:rFonts w:ascii="Times New Roman" w:hAnsi="Times New Roman" w:cs="Times New Roman"/>
          <w:color w:val="000000" w:themeColor="text1"/>
          <w:kern w:val="0"/>
          <w:sz w:val="24"/>
          <w:szCs w:val="24"/>
        </w:rPr>
        <w:t xml:space="preserve"> </w:t>
      </w:r>
      <w:r w:rsidR="008D5E01" w:rsidRPr="001C7B25">
        <w:rPr>
          <w:rFonts w:ascii="Times New Roman" w:hAnsi="Times New Roman" w:cs="Times New Roman"/>
          <w:color w:val="000000" w:themeColor="text1"/>
          <w:kern w:val="0"/>
          <w:sz w:val="24"/>
          <w:szCs w:val="24"/>
        </w:rPr>
        <w:t xml:space="preserve">6.1% and </w:t>
      </w:r>
      <w:r w:rsidR="00DD4FC5" w:rsidRPr="001C7B25">
        <w:rPr>
          <w:rFonts w:ascii="Times New Roman" w:hAnsi="Times New Roman" w:cs="Times New Roman"/>
          <w:color w:val="000000" w:themeColor="text1"/>
          <w:kern w:val="0"/>
          <w:sz w:val="24"/>
          <w:szCs w:val="24"/>
        </w:rPr>
        <w:t>18.4</w:t>
      </w:r>
      <w:r w:rsidR="008D5E01" w:rsidRPr="001C7B25">
        <w:rPr>
          <w:rFonts w:ascii="Times New Roman" w:hAnsi="Times New Roman" w:cs="Times New Roman"/>
          <w:color w:val="000000" w:themeColor="text1"/>
          <w:kern w:val="0"/>
          <w:sz w:val="24"/>
          <w:szCs w:val="24"/>
        </w:rPr>
        <w:t xml:space="preserve">% at 1 year, </w:t>
      </w:r>
      <w:r w:rsidR="008D5E01" w:rsidRPr="001C7B25">
        <w:rPr>
          <w:rStyle w:val="tlid-translation"/>
          <w:rFonts w:ascii="Times New Roman" w:hAnsi="Times New Roman" w:cs="Times New Roman"/>
          <w:color w:val="000000" w:themeColor="text1"/>
          <w:sz w:val="24"/>
          <w:szCs w:val="24"/>
          <w:lang w:val="en"/>
        </w:rPr>
        <w:t xml:space="preserve">respectively, </w:t>
      </w:r>
      <w:r w:rsidR="00DD4FC5" w:rsidRPr="001C7B25">
        <w:rPr>
          <w:rStyle w:val="tlid-translation"/>
          <w:rFonts w:ascii="Times New Roman" w:hAnsi="Times New Roman" w:cs="Times New Roman"/>
          <w:color w:val="000000" w:themeColor="text1"/>
          <w:sz w:val="24"/>
          <w:szCs w:val="24"/>
          <w:lang w:val="en"/>
        </w:rPr>
        <w:t>13.1</w:t>
      </w:r>
      <w:r w:rsidR="008D5E01" w:rsidRPr="001C7B25">
        <w:rPr>
          <w:rStyle w:val="tlid-translation"/>
          <w:rFonts w:ascii="Times New Roman" w:hAnsi="Times New Roman" w:cs="Times New Roman"/>
          <w:color w:val="000000" w:themeColor="text1"/>
          <w:sz w:val="24"/>
          <w:szCs w:val="24"/>
          <w:lang w:val="en"/>
        </w:rPr>
        <w:t xml:space="preserve">% and </w:t>
      </w:r>
      <w:r w:rsidR="00DD4FC5" w:rsidRPr="001C7B25">
        <w:rPr>
          <w:rStyle w:val="tlid-translation"/>
          <w:rFonts w:ascii="Times New Roman" w:hAnsi="Times New Roman" w:cs="Times New Roman"/>
          <w:color w:val="000000" w:themeColor="text1"/>
          <w:sz w:val="24"/>
          <w:szCs w:val="24"/>
          <w:lang w:val="en"/>
        </w:rPr>
        <w:t>23.7</w:t>
      </w:r>
      <w:r w:rsidR="008D5E01" w:rsidRPr="001C7B25">
        <w:rPr>
          <w:rStyle w:val="tlid-translation"/>
          <w:rFonts w:ascii="Times New Roman" w:hAnsi="Times New Roman" w:cs="Times New Roman"/>
          <w:color w:val="000000" w:themeColor="text1"/>
          <w:sz w:val="24"/>
          <w:szCs w:val="24"/>
          <w:lang w:val="en"/>
        </w:rPr>
        <w:t>%</w:t>
      </w:r>
      <w:r w:rsidR="00822E40" w:rsidRPr="001C7B25">
        <w:rPr>
          <w:rStyle w:val="tlid-translation"/>
          <w:rFonts w:ascii="Times New Roman" w:hAnsi="Times New Roman" w:cs="Times New Roman"/>
          <w:color w:val="000000" w:themeColor="text1"/>
          <w:sz w:val="24"/>
          <w:szCs w:val="24"/>
          <w:lang w:val="en"/>
        </w:rPr>
        <w:t xml:space="preserve"> at 2 year</w:t>
      </w:r>
      <w:r w:rsidR="00497002" w:rsidRPr="001C7B25">
        <w:rPr>
          <w:rStyle w:val="tlid-translation"/>
          <w:rFonts w:ascii="Times New Roman" w:hAnsi="Times New Roman" w:cs="Times New Roman"/>
          <w:color w:val="000000" w:themeColor="text1"/>
          <w:sz w:val="24"/>
          <w:szCs w:val="24"/>
          <w:lang w:val="en"/>
        </w:rPr>
        <w:t>s</w:t>
      </w:r>
      <w:r w:rsidR="008D5E01" w:rsidRPr="001C7B25">
        <w:rPr>
          <w:rStyle w:val="tlid-translation"/>
          <w:rFonts w:ascii="Times New Roman" w:hAnsi="Times New Roman" w:cs="Times New Roman"/>
          <w:color w:val="000000" w:themeColor="text1"/>
          <w:sz w:val="24"/>
          <w:szCs w:val="24"/>
          <w:lang w:val="en"/>
        </w:rPr>
        <w:t xml:space="preserve">, respectively, and </w:t>
      </w:r>
      <w:r w:rsidR="00DD4FC5" w:rsidRPr="001C7B25">
        <w:rPr>
          <w:rStyle w:val="tlid-translation"/>
          <w:rFonts w:ascii="Times New Roman" w:hAnsi="Times New Roman" w:cs="Times New Roman"/>
          <w:color w:val="000000" w:themeColor="text1"/>
          <w:sz w:val="24"/>
          <w:szCs w:val="24"/>
          <w:lang w:val="en"/>
        </w:rPr>
        <w:t>16.8</w:t>
      </w:r>
      <w:r w:rsidR="008D5E01" w:rsidRPr="001C7B25">
        <w:rPr>
          <w:rStyle w:val="tlid-translation"/>
          <w:rFonts w:ascii="Times New Roman" w:hAnsi="Times New Roman" w:cs="Times New Roman"/>
          <w:color w:val="000000" w:themeColor="text1"/>
          <w:sz w:val="24"/>
          <w:szCs w:val="24"/>
          <w:lang w:val="en"/>
        </w:rPr>
        <w:t xml:space="preserve">% and </w:t>
      </w:r>
      <w:r w:rsidR="00DD4FC5" w:rsidRPr="001C7B25">
        <w:rPr>
          <w:rStyle w:val="tlid-translation"/>
          <w:rFonts w:ascii="Times New Roman" w:hAnsi="Times New Roman" w:cs="Times New Roman"/>
          <w:color w:val="000000" w:themeColor="text1"/>
          <w:sz w:val="24"/>
          <w:szCs w:val="24"/>
          <w:lang w:val="en"/>
        </w:rPr>
        <w:t>30.0</w:t>
      </w:r>
      <w:r w:rsidR="008D5E01" w:rsidRPr="001C7B25">
        <w:rPr>
          <w:rStyle w:val="tlid-translation"/>
          <w:rFonts w:ascii="Times New Roman" w:hAnsi="Times New Roman" w:cs="Times New Roman"/>
          <w:color w:val="000000" w:themeColor="text1"/>
          <w:sz w:val="24"/>
          <w:szCs w:val="24"/>
          <w:lang w:val="en"/>
        </w:rPr>
        <w:t>%</w:t>
      </w:r>
      <w:r w:rsidR="00822E40" w:rsidRPr="001C7B25">
        <w:rPr>
          <w:rStyle w:val="tlid-translation"/>
          <w:rFonts w:ascii="Times New Roman" w:hAnsi="Times New Roman" w:cs="Times New Roman"/>
          <w:color w:val="000000" w:themeColor="text1"/>
          <w:sz w:val="24"/>
          <w:szCs w:val="24"/>
          <w:lang w:val="en"/>
        </w:rPr>
        <w:t xml:space="preserve"> at 3</w:t>
      </w:r>
      <w:r w:rsidR="00497002" w:rsidRPr="001C7B25">
        <w:rPr>
          <w:rStyle w:val="tlid-translation"/>
          <w:rFonts w:ascii="Times New Roman" w:hAnsi="Times New Roman" w:cs="Times New Roman"/>
          <w:color w:val="000000" w:themeColor="text1"/>
          <w:sz w:val="24"/>
          <w:szCs w:val="24"/>
          <w:lang w:val="en"/>
        </w:rPr>
        <w:t xml:space="preserve"> </w:t>
      </w:r>
      <w:r w:rsidR="00822E40" w:rsidRPr="001C7B25">
        <w:rPr>
          <w:rStyle w:val="tlid-translation"/>
          <w:rFonts w:ascii="Times New Roman" w:hAnsi="Times New Roman" w:cs="Times New Roman"/>
          <w:color w:val="000000" w:themeColor="text1"/>
          <w:sz w:val="24"/>
          <w:szCs w:val="24"/>
          <w:lang w:val="en"/>
        </w:rPr>
        <w:t>years</w:t>
      </w:r>
      <w:r w:rsidR="008D5E01" w:rsidRPr="001C7B25">
        <w:rPr>
          <w:rStyle w:val="tlid-translation"/>
          <w:rFonts w:ascii="Times New Roman" w:hAnsi="Times New Roman" w:cs="Times New Roman"/>
          <w:color w:val="000000" w:themeColor="text1"/>
          <w:sz w:val="24"/>
          <w:szCs w:val="24"/>
          <w:lang w:val="en"/>
        </w:rPr>
        <w:t>,</w:t>
      </w:r>
      <w:r w:rsidR="008D5E01" w:rsidRPr="001C7B25">
        <w:rPr>
          <w:rFonts w:ascii="Times New Roman" w:hAnsi="Times New Roman" w:cs="Times New Roman"/>
          <w:color w:val="000000" w:themeColor="text1"/>
          <w:sz w:val="24"/>
          <w:szCs w:val="24"/>
          <w:lang w:val="en"/>
        </w:rPr>
        <w:t xml:space="preserve"> </w:t>
      </w:r>
      <w:r w:rsidR="008D5E01" w:rsidRPr="001C7B25">
        <w:rPr>
          <w:rStyle w:val="tlid-translation"/>
          <w:rFonts w:ascii="Times New Roman" w:hAnsi="Times New Roman" w:cs="Times New Roman"/>
          <w:color w:val="000000" w:themeColor="text1"/>
          <w:sz w:val="24"/>
          <w:szCs w:val="24"/>
          <w:lang w:val="en"/>
        </w:rPr>
        <w:t xml:space="preserve">respectively, </w:t>
      </w:r>
      <w:r w:rsidR="005867BE" w:rsidRPr="001C7B25">
        <w:rPr>
          <w:rStyle w:val="tlid-translation"/>
          <w:rFonts w:ascii="Times New Roman" w:hAnsi="Times New Roman" w:cs="Times New Roman"/>
          <w:color w:val="000000" w:themeColor="text1"/>
          <w:sz w:val="24"/>
          <w:szCs w:val="24"/>
          <w:lang w:val="en"/>
        </w:rPr>
        <w:t>indicating</w:t>
      </w:r>
      <w:r w:rsidR="008D5E01" w:rsidRPr="001C7B25">
        <w:rPr>
          <w:rFonts w:ascii="Times New Roman" w:hAnsi="Times New Roman" w:cs="Times New Roman"/>
          <w:color w:val="000000" w:themeColor="text1"/>
          <w:kern w:val="24"/>
          <w:sz w:val="24"/>
          <w:szCs w:val="24"/>
        </w:rPr>
        <w:t xml:space="preserve"> a significant difference (</w:t>
      </w:r>
      <w:r w:rsidR="008D5E01" w:rsidRPr="001C7B25">
        <w:rPr>
          <w:rFonts w:ascii="Times New Roman" w:hAnsi="Times New Roman" w:cs="Times New Roman"/>
          <w:i/>
          <w:color w:val="000000" w:themeColor="text1"/>
          <w:kern w:val="24"/>
          <w:sz w:val="24"/>
          <w:szCs w:val="24"/>
        </w:rPr>
        <w:t>p</w:t>
      </w:r>
      <w:r w:rsidR="008D5E01" w:rsidRPr="001C7B25">
        <w:rPr>
          <w:rFonts w:ascii="Times New Roman" w:hAnsi="Times New Roman" w:cs="Times New Roman"/>
          <w:color w:val="000000" w:themeColor="text1"/>
          <w:kern w:val="24"/>
          <w:sz w:val="24"/>
          <w:szCs w:val="24"/>
        </w:rPr>
        <w:t xml:space="preserve">&lt;0.0001, </w:t>
      </w:r>
      <w:r w:rsidR="00F367EA" w:rsidRPr="001C7B25">
        <w:rPr>
          <w:rFonts w:ascii="Times New Roman" w:hAnsi="Times New Roman" w:cs="Times New Roman"/>
          <w:color w:val="000000" w:themeColor="text1"/>
          <w:kern w:val="24"/>
          <w:sz w:val="24"/>
          <w:szCs w:val="24"/>
        </w:rPr>
        <w:t>IPW</w:t>
      </w:r>
      <w:r w:rsidR="005867BE" w:rsidRPr="001C7B25">
        <w:rPr>
          <w:rFonts w:ascii="Times New Roman" w:hAnsi="Times New Roman" w:cs="Times New Roman"/>
          <w:color w:val="000000" w:themeColor="text1"/>
          <w:kern w:val="24"/>
          <w:sz w:val="24"/>
          <w:szCs w:val="24"/>
        </w:rPr>
        <w:t>-</w:t>
      </w:r>
      <w:r w:rsidR="00F367EA" w:rsidRPr="001C7B25">
        <w:rPr>
          <w:rFonts w:ascii="Times New Roman" w:hAnsi="Times New Roman" w:cs="Times New Roman"/>
          <w:color w:val="000000" w:themeColor="text1"/>
          <w:kern w:val="24"/>
          <w:sz w:val="24"/>
          <w:szCs w:val="24"/>
        </w:rPr>
        <w:t xml:space="preserve">adjusted </w:t>
      </w:r>
      <w:r w:rsidR="008D5E01" w:rsidRPr="001C7B25">
        <w:rPr>
          <w:rFonts w:ascii="Times New Roman" w:hAnsi="Times New Roman" w:cs="Times New Roman"/>
          <w:color w:val="000000" w:themeColor="text1"/>
          <w:kern w:val="24"/>
          <w:sz w:val="24"/>
          <w:szCs w:val="24"/>
        </w:rPr>
        <w:t>log-rank test)</w:t>
      </w:r>
      <w:r w:rsidR="008D5E01" w:rsidRPr="001C7B25">
        <w:rPr>
          <w:rFonts w:ascii="Times New Roman" w:hAnsi="Times New Roman" w:cs="Times New Roman"/>
          <w:color w:val="000000" w:themeColor="text1"/>
          <w:kern w:val="0"/>
          <w:sz w:val="24"/>
          <w:szCs w:val="24"/>
        </w:rPr>
        <w:t>.</w:t>
      </w:r>
    </w:p>
    <w:p w14:paraId="46F8AACA" w14:textId="6F98875E" w:rsidR="00FA0B08" w:rsidRPr="001C7B25" w:rsidRDefault="00353AFF" w:rsidP="00A1765E">
      <w:pPr>
        <w:widowControl/>
        <w:spacing w:line="480" w:lineRule="auto"/>
        <w:jc w:val="left"/>
        <w:rPr>
          <w:rFonts w:ascii="Times New Roman" w:hAnsi="Times New Roman" w:cs="Times New Roman"/>
          <w:b/>
          <w:color w:val="000000" w:themeColor="text1"/>
          <w:kern w:val="0"/>
          <w:sz w:val="24"/>
          <w:szCs w:val="24"/>
        </w:rPr>
      </w:pPr>
      <w:r w:rsidRPr="001C7B25">
        <w:rPr>
          <w:rFonts w:ascii="Times New Roman" w:hAnsi="Times New Roman" w:cs="Times New Roman"/>
          <w:b/>
          <w:color w:val="000000" w:themeColor="text1"/>
          <w:kern w:val="0"/>
          <w:sz w:val="24"/>
          <w:szCs w:val="24"/>
        </w:rPr>
        <w:t xml:space="preserve">Ratio of liver-related and </w:t>
      </w:r>
      <w:r w:rsidR="00EF7C51" w:rsidRPr="001C7B25">
        <w:rPr>
          <w:rFonts w:ascii="Times New Roman" w:hAnsi="Times New Roman" w:cs="Times New Roman"/>
          <w:b/>
          <w:color w:val="000000" w:themeColor="text1"/>
          <w:kern w:val="0"/>
          <w:sz w:val="24"/>
          <w:szCs w:val="24"/>
        </w:rPr>
        <w:t xml:space="preserve">non–liver-related </w:t>
      </w:r>
      <w:r w:rsidRPr="001C7B25">
        <w:rPr>
          <w:rFonts w:ascii="Times New Roman" w:hAnsi="Times New Roman" w:cs="Times New Roman"/>
          <w:b/>
          <w:color w:val="000000" w:themeColor="text1"/>
          <w:kern w:val="0"/>
          <w:sz w:val="24"/>
          <w:szCs w:val="24"/>
        </w:rPr>
        <w:t>mortality</w:t>
      </w:r>
    </w:p>
    <w:p w14:paraId="38641A14" w14:textId="4B93D55A" w:rsidR="00353AFF" w:rsidRPr="001C7B25" w:rsidRDefault="00353AFF" w:rsidP="00A1765E">
      <w:pPr>
        <w:widowControl/>
        <w:spacing w:line="480" w:lineRule="auto"/>
        <w:jc w:val="left"/>
        <w:rPr>
          <w:rStyle w:val="tlid-translation"/>
          <w:rFonts w:ascii="Times New Roman" w:hAnsi="Times New Roman" w:cs="Times New Roman"/>
          <w:color w:val="000000" w:themeColor="text1"/>
          <w:sz w:val="24"/>
          <w:szCs w:val="24"/>
          <w:lang w:val="en"/>
        </w:rPr>
      </w:pPr>
      <w:r w:rsidRPr="001C7B25">
        <w:rPr>
          <w:rFonts w:ascii="Times New Roman" w:hAnsi="Times New Roman" w:cs="Times New Roman"/>
          <w:color w:val="000000" w:themeColor="text1"/>
          <w:kern w:val="0"/>
          <w:sz w:val="24"/>
          <w:szCs w:val="24"/>
        </w:rPr>
        <w:tab/>
        <w:t xml:space="preserve">Figure 3 shows </w:t>
      </w:r>
      <w:r w:rsidR="005867BE" w:rsidRPr="001C7B25">
        <w:rPr>
          <w:rFonts w:ascii="Times New Roman" w:hAnsi="Times New Roman" w:cs="Times New Roman"/>
          <w:color w:val="000000" w:themeColor="text1"/>
          <w:kern w:val="0"/>
          <w:sz w:val="24"/>
          <w:szCs w:val="24"/>
        </w:rPr>
        <w:t xml:space="preserve">that </w:t>
      </w:r>
      <w:r w:rsidRPr="001C7B25">
        <w:rPr>
          <w:rFonts w:ascii="Times New Roman" w:hAnsi="Times New Roman" w:cs="Times New Roman"/>
          <w:color w:val="000000" w:themeColor="text1"/>
          <w:kern w:val="0"/>
          <w:sz w:val="24"/>
          <w:szCs w:val="24"/>
        </w:rPr>
        <w:t>the cumulative incidence rates of liver-related and non</w:t>
      </w:r>
      <w:r w:rsidR="005867BE" w:rsidRPr="001C7B25">
        <w:rPr>
          <w:rFonts w:ascii="Times New Roman" w:hAnsi="Times New Roman" w:cs="Times New Roman"/>
          <w:color w:val="000000" w:themeColor="text1"/>
          <w:kern w:val="0"/>
          <w:sz w:val="24"/>
          <w:szCs w:val="24"/>
        </w:rPr>
        <w:t>–</w:t>
      </w:r>
      <w:r w:rsidRPr="001C7B25">
        <w:rPr>
          <w:rFonts w:ascii="Times New Roman" w:hAnsi="Times New Roman" w:cs="Times New Roman"/>
          <w:color w:val="000000" w:themeColor="text1"/>
          <w:kern w:val="0"/>
          <w:sz w:val="24"/>
          <w:szCs w:val="24"/>
        </w:rPr>
        <w:t>liver</w:t>
      </w:r>
      <w:r w:rsidR="005867BE" w:rsidRPr="001C7B25">
        <w:rPr>
          <w:rFonts w:ascii="Times New Roman" w:hAnsi="Times New Roman" w:cs="Times New Roman"/>
          <w:color w:val="000000" w:themeColor="text1"/>
          <w:kern w:val="0"/>
          <w:sz w:val="24"/>
          <w:szCs w:val="24"/>
        </w:rPr>
        <w:t>-</w:t>
      </w:r>
      <w:r w:rsidRPr="001C7B25">
        <w:rPr>
          <w:rFonts w:ascii="Times New Roman" w:hAnsi="Times New Roman" w:cs="Times New Roman"/>
          <w:color w:val="000000" w:themeColor="text1"/>
          <w:kern w:val="0"/>
          <w:sz w:val="24"/>
          <w:szCs w:val="24"/>
        </w:rPr>
        <w:t>related mortality</w:t>
      </w:r>
      <w:r w:rsidRPr="001C7B25">
        <w:rPr>
          <w:rFonts w:ascii="Times New Roman" w:eastAsia="AdvOT678fd422" w:hAnsi="Times New Roman" w:cs="Times New Roman"/>
          <w:color w:val="000000" w:themeColor="text1"/>
          <w:kern w:val="0"/>
          <w:sz w:val="24"/>
          <w:szCs w:val="24"/>
        </w:rPr>
        <w:t xml:space="preserve"> </w:t>
      </w:r>
      <w:r w:rsidR="00497002" w:rsidRPr="001C7B25">
        <w:rPr>
          <w:rStyle w:val="tlid-translation"/>
          <w:rFonts w:ascii="Times New Roman" w:hAnsi="Times New Roman" w:cs="Times New Roman"/>
          <w:color w:val="000000" w:themeColor="text1"/>
          <w:sz w:val="24"/>
          <w:szCs w:val="24"/>
          <w:lang w:val="en"/>
        </w:rPr>
        <w:t>were 6.0% and 11.6% at 1 year</w:t>
      </w:r>
      <w:r w:rsidRPr="001C7B25">
        <w:rPr>
          <w:rStyle w:val="tlid-translation"/>
          <w:rFonts w:ascii="Times New Roman" w:hAnsi="Times New Roman" w:cs="Times New Roman"/>
          <w:color w:val="000000" w:themeColor="text1"/>
          <w:sz w:val="24"/>
          <w:szCs w:val="24"/>
          <w:lang w:val="en"/>
        </w:rPr>
        <w:t xml:space="preserve">, respectively, </w:t>
      </w:r>
      <w:r w:rsidR="000D3D93" w:rsidRPr="001C7B25">
        <w:rPr>
          <w:rStyle w:val="tlid-translation"/>
          <w:rFonts w:ascii="Times New Roman" w:hAnsi="Times New Roman" w:cs="Times New Roman"/>
          <w:color w:val="000000" w:themeColor="text1"/>
          <w:sz w:val="24"/>
          <w:szCs w:val="24"/>
          <w:lang w:val="en"/>
        </w:rPr>
        <w:t>9.</w:t>
      </w:r>
      <w:r w:rsidR="00DD4FC5" w:rsidRPr="001C7B25">
        <w:rPr>
          <w:rStyle w:val="tlid-translation"/>
          <w:rFonts w:ascii="Times New Roman" w:hAnsi="Times New Roman" w:cs="Times New Roman"/>
          <w:color w:val="000000" w:themeColor="text1"/>
          <w:sz w:val="24"/>
          <w:szCs w:val="24"/>
          <w:lang w:val="en"/>
        </w:rPr>
        <w:t>7</w:t>
      </w:r>
      <w:r w:rsidRPr="001C7B25">
        <w:rPr>
          <w:rStyle w:val="tlid-translation"/>
          <w:rFonts w:ascii="Times New Roman" w:hAnsi="Times New Roman" w:cs="Times New Roman"/>
          <w:color w:val="000000" w:themeColor="text1"/>
          <w:sz w:val="24"/>
          <w:szCs w:val="24"/>
          <w:lang w:val="en"/>
        </w:rPr>
        <w:t xml:space="preserve">% and </w:t>
      </w:r>
      <w:r w:rsidR="00DD4FC5" w:rsidRPr="001C7B25">
        <w:rPr>
          <w:rStyle w:val="tlid-translation"/>
          <w:rFonts w:ascii="Times New Roman" w:hAnsi="Times New Roman" w:cs="Times New Roman"/>
          <w:color w:val="000000" w:themeColor="text1"/>
          <w:sz w:val="24"/>
          <w:szCs w:val="24"/>
          <w:lang w:val="en"/>
        </w:rPr>
        <w:t>15.8</w:t>
      </w:r>
      <w:r w:rsidRPr="001C7B25">
        <w:rPr>
          <w:rStyle w:val="tlid-translation"/>
          <w:rFonts w:ascii="Times New Roman" w:hAnsi="Times New Roman" w:cs="Times New Roman"/>
          <w:color w:val="000000" w:themeColor="text1"/>
          <w:sz w:val="24"/>
          <w:szCs w:val="24"/>
          <w:lang w:val="en"/>
        </w:rPr>
        <w:t xml:space="preserve">% at </w:t>
      </w:r>
      <w:r w:rsidR="000D3D93" w:rsidRPr="001C7B25">
        <w:rPr>
          <w:rStyle w:val="tlid-translation"/>
          <w:rFonts w:ascii="Times New Roman" w:hAnsi="Times New Roman" w:cs="Times New Roman"/>
          <w:color w:val="000000" w:themeColor="text1"/>
          <w:sz w:val="24"/>
          <w:szCs w:val="24"/>
          <w:lang w:val="en"/>
        </w:rPr>
        <w:t>2</w:t>
      </w:r>
      <w:r w:rsidRPr="001C7B25">
        <w:rPr>
          <w:rStyle w:val="tlid-translation"/>
          <w:rFonts w:ascii="Times New Roman" w:hAnsi="Times New Roman" w:cs="Times New Roman"/>
          <w:color w:val="000000" w:themeColor="text1"/>
          <w:sz w:val="24"/>
          <w:szCs w:val="24"/>
          <w:lang w:val="en"/>
        </w:rPr>
        <w:t xml:space="preserve"> years, respectively, and </w:t>
      </w:r>
      <w:r w:rsidR="000D3D93" w:rsidRPr="001C7B25">
        <w:rPr>
          <w:rStyle w:val="tlid-translation"/>
          <w:rFonts w:ascii="Times New Roman" w:hAnsi="Times New Roman" w:cs="Times New Roman"/>
          <w:color w:val="000000" w:themeColor="text1"/>
          <w:sz w:val="24"/>
          <w:szCs w:val="24"/>
          <w:lang w:val="en"/>
        </w:rPr>
        <w:t>13.8</w:t>
      </w:r>
      <w:r w:rsidRPr="001C7B25">
        <w:rPr>
          <w:rStyle w:val="tlid-translation"/>
          <w:rFonts w:ascii="Times New Roman" w:hAnsi="Times New Roman" w:cs="Times New Roman"/>
          <w:color w:val="000000" w:themeColor="text1"/>
          <w:sz w:val="24"/>
          <w:szCs w:val="24"/>
          <w:lang w:val="en"/>
        </w:rPr>
        <w:t xml:space="preserve">% and </w:t>
      </w:r>
      <w:r w:rsidR="00DD4FC5" w:rsidRPr="001C7B25">
        <w:rPr>
          <w:rStyle w:val="tlid-translation"/>
          <w:rFonts w:ascii="Times New Roman" w:hAnsi="Times New Roman" w:cs="Times New Roman"/>
          <w:color w:val="000000" w:themeColor="text1"/>
          <w:sz w:val="24"/>
          <w:szCs w:val="24"/>
          <w:lang w:val="en"/>
        </w:rPr>
        <w:t>19.8</w:t>
      </w:r>
      <w:r w:rsidRPr="001C7B25">
        <w:rPr>
          <w:rStyle w:val="tlid-translation"/>
          <w:rFonts w:ascii="Times New Roman" w:hAnsi="Times New Roman" w:cs="Times New Roman"/>
          <w:color w:val="000000" w:themeColor="text1"/>
          <w:sz w:val="24"/>
          <w:szCs w:val="24"/>
          <w:lang w:val="en"/>
        </w:rPr>
        <w:t>% at 5 years, respectively.</w:t>
      </w:r>
    </w:p>
    <w:p w14:paraId="41FA1FC5" w14:textId="77777777" w:rsidR="000D3D93" w:rsidRPr="001C7B25" w:rsidRDefault="000D3D93" w:rsidP="00A1765E">
      <w:pPr>
        <w:widowControl/>
        <w:spacing w:line="480" w:lineRule="auto"/>
        <w:jc w:val="left"/>
        <w:rPr>
          <w:rStyle w:val="tlid-translation"/>
          <w:rFonts w:ascii="Times New Roman" w:hAnsi="Times New Roman" w:cs="Times New Roman"/>
          <w:b/>
          <w:color w:val="000000" w:themeColor="text1"/>
          <w:sz w:val="24"/>
          <w:szCs w:val="24"/>
          <w:lang w:val="en"/>
        </w:rPr>
      </w:pPr>
      <w:r w:rsidRPr="001C7B25">
        <w:rPr>
          <w:rStyle w:val="tlid-translation"/>
          <w:rFonts w:ascii="Times New Roman" w:hAnsi="Times New Roman" w:cs="Times New Roman"/>
          <w:b/>
          <w:color w:val="000000" w:themeColor="text1"/>
          <w:sz w:val="24"/>
          <w:szCs w:val="24"/>
          <w:lang w:val="en"/>
        </w:rPr>
        <w:t>Factors associated with liver-related mortality</w:t>
      </w:r>
    </w:p>
    <w:p w14:paraId="048E4B19" w14:textId="0BD250B2" w:rsidR="000D3D93" w:rsidRPr="001C7B25" w:rsidRDefault="000D3D93" w:rsidP="0030527F">
      <w:pPr>
        <w:spacing w:line="480" w:lineRule="auto"/>
        <w:jc w:val="left"/>
        <w:rPr>
          <w:rFonts w:ascii="Times New Roman" w:hAnsi="Times New Roman" w:cs="Times New Roman"/>
          <w:color w:val="000000" w:themeColor="text1"/>
          <w:kern w:val="24"/>
        </w:rPr>
      </w:pPr>
      <w:r w:rsidRPr="001C7B25">
        <w:rPr>
          <w:rStyle w:val="tlid-translation"/>
          <w:rFonts w:ascii="Times New Roman" w:hAnsi="Times New Roman" w:cs="Times New Roman"/>
          <w:color w:val="000000" w:themeColor="text1"/>
          <w:sz w:val="24"/>
          <w:szCs w:val="24"/>
          <w:lang w:val="en"/>
        </w:rPr>
        <w:tab/>
      </w:r>
      <w:r w:rsidRPr="001C7B25">
        <w:rPr>
          <w:rFonts w:ascii="Times New Roman" w:eastAsia="AdvOT678fd422" w:hAnsi="Times New Roman" w:cs="Times New Roman"/>
          <w:color w:val="000000" w:themeColor="text1"/>
          <w:kern w:val="0"/>
          <w:sz w:val="24"/>
          <w:szCs w:val="24"/>
        </w:rPr>
        <w:t xml:space="preserve">Table 3 shows the factors associated with liver-related mortality according to Fine and Gray proportional hazards models. </w:t>
      </w:r>
      <w:r w:rsidR="00497002" w:rsidRPr="001C7B25">
        <w:rPr>
          <w:rStyle w:val="tlid-translation"/>
          <w:rFonts w:ascii="Times New Roman" w:hAnsi="Times New Roman" w:cs="Times New Roman"/>
          <w:color w:val="000000" w:themeColor="text1"/>
          <w:sz w:val="24"/>
          <w:szCs w:val="24"/>
          <w:lang w:val="en"/>
        </w:rPr>
        <w:t xml:space="preserve">The analyzed factors were the same as those for </w:t>
      </w:r>
      <w:r w:rsidR="00497002" w:rsidRPr="001C7B25">
        <w:rPr>
          <w:rFonts w:ascii="Times New Roman" w:hAnsi="Times New Roman" w:cs="Times New Roman"/>
          <w:color w:val="000000" w:themeColor="text1"/>
          <w:kern w:val="24"/>
          <w:sz w:val="24"/>
          <w:szCs w:val="24"/>
        </w:rPr>
        <w:t>all-cause mortality</w:t>
      </w:r>
      <w:r w:rsidRPr="001C7B25">
        <w:rPr>
          <w:rFonts w:ascii="Times New Roman" w:eastAsia="Lato-Regular" w:hAnsi="Times New Roman" w:cs="Times New Roman"/>
          <w:color w:val="000000" w:themeColor="text1"/>
          <w:kern w:val="0"/>
          <w:sz w:val="24"/>
          <w:szCs w:val="24"/>
        </w:rPr>
        <w:t xml:space="preserve">. Multivariate analysis showed that </w:t>
      </w:r>
      <w:r w:rsidR="00734AF6" w:rsidRPr="001C7B25">
        <w:rPr>
          <w:rFonts w:ascii="Times New Roman" w:hAnsi="Times New Roman" w:cs="Times New Roman"/>
          <w:color w:val="000000" w:themeColor="text1"/>
          <w:sz w:val="24"/>
          <w:szCs w:val="24"/>
          <w:shd w:val="clear" w:color="auto" w:fill="F5F5F5"/>
        </w:rPr>
        <w:t>alcohol abuse (HR</w:t>
      </w:r>
      <w:r w:rsidRPr="001C7B25">
        <w:rPr>
          <w:rFonts w:ascii="Times New Roman" w:eastAsia="Lato-Regular" w:hAnsi="Times New Roman" w:cs="Times New Roman"/>
          <w:color w:val="000000" w:themeColor="text1"/>
          <w:kern w:val="0"/>
          <w:sz w:val="24"/>
          <w:szCs w:val="24"/>
        </w:rPr>
        <w:t xml:space="preserve">, </w:t>
      </w:r>
      <w:r w:rsidR="00734AF6" w:rsidRPr="001C7B25">
        <w:rPr>
          <w:rFonts w:ascii="Times New Roman" w:hAnsi="Times New Roman" w:cs="Times New Roman"/>
          <w:color w:val="000000" w:themeColor="text1"/>
          <w:kern w:val="24"/>
          <w:sz w:val="24"/>
          <w:szCs w:val="24"/>
        </w:rPr>
        <w:t>1.6</w:t>
      </w:r>
      <w:r w:rsidR="00DD4FC5" w:rsidRPr="001C7B25">
        <w:rPr>
          <w:rFonts w:ascii="Times New Roman" w:hAnsi="Times New Roman" w:cs="Times New Roman"/>
          <w:color w:val="000000" w:themeColor="text1"/>
          <w:kern w:val="24"/>
          <w:sz w:val="24"/>
          <w:szCs w:val="24"/>
        </w:rPr>
        <w:t>13</w:t>
      </w:r>
      <w:r w:rsidRPr="001C7B25">
        <w:rPr>
          <w:rFonts w:ascii="Times New Roman" w:hAnsi="Times New Roman" w:cs="Times New Roman"/>
          <w:color w:val="000000" w:themeColor="text1"/>
          <w:kern w:val="24"/>
          <w:sz w:val="24"/>
          <w:szCs w:val="24"/>
        </w:rPr>
        <w:t xml:space="preserve">; </w:t>
      </w:r>
      <w:r w:rsidRPr="001C7B25">
        <w:rPr>
          <w:rFonts w:ascii="Times New Roman" w:hAnsi="Times New Roman" w:cs="Times New Roman"/>
          <w:color w:val="000000" w:themeColor="text1"/>
          <w:kern w:val="0"/>
          <w:sz w:val="24"/>
          <w:szCs w:val="24"/>
        </w:rPr>
        <w:t>95% CI</w:t>
      </w:r>
      <w:r w:rsidRPr="001C7B25">
        <w:rPr>
          <w:rFonts w:ascii="Times New Roman" w:hAnsi="Times New Roman" w:cs="Times New Roman"/>
          <w:color w:val="000000" w:themeColor="text1"/>
          <w:kern w:val="24"/>
          <w:sz w:val="24"/>
          <w:szCs w:val="24"/>
        </w:rPr>
        <w:t xml:space="preserve">, </w:t>
      </w:r>
      <w:r w:rsidR="00734AF6" w:rsidRPr="001C7B25">
        <w:rPr>
          <w:rFonts w:ascii="Times New Roman" w:hAnsi="Times New Roman" w:cs="Times New Roman"/>
          <w:color w:val="000000" w:themeColor="text1"/>
          <w:kern w:val="24"/>
          <w:sz w:val="24"/>
          <w:szCs w:val="24"/>
        </w:rPr>
        <w:t>1.</w:t>
      </w:r>
      <w:r w:rsidR="00DD4FC5" w:rsidRPr="001C7B25">
        <w:rPr>
          <w:rFonts w:ascii="Times New Roman" w:hAnsi="Times New Roman" w:cs="Times New Roman"/>
          <w:color w:val="000000" w:themeColor="text1"/>
          <w:kern w:val="24"/>
          <w:sz w:val="24"/>
          <w:szCs w:val="24"/>
        </w:rPr>
        <w:t>079</w:t>
      </w:r>
      <w:r w:rsidRPr="001C7B25">
        <w:rPr>
          <w:rFonts w:ascii="Times New Roman" w:hAnsi="Times New Roman" w:cs="Times New Roman"/>
          <w:color w:val="000000" w:themeColor="text1"/>
          <w:kern w:val="24"/>
          <w:sz w:val="24"/>
          <w:szCs w:val="24"/>
        </w:rPr>
        <w:t>–</w:t>
      </w:r>
      <w:r w:rsidR="00734AF6" w:rsidRPr="001C7B25">
        <w:rPr>
          <w:rFonts w:ascii="Times New Roman" w:hAnsi="Times New Roman" w:cs="Times New Roman"/>
          <w:color w:val="000000" w:themeColor="text1"/>
          <w:kern w:val="24"/>
          <w:sz w:val="24"/>
          <w:szCs w:val="24"/>
        </w:rPr>
        <w:t>2.</w:t>
      </w:r>
      <w:r w:rsidR="00DD4FC5" w:rsidRPr="001C7B25">
        <w:rPr>
          <w:rFonts w:ascii="Times New Roman" w:hAnsi="Times New Roman" w:cs="Times New Roman"/>
          <w:color w:val="000000" w:themeColor="text1"/>
          <w:kern w:val="24"/>
          <w:sz w:val="24"/>
          <w:szCs w:val="24"/>
        </w:rPr>
        <w:t>413</w:t>
      </w:r>
      <w:r w:rsidRPr="001C7B25">
        <w:rPr>
          <w:rFonts w:ascii="Times New Roman" w:hAnsi="Times New Roman" w:cs="Times New Roman"/>
          <w:color w:val="000000" w:themeColor="text1"/>
          <w:kern w:val="24"/>
          <w:sz w:val="24"/>
          <w:szCs w:val="24"/>
        </w:rPr>
        <w:t xml:space="preserve">; </w:t>
      </w:r>
      <w:r w:rsidRPr="001C7B25">
        <w:rPr>
          <w:rFonts w:ascii="Times New Roman" w:hAnsi="Times New Roman" w:cs="Times New Roman"/>
          <w:i/>
          <w:color w:val="000000" w:themeColor="text1"/>
          <w:kern w:val="24"/>
          <w:sz w:val="24"/>
          <w:szCs w:val="24"/>
        </w:rPr>
        <w:t>p</w:t>
      </w:r>
      <w:r w:rsidR="00012620" w:rsidRPr="001C7B25">
        <w:rPr>
          <w:rFonts w:ascii="Times New Roman" w:hAnsi="Times New Roman" w:cs="Times New Roman"/>
          <w:color w:val="000000" w:themeColor="text1"/>
          <w:kern w:val="24"/>
          <w:sz w:val="24"/>
          <w:szCs w:val="24"/>
        </w:rPr>
        <w:t>=0.0</w:t>
      </w:r>
      <w:r w:rsidR="00DD4FC5" w:rsidRPr="001C7B25">
        <w:rPr>
          <w:rFonts w:ascii="Times New Roman" w:hAnsi="Times New Roman" w:cs="Times New Roman"/>
          <w:color w:val="000000" w:themeColor="text1"/>
          <w:kern w:val="24"/>
          <w:sz w:val="24"/>
          <w:szCs w:val="24"/>
        </w:rPr>
        <w:t>200</w:t>
      </w:r>
      <w:r w:rsidR="00012620" w:rsidRPr="001C7B25">
        <w:rPr>
          <w:rFonts w:ascii="Times New Roman" w:hAnsi="Times New Roman" w:cs="Times New Roman"/>
          <w:color w:val="000000" w:themeColor="text1"/>
          <w:kern w:val="24"/>
          <w:sz w:val="24"/>
          <w:szCs w:val="24"/>
        </w:rPr>
        <w:t>),</w:t>
      </w:r>
      <w:r w:rsidR="00012620" w:rsidRPr="001C7B25">
        <w:rPr>
          <w:rFonts w:ascii="Times New Roman" w:hAnsi="Times New Roman" w:cs="Times New Roman"/>
          <w:color w:val="000000" w:themeColor="text1"/>
          <w:sz w:val="24"/>
          <w:szCs w:val="24"/>
          <w:shd w:val="clear" w:color="auto" w:fill="F5F5F5"/>
        </w:rPr>
        <w:t xml:space="preserve"> ALBI score </w:t>
      </w:r>
      <w:r w:rsidR="00012620" w:rsidRPr="001C7B25">
        <w:rPr>
          <w:rFonts w:ascii="Times New Roman" w:hAnsi="Times New Roman" w:cs="Times New Roman"/>
          <w:color w:val="000000" w:themeColor="text1"/>
          <w:sz w:val="24"/>
          <w:szCs w:val="24"/>
        </w:rPr>
        <w:t xml:space="preserve">≥ </w:t>
      </w:r>
      <w:r w:rsidR="00E70856" w:rsidRPr="001C7B25">
        <w:rPr>
          <w:rFonts w:ascii="Times New Roman" w:hAnsi="Times New Roman" w:cs="Times New Roman"/>
          <w:color w:val="000000" w:themeColor="text1"/>
          <w:sz w:val="24"/>
          <w:szCs w:val="24"/>
        </w:rPr>
        <w:t>−</w:t>
      </w:r>
      <w:r w:rsidR="00012620" w:rsidRPr="001C7B25">
        <w:rPr>
          <w:rFonts w:ascii="Times New Roman" w:hAnsi="Times New Roman" w:cs="Times New Roman"/>
          <w:color w:val="000000" w:themeColor="text1"/>
          <w:sz w:val="24"/>
          <w:szCs w:val="24"/>
        </w:rPr>
        <w:t>2.60 (HR, 1.</w:t>
      </w:r>
      <w:r w:rsidR="00DD4FC5" w:rsidRPr="001C7B25">
        <w:rPr>
          <w:rFonts w:ascii="Times New Roman" w:hAnsi="Times New Roman" w:cs="Times New Roman"/>
          <w:color w:val="000000" w:themeColor="text1"/>
          <w:sz w:val="24"/>
          <w:szCs w:val="24"/>
        </w:rPr>
        <w:t>619</w:t>
      </w:r>
      <w:r w:rsidR="00012620" w:rsidRPr="001C7B25">
        <w:rPr>
          <w:rFonts w:ascii="Times New Roman" w:hAnsi="Times New Roman" w:cs="Times New Roman"/>
          <w:color w:val="000000" w:themeColor="text1"/>
          <w:sz w:val="24"/>
          <w:szCs w:val="24"/>
        </w:rPr>
        <w:t>, 95%CI, 1.</w:t>
      </w:r>
      <w:r w:rsidR="00DD4FC5" w:rsidRPr="001C7B25">
        <w:rPr>
          <w:rFonts w:ascii="Times New Roman" w:hAnsi="Times New Roman" w:cs="Times New Roman"/>
          <w:color w:val="000000" w:themeColor="text1"/>
          <w:sz w:val="24"/>
          <w:szCs w:val="24"/>
        </w:rPr>
        <w:t>210</w:t>
      </w:r>
      <w:r w:rsidR="00FE6857" w:rsidRPr="001C7B25">
        <w:rPr>
          <w:rFonts w:ascii="Times New Roman" w:hAnsi="Times New Roman" w:cs="Times New Roman"/>
          <w:color w:val="000000" w:themeColor="text1"/>
          <w:sz w:val="24"/>
          <w:szCs w:val="24"/>
        </w:rPr>
        <w:t>–</w:t>
      </w:r>
      <w:r w:rsidR="00012620" w:rsidRPr="001C7B25">
        <w:rPr>
          <w:rFonts w:ascii="Times New Roman" w:hAnsi="Times New Roman" w:cs="Times New Roman"/>
          <w:color w:val="000000" w:themeColor="text1"/>
          <w:sz w:val="24"/>
          <w:szCs w:val="24"/>
          <w:shd w:val="clear" w:color="auto" w:fill="F5F5F5"/>
        </w:rPr>
        <w:t>2.</w:t>
      </w:r>
      <w:r w:rsidR="00DD4FC5" w:rsidRPr="001C7B25">
        <w:rPr>
          <w:rFonts w:ascii="Times New Roman" w:hAnsi="Times New Roman" w:cs="Times New Roman"/>
          <w:color w:val="000000" w:themeColor="text1"/>
          <w:sz w:val="24"/>
          <w:szCs w:val="24"/>
          <w:shd w:val="clear" w:color="auto" w:fill="F5F5F5"/>
        </w:rPr>
        <w:t>167</w:t>
      </w:r>
      <w:r w:rsidR="00012620" w:rsidRPr="001C7B25">
        <w:rPr>
          <w:rFonts w:ascii="Times New Roman" w:hAnsi="Times New Roman" w:cs="Times New Roman"/>
          <w:color w:val="000000" w:themeColor="text1"/>
          <w:sz w:val="24"/>
          <w:szCs w:val="24"/>
          <w:shd w:val="clear" w:color="auto" w:fill="F5F5F5"/>
        </w:rPr>
        <w:t xml:space="preserve">, </w:t>
      </w:r>
      <w:r w:rsidR="00012620" w:rsidRPr="001C7B25">
        <w:rPr>
          <w:rFonts w:ascii="Times New Roman" w:hAnsi="Times New Roman" w:cs="Times New Roman"/>
          <w:i/>
          <w:color w:val="000000" w:themeColor="text1"/>
          <w:sz w:val="24"/>
          <w:szCs w:val="24"/>
          <w:shd w:val="clear" w:color="auto" w:fill="F5F5F5"/>
        </w:rPr>
        <w:t>p</w:t>
      </w:r>
      <w:r w:rsidR="00012620" w:rsidRPr="001C7B25">
        <w:rPr>
          <w:rFonts w:ascii="Times New Roman" w:hAnsi="Times New Roman" w:cs="Times New Roman"/>
          <w:color w:val="000000" w:themeColor="text1"/>
          <w:sz w:val="24"/>
          <w:szCs w:val="24"/>
          <w:shd w:val="clear" w:color="auto" w:fill="F5F5F5"/>
        </w:rPr>
        <w:t>=0.00</w:t>
      </w:r>
      <w:r w:rsidR="00DD4FC5" w:rsidRPr="001C7B25">
        <w:rPr>
          <w:rFonts w:ascii="Times New Roman" w:hAnsi="Times New Roman" w:cs="Times New Roman"/>
          <w:color w:val="000000" w:themeColor="text1"/>
          <w:sz w:val="24"/>
          <w:szCs w:val="24"/>
          <w:shd w:val="clear" w:color="auto" w:fill="F5F5F5"/>
        </w:rPr>
        <w:t>12</w:t>
      </w:r>
      <w:r w:rsidR="00012620" w:rsidRPr="001C7B25">
        <w:rPr>
          <w:rFonts w:ascii="Times New Roman" w:hAnsi="Times New Roman" w:cs="Times New Roman"/>
          <w:color w:val="000000" w:themeColor="text1"/>
          <w:sz w:val="24"/>
          <w:szCs w:val="24"/>
          <w:shd w:val="clear" w:color="auto" w:fill="F5F5F5"/>
        </w:rPr>
        <w:t xml:space="preserve">), FIB-4 index </w:t>
      </w:r>
      <w:r w:rsidR="00012620" w:rsidRPr="001C7B25">
        <w:rPr>
          <w:rFonts w:ascii="Times New Roman" w:hAnsi="Times New Roman" w:cs="Times New Roman"/>
          <w:color w:val="000000" w:themeColor="text1"/>
          <w:sz w:val="24"/>
          <w:szCs w:val="24"/>
        </w:rPr>
        <w:t>&gt; 3.25 (HR, 3.3</w:t>
      </w:r>
      <w:r w:rsidR="00DD4FC5" w:rsidRPr="001C7B25">
        <w:rPr>
          <w:rFonts w:ascii="Times New Roman" w:hAnsi="Times New Roman" w:cs="Times New Roman"/>
          <w:color w:val="000000" w:themeColor="text1"/>
          <w:sz w:val="24"/>
          <w:szCs w:val="24"/>
        </w:rPr>
        <w:t>01</w:t>
      </w:r>
      <w:r w:rsidR="00012620" w:rsidRPr="001C7B25">
        <w:rPr>
          <w:rFonts w:ascii="Times New Roman" w:hAnsi="Times New Roman" w:cs="Times New Roman"/>
          <w:color w:val="000000" w:themeColor="text1"/>
          <w:sz w:val="24"/>
          <w:szCs w:val="24"/>
        </w:rPr>
        <w:t>, 95%CI, 2.</w:t>
      </w:r>
      <w:r w:rsidR="00DD4FC5" w:rsidRPr="001C7B25">
        <w:rPr>
          <w:rFonts w:ascii="Times New Roman" w:hAnsi="Times New Roman" w:cs="Times New Roman"/>
          <w:color w:val="000000" w:themeColor="text1"/>
          <w:sz w:val="24"/>
          <w:szCs w:val="24"/>
        </w:rPr>
        <w:t>108</w:t>
      </w:r>
      <w:r w:rsidR="00FE6857" w:rsidRPr="001C7B25">
        <w:rPr>
          <w:rFonts w:ascii="Times New Roman" w:hAnsi="Times New Roman" w:cs="Times New Roman" w:hint="cs"/>
          <w:color w:val="000000" w:themeColor="text1"/>
          <w:sz w:val="24"/>
          <w:szCs w:val="24"/>
          <w:shd w:val="clear" w:color="auto" w:fill="F5F5F5"/>
        </w:rPr>
        <w:t>–</w:t>
      </w:r>
      <w:r w:rsidR="00012620" w:rsidRPr="001C7B25">
        <w:rPr>
          <w:rFonts w:ascii="Times New Roman" w:hAnsi="Times New Roman" w:cs="Times New Roman"/>
          <w:color w:val="000000" w:themeColor="text1"/>
          <w:sz w:val="24"/>
          <w:szCs w:val="24"/>
          <w:shd w:val="clear" w:color="auto" w:fill="F5F5F5"/>
        </w:rPr>
        <w:t>5.1</w:t>
      </w:r>
      <w:r w:rsidR="00DD4FC5" w:rsidRPr="001C7B25">
        <w:rPr>
          <w:rFonts w:ascii="Times New Roman" w:hAnsi="Times New Roman" w:cs="Times New Roman"/>
          <w:color w:val="000000" w:themeColor="text1"/>
          <w:sz w:val="24"/>
          <w:szCs w:val="24"/>
          <w:shd w:val="clear" w:color="auto" w:fill="F5F5F5"/>
        </w:rPr>
        <w:t>68</w:t>
      </w:r>
      <w:r w:rsidR="00012620" w:rsidRPr="001C7B25">
        <w:rPr>
          <w:rFonts w:ascii="Times New Roman" w:hAnsi="Times New Roman" w:cs="Times New Roman"/>
          <w:color w:val="000000" w:themeColor="text1"/>
          <w:sz w:val="24"/>
          <w:szCs w:val="24"/>
          <w:shd w:val="clear" w:color="auto" w:fill="F5F5F5"/>
        </w:rPr>
        <w:t xml:space="preserve">, </w:t>
      </w:r>
      <w:r w:rsidR="00012620" w:rsidRPr="001C7B25">
        <w:rPr>
          <w:rFonts w:ascii="Times New Roman" w:hAnsi="Times New Roman" w:cs="Times New Roman"/>
          <w:i/>
          <w:color w:val="000000" w:themeColor="text1"/>
          <w:sz w:val="24"/>
          <w:szCs w:val="24"/>
          <w:shd w:val="clear" w:color="auto" w:fill="F5F5F5"/>
        </w:rPr>
        <w:t>p</w:t>
      </w:r>
      <w:r w:rsidR="00012620" w:rsidRPr="001C7B25">
        <w:rPr>
          <w:rFonts w:ascii="Times New Roman" w:hAnsi="Times New Roman" w:cs="Times New Roman"/>
          <w:color w:val="000000" w:themeColor="text1"/>
          <w:sz w:val="24"/>
          <w:szCs w:val="24"/>
          <w:shd w:val="clear" w:color="auto" w:fill="F5F5F5"/>
        </w:rPr>
        <w:t>&lt;0.0001), and SVR (HR, 0.</w:t>
      </w:r>
      <w:r w:rsidR="00DD4FC5" w:rsidRPr="001C7B25">
        <w:rPr>
          <w:rFonts w:ascii="Times New Roman" w:hAnsi="Times New Roman" w:cs="Times New Roman"/>
          <w:color w:val="000000" w:themeColor="text1"/>
          <w:sz w:val="24"/>
          <w:szCs w:val="24"/>
          <w:shd w:val="clear" w:color="auto" w:fill="F5F5F5"/>
        </w:rPr>
        <w:t>201</w:t>
      </w:r>
      <w:r w:rsidR="00012620" w:rsidRPr="001C7B25">
        <w:rPr>
          <w:rFonts w:ascii="Times New Roman" w:hAnsi="Times New Roman" w:cs="Times New Roman"/>
          <w:color w:val="000000" w:themeColor="text1"/>
          <w:sz w:val="24"/>
          <w:szCs w:val="24"/>
          <w:shd w:val="clear" w:color="auto" w:fill="F5F5F5"/>
        </w:rPr>
        <w:t>, 95%CI, 0.0</w:t>
      </w:r>
      <w:r w:rsidR="00DD4FC5" w:rsidRPr="001C7B25">
        <w:rPr>
          <w:rFonts w:ascii="Times New Roman" w:hAnsi="Times New Roman" w:cs="Times New Roman"/>
          <w:color w:val="000000" w:themeColor="text1"/>
          <w:sz w:val="24"/>
          <w:szCs w:val="24"/>
          <w:shd w:val="clear" w:color="auto" w:fill="F5F5F5"/>
        </w:rPr>
        <w:t>79</w:t>
      </w:r>
      <w:r w:rsidR="00FE6857" w:rsidRPr="001C7B25">
        <w:rPr>
          <w:rFonts w:ascii="Times New Roman" w:hAnsi="Times New Roman" w:cs="Times New Roman" w:hint="cs"/>
          <w:color w:val="000000" w:themeColor="text1"/>
          <w:sz w:val="24"/>
          <w:szCs w:val="24"/>
          <w:shd w:val="clear" w:color="auto" w:fill="F5F5F5"/>
        </w:rPr>
        <w:t>–</w:t>
      </w:r>
      <w:r w:rsidR="00012620" w:rsidRPr="001C7B25">
        <w:rPr>
          <w:rFonts w:ascii="Times New Roman" w:hAnsi="Times New Roman" w:cs="Times New Roman"/>
          <w:color w:val="000000" w:themeColor="text1"/>
          <w:sz w:val="24"/>
          <w:szCs w:val="24"/>
          <w:shd w:val="clear" w:color="auto" w:fill="F5F5F5"/>
        </w:rPr>
        <w:t>0.3</w:t>
      </w:r>
      <w:r w:rsidR="00DD4FC5" w:rsidRPr="001C7B25">
        <w:rPr>
          <w:rFonts w:ascii="Times New Roman" w:hAnsi="Times New Roman" w:cs="Times New Roman"/>
          <w:color w:val="000000" w:themeColor="text1"/>
          <w:sz w:val="24"/>
          <w:szCs w:val="24"/>
          <w:shd w:val="clear" w:color="auto" w:fill="F5F5F5"/>
        </w:rPr>
        <w:t>64</w:t>
      </w:r>
      <w:r w:rsidR="00012620" w:rsidRPr="001C7B25">
        <w:rPr>
          <w:rFonts w:ascii="Times New Roman" w:hAnsi="Times New Roman" w:cs="Times New Roman"/>
          <w:color w:val="000000" w:themeColor="text1"/>
          <w:sz w:val="24"/>
          <w:szCs w:val="24"/>
          <w:shd w:val="clear" w:color="auto" w:fill="F5F5F5"/>
        </w:rPr>
        <w:t xml:space="preserve">, </w:t>
      </w:r>
      <w:r w:rsidR="00012620" w:rsidRPr="001C7B25">
        <w:rPr>
          <w:rFonts w:ascii="Times New Roman" w:hAnsi="Times New Roman" w:cs="Times New Roman"/>
          <w:i/>
          <w:color w:val="000000" w:themeColor="text1"/>
          <w:sz w:val="24"/>
          <w:szCs w:val="24"/>
          <w:shd w:val="clear" w:color="auto" w:fill="F5F5F5"/>
        </w:rPr>
        <w:t>p</w:t>
      </w:r>
      <w:r w:rsidR="00012620" w:rsidRPr="001C7B25">
        <w:rPr>
          <w:rFonts w:ascii="Times New Roman" w:hAnsi="Times New Roman" w:cs="Times New Roman"/>
          <w:color w:val="000000" w:themeColor="text1"/>
          <w:sz w:val="24"/>
          <w:szCs w:val="24"/>
          <w:shd w:val="clear" w:color="auto" w:fill="F5F5F5"/>
        </w:rPr>
        <w:t xml:space="preserve">&lt;0.0001) </w:t>
      </w:r>
      <w:r w:rsidRPr="001C7B25">
        <w:rPr>
          <w:rFonts w:ascii="Times New Roman" w:hAnsi="Times New Roman" w:cs="Times New Roman"/>
          <w:color w:val="000000" w:themeColor="text1"/>
          <w:kern w:val="24"/>
          <w:sz w:val="24"/>
          <w:szCs w:val="24"/>
        </w:rPr>
        <w:t xml:space="preserve">were independently associated with </w:t>
      </w:r>
      <w:r w:rsidR="00012620" w:rsidRPr="001C7B25">
        <w:rPr>
          <w:rFonts w:ascii="Times New Roman" w:hAnsi="Times New Roman" w:cs="Times New Roman"/>
          <w:color w:val="000000" w:themeColor="text1"/>
          <w:kern w:val="24"/>
          <w:sz w:val="24"/>
          <w:szCs w:val="24"/>
        </w:rPr>
        <w:t xml:space="preserve">liver-related mortality. Figure 4 shows that the </w:t>
      </w:r>
      <w:r w:rsidR="00FE6857" w:rsidRPr="001C7B25">
        <w:rPr>
          <w:rFonts w:ascii="Times New Roman" w:hAnsi="Times New Roman" w:cs="Times New Roman"/>
          <w:color w:val="000000" w:themeColor="text1"/>
          <w:kern w:val="24"/>
          <w:sz w:val="24"/>
          <w:szCs w:val="24"/>
        </w:rPr>
        <w:t xml:space="preserve">IPW-adjusted </w:t>
      </w:r>
      <w:r w:rsidR="00012620" w:rsidRPr="001C7B25">
        <w:rPr>
          <w:rFonts w:ascii="Times New Roman" w:hAnsi="Times New Roman" w:cs="Times New Roman"/>
          <w:color w:val="000000" w:themeColor="text1"/>
          <w:kern w:val="24"/>
          <w:sz w:val="24"/>
          <w:szCs w:val="24"/>
        </w:rPr>
        <w:t>cumulative incidence rates of liver-related mortality with and without DAA therapy were 2.</w:t>
      </w:r>
      <w:r w:rsidR="0030527F" w:rsidRPr="001C7B25">
        <w:rPr>
          <w:rFonts w:ascii="Times New Roman" w:hAnsi="Times New Roman" w:cs="Times New Roman"/>
          <w:color w:val="000000" w:themeColor="text1"/>
          <w:kern w:val="24"/>
          <w:sz w:val="24"/>
          <w:szCs w:val="24"/>
        </w:rPr>
        <w:t>5</w:t>
      </w:r>
      <w:r w:rsidR="00012620" w:rsidRPr="001C7B25">
        <w:rPr>
          <w:rFonts w:ascii="Times New Roman" w:hAnsi="Times New Roman" w:cs="Times New Roman"/>
          <w:color w:val="000000" w:themeColor="text1"/>
          <w:kern w:val="24"/>
          <w:sz w:val="24"/>
          <w:szCs w:val="24"/>
        </w:rPr>
        <w:t xml:space="preserve">% and </w:t>
      </w:r>
      <w:r w:rsidR="0030527F" w:rsidRPr="001C7B25">
        <w:rPr>
          <w:rFonts w:ascii="Times New Roman" w:hAnsi="Times New Roman" w:cs="Times New Roman"/>
          <w:color w:val="000000" w:themeColor="text1"/>
          <w:kern w:val="24"/>
          <w:sz w:val="24"/>
          <w:szCs w:val="24"/>
        </w:rPr>
        <w:t>6.7</w:t>
      </w:r>
      <w:r w:rsidR="00012620" w:rsidRPr="001C7B25">
        <w:rPr>
          <w:rFonts w:ascii="Times New Roman" w:hAnsi="Times New Roman" w:cs="Times New Roman"/>
          <w:color w:val="000000" w:themeColor="text1"/>
          <w:kern w:val="24"/>
          <w:sz w:val="24"/>
          <w:szCs w:val="24"/>
        </w:rPr>
        <w:t xml:space="preserve">% at 1 year, respectively, </w:t>
      </w:r>
      <w:r w:rsidR="0030527F" w:rsidRPr="001C7B25">
        <w:rPr>
          <w:rFonts w:ascii="Times New Roman" w:hAnsi="Times New Roman" w:cs="Times New Roman"/>
          <w:color w:val="000000" w:themeColor="text1"/>
          <w:kern w:val="24"/>
          <w:sz w:val="24"/>
          <w:szCs w:val="24"/>
        </w:rPr>
        <w:t>5.8</w:t>
      </w:r>
      <w:r w:rsidR="00012620" w:rsidRPr="001C7B25">
        <w:rPr>
          <w:rFonts w:ascii="Times New Roman" w:hAnsi="Times New Roman" w:cs="Times New Roman"/>
          <w:color w:val="000000" w:themeColor="text1"/>
          <w:kern w:val="24"/>
          <w:sz w:val="24"/>
          <w:szCs w:val="24"/>
        </w:rPr>
        <w:t xml:space="preserve">% and </w:t>
      </w:r>
      <w:r w:rsidR="0030527F" w:rsidRPr="001C7B25">
        <w:rPr>
          <w:rFonts w:ascii="Times New Roman" w:hAnsi="Times New Roman" w:cs="Times New Roman"/>
          <w:color w:val="000000" w:themeColor="text1"/>
          <w:kern w:val="24"/>
          <w:sz w:val="24"/>
          <w:szCs w:val="24"/>
        </w:rPr>
        <w:t>9.4</w:t>
      </w:r>
      <w:r w:rsidR="00012620" w:rsidRPr="001C7B25">
        <w:rPr>
          <w:rFonts w:ascii="Times New Roman" w:hAnsi="Times New Roman" w:cs="Times New Roman"/>
          <w:color w:val="000000" w:themeColor="text1"/>
          <w:kern w:val="24"/>
          <w:sz w:val="24"/>
          <w:szCs w:val="24"/>
        </w:rPr>
        <w:t xml:space="preserve">% at 2 years, respectively, and </w:t>
      </w:r>
      <w:r w:rsidR="0030527F" w:rsidRPr="001C7B25">
        <w:rPr>
          <w:rFonts w:ascii="Times New Roman" w:hAnsi="Times New Roman" w:cs="Times New Roman"/>
          <w:color w:val="000000" w:themeColor="text1"/>
          <w:kern w:val="24"/>
          <w:sz w:val="24"/>
          <w:szCs w:val="24"/>
        </w:rPr>
        <w:t>6.5</w:t>
      </w:r>
      <w:r w:rsidR="00012620" w:rsidRPr="001C7B25">
        <w:rPr>
          <w:rFonts w:ascii="Times New Roman" w:hAnsi="Times New Roman" w:cs="Times New Roman"/>
          <w:color w:val="000000" w:themeColor="text1"/>
          <w:kern w:val="24"/>
          <w:sz w:val="24"/>
          <w:szCs w:val="24"/>
        </w:rPr>
        <w:t xml:space="preserve">% and </w:t>
      </w:r>
      <w:r w:rsidR="0030527F" w:rsidRPr="001C7B25">
        <w:rPr>
          <w:rFonts w:ascii="Times New Roman" w:hAnsi="Times New Roman" w:cs="Times New Roman"/>
          <w:color w:val="000000" w:themeColor="text1"/>
          <w:kern w:val="24"/>
          <w:sz w:val="24"/>
          <w:szCs w:val="24"/>
        </w:rPr>
        <w:t>12.6</w:t>
      </w:r>
      <w:r w:rsidR="00012620" w:rsidRPr="001C7B25">
        <w:rPr>
          <w:rFonts w:ascii="Times New Roman" w:hAnsi="Times New Roman" w:cs="Times New Roman"/>
          <w:color w:val="000000" w:themeColor="text1"/>
          <w:kern w:val="24"/>
          <w:sz w:val="24"/>
          <w:szCs w:val="24"/>
        </w:rPr>
        <w:t xml:space="preserve">% at 3 years, respectively, </w:t>
      </w:r>
      <w:r w:rsidR="00FE6857" w:rsidRPr="001C7B25">
        <w:rPr>
          <w:rFonts w:ascii="Times New Roman" w:hAnsi="Times New Roman" w:cs="Times New Roman"/>
          <w:color w:val="000000" w:themeColor="text1"/>
          <w:kern w:val="24"/>
          <w:sz w:val="24"/>
          <w:szCs w:val="24"/>
        </w:rPr>
        <w:t>indicating</w:t>
      </w:r>
      <w:r w:rsidR="00012620" w:rsidRPr="001C7B25">
        <w:rPr>
          <w:rFonts w:ascii="Times New Roman" w:hAnsi="Times New Roman" w:cs="Times New Roman"/>
          <w:color w:val="000000" w:themeColor="text1"/>
          <w:kern w:val="24"/>
          <w:sz w:val="24"/>
          <w:szCs w:val="24"/>
        </w:rPr>
        <w:t xml:space="preserve"> a significant difference b</w:t>
      </w:r>
      <w:r w:rsidR="00983B7E" w:rsidRPr="001C7B25">
        <w:rPr>
          <w:rFonts w:ascii="Times New Roman" w:hAnsi="Times New Roman" w:cs="Times New Roman"/>
          <w:color w:val="000000" w:themeColor="text1"/>
          <w:kern w:val="24"/>
          <w:sz w:val="24"/>
          <w:szCs w:val="24"/>
        </w:rPr>
        <w:t>etween the two groups (</w:t>
      </w:r>
      <w:r w:rsidR="00983B7E" w:rsidRPr="001C7B25">
        <w:rPr>
          <w:rFonts w:ascii="Times New Roman" w:hAnsi="Times New Roman" w:cs="Times New Roman"/>
          <w:i/>
          <w:color w:val="000000" w:themeColor="text1"/>
          <w:kern w:val="24"/>
          <w:sz w:val="24"/>
          <w:szCs w:val="24"/>
        </w:rPr>
        <w:t>p</w:t>
      </w:r>
      <w:r w:rsidR="00F367EA" w:rsidRPr="001C7B25">
        <w:rPr>
          <w:rFonts w:ascii="Times New Roman" w:hAnsi="Times New Roman" w:cs="Times New Roman"/>
          <w:color w:val="000000" w:themeColor="text1"/>
          <w:kern w:val="24"/>
          <w:sz w:val="24"/>
          <w:szCs w:val="24"/>
        </w:rPr>
        <w:t>&lt;</w:t>
      </w:r>
      <w:r w:rsidR="00983B7E" w:rsidRPr="001C7B25">
        <w:rPr>
          <w:rFonts w:ascii="Times New Roman" w:hAnsi="Times New Roman" w:cs="Times New Roman"/>
          <w:color w:val="000000" w:themeColor="text1"/>
          <w:kern w:val="24"/>
          <w:sz w:val="24"/>
          <w:szCs w:val="24"/>
        </w:rPr>
        <w:t>0.000</w:t>
      </w:r>
      <w:r w:rsidR="00F367EA" w:rsidRPr="001C7B25">
        <w:rPr>
          <w:rFonts w:ascii="Times New Roman" w:hAnsi="Times New Roman" w:cs="Times New Roman"/>
          <w:color w:val="000000" w:themeColor="text1"/>
          <w:kern w:val="24"/>
          <w:sz w:val="24"/>
          <w:szCs w:val="24"/>
        </w:rPr>
        <w:t>1</w:t>
      </w:r>
      <w:r w:rsidR="00012620" w:rsidRPr="001C7B25">
        <w:rPr>
          <w:rFonts w:ascii="Times New Roman" w:hAnsi="Times New Roman" w:cs="Times New Roman"/>
          <w:color w:val="000000" w:themeColor="text1"/>
          <w:kern w:val="24"/>
          <w:sz w:val="24"/>
          <w:szCs w:val="24"/>
        </w:rPr>
        <w:t xml:space="preserve">, </w:t>
      </w:r>
      <w:r w:rsidR="0030527F" w:rsidRPr="001C7B25">
        <w:rPr>
          <w:rFonts w:ascii="Times New Roman" w:hAnsi="Times New Roman" w:cs="Times New Roman"/>
          <w:color w:val="000000" w:themeColor="text1"/>
          <w:kern w:val="24"/>
          <w:sz w:val="24"/>
          <w:szCs w:val="24"/>
        </w:rPr>
        <w:t>IPW</w:t>
      </w:r>
      <w:r w:rsidR="00DE2754" w:rsidRPr="001C7B25">
        <w:rPr>
          <w:rFonts w:ascii="Times New Roman" w:hAnsi="Times New Roman" w:cs="Times New Roman"/>
          <w:color w:val="000000" w:themeColor="text1"/>
          <w:kern w:val="24"/>
          <w:sz w:val="24"/>
          <w:szCs w:val="24"/>
        </w:rPr>
        <w:t>-</w:t>
      </w:r>
      <w:r w:rsidR="0030527F" w:rsidRPr="001C7B25">
        <w:rPr>
          <w:rFonts w:ascii="Times New Roman" w:hAnsi="Times New Roman" w:cs="Times New Roman"/>
          <w:color w:val="000000" w:themeColor="text1"/>
          <w:kern w:val="24"/>
          <w:sz w:val="24"/>
          <w:szCs w:val="24"/>
        </w:rPr>
        <w:t>adjusted log</w:t>
      </w:r>
      <w:r w:rsidR="00F367EA" w:rsidRPr="001C7B25">
        <w:rPr>
          <w:rFonts w:ascii="Times New Roman" w:hAnsi="Times New Roman" w:cs="Times New Roman"/>
          <w:color w:val="000000" w:themeColor="text1"/>
          <w:kern w:val="24"/>
          <w:sz w:val="24"/>
          <w:szCs w:val="24"/>
        </w:rPr>
        <w:t>-</w:t>
      </w:r>
      <w:r w:rsidR="0030527F" w:rsidRPr="001C7B25">
        <w:rPr>
          <w:rFonts w:ascii="Times New Roman" w:hAnsi="Times New Roman" w:cs="Times New Roman"/>
          <w:color w:val="000000" w:themeColor="text1"/>
          <w:kern w:val="24"/>
          <w:sz w:val="24"/>
          <w:szCs w:val="24"/>
        </w:rPr>
        <w:t>rank test</w:t>
      </w:r>
      <w:r w:rsidR="00012620" w:rsidRPr="001C7B25">
        <w:rPr>
          <w:rFonts w:ascii="Times New Roman" w:hAnsi="Times New Roman" w:cs="Times New Roman"/>
          <w:color w:val="000000" w:themeColor="text1"/>
          <w:kern w:val="24"/>
          <w:sz w:val="24"/>
          <w:szCs w:val="24"/>
        </w:rPr>
        <w:t>)</w:t>
      </w:r>
      <w:r w:rsidRPr="001C7B25">
        <w:rPr>
          <w:rFonts w:ascii="Times New Roman" w:hAnsi="Times New Roman" w:cs="Times New Roman"/>
          <w:color w:val="000000" w:themeColor="text1"/>
          <w:kern w:val="24"/>
          <w:sz w:val="24"/>
          <w:szCs w:val="24"/>
        </w:rPr>
        <w:t>.</w:t>
      </w:r>
    </w:p>
    <w:p w14:paraId="4A84F0E7" w14:textId="3FE3793D" w:rsidR="00012620" w:rsidRPr="001C7B25" w:rsidRDefault="00012620" w:rsidP="00A1765E">
      <w:pPr>
        <w:widowControl/>
        <w:spacing w:line="480" w:lineRule="auto"/>
        <w:jc w:val="left"/>
        <w:rPr>
          <w:rFonts w:ascii="Times New Roman" w:hAnsi="Times New Roman" w:cs="Times New Roman"/>
          <w:color w:val="000000" w:themeColor="text1"/>
          <w:kern w:val="0"/>
          <w:sz w:val="24"/>
          <w:szCs w:val="24"/>
        </w:rPr>
      </w:pPr>
      <w:r w:rsidRPr="001C7B25">
        <w:rPr>
          <w:rStyle w:val="tlid-translation"/>
          <w:rFonts w:ascii="Times New Roman" w:hAnsi="Times New Roman" w:cs="Times New Roman"/>
          <w:b/>
          <w:color w:val="000000" w:themeColor="text1"/>
          <w:sz w:val="24"/>
          <w:szCs w:val="24"/>
          <w:lang w:val="en"/>
        </w:rPr>
        <w:t xml:space="preserve">Factors associated with </w:t>
      </w:r>
      <w:r w:rsidR="00EF7C51" w:rsidRPr="001C7B25">
        <w:rPr>
          <w:rStyle w:val="tlid-translation"/>
          <w:rFonts w:ascii="Times New Roman" w:hAnsi="Times New Roman" w:cs="Times New Roman"/>
          <w:b/>
          <w:color w:val="000000" w:themeColor="text1"/>
          <w:sz w:val="24"/>
          <w:szCs w:val="24"/>
          <w:lang w:val="en"/>
        </w:rPr>
        <w:t xml:space="preserve">non–liver-related </w:t>
      </w:r>
      <w:r w:rsidRPr="001C7B25">
        <w:rPr>
          <w:rStyle w:val="tlid-translation"/>
          <w:rFonts w:ascii="Times New Roman" w:hAnsi="Times New Roman" w:cs="Times New Roman"/>
          <w:b/>
          <w:color w:val="000000" w:themeColor="text1"/>
          <w:sz w:val="24"/>
          <w:szCs w:val="24"/>
          <w:lang w:val="en"/>
        </w:rPr>
        <w:t>mortality</w:t>
      </w:r>
    </w:p>
    <w:p w14:paraId="53B6315B" w14:textId="365F948A" w:rsidR="00012620" w:rsidRPr="001C7B25" w:rsidRDefault="00012620" w:rsidP="00A1765E">
      <w:pPr>
        <w:widowControl/>
        <w:spacing w:line="480" w:lineRule="auto"/>
        <w:jc w:val="left"/>
        <w:rPr>
          <w:rFonts w:ascii="Times New Roman" w:hAnsi="Times New Roman" w:cs="Times New Roman"/>
          <w:color w:val="000000" w:themeColor="text1"/>
          <w:kern w:val="0"/>
          <w:sz w:val="24"/>
          <w:szCs w:val="24"/>
        </w:rPr>
      </w:pPr>
      <w:r w:rsidRPr="001C7B25">
        <w:rPr>
          <w:rFonts w:ascii="Times New Roman" w:hAnsi="Times New Roman" w:cs="Times New Roman"/>
          <w:color w:val="000000" w:themeColor="text1"/>
          <w:kern w:val="0"/>
          <w:sz w:val="24"/>
          <w:szCs w:val="24"/>
        </w:rPr>
        <w:tab/>
      </w:r>
      <w:r w:rsidRPr="001C7B25">
        <w:rPr>
          <w:rFonts w:ascii="Times New Roman" w:eastAsia="AdvOT678fd422" w:hAnsi="Times New Roman" w:cs="Times New Roman"/>
          <w:color w:val="000000" w:themeColor="text1"/>
          <w:kern w:val="0"/>
          <w:sz w:val="24"/>
          <w:szCs w:val="24"/>
        </w:rPr>
        <w:t xml:space="preserve">Table </w:t>
      </w:r>
      <w:r w:rsidR="007D70FA" w:rsidRPr="001C7B25">
        <w:rPr>
          <w:rFonts w:ascii="Times New Roman" w:eastAsia="AdvOT678fd422" w:hAnsi="Times New Roman" w:cs="Times New Roman"/>
          <w:color w:val="000000" w:themeColor="text1"/>
          <w:kern w:val="0"/>
          <w:sz w:val="24"/>
          <w:szCs w:val="24"/>
        </w:rPr>
        <w:t>4</w:t>
      </w:r>
      <w:r w:rsidRPr="001C7B25">
        <w:rPr>
          <w:rFonts w:ascii="Times New Roman" w:eastAsia="AdvOT678fd422" w:hAnsi="Times New Roman" w:cs="Times New Roman"/>
          <w:color w:val="000000" w:themeColor="text1"/>
          <w:kern w:val="0"/>
          <w:sz w:val="24"/>
          <w:szCs w:val="24"/>
        </w:rPr>
        <w:t xml:space="preserve"> shows the factors associated with </w:t>
      </w:r>
      <w:r w:rsidR="00EF7C51" w:rsidRPr="001C7B25">
        <w:rPr>
          <w:rFonts w:ascii="Times New Roman" w:eastAsia="AdvOT678fd422" w:hAnsi="Times New Roman" w:cs="Times New Roman"/>
          <w:color w:val="000000" w:themeColor="text1"/>
          <w:kern w:val="0"/>
          <w:sz w:val="24"/>
          <w:szCs w:val="24"/>
        </w:rPr>
        <w:t xml:space="preserve">non–liver-related </w:t>
      </w:r>
      <w:r w:rsidR="001573B6" w:rsidRPr="001C7B25">
        <w:rPr>
          <w:rFonts w:ascii="Times New Roman" w:eastAsia="AdvOT678fd422" w:hAnsi="Times New Roman" w:cs="Times New Roman"/>
          <w:color w:val="000000" w:themeColor="text1"/>
          <w:kern w:val="0"/>
          <w:sz w:val="24"/>
          <w:szCs w:val="24"/>
        </w:rPr>
        <w:t>mortality</w:t>
      </w:r>
      <w:r w:rsidRPr="001C7B25">
        <w:rPr>
          <w:rFonts w:ascii="Times New Roman" w:eastAsia="AdvOT678fd422" w:hAnsi="Times New Roman" w:cs="Times New Roman"/>
          <w:color w:val="000000" w:themeColor="text1"/>
          <w:kern w:val="0"/>
          <w:sz w:val="24"/>
          <w:szCs w:val="24"/>
        </w:rPr>
        <w:t xml:space="preserve"> according to Fine and Gray proportional hazards models. </w:t>
      </w:r>
      <w:r w:rsidR="00497002" w:rsidRPr="001C7B25">
        <w:rPr>
          <w:rStyle w:val="tlid-translation"/>
          <w:rFonts w:ascii="Times New Roman" w:hAnsi="Times New Roman" w:cs="Times New Roman"/>
          <w:color w:val="000000" w:themeColor="text1"/>
          <w:sz w:val="24"/>
          <w:szCs w:val="24"/>
          <w:lang w:val="en"/>
        </w:rPr>
        <w:t xml:space="preserve">The analyzed factors were the same as those for </w:t>
      </w:r>
      <w:r w:rsidR="00497002" w:rsidRPr="001C7B25">
        <w:rPr>
          <w:rFonts w:ascii="Times New Roman" w:hAnsi="Times New Roman" w:cs="Times New Roman"/>
          <w:color w:val="000000" w:themeColor="text1"/>
          <w:kern w:val="24"/>
          <w:sz w:val="24"/>
          <w:szCs w:val="24"/>
        </w:rPr>
        <w:t>all-cause mortality</w:t>
      </w:r>
      <w:r w:rsidR="00497002" w:rsidRPr="001C7B25">
        <w:rPr>
          <w:rFonts w:ascii="Times New Roman" w:eastAsia="Lato-Regular" w:hAnsi="Times New Roman" w:cs="Times New Roman"/>
          <w:color w:val="000000" w:themeColor="text1"/>
          <w:kern w:val="0"/>
          <w:sz w:val="24"/>
          <w:szCs w:val="24"/>
        </w:rPr>
        <w:t>.</w:t>
      </w:r>
      <w:r w:rsidR="001573B6" w:rsidRPr="001C7B25">
        <w:rPr>
          <w:rFonts w:ascii="Times New Roman" w:hAnsi="Times New Roman" w:cs="Times New Roman"/>
          <w:color w:val="000000" w:themeColor="text1"/>
          <w:kern w:val="24"/>
          <w:sz w:val="24"/>
          <w:szCs w:val="24"/>
        </w:rPr>
        <w:t xml:space="preserve"> </w:t>
      </w:r>
      <w:r w:rsidR="001573B6" w:rsidRPr="001C7B25">
        <w:rPr>
          <w:rFonts w:ascii="Times New Roman" w:eastAsia="Lato-Regular" w:hAnsi="Times New Roman" w:cs="Times New Roman"/>
          <w:color w:val="000000" w:themeColor="text1"/>
          <w:kern w:val="0"/>
          <w:sz w:val="24"/>
          <w:szCs w:val="24"/>
        </w:rPr>
        <w:t xml:space="preserve">Multivariate analysis showed that </w:t>
      </w:r>
      <w:r w:rsidR="00FE6857" w:rsidRPr="001C7B25">
        <w:rPr>
          <w:rFonts w:ascii="Times New Roman" w:hAnsi="Times New Roman" w:cs="Times New Roman"/>
          <w:color w:val="000000" w:themeColor="text1"/>
          <w:sz w:val="24"/>
          <w:szCs w:val="24"/>
          <w:shd w:val="clear" w:color="auto" w:fill="F5F5F5"/>
        </w:rPr>
        <w:t>a</w:t>
      </w:r>
      <w:r w:rsidR="00BB42B0" w:rsidRPr="001C7B25">
        <w:rPr>
          <w:rFonts w:ascii="Times New Roman" w:hAnsi="Times New Roman" w:cs="Times New Roman"/>
          <w:color w:val="000000" w:themeColor="text1"/>
          <w:sz w:val="24"/>
          <w:szCs w:val="24"/>
          <w:shd w:val="clear" w:color="auto" w:fill="F5F5F5"/>
        </w:rPr>
        <w:t xml:space="preserve">ge </w:t>
      </w:r>
      <w:r w:rsidR="00BB42B0" w:rsidRPr="001C7B25">
        <w:rPr>
          <w:rFonts w:ascii="Times New Roman" w:hAnsi="Times New Roman" w:cs="Times New Roman"/>
          <w:color w:val="000000" w:themeColor="text1"/>
          <w:sz w:val="24"/>
          <w:szCs w:val="24"/>
        </w:rPr>
        <w:t xml:space="preserve">≥ </w:t>
      </w:r>
      <w:r w:rsidR="00BB42B0" w:rsidRPr="001C7B25">
        <w:rPr>
          <w:rFonts w:ascii="Times New Roman" w:hAnsi="Times New Roman" w:cs="Times New Roman"/>
          <w:color w:val="000000" w:themeColor="text1"/>
          <w:sz w:val="24"/>
          <w:szCs w:val="24"/>
          <w:shd w:val="clear" w:color="auto" w:fill="F5F5F5"/>
        </w:rPr>
        <w:t>65 years (HR, 1.</w:t>
      </w:r>
      <w:r w:rsidR="00983B7E" w:rsidRPr="001C7B25">
        <w:rPr>
          <w:rFonts w:ascii="Times New Roman" w:hAnsi="Times New Roman" w:cs="Times New Roman"/>
          <w:color w:val="000000" w:themeColor="text1"/>
          <w:sz w:val="24"/>
          <w:szCs w:val="24"/>
          <w:shd w:val="clear" w:color="auto" w:fill="F5F5F5"/>
        </w:rPr>
        <w:t>736</w:t>
      </w:r>
      <w:r w:rsidR="00BB42B0" w:rsidRPr="001C7B25">
        <w:rPr>
          <w:rFonts w:ascii="Times New Roman" w:hAnsi="Times New Roman" w:cs="Times New Roman"/>
          <w:color w:val="000000" w:themeColor="text1"/>
          <w:sz w:val="24"/>
          <w:szCs w:val="24"/>
          <w:shd w:val="clear" w:color="auto" w:fill="F5F5F5"/>
        </w:rPr>
        <w:t xml:space="preserve">, 95%CI, </w:t>
      </w:r>
      <w:r w:rsidR="00BB42B0" w:rsidRPr="001C7B25">
        <w:rPr>
          <w:rFonts w:ascii="Times New Roman" w:hAnsi="Times New Roman" w:cs="Times New Roman"/>
          <w:color w:val="000000" w:themeColor="text1"/>
          <w:sz w:val="24"/>
          <w:szCs w:val="24"/>
        </w:rPr>
        <w:t>1.3</w:t>
      </w:r>
      <w:r w:rsidR="00983B7E" w:rsidRPr="001C7B25">
        <w:rPr>
          <w:rFonts w:ascii="Times New Roman" w:hAnsi="Times New Roman" w:cs="Times New Roman"/>
          <w:color w:val="000000" w:themeColor="text1"/>
          <w:sz w:val="24"/>
          <w:szCs w:val="24"/>
        </w:rPr>
        <w:t>04</w:t>
      </w:r>
      <w:r w:rsidR="00FE6857" w:rsidRPr="001C7B25">
        <w:rPr>
          <w:rFonts w:ascii="Times New Roman" w:hAnsi="Times New Roman" w:cs="Times New Roman" w:hint="cs"/>
          <w:color w:val="000000" w:themeColor="text1"/>
          <w:sz w:val="24"/>
          <w:szCs w:val="24"/>
        </w:rPr>
        <w:t>–</w:t>
      </w:r>
      <w:r w:rsidR="00BB42B0" w:rsidRPr="001C7B25">
        <w:rPr>
          <w:rFonts w:ascii="Times New Roman" w:hAnsi="Times New Roman" w:cs="Times New Roman"/>
          <w:color w:val="000000" w:themeColor="text1"/>
          <w:sz w:val="24"/>
          <w:szCs w:val="24"/>
        </w:rPr>
        <w:t>2.</w:t>
      </w:r>
      <w:r w:rsidR="00983B7E" w:rsidRPr="001C7B25">
        <w:rPr>
          <w:rFonts w:ascii="Times New Roman" w:hAnsi="Times New Roman" w:cs="Times New Roman"/>
          <w:color w:val="000000" w:themeColor="text1"/>
          <w:sz w:val="24"/>
          <w:szCs w:val="24"/>
        </w:rPr>
        <w:t>309</w:t>
      </w:r>
      <w:r w:rsidR="00BB42B0" w:rsidRPr="001C7B25">
        <w:rPr>
          <w:rFonts w:ascii="Times New Roman" w:hAnsi="Times New Roman" w:cs="Times New Roman"/>
          <w:color w:val="000000" w:themeColor="text1"/>
          <w:sz w:val="24"/>
          <w:szCs w:val="24"/>
          <w:shd w:val="clear" w:color="auto" w:fill="F5F5F5"/>
        </w:rPr>
        <w:t xml:space="preserve">, </w:t>
      </w:r>
      <w:r w:rsidR="00BB42B0" w:rsidRPr="001C7B25">
        <w:rPr>
          <w:rFonts w:ascii="Times New Roman" w:hAnsi="Times New Roman" w:cs="Times New Roman"/>
          <w:i/>
          <w:color w:val="000000" w:themeColor="text1"/>
          <w:sz w:val="24"/>
          <w:szCs w:val="24"/>
          <w:shd w:val="clear" w:color="auto" w:fill="F5F5F5"/>
        </w:rPr>
        <w:t>p</w:t>
      </w:r>
      <w:r w:rsidR="00983B7E" w:rsidRPr="001C7B25">
        <w:rPr>
          <w:rFonts w:ascii="Times New Roman" w:hAnsi="Times New Roman" w:cs="Times New Roman"/>
          <w:color w:val="000000" w:themeColor="text1"/>
          <w:sz w:val="24"/>
          <w:szCs w:val="24"/>
        </w:rPr>
        <w:t>=0.0002</w:t>
      </w:r>
      <w:r w:rsidR="00BB42B0" w:rsidRPr="001C7B25">
        <w:rPr>
          <w:rFonts w:ascii="Times New Roman" w:hAnsi="Times New Roman" w:cs="Times New Roman"/>
          <w:color w:val="000000" w:themeColor="text1"/>
          <w:sz w:val="24"/>
          <w:szCs w:val="24"/>
          <w:shd w:val="clear" w:color="auto" w:fill="F5F5F5"/>
        </w:rPr>
        <w:t>), male gender (HR, 1.6</w:t>
      </w:r>
      <w:r w:rsidR="00983B7E" w:rsidRPr="001C7B25">
        <w:rPr>
          <w:rFonts w:ascii="Times New Roman" w:hAnsi="Times New Roman" w:cs="Times New Roman"/>
          <w:color w:val="000000" w:themeColor="text1"/>
          <w:sz w:val="24"/>
          <w:szCs w:val="24"/>
          <w:shd w:val="clear" w:color="auto" w:fill="F5F5F5"/>
        </w:rPr>
        <w:t>22</w:t>
      </w:r>
      <w:r w:rsidR="00BB42B0" w:rsidRPr="001C7B25">
        <w:rPr>
          <w:rFonts w:ascii="Times New Roman" w:hAnsi="Times New Roman" w:cs="Times New Roman"/>
          <w:color w:val="000000" w:themeColor="text1"/>
          <w:sz w:val="24"/>
          <w:szCs w:val="24"/>
          <w:shd w:val="clear" w:color="auto" w:fill="F5F5F5"/>
        </w:rPr>
        <w:t xml:space="preserve">, 95%CI, </w:t>
      </w:r>
      <w:r w:rsidR="00BB42B0" w:rsidRPr="001C7B25">
        <w:rPr>
          <w:rFonts w:ascii="Times New Roman" w:hAnsi="Times New Roman" w:cs="Times New Roman"/>
          <w:color w:val="000000" w:themeColor="text1"/>
          <w:sz w:val="24"/>
          <w:szCs w:val="24"/>
        </w:rPr>
        <w:t>1.2</w:t>
      </w:r>
      <w:r w:rsidR="00983B7E" w:rsidRPr="001C7B25">
        <w:rPr>
          <w:rFonts w:ascii="Times New Roman" w:hAnsi="Times New Roman" w:cs="Times New Roman"/>
          <w:color w:val="000000" w:themeColor="text1"/>
          <w:sz w:val="24"/>
          <w:szCs w:val="24"/>
        </w:rPr>
        <w:t>13</w:t>
      </w:r>
      <w:r w:rsidR="00FE6857" w:rsidRPr="001C7B25">
        <w:rPr>
          <w:rFonts w:ascii="Times New Roman" w:hAnsi="Times New Roman" w:cs="Times New Roman" w:hint="cs"/>
          <w:color w:val="000000" w:themeColor="text1"/>
          <w:sz w:val="24"/>
          <w:szCs w:val="24"/>
        </w:rPr>
        <w:t>–</w:t>
      </w:r>
      <w:r w:rsidR="00BB42B0" w:rsidRPr="001C7B25">
        <w:rPr>
          <w:rFonts w:ascii="Times New Roman" w:hAnsi="Times New Roman" w:cs="Times New Roman"/>
          <w:color w:val="000000" w:themeColor="text1"/>
          <w:sz w:val="24"/>
          <w:szCs w:val="24"/>
        </w:rPr>
        <w:t>2.</w:t>
      </w:r>
      <w:r w:rsidR="00983B7E" w:rsidRPr="001C7B25">
        <w:rPr>
          <w:rFonts w:ascii="Times New Roman" w:hAnsi="Times New Roman" w:cs="Times New Roman"/>
          <w:color w:val="000000" w:themeColor="text1"/>
          <w:sz w:val="24"/>
          <w:szCs w:val="24"/>
        </w:rPr>
        <w:t>168</w:t>
      </w:r>
      <w:r w:rsidR="00BB42B0" w:rsidRPr="001C7B25">
        <w:rPr>
          <w:rFonts w:ascii="Times New Roman" w:hAnsi="Times New Roman" w:cs="Times New Roman"/>
          <w:color w:val="000000" w:themeColor="text1"/>
          <w:sz w:val="24"/>
          <w:szCs w:val="24"/>
          <w:shd w:val="clear" w:color="auto" w:fill="F5F5F5"/>
        </w:rPr>
        <w:t xml:space="preserve">, </w:t>
      </w:r>
      <w:r w:rsidR="00BB42B0" w:rsidRPr="001C7B25">
        <w:rPr>
          <w:rFonts w:ascii="Times New Roman" w:hAnsi="Times New Roman" w:cs="Times New Roman"/>
          <w:i/>
          <w:color w:val="000000" w:themeColor="text1"/>
          <w:sz w:val="24"/>
          <w:szCs w:val="24"/>
          <w:shd w:val="clear" w:color="auto" w:fill="F5F5F5"/>
        </w:rPr>
        <w:t>p</w:t>
      </w:r>
      <w:r w:rsidR="00BB42B0" w:rsidRPr="001C7B25">
        <w:rPr>
          <w:rFonts w:ascii="Times New Roman" w:hAnsi="Times New Roman" w:cs="Times New Roman"/>
          <w:color w:val="000000" w:themeColor="text1"/>
          <w:sz w:val="24"/>
          <w:szCs w:val="24"/>
          <w:shd w:val="clear" w:color="auto" w:fill="F5F5F5"/>
        </w:rPr>
        <w:t>=</w:t>
      </w:r>
      <w:r w:rsidR="00BB42B0" w:rsidRPr="001C7B25">
        <w:rPr>
          <w:rFonts w:ascii="Times New Roman" w:hAnsi="Times New Roman" w:cs="Times New Roman"/>
          <w:color w:val="000000" w:themeColor="text1"/>
          <w:sz w:val="24"/>
          <w:szCs w:val="24"/>
        </w:rPr>
        <w:t>0.00</w:t>
      </w:r>
      <w:r w:rsidR="00983B7E" w:rsidRPr="001C7B25">
        <w:rPr>
          <w:rFonts w:ascii="Times New Roman" w:hAnsi="Times New Roman" w:cs="Times New Roman"/>
          <w:color w:val="000000" w:themeColor="text1"/>
          <w:sz w:val="24"/>
          <w:szCs w:val="24"/>
        </w:rPr>
        <w:t>11</w:t>
      </w:r>
      <w:r w:rsidR="00BB42B0" w:rsidRPr="001C7B25">
        <w:rPr>
          <w:rFonts w:ascii="Times New Roman" w:hAnsi="Times New Roman" w:cs="Times New Roman"/>
          <w:color w:val="000000" w:themeColor="text1"/>
          <w:sz w:val="24"/>
          <w:szCs w:val="24"/>
          <w:shd w:val="clear" w:color="auto" w:fill="F5F5F5"/>
        </w:rPr>
        <w:t xml:space="preserve">), </w:t>
      </w:r>
      <w:r w:rsidR="001573B6" w:rsidRPr="001C7B25">
        <w:rPr>
          <w:rFonts w:ascii="Times New Roman" w:hAnsi="Times New Roman" w:cs="Times New Roman"/>
          <w:color w:val="000000" w:themeColor="text1"/>
          <w:sz w:val="24"/>
          <w:szCs w:val="24"/>
          <w:shd w:val="clear" w:color="auto" w:fill="F5F5F5"/>
        </w:rPr>
        <w:t>alcohol abuse (HR</w:t>
      </w:r>
      <w:r w:rsidR="001573B6" w:rsidRPr="001C7B25">
        <w:rPr>
          <w:rFonts w:ascii="Times New Roman" w:eastAsia="Lato-Regular" w:hAnsi="Times New Roman" w:cs="Times New Roman"/>
          <w:color w:val="000000" w:themeColor="text1"/>
          <w:kern w:val="0"/>
          <w:sz w:val="24"/>
          <w:szCs w:val="24"/>
        </w:rPr>
        <w:t xml:space="preserve">, </w:t>
      </w:r>
      <w:r w:rsidR="00BB42B0" w:rsidRPr="001C7B25">
        <w:rPr>
          <w:rFonts w:ascii="Times New Roman" w:hAnsi="Times New Roman" w:cs="Times New Roman"/>
          <w:color w:val="000000" w:themeColor="text1"/>
          <w:kern w:val="24"/>
          <w:sz w:val="24"/>
          <w:szCs w:val="24"/>
        </w:rPr>
        <w:t>0.</w:t>
      </w:r>
      <w:r w:rsidR="00983B7E" w:rsidRPr="001C7B25">
        <w:rPr>
          <w:rFonts w:ascii="Times New Roman" w:hAnsi="Times New Roman" w:cs="Times New Roman"/>
          <w:color w:val="000000" w:themeColor="text1"/>
          <w:kern w:val="24"/>
          <w:sz w:val="24"/>
          <w:szCs w:val="24"/>
        </w:rPr>
        <w:t>638</w:t>
      </w:r>
      <w:r w:rsidR="001573B6" w:rsidRPr="001C7B25">
        <w:rPr>
          <w:rFonts w:ascii="Times New Roman" w:hAnsi="Times New Roman" w:cs="Times New Roman"/>
          <w:color w:val="000000" w:themeColor="text1"/>
          <w:kern w:val="24"/>
          <w:sz w:val="24"/>
          <w:szCs w:val="24"/>
        </w:rPr>
        <w:t xml:space="preserve">; </w:t>
      </w:r>
      <w:r w:rsidR="001573B6" w:rsidRPr="001C7B25">
        <w:rPr>
          <w:rFonts w:ascii="Times New Roman" w:hAnsi="Times New Roman" w:cs="Times New Roman"/>
          <w:color w:val="000000" w:themeColor="text1"/>
          <w:kern w:val="0"/>
          <w:sz w:val="24"/>
          <w:szCs w:val="24"/>
        </w:rPr>
        <w:t>95% CI</w:t>
      </w:r>
      <w:r w:rsidR="001573B6" w:rsidRPr="001C7B25">
        <w:rPr>
          <w:rFonts w:ascii="Times New Roman" w:hAnsi="Times New Roman" w:cs="Times New Roman"/>
          <w:color w:val="000000" w:themeColor="text1"/>
          <w:kern w:val="24"/>
          <w:sz w:val="24"/>
          <w:szCs w:val="24"/>
        </w:rPr>
        <w:t xml:space="preserve">, </w:t>
      </w:r>
      <w:r w:rsidR="00BB42B0" w:rsidRPr="001C7B25">
        <w:rPr>
          <w:rFonts w:ascii="Times New Roman" w:hAnsi="Times New Roman" w:cs="Times New Roman"/>
          <w:color w:val="000000" w:themeColor="text1"/>
          <w:sz w:val="24"/>
          <w:szCs w:val="24"/>
        </w:rPr>
        <w:t>0.</w:t>
      </w:r>
      <w:r w:rsidR="00983B7E" w:rsidRPr="001C7B25">
        <w:rPr>
          <w:rFonts w:ascii="Times New Roman" w:hAnsi="Times New Roman" w:cs="Times New Roman"/>
          <w:color w:val="000000" w:themeColor="text1"/>
          <w:sz w:val="24"/>
          <w:szCs w:val="24"/>
        </w:rPr>
        <w:t>415</w:t>
      </w:r>
      <w:r w:rsidR="00FE6857" w:rsidRPr="001C7B25">
        <w:rPr>
          <w:rFonts w:ascii="Times New Roman" w:hAnsi="Times New Roman" w:cs="Times New Roman" w:hint="cs"/>
          <w:color w:val="000000" w:themeColor="text1"/>
          <w:sz w:val="24"/>
          <w:szCs w:val="24"/>
        </w:rPr>
        <w:t>–</w:t>
      </w:r>
      <w:r w:rsidR="00BB42B0" w:rsidRPr="001C7B25">
        <w:rPr>
          <w:rFonts w:ascii="Times New Roman" w:hAnsi="Times New Roman" w:cs="Times New Roman"/>
          <w:color w:val="000000" w:themeColor="text1"/>
          <w:sz w:val="24"/>
          <w:szCs w:val="24"/>
        </w:rPr>
        <w:t>0.9</w:t>
      </w:r>
      <w:r w:rsidR="00983B7E" w:rsidRPr="001C7B25">
        <w:rPr>
          <w:rFonts w:ascii="Times New Roman" w:hAnsi="Times New Roman" w:cs="Times New Roman"/>
          <w:color w:val="000000" w:themeColor="text1"/>
          <w:sz w:val="24"/>
          <w:szCs w:val="24"/>
        </w:rPr>
        <w:t>81</w:t>
      </w:r>
      <w:r w:rsidR="001573B6" w:rsidRPr="001C7B25">
        <w:rPr>
          <w:rFonts w:ascii="Times New Roman" w:hAnsi="Times New Roman" w:cs="Times New Roman"/>
          <w:color w:val="000000" w:themeColor="text1"/>
          <w:kern w:val="24"/>
          <w:sz w:val="24"/>
          <w:szCs w:val="24"/>
        </w:rPr>
        <w:t xml:space="preserve">; </w:t>
      </w:r>
      <w:r w:rsidR="001573B6" w:rsidRPr="001C7B25">
        <w:rPr>
          <w:rFonts w:ascii="Times New Roman" w:hAnsi="Times New Roman" w:cs="Times New Roman"/>
          <w:i/>
          <w:color w:val="000000" w:themeColor="text1"/>
          <w:kern w:val="24"/>
          <w:sz w:val="24"/>
          <w:szCs w:val="24"/>
        </w:rPr>
        <w:t>p</w:t>
      </w:r>
      <w:r w:rsidR="001573B6" w:rsidRPr="001C7B25">
        <w:rPr>
          <w:rFonts w:ascii="Times New Roman" w:hAnsi="Times New Roman" w:cs="Times New Roman"/>
          <w:color w:val="000000" w:themeColor="text1"/>
          <w:kern w:val="24"/>
          <w:sz w:val="24"/>
          <w:szCs w:val="24"/>
        </w:rPr>
        <w:t>=0.0</w:t>
      </w:r>
      <w:r w:rsidR="00983B7E" w:rsidRPr="001C7B25">
        <w:rPr>
          <w:rFonts w:ascii="Times New Roman" w:hAnsi="Times New Roman" w:cs="Times New Roman"/>
          <w:color w:val="000000" w:themeColor="text1"/>
          <w:kern w:val="24"/>
          <w:sz w:val="24"/>
          <w:szCs w:val="24"/>
        </w:rPr>
        <w:t>400</w:t>
      </w:r>
      <w:r w:rsidR="001573B6" w:rsidRPr="001C7B25">
        <w:rPr>
          <w:rFonts w:ascii="Times New Roman" w:hAnsi="Times New Roman" w:cs="Times New Roman"/>
          <w:color w:val="000000" w:themeColor="text1"/>
          <w:kern w:val="24"/>
          <w:sz w:val="24"/>
          <w:szCs w:val="24"/>
        </w:rPr>
        <w:t>),</w:t>
      </w:r>
      <w:r w:rsidR="001573B6" w:rsidRPr="001C7B25">
        <w:rPr>
          <w:rFonts w:ascii="Times New Roman" w:hAnsi="Times New Roman" w:cs="Times New Roman"/>
          <w:color w:val="000000" w:themeColor="text1"/>
          <w:sz w:val="24"/>
          <w:szCs w:val="24"/>
          <w:shd w:val="clear" w:color="auto" w:fill="F5F5F5"/>
        </w:rPr>
        <w:t xml:space="preserve"> ALBI score </w:t>
      </w:r>
      <w:r w:rsidR="001573B6" w:rsidRPr="001C7B25">
        <w:rPr>
          <w:rFonts w:ascii="Times New Roman" w:hAnsi="Times New Roman" w:cs="Times New Roman"/>
          <w:color w:val="000000" w:themeColor="text1"/>
          <w:sz w:val="24"/>
          <w:szCs w:val="24"/>
        </w:rPr>
        <w:t xml:space="preserve">≥ </w:t>
      </w:r>
      <w:r w:rsidR="00F1299B" w:rsidRPr="001C7B25">
        <w:rPr>
          <w:rFonts w:ascii="Times New Roman" w:hAnsi="Times New Roman" w:cs="Times New Roman"/>
          <w:color w:val="000000" w:themeColor="text1"/>
          <w:sz w:val="24"/>
          <w:szCs w:val="24"/>
        </w:rPr>
        <w:t>−</w:t>
      </w:r>
      <w:r w:rsidR="001573B6" w:rsidRPr="001C7B25">
        <w:rPr>
          <w:rFonts w:ascii="Times New Roman" w:hAnsi="Times New Roman" w:cs="Times New Roman"/>
          <w:color w:val="000000" w:themeColor="text1"/>
          <w:sz w:val="24"/>
          <w:szCs w:val="24"/>
        </w:rPr>
        <w:t xml:space="preserve">2.60 (HR, </w:t>
      </w:r>
      <w:r w:rsidR="00BB42B0" w:rsidRPr="001C7B25">
        <w:rPr>
          <w:rFonts w:ascii="Times New Roman" w:hAnsi="Times New Roman" w:cs="Times New Roman"/>
          <w:color w:val="000000" w:themeColor="text1"/>
          <w:sz w:val="24"/>
          <w:szCs w:val="24"/>
        </w:rPr>
        <w:t>1.</w:t>
      </w:r>
      <w:r w:rsidR="009C55C7" w:rsidRPr="001C7B25">
        <w:rPr>
          <w:rFonts w:ascii="Times New Roman" w:hAnsi="Times New Roman" w:cs="Times New Roman"/>
          <w:color w:val="000000" w:themeColor="text1"/>
          <w:sz w:val="24"/>
          <w:szCs w:val="24"/>
        </w:rPr>
        <w:t>472</w:t>
      </w:r>
      <w:r w:rsidR="001573B6" w:rsidRPr="001C7B25">
        <w:rPr>
          <w:rFonts w:ascii="Times New Roman" w:hAnsi="Times New Roman" w:cs="Times New Roman"/>
          <w:color w:val="000000" w:themeColor="text1"/>
          <w:sz w:val="24"/>
          <w:szCs w:val="24"/>
        </w:rPr>
        <w:t xml:space="preserve">, 95%CI, </w:t>
      </w:r>
      <w:r w:rsidR="00BB42B0" w:rsidRPr="001C7B25">
        <w:rPr>
          <w:rFonts w:ascii="Times New Roman" w:hAnsi="Times New Roman" w:cs="Times New Roman"/>
          <w:color w:val="000000" w:themeColor="text1"/>
          <w:sz w:val="24"/>
          <w:szCs w:val="24"/>
        </w:rPr>
        <w:t>1.</w:t>
      </w:r>
      <w:r w:rsidR="009C55C7" w:rsidRPr="001C7B25">
        <w:rPr>
          <w:rFonts w:ascii="Times New Roman" w:hAnsi="Times New Roman" w:cs="Times New Roman"/>
          <w:color w:val="000000" w:themeColor="text1"/>
          <w:sz w:val="24"/>
          <w:szCs w:val="24"/>
        </w:rPr>
        <w:t>093</w:t>
      </w:r>
      <w:r w:rsidR="00FE6857" w:rsidRPr="001C7B25">
        <w:rPr>
          <w:rFonts w:ascii="Times New Roman" w:hAnsi="Times New Roman" w:cs="Times New Roman" w:hint="cs"/>
          <w:color w:val="000000" w:themeColor="text1"/>
          <w:sz w:val="24"/>
          <w:szCs w:val="24"/>
        </w:rPr>
        <w:t>–</w:t>
      </w:r>
      <w:r w:rsidR="009C55C7" w:rsidRPr="001C7B25">
        <w:rPr>
          <w:rFonts w:ascii="Times New Roman" w:hAnsi="Times New Roman" w:cs="Times New Roman"/>
          <w:color w:val="000000" w:themeColor="text1"/>
          <w:sz w:val="24"/>
          <w:szCs w:val="24"/>
        </w:rPr>
        <w:t>1.983</w:t>
      </w:r>
      <w:r w:rsidR="007D70FA" w:rsidRPr="001C7B25">
        <w:rPr>
          <w:rFonts w:ascii="Times New Roman" w:hAnsi="Times New Roman" w:cs="Times New Roman"/>
          <w:color w:val="000000" w:themeColor="text1"/>
          <w:sz w:val="24"/>
          <w:szCs w:val="24"/>
          <w:shd w:val="clear" w:color="auto" w:fill="F5F5F5"/>
        </w:rPr>
        <w:t xml:space="preserve"> </w:t>
      </w:r>
      <w:r w:rsidR="001573B6" w:rsidRPr="001C7B25">
        <w:rPr>
          <w:rFonts w:ascii="Times New Roman" w:hAnsi="Times New Roman" w:cs="Times New Roman"/>
          <w:i/>
          <w:color w:val="000000" w:themeColor="text1"/>
          <w:sz w:val="24"/>
          <w:szCs w:val="24"/>
          <w:shd w:val="clear" w:color="auto" w:fill="F5F5F5"/>
        </w:rPr>
        <w:t>p</w:t>
      </w:r>
      <w:r w:rsidR="001573B6" w:rsidRPr="001C7B25">
        <w:rPr>
          <w:rFonts w:ascii="Times New Roman" w:hAnsi="Times New Roman" w:cs="Times New Roman"/>
          <w:color w:val="000000" w:themeColor="text1"/>
          <w:sz w:val="24"/>
          <w:szCs w:val="24"/>
          <w:shd w:val="clear" w:color="auto" w:fill="F5F5F5"/>
        </w:rPr>
        <w:t>=0.0</w:t>
      </w:r>
      <w:r w:rsidR="009C55C7" w:rsidRPr="001C7B25">
        <w:rPr>
          <w:rFonts w:ascii="Times New Roman" w:hAnsi="Times New Roman" w:cs="Times New Roman"/>
          <w:color w:val="000000" w:themeColor="text1"/>
          <w:sz w:val="24"/>
          <w:szCs w:val="24"/>
          <w:shd w:val="clear" w:color="auto" w:fill="F5F5F5"/>
        </w:rPr>
        <w:t>110</w:t>
      </w:r>
      <w:r w:rsidR="001573B6" w:rsidRPr="001C7B25">
        <w:rPr>
          <w:rFonts w:ascii="Times New Roman" w:hAnsi="Times New Roman" w:cs="Times New Roman"/>
          <w:color w:val="000000" w:themeColor="text1"/>
          <w:sz w:val="24"/>
          <w:szCs w:val="24"/>
          <w:shd w:val="clear" w:color="auto" w:fill="F5F5F5"/>
        </w:rPr>
        <w:t xml:space="preserve">), FIB-4 index </w:t>
      </w:r>
      <w:r w:rsidR="001573B6" w:rsidRPr="001C7B25">
        <w:rPr>
          <w:rFonts w:ascii="Times New Roman" w:hAnsi="Times New Roman" w:cs="Times New Roman"/>
          <w:color w:val="000000" w:themeColor="text1"/>
          <w:sz w:val="24"/>
          <w:szCs w:val="24"/>
        </w:rPr>
        <w:t xml:space="preserve">&gt; 3.25 (HR, </w:t>
      </w:r>
      <w:r w:rsidR="009C55C7" w:rsidRPr="001C7B25">
        <w:rPr>
          <w:rFonts w:ascii="Times New Roman" w:hAnsi="Times New Roman" w:cs="Times New Roman"/>
          <w:color w:val="000000" w:themeColor="text1"/>
          <w:sz w:val="24"/>
          <w:szCs w:val="24"/>
        </w:rPr>
        <w:t>0.385</w:t>
      </w:r>
      <w:r w:rsidR="001573B6" w:rsidRPr="001C7B25">
        <w:rPr>
          <w:rFonts w:ascii="Times New Roman" w:hAnsi="Times New Roman" w:cs="Times New Roman"/>
          <w:color w:val="000000" w:themeColor="text1"/>
          <w:sz w:val="24"/>
          <w:szCs w:val="24"/>
        </w:rPr>
        <w:t xml:space="preserve">, 95%CI, </w:t>
      </w:r>
      <w:r w:rsidR="009C55C7" w:rsidRPr="001C7B25">
        <w:rPr>
          <w:rFonts w:ascii="Times New Roman" w:hAnsi="Times New Roman" w:cs="Times New Roman"/>
          <w:color w:val="000000" w:themeColor="text1"/>
          <w:sz w:val="24"/>
          <w:szCs w:val="24"/>
        </w:rPr>
        <w:t>0.291</w:t>
      </w:r>
      <w:r w:rsidR="00FE6857" w:rsidRPr="001C7B25">
        <w:rPr>
          <w:rFonts w:ascii="Times New Roman" w:hAnsi="Times New Roman" w:cs="Times New Roman" w:hint="cs"/>
          <w:color w:val="000000" w:themeColor="text1"/>
          <w:sz w:val="24"/>
          <w:szCs w:val="24"/>
        </w:rPr>
        <w:t>–</w:t>
      </w:r>
      <w:r w:rsidR="009C55C7" w:rsidRPr="001C7B25">
        <w:rPr>
          <w:rFonts w:ascii="Times New Roman" w:hAnsi="Times New Roman" w:cs="Times New Roman"/>
          <w:color w:val="000000" w:themeColor="text1"/>
          <w:sz w:val="24"/>
          <w:szCs w:val="24"/>
        </w:rPr>
        <w:t>0.510</w:t>
      </w:r>
      <w:r w:rsidR="001573B6" w:rsidRPr="001C7B25">
        <w:rPr>
          <w:rFonts w:ascii="Times New Roman" w:hAnsi="Times New Roman" w:cs="Times New Roman"/>
          <w:color w:val="000000" w:themeColor="text1"/>
          <w:sz w:val="24"/>
          <w:szCs w:val="24"/>
          <w:shd w:val="clear" w:color="auto" w:fill="F5F5F5"/>
        </w:rPr>
        <w:t xml:space="preserve">, </w:t>
      </w:r>
      <w:r w:rsidR="001573B6" w:rsidRPr="001C7B25">
        <w:rPr>
          <w:rFonts w:ascii="Times New Roman" w:hAnsi="Times New Roman" w:cs="Times New Roman"/>
          <w:i/>
          <w:color w:val="000000" w:themeColor="text1"/>
          <w:sz w:val="24"/>
          <w:szCs w:val="24"/>
          <w:shd w:val="clear" w:color="auto" w:fill="F5F5F5"/>
        </w:rPr>
        <w:t>p</w:t>
      </w:r>
      <w:r w:rsidR="001573B6" w:rsidRPr="001C7B25">
        <w:rPr>
          <w:rFonts w:ascii="Times New Roman" w:hAnsi="Times New Roman" w:cs="Times New Roman"/>
          <w:color w:val="000000" w:themeColor="text1"/>
          <w:sz w:val="24"/>
          <w:szCs w:val="24"/>
          <w:shd w:val="clear" w:color="auto" w:fill="F5F5F5"/>
        </w:rPr>
        <w:t xml:space="preserve">&lt;0.0001), </w:t>
      </w:r>
      <w:r w:rsidR="009C55C7" w:rsidRPr="001C7B25">
        <w:rPr>
          <w:rFonts w:ascii="Times New Roman" w:hAnsi="Times New Roman" w:cs="Times New Roman"/>
          <w:color w:val="000000" w:themeColor="text1"/>
          <w:sz w:val="24"/>
          <w:szCs w:val="24"/>
          <w:shd w:val="clear" w:color="auto" w:fill="F5F5F5"/>
        </w:rPr>
        <w:t>and SVR (</w:t>
      </w:r>
      <w:r w:rsidR="00BB3AAF" w:rsidRPr="001C7B25">
        <w:rPr>
          <w:rFonts w:ascii="Times New Roman" w:hAnsi="Times New Roman" w:cs="Times New Roman"/>
          <w:color w:val="000000" w:themeColor="text1"/>
          <w:sz w:val="24"/>
          <w:szCs w:val="24"/>
          <w:shd w:val="clear" w:color="auto" w:fill="F5F5F5"/>
        </w:rPr>
        <w:t>HR, 0.606, 95%CI, 0.393</w:t>
      </w:r>
      <w:r w:rsidR="00FE6857" w:rsidRPr="001C7B25">
        <w:rPr>
          <w:rFonts w:ascii="Times New Roman" w:hAnsi="Times New Roman" w:cs="Times New Roman" w:hint="cs"/>
          <w:color w:val="000000" w:themeColor="text1"/>
          <w:sz w:val="24"/>
          <w:szCs w:val="24"/>
        </w:rPr>
        <w:t>–</w:t>
      </w:r>
      <w:r w:rsidR="00BB3AAF" w:rsidRPr="001C7B25">
        <w:rPr>
          <w:rFonts w:ascii="Times New Roman" w:hAnsi="Times New Roman" w:cs="Times New Roman"/>
          <w:color w:val="000000" w:themeColor="text1"/>
          <w:sz w:val="24"/>
          <w:szCs w:val="24"/>
        </w:rPr>
        <w:t>0.934</w:t>
      </w:r>
      <w:r w:rsidR="0014664C" w:rsidRPr="001C7B25">
        <w:rPr>
          <w:rFonts w:ascii="Times New Roman" w:hAnsi="Times New Roman" w:cs="Times New Roman"/>
          <w:color w:val="000000" w:themeColor="text1"/>
          <w:sz w:val="24"/>
          <w:szCs w:val="24"/>
        </w:rPr>
        <w:t xml:space="preserve">, </w:t>
      </w:r>
      <w:r w:rsidR="0014664C" w:rsidRPr="001C7B25">
        <w:rPr>
          <w:rFonts w:ascii="Times New Roman" w:hAnsi="Times New Roman" w:cs="Times New Roman"/>
          <w:i/>
          <w:color w:val="000000" w:themeColor="text1"/>
          <w:sz w:val="24"/>
          <w:szCs w:val="24"/>
        </w:rPr>
        <w:t>p</w:t>
      </w:r>
      <w:r w:rsidR="0014664C" w:rsidRPr="001C7B25">
        <w:rPr>
          <w:rFonts w:ascii="Times New Roman" w:hAnsi="Times New Roman" w:cs="Times New Roman"/>
          <w:color w:val="000000" w:themeColor="text1"/>
          <w:sz w:val="24"/>
          <w:szCs w:val="24"/>
        </w:rPr>
        <w:t>=0.0230</w:t>
      </w:r>
      <w:r w:rsidR="00BB3AAF" w:rsidRPr="001C7B25">
        <w:rPr>
          <w:rFonts w:ascii="Times New Roman" w:hAnsi="Times New Roman" w:cs="Times New Roman"/>
          <w:color w:val="000000" w:themeColor="text1"/>
          <w:sz w:val="24"/>
          <w:szCs w:val="24"/>
        </w:rPr>
        <w:t xml:space="preserve">) </w:t>
      </w:r>
      <w:r w:rsidR="001573B6" w:rsidRPr="001C7B25">
        <w:rPr>
          <w:rFonts w:ascii="Times New Roman" w:hAnsi="Times New Roman" w:cs="Times New Roman"/>
          <w:color w:val="000000" w:themeColor="text1"/>
          <w:kern w:val="24"/>
          <w:sz w:val="24"/>
          <w:szCs w:val="24"/>
        </w:rPr>
        <w:t xml:space="preserve">were independently associated with </w:t>
      </w:r>
      <w:r w:rsidR="00EF7C51" w:rsidRPr="001C7B25">
        <w:rPr>
          <w:rFonts w:ascii="Times New Roman" w:hAnsi="Times New Roman" w:cs="Times New Roman"/>
          <w:color w:val="000000" w:themeColor="text1"/>
          <w:kern w:val="24"/>
          <w:sz w:val="24"/>
          <w:szCs w:val="24"/>
        </w:rPr>
        <w:t xml:space="preserve">non–liver-related </w:t>
      </w:r>
      <w:r w:rsidR="001573B6" w:rsidRPr="001C7B25">
        <w:rPr>
          <w:rFonts w:ascii="Times New Roman" w:hAnsi="Times New Roman" w:cs="Times New Roman"/>
          <w:color w:val="000000" w:themeColor="text1"/>
          <w:kern w:val="24"/>
          <w:sz w:val="24"/>
          <w:szCs w:val="24"/>
        </w:rPr>
        <w:t>mortality.</w:t>
      </w:r>
      <w:r w:rsidR="007D70FA" w:rsidRPr="001C7B25">
        <w:rPr>
          <w:rFonts w:ascii="Times New Roman" w:hAnsi="Times New Roman" w:cs="Times New Roman"/>
          <w:color w:val="000000" w:themeColor="text1"/>
          <w:kern w:val="24"/>
          <w:sz w:val="24"/>
          <w:szCs w:val="24"/>
        </w:rPr>
        <w:t xml:space="preserve"> Figure </w:t>
      </w:r>
      <w:r w:rsidR="00E522CB" w:rsidRPr="001C7B25">
        <w:rPr>
          <w:rFonts w:ascii="Times New Roman" w:hAnsi="Times New Roman" w:cs="Times New Roman"/>
          <w:color w:val="000000" w:themeColor="text1"/>
          <w:kern w:val="24"/>
          <w:sz w:val="24"/>
          <w:szCs w:val="24"/>
        </w:rPr>
        <w:t>5</w:t>
      </w:r>
      <w:r w:rsidR="007D70FA" w:rsidRPr="001C7B25">
        <w:rPr>
          <w:rFonts w:ascii="Times New Roman" w:hAnsi="Times New Roman" w:cs="Times New Roman"/>
          <w:color w:val="000000" w:themeColor="text1"/>
          <w:kern w:val="24"/>
          <w:sz w:val="24"/>
          <w:szCs w:val="24"/>
        </w:rPr>
        <w:t xml:space="preserve"> shows that the </w:t>
      </w:r>
      <w:r w:rsidR="00FE6857" w:rsidRPr="001C7B25">
        <w:rPr>
          <w:rFonts w:ascii="Times New Roman" w:hAnsi="Times New Roman" w:cs="Times New Roman"/>
          <w:color w:val="000000" w:themeColor="text1"/>
          <w:kern w:val="24"/>
          <w:sz w:val="24"/>
          <w:szCs w:val="24"/>
        </w:rPr>
        <w:t xml:space="preserve">IPW-adjusted </w:t>
      </w:r>
      <w:r w:rsidR="007D70FA" w:rsidRPr="001C7B25">
        <w:rPr>
          <w:rFonts w:ascii="Times New Roman" w:hAnsi="Times New Roman" w:cs="Times New Roman"/>
          <w:color w:val="000000" w:themeColor="text1"/>
          <w:kern w:val="24"/>
          <w:sz w:val="24"/>
          <w:szCs w:val="24"/>
        </w:rPr>
        <w:t xml:space="preserve">cumulative incidence rates of </w:t>
      </w:r>
      <w:r w:rsidR="00EF7C51" w:rsidRPr="001C7B25">
        <w:rPr>
          <w:rFonts w:ascii="Times New Roman" w:hAnsi="Times New Roman" w:cs="Times New Roman"/>
          <w:color w:val="000000" w:themeColor="text1"/>
          <w:kern w:val="24"/>
          <w:sz w:val="24"/>
          <w:szCs w:val="24"/>
        </w:rPr>
        <w:t xml:space="preserve">non–liver-related </w:t>
      </w:r>
      <w:r w:rsidR="007D70FA" w:rsidRPr="001C7B25">
        <w:rPr>
          <w:rFonts w:ascii="Times New Roman" w:hAnsi="Times New Roman" w:cs="Times New Roman"/>
          <w:color w:val="000000" w:themeColor="text1"/>
          <w:kern w:val="24"/>
          <w:sz w:val="24"/>
          <w:szCs w:val="24"/>
        </w:rPr>
        <w:t xml:space="preserve">mortality </w:t>
      </w:r>
      <w:r w:rsidR="00BB3AAF" w:rsidRPr="001C7B25">
        <w:rPr>
          <w:rFonts w:ascii="Times New Roman" w:hAnsi="Times New Roman" w:cs="Times New Roman"/>
          <w:color w:val="000000" w:themeColor="text1"/>
          <w:kern w:val="24"/>
          <w:sz w:val="24"/>
          <w:szCs w:val="24"/>
        </w:rPr>
        <w:t>with and without DAA therapy were</w:t>
      </w:r>
      <w:r w:rsidR="007D70FA" w:rsidRPr="001C7B25">
        <w:rPr>
          <w:rFonts w:ascii="Times New Roman" w:hAnsi="Times New Roman" w:cs="Times New Roman"/>
          <w:color w:val="000000" w:themeColor="text1"/>
          <w:kern w:val="24"/>
          <w:sz w:val="24"/>
          <w:szCs w:val="24"/>
        </w:rPr>
        <w:t xml:space="preserve"> </w:t>
      </w:r>
      <w:r w:rsidR="00F367EA" w:rsidRPr="001C7B25">
        <w:rPr>
          <w:rFonts w:ascii="Times New Roman" w:hAnsi="Times New Roman" w:cs="Times New Roman"/>
          <w:color w:val="000000" w:themeColor="text1"/>
          <w:kern w:val="24"/>
          <w:sz w:val="24"/>
          <w:szCs w:val="24"/>
        </w:rPr>
        <w:t>2.2</w:t>
      </w:r>
      <w:r w:rsidR="007D70FA" w:rsidRPr="001C7B25">
        <w:rPr>
          <w:rFonts w:ascii="Times New Roman" w:hAnsi="Times New Roman" w:cs="Times New Roman"/>
          <w:color w:val="000000" w:themeColor="text1"/>
          <w:kern w:val="24"/>
          <w:sz w:val="24"/>
          <w:szCs w:val="24"/>
        </w:rPr>
        <w:t xml:space="preserve">% and </w:t>
      </w:r>
      <w:r w:rsidR="00F367EA" w:rsidRPr="001C7B25">
        <w:rPr>
          <w:rFonts w:ascii="Times New Roman" w:hAnsi="Times New Roman" w:cs="Times New Roman"/>
          <w:color w:val="000000" w:themeColor="text1"/>
          <w:kern w:val="24"/>
          <w:sz w:val="24"/>
          <w:szCs w:val="24"/>
        </w:rPr>
        <w:t>11.5</w:t>
      </w:r>
      <w:r w:rsidR="00CC143A" w:rsidRPr="001C7B25">
        <w:rPr>
          <w:rFonts w:ascii="Times New Roman" w:hAnsi="Times New Roman" w:cs="Times New Roman"/>
          <w:color w:val="000000" w:themeColor="text1"/>
          <w:kern w:val="24"/>
          <w:sz w:val="24"/>
          <w:szCs w:val="24"/>
        </w:rPr>
        <w:t>% at 1 year</w:t>
      </w:r>
      <w:r w:rsidR="007D70FA" w:rsidRPr="001C7B25">
        <w:rPr>
          <w:rFonts w:ascii="Times New Roman" w:hAnsi="Times New Roman" w:cs="Times New Roman"/>
          <w:color w:val="000000" w:themeColor="text1"/>
          <w:kern w:val="24"/>
          <w:sz w:val="24"/>
          <w:szCs w:val="24"/>
        </w:rPr>
        <w:t xml:space="preserve">, respectively, </w:t>
      </w:r>
      <w:r w:rsidR="00F367EA" w:rsidRPr="001C7B25">
        <w:rPr>
          <w:rFonts w:ascii="Times New Roman" w:hAnsi="Times New Roman" w:cs="Times New Roman"/>
          <w:color w:val="000000" w:themeColor="text1"/>
          <w:kern w:val="24"/>
          <w:sz w:val="24"/>
          <w:szCs w:val="24"/>
        </w:rPr>
        <w:t>7.3</w:t>
      </w:r>
      <w:r w:rsidR="007D70FA" w:rsidRPr="001C7B25">
        <w:rPr>
          <w:rFonts w:ascii="Times New Roman" w:hAnsi="Times New Roman" w:cs="Times New Roman"/>
          <w:color w:val="000000" w:themeColor="text1"/>
          <w:kern w:val="24"/>
          <w:sz w:val="24"/>
          <w:szCs w:val="24"/>
        </w:rPr>
        <w:t xml:space="preserve">% and </w:t>
      </w:r>
      <w:r w:rsidR="00F367EA" w:rsidRPr="001C7B25">
        <w:rPr>
          <w:rFonts w:ascii="Times New Roman" w:hAnsi="Times New Roman" w:cs="Times New Roman"/>
          <w:color w:val="000000" w:themeColor="text1"/>
          <w:kern w:val="24"/>
          <w:sz w:val="24"/>
          <w:szCs w:val="24"/>
        </w:rPr>
        <w:t>14.3</w:t>
      </w:r>
      <w:r w:rsidR="007D70FA" w:rsidRPr="001C7B25">
        <w:rPr>
          <w:rFonts w:ascii="Times New Roman" w:hAnsi="Times New Roman" w:cs="Times New Roman"/>
          <w:color w:val="000000" w:themeColor="text1"/>
          <w:kern w:val="24"/>
          <w:sz w:val="24"/>
          <w:szCs w:val="24"/>
        </w:rPr>
        <w:t xml:space="preserve">% at 2 years, respectively, and </w:t>
      </w:r>
      <w:r w:rsidR="00F367EA" w:rsidRPr="001C7B25">
        <w:rPr>
          <w:rFonts w:ascii="Times New Roman" w:hAnsi="Times New Roman" w:cs="Times New Roman"/>
          <w:color w:val="000000" w:themeColor="text1"/>
          <w:kern w:val="24"/>
          <w:sz w:val="24"/>
          <w:szCs w:val="24"/>
        </w:rPr>
        <w:t>10.3</w:t>
      </w:r>
      <w:r w:rsidR="007D70FA" w:rsidRPr="001C7B25">
        <w:rPr>
          <w:rFonts w:ascii="Times New Roman" w:hAnsi="Times New Roman" w:cs="Times New Roman"/>
          <w:color w:val="000000" w:themeColor="text1"/>
          <w:kern w:val="24"/>
          <w:sz w:val="24"/>
          <w:szCs w:val="24"/>
        </w:rPr>
        <w:t xml:space="preserve">% and </w:t>
      </w:r>
      <w:r w:rsidR="00F367EA" w:rsidRPr="001C7B25">
        <w:rPr>
          <w:rFonts w:ascii="Times New Roman" w:hAnsi="Times New Roman" w:cs="Times New Roman"/>
          <w:color w:val="000000" w:themeColor="text1"/>
          <w:kern w:val="24"/>
          <w:sz w:val="24"/>
          <w:szCs w:val="24"/>
        </w:rPr>
        <w:t>16.5</w:t>
      </w:r>
      <w:r w:rsidR="007D70FA" w:rsidRPr="001C7B25">
        <w:rPr>
          <w:rFonts w:ascii="Times New Roman" w:hAnsi="Times New Roman" w:cs="Times New Roman"/>
          <w:color w:val="000000" w:themeColor="text1"/>
          <w:kern w:val="24"/>
          <w:sz w:val="24"/>
          <w:szCs w:val="24"/>
        </w:rPr>
        <w:t xml:space="preserve">% at 3 years, respectively, </w:t>
      </w:r>
      <w:r w:rsidR="00FE6857" w:rsidRPr="001C7B25">
        <w:rPr>
          <w:rFonts w:ascii="Times New Roman" w:hAnsi="Times New Roman" w:cs="Times New Roman"/>
          <w:color w:val="000000" w:themeColor="text1"/>
          <w:kern w:val="24"/>
          <w:sz w:val="24"/>
          <w:szCs w:val="24"/>
        </w:rPr>
        <w:t>indicating</w:t>
      </w:r>
      <w:r w:rsidR="007D70FA" w:rsidRPr="001C7B25">
        <w:rPr>
          <w:rFonts w:ascii="Times New Roman" w:hAnsi="Times New Roman" w:cs="Times New Roman"/>
          <w:color w:val="000000" w:themeColor="text1"/>
          <w:kern w:val="24"/>
          <w:sz w:val="24"/>
          <w:szCs w:val="24"/>
        </w:rPr>
        <w:t xml:space="preserve"> a significant difference between the two groups (</w:t>
      </w:r>
      <w:r w:rsidR="007D70FA" w:rsidRPr="001C7B25">
        <w:rPr>
          <w:rFonts w:ascii="Times New Roman" w:hAnsi="Times New Roman" w:cs="Times New Roman"/>
          <w:i/>
          <w:color w:val="000000" w:themeColor="text1"/>
          <w:kern w:val="24"/>
          <w:sz w:val="24"/>
          <w:szCs w:val="24"/>
        </w:rPr>
        <w:t>p</w:t>
      </w:r>
      <w:r w:rsidR="007D70FA" w:rsidRPr="001C7B25">
        <w:rPr>
          <w:rFonts w:ascii="Times New Roman" w:hAnsi="Times New Roman" w:cs="Times New Roman"/>
          <w:color w:val="000000" w:themeColor="text1"/>
          <w:kern w:val="24"/>
          <w:sz w:val="24"/>
          <w:szCs w:val="24"/>
        </w:rPr>
        <w:t xml:space="preserve">&lt;0.0001, </w:t>
      </w:r>
      <w:r w:rsidR="00F367EA" w:rsidRPr="001C7B25">
        <w:rPr>
          <w:rFonts w:ascii="Times New Roman" w:hAnsi="Times New Roman" w:cs="Times New Roman"/>
          <w:color w:val="000000" w:themeColor="text1"/>
          <w:kern w:val="24"/>
          <w:sz w:val="24"/>
          <w:szCs w:val="24"/>
        </w:rPr>
        <w:t>IPW</w:t>
      </w:r>
      <w:r w:rsidR="00FE6857" w:rsidRPr="001C7B25">
        <w:rPr>
          <w:rFonts w:ascii="Times New Roman" w:hAnsi="Times New Roman" w:cs="Times New Roman"/>
          <w:color w:val="000000" w:themeColor="text1"/>
          <w:kern w:val="24"/>
          <w:sz w:val="24"/>
          <w:szCs w:val="24"/>
        </w:rPr>
        <w:t>-</w:t>
      </w:r>
      <w:r w:rsidR="00F367EA" w:rsidRPr="001C7B25">
        <w:rPr>
          <w:rFonts w:ascii="Times New Roman" w:hAnsi="Times New Roman" w:cs="Times New Roman"/>
          <w:color w:val="000000" w:themeColor="text1"/>
          <w:kern w:val="24"/>
          <w:sz w:val="24"/>
          <w:szCs w:val="24"/>
        </w:rPr>
        <w:t>adjusted log-rank test</w:t>
      </w:r>
      <w:r w:rsidR="007D70FA" w:rsidRPr="001C7B25">
        <w:rPr>
          <w:rFonts w:ascii="Times New Roman" w:hAnsi="Times New Roman" w:cs="Times New Roman"/>
          <w:color w:val="000000" w:themeColor="text1"/>
          <w:kern w:val="24"/>
          <w:sz w:val="24"/>
          <w:szCs w:val="24"/>
        </w:rPr>
        <w:t>).</w:t>
      </w:r>
    </w:p>
    <w:p w14:paraId="1C76DF32" w14:textId="35A5D319" w:rsidR="00646552" w:rsidRPr="001C7B25" w:rsidRDefault="00646552" w:rsidP="007D70FA">
      <w:pPr>
        <w:widowControl/>
        <w:spacing w:line="480" w:lineRule="auto"/>
        <w:jc w:val="left"/>
        <w:rPr>
          <w:rFonts w:ascii="Times New Roman" w:hAnsi="Times New Roman" w:cs="Times New Roman"/>
          <w:b/>
          <w:color w:val="000000" w:themeColor="text1"/>
          <w:sz w:val="24"/>
          <w:szCs w:val="24"/>
        </w:rPr>
      </w:pPr>
      <w:r w:rsidRPr="001C7B25">
        <w:rPr>
          <w:rFonts w:ascii="Times New Roman" w:hAnsi="Times New Roman" w:cs="Times New Roman"/>
          <w:b/>
          <w:color w:val="000000" w:themeColor="text1"/>
          <w:sz w:val="24"/>
          <w:szCs w:val="24"/>
        </w:rPr>
        <w:br w:type="page"/>
        <w:t>Discussion</w:t>
      </w:r>
    </w:p>
    <w:p w14:paraId="79BE826C" w14:textId="613D3AA0" w:rsidR="00E72D88" w:rsidRPr="001C7B25" w:rsidRDefault="00E72D88" w:rsidP="007D70FA">
      <w:pPr>
        <w:widowControl/>
        <w:spacing w:line="480" w:lineRule="auto"/>
        <w:jc w:val="left"/>
        <w:rPr>
          <w:rFonts w:ascii="Times New Roman" w:hAnsi="Times New Roman" w:cs="Times New Roman"/>
          <w:color w:val="000000" w:themeColor="text1"/>
          <w:sz w:val="24"/>
          <w:szCs w:val="24"/>
          <w:shd w:val="clear" w:color="auto" w:fill="F5F5F5"/>
        </w:rPr>
      </w:pPr>
      <w:r w:rsidRPr="001C7B25">
        <w:rPr>
          <w:rFonts w:ascii="Times New Roman" w:hAnsi="Times New Roman" w:cs="Times New Roman"/>
          <w:color w:val="000000" w:themeColor="text1"/>
          <w:sz w:val="24"/>
          <w:szCs w:val="24"/>
        </w:rPr>
        <w:tab/>
      </w:r>
      <w:r w:rsidRPr="001C7B25">
        <w:rPr>
          <w:rFonts w:ascii="Times New Roman" w:hAnsi="Times New Roman" w:cs="Times New Roman"/>
          <w:color w:val="000000" w:themeColor="text1"/>
          <w:sz w:val="24"/>
          <w:szCs w:val="24"/>
          <w:shd w:val="clear" w:color="auto" w:fill="F5F5F5"/>
        </w:rPr>
        <w:t xml:space="preserve">The advent of highly effective DAA </w:t>
      </w:r>
      <w:r w:rsidR="00D83C13" w:rsidRPr="001C7B25">
        <w:rPr>
          <w:rFonts w:ascii="Times New Roman" w:hAnsi="Times New Roman" w:cs="Times New Roman"/>
          <w:color w:val="000000" w:themeColor="text1"/>
          <w:sz w:val="24"/>
          <w:szCs w:val="24"/>
          <w:shd w:val="clear" w:color="auto" w:fill="F5F5F5"/>
        </w:rPr>
        <w:t xml:space="preserve">drugs </w:t>
      </w:r>
      <w:r w:rsidRPr="001C7B25">
        <w:rPr>
          <w:rFonts w:ascii="Times New Roman" w:hAnsi="Times New Roman" w:cs="Times New Roman"/>
          <w:color w:val="000000" w:themeColor="text1"/>
          <w:sz w:val="24"/>
          <w:szCs w:val="24"/>
          <w:shd w:val="clear" w:color="auto" w:fill="F5F5F5"/>
        </w:rPr>
        <w:t>has transformed the treatment options for HCV</w:t>
      </w:r>
      <w:r w:rsidR="00D83C13" w:rsidRPr="001C7B25">
        <w:rPr>
          <w:rFonts w:ascii="Times New Roman" w:hAnsi="Times New Roman" w:cs="Times New Roman"/>
          <w:color w:val="000000" w:themeColor="text1"/>
          <w:sz w:val="24"/>
          <w:szCs w:val="24"/>
          <w:shd w:val="clear" w:color="auto" w:fill="F5F5F5"/>
        </w:rPr>
        <w:t>-</w:t>
      </w:r>
      <w:r w:rsidRPr="001C7B25">
        <w:rPr>
          <w:rFonts w:ascii="Times New Roman" w:hAnsi="Times New Roman" w:cs="Times New Roman"/>
          <w:color w:val="000000" w:themeColor="text1"/>
          <w:sz w:val="24"/>
          <w:szCs w:val="24"/>
          <w:shd w:val="clear" w:color="auto" w:fill="F5F5F5"/>
        </w:rPr>
        <w:t>infected patients with DC</w:t>
      </w:r>
      <w:r w:rsidR="00CC143A" w:rsidRPr="001C7B25">
        <w:rPr>
          <w:rFonts w:ascii="Times New Roman" w:hAnsi="Times New Roman" w:cs="Times New Roman"/>
          <w:color w:val="000000" w:themeColor="text1"/>
          <w:sz w:val="24"/>
          <w:szCs w:val="24"/>
          <w:shd w:val="clear" w:color="auto" w:fill="F5F5F5"/>
        </w:rPr>
        <w:t xml:space="preserve"> [11, 12]</w:t>
      </w:r>
      <w:r w:rsidRPr="001C7B25">
        <w:rPr>
          <w:rFonts w:ascii="Times New Roman" w:hAnsi="Times New Roman" w:cs="Times New Roman"/>
          <w:color w:val="000000" w:themeColor="text1"/>
          <w:sz w:val="24"/>
          <w:szCs w:val="24"/>
          <w:shd w:val="clear" w:color="auto" w:fill="F5F5F5"/>
        </w:rPr>
        <w:t xml:space="preserve">. </w:t>
      </w:r>
      <w:r w:rsidR="0083322E" w:rsidRPr="001C7B25">
        <w:rPr>
          <w:rFonts w:ascii="Times New Roman" w:hAnsi="Times New Roman" w:cs="Times New Roman"/>
          <w:color w:val="000000" w:themeColor="text1"/>
          <w:sz w:val="24"/>
          <w:szCs w:val="24"/>
          <w:shd w:val="clear" w:color="auto" w:fill="F5F5F5"/>
        </w:rPr>
        <w:t xml:space="preserve">In this study, we examined a </w:t>
      </w:r>
      <w:r w:rsidR="00922229" w:rsidRPr="001C7B25">
        <w:rPr>
          <w:rFonts w:ascii="Times New Roman" w:hAnsi="Times New Roman" w:cs="Times New Roman"/>
          <w:color w:val="000000" w:themeColor="text1"/>
          <w:sz w:val="24"/>
          <w:szCs w:val="24"/>
          <w:shd w:val="clear" w:color="auto" w:fill="F5F5F5"/>
        </w:rPr>
        <w:t>12</w:t>
      </w:r>
      <w:r w:rsidR="00D83C13" w:rsidRPr="001C7B25">
        <w:rPr>
          <w:rFonts w:ascii="Times New Roman" w:hAnsi="Times New Roman" w:cs="Times New Roman"/>
          <w:color w:val="000000" w:themeColor="text1"/>
          <w:sz w:val="24"/>
          <w:szCs w:val="24"/>
          <w:shd w:val="clear" w:color="auto" w:fill="F5F5F5"/>
        </w:rPr>
        <w:t>-</w:t>
      </w:r>
      <w:r w:rsidR="00922229" w:rsidRPr="001C7B25">
        <w:rPr>
          <w:rFonts w:ascii="Times New Roman" w:hAnsi="Times New Roman" w:cs="Times New Roman"/>
          <w:color w:val="000000" w:themeColor="text1"/>
          <w:sz w:val="24"/>
          <w:szCs w:val="24"/>
          <w:shd w:val="clear" w:color="auto" w:fill="F5F5F5"/>
        </w:rPr>
        <w:t>week course of antiviral therapy in a large</w:t>
      </w:r>
      <w:r w:rsidR="00D83C13" w:rsidRPr="001C7B25">
        <w:rPr>
          <w:rFonts w:ascii="Times New Roman" w:hAnsi="Times New Roman" w:cs="Times New Roman"/>
          <w:color w:val="000000" w:themeColor="text1"/>
          <w:sz w:val="24"/>
          <w:szCs w:val="24"/>
          <w:shd w:val="clear" w:color="auto" w:fill="F5F5F5"/>
        </w:rPr>
        <w:t>,</w:t>
      </w:r>
      <w:r w:rsidR="00922229" w:rsidRPr="001C7B25">
        <w:rPr>
          <w:rFonts w:ascii="Times New Roman" w:hAnsi="Times New Roman" w:cs="Times New Roman"/>
          <w:color w:val="000000" w:themeColor="text1"/>
          <w:sz w:val="24"/>
          <w:szCs w:val="24"/>
          <w:shd w:val="clear" w:color="auto" w:fill="F5F5F5"/>
        </w:rPr>
        <w:t xml:space="preserve"> heterogeneous group of patients with </w:t>
      </w:r>
      <w:r w:rsidR="00AE14CD" w:rsidRPr="001C7B25">
        <w:rPr>
          <w:rFonts w:ascii="Times New Roman" w:hAnsi="Times New Roman" w:cs="Times New Roman"/>
          <w:color w:val="000000" w:themeColor="text1"/>
          <w:sz w:val="24"/>
          <w:szCs w:val="24"/>
          <w:shd w:val="clear" w:color="auto" w:fill="F5F5F5"/>
        </w:rPr>
        <w:t>DC or life</w:t>
      </w:r>
      <w:r w:rsidR="00D83C13" w:rsidRPr="001C7B25">
        <w:rPr>
          <w:rFonts w:ascii="Times New Roman" w:hAnsi="Times New Roman" w:cs="Times New Roman"/>
          <w:color w:val="000000" w:themeColor="text1"/>
          <w:sz w:val="24"/>
          <w:szCs w:val="24"/>
          <w:shd w:val="clear" w:color="auto" w:fill="F5F5F5"/>
        </w:rPr>
        <w:t>-</w:t>
      </w:r>
      <w:r w:rsidR="00AE14CD" w:rsidRPr="001C7B25">
        <w:rPr>
          <w:rFonts w:ascii="Times New Roman" w:hAnsi="Times New Roman" w:cs="Times New Roman"/>
          <w:color w:val="000000" w:themeColor="text1"/>
          <w:sz w:val="24"/>
          <w:szCs w:val="24"/>
          <w:shd w:val="clear" w:color="auto" w:fill="F5F5F5"/>
        </w:rPr>
        <w:t>threatening complication</w:t>
      </w:r>
      <w:r w:rsidR="00D83C13" w:rsidRPr="001C7B25">
        <w:rPr>
          <w:rFonts w:ascii="Times New Roman" w:hAnsi="Times New Roman" w:cs="Times New Roman"/>
          <w:color w:val="000000" w:themeColor="text1"/>
          <w:sz w:val="24"/>
          <w:szCs w:val="24"/>
          <w:shd w:val="clear" w:color="auto" w:fill="F5F5F5"/>
        </w:rPr>
        <w:t>s</w:t>
      </w:r>
      <w:r w:rsidR="00AE14CD" w:rsidRPr="001C7B25">
        <w:rPr>
          <w:rFonts w:ascii="Times New Roman" w:hAnsi="Times New Roman" w:cs="Times New Roman"/>
          <w:color w:val="000000" w:themeColor="text1"/>
          <w:sz w:val="24"/>
          <w:szCs w:val="24"/>
          <w:shd w:val="clear" w:color="auto" w:fill="F5F5F5"/>
        </w:rPr>
        <w:t xml:space="preserve"> of HCV infection in the UK (</w:t>
      </w:r>
      <w:r w:rsidR="00F9615A" w:rsidRPr="001C7B25">
        <w:rPr>
          <w:rFonts w:ascii="Times New Roman" w:hAnsi="Times New Roman" w:cs="Times New Roman"/>
          <w:color w:val="000000" w:themeColor="text1"/>
          <w:kern w:val="0"/>
          <w:sz w:val="24"/>
          <w:szCs w:val="24"/>
        </w:rPr>
        <w:t>HCV Research UK</w:t>
      </w:r>
      <w:r w:rsidR="00AE14CD" w:rsidRPr="001C7B25">
        <w:rPr>
          <w:rFonts w:ascii="Times New Roman" w:hAnsi="Times New Roman" w:cs="Times New Roman"/>
          <w:color w:val="000000" w:themeColor="text1"/>
          <w:sz w:val="24"/>
          <w:szCs w:val="24"/>
          <w:shd w:val="clear" w:color="auto" w:fill="F5F5F5"/>
        </w:rPr>
        <w:t xml:space="preserve">), and compared </w:t>
      </w:r>
      <w:r w:rsidR="00D83C13" w:rsidRPr="001C7B25">
        <w:rPr>
          <w:rFonts w:ascii="Times New Roman" w:hAnsi="Times New Roman" w:cs="Times New Roman"/>
          <w:color w:val="000000" w:themeColor="text1"/>
          <w:sz w:val="24"/>
          <w:szCs w:val="24"/>
          <w:shd w:val="clear" w:color="auto" w:fill="F5F5F5"/>
        </w:rPr>
        <w:t xml:space="preserve">the </w:t>
      </w:r>
      <w:r w:rsidR="00AE14CD" w:rsidRPr="001C7B25">
        <w:rPr>
          <w:rFonts w:ascii="Times New Roman" w:hAnsi="Times New Roman" w:cs="Times New Roman"/>
          <w:color w:val="000000" w:themeColor="text1"/>
          <w:sz w:val="24"/>
          <w:szCs w:val="24"/>
          <w:shd w:val="clear" w:color="auto" w:fill="F5F5F5"/>
        </w:rPr>
        <w:t>outcomes</w:t>
      </w:r>
      <w:r w:rsidR="00CC143A" w:rsidRPr="001C7B25">
        <w:rPr>
          <w:rFonts w:ascii="Times New Roman" w:hAnsi="Times New Roman" w:cs="Times New Roman"/>
          <w:color w:val="000000" w:themeColor="text1"/>
          <w:sz w:val="24"/>
          <w:szCs w:val="24"/>
          <w:shd w:val="clear" w:color="auto" w:fill="F5F5F5"/>
        </w:rPr>
        <w:t xml:space="preserve"> of </w:t>
      </w:r>
      <w:r w:rsidR="00D83C13" w:rsidRPr="001C7B25">
        <w:rPr>
          <w:rFonts w:ascii="Times New Roman" w:hAnsi="Times New Roman" w:cs="Times New Roman"/>
          <w:color w:val="000000" w:themeColor="text1"/>
          <w:sz w:val="24"/>
          <w:szCs w:val="24"/>
          <w:shd w:val="clear" w:color="auto" w:fill="F5F5F5"/>
        </w:rPr>
        <w:t>this group, who received DAAs</w:t>
      </w:r>
      <w:r w:rsidR="006911B1" w:rsidRPr="001C7B25">
        <w:rPr>
          <w:rFonts w:ascii="Times New Roman" w:hAnsi="Times New Roman" w:cs="Times New Roman"/>
          <w:color w:val="000000" w:themeColor="text1"/>
          <w:sz w:val="24"/>
          <w:szCs w:val="24"/>
          <w:shd w:val="clear" w:color="auto" w:fill="F5F5F5"/>
        </w:rPr>
        <w:t xml:space="preserve"> and achieved SVR</w:t>
      </w:r>
      <w:r w:rsidR="00D83C13" w:rsidRPr="001C7B25">
        <w:rPr>
          <w:rFonts w:ascii="Times New Roman" w:hAnsi="Times New Roman" w:cs="Times New Roman"/>
          <w:color w:val="000000" w:themeColor="text1"/>
          <w:sz w:val="24"/>
          <w:szCs w:val="24"/>
          <w:shd w:val="clear" w:color="auto" w:fill="F5F5F5"/>
        </w:rPr>
        <w:t>, with a group of patients in Japan who were not treated with DAAs</w:t>
      </w:r>
      <w:r w:rsidR="00AE14CD" w:rsidRPr="001C7B25">
        <w:rPr>
          <w:rFonts w:ascii="Times New Roman" w:hAnsi="Times New Roman" w:cs="Times New Roman"/>
          <w:color w:val="000000" w:themeColor="text1"/>
          <w:sz w:val="24"/>
          <w:szCs w:val="24"/>
          <w:shd w:val="clear" w:color="auto" w:fill="F5F5F5"/>
        </w:rPr>
        <w:t xml:space="preserve">. </w:t>
      </w:r>
      <w:r w:rsidR="00D83C13" w:rsidRPr="001C7B25">
        <w:rPr>
          <w:rFonts w:ascii="Times New Roman" w:hAnsi="Times New Roman" w:cs="Times New Roman"/>
          <w:color w:val="000000" w:themeColor="text1"/>
          <w:sz w:val="24"/>
          <w:szCs w:val="24"/>
          <w:shd w:val="clear" w:color="auto" w:fill="F5F5F5"/>
        </w:rPr>
        <w:t>We</w:t>
      </w:r>
      <w:r w:rsidR="00BB3AAF" w:rsidRPr="001C7B25">
        <w:rPr>
          <w:rFonts w:ascii="Times New Roman" w:hAnsi="Times New Roman" w:cs="Times New Roman"/>
          <w:color w:val="000000" w:themeColor="text1"/>
          <w:sz w:val="24"/>
          <w:szCs w:val="24"/>
          <w:shd w:val="clear" w:color="auto" w:fill="F5F5F5"/>
        </w:rPr>
        <w:t xml:space="preserve"> </w:t>
      </w:r>
      <w:r w:rsidR="00D83C13" w:rsidRPr="001C7B25">
        <w:rPr>
          <w:rFonts w:ascii="Times New Roman" w:hAnsi="Times New Roman" w:cs="Times New Roman"/>
          <w:color w:val="000000" w:themeColor="text1"/>
          <w:sz w:val="24"/>
          <w:szCs w:val="24"/>
          <w:shd w:val="clear" w:color="auto" w:fill="F5F5F5"/>
        </w:rPr>
        <w:t xml:space="preserve">found </w:t>
      </w:r>
      <w:r w:rsidR="00BB3AAF" w:rsidRPr="001C7B25">
        <w:rPr>
          <w:rFonts w:ascii="Times New Roman" w:hAnsi="Times New Roman" w:cs="Times New Roman"/>
          <w:color w:val="000000" w:themeColor="text1"/>
          <w:sz w:val="24"/>
          <w:szCs w:val="24"/>
          <w:shd w:val="clear" w:color="auto" w:fill="F5F5F5"/>
        </w:rPr>
        <w:t>that viral eradication reduced not only liver-related mortality but also non</w:t>
      </w:r>
      <w:r w:rsidR="006911B1" w:rsidRPr="001C7B25">
        <w:rPr>
          <w:rFonts w:ascii="Times New Roman" w:hAnsi="Times New Roman" w:cs="Times New Roman"/>
          <w:color w:val="000000" w:themeColor="text1"/>
          <w:sz w:val="24"/>
          <w:szCs w:val="24"/>
          <w:shd w:val="clear" w:color="auto" w:fill="F5F5F5"/>
        </w:rPr>
        <w:t>–</w:t>
      </w:r>
      <w:r w:rsidR="00BB3AAF" w:rsidRPr="001C7B25">
        <w:rPr>
          <w:rFonts w:ascii="Times New Roman" w:hAnsi="Times New Roman" w:cs="Times New Roman"/>
          <w:color w:val="000000" w:themeColor="text1"/>
          <w:sz w:val="24"/>
          <w:szCs w:val="24"/>
          <w:shd w:val="clear" w:color="auto" w:fill="F5F5F5"/>
        </w:rPr>
        <w:t>liver</w:t>
      </w:r>
      <w:r w:rsidR="006911B1" w:rsidRPr="001C7B25">
        <w:rPr>
          <w:rFonts w:ascii="Times New Roman" w:hAnsi="Times New Roman" w:cs="Times New Roman"/>
          <w:color w:val="000000" w:themeColor="text1"/>
          <w:sz w:val="24"/>
          <w:szCs w:val="24"/>
          <w:shd w:val="clear" w:color="auto" w:fill="F5F5F5"/>
        </w:rPr>
        <w:t>-</w:t>
      </w:r>
      <w:r w:rsidR="00BB3AAF" w:rsidRPr="001C7B25">
        <w:rPr>
          <w:rFonts w:ascii="Times New Roman" w:hAnsi="Times New Roman" w:cs="Times New Roman"/>
          <w:color w:val="000000" w:themeColor="text1"/>
          <w:sz w:val="24"/>
          <w:szCs w:val="24"/>
          <w:shd w:val="clear" w:color="auto" w:fill="F5F5F5"/>
        </w:rPr>
        <w:t xml:space="preserve">related mortality in patients with </w:t>
      </w:r>
      <w:r w:rsidR="00CC143A" w:rsidRPr="001C7B25">
        <w:rPr>
          <w:rFonts w:ascii="Times New Roman" w:hAnsi="Times New Roman" w:cs="Times New Roman"/>
          <w:color w:val="000000" w:themeColor="text1"/>
          <w:sz w:val="24"/>
          <w:szCs w:val="24"/>
          <w:shd w:val="clear" w:color="auto" w:fill="F5F5F5"/>
        </w:rPr>
        <w:t xml:space="preserve">HCV infection and </w:t>
      </w:r>
      <w:r w:rsidR="00BB3AAF" w:rsidRPr="001C7B25">
        <w:rPr>
          <w:rFonts w:ascii="Times New Roman" w:hAnsi="Times New Roman" w:cs="Times New Roman"/>
          <w:color w:val="000000" w:themeColor="text1"/>
          <w:sz w:val="24"/>
          <w:szCs w:val="24"/>
          <w:shd w:val="clear" w:color="auto" w:fill="F5F5F5"/>
        </w:rPr>
        <w:t>DC.</w:t>
      </w:r>
    </w:p>
    <w:p w14:paraId="6BA452EC" w14:textId="5341FE8F" w:rsidR="00A80AB1" w:rsidRPr="001C7B25" w:rsidRDefault="00A80AB1" w:rsidP="00FF5969">
      <w:pPr>
        <w:autoSpaceDE w:val="0"/>
        <w:autoSpaceDN w:val="0"/>
        <w:adjustRightInd w:val="0"/>
        <w:spacing w:line="480" w:lineRule="auto"/>
        <w:jc w:val="left"/>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shd w:val="clear" w:color="auto" w:fill="F5F5F5"/>
        </w:rPr>
        <w:tab/>
      </w:r>
      <w:r w:rsidR="002C2520" w:rsidRPr="001C7B25">
        <w:rPr>
          <w:rFonts w:ascii="Times New Roman" w:hAnsi="Times New Roman" w:cs="Times New Roman"/>
          <w:color w:val="000000" w:themeColor="text1"/>
          <w:sz w:val="24"/>
          <w:szCs w:val="24"/>
          <w:shd w:val="clear" w:color="auto" w:fill="F5F5F5"/>
        </w:rPr>
        <w:t xml:space="preserve">All-cause mortality </w:t>
      </w:r>
      <w:r w:rsidR="00F14414" w:rsidRPr="001C7B25">
        <w:rPr>
          <w:rFonts w:ascii="Times New Roman" w:hAnsi="Times New Roman" w:cs="Times New Roman"/>
          <w:color w:val="000000" w:themeColor="text1"/>
          <w:sz w:val="24"/>
          <w:szCs w:val="24"/>
          <w:shd w:val="clear" w:color="auto" w:fill="F5F5F5"/>
        </w:rPr>
        <w:t xml:space="preserve">in this population </w:t>
      </w:r>
      <w:r w:rsidR="003E34D8" w:rsidRPr="001C7B25">
        <w:rPr>
          <w:rFonts w:ascii="Times New Roman" w:hAnsi="Times New Roman" w:cs="Times New Roman"/>
          <w:color w:val="000000" w:themeColor="text1"/>
          <w:sz w:val="24"/>
          <w:szCs w:val="24"/>
          <w:shd w:val="clear" w:color="auto" w:fill="F5F5F5"/>
        </w:rPr>
        <w:t>was</w:t>
      </w:r>
      <w:r w:rsidR="00BF4BF7" w:rsidRPr="001C7B25">
        <w:rPr>
          <w:rFonts w:ascii="Times New Roman" w:hAnsi="Times New Roman" w:cs="Times New Roman"/>
          <w:color w:val="000000" w:themeColor="text1"/>
          <w:sz w:val="24"/>
          <w:szCs w:val="24"/>
          <w:shd w:val="clear" w:color="auto" w:fill="F5F5F5"/>
        </w:rPr>
        <w:t xml:space="preserve"> </w:t>
      </w:r>
      <w:r w:rsidR="002C2520" w:rsidRPr="001C7B25">
        <w:rPr>
          <w:rFonts w:ascii="Times New Roman" w:hAnsi="Times New Roman" w:cs="Times New Roman"/>
          <w:color w:val="000000" w:themeColor="text1"/>
          <w:sz w:val="24"/>
          <w:szCs w:val="24"/>
          <w:shd w:val="clear" w:color="auto" w:fill="F5F5F5"/>
        </w:rPr>
        <w:t xml:space="preserve">associated with high age, male gender, impaired liver function, and </w:t>
      </w:r>
      <w:r w:rsidR="0083322E" w:rsidRPr="001C7B25">
        <w:rPr>
          <w:rFonts w:ascii="Times New Roman" w:hAnsi="Times New Roman" w:cs="Times New Roman"/>
          <w:color w:val="000000" w:themeColor="text1"/>
          <w:sz w:val="24"/>
          <w:szCs w:val="24"/>
          <w:shd w:val="clear" w:color="auto" w:fill="F5F5F5"/>
        </w:rPr>
        <w:t xml:space="preserve">no </w:t>
      </w:r>
      <w:r w:rsidR="002C2520" w:rsidRPr="001C7B25">
        <w:rPr>
          <w:rFonts w:ascii="Times New Roman" w:hAnsi="Times New Roman" w:cs="Times New Roman"/>
          <w:color w:val="000000" w:themeColor="text1"/>
          <w:sz w:val="24"/>
          <w:szCs w:val="24"/>
          <w:shd w:val="clear" w:color="auto" w:fill="F5F5F5"/>
        </w:rPr>
        <w:t xml:space="preserve">viral eradication. </w:t>
      </w:r>
      <w:r w:rsidR="003E34D8" w:rsidRPr="001C7B25">
        <w:rPr>
          <w:rFonts w:ascii="Times New Roman" w:hAnsi="Times New Roman" w:cs="Times New Roman"/>
          <w:color w:val="000000" w:themeColor="text1"/>
          <w:sz w:val="24"/>
          <w:szCs w:val="24"/>
          <w:shd w:val="clear" w:color="auto" w:fill="F5F5F5"/>
        </w:rPr>
        <w:t>There</w:t>
      </w:r>
      <w:r w:rsidR="00BF4BF7" w:rsidRPr="001C7B25">
        <w:rPr>
          <w:rFonts w:ascii="Times New Roman" w:hAnsi="Times New Roman" w:cs="Times New Roman"/>
          <w:color w:val="000000" w:themeColor="text1"/>
          <w:sz w:val="24"/>
          <w:szCs w:val="24"/>
          <w:shd w:val="clear" w:color="auto" w:fill="F5F5F5"/>
        </w:rPr>
        <w:t xml:space="preserve"> has</w:t>
      </w:r>
      <w:r w:rsidR="003E34D8" w:rsidRPr="001C7B25">
        <w:rPr>
          <w:rFonts w:ascii="Times New Roman" w:hAnsi="Times New Roman" w:cs="Times New Roman"/>
          <w:color w:val="000000" w:themeColor="text1"/>
          <w:sz w:val="24"/>
          <w:szCs w:val="24"/>
          <w:shd w:val="clear" w:color="auto" w:fill="F5F5F5"/>
        </w:rPr>
        <w:t xml:space="preserve"> previously</w:t>
      </w:r>
      <w:r w:rsidR="00BF4BF7" w:rsidRPr="001C7B25">
        <w:rPr>
          <w:rFonts w:ascii="Times New Roman" w:hAnsi="Times New Roman" w:cs="Times New Roman"/>
          <w:color w:val="000000" w:themeColor="text1"/>
          <w:sz w:val="24"/>
          <w:szCs w:val="24"/>
          <w:shd w:val="clear" w:color="auto" w:fill="F5F5F5"/>
        </w:rPr>
        <w:t xml:space="preserve"> been little information</w:t>
      </w:r>
      <w:r w:rsidRPr="001C7B25">
        <w:rPr>
          <w:rFonts w:ascii="Times New Roman" w:hAnsi="Times New Roman" w:cs="Times New Roman"/>
          <w:color w:val="000000" w:themeColor="text1"/>
          <w:sz w:val="24"/>
          <w:szCs w:val="24"/>
          <w:shd w:val="clear" w:color="auto" w:fill="F5F5F5"/>
        </w:rPr>
        <w:t xml:space="preserve"> </w:t>
      </w:r>
      <w:r w:rsidR="00857684" w:rsidRPr="001C7B25">
        <w:rPr>
          <w:rFonts w:ascii="Times New Roman" w:hAnsi="Times New Roman" w:cs="Times New Roman"/>
          <w:color w:val="000000" w:themeColor="text1"/>
          <w:sz w:val="24"/>
          <w:szCs w:val="24"/>
          <w:shd w:val="clear" w:color="auto" w:fill="F5F5F5"/>
        </w:rPr>
        <w:t>on</w:t>
      </w:r>
      <w:r w:rsidR="006911B1" w:rsidRPr="001C7B25">
        <w:rPr>
          <w:rFonts w:ascii="Times New Roman" w:hAnsi="Times New Roman" w:cs="Times New Roman"/>
          <w:color w:val="000000" w:themeColor="text1"/>
          <w:sz w:val="24"/>
          <w:szCs w:val="24"/>
          <w:shd w:val="clear" w:color="auto" w:fill="F5F5F5"/>
        </w:rPr>
        <w:t xml:space="preserve"> </w:t>
      </w:r>
      <w:r w:rsidR="00F354E8" w:rsidRPr="001C7B25">
        <w:rPr>
          <w:rFonts w:ascii="Times New Roman" w:hAnsi="Times New Roman" w:cs="Times New Roman"/>
          <w:color w:val="000000" w:themeColor="text1"/>
          <w:sz w:val="24"/>
          <w:szCs w:val="24"/>
          <w:shd w:val="clear" w:color="auto" w:fill="F5F5F5"/>
        </w:rPr>
        <w:t xml:space="preserve">how liver-related and </w:t>
      </w:r>
      <w:r w:rsidR="00EF7C51" w:rsidRPr="001C7B25">
        <w:rPr>
          <w:rFonts w:ascii="Times New Roman" w:hAnsi="Times New Roman" w:cs="Times New Roman"/>
          <w:color w:val="000000" w:themeColor="text1"/>
          <w:sz w:val="24"/>
          <w:szCs w:val="24"/>
          <w:shd w:val="clear" w:color="auto" w:fill="F5F5F5"/>
        </w:rPr>
        <w:t xml:space="preserve">non–liver-related </w:t>
      </w:r>
      <w:r w:rsidR="00962B54" w:rsidRPr="001C7B25">
        <w:rPr>
          <w:rFonts w:ascii="Times New Roman" w:hAnsi="Times New Roman" w:cs="Times New Roman"/>
          <w:color w:val="000000" w:themeColor="text1"/>
          <w:sz w:val="24"/>
          <w:szCs w:val="24"/>
          <w:shd w:val="clear" w:color="auto" w:fill="F5F5F5"/>
        </w:rPr>
        <w:t>mortality</w:t>
      </w:r>
      <w:r w:rsidR="00F354E8" w:rsidRPr="001C7B25">
        <w:rPr>
          <w:rFonts w:ascii="Times New Roman" w:hAnsi="Times New Roman" w:cs="Times New Roman"/>
          <w:color w:val="000000" w:themeColor="text1"/>
          <w:sz w:val="24"/>
          <w:szCs w:val="24"/>
          <w:shd w:val="clear" w:color="auto" w:fill="F5F5F5"/>
        </w:rPr>
        <w:t xml:space="preserve"> </w:t>
      </w:r>
      <w:r w:rsidR="00BF4BF7" w:rsidRPr="001C7B25">
        <w:rPr>
          <w:rFonts w:ascii="Times New Roman" w:hAnsi="Times New Roman" w:cs="Times New Roman"/>
          <w:color w:val="000000" w:themeColor="text1"/>
          <w:sz w:val="24"/>
          <w:szCs w:val="24"/>
          <w:shd w:val="clear" w:color="auto" w:fill="F5F5F5"/>
        </w:rPr>
        <w:t>are affected</w:t>
      </w:r>
      <w:r w:rsidR="00F354E8" w:rsidRPr="001C7B25">
        <w:rPr>
          <w:rFonts w:ascii="Times New Roman" w:hAnsi="Times New Roman" w:cs="Times New Roman"/>
          <w:color w:val="000000" w:themeColor="text1"/>
          <w:sz w:val="24"/>
          <w:szCs w:val="24"/>
          <w:shd w:val="clear" w:color="auto" w:fill="F5F5F5"/>
        </w:rPr>
        <w:t xml:space="preserve"> </w:t>
      </w:r>
      <w:r w:rsidR="00F14414" w:rsidRPr="001C7B25">
        <w:rPr>
          <w:rFonts w:ascii="Times New Roman" w:hAnsi="Times New Roman" w:cs="Times New Roman"/>
          <w:color w:val="000000" w:themeColor="text1"/>
          <w:sz w:val="24"/>
          <w:szCs w:val="24"/>
          <w:shd w:val="clear" w:color="auto" w:fill="F5F5F5"/>
        </w:rPr>
        <w:t xml:space="preserve">by </w:t>
      </w:r>
      <w:r w:rsidR="00F354E8" w:rsidRPr="001C7B25">
        <w:rPr>
          <w:rFonts w:ascii="Times New Roman" w:hAnsi="Times New Roman" w:cs="Times New Roman"/>
          <w:color w:val="000000" w:themeColor="text1"/>
          <w:sz w:val="24"/>
          <w:szCs w:val="24"/>
          <w:shd w:val="clear" w:color="auto" w:fill="F5F5F5"/>
        </w:rPr>
        <w:t xml:space="preserve">viral eradication </w:t>
      </w:r>
      <w:r w:rsidR="003E34D8" w:rsidRPr="001C7B25">
        <w:rPr>
          <w:rFonts w:ascii="Times New Roman" w:hAnsi="Times New Roman" w:cs="Times New Roman"/>
          <w:color w:val="000000" w:themeColor="text1"/>
          <w:sz w:val="24"/>
          <w:szCs w:val="24"/>
          <w:shd w:val="clear" w:color="auto" w:fill="F5F5F5"/>
        </w:rPr>
        <w:t>in patients with HCV infection and DC</w:t>
      </w:r>
      <w:r w:rsidR="00F354E8" w:rsidRPr="001C7B25">
        <w:rPr>
          <w:rFonts w:ascii="Times New Roman" w:hAnsi="Times New Roman" w:cs="Times New Roman"/>
          <w:color w:val="000000" w:themeColor="text1"/>
          <w:sz w:val="24"/>
          <w:szCs w:val="24"/>
          <w:shd w:val="clear" w:color="auto" w:fill="F5F5F5"/>
        </w:rPr>
        <w:t xml:space="preserve">. </w:t>
      </w:r>
      <w:r w:rsidR="00BF4BF7" w:rsidRPr="001C7B25">
        <w:rPr>
          <w:rFonts w:ascii="Times New Roman" w:hAnsi="Times New Roman" w:cs="Times New Roman"/>
          <w:color w:val="000000" w:themeColor="text1"/>
          <w:sz w:val="24"/>
          <w:szCs w:val="24"/>
          <w:shd w:val="clear" w:color="auto" w:fill="F5F5F5"/>
        </w:rPr>
        <w:t>This study showed that in</w:t>
      </w:r>
      <w:r w:rsidR="003E34D8" w:rsidRPr="001C7B25">
        <w:rPr>
          <w:rFonts w:ascii="Times New Roman" w:hAnsi="Times New Roman" w:cs="Times New Roman"/>
          <w:color w:val="000000" w:themeColor="text1"/>
          <w:sz w:val="24"/>
          <w:szCs w:val="24"/>
          <w:shd w:val="clear" w:color="auto" w:fill="F5F5F5"/>
        </w:rPr>
        <w:t xml:space="preserve"> these patients</w:t>
      </w:r>
      <w:r w:rsidR="00BF4BF7" w:rsidRPr="001C7B25">
        <w:rPr>
          <w:rFonts w:ascii="Times New Roman" w:hAnsi="Times New Roman" w:cs="Times New Roman"/>
          <w:color w:val="000000" w:themeColor="text1"/>
          <w:sz w:val="24"/>
          <w:szCs w:val="24"/>
          <w:shd w:val="clear" w:color="auto" w:fill="F5F5F5"/>
        </w:rPr>
        <w:t>, l</w:t>
      </w:r>
      <w:r w:rsidR="00F354E8" w:rsidRPr="001C7B25">
        <w:rPr>
          <w:rFonts w:ascii="Times New Roman" w:hAnsi="Times New Roman" w:cs="Times New Roman"/>
          <w:color w:val="000000" w:themeColor="text1"/>
          <w:sz w:val="24"/>
          <w:szCs w:val="24"/>
          <w:shd w:val="clear" w:color="auto" w:fill="F5F5F5"/>
        </w:rPr>
        <w:t xml:space="preserve">iver-related mortality was associated with </w:t>
      </w:r>
      <w:r w:rsidR="00B278F4" w:rsidRPr="001C7B25">
        <w:rPr>
          <w:rFonts w:ascii="Times New Roman" w:hAnsi="Times New Roman" w:cs="Times New Roman"/>
          <w:color w:val="000000" w:themeColor="text1"/>
          <w:sz w:val="24"/>
          <w:szCs w:val="24"/>
          <w:shd w:val="clear" w:color="auto" w:fill="F5F5F5"/>
        </w:rPr>
        <w:t>alcohol abuse</w:t>
      </w:r>
      <w:r w:rsidR="00F354E8" w:rsidRPr="001C7B25">
        <w:rPr>
          <w:rFonts w:ascii="Times New Roman" w:hAnsi="Times New Roman" w:cs="Times New Roman"/>
          <w:color w:val="000000" w:themeColor="text1"/>
          <w:sz w:val="24"/>
          <w:szCs w:val="24"/>
          <w:shd w:val="clear" w:color="auto" w:fill="F5F5F5"/>
        </w:rPr>
        <w:t xml:space="preserve">, impaired liver function, </w:t>
      </w:r>
      <w:r w:rsidR="00B278F4" w:rsidRPr="001C7B25">
        <w:rPr>
          <w:rFonts w:ascii="Times New Roman" w:hAnsi="Times New Roman" w:cs="Times New Roman"/>
          <w:color w:val="000000" w:themeColor="text1"/>
          <w:sz w:val="24"/>
          <w:szCs w:val="24"/>
          <w:shd w:val="clear" w:color="auto" w:fill="F5F5F5"/>
        </w:rPr>
        <w:t xml:space="preserve">advanced fibrosis, </w:t>
      </w:r>
      <w:r w:rsidR="00F354E8" w:rsidRPr="001C7B25">
        <w:rPr>
          <w:rFonts w:ascii="Times New Roman" w:hAnsi="Times New Roman" w:cs="Times New Roman"/>
          <w:color w:val="000000" w:themeColor="text1"/>
          <w:sz w:val="24"/>
          <w:szCs w:val="24"/>
          <w:shd w:val="clear" w:color="auto" w:fill="F5F5F5"/>
        </w:rPr>
        <w:t xml:space="preserve">and </w:t>
      </w:r>
      <w:r w:rsidR="0083322E" w:rsidRPr="001C7B25">
        <w:rPr>
          <w:rFonts w:ascii="Times New Roman" w:hAnsi="Times New Roman" w:cs="Times New Roman"/>
          <w:color w:val="000000" w:themeColor="text1"/>
          <w:sz w:val="24"/>
          <w:szCs w:val="24"/>
          <w:shd w:val="clear" w:color="auto" w:fill="F5F5F5"/>
        </w:rPr>
        <w:t xml:space="preserve">no </w:t>
      </w:r>
      <w:r w:rsidR="00F354E8" w:rsidRPr="001C7B25">
        <w:rPr>
          <w:rFonts w:ascii="Times New Roman" w:hAnsi="Times New Roman" w:cs="Times New Roman"/>
          <w:color w:val="000000" w:themeColor="text1"/>
          <w:sz w:val="24"/>
          <w:szCs w:val="24"/>
          <w:shd w:val="clear" w:color="auto" w:fill="F5F5F5"/>
        </w:rPr>
        <w:t xml:space="preserve">viral eradication. </w:t>
      </w:r>
      <w:r w:rsidR="00857684" w:rsidRPr="001C7B25">
        <w:rPr>
          <w:rFonts w:ascii="Times New Roman" w:hAnsi="Times New Roman" w:cs="Times New Roman"/>
          <w:color w:val="000000" w:themeColor="text1"/>
          <w:sz w:val="24"/>
          <w:szCs w:val="24"/>
          <w:shd w:val="clear" w:color="auto" w:fill="F5F5F5"/>
        </w:rPr>
        <w:t>Prognosis was closely related to</w:t>
      </w:r>
      <w:r w:rsidR="00F354E8" w:rsidRPr="001C7B25">
        <w:rPr>
          <w:rFonts w:ascii="Times New Roman" w:hAnsi="Times New Roman" w:cs="Times New Roman"/>
          <w:color w:val="000000" w:themeColor="text1"/>
          <w:sz w:val="24"/>
          <w:szCs w:val="24"/>
          <w:shd w:val="clear" w:color="auto" w:fill="F5F5F5"/>
        </w:rPr>
        <w:t xml:space="preserve"> </w:t>
      </w:r>
      <w:r w:rsidR="00857684" w:rsidRPr="001C7B25">
        <w:rPr>
          <w:rFonts w:ascii="Times New Roman" w:hAnsi="Times New Roman" w:cs="Times New Roman"/>
          <w:color w:val="000000" w:themeColor="text1"/>
          <w:sz w:val="24"/>
          <w:szCs w:val="24"/>
          <w:shd w:val="clear" w:color="auto" w:fill="F5F5F5"/>
        </w:rPr>
        <w:t>HCV clearance</w:t>
      </w:r>
      <w:r w:rsidR="00F354E8" w:rsidRPr="001C7B25">
        <w:rPr>
          <w:rFonts w:ascii="Times New Roman" w:hAnsi="Times New Roman" w:cs="Times New Roman"/>
          <w:color w:val="000000" w:themeColor="text1"/>
          <w:sz w:val="24"/>
          <w:szCs w:val="24"/>
          <w:shd w:val="clear" w:color="auto" w:fill="F5F5F5"/>
        </w:rPr>
        <w:t xml:space="preserve">, and the </w:t>
      </w:r>
      <w:r w:rsidR="008C4357" w:rsidRPr="001C7B25">
        <w:rPr>
          <w:rFonts w:ascii="Times New Roman" w:hAnsi="Times New Roman" w:cs="Times New Roman"/>
          <w:color w:val="000000" w:themeColor="text1"/>
          <w:sz w:val="24"/>
          <w:szCs w:val="24"/>
          <w:shd w:val="clear" w:color="auto" w:fill="F5F5F5"/>
        </w:rPr>
        <w:t xml:space="preserve">HR of </w:t>
      </w:r>
      <w:r w:rsidR="00857684" w:rsidRPr="001C7B25">
        <w:rPr>
          <w:rFonts w:ascii="Times New Roman" w:hAnsi="Times New Roman" w:cs="Times New Roman"/>
          <w:color w:val="000000" w:themeColor="text1"/>
          <w:sz w:val="24"/>
          <w:szCs w:val="24"/>
          <w:shd w:val="clear" w:color="auto" w:fill="F5F5F5"/>
        </w:rPr>
        <w:t xml:space="preserve">the DAA </w:t>
      </w:r>
      <w:r w:rsidR="008C4357" w:rsidRPr="001C7B25">
        <w:rPr>
          <w:rFonts w:ascii="Times New Roman" w:hAnsi="Times New Roman" w:cs="Times New Roman"/>
          <w:color w:val="000000" w:themeColor="text1"/>
          <w:sz w:val="24"/>
          <w:szCs w:val="24"/>
          <w:shd w:val="clear" w:color="auto" w:fill="F5F5F5"/>
        </w:rPr>
        <w:t>group</w:t>
      </w:r>
      <w:r w:rsidR="00F354E8" w:rsidRPr="001C7B25">
        <w:rPr>
          <w:rFonts w:ascii="Times New Roman" w:hAnsi="Times New Roman" w:cs="Times New Roman"/>
          <w:color w:val="000000" w:themeColor="text1"/>
          <w:sz w:val="24"/>
          <w:szCs w:val="24"/>
          <w:shd w:val="clear" w:color="auto" w:fill="F5F5F5"/>
        </w:rPr>
        <w:t xml:space="preserve"> was about </w:t>
      </w:r>
      <w:r w:rsidR="008C4357" w:rsidRPr="001C7B25">
        <w:rPr>
          <w:rFonts w:ascii="Times New Roman" w:hAnsi="Times New Roman" w:cs="Times New Roman"/>
          <w:color w:val="000000" w:themeColor="text1"/>
          <w:sz w:val="24"/>
          <w:szCs w:val="24"/>
          <w:shd w:val="clear" w:color="auto" w:fill="F5F5F5"/>
        </w:rPr>
        <w:t>one-fifth</w:t>
      </w:r>
      <w:r w:rsidR="00635395" w:rsidRPr="001C7B25">
        <w:rPr>
          <w:rFonts w:ascii="Times New Roman" w:hAnsi="Times New Roman" w:cs="Times New Roman"/>
          <w:color w:val="000000" w:themeColor="text1"/>
          <w:sz w:val="24"/>
          <w:szCs w:val="24"/>
          <w:shd w:val="clear" w:color="auto" w:fill="F5F5F5"/>
        </w:rPr>
        <w:t xml:space="preserve"> </w:t>
      </w:r>
      <w:r w:rsidR="00857684" w:rsidRPr="001C7B25">
        <w:rPr>
          <w:rFonts w:ascii="Times New Roman" w:hAnsi="Times New Roman" w:cs="Times New Roman"/>
          <w:color w:val="000000" w:themeColor="text1"/>
          <w:sz w:val="24"/>
          <w:szCs w:val="24"/>
          <w:shd w:val="clear" w:color="auto" w:fill="F5F5F5"/>
        </w:rPr>
        <w:t>of</w:t>
      </w:r>
      <w:r w:rsidR="00635395" w:rsidRPr="001C7B25">
        <w:rPr>
          <w:rFonts w:ascii="Times New Roman" w:hAnsi="Times New Roman" w:cs="Times New Roman"/>
          <w:color w:val="000000" w:themeColor="text1"/>
          <w:sz w:val="24"/>
          <w:szCs w:val="24"/>
          <w:shd w:val="clear" w:color="auto" w:fill="F5F5F5"/>
        </w:rPr>
        <w:t xml:space="preserve"> </w:t>
      </w:r>
      <w:r w:rsidR="008C4357" w:rsidRPr="001C7B25">
        <w:rPr>
          <w:rFonts w:ascii="Times New Roman" w:hAnsi="Times New Roman" w:cs="Times New Roman"/>
          <w:color w:val="000000" w:themeColor="text1"/>
          <w:sz w:val="24"/>
          <w:szCs w:val="24"/>
          <w:shd w:val="clear" w:color="auto" w:fill="F5F5F5"/>
        </w:rPr>
        <w:t xml:space="preserve">that </w:t>
      </w:r>
      <w:r w:rsidR="00857684" w:rsidRPr="001C7B25">
        <w:rPr>
          <w:rFonts w:ascii="Times New Roman" w:hAnsi="Times New Roman" w:cs="Times New Roman"/>
          <w:color w:val="000000" w:themeColor="text1"/>
          <w:sz w:val="24"/>
          <w:szCs w:val="24"/>
          <w:shd w:val="clear" w:color="auto" w:fill="F5F5F5"/>
        </w:rPr>
        <w:t xml:space="preserve">in the </w:t>
      </w:r>
      <w:r w:rsidR="000A5EA5" w:rsidRPr="001C7B25">
        <w:rPr>
          <w:rFonts w:ascii="Times New Roman" w:hAnsi="Times New Roman" w:cs="Times New Roman"/>
          <w:color w:val="000000" w:themeColor="text1"/>
          <w:sz w:val="24"/>
          <w:szCs w:val="24"/>
          <w:shd w:val="clear" w:color="auto" w:fill="F5F5F5"/>
        </w:rPr>
        <w:t>N</w:t>
      </w:r>
      <w:r w:rsidR="00635395" w:rsidRPr="001C7B25">
        <w:rPr>
          <w:rFonts w:ascii="Times New Roman" w:hAnsi="Times New Roman" w:cs="Times New Roman"/>
          <w:color w:val="000000" w:themeColor="text1"/>
          <w:sz w:val="24"/>
          <w:szCs w:val="24"/>
          <w:shd w:val="clear" w:color="auto" w:fill="F5F5F5"/>
        </w:rPr>
        <w:t xml:space="preserve">on-DAA group. </w:t>
      </w:r>
      <w:r w:rsidR="00962B54" w:rsidRPr="001C7B25">
        <w:rPr>
          <w:rFonts w:ascii="Times New Roman" w:hAnsi="Times New Roman" w:cs="Times New Roman"/>
          <w:color w:val="000000" w:themeColor="text1"/>
          <w:sz w:val="24"/>
          <w:szCs w:val="24"/>
          <w:shd w:val="clear" w:color="auto" w:fill="F5F5F5"/>
        </w:rPr>
        <w:t xml:space="preserve">It is clear that </w:t>
      </w:r>
      <w:r w:rsidR="00857684" w:rsidRPr="001C7B25">
        <w:rPr>
          <w:rFonts w:ascii="Times New Roman" w:hAnsi="Times New Roman" w:cs="Times New Roman"/>
          <w:color w:val="000000" w:themeColor="text1"/>
          <w:sz w:val="24"/>
          <w:szCs w:val="24"/>
          <w:shd w:val="clear" w:color="auto" w:fill="F5F5F5"/>
        </w:rPr>
        <w:t>eradicating</w:t>
      </w:r>
      <w:r w:rsidR="00962B54" w:rsidRPr="001C7B25">
        <w:rPr>
          <w:rFonts w:ascii="Times New Roman" w:hAnsi="Times New Roman" w:cs="Times New Roman"/>
          <w:color w:val="000000" w:themeColor="text1"/>
          <w:sz w:val="24"/>
          <w:szCs w:val="24"/>
          <w:shd w:val="clear" w:color="auto" w:fill="F5F5F5"/>
        </w:rPr>
        <w:t xml:space="preserve"> HCV is very important to reduce liver-re</w:t>
      </w:r>
      <w:r w:rsidR="00857684" w:rsidRPr="001C7B25">
        <w:rPr>
          <w:rFonts w:ascii="Times New Roman" w:hAnsi="Times New Roman" w:cs="Times New Roman"/>
          <w:color w:val="000000" w:themeColor="text1"/>
          <w:sz w:val="24"/>
          <w:szCs w:val="24"/>
          <w:shd w:val="clear" w:color="auto" w:fill="F5F5F5"/>
        </w:rPr>
        <w:t>l</w:t>
      </w:r>
      <w:r w:rsidR="00962B54" w:rsidRPr="001C7B25">
        <w:rPr>
          <w:rFonts w:ascii="Times New Roman" w:hAnsi="Times New Roman" w:cs="Times New Roman"/>
          <w:color w:val="000000" w:themeColor="text1"/>
          <w:sz w:val="24"/>
          <w:szCs w:val="24"/>
          <w:shd w:val="clear" w:color="auto" w:fill="F5F5F5"/>
        </w:rPr>
        <w:t xml:space="preserve">ated mortality. </w:t>
      </w:r>
      <w:r w:rsidR="00635395" w:rsidRPr="001C7B25">
        <w:rPr>
          <w:rFonts w:ascii="Times New Roman" w:hAnsi="Times New Roman" w:cs="Times New Roman"/>
          <w:color w:val="000000" w:themeColor="text1"/>
          <w:sz w:val="24"/>
          <w:szCs w:val="24"/>
          <w:shd w:val="clear" w:color="auto" w:fill="F5F5F5"/>
        </w:rPr>
        <w:t xml:space="preserve">Impaired liver function, as </w:t>
      </w:r>
      <w:r w:rsidR="000043D3" w:rsidRPr="001C7B25">
        <w:rPr>
          <w:rFonts w:ascii="Times New Roman" w:hAnsi="Times New Roman" w:cs="Times New Roman"/>
          <w:color w:val="000000" w:themeColor="text1"/>
          <w:sz w:val="24"/>
          <w:szCs w:val="24"/>
          <w:shd w:val="clear" w:color="auto" w:fill="F5F5F5"/>
        </w:rPr>
        <w:t xml:space="preserve">indicated by </w:t>
      </w:r>
      <w:r w:rsidR="00635395" w:rsidRPr="001C7B25">
        <w:rPr>
          <w:rFonts w:ascii="Times New Roman" w:hAnsi="Times New Roman" w:cs="Times New Roman"/>
          <w:color w:val="000000" w:themeColor="text1"/>
          <w:sz w:val="24"/>
          <w:szCs w:val="24"/>
          <w:shd w:val="clear" w:color="auto" w:fill="F5F5F5"/>
        </w:rPr>
        <w:t xml:space="preserve">ALBI grade 2 or 3, was associated with increased liver-related mortality. Judging from these results, </w:t>
      </w:r>
      <w:r w:rsidR="008C4357" w:rsidRPr="001C7B25">
        <w:rPr>
          <w:rFonts w:ascii="Times New Roman" w:hAnsi="Times New Roman" w:cs="Times New Roman"/>
          <w:color w:val="000000" w:themeColor="text1"/>
          <w:sz w:val="24"/>
          <w:szCs w:val="24"/>
          <w:shd w:val="clear" w:color="auto" w:fill="F5F5F5"/>
        </w:rPr>
        <w:t xml:space="preserve">it is considered that </w:t>
      </w:r>
      <w:r w:rsidR="00635395" w:rsidRPr="001C7B25">
        <w:rPr>
          <w:rFonts w:ascii="Times New Roman" w:hAnsi="Times New Roman" w:cs="Times New Roman"/>
          <w:color w:val="000000" w:themeColor="text1"/>
          <w:sz w:val="24"/>
          <w:szCs w:val="24"/>
          <w:shd w:val="clear" w:color="auto" w:fill="F5F5F5"/>
        </w:rPr>
        <w:t xml:space="preserve">antiviral therapy </w:t>
      </w:r>
      <w:r w:rsidR="008C4357" w:rsidRPr="001C7B25">
        <w:rPr>
          <w:rFonts w:ascii="Times New Roman" w:hAnsi="Times New Roman" w:cs="Times New Roman"/>
          <w:color w:val="000000" w:themeColor="text1"/>
          <w:sz w:val="24"/>
          <w:szCs w:val="24"/>
          <w:shd w:val="clear" w:color="auto" w:fill="F5F5F5"/>
        </w:rPr>
        <w:t xml:space="preserve">should be started </w:t>
      </w:r>
      <w:r w:rsidR="00635395" w:rsidRPr="001C7B25">
        <w:rPr>
          <w:rFonts w:ascii="Times New Roman" w:hAnsi="Times New Roman" w:cs="Times New Roman"/>
          <w:color w:val="000000" w:themeColor="text1"/>
          <w:sz w:val="24"/>
          <w:szCs w:val="24"/>
          <w:shd w:val="clear" w:color="auto" w:fill="F5F5F5"/>
        </w:rPr>
        <w:t xml:space="preserve">as early as possible </w:t>
      </w:r>
      <w:r w:rsidR="008C4357" w:rsidRPr="001C7B25">
        <w:rPr>
          <w:rFonts w:ascii="Times New Roman" w:hAnsi="Times New Roman" w:cs="Times New Roman"/>
          <w:color w:val="000000" w:themeColor="text1"/>
          <w:sz w:val="24"/>
          <w:szCs w:val="24"/>
          <w:shd w:val="clear" w:color="auto" w:fill="F5F5F5"/>
        </w:rPr>
        <w:t>during the period of mild liver injury</w:t>
      </w:r>
      <w:r w:rsidR="00635395" w:rsidRPr="001C7B25">
        <w:rPr>
          <w:rFonts w:ascii="Times New Roman" w:hAnsi="Times New Roman" w:cs="Times New Roman"/>
          <w:color w:val="000000" w:themeColor="text1"/>
          <w:sz w:val="24"/>
          <w:szCs w:val="24"/>
          <w:shd w:val="clear" w:color="auto" w:fill="F5F5F5"/>
        </w:rPr>
        <w:t xml:space="preserve">. </w:t>
      </w:r>
      <w:r w:rsidR="00611DF5" w:rsidRPr="001C7B25">
        <w:rPr>
          <w:rFonts w:ascii="Times New Roman" w:hAnsi="Times New Roman" w:cs="Times New Roman"/>
          <w:color w:val="000000" w:themeColor="text1"/>
          <w:sz w:val="24"/>
          <w:szCs w:val="24"/>
          <w:shd w:val="clear" w:color="auto" w:fill="F5F5F5"/>
        </w:rPr>
        <w:t xml:space="preserve">Liver-related mortality increased in patients with advanced fibrosis. </w:t>
      </w:r>
      <w:r w:rsidR="003E34D8" w:rsidRPr="001C7B25">
        <w:rPr>
          <w:rFonts w:ascii="Times New Roman" w:hAnsi="Times New Roman" w:cs="Times New Roman"/>
          <w:color w:val="000000" w:themeColor="text1"/>
          <w:sz w:val="24"/>
          <w:szCs w:val="24"/>
          <w:shd w:val="clear" w:color="auto" w:fill="F5F5F5"/>
        </w:rPr>
        <w:t>The risk of hepatocarcinogenesis increases a</w:t>
      </w:r>
      <w:r w:rsidR="00735A39" w:rsidRPr="001C7B25">
        <w:rPr>
          <w:rFonts w:ascii="Times New Roman" w:hAnsi="Times New Roman" w:cs="Times New Roman"/>
          <w:color w:val="000000" w:themeColor="text1"/>
          <w:sz w:val="24"/>
          <w:szCs w:val="24"/>
          <w:shd w:val="clear" w:color="auto" w:fill="F5F5F5"/>
        </w:rPr>
        <w:t xml:space="preserve">s </w:t>
      </w:r>
      <w:r w:rsidR="00611DF5" w:rsidRPr="001C7B25">
        <w:rPr>
          <w:rFonts w:ascii="Times New Roman" w:hAnsi="Times New Roman" w:cs="Times New Roman"/>
          <w:color w:val="000000" w:themeColor="text1"/>
          <w:sz w:val="24"/>
          <w:szCs w:val="24"/>
          <w:shd w:val="clear" w:color="auto" w:fill="F5F5F5"/>
        </w:rPr>
        <w:t xml:space="preserve">hepatic fibrosis progresses </w:t>
      </w:r>
      <w:r w:rsidR="004066EB" w:rsidRPr="001C7B25">
        <w:rPr>
          <w:rFonts w:ascii="Times New Roman" w:hAnsi="Times New Roman" w:cs="Times New Roman"/>
          <w:color w:val="000000" w:themeColor="text1"/>
          <w:sz w:val="24"/>
          <w:szCs w:val="24"/>
          <w:shd w:val="clear" w:color="auto" w:fill="F5F5F5"/>
        </w:rPr>
        <w:t>[</w:t>
      </w:r>
      <w:r w:rsidR="006F4D12" w:rsidRPr="001C7B25">
        <w:rPr>
          <w:rFonts w:ascii="Times New Roman" w:hAnsi="Times New Roman" w:cs="Times New Roman"/>
          <w:color w:val="000000" w:themeColor="text1"/>
          <w:sz w:val="24"/>
          <w:szCs w:val="24"/>
          <w:shd w:val="clear" w:color="auto" w:fill="F5F5F5"/>
        </w:rPr>
        <w:t>22, 23</w:t>
      </w:r>
      <w:r w:rsidR="004066EB" w:rsidRPr="001C7B25">
        <w:rPr>
          <w:rFonts w:ascii="Times New Roman" w:hAnsi="Times New Roman" w:cs="Times New Roman"/>
          <w:color w:val="000000" w:themeColor="text1"/>
          <w:sz w:val="24"/>
          <w:szCs w:val="24"/>
          <w:shd w:val="clear" w:color="auto" w:fill="F5F5F5"/>
        </w:rPr>
        <w:t>]</w:t>
      </w:r>
      <w:r w:rsidR="00857684" w:rsidRPr="001C7B25">
        <w:rPr>
          <w:rFonts w:ascii="Times New Roman" w:hAnsi="Times New Roman" w:cs="Times New Roman"/>
          <w:color w:val="000000" w:themeColor="text1"/>
          <w:sz w:val="24"/>
          <w:szCs w:val="24"/>
          <w:shd w:val="clear" w:color="auto" w:fill="F5F5F5"/>
        </w:rPr>
        <w:t>,</w:t>
      </w:r>
      <w:r w:rsidR="004066EB" w:rsidRPr="001C7B25">
        <w:rPr>
          <w:rFonts w:ascii="Times New Roman" w:hAnsi="Times New Roman" w:cs="Times New Roman"/>
          <w:color w:val="000000" w:themeColor="text1"/>
          <w:sz w:val="24"/>
          <w:szCs w:val="24"/>
          <w:shd w:val="clear" w:color="auto" w:fill="F5F5F5"/>
        </w:rPr>
        <w:t xml:space="preserve"> </w:t>
      </w:r>
      <w:r w:rsidR="00611DF5" w:rsidRPr="003A448D">
        <w:rPr>
          <w:rFonts w:ascii="Times New Roman" w:hAnsi="Times New Roman" w:cs="Times New Roman"/>
          <w:dstrike/>
          <w:color w:val="000000" w:themeColor="text1"/>
          <w:sz w:val="24"/>
          <w:szCs w:val="24"/>
          <w:shd w:val="clear" w:color="auto" w:fill="F5F5F5"/>
        </w:rPr>
        <w:t xml:space="preserve">and it is believed that the number of deaths from HCC </w:t>
      </w:r>
      <w:r w:rsidR="001E3E38" w:rsidRPr="003A448D">
        <w:rPr>
          <w:rFonts w:ascii="Times New Roman" w:hAnsi="Times New Roman" w:cs="Times New Roman"/>
          <w:dstrike/>
          <w:color w:val="000000" w:themeColor="text1"/>
          <w:sz w:val="24"/>
          <w:szCs w:val="24"/>
          <w:shd w:val="clear" w:color="auto" w:fill="F5F5F5"/>
        </w:rPr>
        <w:t>does not decrease</w:t>
      </w:r>
      <w:r w:rsidR="00611DF5" w:rsidRPr="003A448D">
        <w:rPr>
          <w:rFonts w:ascii="Times New Roman" w:hAnsi="Times New Roman" w:cs="Times New Roman"/>
          <w:dstrike/>
          <w:color w:val="000000" w:themeColor="text1"/>
          <w:sz w:val="24"/>
          <w:szCs w:val="24"/>
          <w:shd w:val="clear" w:color="auto" w:fill="F5F5F5"/>
        </w:rPr>
        <w:t xml:space="preserve"> </w:t>
      </w:r>
      <w:r w:rsidR="00857684" w:rsidRPr="003A448D">
        <w:rPr>
          <w:rFonts w:ascii="Times New Roman" w:hAnsi="Times New Roman" w:cs="Times New Roman"/>
          <w:dstrike/>
          <w:color w:val="000000" w:themeColor="text1"/>
          <w:sz w:val="24"/>
          <w:szCs w:val="24"/>
          <w:shd w:val="clear" w:color="auto" w:fill="F5F5F5"/>
        </w:rPr>
        <w:t>despite</w:t>
      </w:r>
      <w:r w:rsidR="00611DF5" w:rsidRPr="003A448D">
        <w:rPr>
          <w:rFonts w:ascii="Times New Roman" w:hAnsi="Times New Roman" w:cs="Times New Roman"/>
          <w:dstrike/>
          <w:color w:val="000000" w:themeColor="text1"/>
          <w:sz w:val="24"/>
          <w:szCs w:val="24"/>
          <w:shd w:val="clear" w:color="auto" w:fill="F5F5F5"/>
        </w:rPr>
        <w:t xml:space="preserve"> viral eradication</w:t>
      </w:r>
      <w:r w:rsidR="001E3E38" w:rsidRPr="003A448D">
        <w:rPr>
          <w:rFonts w:ascii="Times New Roman" w:hAnsi="Times New Roman" w:cs="Times New Roman"/>
          <w:dstrike/>
          <w:color w:val="000000" w:themeColor="text1"/>
          <w:sz w:val="24"/>
          <w:szCs w:val="24"/>
          <w:shd w:val="clear" w:color="auto" w:fill="F5F5F5"/>
        </w:rPr>
        <w:t xml:space="preserve"> in patients with advanced fibrosis</w:t>
      </w:r>
      <w:r w:rsidR="003A448D" w:rsidRPr="003A448D">
        <w:rPr>
          <w:rFonts w:ascii="Times New Roman" w:hAnsi="Times New Roman" w:cs="Times New Roman"/>
          <w:color w:val="FF0000"/>
          <w:sz w:val="24"/>
          <w:szCs w:val="24"/>
          <w:shd w:val="clear" w:color="auto" w:fill="F5F5F5"/>
        </w:rPr>
        <w:t xml:space="preserve"> and the risk of HCC development even in patients who achieve viral eradication remains elevated.</w:t>
      </w:r>
      <w:r w:rsidR="00611DF5" w:rsidRPr="001C7B25">
        <w:rPr>
          <w:rFonts w:ascii="Times New Roman" w:hAnsi="Times New Roman" w:cs="Times New Roman"/>
          <w:color w:val="000000" w:themeColor="text1"/>
          <w:sz w:val="24"/>
          <w:szCs w:val="24"/>
          <w:shd w:val="clear" w:color="auto" w:fill="F5F5F5"/>
        </w:rPr>
        <w:t xml:space="preserve"> </w:t>
      </w:r>
      <w:r w:rsidR="00FF5969" w:rsidRPr="001C7B25">
        <w:rPr>
          <w:rFonts w:ascii="Times New Roman" w:hAnsi="Times New Roman" w:cs="Times New Roman"/>
          <w:color w:val="000000" w:themeColor="text1"/>
          <w:sz w:val="24"/>
          <w:szCs w:val="24"/>
          <w:shd w:val="clear" w:color="auto" w:fill="F5F5F5"/>
        </w:rPr>
        <w:t xml:space="preserve">In addition, </w:t>
      </w:r>
      <w:r w:rsidR="00FF5969" w:rsidRPr="001C7B25">
        <w:rPr>
          <w:rFonts w:ascii="Times New Roman" w:hAnsi="Times New Roman" w:cs="Times New Roman"/>
          <w:color w:val="000000" w:themeColor="text1"/>
          <w:kern w:val="0"/>
          <w:sz w:val="24"/>
          <w:szCs w:val="24"/>
        </w:rPr>
        <w:t>excessive alcohol consumption</w:t>
      </w:r>
      <w:r w:rsidR="00FF5969" w:rsidRPr="001C7B25">
        <w:rPr>
          <w:rFonts w:ascii="Times New Roman" w:hAnsi="Times New Roman" w:cs="Times New Roman"/>
          <w:color w:val="000000" w:themeColor="text1"/>
          <w:sz w:val="24"/>
          <w:szCs w:val="24"/>
          <w:shd w:val="clear" w:color="auto" w:fill="F5F5F5"/>
        </w:rPr>
        <w:t xml:space="preserve"> was </w:t>
      </w:r>
      <w:r w:rsidR="003E34D8" w:rsidRPr="001C7B25">
        <w:rPr>
          <w:rFonts w:ascii="Times New Roman" w:hAnsi="Times New Roman" w:cs="Times New Roman"/>
          <w:color w:val="000000" w:themeColor="text1"/>
          <w:sz w:val="24"/>
          <w:szCs w:val="24"/>
          <w:shd w:val="clear" w:color="auto" w:fill="F5F5F5"/>
        </w:rPr>
        <w:t xml:space="preserve">previously shown to be </w:t>
      </w:r>
      <w:r w:rsidR="00FF5969" w:rsidRPr="001C7B25">
        <w:rPr>
          <w:rFonts w:ascii="Times New Roman" w:hAnsi="Times New Roman" w:cs="Times New Roman"/>
          <w:color w:val="000000" w:themeColor="text1"/>
          <w:sz w:val="24"/>
          <w:szCs w:val="24"/>
          <w:shd w:val="clear" w:color="auto" w:fill="F5F5F5"/>
        </w:rPr>
        <w:t xml:space="preserve">associated with increased liver-related mortality </w:t>
      </w:r>
      <w:r w:rsidR="003E34D8" w:rsidRPr="001C7B25">
        <w:rPr>
          <w:rFonts w:ascii="Times New Roman" w:hAnsi="Times New Roman" w:cs="Times New Roman"/>
          <w:color w:val="000000" w:themeColor="text1"/>
          <w:sz w:val="24"/>
          <w:szCs w:val="24"/>
          <w:shd w:val="clear" w:color="auto" w:fill="F5F5F5"/>
        </w:rPr>
        <w:t>despite</w:t>
      </w:r>
      <w:r w:rsidR="00FF5969" w:rsidRPr="001C7B25">
        <w:rPr>
          <w:rFonts w:ascii="Times New Roman" w:hAnsi="Times New Roman" w:cs="Times New Roman"/>
          <w:color w:val="000000" w:themeColor="text1"/>
          <w:sz w:val="24"/>
          <w:szCs w:val="24"/>
          <w:shd w:val="clear" w:color="auto" w:fill="F5F5F5"/>
        </w:rPr>
        <w:t xml:space="preserve"> viral eradication</w:t>
      </w:r>
      <w:r w:rsidR="004066EB" w:rsidRPr="001C7B25">
        <w:rPr>
          <w:rFonts w:ascii="Times New Roman" w:hAnsi="Times New Roman" w:cs="Times New Roman"/>
          <w:color w:val="000000" w:themeColor="text1"/>
          <w:sz w:val="24"/>
          <w:szCs w:val="24"/>
          <w:shd w:val="clear" w:color="auto" w:fill="F5F5F5"/>
        </w:rPr>
        <w:t xml:space="preserve"> [</w:t>
      </w:r>
      <w:r w:rsidR="006F4D12" w:rsidRPr="001C7B25">
        <w:rPr>
          <w:rFonts w:ascii="Times New Roman" w:hAnsi="Times New Roman" w:cs="Times New Roman"/>
          <w:color w:val="000000" w:themeColor="text1"/>
          <w:sz w:val="24"/>
          <w:szCs w:val="24"/>
          <w:shd w:val="clear" w:color="auto" w:fill="F5F5F5"/>
        </w:rPr>
        <w:t>24</w:t>
      </w:r>
      <w:r w:rsidR="004066EB" w:rsidRPr="001C7B25">
        <w:rPr>
          <w:rFonts w:ascii="Times New Roman" w:hAnsi="Times New Roman" w:cs="Times New Roman"/>
          <w:color w:val="000000" w:themeColor="text1"/>
          <w:sz w:val="24"/>
          <w:szCs w:val="24"/>
          <w:shd w:val="clear" w:color="auto" w:fill="F5F5F5"/>
        </w:rPr>
        <w:t>]</w:t>
      </w:r>
      <w:r w:rsidR="00FF5969" w:rsidRPr="001C7B25">
        <w:rPr>
          <w:rFonts w:ascii="Times New Roman" w:hAnsi="Times New Roman" w:cs="Times New Roman"/>
          <w:color w:val="000000" w:themeColor="text1"/>
          <w:sz w:val="24"/>
          <w:szCs w:val="24"/>
          <w:shd w:val="clear" w:color="auto" w:fill="F5F5F5"/>
        </w:rPr>
        <w:t xml:space="preserve">. </w:t>
      </w:r>
      <w:r w:rsidR="00B278F4" w:rsidRPr="001C7B25">
        <w:rPr>
          <w:rFonts w:ascii="Times New Roman" w:hAnsi="Times New Roman" w:cs="Times New Roman"/>
          <w:color w:val="000000" w:themeColor="text1"/>
          <w:sz w:val="24"/>
          <w:szCs w:val="24"/>
          <w:shd w:val="clear" w:color="auto" w:fill="F5F5F5"/>
        </w:rPr>
        <w:t xml:space="preserve">On the other hand, </w:t>
      </w:r>
      <w:r w:rsidR="0078364A" w:rsidRPr="001C7B25">
        <w:rPr>
          <w:rFonts w:ascii="Times New Roman" w:hAnsi="Times New Roman" w:cs="Times New Roman"/>
          <w:color w:val="000000" w:themeColor="text1"/>
          <w:sz w:val="24"/>
          <w:szCs w:val="24"/>
          <w:shd w:val="clear" w:color="auto" w:fill="F5F5F5"/>
        </w:rPr>
        <w:t xml:space="preserve">in this study, </w:t>
      </w:r>
      <w:r w:rsidR="00EF7C51" w:rsidRPr="001C7B25">
        <w:rPr>
          <w:rFonts w:ascii="Times New Roman" w:hAnsi="Times New Roman" w:cs="Times New Roman"/>
          <w:color w:val="000000" w:themeColor="text1"/>
          <w:sz w:val="24"/>
          <w:szCs w:val="24"/>
          <w:shd w:val="clear" w:color="auto" w:fill="F5F5F5"/>
        </w:rPr>
        <w:t xml:space="preserve">non–liver-related </w:t>
      </w:r>
      <w:r w:rsidR="002C2520" w:rsidRPr="001C7B25">
        <w:rPr>
          <w:rFonts w:ascii="Times New Roman" w:hAnsi="Times New Roman" w:cs="Times New Roman"/>
          <w:color w:val="000000" w:themeColor="text1"/>
          <w:sz w:val="24"/>
          <w:szCs w:val="24"/>
          <w:shd w:val="clear" w:color="auto" w:fill="F5F5F5"/>
        </w:rPr>
        <w:t xml:space="preserve">mortality was associated with high age, male gender, no alcohol abuse, impaired liver function, </w:t>
      </w:r>
      <w:r w:rsidR="009B2EA4" w:rsidRPr="001C7B25">
        <w:rPr>
          <w:rFonts w:ascii="Times New Roman" w:hAnsi="Times New Roman" w:cs="Times New Roman"/>
          <w:color w:val="000000" w:themeColor="text1"/>
          <w:sz w:val="24"/>
          <w:szCs w:val="24"/>
          <w:shd w:val="clear" w:color="auto" w:fill="F5F5F5"/>
        </w:rPr>
        <w:t>mild</w:t>
      </w:r>
      <w:r w:rsidR="002C2520" w:rsidRPr="001C7B25">
        <w:rPr>
          <w:rFonts w:ascii="Times New Roman" w:hAnsi="Times New Roman" w:cs="Times New Roman"/>
          <w:color w:val="000000" w:themeColor="text1"/>
          <w:sz w:val="24"/>
          <w:szCs w:val="24"/>
          <w:shd w:val="clear" w:color="auto" w:fill="F5F5F5"/>
        </w:rPr>
        <w:t xml:space="preserve"> fibrosis</w:t>
      </w:r>
      <w:r w:rsidR="009B2EA4" w:rsidRPr="001C7B25">
        <w:rPr>
          <w:rFonts w:ascii="Times New Roman" w:hAnsi="Times New Roman" w:cs="Times New Roman"/>
          <w:color w:val="000000" w:themeColor="text1"/>
          <w:sz w:val="24"/>
          <w:szCs w:val="24"/>
          <w:shd w:val="clear" w:color="auto" w:fill="F5F5F5"/>
        </w:rPr>
        <w:t>, and viral eradication</w:t>
      </w:r>
      <w:r w:rsidR="002C2520" w:rsidRPr="001C7B25">
        <w:rPr>
          <w:rFonts w:ascii="Times New Roman" w:hAnsi="Times New Roman" w:cs="Times New Roman"/>
          <w:color w:val="000000" w:themeColor="text1"/>
          <w:sz w:val="24"/>
          <w:szCs w:val="24"/>
          <w:shd w:val="clear" w:color="auto" w:fill="F5F5F5"/>
        </w:rPr>
        <w:t>.</w:t>
      </w:r>
      <w:r w:rsidR="00143E10" w:rsidRPr="001C7B25">
        <w:rPr>
          <w:rFonts w:ascii="Times New Roman" w:hAnsi="Times New Roman" w:cs="Times New Roman"/>
          <w:color w:val="000000" w:themeColor="text1"/>
          <w:sz w:val="24"/>
          <w:szCs w:val="24"/>
          <w:shd w:val="clear" w:color="auto" w:fill="F5F5F5"/>
        </w:rPr>
        <w:t xml:space="preserve"> </w:t>
      </w:r>
      <w:r w:rsidR="009B2EA4" w:rsidRPr="001C7B25">
        <w:rPr>
          <w:rFonts w:ascii="Times New Roman" w:hAnsi="Times New Roman" w:cs="Times New Roman"/>
          <w:color w:val="000000" w:themeColor="text1"/>
          <w:sz w:val="24"/>
          <w:szCs w:val="24"/>
          <w:shd w:val="clear" w:color="auto" w:fill="F5F5F5"/>
        </w:rPr>
        <w:t>M</w:t>
      </w:r>
      <w:r w:rsidR="00143E10" w:rsidRPr="001C7B25">
        <w:rPr>
          <w:rFonts w:ascii="Times New Roman" w:hAnsi="Times New Roman" w:cs="Times New Roman"/>
          <w:color w:val="000000" w:themeColor="text1"/>
          <w:sz w:val="24"/>
          <w:szCs w:val="24"/>
          <w:shd w:val="clear" w:color="auto" w:fill="F5F5F5"/>
        </w:rPr>
        <w:t xml:space="preserve">any </w:t>
      </w:r>
      <w:r w:rsidR="009B2EA4" w:rsidRPr="001C7B25">
        <w:rPr>
          <w:rFonts w:ascii="Times New Roman" w:hAnsi="Times New Roman" w:cs="Times New Roman"/>
          <w:color w:val="000000" w:themeColor="text1"/>
          <w:sz w:val="24"/>
          <w:szCs w:val="24"/>
          <w:shd w:val="clear" w:color="auto" w:fill="F5F5F5"/>
        </w:rPr>
        <w:t xml:space="preserve">previous </w:t>
      </w:r>
      <w:r w:rsidR="003E34D8" w:rsidRPr="001C7B25">
        <w:rPr>
          <w:rFonts w:ascii="Times New Roman" w:hAnsi="Times New Roman" w:cs="Times New Roman"/>
          <w:color w:val="000000" w:themeColor="text1"/>
          <w:sz w:val="24"/>
          <w:szCs w:val="24"/>
          <w:shd w:val="clear" w:color="auto" w:fill="F5F5F5"/>
        </w:rPr>
        <w:t xml:space="preserve">studies involving </w:t>
      </w:r>
      <w:r w:rsidR="00143E10" w:rsidRPr="001C7B25">
        <w:rPr>
          <w:rFonts w:ascii="Times New Roman" w:hAnsi="Times New Roman" w:cs="Times New Roman"/>
          <w:color w:val="000000" w:themeColor="text1"/>
          <w:sz w:val="24"/>
          <w:szCs w:val="24"/>
          <w:shd w:val="clear" w:color="auto" w:fill="F5F5F5"/>
        </w:rPr>
        <w:t xml:space="preserve">long-term </w:t>
      </w:r>
      <w:r w:rsidR="003E34D8" w:rsidRPr="001C7B25">
        <w:rPr>
          <w:rFonts w:ascii="Times New Roman" w:hAnsi="Times New Roman" w:cs="Times New Roman"/>
          <w:color w:val="000000" w:themeColor="text1"/>
          <w:sz w:val="24"/>
          <w:szCs w:val="24"/>
          <w:shd w:val="clear" w:color="auto" w:fill="F5F5F5"/>
        </w:rPr>
        <w:t xml:space="preserve">follow-up </w:t>
      </w:r>
      <w:r w:rsidR="00143E10" w:rsidRPr="001C7B25">
        <w:rPr>
          <w:rFonts w:ascii="Times New Roman" w:hAnsi="Times New Roman" w:cs="Times New Roman"/>
          <w:color w:val="000000" w:themeColor="text1"/>
          <w:sz w:val="24"/>
          <w:szCs w:val="24"/>
          <w:shd w:val="clear" w:color="auto" w:fill="F5F5F5"/>
        </w:rPr>
        <w:t xml:space="preserve">of </w:t>
      </w:r>
      <w:r w:rsidR="0006469D" w:rsidRPr="001C7B25">
        <w:rPr>
          <w:rFonts w:ascii="Times New Roman" w:hAnsi="Times New Roman" w:cs="Times New Roman"/>
          <w:color w:val="000000" w:themeColor="text1"/>
          <w:sz w:val="24"/>
          <w:szCs w:val="24"/>
          <w:shd w:val="clear" w:color="auto" w:fill="F5F5F5"/>
        </w:rPr>
        <w:t>individuals</w:t>
      </w:r>
      <w:r w:rsidR="003E34D8" w:rsidRPr="001C7B25">
        <w:rPr>
          <w:rFonts w:ascii="Times New Roman" w:hAnsi="Times New Roman" w:cs="Times New Roman"/>
          <w:color w:val="000000" w:themeColor="text1"/>
          <w:sz w:val="24"/>
          <w:szCs w:val="24"/>
          <w:shd w:val="clear" w:color="auto" w:fill="F5F5F5"/>
        </w:rPr>
        <w:t xml:space="preserve"> receiving </w:t>
      </w:r>
      <w:r w:rsidR="00143E10" w:rsidRPr="001C7B25">
        <w:rPr>
          <w:rFonts w:ascii="Times New Roman" w:hAnsi="Times New Roman" w:cs="Times New Roman"/>
          <w:color w:val="000000" w:themeColor="text1"/>
          <w:sz w:val="24"/>
          <w:szCs w:val="24"/>
          <w:shd w:val="clear" w:color="auto" w:fill="F5F5F5"/>
        </w:rPr>
        <w:t xml:space="preserve">IFN-based </w:t>
      </w:r>
      <w:r w:rsidR="009B2EA4" w:rsidRPr="001C7B25">
        <w:rPr>
          <w:rFonts w:ascii="Times New Roman" w:hAnsi="Times New Roman" w:cs="Times New Roman"/>
          <w:color w:val="000000" w:themeColor="text1"/>
          <w:sz w:val="24"/>
          <w:szCs w:val="24"/>
          <w:shd w:val="clear" w:color="auto" w:fill="F5F5F5"/>
        </w:rPr>
        <w:t>therapy showed</w:t>
      </w:r>
      <w:r w:rsidR="00143E10" w:rsidRPr="001C7B25">
        <w:rPr>
          <w:rFonts w:ascii="Times New Roman" w:hAnsi="Times New Roman" w:cs="Times New Roman"/>
          <w:color w:val="000000" w:themeColor="text1"/>
          <w:sz w:val="24"/>
          <w:szCs w:val="24"/>
          <w:shd w:val="clear" w:color="auto" w:fill="F5F5F5"/>
        </w:rPr>
        <w:t xml:space="preserve"> that </w:t>
      </w:r>
      <w:r w:rsidR="009B2EA4" w:rsidRPr="001C7B25">
        <w:rPr>
          <w:rFonts w:ascii="Times New Roman" w:hAnsi="Times New Roman" w:cs="Times New Roman"/>
          <w:color w:val="000000" w:themeColor="text1"/>
          <w:sz w:val="24"/>
          <w:szCs w:val="24"/>
          <w:shd w:val="clear" w:color="auto" w:fill="F5F5F5"/>
        </w:rPr>
        <w:t xml:space="preserve">viral eradication reduced not only liver-related mortality but also </w:t>
      </w:r>
      <w:r w:rsidR="00EF7C51" w:rsidRPr="001C7B25">
        <w:rPr>
          <w:rFonts w:ascii="Times New Roman" w:hAnsi="Times New Roman" w:cs="Times New Roman"/>
          <w:color w:val="000000" w:themeColor="text1"/>
          <w:sz w:val="24"/>
          <w:szCs w:val="24"/>
          <w:shd w:val="clear" w:color="auto" w:fill="F5F5F5"/>
        </w:rPr>
        <w:t xml:space="preserve">non–liver-related </w:t>
      </w:r>
      <w:r w:rsidR="009B2EA4" w:rsidRPr="001C7B25">
        <w:rPr>
          <w:rFonts w:ascii="Times New Roman" w:hAnsi="Times New Roman" w:cs="Times New Roman"/>
          <w:color w:val="000000" w:themeColor="text1"/>
          <w:sz w:val="24"/>
          <w:szCs w:val="24"/>
          <w:shd w:val="clear" w:color="auto" w:fill="F5F5F5"/>
        </w:rPr>
        <w:t>mortality in patients with chronic hepatitis and compensated cirrhosis</w:t>
      </w:r>
      <w:r w:rsidR="00584062" w:rsidRPr="001C7B25">
        <w:rPr>
          <w:rFonts w:ascii="Times New Roman" w:hAnsi="Times New Roman" w:cs="Times New Roman"/>
          <w:color w:val="000000" w:themeColor="text1"/>
          <w:sz w:val="24"/>
          <w:szCs w:val="24"/>
          <w:shd w:val="clear" w:color="auto" w:fill="F5F5F5"/>
        </w:rPr>
        <w:t xml:space="preserve"> [7, 8, 9]</w:t>
      </w:r>
      <w:r w:rsidR="009B2EA4" w:rsidRPr="001C7B25">
        <w:rPr>
          <w:rFonts w:ascii="Times New Roman" w:hAnsi="Times New Roman" w:cs="Times New Roman"/>
          <w:color w:val="000000" w:themeColor="text1"/>
          <w:sz w:val="24"/>
          <w:szCs w:val="24"/>
          <w:shd w:val="clear" w:color="auto" w:fill="F5F5F5"/>
        </w:rPr>
        <w:t xml:space="preserve">. Our </w:t>
      </w:r>
      <w:r w:rsidR="0006469D" w:rsidRPr="001C7B25">
        <w:rPr>
          <w:rFonts w:ascii="Times New Roman" w:hAnsi="Times New Roman" w:cs="Times New Roman"/>
          <w:color w:val="000000" w:themeColor="text1"/>
          <w:sz w:val="24"/>
          <w:szCs w:val="24"/>
          <w:shd w:val="clear" w:color="auto" w:fill="F5F5F5"/>
        </w:rPr>
        <w:t xml:space="preserve">study </w:t>
      </w:r>
      <w:r w:rsidR="009B2EA4" w:rsidRPr="001C7B25">
        <w:rPr>
          <w:rFonts w:ascii="Times New Roman" w:hAnsi="Times New Roman" w:cs="Times New Roman"/>
          <w:color w:val="000000" w:themeColor="text1"/>
          <w:sz w:val="24"/>
          <w:szCs w:val="24"/>
          <w:shd w:val="clear" w:color="auto" w:fill="F5F5F5"/>
        </w:rPr>
        <w:t xml:space="preserve">is the first to show that </w:t>
      </w:r>
      <w:r w:rsidR="008E4054" w:rsidRPr="001C7B25">
        <w:rPr>
          <w:rFonts w:ascii="Times New Roman" w:hAnsi="Times New Roman" w:cs="Times New Roman"/>
          <w:color w:val="000000" w:themeColor="text1"/>
          <w:sz w:val="24"/>
          <w:szCs w:val="24"/>
          <w:shd w:val="clear" w:color="auto" w:fill="F5F5F5"/>
        </w:rPr>
        <w:t>viral eradication</w:t>
      </w:r>
      <w:r w:rsidR="009B2EA4" w:rsidRPr="001C7B25">
        <w:rPr>
          <w:rFonts w:ascii="Times New Roman" w:hAnsi="Times New Roman" w:cs="Times New Roman"/>
          <w:color w:val="000000" w:themeColor="text1"/>
          <w:sz w:val="24"/>
          <w:szCs w:val="24"/>
          <w:shd w:val="clear" w:color="auto" w:fill="F5F5F5"/>
        </w:rPr>
        <w:t xml:space="preserve"> reduces </w:t>
      </w:r>
      <w:r w:rsidR="00EF7C51" w:rsidRPr="001C7B25">
        <w:rPr>
          <w:rFonts w:ascii="Times New Roman" w:hAnsi="Times New Roman" w:cs="Times New Roman"/>
          <w:color w:val="000000" w:themeColor="text1"/>
          <w:sz w:val="24"/>
          <w:szCs w:val="24"/>
          <w:shd w:val="clear" w:color="auto" w:fill="F5F5F5"/>
        </w:rPr>
        <w:t xml:space="preserve">non–liver-related </w:t>
      </w:r>
      <w:r w:rsidR="008E4054" w:rsidRPr="001C7B25">
        <w:rPr>
          <w:rFonts w:ascii="Times New Roman" w:hAnsi="Times New Roman" w:cs="Times New Roman"/>
          <w:color w:val="000000" w:themeColor="text1"/>
          <w:sz w:val="24"/>
          <w:szCs w:val="24"/>
          <w:shd w:val="clear" w:color="auto" w:fill="F5F5F5"/>
        </w:rPr>
        <w:t>mortality</w:t>
      </w:r>
      <w:r w:rsidR="009B2EA4" w:rsidRPr="001C7B25">
        <w:rPr>
          <w:rFonts w:ascii="Times New Roman" w:hAnsi="Times New Roman" w:cs="Times New Roman"/>
          <w:color w:val="000000" w:themeColor="text1"/>
          <w:sz w:val="24"/>
          <w:szCs w:val="24"/>
          <w:shd w:val="clear" w:color="auto" w:fill="F5F5F5"/>
        </w:rPr>
        <w:t xml:space="preserve"> even in </w:t>
      </w:r>
      <w:r w:rsidR="00FF5969" w:rsidRPr="001C7B25">
        <w:rPr>
          <w:rFonts w:ascii="Times New Roman" w:hAnsi="Times New Roman" w:cs="Times New Roman"/>
          <w:color w:val="000000" w:themeColor="text1"/>
          <w:sz w:val="24"/>
          <w:szCs w:val="24"/>
          <w:shd w:val="clear" w:color="auto" w:fill="F5F5F5"/>
        </w:rPr>
        <w:t xml:space="preserve">patients with </w:t>
      </w:r>
      <w:r w:rsidR="00C77442" w:rsidRPr="001C7B25">
        <w:rPr>
          <w:rFonts w:ascii="Times New Roman" w:hAnsi="Times New Roman" w:cs="Times New Roman"/>
          <w:color w:val="000000" w:themeColor="text1"/>
          <w:sz w:val="24"/>
          <w:szCs w:val="24"/>
          <w:shd w:val="clear" w:color="auto" w:fill="F5F5F5"/>
        </w:rPr>
        <w:t xml:space="preserve">HCV infection and </w:t>
      </w:r>
      <w:r w:rsidR="00FF5969" w:rsidRPr="001C7B25">
        <w:rPr>
          <w:rFonts w:ascii="Times New Roman" w:hAnsi="Times New Roman" w:cs="Times New Roman"/>
          <w:color w:val="000000" w:themeColor="text1"/>
          <w:sz w:val="24"/>
          <w:szCs w:val="24"/>
          <w:shd w:val="clear" w:color="auto" w:fill="F5F5F5"/>
        </w:rPr>
        <w:t>DC</w:t>
      </w:r>
      <w:r w:rsidR="009B2EA4" w:rsidRPr="001C7B25">
        <w:rPr>
          <w:rFonts w:ascii="Times New Roman" w:hAnsi="Times New Roman" w:cs="Times New Roman"/>
          <w:color w:val="000000" w:themeColor="text1"/>
          <w:sz w:val="24"/>
          <w:szCs w:val="24"/>
          <w:shd w:val="clear" w:color="auto" w:fill="F5F5F5"/>
        </w:rPr>
        <w:t>.</w:t>
      </w:r>
      <w:r w:rsidR="008E4054" w:rsidRPr="001C7B25">
        <w:rPr>
          <w:rFonts w:ascii="Times New Roman" w:hAnsi="Times New Roman" w:cs="Times New Roman"/>
          <w:color w:val="000000" w:themeColor="text1"/>
          <w:sz w:val="24"/>
          <w:szCs w:val="24"/>
          <w:shd w:val="clear" w:color="auto" w:fill="F5F5F5"/>
        </w:rPr>
        <w:t xml:space="preserve"> HCV infection has</w:t>
      </w:r>
      <w:r w:rsidR="00B47EBE" w:rsidRPr="001C7B25">
        <w:rPr>
          <w:rFonts w:ascii="Times New Roman" w:hAnsi="Times New Roman" w:cs="Times New Roman"/>
          <w:color w:val="000000" w:themeColor="text1"/>
          <w:sz w:val="24"/>
          <w:szCs w:val="24"/>
          <w:shd w:val="clear" w:color="auto" w:fill="F5F5F5"/>
        </w:rPr>
        <w:t xml:space="preserve"> been recognized as a systematic disease with both hepatic and extrahepatic manifestation</w:t>
      </w:r>
      <w:r w:rsidR="00032039" w:rsidRPr="001C7B25">
        <w:rPr>
          <w:rFonts w:ascii="Times New Roman" w:hAnsi="Times New Roman" w:cs="Times New Roman"/>
          <w:color w:val="000000" w:themeColor="text1"/>
          <w:sz w:val="24"/>
          <w:szCs w:val="24"/>
          <w:shd w:val="clear" w:color="auto" w:fill="F5F5F5"/>
        </w:rPr>
        <w:t>s</w:t>
      </w:r>
      <w:r w:rsidR="00584062" w:rsidRPr="001C7B25">
        <w:rPr>
          <w:rFonts w:ascii="Times New Roman" w:hAnsi="Times New Roman" w:cs="Times New Roman"/>
          <w:color w:val="000000" w:themeColor="text1"/>
          <w:sz w:val="24"/>
          <w:szCs w:val="24"/>
          <w:shd w:val="clear" w:color="auto" w:fill="F5F5F5"/>
        </w:rPr>
        <w:t xml:space="preserve"> [</w:t>
      </w:r>
      <w:r w:rsidR="006F4D12" w:rsidRPr="001C7B25">
        <w:rPr>
          <w:rFonts w:ascii="Times New Roman" w:hAnsi="Times New Roman" w:cs="Times New Roman"/>
          <w:color w:val="000000" w:themeColor="text1"/>
          <w:sz w:val="24"/>
          <w:szCs w:val="24"/>
          <w:shd w:val="clear" w:color="auto" w:fill="F5F5F5"/>
        </w:rPr>
        <w:t>25</w:t>
      </w:r>
      <w:r w:rsidR="00584062" w:rsidRPr="001C7B25">
        <w:rPr>
          <w:rFonts w:ascii="Times New Roman" w:hAnsi="Times New Roman" w:cs="Times New Roman"/>
          <w:color w:val="000000" w:themeColor="text1"/>
          <w:sz w:val="24"/>
          <w:szCs w:val="24"/>
          <w:shd w:val="clear" w:color="auto" w:fill="F5F5F5"/>
        </w:rPr>
        <w:t xml:space="preserve">, </w:t>
      </w:r>
      <w:r w:rsidR="006F4D12" w:rsidRPr="001C7B25">
        <w:rPr>
          <w:rFonts w:ascii="Times New Roman" w:hAnsi="Times New Roman" w:cs="Times New Roman"/>
          <w:color w:val="000000" w:themeColor="text1"/>
          <w:sz w:val="24"/>
          <w:szCs w:val="24"/>
          <w:shd w:val="clear" w:color="auto" w:fill="F5F5F5"/>
        </w:rPr>
        <w:t>26</w:t>
      </w:r>
      <w:r w:rsidR="00584062" w:rsidRPr="001C7B25">
        <w:rPr>
          <w:rFonts w:ascii="Times New Roman" w:hAnsi="Times New Roman" w:cs="Times New Roman"/>
          <w:color w:val="000000" w:themeColor="text1"/>
          <w:sz w:val="24"/>
          <w:szCs w:val="24"/>
          <w:shd w:val="clear" w:color="auto" w:fill="F5F5F5"/>
        </w:rPr>
        <w:t>]</w:t>
      </w:r>
      <w:r w:rsidR="00B47EBE" w:rsidRPr="001C7B25">
        <w:rPr>
          <w:rFonts w:ascii="Times New Roman" w:hAnsi="Times New Roman" w:cs="Times New Roman"/>
          <w:color w:val="000000" w:themeColor="text1"/>
          <w:sz w:val="24"/>
          <w:szCs w:val="24"/>
          <w:shd w:val="clear" w:color="auto" w:fill="F5F5F5"/>
        </w:rPr>
        <w:t xml:space="preserve">. </w:t>
      </w:r>
      <w:r w:rsidR="00AE0661" w:rsidRPr="001C7B25">
        <w:rPr>
          <w:rFonts w:ascii="Times New Roman" w:hAnsi="Times New Roman" w:cs="Times New Roman"/>
          <w:color w:val="000000" w:themeColor="text1"/>
          <w:sz w:val="24"/>
          <w:szCs w:val="24"/>
          <w:shd w:val="clear" w:color="auto" w:fill="F5F5F5"/>
        </w:rPr>
        <w:t xml:space="preserve">Chronic HCV infection is associated with </w:t>
      </w:r>
      <w:r w:rsidR="00032039" w:rsidRPr="001C7B25">
        <w:rPr>
          <w:rFonts w:ascii="Times New Roman" w:hAnsi="Times New Roman" w:cs="Times New Roman"/>
          <w:color w:val="000000" w:themeColor="text1"/>
          <w:sz w:val="24"/>
          <w:szCs w:val="24"/>
          <w:shd w:val="clear" w:color="auto" w:fill="F5F5F5"/>
        </w:rPr>
        <w:t xml:space="preserve">pathophysiological </w:t>
      </w:r>
      <w:r w:rsidR="00AE0661" w:rsidRPr="001C7B25">
        <w:rPr>
          <w:rFonts w:ascii="Times New Roman" w:hAnsi="Times New Roman" w:cs="Times New Roman"/>
          <w:color w:val="000000" w:themeColor="text1"/>
          <w:sz w:val="24"/>
          <w:szCs w:val="24"/>
          <w:shd w:val="clear" w:color="auto" w:fill="F5F5F5"/>
        </w:rPr>
        <w:t>changes outside the liver</w:t>
      </w:r>
      <w:r w:rsidR="00032039" w:rsidRPr="001C7B25">
        <w:rPr>
          <w:rFonts w:ascii="Times New Roman" w:hAnsi="Times New Roman" w:cs="Times New Roman"/>
          <w:color w:val="000000" w:themeColor="text1"/>
          <w:sz w:val="24"/>
          <w:szCs w:val="24"/>
          <w:shd w:val="clear" w:color="auto" w:fill="F5F5F5"/>
        </w:rPr>
        <w:t>,</w:t>
      </w:r>
      <w:r w:rsidR="00AE0661" w:rsidRPr="001C7B25">
        <w:rPr>
          <w:rFonts w:ascii="Times New Roman" w:hAnsi="Times New Roman" w:cs="Times New Roman"/>
          <w:color w:val="000000" w:themeColor="text1"/>
          <w:sz w:val="24"/>
          <w:szCs w:val="24"/>
          <w:shd w:val="clear" w:color="auto" w:fill="F5F5F5"/>
        </w:rPr>
        <w:t xml:space="preserve"> including </w:t>
      </w:r>
      <w:r w:rsidR="00032039" w:rsidRPr="001C7B25">
        <w:rPr>
          <w:rFonts w:ascii="Times New Roman" w:hAnsi="Times New Roman" w:cs="Times New Roman"/>
          <w:color w:val="000000" w:themeColor="text1"/>
          <w:sz w:val="24"/>
          <w:szCs w:val="24"/>
          <w:shd w:val="clear" w:color="auto" w:fill="F5F5F5"/>
        </w:rPr>
        <w:t xml:space="preserve">those involving the </w:t>
      </w:r>
      <w:r w:rsidR="00AE0661" w:rsidRPr="001C7B25">
        <w:rPr>
          <w:rFonts w:ascii="Times New Roman" w:hAnsi="Times New Roman" w:cs="Times New Roman"/>
          <w:color w:val="000000" w:themeColor="text1"/>
          <w:sz w:val="24"/>
          <w:szCs w:val="24"/>
          <w:shd w:val="clear" w:color="auto" w:fill="F5F5F5"/>
        </w:rPr>
        <w:t>metabolic</w:t>
      </w:r>
      <w:r w:rsidR="00962B54" w:rsidRPr="001C7B25">
        <w:rPr>
          <w:rFonts w:ascii="Times New Roman" w:hAnsi="Times New Roman" w:cs="Times New Roman"/>
          <w:color w:val="000000" w:themeColor="text1"/>
          <w:sz w:val="24"/>
          <w:szCs w:val="24"/>
          <w:shd w:val="clear" w:color="auto" w:fill="F5F5F5"/>
        </w:rPr>
        <w:t xml:space="preserve">, </w:t>
      </w:r>
      <w:r w:rsidR="00AE0661" w:rsidRPr="001C7B25">
        <w:rPr>
          <w:rFonts w:ascii="Times New Roman" w:hAnsi="Times New Roman" w:cs="Times New Roman"/>
          <w:color w:val="000000" w:themeColor="text1"/>
          <w:sz w:val="24"/>
          <w:szCs w:val="24"/>
          <w:shd w:val="clear" w:color="auto" w:fill="F5F5F5"/>
        </w:rPr>
        <w:t xml:space="preserve">cardiovascular, and neurological systems, </w:t>
      </w:r>
      <w:r w:rsidR="00032039" w:rsidRPr="001C7B25">
        <w:rPr>
          <w:rFonts w:ascii="Times New Roman" w:hAnsi="Times New Roman" w:cs="Times New Roman"/>
          <w:color w:val="000000" w:themeColor="text1"/>
          <w:sz w:val="24"/>
          <w:szCs w:val="24"/>
          <w:shd w:val="clear" w:color="auto" w:fill="F5F5F5"/>
        </w:rPr>
        <w:t xml:space="preserve">as well as </w:t>
      </w:r>
      <w:r w:rsidR="00AE0661" w:rsidRPr="001C7B25">
        <w:rPr>
          <w:rFonts w:ascii="Times New Roman" w:hAnsi="Times New Roman" w:cs="Times New Roman"/>
          <w:color w:val="000000" w:themeColor="text1"/>
          <w:sz w:val="24"/>
          <w:szCs w:val="24"/>
          <w:shd w:val="clear" w:color="auto" w:fill="F5F5F5"/>
        </w:rPr>
        <w:t xml:space="preserve">autoimmune and immune-mediated conditions such as mixed cryoglobulinemia, thyroid disease, and glomerulonephritis. </w:t>
      </w:r>
      <w:r w:rsidR="005409A2" w:rsidRPr="001C7B25">
        <w:rPr>
          <w:rFonts w:ascii="Times New Roman" w:hAnsi="Times New Roman" w:cs="Times New Roman"/>
          <w:color w:val="000000" w:themeColor="text1"/>
          <w:sz w:val="24"/>
          <w:szCs w:val="24"/>
          <w:shd w:val="clear" w:color="auto" w:fill="F5F5F5"/>
        </w:rPr>
        <w:t>Studies have also shown</w:t>
      </w:r>
      <w:r w:rsidR="00FF5969" w:rsidRPr="001C7B25">
        <w:rPr>
          <w:rFonts w:ascii="Times New Roman" w:hAnsi="Times New Roman" w:cs="Times New Roman"/>
          <w:color w:val="000000" w:themeColor="text1"/>
          <w:sz w:val="24"/>
          <w:szCs w:val="24"/>
          <w:shd w:val="clear" w:color="auto" w:fill="F5F5F5"/>
        </w:rPr>
        <w:t xml:space="preserve"> that treatment to eradicate HCV infection may improve some extrahepatic manifestations of HCV independently of the severity of underlying liver diseas</w:t>
      </w:r>
      <w:r w:rsidR="00C35C9A" w:rsidRPr="001C7B25">
        <w:rPr>
          <w:rFonts w:ascii="Times New Roman" w:hAnsi="Times New Roman" w:cs="Times New Roman"/>
          <w:color w:val="000000" w:themeColor="text1"/>
          <w:sz w:val="24"/>
          <w:szCs w:val="24"/>
          <w:shd w:val="clear" w:color="auto" w:fill="F5F5F5"/>
        </w:rPr>
        <w:t>e</w:t>
      </w:r>
      <w:r w:rsidR="00C35C9A" w:rsidRPr="001C7B25">
        <w:rPr>
          <w:rFonts w:ascii="Times New Roman" w:hAnsi="Times New Roman" w:cs="Times New Roman"/>
          <w:color w:val="000000" w:themeColor="text1"/>
          <w:kern w:val="0"/>
          <w:sz w:val="24"/>
          <w:szCs w:val="24"/>
        </w:rPr>
        <w:t xml:space="preserve"> [23, 24]</w:t>
      </w:r>
      <w:r w:rsidR="00FF5969" w:rsidRPr="001C7B25">
        <w:rPr>
          <w:rFonts w:ascii="Times New Roman" w:hAnsi="Times New Roman" w:cs="Times New Roman"/>
          <w:color w:val="000000" w:themeColor="text1"/>
          <w:sz w:val="24"/>
          <w:szCs w:val="24"/>
          <w:shd w:val="clear" w:color="auto" w:fill="F5F5F5"/>
        </w:rPr>
        <w:t xml:space="preserve">. </w:t>
      </w:r>
      <w:r w:rsidR="0078364A" w:rsidRPr="001C7B25">
        <w:rPr>
          <w:rFonts w:ascii="Times New Roman" w:hAnsi="Times New Roman" w:cs="Times New Roman"/>
          <w:color w:val="000000" w:themeColor="text1"/>
          <w:kern w:val="0"/>
          <w:sz w:val="24"/>
          <w:szCs w:val="24"/>
        </w:rPr>
        <w:t>In this study, e</w:t>
      </w:r>
      <w:r w:rsidR="00FF5969" w:rsidRPr="001C7B25">
        <w:rPr>
          <w:rFonts w:ascii="Times New Roman" w:hAnsi="Times New Roman" w:cs="Times New Roman"/>
          <w:color w:val="000000" w:themeColor="text1"/>
          <w:kern w:val="0"/>
          <w:sz w:val="24"/>
          <w:szCs w:val="24"/>
        </w:rPr>
        <w:t xml:space="preserve">xcessive </w:t>
      </w:r>
      <w:r w:rsidR="00962A64" w:rsidRPr="001C7B25">
        <w:rPr>
          <w:rFonts w:ascii="Times New Roman" w:hAnsi="Times New Roman" w:cs="Times New Roman"/>
          <w:color w:val="000000" w:themeColor="text1"/>
          <w:kern w:val="0"/>
          <w:sz w:val="24"/>
          <w:szCs w:val="24"/>
        </w:rPr>
        <w:t>alcohol</w:t>
      </w:r>
      <w:r w:rsidR="00FF5969" w:rsidRPr="001C7B25">
        <w:rPr>
          <w:rFonts w:ascii="Times New Roman" w:hAnsi="Times New Roman" w:cs="Times New Roman"/>
          <w:color w:val="000000" w:themeColor="text1"/>
          <w:kern w:val="0"/>
          <w:sz w:val="24"/>
          <w:szCs w:val="24"/>
        </w:rPr>
        <w:t xml:space="preserve"> consumption</w:t>
      </w:r>
      <w:r w:rsidR="00FF5969" w:rsidRPr="001C7B25">
        <w:rPr>
          <w:rFonts w:ascii="Times New Roman" w:hAnsi="Times New Roman" w:cs="Times New Roman"/>
          <w:color w:val="000000" w:themeColor="text1"/>
          <w:sz w:val="24"/>
          <w:szCs w:val="24"/>
          <w:shd w:val="clear" w:color="auto" w:fill="F5F5F5"/>
        </w:rPr>
        <w:t xml:space="preserve"> was</w:t>
      </w:r>
      <w:r w:rsidR="00FF5969" w:rsidRPr="001C7B25">
        <w:rPr>
          <w:rFonts w:ascii="Times New Roman" w:hAnsi="Times New Roman" w:cs="Times New Roman"/>
          <w:color w:val="000000" w:themeColor="text1"/>
          <w:kern w:val="0"/>
          <w:sz w:val="24"/>
          <w:szCs w:val="24"/>
        </w:rPr>
        <w:t xml:space="preserve"> associated with decreased </w:t>
      </w:r>
      <w:r w:rsidR="00EF7C51" w:rsidRPr="001C7B25">
        <w:rPr>
          <w:rFonts w:ascii="Times New Roman" w:hAnsi="Times New Roman" w:cs="Times New Roman"/>
          <w:color w:val="000000" w:themeColor="text1"/>
          <w:kern w:val="0"/>
          <w:sz w:val="24"/>
          <w:szCs w:val="24"/>
        </w:rPr>
        <w:t xml:space="preserve">non–liver-related </w:t>
      </w:r>
      <w:r w:rsidR="00FF5969" w:rsidRPr="001C7B25">
        <w:rPr>
          <w:rFonts w:ascii="Times New Roman" w:hAnsi="Times New Roman" w:cs="Times New Roman"/>
          <w:color w:val="000000" w:themeColor="text1"/>
          <w:kern w:val="0"/>
          <w:sz w:val="24"/>
          <w:szCs w:val="24"/>
        </w:rPr>
        <w:t xml:space="preserve">mortality. </w:t>
      </w:r>
      <w:r w:rsidR="00962A64" w:rsidRPr="001C7B25">
        <w:rPr>
          <w:rFonts w:ascii="Times New Roman" w:hAnsi="Times New Roman" w:cs="Times New Roman"/>
          <w:color w:val="000000" w:themeColor="text1"/>
          <w:kern w:val="0"/>
          <w:sz w:val="24"/>
          <w:szCs w:val="24"/>
        </w:rPr>
        <w:t xml:space="preserve">It is thought that liver-related mortality </w:t>
      </w:r>
      <w:r w:rsidR="00C40D81" w:rsidRPr="001C7B25">
        <w:rPr>
          <w:rFonts w:ascii="Times New Roman" w:hAnsi="Times New Roman" w:cs="Times New Roman"/>
          <w:color w:val="000000" w:themeColor="text1"/>
          <w:kern w:val="0"/>
          <w:sz w:val="24"/>
          <w:szCs w:val="24"/>
        </w:rPr>
        <w:t xml:space="preserve">is </w:t>
      </w:r>
      <w:r w:rsidR="00962A64" w:rsidRPr="001C7B25">
        <w:rPr>
          <w:rFonts w:ascii="Times New Roman" w:hAnsi="Times New Roman" w:cs="Times New Roman"/>
          <w:color w:val="000000" w:themeColor="text1"/>
          <w:kern w:val="0"/>
          <w:sz w:val="24"/>
          <w:szCs w:val="24"/>
        </w:rPr>
        <w:t>increased in patients with excessive alcohol consumption</w:t>
      </w:r>
      <w:r w:rsidR="00DA47AA" w:rsidRPr="001C7B25">
        <w:rPr>
          <w:rFonts w:ascii="Times New Roman" w:hAnsi="Times New Roman" w:cs="Times New Roman"/>
          <w:color w:val="000000" w:themeColor="text1"/>
          <w:kern w:val="0"/>
          <w:sz w:val="24"/>
          <w:szCs w:val="24"/>
        </w:rPr>
        <w:t xml:space="preserve"> [22]</w:t>
      </w:r>
      <w:r w:rsidR="00962A64" w:rsidRPr="001C7B25">
        <w:rPr>
          <w:rFonts w:ascii="Times New Roman" w:hAnsi="Times New Roman" w:cs="Times New Roman"/>
          <w:color w:val="000000" w:themeColor="text1"/>
          <w:kern w:val="0"/>
          <w:sz w:val="24"/>
          <w:szCs w:val="24"/>
        </w:rPr>
        <w:t xml:space="preserve">, </w:t>
      </w:r>
      <w:r w:rsidR="007B02FF" w:rsidRPr="001C7B25">
        <w:rPr>
          <w:rFonts w:ascii="Times New Roman" w:hAnsi="Times New Roman" w:cs="Times New Roman"/>
          <w:color w:val="000000" w:themeColor="text1"/>
          <w:kern w:val="0"/>
          <w:sz w:val="24"/>
          <w:szCs w:val="24"/>
        </w:rPr>
        <w:t xml:space="preserve">but decreases </w:t>
      </w:r>
      <w:r w:rsidR="00910C54" w:rsidRPr="001C7B25">
        <w:rPr>
          <w:rFonts w:ascii="Times New Roman" w:hAnsi="Times New Roman" w:cs="Times New Roman"/>
          <w:color w:val="000000" w:themeColor="text1"/>
          <w:sz w:val="24"/>
          <w:szCs w:val="24"/>
          <w:shd w:val="clear" w:color="auto" w:fill="F5F5F5"/>
        </w:rPr>
        <w:t>non–liver-related mortality</w:t>
      </w:r>
      <w:r w:rsidR="00962A64" w:rsidRPr="001C7B25">
        <w:rPr>
          <w:rFonts w:ascii="Times New Roman" w:hAnsi="Times New Roman" w:cs="Times New Roman"/>
          <w:color w:val="000000" w:themeColor="text1"/>
          <w:kern w:val="0"/>
          <w:sz w:val="24"/>
          <w:szCs w:val="24"/>
        </w:rPr>
        <w:t xml:space="preserve">. </w:t>
      </w:r>
      <w:r w:rsidR="00962A64" w:rsidRPr="001C7B25">
        <w:rPr>
          <w:rFonts w:ascii="Times New Roman" w:hAnsi="Times New Roman" w:cs="Times New Roman"/>
          <w:color w:val="000000" w:themeColor="text1"/>
          <w:sz w:val="24"/>
          <w:szCs w:val="24"/>
        </w:rPr>
        <w:t>A similar phenomenon was observed in the FIB-4 index.</w:t>
      </w:r>
      <w:r w:rsidR="00962A64" w:rsidRPr="001C7B25">
        <w:rPr>
          <w:rFonts w:ascii="Times New Roman" w:hAnsi="Times New Roman" w:cs="Times New Roman"/>
          <w:color w:val="000000" w:themeColor="text1"/>
          <w:sz w:val="24"/>
          <w:szCs w:val="24"/>
          <w:shd w:val="clear" w:color="auto" w:fill="F5F5F5"/>
        </w:rPr>
        <w:t xml:space="preserve"> </w:t>
      </w:r>
      <w:r w:rsidR="00962A64" w:rsidRPr="001C7B25">
        <w:rPr>
          <w:rFonts w:ascii="Times New Roman" w:hAnsi="Times New Roman" w:cs="Times New Roman"/>
          <w:color w:val="000000" w:themeColor="text1"/>
          <w:sz w:val="24"/>
          <w:szCs w:val="24"/>
        </w:rPr>
        <w:t xml:space="preserve">Because </w:t>
      </w:r>
      <w:r w:rsidR="004732D4" w:rsidRPr="001C7B25">
        <w:rPr>
          <w:rFonts w:ascii="Times New Roman" w:hAnsi="Times New Roman" w:cs="Times New Roman"/>
          <w:color w:val="000000" w:themeColor="text1"/>
          <w:sz w:val="24"/>
          <w:szCs w:val="24"/>
        </w:rPr>
        <w:t>advanced</w:t>
      </w:r>
      <w:r w:rsidR="00962A64" w:rsidRPr="001C7B25">
        <w:rPr>
          <w:rFonts w:ascii="Times New Roman" w:hAnsi="Times New Roman" w:cs="Times New Roman"/>
          <w:color w:val="000000" w:themeColor="text1"/>
          <w:sz w:val="24"/>
          <w:szCs w:val="24"/>
        </w:rPr>
        <w:t xml:space="preserve"> fibrosis is associated with </w:t>
      </w:r>
      <w:r w:rsidR="004732D4" w:rsidRPr="001C7B25">
        <w:rPr>
          <w:rFonts w:ascii="Times New Roman" w:hAnsi="Times New Roman" w:cs="Times New Roman"/>
          <w:color w:val="000000" w:themeColor="text1"/>
          <w:sz w:val="24"/>
          <w:szCs w:val="24"/>
        </w:rPr>
        <w:t xml:space="preserve">increased </w:t>
      </w:r>
      <w:r w:rsidR="00962A64" w:rsidRPr="001C7B25">
        <w:rPr>
          <w:rFonts w:ascii="Times New Roman" w:hAnsi="Times New Roman" w:cs="Times New Roman"/>
          <w:color w:val="000000" w:themeColor="text1"/>
          <w:sz w:val="24"/>
          <w:szCs w:val="24"/>
        </w:rPr>
        <w:t xml:space="preserve">liver-related </w:t>
      </w:r>
      <w:r w:rsidR="004732D4" w:rsidRPr="001C7B25">
        <w:rPr>
          <w:rFonts w:ascii="Times New Roman" w:hAnsi="Times New Roman" w:cs="Times New Roman"/>
          <w:color w:val="000000" w:themeColor="text1"/>
          <w:sz w:val="24"/>
          <w:szCs w:val="24"/>
        </w:rPr>
        <w:t>mortality</w:t>
      </w:r>
      <w:r w:rsidR="00962A64" w:rsidRPr="001C7B25">
        <w:rPr>
          <w:rFonts w:ascii="Times New Roman" w:hAnsi="Times New Roman" w:cs="Times New Roman"/>
          <w:color w:val="000000" w:themeColor="text1"/>
          <w:sz w:val="24"/>
          <w:szCs w:val="24"/>
        </w:rPr>
        <w:t xml:space="preserve">, especially </w:t>
      </w:r>
      <w:r w:rsidR="004732D4" w:rsidRPr="001C7B25">
        <w:rPr>
          <w:rFonts w:ascii="Times New Roman" w:hAnsi="Times New Roman" w:cs="Times New Roman"/>
          <w:color w:val="000000" w:themeColor="text1"/>
          <w:sz w:val="24"/>
          <w:szCs w:val="24"/>
        </w:rPr>
        <w:t xml:space="preserve">in </w:t>
      </w:r>
      <w:r w:rsidR="00962A64" w:rsidRPr="001C7B25">
        <w:rPr>
          <w:rFonts w:ascii="Times New Roman" w:hAnsi="Times New Roman" w:cs="Times New Roman"/>
          <w:color w:val="000000" w:themeColor="text1"/>
          <w:sz w:val="24"/>
          <w:szCs w:val="24"/>
        </w:rPr>
        <w:t>HCC</w:t>
      </w:r>
      <w:r w:rsidR="00DA47AA" w:rsidRPr="001C7B25">
        <w:rPr>
          <w:rFonts w:ascii="Times New Roman" w:hAnsi="Times New Roman" w:cs="Times New Roman"/>
          <w:color w:val="000000" w:themeColor="text1"/>
          <w:sz w:val="24"/>
          <w:szCs w:val="24"/>
        </w:rPr>
        <w:t xml:space="preserve"> [2</w:t>
      </w:r>
      <w:r w:rsidR="00C35C9A" w:rsidRPr="001C7B25">
        <w:rPr>
          <w:rFonts w:ascii="Times New Roman" w:hAnsi="Times New Roman" w:cs="Times New Roman"/>
          <w:color w:val="000000" w:themeColor="text1"/>
          <w:sz w:val="24"/>
          <w:szCs w:val="24"/>
        </w:rPr>
        <w:t>3</w:t>
      </w:r>
      <w:r w:rsidR="00DA47AA" w:rsidRPr="001C7B25">
        <w:rPr>
          <w:rFonts w:ascii="Times New Roman" w:hAnsi="Times New Roman" w:cs="Times New Roman"/>
          <w:color w:val="000000" w:themeColor="text1"/>
          <w:sz w:val="24"/>
          <w:szCs w:val="24"/>
        </w:rPr>
        <w:t>]</w:t>
      </w:r>
      <w:r w:rsidR="00962A64" w:rsidRPr="001C7B25">
        <w:rPr>
          <w:rFonts w:ascii="Times New Roman" w:hAnsi="Times New Roman" w:cs="Times New Roman"/>
          <w:color w:val="000000" w:themeColor="text1"/>
          <w:sz w:val="24"/>
          <w:szCs w:val="24"/>
        </w:rPr>
        <w:t xml:space="preserve">, it is likely that </w:t>
      </w:r>
      <w:r w:rsidR="004732D4" w:rsidRPr="001C7B25">
        <w:rPr>
          <w:rFonts w:ascii="Times New Roman" w:hAnsi="Times New Roman" w:cs="Times New Roman"/>
          <w:color w:val="000000" w:themeColor="text1"/>
          <w:sz w:val="24"/>
          <w:szCs w:val="24"/>
        </w:rPr>
        <w:t>advanced</w:t>
      </w:r>
      <w:r w:rsidR="00962A64" w:rsidRPr="001C7B25">
        <w:rPr>
          <w:rFonts w:ascii="Times New Roman" w:hAnsi="Times New Roman" w:cs="Times New Roman"/>
          <w:color w:val="000000" w:themeColor="text1"/>
          <w:sz w:val="24"/>
          <w:szCs w:val="24"/>
        </w:rPr>
        <w:t xml:space="preserve"> fibrosis resulted in a decrease in </w:t>
      </w:r>
      <w:r w:rsidR="00EF7C51" w:rsidRPr="001C7B25">
        <w:rPr>
          <w:rFonts w:ascii="Times New Roman" w:hAnsi="Times New Roman" w:cs="Times New Roman"/>
          <w:color w:val="000000" w:themeColor="text1"/>
          <w:sz w:val="24"/>
          <w:szCs w:val="24"/>
        </w:rPr>
        <w:t xml:space="preserve">non–liver-related </w:t>
      </w:r>
      <w:r w:rsidR="00962A64" w:rsidRPr="001C7B25">
        <w:rPr>
          <w:rFonts w:ascii="Times New Roman" w:hAnsi="Times New Roman" w:cs="Times New Roman"/>
          <w:color w:val="000000" w:themeColor="text1"/>
          <w:sz w:val="24"/>
          <w:szCs w:val="24"/>
        </w:rPr>
        <w:t>mortality.</w:t>
      </w:r>
    </w:p>
    <w:p w14:paraId="79C91289" w14:textId="76C5C579" w:rsidR="00AC1ECE" w:rsidRPr="001C7B25" w:rsidRDefault="00225886" w:rsidP="00FF5969">
      <w:pPr>
        <w:autoSpaceDE w:val="0"/>
        <w:autoSpaceDN w:val="0"/>
        <w:adjustRightInd w:val="0"/>
        <w:spacing w:line="480" w:lineRule="auto"/>
        <w:jc w:val="left"/>
        <w:rPr>
          <w:rFonts w:ascii="Times New Roman" w:hAnsi="Times New Roman" w:cs="Times New Roman"/>
          <w:color w:val="000000" w:themeColor="text1"/>
          <w:sz w:val="24"/>
          <w:szCs w:val="24"/>
          <w:shd w:val="clear" w:color="auto" w:fill="F5F5F5"/>
        </w:rPr>
      </w:pPr>
      <w:r w:rsidRPr="001C7B25">
        <w:rPr>
          <w:rFonts w:ascii="Times New Roman" w:hAnsi="Times New Roman" w:cs="Times New Roman"/>
          <w:color w:val="000000" w:themeColor="text1"/>
          <w:sz w:val="24"/>
          <w:szCs w:val="24"/>
        </w:rPr>
        <w:tab/>
      </w:r>
      <w:r w:rsidR="00AC1ECE" w:rsidRPr="001C7B25">
        <w:rPr>
          <w:rFonts w:ascii="Times New Roman" w:hAnsi="Times New Roman" w:cs="Times New Roman"/>
          <w:color w:val="000000" w:themeColor="text1"/>
          <w:sz w:val="24"/>
          <w:szCs w:val="24"/>
        </w:rPr>
        <w:t>The main</w:t>
      </w:r>
      <w:r w:rsidRPr="001C7B25">
        <w:rPr>
          <w:rFonts w:ascii="Times New Roman" w:hAnsi="Times New Roman" w:cs="Times New Roman"/>
          <w:color w:val="000000" w:themeColor="text1"/>
          <w:sz w:val="24"/>
          <w:szCs w:val="24"/>
        </w:rPr>
        <w:t xml:space="preserve"> limitation </w:t>
      </w:r>
      <w:r w:rsidR="004713EE" w:rsidRPr="001C7B25">
        <w:rPr>
          <w:rFonts w:ascii="Times New Roman" w:hAnsi="Times New Roman" w:cs="Times New Roman"/>
          <w:color w:val="000000" w:themeColor="text1"/>
          <w:sz w:val="24"/>
          <w:szCs w:val="24"/>
        </w:rPr>
        <w:t xml:space="preserve">in this study was the nature of the </w:t>
      </w:r>
      <w:r w:rsidRPr="001C7B25">
        <w:rPr>
          <w:rFonts w:ascii="Times New Roman" w:hAnsi="Times New Roman" w:cs="Times New Roman"/>
          <w:color w:val="000000" w:themeColor="text1"/>
          <w:sz w:val="24"/>
          <w:szCs w:val="24"/>
        </w:rPr>
        <w:t>control subjects</w:t>
      </w:r>
      <w:r w:rsidR="00DA47AA" w:rsidRPr="001C7B25">
        <w:rPr>
          <w:rFonts w:ascii="Times New Roman" w:hAnsi="Times New Roman" w:cs="Times New Roman"/>
          <w:color w:val="000000" w:themeColor="text1"/>
          <w:kern w:val="0"/>
          <w:sz w:val="24"/>
          <w:szCs w:val="24"/>
        </w:rPr>
        <w:t>. U</w:t>
      </w:r>
      <w:r w:rsidRPr="001C7B25">
        <w:rPr>
          <w:rFonts w:ascii="Times New Roman" w:hAnsi="Times New Roman" w:cs="Times New Roman"/>
          <w:color w:val="000000" w:themeColor="text1"/>
          <w:kern w:val="0"/>
          <w:sz w:val="24"/>
          <w:szCs w:val="24"/>
        </w:rPr>
        <w:t xml:space="preserve">ntreated </w:t>
      </w:r>
      <w:r w:rsidR="004713EE" w:rsidRPr="001C7B25">
        <w:rPr>
          <w:rFonts w:ascii="Times New Roman" w:hAnsi="Times New Roman" w:cs="Times New Roman"/>
          <w:color w:val="000000" w:themeColor="text1"/>
          <w:kern w:val="0"/>
          <w:sz w:val="24"/>
          <w:szCs w:val="24"/>
        </w:rPr>
        <w:t xml:space="preserve">Japanese </w:t>
      </w:r>
      <w:r w:rsidRPr="001C7B25">
        <w:rPr>
          <w:rFonts w:ascii="Times New Roman" w:hAnsi="Times New Roman" w:cs="Times New Roman"/>
          <w:color w:val="000000" w:themeColor="text1"/>
          <w:kern w:val="0"/>
          <w:sz w:val="24"/>
          <w:szCs w:val="24"/>
        </w:rPr>
        <w:t>patients with DC were selected based on the same criteria as treated patients</w:t>
      </w:r>
      <w:r w:rsidR="00DA47AA" w:rsidRPr="001C7B25">
        <w:rPr>
          <w:rFonts w:ascii="Times New Roman" w:hAnsi="Times New Roman" w:cs="Times New Roman"/>
          <w:color w:val="000000" w:themeColor="text1"/>
          <w:kern w:val="0"/>
          <w:sz w:val="24"/>
          <w:szCs w:val="24"/>
        </w:rPr>
        <w:t xml:space="preserve"> in the </w:t>
      </w:r>
      <w:r w:rsidR="001F13A1" w:rsidRPr="001C7B25">
        <w:rPr>
          <w:rFonts w:ascii="Times New Roman" w:hAnsi="Times New Roman" w:cs="Times New Roman"/>
          <w:color w:val="000000" w:themeColor="text1"/>
          <w:kern w:val="0"/>
          <w:sz w:val="24"/>
          <w:szCs w:val="24"/>
        </w:rPr>
        <w:t>UK</w:t>
      </w:r>
      <w:r w:rsidR="00C84558" w:rsidRPr="001C7B25">
        <w:rPr>
          <w:rFonts w:ascii="Times New Roman" w:hAnsi="Times New Roman" w:cs="Times New Roman"/>
          <w:color w:val="000000" w:themeColor="text1"/>
          <w:kern w:val="0"/>
          <w:sz w:val="24"/>
          <w:szCs w:val="24"/>
        </w:rPr>
        <w:t xml:space="preserve">. </w:t>
      </w:r>
      <w:r w:rsidR="007E64DA" w:rsidRPr="001C7B25">
        <w:rPr>
          <w:rFonts w:ascii="Times New Roman" w:hAnsi="Times New Roman" w:cs="Times New Roman"/>
          <w:color w:val="000000" w:themeColor="text1"/>
          <w:kern w:val="0"/>
          <w:sz w:val="24"/>
          <w:szCs w:val="24"/>
        </w:rPr>
        <w:t xml:space="preserve">While it would have been preferable to conduct a </w:t>
      </w:r>
      <w:r w:rsidR="00C84558" w:rsidRPr="001C7B25">
        <w:rPr>
          <w:rFonts w:ascii="Times New Roman" w:hAnsi="Times New Roman" w:cs="Times New Roman"/>
          <w:color w:val="000000" w:themeColor="text1"/>
          <w:kern w:val="0"/>
          <w:sz w:val="24"/>
          <w:szCs w:val="24"/>
        </w:rPr>
        <w:t xml:space="preserve">randomized control trial of treatment </w:t>
      </w:r>
      <w:r w:rsidR="00CA6A2D" w:rsidRPr="001C7B25">
        <w:rPr>
          <w:rFonts w:ascii="Times New Roman" w:hAnsi="Times New Roman" w:cs="Times New Roman"/>
          <w:color w:val="000000" w:themeColor="text1"/>
          <w:kern w:val="0"/>
          <w:sz w:val="24"/>
          <w:szCs w:val="24"/>
        </w:rPr>
        <w:t>versus</w:t>
      </w:r>
      <w:r w:rsidR="00C84558" w:rsidRPr="001C7B25">
        <w:rPr>
          <w:rFonts w:ascii="Times New Roman" w:hAnsi="Times New Roman" w:cs="Times New Roman"/>
          <w:color w:val="000000" w:themeColor="text1"/>
          <w:kern w:val="0"/>
          <w:sz w:val="24"/>
          <w:szCs w:val="24"/>
        </w:rPr>
        <w:t xml:space="preserve"> no treatment, </w:t>
      </w:r>
      <w:r w:rsidR="007E64DA" w:rsidRPr="001C7B25">
        <w:rPr>
          <w:rFonts w:ascii="Times New Roman" w:hAnsi="Times New Roman" w:cs="Times New Roman"/>
          <w:color w:val="000000" w:themeColor="text1"/>
          <w:kern w:val="0"/>
          <w:sz w:val="24"/>
          <w:szCs w:val="24"/>
        </w:rPr>
        <w:t xml:space="preserve">this </w:t>
      </w:r>
      <w:r w:rsidR="00C84558" w:rsidRPr="001C7B25">
        <w:rPr>
          <w:rFonts w:ascii="Times New Roman" w:hAnsi="Times New Roman" w:cs="Times New Roman"/>
          <w:color w:val="000000" w:themeColor="text1"/>
          <w:kern w:val="0"/>
          <w:sz w:val="24"/>
          <w:szCs w:val="24"/>
        </w:rPr>
        <w:t xml:space="preserve">would </w:t>
      </w:r>
      <w:r w:rsidR="007E64DA" w:rsidRPr="001C7B25">
        <w:rPr>
          <w:rFonts w:ascii="Times New Roman" w:hAnsi="Times New Roman" w:cs="Times New Roman"/>
          <w:color w:val="000000" w:themeColor="text1"/>
          <w:kern w:val="0"/>
          <w:sz w:val="24"/>
          <w:szCs w:val="24"/>
        </w:rPr>
        <w:t xml:space="preserve">have been </w:t>
      </w:r>
      <w:r w:rsidR="00C84558" w:rsidRPr="001C7B25">
        <w:rPr>
          <w:rFonts w:ascii="Times New Roman" w:hAnsi="Times New Roman" w:cs="Times New Roman"/>
          <w:color w:val="000000" w:themeColor="text1"/>
          <w:kern w:val="0"/>
          <w:sz w:val="24"/>
          <w:szCs w:val="24"/>
        </w:rPr>
        <w:t xml:space="preserve">unethical. There were </w:t>
      </w:r>
      <w:r w:rsidR="001B062C" w:rsidRPr="001C7B25">
        <w:rPr>
          <w:rFonts w:ascii="Times New Roman" w:hAnsi="Times New Roman" w:cs="Times New Roman"/>
          <w:color w:val="000000" w:themeColor="text1"/>
          <w:kern w:val="0"/>
          <w:sz w:val="24"/>
          <w:szCs w:val="24"/>
        </w:rPr>
        <w:t xml:space="preserve">significant differences in </w:t>
      </w:r>
      <w:r w:rsidR="007E64DA" w:rsidRPr="001C7B25">
        <w:rPr>
          <w:rFonts w:ascii="Times New Roman" w:hAnsi="Times New Roman" w:cs="Times New Roman"/>
          <w:color w:val="000000" w:themeColor="text1"/>
          <w:kern w:val="0"/>
          <w:sz w:val="24"/>
          <w:szCs w:val="24"/>
        </w:rPr>
        <w:t xml:space="preserve">the </w:t>
      </w:r>
      <w:r w:rsidR="001B062C" w:rsidRPr="001C7B25">
        <w:rPr>
          <w:rFonts w:ascii="Times New Roman" w:hAnsi="Times New Roman" w:cs="Times New Roman"/>
          <w:color w:val="000000" w:themeColor="text1"/>
          <w:kern w:val="0"/>
          <w:sz w:val="24"/>
          <w:szCs w:val="24"/>
        </w:rPr>
        <w:t xml:space="preserve">background factors </w:t>
      </w:r>
      <w:r w:rsidR="007E64DA" w:rsidRPr="001C7B25">
        <w:rPr>
          <w:rFonts w:ascii="Times New Roman" w:hAnsi="Times New Roman" w:cs="Times New Roman"/>
          <w:color w:val="000000" w:themeColor="text1"/>
          <w:kern w:val="0"/>
          <w:sz w:val="24"/>
          <w:szCs w:val="24"/>
        </w:rPr>
        <w:t xml:space="preserve">of </w:t>
      </w:r>
      <w:r w:rsidR="004713EE" w:rsidRPr="001C7B25">
        <w:rPr>
          <w:rFonts w:ascii="Times New Roman" w:hAnsi="Times New Roman" w:cs="Times New Roman"/>
          <w:color w:val="000000" w:themeColor="text1"/>
          <w:kern w:val="0"/>
          <w:sz w:val="24"/>
          <w:szCs w:val="24"/>
        </w:rPr>
        <w:t xml:space="preserve">the DAA </w:t>
      </w:r>
      <w:r w:rsidR="001B062C" w:rsidRPr="001C7B25">
        <w:rPr>
          <w:rFonts w:ascii="Times New Roman" w:hAnsi="Times New Roman" w:cs="Times New Roman"/>
          <w:color w:val="000000" w:themeColor="text1"/>
          <w:kern w:val="0"/>
          <w:sz w:val="24"/>
          <w:szCs w:val="24"/>
        </w:rPr>
        <w:t xml:space="preserve">group in the UK and </w:t>
      </w:r>
      <w:r w:rsidR="004713EE" w:rsidRPr="001C7B25">
        <w:rPr>
          <w:rFonts w:ascii="Times New Roman" w:hAnsi="Times New Roman" w:cs="Times New Roman"/>
          <w:color w:val="000000" w:themeColor="text1"/>
          <w:kern w:val="0"/>
          <w:sz w:val="24"/>
          <w:szCs w:val="24"/>
        </w:rPr>
        <w:t xml:space="preserve">the </w:t>
      </w:r>
      <w:r w:rsidR="001B062C" w:rsidRPr="001C7B25">
        <w:rPr>
          <w:rFonts w:ascii="Times New Roman" w:hAnsi="Times New Roman" w:cs="Times New Roman"/>
          <w:color w:val="000000" w:themeColor="text1"/>
          <w:kern w:val="0"/>
          <w:sz w:val="24"/>
          <w:szCs w:val="24"/>
        </w:rPr>
        <w:t>Non-</w:t>
      </w:r>
      <w:r w:rsidR="004713EE" w:rsidRPr="001C7B25">
        <w:rPr>
          <w:rFonts w:ascii="Times New Roman" w:hAnsi="Times New Roman" w:cs="Times New Roman"/>
          <w:color w:val="000000" w:themeColor="text1"/>
          <w:kern w:val="0"/>
          <w:sz w:val="24"/>
          <w:szCs w:val="24"/>
        </w:rPr>
        <w:t xml:space="preserve">DAA </w:t>
      </w:r>
      <w:r w:rsidR="001B062C" w:rsidRPr="001C7B25">
        <w:rPr>
          <w:rFonts w:ascii="Times New Roman" w:hAnsi="Times New Roman" w:cs="Times New Roman"/>
          <w:color w:val="000000" w:themeColor="text1"/>
          <w:kern w:val="0"/>
          <w:sz w:val="24"/>
          <w:szCs w:val="24"/>
        </w:rPr>
        <w:t xml:space="preserve">group in Japan. Patients in Japan </w:t>
      </w:r>
      <w:r w:rsidR="007E64DA" w:rsidRPr="001C7B25">
        <w:rPr>
          <w:rFonts w:ascii="Times New Roman" w:hAnsi="Times New Roman" w:cs="Times New Roman"/>
          <w:color w:val="000000" w:themeColor="text1"/>
          <w:kern w:val="0"/>
          <w:sz w:val="24"/>
          <w:szCs w:val="24"/>
        </w:rPr>
        <w:t xml:space="preserve">were </w:t>
      </w:r>
      <w:r w:rsidR="000043D3" w:rsidRPr="001C7B25">
        <w:rPr>
          <w:rFonts w:ascii="Times New Roman" w:hAnsi="Times New Roman" w:cs="Times New Roman"/>
          <w:color w:val="000000" w:themeColor="text1"/>
          <w:kern w:val="0"/>
          <w:sz w:val="24"/>
          <w:szCs w:val="24"/>
        </w:rPr>
        <w:t xml:space="preserve">an average of </w:t>
      </w:r>
      <w:r w:rsidR="001B062C" w:rsidRPr="001C7B25">
        <w:rPr>
          <w:rFonts w:ascii="Times New Roman" w:hAnsi="Times New Roman" w:cs="Times New Roman"/>
          <w:color w:val="000000" w:themeColor="text1"/>
          <w:kern w:val="0"/>
          <w:sz w:val="24"/>
          <w:szCs w:val="24"/>
        </w:rPr>
        <w:t xml:space="preserve">17 years older and </w:t>
      </w:r>
      <w:r w:rsidR="007E64DA" w:rsidRPr="001C7B25">
        <w:rPr>
          <w:rFonts w:ascii="Times New Roman" w:hAnsi="Times New Roman" w:cs="Times New Roman"/>
          <w:color w:val="000000" w:themeColor="text1"/>
          <w:kern w:val="0"/>
          <w:sz w:val="24"/>
          <w:szCs w:val="24"/>
        </w:rPr>
        <w:t xml:space="preserve">were more likely to be </w:t>
      </w:r>
      <w:r w:rsidR="00864F08" w:rsidRPr="001C7B25">
        <w:rPr>
          <w:rFonts w:ascii="Times New Roman" w:hAnsi="Times New Roman" w:cs="Times New Roman"/>
          <w:color w:val="000000" w:themeColor="text1"/>
          <w:kern w:val="0"/>
          <w:sz w:val="24"/>
          <w:szCs w:val="24"/>
        </w:rPr>
        <w:t>men</w:t>
      </w:r>
      <w:r w:rsidR="009B2C6A" w:rsidRPr="001C7B25">
        <w:rPr>
          <w:rFonts w:ascii="Times New Roman" w:hAnsi="Times New Roman" w:cs="Times New Roman"/>
          <w:color w:val="000000" w:themeColor="text1"/>
          <w:kern w:val="0"/>
          <w:sz w:val="24"/>
          <w:szCs w:val="24"/>
        </w:rPr>
        <w:t xml:space="preserve"> and </w:t>
      </w:r>
      <w:r w:rsidR="00864F08" w:rsidRPr="001C7B25">
        <w:rPr>
          <w:rFonts w:ascii="Times New Roman" w:hAnsi="Times New Roman" w:cs="Times New Roman"/>
          <w:color w:val="000000" w:themeColor="text1"/>
          <w:kern w:val="0"/>
          <w:sz w:val="24"/>
          <w:szCs w:val="24"/>
        </w:rPr>
        <w:t xml:space="preserve">to have </w:t>
      </w:r>
      <w:r w:rsidR="009B2C6A" w:rsidRPr="001C7B25">
        <w:rPr>
          <w:rFonts w:ascii="Times New Roman" w:hAnsi="Times New Roman" w:cs="Times New Roman"/>
          <w:color w:val="000000" w:themeColor="text1"/>
          <w:kern w:val="0"/>
          <w:sz w:val="24"/>
          <w:szCs w:val="24"/>
        </w:rPr>
        <w:t xml:space="preserve">DM than those in the UK. In contrast, patients in the UK had </w:t>
      </w:r>
      <w:r w:rsidR="00864F08" w:rsidRPr="001C7B25">
        <w:rPr>
          <w:rFonts w:ascii="Times New Roman" w:hAnsi="Times New Roman" w:cs="Times New Roman"/>
          <w:color w:val="000000" w:themeColor="text1"/>
          <w:kern w:val="0"/>
          <w:sz w:val="24"/>
          <w:szCs w:val="24"/>
        </w:rPr>
        <w:t xml:space="preserve">a </w:t>
      </w:r>
      <w:r w:rsidR="009B2C6A" w:rsidRPr="001C7B25">
        <w:rPr>
          <w:rFonts w:ascii="Times New Roman" w:hAnsi="Times New Roman" w:cs="Times New Roman"/>
          <w:color w:val="000000" w:themeColor="text1"/>
          <w:kern w:val="0"/>
          <w:sz w:val="24"/>
          <w:szCs w:val="24"/>
        </w:rPr>
        <w:t xml:space="preserve">higher BMI and higher rates of alcohol abuse and smoking than those in Japan. Genotype 3 was present </w:t>
      </w:r>
      <w:r w:rsidR="00265597" w:rsidRPr="001C7B25">
        <w:rPr>
          <w:rFonts w:ascii="Times New Roman" w:hAnsi="Times New Roman" w:cs="Times New Roman"/>
          <w:color w:val="000000" w:themeColor="text1"/>
          <w:kern w:val="0"/>
          <w:sz w:val="24"/>
          <w:szCs w:val="24"/>
        </w:rPr>
        <w:t>in the UK, but not in Japan. Howeve</w:t>
      </w:r>
      <w:r w:rsidR="0060291A" w:rsidRPr="001C7B25">
        <w:rPr>
          <w:rFonts w:ascii="Times New Roman" w:hAnsi="Times New Roman" w:cs="Times New Roman"/>
          <w:color w:val="000000" w:themeColor="text1"/>
          <w:kern w:val="0"/>
          <w:sz w:val="24"/>
          <w:szCs w:val="24"/>
        </w:rPr>
        <w:t>r</w:t>
      </w:r>
      <w:r w:rsidR="00265597" w:rsidRPr="001C7B25">
        <w:rPr>
          <w:rFonts w:ascii="Times New Roman" w:hAnsi="Times New Roman" w:cs="Times New Roman"/>
          <w:color w:val="000000" w:themeColor="text1"/>
          <w:sz w:val="24"/>
          <w:szCs w:val="24"/>
          <w:shd w:val="clear" w:color="auto" w:fill="F5F5F5"/>
        </w:rPr>
        <w:t xml:space="preserve">, there was no difference between the two groups in </w:t>
      </w:r>
      <w:r w:rsidR="00F243D9" w:rsidRPr="001C7B25">
        <w:rPr>
          <w:rFonts w:ascii="Times New Roman" w:hAnsi="Times New Roman" w:cs="Times New Roman"/>
          <w:color w:val="000000" w:themeColor="text1"/>
          <w:sz w:val="24"/>
          <w:szCs w:val="24"/>
          <w:shd w:val="clear" w:color="auto" w:fill="F5F5F5"/>
        </w:rPr>
        <w:t>Child-Pugh class</w:t>
      </w:r>
      <w:r w:rsidR="00265597" w:rsidRPr="001C7B25">
        <w:rPr>
          <w:rFonts w:ascii="Times New Roman" w:hAnsi="Times New Roman" w:cs="Times New Roman"/>
          <w:color w:val="000000" w:themeColor="text1"/>
          <w:sz w:val="24"/>
          <w:szCs w:val="24"/>
          <w:shd w:val="clear" w:color="auto" w:fill="F5F5F5"/>
        </w:rPr>
        <w:t xml:space="preserve">, ALBI score, </w:t>
      </w:r>
      <w:r w:rsidR="000043D3" w:rsidRPr="001C7B25">
        <w:rPr>
          <w:rFonts w:ascii="Times New Roman" w:hAnsi="Times New Roman" w:cs="Times New Roman"/>
          <w:color w:val="000000" w:themeColor="text1"/>
          <w:sz w:val="24"/>
          <w:szCs w:val="24"/>
          <w:shd w:val="clear" w:color="auto" w:fill="F5F5F5"/>
        </w:rPr>
        <w:t xml:space="preserve">or </w:t>
      </w:r>
      <w:r w:rsidR="00265597" w:rsidRPr="001C7B25">
        <w:rPr>
          <w:rFonts w:ascii="Times New Roman" w:hAnsi="Times New Roman" w:cs="Times New Roman"/>
          <w:color w:val="000000" w:themeColor="text1"/>
          <w:sz w:val="24"/>
          <w:szCs w:val="24"/>
          <w:shd w:val="clear" w:color="auto" w:fill="F5F5F5"/>
        </w:rPr>
        <w:t>ALBI grade</w:t>
      </w:r>
      <w:r w:rsidR="00864F08" w:rsidRPr="001C7B25">
        <w:rPr>
          <w:rFonts w:ascii="Times New Roman" w:hAnsi="Times New Roman" w:cs="Times New Roman"/>
          <w:color w:val="000000" w:themeColor="text1"/>
          <w:sz w:val="24"/>
          <w:szCs w:val="24"/>
          <w:shd w:val="clear" w:color="auto" w:fill="F5F5F5"/>
        </w:rPr>
        <w:t>, all of which were</w:t>
      </w:r>
      <w:r w:rsidR="00265597" w:rsidRPr="001C7B25">
        <w:rPr>
          <w:rFonts w:ascii="Times New Roman" w:hAnsi="Times New Roman" w:cs="Times New Roman"/>
          <w:color w:val="000000" w:themeColor="text1"/>
          <w:sz w:val="24"/>
          <w:szCs w:val="24"/>
          <w:shd w:val="clear" w:color="auto" w:fill="F5F5F5"/>
        </w:rPr>
        <w:t xml:space="preserve"> used as indicators of liver function. The FIB-4 index</w:t>
      </w:r>
      <w:r w:rsidR="00864F08" w:rsidRPr="001C7B25">
        <w:rPr>
          <w:rFonts w:ascii="Times New Roman" w:hAnsi="Times New Roman" w:cs="Times New Roman"/>
          <w:color w:val="000000" w:themeColor="text1"/>
          <w:sz w:val="24"/>
          <w:szCs w:val="24"/>
          <w:shd w:val="clear" w:color="auto" w:fill="F5F5F5"/>
        </w:rPr>
        <w:t>,</w:t>
      </w:r>
      <w:r w:rsidR="00265597" w:rsidRPr="001C7B25">
        <w:rPr>
          <w:rFonts w:ascii="Times New Roman" w:hAnsi="Times New Roman" w:cs="Times New Roman"/>
          <w:color w:val="000000" w:themeColor="text1"/>
          <w:sz w:val="24"/>
          <w:szCs w:val="24"/>
          <w:shd w:val="clear" w:color="auto" w:fill="F5F5F5"/>
        </w:rPr>
        <w:t xml:space="preserve"> used as a marker of fibrosis</w:t>
      </w:r>
      <w:r w:rsidR="00864F08" w:rsidRPr="001C7B25">
        <w:rPr>
          <w:rFonts w:ascii="Times New Roman" w:hAnsi="Times New Roman" w:cs="Times New Roman"/>
          <w:color w:val="000000" w:themeColor="text1"/>
          <w:sz w:val="24"/>
          <w:szCs w:val="24"/>
          <w:shd w:val="clear" w:color="auto" w:fill="F5F5F5"/>
        </w:rPr>
        <w:t>,</w:t>
      </w:r>
      <w:r w:rsidR="00265597" w:rsidRPr="001C7B25">
        <w:rPr>
          <w:rFonts w:ascii="Times New Roman" w:hAnsi="Times New Roman" w:cs="Times New Roman"/>
          <w:color w:val="000000" w:themeColor="text1"/>
          <w:sz w:val="24"/>
          <w:szCs w:val="24"/>
          <w:shd w:val="clear" w:color="auto" w:fill="F5F5F5"/>
        </w:rPr>
        <w:t xml:space="preserve"> was higher in the UK than in Japan. </w:t>
      </w:r>
      <w:r w:rsidR="00265597" w:rsidRPr="001C7B25">
        <w:rPr>
          <w:rFonts w:ascii="Times New Roman" w:hAnsi="Times New Roman" w:cs="Times New Roman"/>
          <w:color w:val="000000" w:themeColor="text1"/>
          <w:kern w:val="0"/>
          <w:sz w:val="24"/>
          <w:szCs w:val="24"/>
        </w:rPr>
        <w:t xml:space="preserve">In order to reduce the confounding effects of covariates, </w:t>
      </w:r>
      <w:r w:rsidR="0060291A" w:rsidRPr="001C7B25">
        <w:rPr>
          <w:rFonts w:ascii="Times New Roman" w:hAnsi="Times New Roman" w:cs="Times New Roman"/>
          <w:color w:val="000000" w:themeColor="text1"/>
          <w:sz w:val="24"/>
          <w:szCs w:val="24"/>
          <w:shd w:val="clear" w:color="auto" w:fill="F5F5F5"/>
        </w:rPr>
        <w:t>we used the Cox proportional hazards model for overall mortality and Fine and Gray proportional hazards models with competitive risk for liver-related and non</w:t>
      </w:r>
      <w:r w:rsidR="00864F08" w:rsidRPr="001C7B25">
        <w:rPr>
          <w:rFonts w:ascii="Times New Roman" w:hAnsi="Times New Roman" w:cs="Times New Roman"/>
          <w:color w:val="000000" w:themeColor="text1"/>
          <w:sz w:val="24"/>
          <w:szCs w:val="24"/>
          <w:shd w:val="clear" w:color="auto" w:fill="F5F5F5"/>
        </w:rPr>
        <w:t>–</w:t>
      </w:r>
      <w:r w:rsidR="0060291A" w:rsidRPr="001C7B25">
        <w:rPr>
          <w:rFonts w:ascii="Times New Roman" w:hAnsi="Times New Roman" w:cs="Times New Roman"/>
          <w:color w:val="000000" w:themeColor="text1"/>
          <w:sz w:val="24"/>
          <w:szCs w:val="24"/>
          <w:shd w:val="clear" w:color="auto" w:fill="F5F5F5"/>
        </w:rPr>
        <w:t>liver</w:t>
      </w:r>
      <w:r w:rsidR="00864F08" w:rsidRPr="001C7B25">
        <w:rPr>
          <w:rFonts w:ascii="Times New Roman" w:hAnsi="Times New Roman" w:cs="Times New Roman"/>
          <w:color w:val="000000" w:themeColor="text1"/>
          <w:sz w:val="24"/>
          <w:szCs w:val="24"/>
          <w:shd w:val="clear" w:color="auto" w:fill="F5F5F5"/>
        </w:rPr>
        <w:t>-</w:t>
      </w:r>
      <w:r w:rsidR="0060291A" w:rsidRPr="001C7B25">
        <w:rPr>
          <w:rFonts w:ascii="Times New Roman" w:hAnsi="Times New Roman" w:cs="Times New Roman"/>
          <w:color w:val="000000" w:themeColor="text1"/>
          <w:sz w:val="24"/>
          <w:szCs w:val="24"/>
          <w:shd w:val="clear" w:color="auto" w:fill="F5F5F5"/>
        </w:rPr>
        <w:t>related mortality in this study. In addition, we applied IPW to the Kaplan</w:t>
      </w:r>
      <w:r w:rsidR="0060291A" w:rsidRPr="001C7B25">
        <w:rPr>
          <w:rFonts w:ascii="Times New Roman" w:hAnsi="Times New Roman" w:cs="Times New Roman"/>
          <w:color w:val="000000" w:themeColor="text1"/>
          <w:kern w:val="0"/>
          <w:sz w:val="24"/>
          <w:szCs w:val="24"/>
        </w:rPr>
        <w:t xml:space="preserve">–Meier method </w:t>
      </w:r>
      <w:r w:rsidR="00110A52" w:rsidRPr="001C7B25">
        <w:rPr>
          <w:rFonts w:ascii="Times New Roman" w:hAnsi="Times New Roman" w:cs="Times New Roman"/>
          <w:color w:val="000000" w:themeColor="text1"/>
          <w:kern w:val="0"/>
          <w:sz w:val="24"/>
          <w:szCs w:val="24"/>
        </w:rPr>
        <w:t>for all-cause</w:t>
      </w:r>
      <w:r w:rsidR="00DE2754" w:rsidRPr="001C7B25">
        <w:rPr>
          <w:rFonts w:ascii="Times New Roman" w:hAnsi="Times New Roman" w:cs="Times New Roman"/>
          <w:color w:val="000000" w:themeColor="text1"/>
          <w:kern w:val="0"/>
          <w:sz w:val="24"/>
          <w:szCs w:val="24"/>
        </w:rPr>
        <w:t xml:space="preserve">, </w:t>
      </w:r>
      <w:r w:rsidR="00C35C9A" w:rsidRPr="001C7B25">
        <w:rPr>
          <w:rFonts w:ascii="Times New Roman" w:hAnsi="Times New Roman" w:cs="Times New Roman"/>
          <w:color w:val="000000" w:themeColor="text1"/>
          <w:kern w:val="0"/>
          <w:sz w:val="24"/>
          <w:szCs w:val="24"/>
        </w:rPr>
        <w:t>liver-related</w:t>
      </w:r>
      <w:r w:rsidR="00DE2754" w:rsidRPr="001C7B25">
        <w:rPr>
          <w:rFonts w:ascii="Times New Roman" w:hAnsi="Times New Roman" w:cs="Times New Roman"/>
          <w:color w:val="000000" w:themeColor="text1"/>
          <w:kern w:val="0"/>
          <w:sz w:val="24"/>
          <w:szCs w:val="24"/>
        </w:rPr>
        <w:t>,</w:t>
      </w:r>
      <w:r w:rsidR="00C35C9A" w:rsidRPr="001C7B25">
        <w:rPr>
          <w:rFonts w:ascii="Times New Roman" w:hAnsi="Times New Roman" w:cs="Times New Roman"/>
          <w:color w:val="000000" w:themeColor="text1"/>
          <w:kern w:val="0"/>
          <w:sz w:val="24"/>
          <w:szCs w:val="24"/>
        </w:rPr>
        <w:t xml:space="preserve"> </w:t>
      </w:r>
      <w:r w:rsidR="008479D3" w:rsidRPr="001C7B25">
        <w:rPr>
          <w:rFonts w:ascii="Times New Roman" w:hAnsi="Times New Roman" w:cs="Times New Roman"/>
          <w:color w:val="000000" w:themeColor="text1"/>
          <w:kern w:val="0"/>
          <w:sz w:val="24"/>
          <w:szCs w:val="24"/>
        </w:rPr>
        <w:t>and</w:t>
      </w:r>
      <w:r w:rsidR="00C35C9A" w:rsidRPr="001C7B25">
        <w:rPr>
          <w:rFonts w:ascii="Times New Roman" w:hAnsi="Times New Roman" w:cs="Times New Roman"/>
          <w:color w:val="000000" w:themeColor="text1"/>
          <w:kern w:val="0"/>
          <w:sz w:val="24"/>
          <w:szCs w:val="24"/>
        </w:rPr>
        <w:t xml:space="preserve"> non</w:t>
      </w:r>
      <w:r w:rsidR="00DE2754" w:rsidRPr="001C7B25">
        <w:rPr>
          <w:rFonts w:ascii="Times New Roman" w:hAnsi="Times New Roman" w:cs="Times New Roman"/>
          <w:color w:val="000000" w:themeColor="text1"/>
          <w:kern w:val="0"/>
          <w:sz w:val="24"/>
          <w:szCs w:val="24"/>
        </w:rPr>
        <w:t>–</w:t>
      </w:r>
      <w:r w:rsidR="00C35C9A" w:rsidRPr="001C7B25">
        <w:rPr>
          <w:rFonts w:ascii="Times New Roman" w:hAnsi="Times New Roman" w:cs="Times New Roman"/>
          <w:color w:val="000000" w:themeColor="text1"/>
          <w:kern w:val="0"/>
          <w:sz w:val="24"/>
          <w:szCs w:val="24"/>
        </w:rPr>
        <w:t>liver</w:t>
      </w:r>
      <w:r w:rsidR="00DE2754" w:rsidRPr="001C7B25">
        <w:rPr>
          <w:rFonts w:ascii="Times New Roman" w:hAnsi="Times New Roman" w:cs="Times New Roman"/>
          <w:color w:val="000000" w:themeColor="text1"/>
          <w:kern w:val="0"/>
          <w:sz w:val="24"/>
          <w:szCs w:val="24"/>
        </w:rPr>
        <w:t>-</w:t>
      </w:r>
      <w:r w:rsidR="00C35C9A" w:rsidRPr="001C7B25">
        <w:rPr>
          <w:rFonts w:ascii="Times New Roman" w:hAnsi="Times New Roman" w:cs="Times New Roman"/>
          <w:color w:val="000000" w:themeColor="text1"/>
          <w:kern w:val="0"/>
          <w:sz w:val="24"/>
          <w:szCs w:val="24"/>
        </w:rPr>
        <w:t>related</w:t>
      </w:r>
      <w:r w:rsidR="00110A52" w:rsidRPr="001C7B25">
        <w:rPr>
          <w:rFonts w:ascii="Times New Roman" w:hAnsi="Times New Roman" w:cs="Times New Roman"/>
          <w:color w:val="000000" w:themeColor="text1"/>
          <w:kern w:val="0"/>
          <w:sz w:val="24"/>
          <w:szCs w:val="24"/>
        </w:rPr>
        <w:t xml:space="preserve"> mortality</w:t>
      </w:r>
      <w:r w:rsidR="00DE2754" w:rsidRPr="001C7B25">
        <w:rPr>
          <w:rFonts w:ascii="Times New Roman" w:hAnsi="Times New Roman" w:cs="Times New Roman"/>
          <w:color w:val="000000" w:themeColor="text1"/>
          <w:kern w:val="0"/>
          <w:sz w:val="24"/>
          <w:szCs w:val="24"/>
        </w:rPr>
        <w:t>,</w:t>
      </w:r>
      <w:r w:rsidR="00110A52" w:rsidRPr="001C7B25">
        <w:rPr>
          <w:rFonts w:ascii="Times New Roman" w:hAnsi="Times New Roman" w:cs="Times New Roman"/>
          <w:color w:val="000000" w:themeColor="text1"/>
          <w:kern w:val="0"/>
          <w:sz w:val="24"/>
          <w:szCs w:val="24"/>
        </w:rPr>
        <w:t xml:space="preserve"> to adjust for potential imbalances </w:t>
      </w:r>
      <w:r w:rsidR="00DE2754" w:rsidRPr="001C7B25">
        <w:rPr>
          <w:rFonts w:ascii="Times New Roman" w:hAnsi="Times New Roman" w:cs="Times New Roman"/>
          <w:color w:val="000000" w:themeColor="text1"/>
          <w:kern w:val="0"/>
          <w:sz w:val="24"/>
          <w:szCs w:val="24"/>
        </w:rPr>
        <w:t xml:space="preserve">between the DAA </w:t>
      </w:r>
      <w:r w:rsidR="00110A52" w:rsidRPr="001C7B25">
        <w:rPr>
          <w:rFonts w:ascii="Times New Roman" w:hAnsi="Times New Roman" w:cs="Times New Roman"/>
          <w:color w:val="000000" w:themeColor="text1"/>
          <w:kern w:val="0"/>
          <w:sz w:val="24"/>
          <w:szCs w:val="24"/>
        </w:rPr>
        <w:t>and Non-</w:t>
      </w:r>
      <w:r w:rsidR="00DE2754" w:rsidRPr="001C7B25">
        <w:rPr>
          <w:rFonts w:ascii="Times New Roman" w:hAnsi="Times New Roman" w:cs="Times New Roman"/>
          <w:color w:val="000000" w:themeColor="text1"/>
          <w:kern w:val="0"/>
          <w:sz w:val="24"/>
          <w:szCs w:val="24"/>
        </w:rPr>
        <w:t xml:space="preserve">DAA </w:t>
      </w:r>
      <w:r w:rsidR="00110A52" w:rsidRPr="001C7B25">
        <w:rPr>
          <w:rFonts w:ascii="Times New Roman" w:hAnsi="Times New Roman" w:cs="Times New Roman"/>
          <w:color w:val="000000" w:themeColor="text1"/>
          <w:kern w:val="0"/>
          <w:sz w:val="24"/>
          <w:szCs w:val="24"/>
        </w:rPr>
        <w:t>groups</w:t>
      </w:r>
      <w:r w:rsidR="008479D3" w:rsidRPr="001C7B25">
        <w:rPr>
          <w:rFonts w:ascii="Times New Roman" w:hAnsi="Times New Roman" w:cs="Times New Roman"/>
          <w:color w:val="000000" w:themeColor="text1"/>
          <w:kern w:val="0"/>
          <w:sz w:val="24"/>
          <w:szCs w:val="24"/>
        </w:rPr>
        <w:t xml:space="preserve"> </w:t>
      </w:r>
      <w:r w:rsidR="008479D3" w:rsidRPr="001C7B25">
        <w:rPr>
          <w:rFonts w:ascii="Times New Roman" w:hAnsi="Times New Roman" w:cs="Times New Roman"/>
          <w:color w:val="000000" w:themeColor="text1"/>
          <w:sz w:val="24"/>
          <w:szCs w:val="24"/>
          <w:shd w:val="clear" w:color="auto" w:fill="F5F5F5"/>
        </w:rPr>
        <w:t>[</w:t>
      </w:r>
      <w:r w:rsidR="00910C54" w:rsidRPr="001C7B25">
        <w:rPr>
          <w:rFonts w:ascii="Times New Roman" w:hAnsi="Times New Roman" w:cs="Times New Roman"/>
          <w:color w:val="000000" w:themeColor="text1"/>
          <w:sz w:val="24"/>
          <w:szCs w:val="24"/>
          <w:shd w:val="clear" w:color="auto" w:fill="F5F5F5"/>
        </w:rPr>
        <w:t>19</w:t>
      </w:r>
      <w:r w:rsidR="008479D3" w:rsidRPr="001C7B25">
        <w:rPr>
          <w:rFonts w:ascii="Times New Roman" w:hAnsi="Times New Roman" w:cs="Times New Roman"/>
          <w:color w:val="000000" w:themeColor="text1"/>
          <w:sz w:val="24"/>
          <w:szCs w:val="24"/>
          <w:shd w:val="clear" w:color="auto" w:fill="F5F5F5"/>
        </w:rPr>
        <w:t>, 20]</w:t>
      </w:r>
      <w:r w:rsidR="00110A52" w:rsidRPr="001C7B25">
        <w:rPr>
          <w:rFonts w:ascii="Times New Roman" w:hAnsi="Times New Roman" w:cs="Times New Roman"/>
          <w:color w:val="000000" w:themeColor="text1"/>
          <w:kern w:val="0"/>
          <w:sz w:val="24"/>
          <w:szCs w:val="24"/>
        </w:rPr>
        <w:t xml:space="preserve">. </w:t>
      </w:r>
      <w:r w:rsidR="00DE2754" w:rsidRPr="001C7B25">
        <w:rPr>
          <w:rFonts w:ascii="Times New Roman" w:hAnsi="Times New Roman" w:cs="Times New Roman"/>
          <w:color w:val="000000" w:themeColor="text1"/>
          <w:sz w:val="24"/>
          <w:szCs w:val="24"/>
          <w:shd w:val="clear" w:color="auto" w:fill="F5F5F5"/>
        </w:rPr>
        <w:t>The</w:t>
      </w:r>
      <w:r w:rsidR="00110A52" w:rsidRPr="001C7B25">
        <w:rPr>
          <w:rFonts w:ascii="Times New Roman" w:hAnsi="Times New Roman" w:cs="Times New Roman"/>
          <w:color w:val="000000" w:themeColor="text1"/>
          <w:sz w:val="24"/>
          <w:szCs w:val="24"/>
          <w:shd w:val="clear" w:color="auto" w:fill="F5F5F5"/>
        </w:rPr>
        <w:t xml:space="preserve"> result</w:t>
      </w:r>
      <w:r w:rsidR="00DE2754" w:rsidRPr="001C7B25">
        <w:rPr>
          <w:rFonts w:ascii="Times New Roman" w:hAnsi="Times New Roman" w:cs="Times New Roman"/>
          <w:color w:val="000000" w:themeColor="text1"/>
          <w:sz w:val="24"/>
          <w:szCs w:val="24"/>
          <w:shd w:val="clear" w:color="auto" w:fill="F5F5F5"/>
        </w:rPr>
        <w:t>s of the analysis</w:t>
      </w:r>
      <w:r w:rsidR="00110A52" w:rsidRPr="001C7B25">
        <w:rPr>
          <w:rFonts w:ascii="Times New Roman" w:hAnsi="Times New Roman" w:cs="Times New Roman"/>
          <w:color w:val="000000" w:themeColor="text1"/>
          <w:sz w:val="24"/>
          <w:szCs w:val="24"/>
          <w:shd w:val="clear" w:color="auto" w:fill="F5F5F5"/>
        </w:rPr>
        <w:t xml:space="preserve"> </w:t>
      </w:r>
      <w:r w:rsidR="004A7B85" w:rsidRPr="001C7B25">
        <w:rPr>
          <w:rFonts w:ascii="Times New Roman" w:hAnsi="Times New Roman" w:cs="Times New Roman"/>
          <w:color w:val="000000" w:themeColor="text1"/>
          <w:sz w:val="24"/>
          <w:szCs w:val="24"/>
          <w:shd w:val="clear" w:color="auto" w:fill="F5F5F5"/>
        </w:rPr>
        <w:t>demonstrated</w:t>
      </w:r>
      <w:r w:rsidR="00110A52" w:rsidRPr="001C7B25">
        <w:rPr>
          <w:rFonts w:ascii="Times New Roman" w:hAnsi="Times New Roman" w:cs="Times New Roman"/>
          <w:color w:val="000000" w:themeColor="text1"/>
          <w:sz w:val="24"/>
          <w:szCs w:val="24"/>
          <w:shd w:val="clear" w:color="auto" w:fill="F5F5F5"/>
        </w:rPr>
        <w:t xml:space="preserve"> that the </w:t>
      </w:r>
      <w:r w:rsidR="00DE2754" w:rsidRPr="001C7B25">
        <w:rPr>
          <w:rFonts w:ascii="Times New Roman" w:hAnsi="Times New Roman" w:cs="Times New Roman"/>
          <w:color w:val="000000" w:themeColor="text1"/>
          <w:sz w:val="24"/>
          <w:szCs w:val="24"/>
          <w:shd w:val="clear" w:color="auto" w:fill="F5F5F5"/>
        </w:rPr>
        <w:t xml:space="preserve">DAA </w:t>
      </w:r>
      <w:r w:rsidR="00110A52" w:rsidRPr="001C7B25">
        <w:rPr>
          <w:rFonts w:ascii="Times New Roman" w:hAnsi="Times New Roman" w:cs="Times New Roman"/>
          <w:color w:val="000000" w:themeColor="text1"/>
          <w:sz w:val="24"/>
          <w:szCs w:val="24"/>
          <w:shd w:val="clear" w:color="auto" w:fill="F5F5F5"/>
        </w:rPr>
        <w:t>group survived longer than the Non-</w:t>
      </w:r>
      <w:r w:rsidR="00DE2754" w:rsidRPr="001C7B25">
        <w:rPr>
          <w:rFonts w:ascii="Times New Roman" w:hAnsi="Times New Roman" w:cs="Times New Roman"/>
          <w:color w:val="000000" w:themeColor="text1"/>
          <w:sz w:val="24"/>
          <w:szCs w:val="24"/>
          <w:shd w:val="clear" w:color="auto" w:fill="F5F5F5"/>
        </w:rPr>
        <w:t xml:space="preserve">DAA </w:t>
      </w:r>
      <w:r w:rsidR="00110A52" w:rsidRPr="001C7B25">
        <w:rPr>
          <w:rFonts w:ascii="Times New Roman" w:hAnsi="Times New Roman" w:cs="Times New Roman"/>
          <w:color w:val="000000" w:themeColor="text1"/>
          <w:sz w:val="24"/>
          <w:szCs w:val="24"/>
          <w:shd w:val="clear" w:color="auto" w:fill="F5F5F5"/>
        </w:rPr>
        <w:t xml:space="preserve">group despite </w:t>
      </w:r>
      <w:r w:rsidR="00DE2754" w:rsidRPr="001C7B25">
        <w:rPr>
          <w:rFonts w:ascii="Times New Roman" w:hAnsi="Times New Roman" w:cs="Times New Roman"/>
          <w:color w:val="000000" w:themeColor="text1"/>
          <w:sz w:val="24"/>
          <w:szCs w:val="24"/>
          <w:shd w:val="clear" w:color="auto" w:fill="F5F5F5"/>
        </w:rPr>
        <w:t xml:space="preserve">their </w:t>
      </w:r>
      <w:r w:rsidR="00110A52" w:rsidRPr="001C7B25">
        <w:rPr>
          <w:rFonts w:ascii="Times New Roman" w:hAnsi="Times New Roman" w:cs="Times New Roman"/>
          <w:color w:val="000000" w:themeColor="text1"/>
          <w:sz w:val="24"/>
          <w:szCs w:val="24"/>
          <w:shd w:val="clear" w:color="auto" w:fill="F5F5F5"/>
        </w:rPr>
        <w:t xml:space="preserve">different background factors. </w:t>
      </w:r>
      <w:r w:rsidR="00922229" w:rsidRPr="001C7B25">
        <w:rPr>
          <w:rFonts w:ascii="Times New Roman" w:hAnsi="Times New Roman" w:cs="Times New Roman"/>
          <w:color w:val="000000" w:themeColor="text1"/>
          <w:sz w:val="24"/>
          <w:szCs w:val="24"/>
          <w:shd w:val="clear" w:color="auto" w:fill="F5F5F5"/>
        </w:rPr>
        <w:t>Another</w:t>
      </w:r>
      <w:r w:rsidR="00110A52" w:rsidRPr="001C7B25">
        <w:rPr>
          <w:rFonts w:ascii="Times New Roman" w:hAnsi="Times New Roman" w:cs="Times New Roman"/>
          <w:color w:val="000000" w:themeColor="text1"/>
          <w:sz w:val="24"/>
          <w:szCs w:val="24"/>
          <w:shd w:val="clear" w:color="auto" w:fill="F5F5F5"/>
        </w:rPr>
        <w:t xml:space="preserve"> limitation is </w:t>
      </w:r>
      <w:r w:rsidR="00194EA4" w:rsidRPr="001C7B25">
        <w:rPr>
          <w:rFonts w:ascii="Times New Roman" w:hAnsi="Times New Roman" w:cs="Times New Roman"/>
          <w:color w:val="000000" w:themeColor="text1"/>
          <w:sz w:val="24"/>
          <w:szCs w:val="24"/>
          <w:shd w:val="clear" w:color="auto" w:fill="F5F5F5"/>
        </w:rPr>
        <w:t xml:space="preserve">the presence of </w:t>
      </w:r>
      <w:r w:rsidR="00110A52" w:rsidRPr="001C7B25">
        <w:rPr>
          <w:rFonts w:ascii="Times New Roman" w:hAnsi="Times New Roman" w:cs="Times New Roman"/>
          <w:color w:val="000000" w:themeColor="text1"/>
          <w:sz w:val="24"/>
          <w:szCs w:val="24"/>
          <w:shd w:val="clear" w:color="auto" w:fill="F5F5F5"/>
        </w:rPr>
        <w:t>rac</w:t>
      </w:r>
      <w:r w:rsidR="00194EA4" w:rsidRPr="001C7B25">
        <w:rPr>
          <w:rFonts w:ascii="Times New Roman" w:hAnsi="Times New Roman" w:cs="Times New Roman"/>
          <w:color w:val="000000" w:themeColor="text1"/>
          <w:sz w:val="24"/>
          <w:szCs w:val="24"/>
          <w:shd w:val="clear" w:color="auto" w:fill="F5F5F5"/>
        </w:rPr>
        <w:t>ial</w:t>
      </w:r>
      <w:r w:rsidR="00110A52" w:rsidRPr="001C7B25">
        <w:rPr>
          <w:rFonts w:ascii="Times New Roman" w:hAnsi="Times New Roman" w:cs="Times New Roman"/>
          <w:color w:val="000000" w:themeColor="text1"/>
          <w:sz w:val="24"/>
          <w:szCs w:val="24"/>
          <w:shd w:val="clear" w:color="auto" w:fill="F5F5F5"/>
        </w:rPr>
        <w:t xml:space="preserve"> differences</w:t>
      </w:r>
      <w:r w:rsidR="00194EA4" w:rsidRPr="001C7B25">
        <w:rPr>
          <w:rFonts w:ascii="Times New Roman" w:hAnsi="Times New Roman" w:cs="Times New Roman"/>
          <w:color w:val="000000" w:themeColor="text1"/>
          <w:sz w:val="24"/>
          <w:szCs w:val="24"/>
          <w:shd w:val="clear" w:color="auto" w:fill="F5F5F5"/>
        </w:rPr>
        <w:t xml:space="preserve"> such as</w:t>
      </w:r>
      <w:r w:rsidR="00AC1ECE" w:rsidRPr="001C7B25">
        <w:rPr>
          <w:rFonts w:ascii="Times New Roman" w:hAnsi="Times New Roman" w:cs="Times New Roman"/>
          <w:color w:val="000000" w:themeColor="text1"/>
          <w:sz w:val="24"/>
          <w:szCs w:val="24"/>
          <w:shd w:val="clear" w:color="auto" w:fill="F5F5F5"/>
        </w:rPr>
        <w:t xml:space="preserve"> </w:t>
      </w:r>
      <w:r w:rsidR="00910C54" w:rsidRPr="001C7B25">
        <w:rPr>
          <w:rFonts w:ascii="Times New Roman" w:hAnsi="Times New Roman" w:cs="Times New Roman"/>
          <w:color w:val="000000" w:themeColor="text1"/>
          <w:sz w:val="24"/>
          <w:szCs w:val="24"/>
        </w:rPr>
        <w:t>underlying diseases</w:t>
      </w:r>
      <w:r w:rsidR="00AC1ECE" w:rsidRPr="001C7B25">
        <w:rPr>
          <w:rFonts w:ascii="Times New Roman" w:hAnsi="Times New Roman" w:cs="Times New Roman"/>
          <w:color w:val="000000" w:themeColor="text1"/>
          <w:sz w:val="24"/>
          <w:szCs w:val="24"/>
          <w:shd w:val="clear" w:color="auto" w:fill="F5F5F5"/>
        </w:rPr>
        <w:t xml:space="preserve"> </w:t>
      </w:r>
      <w:r w:rsidR="00194EA4" w:rsidRPr="001C7B25">
        <w:rPr>
          <w:rFonts w:ascii="Times New Roman" w:hAnsi="Times New Roman" w:cs="Times New Roman"/>
          <w:color w:val="000000" w:themeColor="text1"/>
          <w:sz w:val="24"/>
          <w:szCs w:val="24"/>
          <w:shd w:val="clear" w:color="auto" w:fill="F5F5F5"/>
        </w:rPr>
        <w:t xml:space="preserve">and </w:t>
      </w:r>
      <w:r w:rsidR="00AC1ECE" w:rsidRPr="001C7B25">
        <w:rPr>
          <w:rFonts w:ascii="Times New Roman" w:hAnsi="Times New Roman" w:cs="Times New Roman"/>
          <w:color w:val="000000" w:themeColor="text1"/>
          <w:sz w:val="24"/>
          <w:szCs w:val="24"/>
          <w:shd w:val="clear" w:color="auto" w:fill="F5F5F5"/>
        </w:rPr>
        <w:t xml:space="preserve">life expectancy. </w:t>
      </w:r>
      <w:r w:rsidR="00194EA4" w:rsidRPr="001C7B25">
        <w:rPr>
          <w:rFonts w:ascii="Times New Roman" w:hAnsi="Times New Roman" w:cs="Times New Roman"/>
          <w:color w:val="000000" w:themeColor="text1"/>
          <w:sz w:val="24"/>
          <w:szCs w:val="24"/>
          <w:shd w:val="clear" w:color="auto" w:fill="F5F5F5"/>
        </w:rPr>
        <w:t>The</w:t>
      </w:r>
      <w:r w:rsidR="00922229" w:rsidRPr="001C7B25">
        <w:rPr>
          <w:rFonts w:ascii="Times New Roman" w:hAnsi="Times New Roman" w:cs="Times New Roman"/>
          <w:color w:val="000000" w:themeColor="text1"/>
          <w:sz w:val="24"/>
          <w:szCs w:val="24"/>
          <w:shd w:val="clear" w:color="auto" w:fill="F5F5F5"/>
        </w:rPr>
        <w:t xml:space="preserve"> effects of these differences were not clear in this study</w:t>
      </w:r>
      <w:r w:rsidR="00AC1ECE" w:rsidRPr="001C7B25">
        <w:rPr>
          <w:rFonts w:ascii="Times New Roman" w:hAnsi="Times New Roman" w:cs="Times New Roman"/>
          <w:color w:val="000000" w:themeColor="text1"/>
          <w:sz w:val="24"/>
          <w:szCs w:val="24"/>
          <w:shd w:val="clear" w:color="auto" w:fill="F5F5F5"/>
        </w:rPr>
        <w:t>.</w:t>
      </w:r>
      <w:r w:rsidR="00922229" w:rsidRPr="001C7B25">
        <w:rPr>
          <w:rFonts w:ascii="Times New Roman" w:hAnsi="Times New Roman" w:cs="Times New Roman"/>
          <w:color w:val="000000" w:themeColor="text1"/>
          <w:sz w:val="24"/>
          <w:szCs w:val="24"/>
          <w:shd w:val="clear" w:color="auto" w:fill="F5F5F5"/>
        </w:rPr>
        <w:t xml:space="preserve"> </w:t>
      </w:r>
    </w:p>
    <w:p w14:paraId="7D9A3D43" w14:textId="1D4661BA" w:rsidR="004732D4" w:rsidRPr="001C7B25" w:rsidRDefault="00AC1ECE" w:rsidP="00FF5969">
      <w:pPr>
        <w:autoSpaceDE w:val="0"/>
        <w:autoSpaceDN w:val="0"/>
        <w:adjustRightInd w:val="0"/>
        <w:spacing w:line="480" w:lineRule="auto"/>
        <w:jc w:val="left"/>
        <w:rPr>
          <w:rFonts w:ascii="Times New Roman" w:hAnsi="Times New Roman" w:cs="Times New Roman"/>
          <w:color w:val="000000" w:themeColor="text1"/>
          <w:sz w:val="24"/>
          <w:szCs w:val="24"/>
          <w:shd w:val="clear" w:color="auto" w:fill="F5F5F5"/>
        </w:rPr>
      </w:pPr>
      <w:r w:rsidRPr="001C7B25">
        <w:rPr>
          <w:rFonts w:ascii="Times New Roman" w:hAnsi="Times New Roman" w:cs="Times New Roman"/>
          <w:color w:val="000000" w:themeColor="text1"/>
          <w:sz w:val="24"/>
          <w:szCs w:val="24"/>
          <w:shd w:val="clear" w:color="auto" w:fill="F5F5F5"/>
        </w:rPr>
        <w:tab/>
      </w:r>
      <w:r w:rsidR="00AE14CD" w:rsidRPr="001C7B25">
        <w:rPr>
          <w:rFonts w:ascii="Times New Roman" w:hAnsi="Times New Roman" w:cs="Times New Roman"/>
          <w:color w:val="000000" w:themeColor="text1"/>
          <w:sz w:val="24"/>
          <w:szCs w:val="24"/>
          <w:shd w:val="clear" w:color="auto" w:fill="F5F5F5"/>
        </w:rPr>
        <w:t xml:space="preserve">There were </w:t>
      </w:r>
      <w:r w:rsidR="002C0461" w:rsidRPr="001C7B25">
        <w:rPr>
          <w:rFonts w:ascii="Times New Roman" w:hAnsi="Times New Roman" w:cs="Times New Roman"/>
          <w:color w:val="000000" w:themeColor="text1"/>
          <w:sz w:val="24"/>
          <w:szCs w:val="24"/>
          <w:shd w:val="clear" w:color="auto" w:fill="F5F5F5"/>
        </w:rPr>
        <w:t xml:space="preserve">some </w:t>
      </w:r>
      <w:r w:rsidR="00AE14CD" w:rsidRPr="001C7B25">
        <w:rPr>
          <w:rFonts w:ascii="Times New Roman" w:hAnsi="Times New Roman" w:cs="Times New Roman"/>
          <w:color w:val="000000" w:themeColor="text1"/>
          <w:sz w:val="24"/>
          <w:szCs w:val="24"/>
          <w:shd w:val="clear" w:color="auto" w:fill="F5F5F5"/>
        </w:rPr>
        <w:t xml:space="preserve">patients with compensated cirrhosis </w:t>
      </w:r>
      <w:r w:rsidR="002C0461" w:rsidRPr="001C7B25">
        <w:rPr>
          <w:rFonts w:ascii="Times New Roman" w:hAnsi="Times New Roman" w:cs="Times New Roman"/>
          <w:color w:val="000000" w:themeColor="text1"/>
          <w:sz w:val="24"/>
          <w:szCs w:val="24"/>
          <w:shd w:val="clear" w:color="auto" w:fill="F5F5F5"/>
        </w:rPr>
        <w:t xml:space="preserve">in both groups. </w:t>
      </w:r>
      <w:r w:rsidR="00194EA4" w:rsidRPr="001C7B25">
        <w:rPr>
          <w:rFonts w:ascii="Times New Roman" w:hAnsi="Times New Roman" w:cs="Times New Roman"/>
          <w:color w:val="000000" w:themeColor="text1"/>
          <w:sz w:val="24"/>
          <w:szCs w:val="24"/>
          <w:shd w:val="clear" w:color="auto" w:fill="F5F5F5"/>
        </w:rPr>
        <w:t xml:space="preserve">Specifically, </w:t>
      </w:r>
      <w:r w:rsidR="002C0461" w:rsidRPr="001C7B25">
        <w:rPr>
          <w:rFonts w:ascii="Times New Roman" w:hAnsi="Times New Roman" w:cs="Times New Roman"/>
          <w:color w:val="000000" w:themeColor="text1"/>
          <w:sz w:val="24"/>
          <w:szCs w:val="24"/>
          <w:shd w:val="clear" w:color="auto" w:fill="F5F5F5"/>
        </w:rPr>
        <w:t>14.1%</w:t>
      </w:r>
      <w:r w:rsidR="00194EA4" w:rsidRPr="001C7B25">
        <w:rPr>
          <w:rFonts w:ascii="Times New Roman" w:hAnsi="Times New Roman" w:cs="Times New Roman"/>
          <w:color w:val="000000" w:themeColor="text1"/>
          <w:sz w:val="24"/>
          <w:szCs w:val="24"/>
          <w:shd w:val="clear" w:color="auto" w:fill="F5F5F5"/>
        </w:rPr>
        <w:t xml:space="preserve"> of</w:t>
      </w:r>
      <w:r w:rsidR="002C0461" w:rsidRPr="001C7B25">
        <w:rPr>
          <w:rFonts w:ascii="Times New Roman" w:hAnsi="Times New Roman" w:cs="Times New Roman"/>
          <w:color w:val="000000" w:themeColor="text1"/>
          <w:sz w:val="24"/>
          <w:szCs w:val="24"/>
          <w:shd w:val="clear" w:color="auto" w:fill="F5F5F5"/>
        </w:rPr>
        <w:t xml:space="preserve"> patients in the UK</w:t>
      </w:r>
      <w:r w:rsidR="004A7B85" w:rsidRPr="001C7B25">
        <w:rPr>
          <w:rFonts w:ascii="Times New Roman" w:hAnsi="Times New Roman" w:cs="Times New Roman"/>
          <w:color w:val="000000" w:themeColor="text1"/>
          <w:sz w:val="24"/>
          <w:szCs w:val="24"/>
          <w:shd w:val="clear" w:color="auto" w:fill="F5F5F5"/>
        </w:rPr>
        <w:t xml:space="preserve"> (</w:t>
      </w:r>
      <w:r w:rsidR="00194EA4" w:rsidRPr="001C7B25">
        <w:rPr>
          <w:rFonts w:ascii="Times New Roman" w:hAnsi="Times New Roman" w:cs="Times New Roman"/>
          <w:color w:val="000000" w:themeColor="text1"/>
          <w:sz w:val="24"/>
          <w:szCs w:val="24"/>
          <w:shd w:val="clear" w:color="auto" w:fill="F5F5F5"/>
        </w:rPr>
        <w:t xml:space="preserve">DAA </w:t>
      </w:r>
      <w:r w:rsidR="004A7B85" w:rsidRPr="001C7B25">
        <w:rPr>
          <w:rFonts w:ascii="Times New Roman" w:hAnsi="Times New Roman" w:cs="Times New Roman"/>
          <w:color w:val="000000" w:themeColor="text1"/>
          <w:sz w:val="24"/>
          <w:szCs w:val="24"/>
          <w:shd w:val="clear" w:color="auto" w:fill="F5F5F5"/>
        </w:rPr>
        <w:t>group)</w:t>
      </w:r>
      <w:r w:rsidR="002C0461" w:rsidRPr="001C7B25">
        <w:rPr>
          <w:rFonts w:ascii="Times New Roman" w:hAnsi="Times New Roman" w:cs="Times New Roman"/>
          <w:color w:val="000000" w:themeColor="text1"/>
          <w:sz w:val="24"/>
          <w:szCs w:val="24"/>
          <w:shd w:val="clear" w:color="auto" w:fill="F5F5F5"/>
        </w:rPr>
        <w:t xml:space="preserve"> and 14.7% </w:t>
      </w:r>
      <w:r w:rsidR="00194EA4" w:rsidRPr="001C7B25">
        <w:rPr>
          <w:rFonts w:ascii="Times New Roman" w:hAnsi="Times New Roman" w:cs="Times New Roman"/>
          <w:color w:val="000000" w:themeColor="text1"/>
          <w:sz w:val="24"/>
          <w:szCs w:val="24"/>
          <w:shd w:val="clear" w:color="auto" w:fill="F5F5F5"/>
        </w:rPr>
        <w:t xml:space="preserve">of </w:t>
      </w:r>
      <w:r w:rsidR="002C0461" w:rsidRPr="001C7B25">
        <w:rPr>
          <w:rFonts w:ascii="Times New Roman" w:hAnsi="Times New Roman" w:cs="Times New Roman"/>
          <w:color w:val="000000" w:themeColor="text1"/>
          <w:sz w:val="24"/>
          <w:szCs w:val="24"/>
          <w:shd w:val="clear" w:color="auto" w:fill="F5F5F5"/>
        </w:rPr>
        <w:t>patients</w:t>
      </w:r>
      <w:r w:rsidR="004A7B85" w:rsidRPr="001C7B25">
        <w:rPr>
          <w:rFonts w:ascii="Times New Roman" w:hAnsi="Times New Roman" w:cs="Times New Roman"/>
          <w:color w:val="000000" w:themeColor="text1"/>
          <w:sz w:val="24"/>
          <w:szCs w:val="24"/>
          <w:shd w:val="clear" w:color="auto" w:fill="F5F5F5"/>
        </w:rPr>
        <w:t xml:space="preserve"> in Japan (Non-</w:t>
      </w:r>
      <w:r w:rsidR="00194EA4" w:rsidRPr="001C7B25">
        <w:rPr>
          <w:rFonts w:ascii="Times New Roman" w:hAnsi="Times New Roman" w:cs="Times New Roman"/>
          <w:color w:val="000000" w:themeColor="text1"/>
          <w:sz w:val="24"/>
          <w:szCs w:val="24"/>
          <w:shd w:val="clear" w:color="auto" w:fill="F5F5F5"/>
        </w:rPr>
        <w:t xml:space="preserve">DAA </w:t>
      </w:r>
      <w:r w:rsidR="004A7B85" w:rsidRPr="001C7B25">
        <w:rPr>
          <w:rFonts w:ascii="Times New Roman" w:hAnsi="Times New Roman" w:cs="Times New Roman"/>
          <w:color w:val="000000" w:themeColor="text1"/>
          <w:sz w:val="24"/>
          <w:szCs w:val="24"/>
          <w:shd w:val="clear" w:color="auto" w:fill="F5F5F5"/>
        </w:rPr>
        <w:t>group)</w:t>
      </w:r>
      <w:r w:rsidR="002C0461" w:rsidRPr="001C7B25">
        <w:rPr>
          <w:rFonts w:ascii="Times New Roman" w:hAnsi="Times New Roman" w:cs="Times New Roman"/>
          <w:color w:val="000000" w:themeColor="text1"/>
          <w:sz w:val="24"/>
          <w:szCs w:val="24"/>
          <w:shd w:val="clear" w:color="auto" w:fill="F5F5F5"/>
        </w:rPr>
        <w:t xml:space="preserve"> were C</w:t>
      </w:r>
      <w:r w:rsidR="00F243D9" w:rsidRPr="001C7B25">
        <w:rPr>
          <w:rFonts w:ascii="Times New Roman" w:hAnsi="Times New Roman" w:cs="Times New Roman"/>
          <w:color w:val="000000" w:themeColor="text1"/>
          <w:sz w:val="24"/>
          <w:szCs w:val="24"/>
          <w:shd w:val="clear" w:color="auto" w:fill="F5F5F5"/>
        </w:rPr>
        <w:t>hild-Pugh class</w:t>
      </w:r>
      <w:r w:rsidR="002C0461" w:rsidRPr="001C7B25">
        <w:rPr>
          <w:rFonts w:ascii="Times New Roman" w:hAnsi="Times New Roman" w:cs="Times New Roman"/>
          <w:color w:val="000000" w:themeColor="text1"/>
          <w:sz w:val="24"/>
          <w:szCs w:val="24"/>
          <w:shd w:val="clear" w:color="auto" w:fill="F5F5F5"/>
        </w:rPr>
        <w:t xml:space="preserve"> A at baseline, but had past decompensation events. </w:t>
      </w:r>
    </w:p>
    <w:p w14:paraId="781300D7" w14:textId="17CCB472" w:rsidR="00AB4774" w:rsidRPr="001C7B25" w:rsidRDefault="002C0461" w:rsidP="004A7B85">
      <w:pPr>
        <w:autoSpaceDE w:val="0"/>
        <w:autoSpaceDN w:val="0"/>
        <w:adjustRightInd w:val="0"/>
        <w:spacing w:line="480" w:lineRule="auto"/>
        <w:jc w:val="left"/>
        <w:rPr>
          <w:rFonts w:ascii="Times New Roman" w:hAnsi="Times New Roman" w:cs="Times New Roman"/>
          <w:color w:val="000000" w:themeColor="text1"/>
          <w:sz w:val="24"/>
          <w:szCs w:val="24"/>
          <w:shd w:val="clear" w:color="auto" w:fill="F5F5F5"/>
        </w:rPr>
      </w:pPr>
      <w:r w:rsidRPr="001C7B25">
        <w:rPr>
          <w:rFonts w:ascii="Times New Roman" w:hAnsi="Times New Roman" w:cs="Times New Roman"/>
          <w:color w:val="000000" w:themeColor="text1"/>
          <w:sz w:val="24"/>
          <w:szCs w:val="24"/>
          <w:shd w:val="clear" w:color="auto" w:fill="F5F5F5"/>
        </w:rPr>
        <w:tab/>
        <w:t xml:space="preserve">In conclusion, </w:t>
      </w:r>
      <w:r w:rsidR="004A7B85" w:rsidRPr="001C7B25">
        <w:rPr>
          <w:rFonts w:ascii="Times New Roman" w:hAnsi="Times New Roman" w:cs="Times New Roman"/>
          <w:color w:val="000000" w:themeColor="text1"/>
          <w:sz w:val="24"/>
          <w:szCs w:val="24"/>
          <w:shd w:val="clear" w:color="auto" w:fill="F5F5F5"/>
        </w:rPr>
        <w:t xml:space="preserve">SVR obtained by </w:t>
      </w:r>
      <w:r w:rsidR="0086453E" w:rsidRPr="001C7B25">
        <w:rPr>
          <w:rFonts w:ascii="Times New Roman" w:hAnsi="Times New Roman" w:cs="Times New Roman"/>
          <w:color w:val="000000" w:themeColor="text1"/>
          <w:sz w:val="24"/>
          <w:szCs w:val="24"/>
          <w:shd w:val="clear" w:color="auto" w:fill="F5F5F5"/>
        </w:rPr>
        <w:t xml:space="preserve">DAA therapy for DC prolongs survival. Moreover, this effect </w:t>
      </w:r>
      <w:r w:rsidR="00194EA4" w:rsidRPr="001C7B25">
        <w:rPr>
          <w:rFonts w:ascii="Times New Roman" w:hAnsi="Times New Roman" w:cs="Times New Roman"/>
          <w:color w:val="000000" w:themeColor="text1"/>
          <w:sz w:val="24"/>
          <w:szCs w:val="24"/>
          <w:shd w:val="clear" w:color="auto" w:fill="F5F5F5"/>
        </w:rPr>
        <w:t>applies</w:t>
      </w:r>
      <w:r w:rsidR="0086453E" w:rsidRPr="001C7B25">
        <w:rPr>
          <w:rFonts w:ascii="Times New Roman" w:hAnsi="Times New Roman" w:cs="Times New Roman"/>
          <w:color w:val="000000" w:themeColor="text1"/>
          <w:sz w:val="24"/>
          <w:szCs w:val="24"/>
          <w:shd w:val="clear" w:color="auto" w:fill="F5F5F5"/>
        </w:rPr>
        <w:t xml:space="preserve"> not only </w:t>
      </w:r>
      <w:r w:rsidR="00194EA4" w:rsidRPr="001C7B25">
        <w:rPr>
          <w:rFonts w:ascii="Times New Roman" w:hAnsi="Times New Roman" w:cs="Times New Roman"/>
          <w:color w:val="000000" w:themeColor="text1"/>
          <w:sz w:val="24"/>
          <w:szCs w:val="24"/>
          <w:shd w:val="clear" w:color="auto" w:fill="F5F5F5"/>
        </w:rPr>
        <w:t xml:space="preserve">to </w:t>
      </w:r>
      <w:r w:rsidR="0086453E" w:rsidRPr="001C7B25">
        <w:rPr>
          <w:rFonts w:ascii="Times New Roman" w:hAnsi="Times New Roman" w:cs="Times New Roman"/>
          <w:color w:val="000000" w:themeColor="text1"/>
          <w:sz w:val="24"/>
          <w:szCs w:val="24"/>
          <w:shd w:val="clear" w:color="auto" w:fill="F5F5F5"/>
        </w:rPr>
        <w:t xml:space="preserve">liver-related mortality but also </w:t>
      </w:r>
      <w:r w:rsidR="00194EA4" w:rsidRPr="001C7B25">
        <w:rPr>
          <w:rFonts w:ascii="Times New Roman" w:hAnsi="Times New Roman" w:cs="Times New Roman"/>
          <w:color w:val="000000" w:themeColor="text1"/>
          <w:sz w:val="24"/>
          <w:szCs w:val="24"/>
          <w:shd w:val="clear" w:color="auto" w:fill="F5F5F5"/>
        </w:rPr>
        <w:t xml:space="preserve">to </w:t>
      </w:r>
      <w:r w:rsidR="00EF7C51" w:rsidRPr="001C7B25">
        <w:rPr>
          <w:rFonts w:ascii="Times New Roman" w:hAnsi="Times New Roman" w:cs="Times New Roman"/>
          <w:color w:val="000000" w:themeColor="text1"/>
          <w:sz w:val="24"/>
          <w:szCs w:val="24"/>
          <w:shd w:val="clear" w:color="auto" w:fill="F5F5F5"/>
        </w:rPr>
        <w:t xml:space="preserve">non–liver-related </w:t>
      </w:r>
      <w:r w:rsidR="0086453E" w:rsidRPr="001C7B25">
        <w:rPr>
          <w:rFonts w:ascii="Times New Roman" w:hAnsi="Times New Roman" w:cs="Times New Roman"/>
          <w:color w:val="000000" w:themeColor="text1"/>
          <w:sz w:val="24"/>
          <w:szCs w:val="24"/>
          <w:shd w:val="clear" w:color="auto" w:fill="F5F5F5"/>
        </w:rPr>
        <w:t>mortality.</w:t>
      </w:r>
    </w:p>
    <w:p w14:paraId="5A30B74D" w14:textId="77777777" w:rsidR="00646552" w:rsidRPr="001C7B25" w:rsidRDefault="00646552">
      <w:pPr>
        <w:widowControl/>
        <w:jc w:val="left"/>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rPr>
        <w:br w:type="page"/>
      </w:r>
    </w:p>
    <w:p w14:paraId="6D8DAA53" w14:textId="07849FC5" w:rsidR="00646552" w:rsidRPr="001C7B25" w:rsidRDefault="00646552" w:rsidP="0061517E">
      <w:pPr>
        <w:spacing w:line="480" w:lineRule="auto"/>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rPr>
        <w:t>References</w:t>
      </w:r>
    </w:p>
    <w:p w14:paraId="00990E41" w14:textId="088ACAD6" w:rsidR="00CF3CB1" w:rsidRPr="001C7B25" w:rsidRDefault="00CF3CB1" w:rsidP="0061517E">
      <w:pPr>
        <w:pStyle w:val="ListParagraph"/>
        <w:numPr>
          <w:ilvl w:val="0"/>
          <w:numId w:val="1"/>
        </w:numPr>
        <w:spacing w:line="480" w:lineRule="auto"/>
        <w:ind w:leftChars="0"/>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shd w:val="clear" w:color="auto" w:fill="FFFFFF"/>
        </w:rPr>
        <w:t>Westbrook RH, Dusheiko G. Natural history of hepatitis C. J Hepatol. 2014 Nov;</w:t>
      </w:r>
      <w:r w:rsidR="00910C54" w:rsidRPr="001C7B25">
        <w:rPr>
          <w:rFonts w:ascii="Times New Roman" w:hAnsi="Times New Roman" w:cs="Times New Roman"/>
          <w:color w:val="000000" w:themeColor="text1"/>
          <w:sz w:val="24"/>
          <w:szCs w:val="24"/>
          <w:shd w:val="clear" w:color="auto" w:fill="FFFFFF"/>
        </w:rPr>
        <w:t xml:space="preserve"> </w:t>
      </w:r>
      <w:r w:rsidRPr="001C7B25">
        <w:rPr>
          <w:rFonts w:ascii="Times New Roman" w:hAnsi="Times New Roman" w:cs="Times New Roman"/>
          <w:color w:val="000000" w:themeColor="text1"/>
          <w:sz w:val="24"/>
          <w:szCs w:val="24"/>
          <w:shd w:val="clear" w:color="auto" w:fill="FFFFFF"/>
        </w:rPr>
        <w:t>61(1 Suppl):S58-68.</w:t>
      </w:r>
    </w:p>
    <w:p w14:paraId="5DBAEB22" w14:textId="36767C79" w:rsidR="00CF3CB1" w:rsidRPr="001C7B25" w:rsidRDefault="00CF3CB1" w:rsidP="0061517E">
      <w:pPr>
        <w:pStyle w:val="ListParagraph"/>
        <w:numPr>
          <w:ilvl w:val="0"/>
          <w:numId w:val="1"/>
        </w:numPr>
        <w:spacing w:line="480" w:lineRule="auto"/>
        <w:ind w:leftChars="0"/>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shd w:val="clear" w:color="auto" w:fill="FFFFFF"/>
        </w:rPr>
        <w:t>McDonald SA, Innes HA, Aspinall E, Hayes PC, Alavi M, Valerio H, Goldberg DJ, Hutchinson SJ. Prognosis of 1169 hepatitis C chronically infected patients with decompensated cirrhosis in the predirect-acting antiviral era. J Viral Hepat. 2017 Apr;</w:t>
      </w:r>
      <w:r w:rsidR="002A0A34" w:rsidRPr="001C7B25">
        <w:rPr>
          <w:rFonts w:ascii="Times New Roman" w:hAnsi="Times New Roman" w:cs="Times New Roman"/>
          <w:color w:val="000000" w:themeColor="text1"/>
          <w:sz w:val="24"/>
          <w:szCs w:val="24"/>
          <w:shd w:val="clear" w:color="auto" w:fill="FFFFFF"/>
        </w:rPr>
        <w:t xml:space="preserve"> </w:t>
      </w:r>
      <w:r w:rsidRPr="001C7B25">
        <w:rPr>
          <w:rFonts w:ascii="Times New Roman" w:hAnsi="Times New Roman" w:cs="Times New Roman"/>
          <w:color w:val="000000" w:themeColor="text1"/>
          <w:sz w:val="24"/>
          <w:szCs w:val="24"/>
          <w:shd w:val="clear" w:color="auto" w:fill="FFFFFF"/>
        </w:rPr>
        <w:t>24(4):295-303.</w:t>
      </w:r>
    </w:p>
    <w:p w14:paraId="66C8244F" w14:textId="062B529B" w:rsidR="00CF3CB1" w:rsidRPr="001C7B25" w:rsidRDefault="002A0A34" w:rsidP="0061517E">
      <w:pPr>
        <w:pStyle w:val="ListParagraph"/>
        <w:numPr>
          <w:ilvl w:val="0"/>
          <w:numId w:val="1"/>
        </w:numPr>
        <w:spacing w:line="480" w:lineRule="auto"/>
        <w:ind w:leftChars="0"/>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shd w:val="clear" w:color="auto" w:fill="FFFFFF"/>
        </w:rPr>
        <w:t>Carrión JA, Martínez-Bauer E, Crespo G, Ramírez S, Pérez-del-Pulgar S, García-Valdecasas JC, Navasa M, Forns X. Antiviral therapy increases the risk of bacterial infections in HCV-infected cirrhotic patients awaiting liver transplantation: A retrospective study. J Hepatol. 2009 Apr; 50(4):719-28.</w:t>
      </w:r>
    </w:p>
    <w:p w14:paraId="6B0D57E8" w14:textId="17DA95E8" w:rsidR="002A0A34" w:rsidRPr="001C7B25" w:rsidRDefault="002A0A34" w:rsidP="0061517E">
      <w:pPr>
        <w:pStyle w:val="ListParagraph"/>
        <w:numPr>
          <w:ilvl w:val="0"/>
          <w:numId w:val="1"/>
        </w:numPr>
        <w:spacing w:line="480" w:lineRule="auto"/>
        <w:ind w:leftChars="0"/>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shd w:val="clear" w:color="auto" w:fill="FFFFFF"/>
        </w:rPr>
        <w:t>Iacobellis A, Siciliano M, Perri F, Annicchiarico BE, Leandro G, Caruso N, Accadia L, Bombardieri G, Andriulli A. Peginterferon alfa-2b and ribavirin in patients with hepatitis C virus and decompensated cirrhosis: a controlled study. J Hepatol. 2007 Feb; 46(2):206-12.</w:t>
      </w:r>
    </w:p>
    <w:p w14:paraId="3172C764" w14:textId="63AD30B7" w:rsidR="002A0A34" w:rsidRPr="001C7B25" w:rsidRDefault="0028789F" w:rsidP="0061517E">
      <w:pPr>
        <w:pStyle w:val="ListParagraph"/>
        <w:numPr>
          <w:ilvl w:val="0"/>
          <w:numId w:val="1"/>
        </w:numPr>
        <w:spacing w:line="480" w:lineRule="auto"/>
        <w:ind w:leftChars="0"/>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shd w:val="clear" w:color="auto" w:fill="FFFFFF"/>
        </w:rPr>
        <w:t>Afdhal N, Zeuzem S, Kwo P, Chojkier M, Gitlin N, Puoti M, Romero-Gomez M, Zarski JP, Agarwal K, Buggisch P, Foster GR, Bräu N, Buti M, Jacobson IM, Subramanian GM, Ding X, Mo H, Yang JC, Pang PS, Symonds WT, McHutchison JG, Muir AJ, Mangia A, Marcellin P; ION-1 Investigators. Ledipasvir and sofosbuvir for untreated HCV genotype 1 infection. N Engl J Med. 2014 May 15; 370(20):1889-98.</w:t>
      </w:r>
    </w:p>
    <w:p w14:paraId="370BA021" w14:textId="65CAA5C8" w:rsidR="0028789F" w:rsidRPr="001C7B25" w:rsidRDefault="0028789F" w:rsidP="0061517E">
      <w:pPr>
        <w:pStyle w:val="ListParagraph"/>
        <w:numPr>
          <w:ilvl w:val="0"/>
          <w:numId w:val="1"/>
        </w:numPr>
        <w:spacing w:line="480" w:lineRule="auto"/>
        <w:ind w:leftChars="0"/>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shd w:val="clear" w:color="auto" w:fill="FFFFFF"/>
        </w:rPr>
        <w:t>Lawitz E, Sulkowski MS, Ghalib R, Rodriguez-Torres M, Younossi ZM, Corregidor A, DeJesus E, Pearlman B, Rabinovitz M, Gitlin N, Lim JK, Pockros PJ, Scott JD, Fevery B, Lambrecht T, Ouwerkerk-Mahadevan S, Callewaert K, Symonds WT, Picchio G, Lindsay KL, Beumont M, Jacobson IM. Simeprevir plus sofosbuvir, with or without ribavirin, to treat chronic infection with hepatitis C virus genotype 1 in non-responders to pegylated interferon and ribavirin and treatment-naïve patients: the COSMOS randomised study. Lancet. 2014 Nov 15; 384(9956):1756-65.</w:t>
      </w:r>
    </w:p>
    <w:p w14:paraId="4F9F472C" w14:textId="6A7DFF69" w:rsidR="0028789F" w:rsidRPr="001C7B25" w:rsidRDefault="0028789F" w:rsidP="0061517E">
      <w:pPr>
        <w:pStyle w:val="ListParagraph"/>
        <w:numPr>
          <w:ilvl w:val="0"/>
          <w:numId w:val="1"/>
        </w:numPr>
        <w:spacing w:line="480" w:lineRule="auto"/>
        <w:ind w:leftChars="0"/>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shd w:val="clear" w:color="auto" w:fill="FFFFFF"/>
        </w:rPr>
        <w:t>van der Meer AJ, Veldt BJ, Feld JJ, Wedemeyer H, Dufour JF, Lammert F, Duarte-Rojo A, Heathcote EJ, Manns MP, Kuske L, Zeuzem S, Hofmann WP, de Knegt RJ, Hansen BE, Janssen HL. Association between sustained virological response and all-cause mortality among patients with chronic hepatitis C and advanced hepatic fibrosis. JAMA. 2012 Dec 26;</w:t>
      </w:r>
      <w:r w:rsidR="006C2BD6" w:rsidRPr="001C7B25">
        <w:rPr>
          <w:rFonts w:ascii="Times New Roman" w:hAnsi="Times New Roman" w:cs="Times New Roman"/>
          <w:color w:val="000000" w:themeColor="text1"/>
          <w:sz w:val="24"/>
          <w:szCs w:val="24"/>
          <w:shd w:val="clear" w:color="auto" w:fill="FFFFFF"/>
        </w:rPr>
        <w:t xml:space="preserve"> </w:t>
      </w:r>
      <w:r w:rsidRPr="001C7B25">
        <w:rPr>
          <w:rFonts w:ascii="Times New Roman" w:hAnsi="Times New Roman" w:cs="Times New Roman"/>
          <w:color w:val="000000" w:themeColor="text1"/>
          <w:sz w:val="24"/>
          <w:szCs w:val="24"/>
          <w:shd w:val="clear" w:color="auto" w:fill="FFFFFF"/>
        </w:rPr>
        <w:t>308(24):2584-93.</w:t>
      </w:r>
    </w:p>
    <w:p w14:paraId="4A596165" w14:textId="60C92BB4" w:rsidR="0028789F" w:rsidRPr="001C7B25" w:rsidRDefault="0028789F" w:rsidP="0061517E">
      <w:pPr>
        <w:pStyle w:val="ListParagraph"/>
        <w:numPr>
          <w:ilvl w:val="0"/>
          <w:numId w:val="1"/>
        </w:numPr>
        <w:spacing w:line="480" w:lineRule="auto"/>
        <w:ind w:leftChars="0"/>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shd w:val="clear" w:color="auto" w:fill="FFFFFF"/>
        </w:rPr>
        <w:t>Tada T, Kumada T, Toyoda H, Kiriyama S, Tanikawa M, Hisanaga Y, Kanamori A, Kitabatake S, Yama T, Tanaka J. Viral eradication reduces all-cause mortality in patients with chronic hepatitis C virus infection: a propensity score analysis. Liver Int. 2016 Jun; 36(6):817-26.</w:t>
      </w:r>
    </w:p>
    <w:p w14:paraId="09B4751D" w14:textId="1F393A0C" w:rsidR="0028789F" w:rsidRPr="001C7B25" w:rsidRDefault="00CC143A" w:rsidP="0061517E">
      <w:pPr>
        <w:pStyle w:val="ListParagraph"/>
        <w:numPr>
          <w:ilvl w:val="0"/>
          <w:numId w:val="1"/>
        </w:numPr>
        <w:spacing w:line="480" w:lineRule="auto"/>
        <w:ind w:leftChars="0"/>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shd w:val="clear" w:color="auto" w:fill="FFFFFF"/>
        </w:rPr>
        <w:t>N</w:t>
      </w:r>
      <w:r w:rsidR="006C2BD6" w:rsidRPr="001C7B25">
        <w:rPr>
          <w:rFonts w:ascii="Times New Roman" w:hAnsi="Times New Roman" w:cs="Times New Roman"/>
          <w:color w:val="000000" w:themeColor="text1"/>
          <w:sz w:val="24"/>
          <w:szCs w:val="24"/>
          <w:shd w:val="clear" w:color="auto" w:fill="FFFFFF"/>
        </w:rPr>
        <w:t>ahon P, Bourcier V, Layese R, Audureau E, Cagnot C, Marcellin P, Guyader D, Fontaine H, Larrey D, De Lédinghen V, Ouzan D, Zoulim F, Roulot D, Tran A, Bronowicki JP, Zarski JP, Leroy V, Riachi G, Calès P, Péron JM, Alric L, Bourlière M, Mathurin P, Dharancy S, Blanc JF, Abergel A, Serfaty L, Mallat A, Grangé JD, Attali P, Bacq Y, Wartelle C, Dao T, Benhamou Y, Pilette C, Silvain C, Christidis C, Capron D, Bernard-Chabert B, Zucman D, Di Martino V, Thibaut V, Salmon D, Ziol M, Sutton A, Pol S, Roudot-Thoraval F; ANRS CO12 CirVir Group. Eradication of Hepatitis C Virus Infection in Patients With Cirrhosis Reduces Risk of Liver and Non-Liver Complications. Gastroenterology. 2017 Jan; 152(1):142-156.</w:t>
      </w:r>
    </w:p>
    <w:p w14:paraId="37D38438" w14:textId="2BD0513E" w:rsidR="006C2BD6" w:rsidRPr="001C7B25" w:rsidRDefault="006479D7" w:rsidP="0061517E">
      <w:pPr>
        <w:pStyle w:val="ListParagraph"/>
        <w:numPr>
          <w:ilvl w:val="0"/>
          <w:numId w:val="1"/>
        </w:numPr>
        <w:spacing w:line="480" w:lineRule="auto"/>
        <w:ind w:leftChars="0"/>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shd w:val="clear" w:color="auto" w:fill="FFFFFF"/>
        </w:rPr>
        <w:t>Charlton M, Everson GT, Flamm SL, Kumar P, Landis C, Brown RS Jr, Fried MW, Terrault NA, O'Leary JG, Vargas HE, Kuo A, Schiff E, Sulkowski MS, Gilroy R, Watt KD, Brown K, Kwo P, Pungpapong S, Korenblat KM, Muir AJ, Teperman L, Fontana RJ, Denning J, Arterburn S, Dvory-Sobol H, Brandt-Sarif T, Pang PS, McHutchison JG, Reddy KR, Afdhal N; SOLAR-1 Investigators. Ledipasvir and Sofosbuvir Plus Ribavirin for Treatment of HCV Infection in Patients With Advanced Liver Disease. Gastroenterology. 2015 Sep; 149(3):649-59.</w:t>
      </w:r>
    </w:p>
    <w:p w14:paraId="709377B0" w14:textId="13EFD34B" w:rsidR="006479D7" w:rsidRPr="001C7B25" w:rsidRDefault="006479D7" w:rsidP="0061517E">
      <w:pPr>
        <w:pStyle w:val="ListParagraph"/>
        <w:numPr>
          <w:ilvl w:val="0"/>
          <w:numId w:val="1"/>
        </w:numPr>
        <w:spacing w:line="480" w:lineRule="auto"/>
        <w:ind w:leftChars="0"/>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shd w:val="clear" w:color="auto" w:fill="FFFFFF"/>
        </w:rPr>
        <w:t>Curry MP, O'Leary JG, Bzowej N, Muir AJ, Korenblat KM, Fenkel JM, Reddy KR, Lawitz E, Flamm SL, Schiano T, Teperman L, Fontana R, Schiff E, Fried M, Doehle B, An D, McNally J, Osinusi A, Brainard DM, McHutchison JG, Brown RS Jr, Charlton M; ASTRAL-4 Investigators. Sofosbuvir and Velpatasvir for HCV in Patients with Decompensated Cirrhosis. N Engl J Med. 2015 Dec 31; 373(27):2618-28.</w:t>
      </w:r>
    </w:p>
    <w:p w14:paraId="23D544C0" w14:textId="2071E633" w:rsidR="006479D7" w:rsidRPr="001C7B25" w:rsidRDefault="00E2206A" w:rsidP="0061517E">
      <w:pPr>
        <w:pStyle w:val="ListParagraph"/>
        <w:numPr>
          <w:ilvl w:val="0"/>
          <w:numId w:val="1"/>
        </w:numPr>
        <w:spacing w:line="480" w:lineRule="auto"/>
        <w:ind w:leftChars="0"/>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shd w:val="clear" w:color="auto" w:fill="FFFFFF"/>
        </w:rPr>
        <w:t>Foster GR, Irving WL, Cheung MC, Walker AJ, Hudson BE, Verma S, McLauchlan J, Mutimer DJ, Brown A, Gelson WT, MacDonald DC, Agarwal K; HCV Research, UK. Impact of direct acting antiviral therapy in patients with chronic hepatitis C and decompensated cirrhosis. J Hepatol. 2016 Jun; 64(6):1224-31.</w:t>
      </w:r>
    </w:p>
    <w:p w14:paraId="7DDEFA2A" w14:textId="026EDF62" w:rsidR="00E2206A" w:rsidRPr="001C7B25" w:rsidRDefault="00E2206A" w:rsidP="0061517E">
      <w:pPr>
        <w:pStyle w:val="ListParagraph"/>
        <w:numPr>
          <w:ilvl w:val="0"/>
          <w:numId w:val="1"/>
        </w:numPr>
        <w:spacing w:line="480" w:lineRule="auto"/>
        <w:ind w:leftChars="0"/>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shd w:val="clear" w:color="auto" w:fill="FFFFFF"/>
        </w:rPr>
        <w:t>Cheung MCM, Walker AJ, Hudson BE, Verma S, McLauchlan J, Mutimer DJ, Brown A, Gelson WTH, MacDonald DC, Agarwal K, Foster GR, Irving WL; HCV Research UK. Outcomes after successful direct-acting antiviral therapy for patients with chronic hepatitis C and decompensated cirrhosis. J Hepatol. 2016 Oct; 65(4):741-747.</w:t>
      </w:r>
    </w:p>
    <w:p w14:paraId="7606B6DE" w14:textId="2CA0AEF4" w:rsidR="00E2206A" w:rsidRPr="001C7B25" w:rsidRDefault="00B85EA8" w:rsidP="0061517E">
      <w:pPr>
        <w:pStyle w:val="ListParagraph"/>
        <w:numPr>
          <w:ilvl w:val="0"/>
          <w:numId w:val="1"/>
        </w:numPr>
        <w:spacing w:line="480" w:lineRule="auto"/>
        <w:ind w:leftChars="0"/>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shd w:val="clear" w:color="auto" w:fill="FFFFFF"/>
        </w:rPr>
        <w:t>Matsuo S, Imai E, Horio M, Yasuda Y, Tomita K, Nitta K, Yamagata K, Tomino Y, Yokoyama H, Hishida A;</w:t>
      </w:r>
      <w:r w:rsidRPr="001C7B25">
        <w:rPr>
          <w:rFonts w:ascii="Times New Roman" w:eastAsia="MS Gothic" w:hAnsi="Times New Roman" w:cs="Times New Roman"/>
          <w:color w:val="000000" w:themeColor="text1"/>
          <w:kern w:val="0"/>
          <w:sz w:val="24"/>
          <w:szCs w:val="24"/>
        </w:rPr>
        <w:t xml:space="preserve"> Collaborators developing the Japanese equation for estimated GFR. Revised equations for estimated GFR from serum creatinine in Japan. Am J Kidney Dis. 2009; 53: 982-92.</w:t>
      </w:r>
    </w:p>
    <w:p w14:paraId="15D921F8" w14:textId="2452F3C9" w:rsidR="00B3115D" w:rsidRPr="001C7B25" w:rsidRDefault="00B3115D" w:rsidP="0061517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ascii="Times New Roman" w:eastAsia="MS Gothic" w:hAnsi="Times New Roman" w:cs="Times New Roman"/>
          <w:color w:val="000000" w:themeColor="text1"/>
          <w:kern w:val="0"/>
          <w:sz w:val="24"/>
          <w:szCs w:val="24"/>
        </w:rPr>
      </w:pPr>
      <w:r w:rsidRPr="001C7B25">
        <w:rPr>
          <w:rFonts w:ascii="Times New Roman" w:eastAsia="MS Gothic" w:hAnsi="Times New Roman" w:cs="Times New Roman"/>
          <w:color w:val="000000" w:themeColor="text1"/>
          <w:kern w:val="0"/>
          <w:sz w:val="24"/>
          <w:szCs w:val="24"/>
        </w:rPr>
        <w:t>Sterling RK, Lissen E, Clumeck N, Sola R, Correa MC, Montaner J, S Sulkowski M, Torriani FJ, Dieterich DT, Thomas DL, Messinger D, Nelson M; APRICOT Clinical Investigators. Development of a simple noninvasive index to predict significant fibrosis in patients with HIV/HCV coinfection. Hepatology. 200; 43(6):1317-25.</w:t>
      </w:r>
    </w:p>
    <w:p w14:paraId="67EEB081" w14:textId="0A1B8445" w:rsidR="00B3115D" w:rsidRPr="001C7B25" w:rsidRDefault="00B3115D" w:rsidP="0061517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ascii="Times New Roman" w:eastAsia="MS Gothic" w:hAnsi="Times New Roman" w:cs="Times New Roman"/>
          <w:color w:val="000000" w:themeColor="text1"/>
          <w:kern w:val="0"/>
          <w:sz w:val="24"/>
          <w:szCs w:val="24"/>
        </w:rPr>
      </w:pPr>
      <w:r w:rsidRPr="001C7B25">
        <w:rPr>
          <w:rFonts w:ascii="Times New Roman" w:eastAsia="MS Gothic" w:hAnsi="Times New Roman" w:cs="Times New Roman"/>
          <w:color w:val="000000" w:themeColor="text1"/>
          <w:kern w:val="0"/>
          <w:sz w:val="24"/>
          <w:szCs w:val="24"/>
        </w:rPr>
        <w:t>Vallet-Pichard A, Mallet V, Nalpas B, Verkarre V, Nalpas A, Dhalluin-Venier V, Fontaine H, Pol S. FIB-4: an inexpensive and accurate marker of fibrosis in HCV infection. Comparison with liver biopsy and fibrotest. Hepatology. 2007 Jul; 46(1):32-6.</w:t>
      </w:r>
    </w:p>
    <w:p w14:paraId="1416D0E0" w14:textId="04C61054" w:rsidR="00B3115D" w:rsidRPr="001C7B25" w:rsidRDefault="00B3115D" w:rsidP="0061517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ascii="Times New Roman" w:eastAsia="MS Gothic" w:hAnsi="Times New Roman" w:cs="Times New Roman"/>
          <w:color w:val="000000" w:themeColor="text1"/>
          <w:kern w:val="0"/>
          <w:sz w:val="24"/>
          <w:szCs w:val="24"/>
        </w:rPr>
      </w:pPr>
      <w:r w:rsidRPr="001C7B25">
        <w:rPr>
          <w:rFonts w:ascii="Times New Roman" w:eastAsia="MS Gothic" w:hAnsi="Times New Roman" w:cs="Times New Roman"/>
          <w:color w:val="000000" w:themeColor="text1"/>
          <w:kern w:val="0"/>
          <w:sz w:val="24"/>
          <w:szCs w:val="24"/>
        </w:rPr>
        <w:t>Johnson PJ, Berhane S, Kagebayashi C, Satomura S, Teng M, Reeves HL, O'Beirne J, Fox R, Skowronska A, Palmer D, Yeo W, Mo F, Lai P, Iñarrairaegui M, Chan SL, Sangro B, Miksad R, Tada T, Kumada T, Toyoda H. Assessment of liver function in patients with hepatocellular carcinoma: a new evidence-based approach-the ALBI grade. J Clin Oncol. 2015 20; 33(6):550-8.</w:t>
      </w:r>
    </w:p>
    <w:p w14:paraId="66079FBC" w14:textId="5A0D8CCF" w:rsidR="00242208" w:rsidRPr="001C7B25" w:rsidRDefault="00242208" w:rsidP="0061517E">
      <w:pPr>
        <w:pStyle w:val="ListParagraph"/>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0"/>
        <w:jc w:val="left"/>
        <w:rPr>
          <w:rFonts w:ascii="Times New Roman" w:eastAsia="MS Gothic" w:hAnsi="Times New Roman" w:cs="Times New Roman"/>
          <w:color w:val="000000" w:themeColor="text1"/>
          <w:kern w:val="0"/>
          <w:sz w:val="24"/>
          <w:szCs w:val="24"/>
        </w:rPr>
      </w:pPr>
      <w:r w:rsidRPr="001C7B25">
        <w:rPr>
          <w:rFonts w:ascii="Times New Roman" w:hAnsi="Times New Roman" w:cs="Times New Roman"/>
          <w:color w:val="000000" w:themeColor="text1"/>
          <w:kern w:val="0"/>
          <w:sz w:val="24"/>
          <w:szCs w:val="24"/>
        </w:rPr>
        <w:t>Fine JP, Gray RJ. A proportional hazards model for the subdistribution of a competing risk. JASA. 1999; 94(446):496–509.</w:t>
      </w:r>
    </w:p>
    <w:p w14:paraId="5E97B932" w14:textId="5B2190D7" w:rsidR="006F4D12" w:rsidRPr="001C7B25" w:rsidRDefault="00C93C80" w:rsidP="0061517E">
      <w:pPr>
        <w:pStyle w:val="ListParagraph"/>
        <w:numPr>
          <w:ilvl w:val="0"/>
          <w:numId w:val="1"/>
        </w:numPr>
        <w:spacing w:line="480" w:lineRule="auto"/>
        <w:ind w:leftChars="0"/>
        <w:rPr>
          <w:rFonts w:ascii="Times New Roman" w:hAnsi="Times New Roman" w:cs="Times New Roman"/>
          <w:color w:val="000000" w:themeColor="text1"/>
          <w:sz w:val="24"/>
          <w:szCs w:val="24"/>
        </w:rPr>
      </w:pPr>
      <w:r w:rsidRPr="001C7B25">
        <w:rPr>
          <w:rFonts w:ascii="Times New Roman" w:hAnsi="Times New Roman" w:cs="Times New Roman"/>
          <w:color w:val="000000" w:themeColor="text1"/>
          <w:kern w:val="0"/>
          <w:sz w:val="24"/>
          <w:szCs w:val="24"/>
        </w:rPr>
        <w:t xml:space="preserve">Seaman SR, White IR. Review of inverse probability weighting for dealing with missing data. </w:t>
      </w:r>
      <w:r w:rsidRPr="001C7B25">
        <w:rPr>
          <w:rFonts w:ascii="Times New Roman" w:hAnsi="Times New Roman" w:cs="Times New Roman"/>
          <w:i/>
          <w:iCs/>
          <w:color w:val="000000" w:themeColor="text1"/>
          <w:kern w:val="0"/>
          <w:sz w:val="24"/>
          <w:szCs w:val="24"/>
        </w:rPr>
        <w:t xml:space="preserve">Stat Methods Med Res </w:t>
      </w:r>
      <w:r w:rsidRPr="001C7B25">
        <w:rPr>
          <w:rFonts w:ascii="Times New Roman" w:hAnsi="Times New Roman" w:cs="Times New Roman"/>
          <w:color w:val="000000" w:themeColor="text1"/>
          <w:kern w:val="0"/>
          <w:sz w:val="24"/>
          <w:szCs w:val="24"/>
        </w:rPr>
        <w:t>2013; 22: 278-95.</w:t>
      </w:r>
    </w:p>
    <w:p w14:paraId="0E8FB003" w14:textId="00A41B7D" w:rsidR="006F4D12" w:rsidRPr="001C7B25" w:rsidRDefault="006F4D12" w:rsidP="0061517E">
      <w:pPr>
        <w:pStyle w:val="ListParagraph"/>
        <w:numPr>
          <w:ilvl w:val="0"/>
          <w:numId w:val="1"/>
        </w:numPr>
        <w:spacing w:line="480" w:lineRule="auto"/>
        <w:ind w:leftChars="0"/>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shd w:val="clear" w:color="auto" w:fill="FFFFFF"/>
        </w:rPr>
        <w:t>Kim HT. Cumulative incidence in competing risks data and competing risks regression analysis. Clin Cancer Res. 2007 Jan 15; 13(2 Pt 1):559-65.</w:t>
      </w:r>
    </w:p>
    <w:p w14:paraId="14C1EFE8" w14:textId="701763B8" w:rsidR="00822E40" w:rsidRPr="001C7B25" w:rsidRDefault="00822E40" w:rsidP="0061517E">
      <w:pPr>
        <w:pStyle w:val="ListParagraph"/>
        <w:numPr>
          <w:ilvl w:val="0"/>
          <w:numId w:val="1"/>
        </w:numPr>
        <w:spacing w:line="480" w:lineRule="auto"/>
        <w:ind w:leftChars="0"/>
        <w:rPr>
          <w:rFonts w:ascii="Times New Roman" w:hAnsi="Times New Roman" w:cs="Times New Roman"/>
          <w:color w:val="000000" w:themeColor="text1"/>
          <w:sz w:val="24"/>
          <w:szCs w:val="24"/>
        </w:rPr>
      </w:pPr>
      <w:r w:rsidRPr="001C7B25">
        <w:rPr>
          <w:rFonts w:ascii="Times New Roman" w:eastAsia="AdvOT678fd422" w:hAnsi="Times New Roman" w:cs="Times New Roman"/>
          <w:color w:val="000000" w:themeColor="text1"/>
          <w:kern w:val="0"/>
          <w:sz w:val="24"/>
          <w:szCs w:val="24"/>
        </w:rPr>
        <w:t>Kanda Y. Investigation of the freely available easy-to-use software ‘EZR’ for medical statistics. Bone Marrow Transplant. 2013; 48: 452-458.</w:t>
      </w:r>
    </w:p>
    <w:p w14:paraId="7F6E0CED" w14:textId="51801248" w:rsidR="00822E40" w:rsidRPr="001C7B25" w:rsidRDefault="004066EB" w:rsidP="0061517E">
      <w:pPr>
        <w:pStyle w:val="ListParagraph"/>
        <w:numPr>
          <w:ilvl w:val="0"/>
          <w:numId w:val="1"/>
        </w:numPr>
        <w:spacing w:line="480" w:lineRule="auto"/>
        <w:ind w:leftChars="0"/>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shd w:val="clear" w:color="auto" w:fill="FFFFFF"/>
        </w:rPr>
        <w:t>van der Meer AJ, Feld JJ, Hofer H, Almasio PL, Calvaruso V, Fernández-Rodríguez CM, Aleman S, Ganne-Carrié N, D'Ambrosio R, Pol S, Trapero-Marugan M, Maan R, Moreno-Otero R, Mallet V, Hultcrantz R, Weiland O, Rutter K, Di Marco V, Alonso S, Bruno S, Colombo M, de Knegt RJ, Veldt BJ, Hansen BE, Janssen HLA. Risk of cirrhosis-related complications in patients with advanced fibrosis following hepatitis C virus eradication. J Hepatol. 2017 Mar; 66(3):485-493.</w:t>
      </w:r>
    </w:p>
    <w:p w14:paraId="639E6E22" w14:textId="1BEC2166" w:rsidR="004066EB" w:rsidRPr="001C7B25" w:rsidRDefault="004066EB" w:rsidP="0061517E">
      <w:pPr>
        <w:pStyle w:val="ListParagraph"/>
        <w:numPr>
          <w:ilvl w:val="0"/>
          <w:numId w:val="1"/>
        </w:numPr>
        <w:spacing w:line="480" w:lineRule="auto"/>
        <w:ind w:leftChars="0"/>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shd w:val="clear" w:color="auto" w:fill="FFFFFF"/>
        </w:rPr>
        <w:t>Ioannou GN, Beste LA, Green PK, Singal AG, Tapper EB, Waljee AK, Sterling RK, Feld JJ, Kaplan DE, Taddei TH, Berry K. Increased Risk for Hepatocellular Carcinoma Persists Up to 10 Years After HCV Eradication in Patients With Baseline Cirrhosis or High FIB-4 Scores. Gastroenterology. 2019 Nov; 157(5):1264-1278.</w:t>
      </w:r>
    </w:p>
    <w:p w14:paraId="46E9D233" w14:textId="1EF81A86" w:rsidR="004066EB" w:rsidRPr="001C7B25" w:rsidRDefault="00C77442" w:rsidP="0061517E">
      <w:pPr>
        <w:pStyle w:val="ListParagraph"/>
        <w:numPr>
          <w:ilvl w:val="0"/>
          <w:numId w:val="1"/>
        </w:numPr>
        <w:spacing w:line="480" w:lineRule="auto"/>
        <w:ind w:leftChars="0"/>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shd w:val="clear" w:color="auto" w:fill="FFFFFF"/>
        </w:rPr>
        <w:t>Alavi M, Janjua NZ, Chong M, Grebely J, Aspinall EJ, Innes H, Valerio HM, Hajarizadeh B, Hayes PC, Krajden M, Amin J, Law MG, George J, Goldberg DJ, Hutchinson SJ, Dore GJ. The contribution of alcohol use disorder to decompensated cirrhosis among people with hepatitis C: An international study. J Hepatol. 2018 Mar; 68(3):393-401.</w:t>
      </w:r>
    </w:p>
    <w:p w14:paraId="56E30BEA" w14:textId="36B5362D" w:rsidR="00C77442" w:rsidRPr="001C7B25" w:rsidRDefault="00C77442" w:rsidP="0061517E">
      <w:pPr>
        <w:pStyle w:val="ListParagraph"/>
        <w:numPr>
          <w:ilvl w:val="0"/>
          <w:numId w:val="1"/>
        </w:numPr>
        <w:spacing w:line="480" w:lineRule="auto"/>
        <w:ind w:leftChars="0"/>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shd w:val="clear" w:color="auto" w:fill="FFFFFF"/>
        </w:rPr>
        <w:t>Negro F, Forton D, Craxì A, Sulkowski MS, Feld JJ, Manns MP. Extrahepatic morbidity and mortality of chronic hepatitis C. Gastroenterology. 2015 Nov; 149(6):1345-60.</w:t>
      </w:r>
    </w:p>
    <w:p w14:paraId="7B660EB2" w14:textId="60E4C13D" w:rsidR="00C93C80" w:rsidRPr="001C7B25" w:rsidRDefault="00584062" w:rsidP="0061517E">
      <w:pPr>
        <w:pStyle w:val="ListParagraph"/>
        <w:numPr>
          <w:ilvl w:val="0"/>
          <w:numId w:val="1"/>
        </w:numPr>
        <w:spacing w:line="480" w:lineRule="auto"/>
        <w:ind w:leftChars="0"/>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shd w:val="clear" w:color="auto" w:fill="FFFFFF"/>
        </w:rPr>
        <w:t>Younossi Z, Park H, Henry L, Adeyemi A, Stepanova M. Extrahepatic Manifestations of Hepatitis C: A Meta-analysis of Prevalence, Quality of Life, and Economic Burden. Gastroenterology. 2016 Jun; 150(7):1599-1608.</w:t>
      </w:r>
    </w:p>
    <w:p w14:paraId="095F3549" w14:textId="77777777" w:rsidR="00646552" w:rsidRPr="001C7B25" w:rsidRDefault="00646552">
      <w:pPr>
        <w:widowControl/>
        <w:jc w:val="left"/>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rPr>
        <w:br w:type="page"/>
      </w:r>
    </w:p>
    <w:p w14:paraId="6225E275" w14:textId="4879F2AA" w:rsidR="00646552" w:rsidRPr="001C7B25" w:rsidRDefault="00646552" w:rsidP="0065537A">
      <w:pPr>
        <w:spacing w:line="480" w:lineRule="auto"/>
        <w:rPr>
          <w:rFonts w:ascii="Times New Roman" w:hAnsi="Times New Roman" w:cs="Times New Roman"/>
          <w:b/>
          <w:color w:val="000000" w:themeColor="text1"/>
          <w:sz w:val="24"/>
          <w:szCs w:val="24"/>
        </w:rPr>
      </w:pPr>
      <w:r w:rsidRPr="001C7B25">
        <w:rPr>
          <w:rFonts w:ascii="Times New Roman" w:hAnsi="Times New Roman" w:cs="Times New Roman"/>
          <w:b/>
          <w:color w:val="000000" w:themeColor="text1"/>
          <w:sz w:val="24"/>
          <w:szCs w:val="24"/>
        </w:rPr>
        <w:t>Figure Legends</w:t>
      </w:r>
    </w:p>
    <w:p w14:paraId="6A8930CA" w14:textId="23334B03" w:rsidR="004A7B85" w:rsidRPr="001C7B25" w:rsidRDefault="004A7B85" w:rsidP="004A7B85">
      <w:pPr>
        <w:spacing w:line="480" w:lineRule="auto"/>
        <w:rPr>
          <w:rFonts w:ascii="Times New Roman" w:eastAsia="AdvOT678fd422" w:hAnsi="Times New Roman" w:cs="Times New Roman"/>
          <w:color w:val="000000" w:themeColor="text1"/>
          <w:kern w:val="0"/>
          <w:sz w:val="24"/>
          <w:szCs w:val="24"/>
        </w:rPr>
      </w:pPr>
      <w:r w:rsidRPr="001C7B25">
        <w:rPr>
          <w:rFonts w:ascii="Times New Roman" w:hAnsi="Times New Roman" w:cs="Times New Roman"/>
          <w:color w:val="000000" w:themeColor="text1"/>
          <w:sz w:val="24"/>
          <w:szCs w:val="24"/>
        </w:rPr>
        <w:t>Figure 1</w:t>
      </w:r>
      <w:r w:rsidR="000043D3" w:rsidRPr="001C7B25">
        <w:rPr>
          <w:rFonts w:ascii="Times New Roman" w:hAnsi="Times New Roman" w:cs="Times New Roman"/>
          <w:color w:val="000000" w:themeColor="text1"/>
          <w:sz w:val="24"/>
          <w:szCs w:val="24"/>
        </w:rPr>
        <w:t>.</w:t>
      </w:r>
      <w:r w:rsidRPr="001C7B25">
        <w:rPr>
          <w:rFonts w:ascii="Times New Roman" w:hAnsi="Times New Roman" w:cs="Times New Roman"/>
          <w:color w:val="000000" w:themeColor="text1"/>
          <w:sz w:val="24"/>
          <w:szCs w:val="24"/>
        </w:rPr>
        <w:t xml:space="preserve"> </w:t>
      </w:r>
      <w:r w:rsidRPr="001C7B25">
        <w:rPr>
          <w:rFonts w:ascii="Times New Roman" w:eastAsia="AdvOT678fd422" w:hAnsi="Times New Roman" w:cs="Times New Roman"/>
          <w:color w:val="000000" w:themeColor="text1"/>
          <w:kern w:val="0"/>
          <w:sz w:val="24"/>
          <w:szCs w:val="24"/>
        </w:rPr>
        <w:t>Flowchart of the patient selection process.</w:t>
      </w:r>
    </w:p>
    <w:p w14:paraId="1BB1160B" w14:textId="3F57F366" w:rsidR="00646552" w:rsidRPr="001C7B25" w:rsidRDefault="004A7B85" w:rsidP="0065537A">
      <w:pPr>
        <w:spacing w:line="480" w:lineRule="auto"/>
        <w:rPr>
          <w:rFonts w:ascii="Times New Roman" w:hAnsi="Times New Roman" w:cs="Times New Roman"/>
          <w:color w:val="000000" w:themeColor="text1"/>
          <w:sz w:val="24"/>
          <w:szCs w:val="24"/>
        </w:rPr>
      </w:pPr>
      <w:r w:rsidRPr="001C7B25">
        <w:rPr>
          <w:rFonts w:ascii="Times New Roman" w:hAnsi="Times New Roman" w:cs="Times New Roman" w:hint="eastAsia"/>
          <w:color w:val="000000" w:themeColor="text1"/>
          <w:sz w:val="24"/>
          <w:szCs w:val="24"/>
        </w:rPr>
        <w:t>HCV</w:t>
      </w:r>
      <w:r w:rsidR="00E72D4C" w:rsidRPr="001C7B25">
        <w:rPr>
          <w:rFonts w:ascii="Times New Roman" w:hAnsi="Times New Roman" w:cs="Times New Roman"/>
          <w:color w:val="000000" w:themeColor="text1"/>
          <w:sz w:val="24"/>
          <w:szCs w:val="24"/>
        </w:rPr>
        <w:t xml:space="preserve">, </w:t>
      </w:r>
      <w:r w:rsidRPr="001C7B25">
        <w:rPr>
          <w:rFonts w:ascii="Times New Roman" w:hAnsi="Times New Roman" w:cs="Times New Roman"/>
          <w:color w:val="000000" w:themeColor="text1"/>
          <w:sz w:val="24"/>
          <w:szCs w:val="24"/>
        </w:rPr>
        <w:t>hepatitis C virus</w:t>
      </w:r>
      <w:r w:rsidR="00E72D4C" w:rsidRPr="001C7B25">
        <w:rPr>
          <w:rFonts w:ascii="Times New Roman" w:hAnsi="Times New Roman" w:cs="Times New Roman"/>
          <w:color w:val="000000" w:themeColor="text1"/>
          <w:sz w:val="24"/>
          <w:szCs w:val="24"/>
        </w:rPr>
        <w:t xml:space="preserve">; </w:t>
      </w:r>
      <w:r w:rsidRPr="001C7B25">
        <w:rPr>
          <w:rFonts w:ascii="Times New Roman" w:hAnsi="Times New Roman" w:cs="Times New Roman"/>
          <w:color w:val="000000" w:themeColor="text1"/>
          <w:sz w:val="24"/>
          <w:szCs w:val="24"/>
        </w:rPr>
        <w:t>DAA</w:t>
      </w:r>
      <w:r w:rsidR="00E72D4C" w:rsidRPr="001C7B25">
        <w:rPr>
          <w:rFonts w:ascii="Times New Roman" w:hAnsi="Times New Roman" w:cs="Times New Roman"/>
          <w:color w:val="000000" w:themeColor="text1"/>
          <w:sz w:val="24"/>
          <w:szCs w:val="24"/>
        </w:rPr>
        <w:t xml:space="preserve">, </w:t>
      </w:r>
      <w:r w:rsidRPr="001C7B25">
        <w:rPr>
          <w:rFonts w:ascii="Times New Roman" w:eastAsiaTheme="majorEastAsia" w:hAnsi="Times New Roman" w:cs="Times New Roman"/>
          <w:color w:val="000000" w:themeColor="text1"/>
          <w:sz w:val="24"/>
          <w:szCs w:val="24"/>
        </w:rPr>
        <w:t>direct-acting antiviral</w:t>
      </w:r>
      <w:r w:rsidR="00E72D4C" w:rsidRPr="001C7B25">
        <w:rPr>
          <w:rFonts w:ascii="Times New Roman" w:hAnsi="Times New Roman" w:cs="Times New Roman"/>
          <w:color w:val="000000" w:themeColor="text1"/>
          <w:sz w:val="24"/>
          <w:szCs w:val="24"/>
        </w:rPr>
        <w:t xml:space="preserve">; </w:t>
      </w:r>
      <w:r w:rsidRPr="001C7B25">
        <w:rPr>
          <w:rFonts w:ascii="Times New Roman" w:eastAsiaTheme="majorEastAsia" w:hAnsi="Times New Roman" w:cs="Times New Roman"/>
          <w:color w:val="000000" w:themeColor="text1"/>
          <w:sz w:val="24"/>
          <w:szCs w:val="24"/>
        </w:rPr>
        <w:t>SVR</w:t>
      </w:r>
      <w:r w:rsidR="00E72D4C" w:rsidRPr="001C7B25">
        <w:rPr>
          <w:rFonts w:ascii="Times New Roman" w:hAnsi="Times New Roman" w:cs="Times New Roman"/>
          <w:color w:val="000000" w:themeColor="text1"/>
          <w:sz w:val="24"/>
          <w:szCs w:val="24"/>
        </w:rPr>
        <w:t xml:space="preserve">, </w:t>
      </w:r>
      <w:r w:rsidRPr="001C7B25">
        <w:rPr>
          <w:rFonts w:ascii="Times New Roman" w:eastAsiaTheme="majorEastAsia" w:hAnsi="Times New Roman" w:cs="Times New Roman"/>
          <w:color w:val="000000" w:themeColor="text1"/>
          <w:sz w:val="24"/>
          <w:szCs w:val="24"/>
        </w:rPr>
        <w:t>sustained virological response</w:t>
      </w:r>
      <w:r w:rsidR="00E72D4C" w:rsidRPr="001C7B25">
        <w:rPr>
          <w:rFonts w:ascii="Times New Roman" w:hAnsi="Times New Roman" w:cs="Times New Roman"/>
          <w:color w:val="000000" w:themeColor="text1"/>
          <w:sz w:val="24"/>
          <w:szCs w:val="24"/>
        </w:rPr>
        <w:t xml:space="preserve">; </w:t>
      </w:r>
      <w:r w:rsidRPr="001C7B25">
        <w:rPr>
          <w:rFonts w:ascii="Times New Roman" w:eastAsiaTheme="majorEastAsia" w:hAnsi="Times New Roman" w:cs="Times New Roman"/>
          <w:color w:val="000000" w:themeColor="text1"/>
          <w:sz w:val="24"/>
          <w:szCs w:val="24"/>
        </w:rPr>
        <w:t>HCC</w:t>
      </w:r>
      <w:r w:rsidR="00E72D4C" w:rsidRPr="001C7B25">
        <w:rPr>
          <w:rFonts w:ascii="Times New Roman" w:hAnsi="Times New Roman" w:cs="Times New Roman"/>
          <w:color w:val="000000" w:themeColor="text1"/>
          <w:sz w:val="24"/>
          <w:szCs w:val="24"/>
        </w:rPr>
        <w:t xml:space="preserve">, </w:t>
      </w:r>
      <w:r w:rsidRPr="001C7B25">
        <w:rPr>
          <w:rFonts w:ascii="Times New Roman" w:eastAsiaTheme="majorEastAsia" w:hAnsi="Times New Roman" w:cs="Times New Roman"/>
          <w:color w:val="000000" w:themeColor="text1"/>
          <w:sz w:val="24"/>
          <w:szCs w:val="24"/>
        </w:rPr>
        <w:t>hepatocellular carcinoma</w:t>
      </w:r>
    </w:p>
    <w:p w14:paraId="2C21A7A6" w14:textId="1827AA7A" w:rsidR="004A7B85" w:rsidRPr="001C7B25" w:rsidRDefault="004A7B85" w:rsidP="0065537A">
      <w:pPr>
        <w:spacing w:line="480" w:lineRule="auto"/>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rPr>
        <w:t>Figure 2</w:t>
      </w:r>
      <w:r w:rsidR="000043D3" w:rsidRPr="001C7B25">
        <w:rPr>
          <w:rFonts w:ascii="Times New Roman" w:hAnsi="Times New Roman" w:cs="Times New Roman"/>
          <w:color w:val="000000" w:themeColor="text1"/>
          <w:sz w:val="24"/>
          <w:szCs w:val="24"/>
        </w:rPr>
        <w:t>.</w:t>
      </w:r>
      <w:r w:rsidRPr="001C7B25">
        <w:rPr>
          <w:rFonts w:ascii="Times New Roman" w:hAnsi="Times New Roman" w:cs="Times New Roman"/>
          <w:color w:val="000000" w:themeColor="text1"/>
          <w:sz w:val="24"/>
          <w:szCs w:val="24"/>
        </w:rPr>
        <w:t xml:space="preserve"> All-cause mortality </w:t>
      </w:r>
      <w:r w:rsidR="003920AB" w:rsidRPr="001C7B25">
        <w:rPr>
          <w:rFonts w:ascii="Times New Roman" w:hAnsi="Times New Roman" w:cs="Times New Roman"/>
          <w:color w:val="000000" w:themeColor="text1"/>
          <w:sz w:val="24"/>
          <w:szCs w:val="24"/>
        </w:rPr>
        <w:t>with and without</w:t>
      </w:r>
      <w:r w:rsidRPr="001C7B25">
        <w:rPr>
          <w:rFonts w:ascii="Times New Roman" w:hAnsi="Times New Roman" w:cs="Times New Roman"/>
          <w:color w:val="000000" w:themeColor="text1"/>
          <w:sz w:val="24"/>
          <w:szCs w:val="24"/>
        </w:rPr>
        <w:t xml:space="preserve"> DAA therapy </w:t>
      </w:r>
      <w:r w:rsidR="003920AB" w:rsidRPr="001C7B25">
        <w:rPr>
          <w:rFonts w:ascii="Times New Roman" w:hAnsi="Times New Roman" w:cs="Times New Roman"/>
          <w:color w:val="000000" w:themeColor="text1"/>
          <w:sz w:val="24"/>
          <w:szCs w:val="24"/>
        </w:rPr>
        <w:t xml:space="preserve">and </w:t>
      </w:r>
      <w:r w:rsidRPr="001C7B25">
        <w:rPr>
          <w:rFonts w:ascii="Times New Roman" w:hAnsi="Times New Roman" w:cs="Times New Roman"/>
          <w:color w:val="000000" w:themeColor="text1"/>
          <w:sz w:val="24"/>
          <w:szCs w:val="24"/>
        </w:rPr>
        <w:t xml:space="preserve">adjusted </w:t>
      </w:r>
      <w:r w:rsidR="008F4CA7" w:rsidRPr="001C7B25">
        <w:rPr>
          <w:rFonts w:ascii="Times New Roman" w:hAnsi="Times New Roman" w:cs="Times New Roman"/>
          <w:color w:val="000000" w:themeColor="text1"/>
          <w:sz w:val="24"/>
          <w:szCs w:val="24"/>
        </w:rPr>
        <w:t xml:space="preserve">by </w:t>
      </w:r>
      <w:r w:rsidRPr="001C7B25">
        <w:rPr>
          <w:rFonts w:ascii="Times New Roman" w:hAnsi="Times New Roman" w:cs="Times New Roman"/>
          <w:color w:val="000000" w:themeColor="text1"/>
          <w:sz w:val="24"/>
          <w:szCs w:val="24"/>
        </w:rPr>
        <w:t>IPW</w:t>
      </w:r>
      <w:r w:rsidR="00E522CB" w:rsidRPr="001C7B25">
        <w:rPr>
          <w:rFonts w:ascii="Times New Roman" w:hAnsi="Times New Roman" w:cs="Times New Roman"/>
          <w:color w:val="000000" w:themeColor="text1"/>
          <w:sz w:val="24"/>
          <w:szCs w:val="24"/>
        </w:rPr>
        <w:t>.</w:t>
      </w:r>
    </w:p>
    <w:p w14:paraId="500C4947" w14:textId="43E5408A" w:rsidR="00E522CB" w:rsidRPr="001C7B25" w:rsidRDefault="00E522CB" w:rsidP="0065537A">
      <w:pPr>
        <w:spacing w:line="480" w:lineRule="auto"/>
        <w:rPr>
          <w:rFonts w:ascii="Times New Roman" w:hAnsi="Times New Roman" w:cs="Times New Roman"/>
          <w:color w:val="000000" w:themeColor="text1"/>
          <w:sz w:val="24"/>
          <w:szCs w:val="24"/>
        </w:rPr>
      </w:pPr>
      <w:r w:rsidRPr="001C7B25">
        <w:rPr>
          <w:rFonts w:ascii="Times New Roman" w:hAnsi="Times New Roman" w:cs="Times New Roman"/>
          <w:color w:val="000000" w:themeColor="text1"/>
          <w:kern w:val="0"/>
          <w:sz w:val="24"/>
          <w:szCs w:val="24"/>
        </w:rPr>
        <w:t>The cumulative all-cause mortality rate</w:t>
      </w:r>
      <w:r w:rsidR="00F243D9" w:rsidRPr="001C7B25">
        <w:rPr>
          <w:rFonts w:ascii="Times New Roman" w:hAnsi="Times New Roman" w:cs="Times New Roman"/>
          <w:color w:val="000000" w:themeColor="text1"/>
          <w:kern w:val="0"/>
          <w:sz w:val="24"/>
          <w:szCs w:val="24"/>
        </w:rPr>
        <w:t>s</w:t>
      </w:r>
      <w:r w:rsidRPr="001C7B25">
        <w:rPr>
          <w:rFonts w:ascii="Times New Roman" w:hAnsi="Times New Roman" w:cs="Times New Roman"/>
          <w:color w:val="000000" w:themeColor="text1"/>
          <w:kern w:val="0"/>
          <w:sz w:val="24"/>
          <w:szCs w:val="24"/>
        </w:rPr>
        <w:t xml:space="preserve"> </w:t>
      </w:r>
      <w:r w:rsidR="00F243D9" w:rsidRPr="001C7B25">
        <w:rPr>
          <w:rFonts w:ascii="Times New Roman" w:hAnsi="Times New Roman" w:cs="Times New Roman"/>
          <w:color w:val="000000" w:themeColor="text1"/>
          <w:kern w:val="0"/>
          <w:sz w:val="24"/>
          <w:szCs w:val="24"/>
        </w:rPr>
        <w:t xml:space="preserve">in the DAA </w:t>
      </w:r>
      <w:r w:rsidRPr="001C7B25">
        <w:rPr>
          <w:rFonts w:ascii="Times New Roman" w:hAnsi="Times New Roman" w:cs="Times New Roman"/>
          <w:color w:val="000000" w:themeColor="text1"/>
          <w:kern w:val="0"/>
          <w:sz w:val="24"/>
          <w:szCs w:val="24"/>
        </w:rPr>
        <w:t>and Non-</w:t>
      </w:r>
      <w:r w:rsidR="00F243D9" w:rsidRPr="001C7B25">
        <w:rPr>
          <w:rFonts w:ascii="Times New Roman" w:hAnsi="Times New Roman" w:cs="Times New Roman"/>
          <w:color w:val="000000" w:themeColor="text1"/>
          <w:kern w:val="0"/>
          <w:sz w:val="24"/>
          <w:szCs w:val="24"/>
        </w:rPr>
        <w:t xml:space="preserve">DAA </w:t>
      </w:r>
      <w:r w:rsidRPr="001C7B25">
        <w:rPr>
          <w:rFonts w:ascii="Times New Roman" w:hAnsi="Times New Roman" w:cs="Times New Roman"/>
          <w:color w:val="000000" w:themeColor="text1"/>
          <w:kern w:val="0"/>
          <w:sz w:val="24"/>
          <w:szCs w:val="24"/>
        </w:rPr>
        <w:t xml:space="preserve">groups </w:t>
      </w:r>
      <w:r w:rsidR="00F243D9" w:rsidRPr="001C7B25">
        <w:rPr>
          <w:rFonts w:ascii="Times New Roman" w:hAnsi="Times New Roman" w:cs="Times New Roman"/>
          <w:color w:val="000000" w:themeColor="text1"/>
          <w:kern w:val="0"/>
          <w:sz w:val="24"/>
          <w:szCs w:val="24"/>
        </w:rPr>
        <w:t xml:space="preserve">were </w:t>
      </w:r>
      <w:r w:rsidRPr="001C7B25">
        <w:rPr>
          <w:rFonts w:ascii="Times New Roman" w:hAnsi="Times New Roman" w:cs="Times New Roman"/>
          <w:color w:val="000000" w:themeColor="text1"/>
          <w:kern w:val="0"/>
          <w:sz w:val="24"/>
          <w:szCs w:val="24"/>
        </w:rPr>
        <w:t xml:space="preserve">6.1% and 18.4% at 1 year, </w:t>
      </w:r>
      <w:r w:rsidRPr="001C7B25">
        <w:rPr>
          <w:rStyle w:val="tlid-translation"/>
          <w:rFonts w:ascii="Times New Roman" w:hAnsi="Times New Roman" w:cs="Times New Roman"/>
          <w:color w:val="000000" w:themeColor="text1"/>
          <w:sz w:val="24"/>
          <w:szCs w:val="24"/>
          <w:lang w:val="en"/>
        </w:rPr>
        <w:t>respectively, 13.1% and 23.7% at 2 years, respectively, and 16.8% and 30.0% at 3 years,</w:t>
      </w:r>
      <w:r w:rsidRPr="001C7B25">
        <w:rPr>
          <w:rFonts w:ascii="Times New Roman" w:hAnsi="Times New Roman" w:cs="Times New Roman"/>
          <w:color w:val="000000" w:themeColor="text1"/>
          <w:sz w:val="24"/>
          <w:szCs w:val="24"/>
          <w:lang w:val="en"/>
        </w:rPr>
        <w:t xml:space="preserve"> </w:t>
      </w:r>
      <w:r w:rsidRPr="001C7B25">
        <w:rPr>
          <w:rStyle w:val="tlid-translation"/>
          <w:rFonts w:ascii="Times New Roman" w:hAnsi="Times New Roman" w:cs="Times New Roman"/>
          <w:color w:val="000000" w:themeColor="text1"/>
          <w:sz w:val="24"/>
          <w:szCs w:val="24"/>
          <w:lang w:val="en"/>
        </w:rPr>
        <w:t xml:space="preserve">respectively, </w:t>
      </w:r>
      <w:r w:rsidR="00F243D9" w:rsidRPr="001C7B25">
        <w:rPr>
          <w:rStyle w:val="tlid-translation"/>
          <w:rFonts w:ascii="Times New Roman" w:hAnsi="Times New Roman" w:cs="Times New Roman"/>
          <w:color w:val="000000" w:themeColor="text1"/>
          <w:sz w:val="24"/>
          <w:szCs w:val="24"/>
          <w:lang w:val="en"/>
        </w:rPr>
        <w:t>indicating</w:t>
      </w:r>
      <w:r w:rsidRPr="001C7B25">
        <w:rPr>
          <w:rFonts w:ascii="Times New Roman" w:hAnsi="Times New Roman" w:cs="Times New Roman"/>
          <w:color w:val="000000" w:themeColor="text1"/>
          <w:kern w:val="24"/>
          <w:sz w:val="24"/>
          <w:szCs w:val="24"/>
        </w:rPr>
        <w:t xml:space="preserve"> a significant difference between </w:t>
      </w:r>
      <w:r w:rsidR="00F243D9" w:rsidRPr="001C7B25">
        <w:rPr>
          <w:rFonts w:ascii="Times New Roman" w:hAnsi="Times New Roman" w:cs="Times New Roman"/>
          <w:color w:val="000000" w:themeColor="text1"/>
          <w:kern w:val="24"/>
          <w:sz w:val="24"/>
          <w:szCs w:val="24"/>
        </w:rPr>
        <w:t xml:space="preserve">the </w:t>
      </w:r>
      <w:r w:rsidRPr="001C7B25">
        <w:rPr>
          <w:rFonts w:ascii="Times New Roman" w:hAnsi="Times New Roman" w:cs="Times New Roman"/>
          <w:color w:val="000000" w:themeColor="text1"/>
          <w:kern w:val="24"/>
          <w:sz w:val="24"/>
          <w:szCs w:val="24"/>
        </w:rPr>
        <w:t>two groups</w:t>
      </w:r>
      <w:r w:rsidR="00CD11F8" w:rsidRPr="001C7B25">
        <w:rPr>
          <w:rFonts w:ascii="Times New Roman" w:hAnsi="Times New Roman" w:cs="Times New Roman"/>
          <w:color w:val="000000" w:themeColor="text1"/>
          <w:kern w:val="24"/>
          <w:sz w:val="24"/>
          <w:szCs w:val="24"/>
        </w:rPr>
        <w:t xml:space="preserve"> (</w:t>
      </w:r>
      <w:r w:rsidR="00CD11F8" w:rsidRPr="001C7B25">
        <w:rPr>
          <w:rFonts w:ascii="Times New Roman" w:hAnsi="Times New Roman" w:cs="Times New Roman"/>
          <w:i/>
          <w:color w:val="000000" w:themeColor="text1"/>
          <w:kern w:val="24"/>
          <w:sz w:val="24"/>
          <w:szCs w:val="24"/>
        </w:rPr>
        <w:t>p</w:t>
      </w:r>
      <w:r w:rsidR="00CD11F8" w:rsidRPr="001C7B25">
        <w:rPr>
          <w:rFonts w:ascii="Times New Roman" w:hAnsi="Times New Roman" w:cs="Times New Roman"/>
          <w:color w:val="000000" w:themeColor="text1"/>
          <w:kern w:val="24"/>
          <w:sz w:val="24"/>
          <w:szCs w:val="24"/>
        </w:rPr>
        <w:t>&lt;0.0001, IPW-adjusted log-rank test)</w:t>
      </w:r>
      <w:r w:rsidRPr="001C7B25">
        <w:rPr>
          <w:rFonts w:ascii="Times New Roman" w:hAnsi="Times New Roman" w:cs="Times New Roman"/>
          <w:color w:val="000000" w:themeColor="text1"/>
          <w:kern w:val="24"/>
          <w:sz w:val="24"/>
          <w:szCs w:val="24"/>
        </w:rPr>
        <w:t>.</w:t>
      </w:r>
    </w:p>
    <w:p w14:paraId="6C7CDA6E" w14:textId="1F7B7A64" w:rsidR="004A7B85" w:rsidRPr="001C7B25" w:rsidRDefault="004A7B85" w:rsidP="0065537A">
      <w:pPr>
        <w:spacing w:line="480" w:lineRule="auto"/>
        <w:rPr>
          <w:rFonts w:ascii="Times New Roman" w:eastAsiaTheme="majorEastAsia" w:hAnsi="Times New Roman" w:cs="Times New Roman"/>
          <w:color w:val="000000" w:themeColor="text1"/>
          <w:sz w:val="24"/>
          <w:szCs w:val="24"/>
        </w:rPr>
      </w:pPr>
      <w:r w:rsidRPr="001C7B25">
        <w:rPr>
          <w:rFonts w:ascii="Times New Roman" w:hAnsi="Times New Roman" w:cs="Times New Roman"/>
          <w:color w:val="000000" w:themeColor="text1"/>
          <w:sz w:val="24"/>
          <w:szCs w:val="24"/>
        </w:rPr>
        <w:t>IPW</w:t>
      </w:r>
      <w:r w:rsidR="00B575A0" w:rsidRPr="001C7B25">
        <w:rPr>
          <w:rFonts w:ascii="Times New Roman" w:hAnsi="Times New Roman" w:cs="Times New Roman"/>
          <w:color w:val="000000" w:themeColor="text1"/>
          <w:sz w:val="24"/>
          <w:szCs w:val="24"/>
        </w:rPr>
        <w:t>,</w:t>
      </w:r>
      <w:r w:rsidRPr="001C7B25">
        <w:rPr>
          <w:rFonts w:ascii="Times New Roman" w:hAnsi="Times New Roman" w:cs="Times New Roman"/>
          <w:color w:val="000000" w:themeColor="text1"/>
          <w:sz w:val="24"/>
          <w:szCs w:val="24"/>
        </w:rPr>
        <w:t xml:space="preserve"> </w:t>
      </w:r>
      <w:r w:rsidR="00F243D9" w:rsidRPr="001C7B25">
        <w:rPr>
          <w:rFonts w:ascii="Times New Roman" w:hAnsi="Times New Roman" w:cs="Times New Roman"/>
          <w:color w:val="000000" w:themeColor="text1"/>
          <w:sz w:val="24"/>
          <w:szCs w:val="24"/>
        </w:rPr>
        <w:t>in</w:t>
      </w:r>
      <w:r w:rsidRPr="001C7B25">
        <w:rPr>
          <w:rFonts w:ascii="Times New Roman" w:hAnsi="Times New Roman" w:cs="Times New Roman"/>
          <w:color w:val="000000" w:themeColor="text1"/>
          <w:sz w:val="24"/>
          <w:szCs w:val="24"/>
        </w:rPr>
        <w:t>verse probability weighting</w:t>
      </w:r>
      <w:r w:rsidR="00B575A0" w:rsidRPr="001C7B25">
        <w:rPr>
          <w:rFonts w:ascii="Times New Roman" w:hAnsi="Times New Roman" w:cs="Times New Roman"/>
          <w:color w:val="000000" w:themeColor="text1"/>
          <w:sz w:val="24"/>
          <w:szCs w:val="24"/>
        </w:rPr>
        <w:t>;</w:t>
      </w:r>
      <w:r w:rsidRPr="001C7B25">
        <w:rPr>
          <w:rFonts w:ascii="Times New Roman" w:hAnsi="Times New Roman" w:cs="Times New Roman"/>
          <w:color w:val="000000" w:themeColor="text1"/>
          <w:sz w:val="24"/>
          <w:szCs w:val="24"/>
        </w:rPr>
        <w:t xml:space="preserve"> </w:t>
      </w:r>
      <w:r w:rsidR="00E522CB" w:rsidRPr="001C7B25">
        <w:rPr>
          <w:rFonts w:ascii="Times New Roman" w:eastAsiaTheme="majorEastAsia" w:hAnsi="Times New Roman" w:cs="Times New Roman"/>
          <w:color w:val="000000" w:themeColor="text1"/>
          <w:sz w:val="24"/>
          <w:szCs w:val="24"/>
        </w:rPr>
        <w:t>SVR</w:t>
      </w:r>
      <w:r w:rsidR="00B575A0" w:rsidRPr="001C7B25">
        <w:rPr>
          <w:rFonts w:ascii="Times New Roman" w:hAnsi="Times New Roman" w:cs="Times New Roman"/>
          <w:color w:val="000000" w:themeColor="text1"/>
          <w:sz w:val="24"/>
          <w:szCs w:val="24"/>
        </w:rPr>
        <w:t>,</w:t>
      </w:r>
      <w:r w:rsidR="00E522CB" w:rsidRPr="001C7B25">
        <w:rPr>
          <w:rFonts w:ascii="Times New Roman" w:eastAsiaTheme="majorEastAsia" w:hAnsi="Times New Roman" w:cs="Times New Roman"/>
          <w:color w:val="000000" w:themeColor="text1"/>
          <w:sz w:val="24"/>
          <w:szCs w:val="24"/>
        </w:rPr>
        <w:t xml:space="preserve"> sustained virological response</w:t>
      </w:r>
    </w:p>
    <w:p w14:paraId="4FDDDFEC" w14:textId="77DCE622" w:rsidR="00E522CB" w:rsidRPr="001C7B25" w:rsidRDefault="00E522CB" w:rsidP="0065537A">
      <w:pPr>
        <w:spacing w:line="480" w:lineRule="auto"/>
        <w:rPr>
          <w:rFonts w:ascii="Times New Roman" w:eastAsiaTheme="majorEastAsia" w:hAnsi="Times New Roman" w:cs="Times New Roman"/>
          <w:color w:val="000000" w:themeColor="text1"/>
          <w:sz w:val="24"/>
          <w:szCs w:val="24"/>
        </w:rPr>
      </w:pPr>
      <w:r w:rsidRPr="001C7B25">
        <w:rPr>
          <w:rFonts w:ascii="Times New Roman" w:eastAsiaTheme="majorEastAsia" w:hAnsi="Times New Roman" w:cs="Times New Roman"/>
          <w:color w:val="000000" w:themeColor="text1"/>
          <w:sz w:val="24"/>
          <w:szCs w:val="24"/>
        </w:rPr>
        <w:t>Figure 3</w:t>
      </w:r>
      <w:r w:rsidR="000043D3" w:rsidRPr="001C7B25">
        <w:rPr>
          <w:rFonts w:ascii="Times New Roman" w:eastAsiaTheme="majorEastAsia" w:hAnsi="Times New Roman" w:cs="Times New Roman"/>
          <w:color w:val="000000" w:themeColor="text1"/>
          <w:sz w:val="24"/>
          <w:szCs w:val="24"/>
        </w:rPr>
        <w:t>.</w:t>
      </w:r>
      <w:r w:rsidRPr="001C7B25">
        <w:rPr>
          <w:rFonts w:ascii="Times New Roman" w:eastAsiaTheme="majorEastAsia" w:hAnsi="Times New Roman" w:cs="Times New Roman"/>
          <w:color w:val="000000" w:themeColor="text1"/>
          <w:sz w:val="24"/>
          <w:szCs w:val="24"/>
        </w:rPr>
        <w:t xml:space="preserve"> Liver-related and </w:t>
      </w:r>
      <w:r w:rsidR="00EF7C51" w:rsidRPr="001C7B25">
        <w:rPr>
          <w:rFonts w:ascii="Times New Roman" w:eastAsiaTheme="majorEastAsia" w:hAnsi="Times New Roman" w:cs="Times New Roman"/>
          <w:color w:val="000000" w:themeColor="text1"/>
          <w:sz w:val="24"/>
          <w:szCs w:val="24"/>
        </w:rPr>
        <w:t xml:space="preserve">non–liver-related </w:t>
      </w:r>
      <w:r w:rsidRPr="001C7B25">
        <w:rPr>
          <w:rFonts w:ascii="Times New Roman" w:eastAsiaTheme="majorEastAsia" w:hAnsi="Times New Roman" w:cs="Times New Roman"/>
          <w:color w:val="000000" w:themeColor="text1"/>
          <w:sz w:val="24"/>
          <w:szCs w:val="24"/>
        </w:rPr>
        <w:t>mortality</w:t>
      </w:r>
    </w:p>
    <w:p w14:paraId="2D6F679C" w14:textId="7075A162" w:rsidR="00E522CB" w:rsidRPr="001C7B25" w:rsidRDefault="00E522CB" w:rsidP="0065537A">
      <w:pPr>
        <w:spacing w:line="480" w:lineRule="auto"/>
        <w:rPr>
          <w:rFonts w:ascii="Times New Roman" w:eastAsiaTheme="majorEastAsia" w:hAnsi="Times New Roman" w:cs="Times New Roman"/>
          <w:color w:val="000000" w:themeColor="text1"/>
          <w:sz w:val="24"/>
          <w:szCs w:val="24"/>
        </w:rPr>
      </w:pPr>
      <w:r w:rsidRPr="001C7B25">
        <w:rPr>
          <w:rStyle w:val="tlid-translation"/>
          <w:rFonts w:ascii="Times New Roman" w:hAnsi="Times New Roman" w:cs="Times New Roman"/>
          <w:color w:val="000000" w:themeColor="text1"/>
          <w:sz w:val="24"/>
          <w:szCs w:val="24"/>
          <w:lang w:val="en"/>
        </w:rPr>
        <w:t xml:space="preserve">The incidence rates of </w:t>
      </w:r>
      <w:r w:rsidRPr="001C7B25">
        <w:rPr>
          <w:rFonts w:ascii="Times New Roman" w:hAnsi="Times New Roman" w:cs="Times New Roman"/>
          <w:color w:val="000000" w:themeColor="text1"/>
          <w:kern w:val="0"/>
          <w:sz w:val="24"/>
          <w:szCs w:val="24"/>
        </w:rPr>
        <w:t>liver-related and non-liver related mortality</w:t>
      </w:r>
      <w:r w:rsidRPr="001C7B25">
        <w:rPr>
          <w:rFonts w:ascii="Times New Roman" w:eastAsia="AdvOT678fd422" w:hAnsi="Times New Roman" w:cs="Times New Roman"/>
          <w:color w:val="000000" w:themeColor="text1"/>
          <w:kern w:val="0"/>
          <w:sz w:val="24"/>
          <w:szCs w:val="24"/>
        </w:rPr>
        <w:t xml:space="preserve"> </w:t>
      </w:r>
      <w:r w:rsidRPr="001C7B25">
        <w:rPr>
          <w:rStyle w:val="tlid-translation"/>
          <w:rFonts w:ascii="Times New Roman" w:hAnsi="Times New Roman" w:cs="Times New Roman"/>
          <w:color w:val="000000" w:themeColor="text1"/>
          <w:sz w:val="24"/>
          <w:szCs w:val="24"/>
          <w:lang w:val="en"/>
        </w:rPr>
        <w:t>were 6.0% and 11.6% at 1 year, respectively, 9.7% and 15.8% at 2 years, respectively, and 13.8% and 19.8% at 5 years, respectively.</w:t>
      </w:r>
    </w:p>
    <w:p w14:paraId="30DC9744" w14:textId="6BBD1054" w:rsidR="00E522CB" w:rsidRPr="001C7B25" w:rsidRDefault="00E522CB" w:rsidP="0065537A">
      <w:pPr>
        <w:spacing w:line="480" w:lineRule="auto"/>
        <w:rPr>
          <w:rFonts w:ascii="Times New Roman" w:eastAsiaTheme="majorEastAsia" w:hAnsi="Times New Roman" w:cs="Times New Roman"/>
          <w:color w:val="000000" w:themeColor="text1"/>
          <w:sz w:val="24"/>
          <w:szCs w:val="24"/>
        </w:rPr>
      </w:pPr>
      <w:r w:rsidRPr="001C7B25">
        <w:rPr>
          <w:rFonts w:ascii="Times New Roman" w:eastAsiaTheme="majorEastAsia" w:hAnsi="Times New Roman" w:cs="Times New Roman"/>
          <w:color w:val="000000" w:themeColor="text1"/>
          <w:sz w:val="24"/>
          <w:szCs w:val="24"/>
        </w:rPr>
        <w:t>SVR</w:t>
      </w:r>
      <w:r w:rsidR="00B575A0" w:rsidRPr="001C7B25">
        <w:rPr>
          <w:rFonts w:ascii="Times New Roman" w:eastAsiaTheme="majorEastAsia" w:hAnsi="Times New Roman" w:cs="Times New Roman"/>
          <w:color w:val="000000" w:themeColor="text1"/>
          <w:sz w:val="24"/>
          <w:szCs w:val="24"/>
        </w:rPr>
        <w:t>,</w:t>
      </w:r>
      <w:r w:rsidRPr="001C7B25">
        <w:rPr>
          <w:rFonts w:ascii="Times New Roman" w:eastAsiaTheme="majorEastAsia" w:hAnsi="Times New Roman" w:cs="Times New Roman"/>
          <w:color w:val="000000" w:themeColor="text1"/>
          <w:sz w:val="24"/>
          <w:szCs w:val="24"/>
        </w:rPr>
        <w:t xml:space="preserve"> sustained virological response</w:t>
      </w:r>
    </w:p>
    <w:p w14:paraId="114DE6D2" w14:textId="5AA0821C" w:rsidR="00E522CB" w:rsidRPr="001C7B25" w:rsidRDefault="00E522CB" w:rsidP="0065537A">
      <w:pPr>
        <w:spacing w:line="480" w:lineRule="auto"/>
        <w:rPr>
          <w:rFonts w:ascii="Times New Roman" w:eastAsiaTheme="majorEastAsia" w:hAnsi="Times New Roman" w:cs="Times New Roman"/>
          <w:color w:val="000000" w:themeColor="text1"/>
          <w:sz w:val="24"/>
          <w:szCs w:val="24"/>
        </w:rPr>
      </w:pPr>
      <w:r w:rsidRPr="001C7B25">
        <w:rPr>
          <w:rFonts w:ascii="Times New Roman" w:eastAsiaTheme="majorEastAsia" w:hAnsi="Times New Roman" w:cs="Times New Roman"/>
          <w:color w:val="000000" w:themeColor="text1"/>
          <w:sz w:val="24"/>
          <w:szCs w:val="24"/>
        </w:rPr>
        <w:t>Fig</w:t>
      </w:r>
      <w:r w:rsidR="008F4CA7" w:rsidRPr="001C7B25">
        <w:rPr>
          <w:rFonts w:ascii="Times New Roman" w:eastAsiaTheme="majorEastAsia" w:hAnsi="Times New Roman" w:cs="Times New Roman"/>
          <w:color w:val="000000" w:themeColor="text1"/>
          <w:sz w:val="24"/>
          <w:szCs w:val="24"/>
        </w:rPr>
        <w:t>ure</w:t>
      </w:r>
      <w:r w:rsidRPr="001C7B25">
        <w:rPr>
          <w:rFonts w:ascii="Times New Roman" w:eastAsiaTheme="majorEastAsia" w:hAnsi="Times New Roman" w:cs="Times New Roman"/>
          <w:color w:val="000000" w:themeColor="text1"/>
          <w:sz w:val="24"/>
          <w:szCs w:val="24"/>
        </w:rPr>
        <w:t xml:space="preserve"> 4</w:t>
      </w:r>
      <w:r w:rsidR="000043D3" w:rsidRPr="001C7B25">
        <w:rPr>
          <w:rFonts w:ascii="Times New Roman" w:eastAsiaTheme="majorEastAsia" w:hAnsi="Times New Roman" w:cs="Times New Roman"/>
          <w:color w:val="000000" w:themeColor="text1"/>
          <w:sz w:val="24"/>
          <w:szCs w:val="24"/>
        </w:rPr>
        <w:t>.</w:t>
      </w:r>
      <w:r w:rsidRPr="001C7B25">
        <w:rPr>
          <w:rFonts w:ascii="Times New Roman" w:eastAsiaTheme="majorEastAsia" w:hAnsi="Times New Roman" w:cs="Times New Roman"/>
          <w:color w:val="000000" w:themeColor="text1"/>
          <w:sz w:val="24"/>
          <w:szCs w:val="24"/>
        </w:rPr>
        <w:t xml:space="preserve"> Liver-related mortality </w:t>
      </w:r>
      <w:r w:rsidR="008F4CA7" w:rsidRPr="001C7B25">
        <w:rPr>
          <w:rFonts w:ascii="Times New Roman" w:eastAsiaTheme="majorEastAsia" w:hAnsi="Times New Roman" w:cs="Times New Roman"/>
          <w:color w:val="000000" w:themeColor="text1"/>
          <w:sz w:val="24"/>
          <w:szCs w:val="24"/>
        </w:rPr>
        <w:t>with and without</w:t>
      </w:r>
      <w:r w:rsidRPr="001C7B25">
        <w:rPr>
          <w:rFonts w:ascii="Times New Roman" w:eastAsiaTheme="majorEastAsia" w:hAnsi="Times New Roman" w:cs="Times New Roman"/>
          <w:color w:val="000000" w:themeColor="text1"/>
          <w:sz w:val="24"/>
          <w:szCs w:val="24"/>
        </w:rPr>
        <w:t xml:space="preserve"> DAA therapy</w:t>
      </w:r>
      <w:r w:rsidR="0030527F" w:rsidRPr="001C7B25">
        <w:rPr>
          <w:rFonts w:ascii="Times New Roman" w:eastAsiaTheme="majorEastAsia" w:hAnsi="Times New Roman" w:cs="Times New Roman"/>
          <w:color w:val="000000" w:themeColor="text1"/>
          <w:sz w:val="24"/>
          <w:szCs w:val="24"/>
        </w:rPr>
        <w:t xml:space="preserve"> </w:t>
      </w:r>
      <w:r w:rsidR="008F4CA7" w:rsidRPr="001C7B25">
        <w:rPr>
          <w:rFonts w:ascii="Times New Roman" w:eastAsiaTheme="majorEastAsia" w:hAnsi="Times New Roman" w:cs="Times New Roman"/>
          <w:color w:val="000000" w:themeColor="text1"/>
          <w:sz w:val="24"/>
          <w:szCs w:val="24"/>
        </w:rPr>
        <w:t xml:space="preserve">and </w:t>
      </w:r>
      <w:r w:rsidR="0030527F" w:rsidRPr="001C7B25">
        <w:rPr>
          <w:rFonts w:ascii="Times New Roman" w:eastAsiaTheme="majorEastAsia" w:hAnsi="Times New Roman" w:cs="Times New Roman"/>
          <w:color w:val="000000" w:themeColor="text1"/>
          <w:sz w:val="24"/>
          <w:szCs w:val="24"/>
        </w:rPr>
        <w:t>adjusted by IPW</w:t>
      </w:r>
      <w:r w:rsidR="00F367EA" w:rsidRPr="001C7B25">
        <w:rPr>
          <w:rFonts w:ascii="Times New Roman" w:eastAsiaTheme="majorEastAsia" w:hAnsi="Times New Roman" w:cs="Times New Roman"/>
          <w:color w:val="000000" w:themeColor="text1"/>
          <w:sz w:val="24"/>
          <w:szCs w:val="24"/>
        </w:rPr>
        <w:t>.</w:t>
      </w:r>
    </w:p>
    <w:p w14:paraId="646ECABA" w14:textId="1DFB2CEB" w:rsidR="00E522CB" w:rsidRPr="001C7B25" w:rsidRDefault="00E522CB" w:rsidP="0065537A">
      <w:pPr>
        <w:spacing w:line="480" w:lineRule="auto"/>
        <w:rPr>
          <w:rFonts w:ascii="Times New Roman" w:eastAsiaTheme="majorEastAsia" w:hAnsi="Times New Roman" w:cs="Times New Roman"/>
          <w:color w:val="000000" w:themeColor="text1"/>
          <w:sz w:val="24"/>
          <w:szCs w:val="24"/>
        </w:rPr>
      </w:pPr>
      <w:r w:rsidRPr="001C7B25">
        <w:rPr>
          <w:rFonts w:ascii="Times New Roman" w:hAnsi="Times New Roman" w:cs="Times New Roman"/>
          <w:color w:val="000000" w:themeColor="text1"/>
          <w:kern w:val="24"/>
          <w:sz w:val="24"/>
          <w:szCs w:val="24"/>
        </w:rPr>
        <w:t xml:space="preserve">The cumulative incidence rates of liver-related mortality with and without DAA therapy were 2.9% and 8.4% at 1 years, respectively, </w:t>
      </w:r>
      <w:r w:rsidR="00F367EA" w:rsidRPr="001C7B25">
        <w:rPr>
          <w:rFonts w:ascii="Times New Roman" w:hAnsi="Times New Roman" w:cs="Times New Roman"/>
          <w:color w:val="000000" w:themeColor="text1"/>
          <w:kern w:val="24"/>
          <w:sz w:val="24"/>
          <w:szCs w:val="24"/>
        </w:rPr>
        <w:t>5.8</w:t>
      </w:r>
      <w:r w:rsidRPr="001C7B25">
        <w:rPr>
          <w:rFonts w:ascii="Times New Roman" w:hAnsi="Times New Roman" w:cs="Times New Roman"/>
          <w:color w:val="000000" w:themeColor="text1"/>
          <w:kern w:val="24"/>
          <w:sz w:val="24"/>
          <w:szCs w:val="24"/>
        </w:rPr>
        <w:t xml:space="preserve">% and </w:t>
      </w:r>
      <w:r w:rsidR="00F367EA" w:rsidRPr="001C7B25">
        <w:rPr>
          <w:rFonts w:ascii="Times New Roman" w:hAnsi="Times New Roman" w:cs="Times New Roman"/>
          <w:color w:val="000000" w:themeColor="text1"/>
          <w:kern w:val="24"/>
          <w:sz w:val="24"/>
          <w:szCs w:val="24"/>
        </w:rPr>
        <w:t>9.4</w:t>
      </w:r>
      <w:r w:rsidRPr="001C7B25">
        <w:rPr>
          <w:rFonts w:ascii="Times New Roman" w:hAnsi="Times New Roman" w:cs="Times New Roman"/>
          <w:color w:val="000000" w:themeColor="text1"/>
          <w:kern w:val="24"/>
          <w:sz w:val="24"/>
          <w:szCs w:val="24"/>
        </w:rPr>
        <w:t xml:space="preserve">% at 2 years, respectively, and </w:t>
      </w:r>
      <w:r w:rsidR="00F367EA" w:rsidRPr="001C7B25">
        <w:rPr>
          <w:rFonts w:ascii="Times New Roman" w:hAnsi="Times New Roman" w:cs="Times New Roman"/>
          <w:color w:val="000000" w:themeColor="text1"/>
          <w:kern w:val="24"/>
          <w:sz w:val="24"/>
          <w:szCs w:val="24"/>
        </w:rPr>
        <w:t>6.5</w:t>
      </w:r>
      <w:r w:rsidRPr="001C7B25">
        <w:rPr>
          <w:rFonts w:ascii="Times New Roman" w:hAnsi="Times New Roman" w:cs="Times New Roman"/>
          <w:color w:val="000000" w:themeColor="text1"/>
          <w:kern w:val="24"/>
          <w:sz w:val="24"/>
          <w:szCs w:val="24"/>
        </w:rPr>
        <w:t xml:space="preserve">% and </w:t>
      </w:r>
      <w:r w:rsidR="00F367EA" w:rsidRPr="001C7B25">
        <w:rPr>
          <w:rFonts w:ascii="Times New Roman" w:hAnsi="Times New Roman" w:cs="Times New Roman"/>
          <w:color w:val="000000" w:themeColor="text1"/>
          <w:kern w:val="24"/>
          <w:sz w:val="24"/>
          <w:szCs w:val="24"/>
        </w:rPr>
        <w:t>12.6</w:t>
      </w:r>
      <w:r w:rsidRPr="001C7B25">
        <w:rPr>
          <w:rFonts w:ascii="Times New Roman" w:hAnsi="Times New Roman" w:cs="Times New Roman"/>
          <w:color w:val="000000" w:themeColor="text1"/>
          <w:kern w:val="24"/>
          <w:sz w:val="24"/>
          <w:szCs w:val="24"/>
        </w:rPr>
        <w:t xml:space="preserve">% at 3 years, respectively, </w:t>
      </w:r>
      <w:r w:rsidR="008F4CA7" w:rsidRPr="001C7B25">
        <w:rPr>
          <w:rFonts w:ascii="Times New Roman" w:hAnsi="Times New Roman" w:cs="Times New Roman"/>
          <w:color w:val="000000" w:themeColor="text1"/>
          <w:kern w:val="24"/>
          <w:sz w:val="24"/>
          <w:szCs w:val="24"/>
        </w:rPr>
        <w:t>indicating</w:t>
      </w:r>
      <w:r w:rsidRPr="001C7B25">
        <w:rPr>
          <w:rFonts w:ascii="Times New Roman" w:hAnsi="Times New Roman" w:cs="Times New Roman"/>
          <w:color w:val="000000" w:themeColor="text1"/>
          <w:kern w:val="24"/>
          <w:sz w:val="24"/>
          <w:szCs w:val="24"/>
        </w:rPr>
        <w:t xml:space="preserve"> a significant difference between </w:t>
      </w:r>
      <w:r w:rsidR="008F4CA7" w:rsidRPr="001C7B25">
        <w:rPr>
          <w:rFonts w:ascii="Times New Roman" w:hAnsi="Times New Roman" w:cs="Times New Roman"/>
          <w:color w:val="000000" w:themeColor="text1"/>
          <w:kern w:val="24"/>
          <w:sz w:val="24"/>
          <w:szCs w:val="24"/>
        </w:rPr>
        <w:t xml:space="preserve">the </w:t>
      </w:r>
      <w:r w:rsidRPr="001C7B25">
        <w:rPr>
          <w:rFonts w:ascii="Times New Roman" w:hAnsi="Times New Roman" w:cs="Times New Roman"/>
          <w:color w:val="000000" w:themeColor="text1"/>
          <w:kern w:val="24"/>
          <w:sz w:val="24"/>
          <w:szCs w:val="24"/>
        </w:rPr>
        <w:t>two groups</w:t>
      </w:r>
      <w:r w:rsidR="00CD11F8" w:rsidRPr="001C7B25">
        <w:rPr>
          <w:rFonts w:ascii="Times New Roman" w:hAnsi="Times New Roman" w:cs="Times New Roman"/>
          <w:color w:val="000000" w:themeColor="text1"/>
          <w:kern w:val="24"/>
          <w:sz w:val="24"/>
          <w:szCs w:val="24"/>
        </w:rPr>
        <w:t xml:space="preserve"> (</w:t>
      </w:r>
      <w:r w:rsidR="00CD11F8" w:rsidRPr="001C7B25">
        <w:rPr>
          <w:rFonts w:ascii="Times New Roman" w:hAnsi="Times New Roman" w:cs="Times New Roman"/>
          <w:i/>
          <w:color w:val="000000" w:themeColor="text1"/>
          <w:kern w:val="24"/>
          <w:sz w:val="24"/>
          <w:szCs w:val="24"/>
        </w:rPr>
        <w:t>p</w:t>
      </w:r>
      <w:r w:rsidR="00CD11F8" w:rsidRPr="001C7B25">
        <w:rPr>
          <w:rFonts w:ascii="Times New Roman" w:hAnsi="Times New Roman" w:cs="Times New Roman"/>
          <w:color w:val="000000" w:themeColor="text1"/>
          <w:kern w:val="24"/>
          <w:sz w:val="24"/>
          <w:szCs w:val="24"/>
        </w:rPr>
        <w:t>&lt;0.0001, IPW-adjusted log-rank test)</w:t>
      </w:r>
      <w:r w:rsidRPr="001C7B25">
        <w:rPr>
          <w:rFonts w:ascii="Times New Roman" w:hAnsi="Times New Roman" w:cs="Times New Roman"/>
          <w:color w:val="000000" w:themeColor="text1"/>
          <w:kern w:val="24"/>
          <w:sz w:val="24"/>
          <w:szCs w:val="24"/>
        </w:rPr>
        <w:t>.</w:t>
      </w:r>
    </w:p>
    <w:p w14:paraId="40143262" w14:textId="2AA05312" w:rsidR="00E522CB" w:rsidRPr="001C7B25" w:rsidRDefault="00F367EA" w:rsidP="0065537A">
      <w:pPr>
        <w:spacing w:line="480" w:lineRule="auto"/>
        <w:rPr>
          <w:rFonts w:ascii="Times New Roman" w:eastAsiaTheme="majorEastAsia" w:hAnsi="Times New Roman" w:cs="Times New Roman"/>
          <w:color w:val="000000" w:themeColor="text1"/>
          <w:sz w:val="24"/>
          <w:szCs w:val="24"/>
        </w:rPr>
      </w:pPr>
      <w:r w:rsidRPr="001C7B25">
        <w:rPr>
          <w:rFonts w:ascii="Times New Roman" w:hAnsi="Times New Roman" w:cs="Times New Roman"/>
          <w:color w:val="000000" w:themeColor="text1"/>
          <w:sz w:val="24"/>
          <w:szCs w:val="24"/>
        </w:rPr>
        <w:t>IPW</w:t>
      </w:r>
      <w:r w:rsidR="00B575A0" w:rsidRPr="001C7B25">
        <w:rPr>
          <w:rFonts w:ascii="Times New Roman" w:hAnsi="Times New Roman" w:cs="Times New Roman"/>
          <w:color w:val="000000" w:themeColor="text1"/>
          <w:sz w:val="24"/>
          <w:szCs w:val="24"/>
        </w:rPr>
        <w:t xml:space="preserve">, </w:t>
      </w:r>
      <w:r w:rsidR="008F4CA7" w:rsidRPr="001C7B25">
        <w:rPr>
          <w:rFonts w:ascii="Times New Roman" w:hAnsi="Times New Roman" w:cs="Times New Roman"/>
          <w:color w:val="000000" w:themeColor="text1"/>
          <w:sz w:val="24"/>
          <w:szCs w:val="24"/>
        </w:rPr>
        <w:t>in</w:t>
      </w:r>
      <w:r w:rsidRPr="001C7B25">
        <w:rPr>
          <w:rFonts w:ascii="Times New Roman" w:hAnsi="Times New Roman" w:cs="Times New Roman"/>
          <w:color w:val="000000" w:themeColor="text1"/>
          <w:sz w:val="24"/>
          <w:szCs w:val="24"/>
        </w:rPr>
        <w:t>verse probability weighting</w:t>
      </w:r>
      <w:r w:rsidR="00B575A0" w:rsidRPr="001C7B25">
        <w:rPr>
          <w:rFonts w:ascii="Times New Roman" w:hAnsi="Times New Roman" w:cs="Times New Roman"/>
          <w:color w:val="000000" w:themeColor="text1"/>
          <w:sz w:val="24"/>
          <w:szCs w:val="24"/>
        </w:rPr>
        <w:t>;</w:t>
      </w:r>
      <w:r w:rsidRPr="001C7B25">
        <w:rPr>
          <w:rFonts w:ascii="Times New Roman" w:hAnsi="Times New Roman" w:cs="Times New Roman"/>
          <w:color w:val="000000" w:themeColor="text1"/>
          <w:sz w:val="24"/>
          <w:szCs w:val="24"/>
        </w:rPr>
        <w:t xml:space="preserve"> </w:t>
      </w:r>
      <w:r w:rsidR="00E522CB" w:rsidRPr="001C7B25">
        <w:rPr>
          <w:rFonts w:ascii="Times New Roman" w:hAnsi="Times New Roman" w:cs="Times New Roman"/>
          <w:color w:val="000000" w:themeColor="text1"/>
          <w:sz w:val="24"/>
          <w:szCs w:val="24"/>
        </w:rPr>
        <w:t>DAA</w:t>
      </w:r>
      <w:r w:rsidR="00B575A0" w:rsidRPr="001C7B25">
        <w:rPr>
          <w:rFonts w:ascii="Times New Roman" w:hAnsi="Times New Roman" w:cs="Times New Roman"/>
          <w:color w:val="000000" w:themeColor="text1"/>
          <w:sz w:val="24"/>
          <w:szCs w:val="24"/>
        </w:rPr>
        <w:t xml:space="preserve">, </w:t>
      </w:r>
      <w:r w:rsidR="00E522CB" w:rsidRPr="001C7B25">
        <w:rPr>
          <w:rFonts w:ascii="Times New Roman" w:eastAsiaTheme="majorEastAsia" w:hAnsi="Times New Roman" w:cs="Times New Roman"/>
          <w:color w:val="000000" w:themeColor="text1"/>
          <w:sz w:val="24"/>
          <w:szCs w:val="24"/>
        </w:rPr>
        <w:t>direct-acting antiviral</w:t>
      </w:r>
      <w:r w:rsidR="00B575A0" w:rsidRPr="001C7B25">
        <w:rPr>
          <w:rFonts w:ascii="Times New Roman" w:hAnsi="Times New Roman" w:cs="Times New Roman"/>
          <w:color w:val="000000" w:themeColor="text1"/>
          <w:sz w:val="24"/>
          <w:szCs w:val="24"/>
        </w:rPr>
        <w:t>;</w:t>
      </w:r>
      <w:r w:rsidR="00E522CB" w:rsidRPr="001C7B25">
        <w:rPr>
          <w:rFonts w:ascii="Times New Roman" w:eastAsiaTheme="majorEastAsia" w:hAnsi="Times New Roman" w:cs="Times New Roman"/>
          <w:color w:val="000000" w:themeColor="text1"/>
          <w:sz w:val="24"/>
          <w:szCs w:val="24"/>
        </w:rPr>
        <w:t xml:space="preserve"> SVR</w:t>
      </w:r>
      <w:r w:rsidR="00B575A0" w:rsidRPr="001C7B25">
        <w:rPr>
          <w:rFonts w:ascii="Times New Roman" w:eastAsiaTheme="majorEastAsia" w:hAnsi="Times New Roman" w:cs="Times New Roman"/>
          <w:color w:val="000000" w:themeColor="text1"/>
          <w:sz w:val="24"/>
          <w:szCs w:val="24"/>
        </w:rPr>
        <w:t>,</w:t>
      </w:r>
      <w:r w:rsidR="00E522CB" w:rsidRPr="001C7B25">
        <w:rPr>
          <w:rFonts w:ascii="Times New Roman" w:eastAsiaTheme="majorEastAsia" w:hAnsi="Times New Roman" w:cs="Times New Roman"/>
          <w:color w:val="000000" w:themeColor="text1"/>
          <w:sz w:val="24"/>
          <w:szCs w:val="24"/>
        </w:rPr>
        <w:t xml:space="preserve"> sustained virological response.</w:t>
      </w:r>
    </w:p>
    <w:p w14:paraId="5A0EC5D8" w14:textId="418BA28A" w:rsidR="00E522CB" w:rsidRPr="001C7B25" w:rsidRDefault="00E522CB" w:rsidP="0065537A">
      <w:pPr>
        <w:spacing w:line="480" w:lineRule="auto"/>
        <w:rPr>
          <w:color w:val="000000" w:themeColor="text1"/>
        </w:rPr>
      </w:pPr>
      <w:r w:rsidRPr="001C7B25">
        <w:rPr>
          <w:rFonts w:ascii="Times New Roman" w:eastAsiaTheme="majorEastAsia" w:hAnsi="Times New Roman" w:cs="Times New Roman"/>
          <w:color w:val="000000" w:themeColor="text1"/>
          <w:sz w:val="24"/>
          <w:szCs w:val="24"/>
        </w:rPr>
        <w:t>Figure 5</w:t>
      </w:r>
      <w:r w:rsidR="00530172" w:rsidRPr="001C7B25">
        <w:rPr>
          <w:rFonts w:ascii="Times New Roman" w:eastAsiaTheme="majorEastAsia" w:hAnsi="Times New Roman" w:cs="Times New Roman"/>
          <w:color w:val="000000" w:themeColor="text1"/>
          <w:sz w:val="24"/>
          <w:szCs w:val="24"/>
        </w:rPr>
        <w:t>.</w:t>
      </w:r>
      <w:r w:rsidRPr="001C7B25">
        <w:rPr>
          <w:rFonts w:ascii="Times New Roman" w:eastAsiaTheme="majorEastAsia" w:hAnsi="Times New Roman" w:cs="Times New Roman"/>
          <w:color w:val="000000" w:themeColor="text1"/>
          <w:sz w:val="24"/>
          <w:szCs w:val="24"/>
        </w:rPr>
        <w:t xml:space="preserve"> </w:t>
      </w:r>
      <w:r w:rsidR="00EF7C51" w:rsidRPr="001C7B25">
        <w:rPr>
          <w:rFonts w:ascii="Times New Roman" w:eastAsiaTheme="majorEastAsia" w:hAnsi="Times New Roman" w:cs="Times New Roman"/>
          <w:color w:val="000000" w:themeColor="text1"/>
          <w:sz w:val="24"/>
          <w:szCs w:val="24"/>
        </w:rPr>
        <w:t xml:space="preserve">Non–liver-related </w:t>
      </w:r>
      <w:r w:rsidRPr="001C7B25">
        <w:rPr>
          <w:rFonts w:ascii="Times New Roman" w:eastAsiaTheme="majorEastAsia" w:hAnsi="Times New Roman" w:cs="Times New Roman"/>
          <w:color w:val="000000" w:themeColor="text1"/>
          <w:sz w:val="24"/>
          <w:szCs w:val="24"/>
        </w:rPr>
        <w:t xml:space="preserve">mortality with </w:t>
      </w:r>
      <w:r w:rsidR="008F4CA7" w:rsidRPr="001C7B25">
        <w:rPr>
          <w:rFonts w:ascii="Times New Roman" w:eastAsiaTheme="majorEastAsia" w:hAnsi="Times New Roman" w:cs="Times New Roman"/>
          <w:color w:val="000000" w:themeColor="text1"/>
          <w:sz w:val="24"/>
          <w:szCs w:val="24"/>
        </w:rPr>
        <w:t xml:space="preserve">and </w:t>
      </w:r>
      <w:r w:rsidRPr="001C7B25">
        <w:rPr>
          <w:rFonts w:ascii="Times New Roman" w:eastAsiaTheme="majorEastAsia" w:hAnsi="Times New Roman" w:cs="Times New Roman"/>
          <w:color w:val="000000" w:themeColor="text1"/>
          <w:sz w:val="24"/>
          <w:szCs w:val="24"/>
        </w:rPr>
        <w:t>without DAA therapy</w:t>
      </w:r>
      <w:r w:rsidR="00F367EA" w:rsidRPr="001C7B25">
        <w:rPr>
          <w:rFonts w:ascii="Times New Roman" w:eastAsiaTheme="majorEastAsia" w:hAnsi="Times New Roman" w:cs="Times New Roman"/>
          <w:color w:val="000000" w:themeColor="text1"/>
          <w:sz w:val="24"/>
          <w:szCs w:val="24"/>
        </w:rPr>
        <w:t xml:space="preserve"> </w:t>
      </w:r>
      <w:r w:rsidR="003920AB" w:rsidRPr="001C7B25">
        <w:rPr>
          <w:rFonts w:ascii="Times New Roman" w:eastAsiaTheme="majorEastAsia" w:hAnsi="Times New Roman" w:cs="Times New Roman"/>
          <w:color w:val="000000" w:themeColor="text1"/>
          <w:sz w:val="24"/>
          <w:szCs w:val="24"/>
        </w:rPr>
        <w:t>and adjusted by</w:t>
      </w:r>
      <w:r w:rsidR="00F367EA" w:rsidRPr="001C7B25">
        <w:rPr>
          <w:rFonts w:ascii="Times New Roman" w:eastAsiaTheme="majorEastAsia" w:hAnsi="Times New Roman" w:cs="Times New Roman"/>
          <w:color w:val="000000" w:themeColor="text1"/>
          <w:sz w:val="24"/>
          <w:szCs w:val="24"/>
        </w:rPr>
        <w:t xml:space="preserve"> IPW</w:t>
      </w:r>
      <w:r w:rsidR="00F367EA" w:rsidRPr="001C7B25">
        <w:rPr>
          <w:color w:val="000000" w:themeColor="text1"/>
        </w:rPr>
        <w:t>.</w:t>
      </w:r>
    </w:p>
    <w:p w14:paraId="763DF1E9" w14:textId="47F7003F" w:rsidR="00E522CB" w:rsidRPr="001C7B25" w:rsidRDefault="00E522CB" w:rsidP="0065537A">
      <w:pPr>
        <w:spacing w:line="480" w:lineRule="auto"/>
        <w:rPr>
          <w:rFonts w:ascii="Times New Roman" w:eastAsiaTheme="majorEastAsia" w:hAnsi="Times New Roman" w:cs="Times New Roman"/>
          <w:color w:val="000000" w:themeColor="text1"/>
          <w:sz w:val="24"/>
          <w:szCs w:val="24"/>
        </w:rPr>
      </w:pPr>
      <w:r w:rsidRPr="001C7B25">
        <w:rPr>
          <w:rFonts w:ascii="Times New Roman" w:hAnsi="Times New Roman" w:cs="Times New Roman"/>
          <w:color w:val="000000" w:themeColor="text1"/>
          <w:kern w:val="24"/>
          <w:sz w:val="24"/>
          <w:szCs w:val="24"/>
        </w:rPr>
        <w:t xml:space="preserve">The cumulative incidence rates of </w:t>
      </w:r>
      <w:r w:rsidR="00EF7C51" w:rsidRPr="001C7B25">
        <w:rPr>
          <w:rFonts w:ascii="Times New Roman" w:hAnsi="Times New Roman" w:cs="Times New Roman"/>
          <w:color w:val="000000" w:themeColor="text1"/>
          <w:kern w:val="24"/>
          <w:sz w:val="24"/>
          <w:szCs w:val="24"/>
        </w:rPr>
        <w:t xml:space="preserve">non–liver-related </w:t>
      </w:r>
      <w:r w:rsidRPr="001C7B25">
        <w:rPr>
          <w:rFonts w:ascii="Times New Roman" w:hAnsi="Times New Roman" w:cs="Times New Roman"/>
          <w:color w:val="000000" w:themeColor="text1"/>
          <w:kern w:val="24"/>
          <w:sz w:val="24"/>
          <w:szCs w:val="24"/>
        </w:rPr>
        <w:t xml:space="preserve">mortality with and without DAA therapy were </w:t>
      </w:r>
      <w:r w:rsidR="00F367EA" w:rsidRPr="001C7B25">
        <w:rPr>
          <w:rFonts w:ascii="Times New Roman" w:hAnsi="Times New Roman" w:cs="Times New Roman"/>
          <w:color w:val="000000" w:themeColor="text1"/>
          <w:kern w:val="24"/>
          <w:sz w:val="24"/>
          <w:szCs w:val="24"/>
        </w:rPr>
        <w:t>2.2</w:t>
      </w:r>
      <w:r w:rsidRPr="001C7B25">
        <w:rPr>
          <w:rFonts w:ascii="Times New Roman" w:hAnsi="Times New Roman" w:cs="Times New Roman"/>
          <w:color w:val="000000" w:themeColor="text1"/>
          <w:kern w:val="24"/>
          <w:sz w:val="24"/>
          <w:szCs w:val="24"/>
        </w:rPr>
        <w:t xml:space="preserve">% and </w:t>
      </w:r>
      <w:r w:rsidR="00F367EA" w:rsidRPr="001C7B25">
        <w:rPr>
          <w:rFonts w:ascii="Times New Roman" w:hAnsi="Times New Roman" w:cs="Times New Roman"/>
          <w:color w:val="000000" w:themeColor="text1"/>
          <w:kern w:val="24"/>
          <w:sz w:val="24"/>
          <w:szCs w:val="24"/>
        </w:rPr>
        <w:t>11.5</w:t>
      </w:r>
      <w:r w:rsidRPr="001C7B25">
        <w:rPr>
          <w:rFonts w:ascii="Times New Roman" w:hAnsi="Times New Roman" w:cs="Times New Roman"/>
          <w:color w:val="000000" w:themeColor="text1"/>
          <w:kern w:val="24"/>
          <w:sz w:val="24"/>
          <w:szCs w:val="24"/>
        </w:rPr>
        <w:t xml:space="preserve">% at 1 year, respectively, </w:t>
      </w:r>
      <w:r w:rsidR="00F367EA" w:rsidRPr="001C7B25">
        <w:rPr>
          <w:rFonts w:ascii="Times New Roman" w:hAnsi="Times New Roman" w:cs="Times New Roman"/>
          <w:color w:val="000000" w:themeColor="text1"/>
          <w:kern w:val="24"/>
          <w:sz w:val="24"/>
          <w:szCs w:val="24"/>
        </w:rPr>
        <w:t>7.3</w:t>
      </w:r>
      <w:r w:rsidRPr="001C7B25">
        <w:rPr>
          <w:rFonts w:ascii="Times New Roman" w:hAnsi="Times New Roman" w:cs="Times New Roman"/>
          <w:color w:val="000000" w:themeColor="text1"/>
          <w:kern w:val="24"/>
          <w:sz w:val="24"/>
          <w:szCs w:val="24"/>
        </w:rPr>
        <w:t xml:space="preserve">% and </w:t>
      </w:r>
      <w:r w:rsidR="00F367EA" w:rsidRPr="001C7B25">
        <w:rPr>
          <w:rFonts w:ascii="Times New Roman" w:hAnsi="Times New Roman" w:cs="Times New Roman"/>
          <w:color w:val="000000" w:themeColor="text1"/>
          <w:kern w:val="24"/>
          <w:sz w:val="24"/>
          <w:szCs w:val="24"/>
        </w:rPr>
        <w:t>14.3</w:t>
      </w:r>
      <w:r w:rsidRPr="001C7B25">
        <w:rPr>
          <w:rFonts w:ascii="Times New Roman" w:hAnsi="Times New Roman" w:cs="Times New Roman"/>
          <w:color w:val="000000" w:themeColor="text1"/>
          <w:kern w:val="24"/>
          <w:sz w:val="24"/>
          <w:szCs w:val="24"/>
        </w:rPr>
        <w:t xml:space="preserve">% at 2 years, respectively, and </w:t>
      </w:r>
      <w:r w:rsidR="00F367EA" w:rsidRPr="001C7B25">
        <w:rPr>
          <w:rFonts w:ascii="Times New Roman" w:hAnsi="Times New Roman" w:cs="Times New Roman"/>
          <w:color w:val="000000" w:themeColor="text1"/>
          <w:kern w:val="24"/>
          <w:sz w:val="24"/>
          <w:szCs w:val="24"/>
        </w:rPr>
        <w:t>10.3</w:t>
      </w:r>
      <w:r w:rsidRPr="001C7B25">
        <w:rPr>
          <w:rFonts w:ascii="Times New Roman" w:hAnsi="Times New Roman" w:cs="Times New Roman"/>
          <w:color w:val="000000" w:themeColor="text1"/>
          <w:kern w:val="24"/>
          <w:sz w:val="24"/>
          <w:szCs w:val="24"/>
        </w:rPr>
        <w:t xml:space="preserve">% and </w:t>
      </w:r>
      <w:r w:rsidR="00F367EA" w:rsidRPr="001C7B25">
        <w:rPr>
          <w:rFonts w:ascii="Times New Roman" w:hAnsi="Times New Roman" w:cs="Times New Roman"/>
          <w:color w:val="000000" w:themeColor="text1"/>
          <w:kern w:val="24"/>
          <w:sz w:val="24"/>
          <w:szCs w:val="24"/>
        </w:rPr>
        <w:t>16.5</w:t>
      </w:r>
      <w:r w:rsidRPr="001C7B25">
        <w:rPr>
          <w:rFonts w:ascii="Times New Roman" w:hAnsi="Times New Roman" w:cs="Times New Roman"/>
          <w:color w:val="000000" w:themeColor="text1"/>
          <w:kern w:val="24"/>
          <w:sz w:val="24"/>
          <w:szCs w:val="24"/>
        </w:rPr>
        <w:t>% at 3 years, respectively, and there was a significant difference between the two groups</w:t>
      </w:r>
      <w:r w:rsidR="00CD11F8" w:rsidRPr="001C7B25">
        <w:rPr>
          <w:rFonts w:ascii="Times New Roman" w:hAnsi="Times New Roman" w:cs="Times New Roman"/>
          <w:color w:val="000000" w:themeColor="text1"/>
          <w:kern w:val="24"/>
          <w:sz w:val="24"/>
          <w:szCs w:val="24"/>
        </w:rPr>
        <w:t xml:space="preserve"> (</w:t>
      </w:r>
      <w:r w:rsidR="00CD11F8" w:rsidRPr="001C7B25">
        <w:rPr>
          <w:rFonts w:ascii="Times New Roman" w:hAnsi="Times New Roman" w:cs="Times New Roman"/>
          <w:i/>
          <w:color w:val="000000" w:themeColor="text1"/>
          <w:kern w:val="24"/>
          <w:sz w:val="24"/>
          <w:szCs w:val="24"/>
        </w:rPr>
        <w:t>p</w:t>
      </w:r>
      <w:r w:rsidR="00CD11F8" w:rsidRPr="001C7B25">
        <w:rPr>
          <w:rFonts w:ascii="Times New Roman" w:hAnsi="Times New Roman" w:cs="Times New Roman"/>
          <w:color w:val="000000" w:themeColor="text1"/>
          <w:kern w:val="24"/>
          <w:sz w:val="24"/>
          <w:szCs w:val="24"/>
        </w:rPr>
        <w:t>&lt;0.0001, IPW-adjusted log-rank test)</w:t>
      </w:r>
      <w:r w:rsidRPr="001C7B25">
        <w:rPr>
          <w:rFonts w:ascii="Times New Roman" w:hAnsi="Times New Roman" w:cs="Times New Roman"/>
          <w:color w:val="000000" w:themeColor="text1"/>
          <w:kern w:val="24"/>
          <w:sz w:val="24"/>
          <w:szCs w:val="24"/>
        </w:rPr>
        <w:t>.</w:t>
      </w:r>
    </w:p>
    <w:p w14:paraId="30FA455A" w14:textId="5C48C342" w:rsidR="00E522CB" w:rsidRPr="001C7B25" w:rsidRDefault="00F367EA" w:rsidP="0065537A">
      <w:pPr>
        <w:spacing w:line="480" w:lineRule="auto"/>
        <w:rPr>
          <w:rFonts w:ascii="Times New Roman" w:hAnsi="Times New Roman" w:cs="Times New Roman"/>
          <w:color w:val="000000" w:themeColor="text1"/>
          <w:sz w:val="24"/>
          <w:szCs w:val="24"/>
        </w:rPr>
      </w:pPr>
      <w:r w:rsidRPr="001C7B25">
        <w:rPr>
          <w:rFonts w:ascii="Times New Roman" w:hAnsi="Times New Roman" w:cs="Times New Roman"/>
          <w:color w:val="000000" w:themeColor="text1"/>
          <w:sz w:val="24"/>
          <w:szCs w:val="24"/>
        </w:rPr>
        <w:t>IPW</w:t>
      </w:r>
      <w:r w:rsidR="00B575A0" w:rsidRPr="001C7B25">
        <w:rPr>
          <w:rFonts w:ascii="Times New Roman" w:hAnsi="Times New Roman" w:cs="Times New Roman"/>
          <w:color w:val="000000" w:themeColor="text1"/>
          <w:sz w:val="24"/>
          <w:szCs w:val="24"/>
        </w:rPr>
        <w:t xml:space="preserve">, </w:t>
      </w:r>
      <w:r w:rsidR="003920AB" w:rsidRPr="001C7B25">
        <w:rPr>
          <w:rFonts w:ascii="Times New Roman" w:hAnsi="Times New Roman" w:cs="Times New Roman"/>
          <w:color w:val="000000" w:themeColor="text1"/>
          <w:sz w:val="24"/>
          <w:szCs w:val="24"/>
        </w:rPr>
        <w:t>in</w:t>
      </w:r>
      <w:r w:rsidRPr="001C7B25">
        <w:rPr>
          <w:rFonts w:ascii="Times New Roman" w:hAnsi="Times New Roman" w:cs="Times New Roman"/>
          <w:color w:val="000000" w:themeColor="text1"/>
          <w:sz w:val="24"/>
          <w:szCs w:val="24"/>
        </w:rPr>
        <w:t>verse probability weighting</w:t>
      </w:r>
      <w:r w:rsidR="00B575A0" w:rsidRPr="001C7B25">
        <w:rPr>
          <w:rFonts w:ascii="Times New Roman" w:eastAsiaTheme="majorEastAsia" w:hAnsi="Times New Roman" w:cs="Times New Roman"/>
          <w:color w:val="000000" w:themeColor="text1"/>
          <w:sz w:val="24"/>
          <w:szCs w:val="24"/>
        </w:rPr>
        <w:t>;</w:t>
      </w:r>
      <w:r w:rsidRPr="001C7B25">
        <w:rPr>
          <w:rFonts w:ascii="Times New Roman" w:hAnsi="Times New Roman" w:cs="Times New Roman"/>
          <w:color w:val="000000" w:themeColor="text1"/>
          <w:sz w:val="24"/>
          <w:szCs w:val="24"/>
        </w:rPr>
        <w:t xml:space="preserve"> </w:t>
      </w:r>
      <w:r w:rsidR="00E522CB" w:rsidRPr="001C7B25">
        <w:rPr>
          <w:rFonts w:ascii="Times New Roman" w:hAnsi="Times New Roman" w:cs="Times New Roman"/>
          <w:color w:val="000000" w:themeColor="text1"/>
          <w:sz w:val="24"/>
          <w:szCs w:val="24"/>
        </w:rPr>
        <w:t>DAA</w:t>
      </w:r>
      <w:r w:rsidR="00B575A0" w:rsidRPr="001C7B25">
        <w:rPr>
          <w:rFonts w:ascii="Times New Roman" w:hAnsi="Times New Roman" w:cs="Times New Roman"/>
          <w:color w:val="000000" w:themeColor="text1"/>
          <w:sz w:val="24"/>
          <w:szCs w:val="24"/>
        </w:rPr>
        <w:t xml:space="preserve">, </w:t>
      </w:r>
      <w:r w:rsidR="00E522CB" w:rsidRPr="001C7B25">
        <w:rPr>
          <w:rFonts w:ascii="Times New Roman" w:eastAsiaTheme="majorEastAsia" w:hAnsi="Times New Roman" w:cs="Times New Roman"/>
          <w:color w:val="000000" w:themeColor="text1"/>
          <w:sz w:val="24"/>
          <w:szCs w:val="24"/>
        </w:rPr>
        <w:t>direct-acting antiviral</w:t>
      </w:r>
      <w:r w:rsidR="00B575A0" w:rsidRPr="001C7B25">
        <w:rPr>
          <w:rFonts w:ascii="Times New Roman" w:eastAsiaTheme="majorEastAsia" w:hAnsi="Times New Roman" w:cs="Times New Roman"/>
          <w:color w:val="000000" w:themeColor="text1"/>
          <w:sz w:val="24"/>
          <w:szCs w:val="24"/>
        </w:rPr>
        <w:t>;</w:t>
      </w:r>
      <w:r w:rsidR="00E522CB" w:rsidRPr="001C7B25">
        <w:rPr>
          <w:rFonts w:ascii="Times New Roman" w:eastAsiaTheme="majorEastAsia" w:hAnsi="Times New Roman" w:cs="Times New Roman"/>
          <w:color w:val="000000" w:themeColor="text1"/>
          <w:sz w:val="24"/>
          <w:szCs w:val="24"/>
        </w:rPr>
        <w:t xml:space="preserve"> SVR</w:t>
      </w:r>
      <w:r w:rsidR="00B575A0" w:rsidRPr="001C7B25">
        <w:rPr>
          <w:rFonts w:ascii="Times New Roman" w:eastAsiaTheme="majorEastAsia" w:hAnsi="Times New Roman" w:cs="Times New Roman"/>
          <w:color w:val="000000" w:themeColor="text1"/>
          <w:sz w:val="24"/>
          <w:szCs w:val="24"/>
        </w:rPr>
        <w:t>,</w:t>
      </w:r>
      <w:r w:rsidR="00E522CB" w:rsidRPr="001C7B25">
        <w:rPr>
          <w:rFonts w:ascii="Times New Roman" w:eastAsiaTheme="majorEastAsia" w:hAnsi="Times New Roman" w:cs="Times New Roman"/>
          <w:color w:val="000000" w:themeColor="text1"/>
          <w:sz w:val="24"/>
          <w:szCs w:val="24"/>
        </w:rPr>
        <w:t xml:space="preserve"> sustained virological response.</w:t>
      </w:r>
    </w:p>
    <w:sectPr w:rsidR="00E522CB" w:rsidRPr="001C7B25">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75A9F" w14:textId="77777777" w:rsidR="00BC23A4" w:rsidRDefault="00BC23A4" w:rsidP="00646552">
      <w:r>
        <w:separator/>
      </w:r>
    </w:p>
  </w:endnote>
  <w:endnote w:type="continuationSeparator" w:id="0">
    <w:p w14:paraId="462455F0" w14:textId="77777777" w:rsidR="00BC23A4" w:rsidRDefault="00BC23A4" w:rsidP="0064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ＭＳ明朝">
    <w:altName w:val="Yu Gothic"/>
    <w:panose1 w:val="00000000000000000000"/>
    <w:charset w:val="80"/>
    <w:family w:val="auto"/>
    <w:notTrueType/>
    <w:pitch w:val="default"/>
    <w:sig w:usb0="00000000" w:usb1="08070000" w:usb2="00000010" w:usb3="00000000" w:csb0="00020000" w:csb1="00000000"/>
  </w:font>
  <w:font w:name="AdvGulliv-R">
    <w:altName w:val="ＭＳ 明朝"/>
    <w:panose1 w:val="00000000000000000000"/>
    <w:charset w:val="00"/>
    <w:family w:val="roman"/>
    <w:notTrueType/>
    <w:pitch w:val="default"/>
    <w:sig w:usb0="00000003" w:usb1="08070000" w:usb2="00000010" w:usb3="00000000" w:csb0="00020001" w:csb1="00000000"/>
  </w:font>
  <w:font w:name="Lato-Regular">
    <w:altName w:val="MS Gothic"/>
    <w:panose1 w:val="00000000000000000000"/>
    <w:charset w:val="80"/>
    <w:family w:val="auto"/>
    <w:notTrueType/>
    <w:pitch w:val="default"/>
    <w:sig w:usb0="00000000" w:usb1="08070000" w:usb2="00000010" w:usb3="00000000" w:csb0="00020001" w:csb1="00000000"/>
  </w:font>
  <w:font w:name="AdvOT678fd422">
    <w:altName w:val="MS Gothic"/>
    <w:panose1 w:val="00000000000000000000"/>
    <w:charset w:val="80"/>
    <w:family w:val="auto"/>
    <w:notTrueType/>
    <w:pitch w:val="default"/>
    <w:sig w:usb0="00000001" w:usb1="08070000" w:usb2="00000010" w:usb3="00000000" w:csb0="00020000" w:csb1="00000000"/>
  </w:font>
  <w:font w:name="AdvP4C4E74">
    <w:altName w:val="Yu Gothic"/>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AdvOT3bd4862d.I">
    <w:altName w:val="Yu Gothic"/>
    <w:panose1 w:val="00000000000000000000"/>
    <w:charset w:val="80"/>
    <w:family w:val="auto"/>
    <w:notTrueType/>
    <w:pitch w:val="default"/>
    <w:sig w:usb0="00000000" w:usb1="08070000" w:usb2="00000010" w:usb3="00000000" w:csb0="00020000" w:csb1="00000000"/>
  </w:font>
  <w:font w:name="AdvP4C4E51">
    <w:altName w:val="Yu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184444"/>
      <w:docPartObj>
        <w:docPartGallery w:val="Page Numbers (Bottom of Page)"/>
        <w:docPartUnique/>
      </w:docPartObj>
    </w:sdtPr>
    <w:sdtEndPr/>
    <w:sdtContent>
      <w:p w14:paraId="6E7316DD" w14:textId="62DEE950" w:rsidR="006B3C64" w:rsidRDefault="006B3C64">
        <w:pPr>
          <w:pStyle w:val="Footer"/>
          <w:jc w:val="center"/>
        </w:pPr>
        <w:r>
          <w:fldChar w:fldCharType="begin"/>
        </w:r>
        <w:r>
          <w:instrText>PAGE   \* MERGEFORMAT</w:instrText>
        </w:r>
        <w:r>
          <w:fldChar w:fldCharType="separate"/>
        </w:r>
        <w:r w:rsidR="00BC23A4" w:rsidRPr="00BC23A4">
          <w:rPr>
            <w:noProof/>
            <w:lang w:val="ja-JP"/>
          </w:rPr>
          <w:t>1</w:t>
        </w:r>
        <w:r>
          <w:fldChar w:fldCharType="end"/>
        </w:r>
      </w:p>
    </w:sdtContent>
  </w:sdt>
  <w:p w14:paraId="4178DC36" w14:textId="77777777" w:rsidR="006B3C64" w:rsidRDefault="006B3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87C2D" w14:textId="77777777" w:rsidR="00BC23A4" w:rsidRDefault="00BC23A4" w:rsidP="00646552">
      <w:r>
        <w:separator/>
      </w:r>
    </w:p>
  </w:footnote>
  <w:footnote w:type="continuationSeparator" w:id="0">
    <w:p w14:paraId="3C3E0F4B" w14:textId="77777777" w:rsidR="00BC23A4" w:rsidRDefault="00BC23A4" w:rsidP="00646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729712CFA3E448F4A6F49D96EA7312C2"/>
      </w:placeholder>
      <w:temporary/>
      <w:showingPlcHdr/>
    </w:sdtPr>
    <w:sdtEndPr/>
    <w:sdtContent>
      <w:p w14:paraId="338C97A8" w14:textId="77777777" w:rsidR="006B3C64" w:rsidRDefault="006B3C64">
        <w:pPr>
          <w:pStyle w:val="Header"/>
        </w:pPr>
        <w:r>
          <w:rPr>
            <w:lang w:val="ja-JP"/>
          </w:rPr>
          <w:t>[ここに入力]</w:t>
        </w:r>
      </w:p>
    </w:sdtContent>
  </w:sdt>
  <w:p w14:paraId="6C11878E" w14:textId="788EE02E" w:rsidR="006B3C64" w:rsidRDefault="006B3C64" w:rsidP="00755378">
    <w:pPr>
      <w:pStyle w:val="Header"/>
      <w:jc w:val="right"/>
    </w:pPr>
    <w:r w:rsidRPr="00AA4C32">
      <w:rPr>
        <w:rFonts w:ascii="Times New Roman" w:hAnsi="Times New Roman" w:cs="Times New Roman"/>
        <w:color w:val="000000" w:themeColor="text1"/>
        <w:sz w:val="24"/>
        <w:szCs w:val="24"/>
      </w:rPr>
      <w:t xml:space="preserve">Impact of </w:t>
    </w:r>
    <w:r>
      <w:rPr>
        <w:rFonts w:ascii="Times New Roman" w:hAnsi="Times New Roman" w:cs="Times New Roman"/>
        <w:kern w:val="0"/>
        <w:sz w:val="24"/>
        <w:szCs w:val="24"/>
      </w:rPr>
      <w:t>DAA</w:t>
    </w:r>
    <w:r w:rsidRPr="00432642">
      <w:rPr>
        <w:rFonts w:ascii="Times New Roman" w:hAnsi="Times New Roman" w:cs="Times New Roman"/>
        <w:kern w:val="0"/>
        <w:sz w:val="24"/>
        <w:szCs w:val="24"/>
      </w:rPr>
      <w:t>s</w:t>
    </w:r>
    <w:r w:rsidRPr="00AA4C32">
      <w:rPr>
        <w:rFonts w:ascii="Times New Roman" w:hAnsi="Times New Roman" w:cs="Times New Roman"/>
        <w:color w:val="000000" w:themeColor="text1"/>
        <w:sz w:val="24"/>
        <w:szCs w:val="24"/>
      </w:rPr>
      <w:t xml:space="preserve"> </w:t>
    </w:r>
    <w:r w:rsidR="00B8209F">
      <w:rPr>
        <w:rFonts w:ascii="Times New Roman" w:hAnsi="Times New Roman" w:cs="Times New Roman"/>
        <w:color w:val="000000" w:themeColor="text1"/>
        <w:sz w:val="24"/>
        <w:szCs w:val="24"/>
      </w:rPr>
      <w:t>on</w:t>
    </w:r>
    <w:r>
      <w:rPr>
        <w:rFonts w:ascii="Times New Roman" w:hAnsi="Times New Roman" w:cs="Times New Roman"/>
        <w:color w:val="000000" w:themeColor="text1"/>
        <w:sz w:val="24"/>
        <w:szCs w:val="24"/>
      </w:rPr>
      <w:t xml:space="preserve"> decompensated cirrhosis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62CC9"/>
    <w:multiLevelType w:val="hybridMultilevel"/>
    <w:tmpl w:val="AB3C9040"/>
    <w:lvl w:ilvl="0" w:tplc="1B60BA56">
      <w:start w:val="1"/>
      <w:numFmt w:val="decimal"/>
      <w:lvlText w:val="%1."/>
      <w:lvlJc w:val="left"/>
      <w:pPr>
        <w:tabs>
          <w:tab w:val="num" w:pos="420"/>
        </w:tabs>
        <w:ind w:left="420" w:hanging="420"/>
      </w:pPr>
      <w:rPr>
        <w:b w:val="0"/>
        <w:bCs w:val="0"/>
      </w:rPr>
    </w:lvl>
    <w:lvl w:ilvl="1" w:tplc="1B60BA56">
      <w:start w:val="1"/>
      <w:numFmt w:val="decimal"/>
      <w:lvlText w:val="%2."/>
      <w:lvlJc w:val="left"/>
      <w:pPr>
        <w:tabs>
          <w:tab w:val="num" w:pos="420"/>
        </w:tabs>
        <w:ind w:left="420" w:hanging="420"/>
      </w:pPr>
      <w:rPr>
        <w:b w:val="0"/>
        <w:bCs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1D854BE"/>
    <w:multiLevelType w:val="hybridMultilevel"/>
    <w:tmpl w:val="78F034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0E"/>
    <w:rsid w:val="000043D3"/>
    <w:rsid w:val="0000580E"/>
    <w:rsid w:val="00010BD0"/>
    <w:rsid w:val="00012620"/>
    <w:rsid w:val="00031B17"/>
    <w:rsid w:val="00032039"/>
    <w:rsid w:val="0006469D"/>
    <w:rsid w:val="00066AFF"/>
    <w:rsid w:val="00077BED"/>
    <w:rsid w:val="000A5EA5"/>
    <w:rsid w:val="000D3D93"/>
    <w:rsid w:val="000E1795"/>
    <w:rsid w:val="000E7492"/>
    <w:rsid w:val="00110A52"/>
    <w:rsid w:val="00143E10"/>
    <w:rsid w:val="0014664C"/>
    <w:rsid w:val="00146A76"/>
    <w:rsid w:val="001573B6"/>
    <w:rsid w:val="0016670E"/>
    <w:rsid w:val="00194EA4"/>
    <w:rsid w:val="001A3F90"/>
    <w:rsid w:val="001A7AC2"/>
    <w:rsid w:val="001B062C"/>
    <w:rsid w:val="001C7B25"/>
    <w:rsid w:val="001E3E38"/>
    <w:rsid w:val="001F13A1"/>
    <w:rsid w:val="001F7024"/>
    <w:rsid w:val="00211948"/>
    <w:rsid w:val="00225886"/>
    <w:rsid w:val="00242208"/>
    <w:rsid w:val="00260333"/>
    <w:rsid w:val="00265597"/>
    <w:rsid w:val="0028405F"/>
    <w:rsid w:val="0028789F"/>
    <w:rsid w:val="002925B4"/>
    <w:rsid w:val="002A0A34"/>
    <w:rsid w:val="002B056D"/>
    <w:rsid w:val="002B1684"/>
    <w:rsid w:val="002B5B37"/>
    <w:rsid w:val="002C0461"/>
    <w:rsid w:val="002C2520"/>
    <w:rsid w:val="002C2C55"/>
    <w:rsid w:val="002C6345"/>
    <w:rsid w:val="002D26CF"/>
    <w:rsid w:val="002D4516"/>
    <w:rsid w:val="0030527F"/>
    <w:rsid w:val="003053BB"/>
    <w:rsid w:val="00315B1C"/>
    <w:rsid w:val="00344497"/>
    <w:rsid w:val="0034709B"/>
    <w:rsid w:val="00347DBE"/>
    <w:rsid w:val="00353AFF"/>
    <w:rsid w:val="00362216"/>
    <w:rsid w:val="003635D6"/>
    <w:rsid w:val="00383AF3"/>
    <w:rsid w:val="00384AE4"/>
    <w:rsid w:val="003853DC"/>
    <w:rsid w:val="0038604C"/>
    <w:rsid w:val="003920AB"/>
    <w:rsid w:val="0039585B"/>
    <w:rsid w:val="003A448D"/>
    <w:rsid w:val="003B75E6"/>
    <w:rsid w:val="003C0B1C"/>
    <w:rsid w:val="003D1988"/>
    <w:rsid w:val="003E34D8"/>
    <w:rsid w:val="003F51B3"/>
    <w:rsid w:val="004066EB"/>
    <w:rsid w:val="00432642"/>
    <w:rsid w:val="004337E8"/>
    <w:rsid w:val="00433CF4"/>
    <w:rsid w:val="00444CE1"/>
    <w:rsid w:val="00445CAD"/>
    <w:rsid w:val="00450E30"/>
    <w:rsid w:val="004713EE"/>
    <w:rsid w:val="00472247"/>
    <w:rsid w:val="004732D4"/>
    <w:rsid w:val="004804D7"/>
    <w:rsid w:val="00480BC5"/>
    <w:rsid w:val="00497002"/>
    <w:rsid w:val="00497884"/>
    <w:rsid w:val="004A7B85"/>
    <w:rsid w:val="004B5D1D"/>
    <w:rsid w:val="00511E45"/>
    <w:rsid w:val="00530172"/>
    <w:rsid w:val="005409A2"/>
    <w:rsid w:val="00584062"/>
    <w:rsid w:val="005867BE"/>
    <w:rsid w:val="005B45BF"/>
    <w:rsid w:val="005C4840"/>
    <w:rsid w:val="005D4A21"/>
    <w:rsid w:val="005F25BC"/>
    <w:rsid w:val="00601204"/>
    <w:rsid w:val="0060291A"/>
    <w:rsid w:val="00611DF5"/>
    <w:rsid w:val="0061517E"/>
    <w:rsid w:val="00617396"/>
    <w:rsid w:val="00635395"/>
    <w:rsid w:val="00635F83"/>
    <w:rsid w:val="00642E5D"/>
    <w:rsid w:val="00646552"/>
    <w:rsid w:val="00646B03"/>
    <w:rsid w:val="006479D7"/>
    <w:rsid w:val="00651027"/>
    <w:rsid w:val="0065537A"/>
    <w:rsid w:val="00672C73"/>
    <w:rsid w:val="00673897"/>
    <w:rsid w:val="006911B1"/>
    <w:rsid w:val="006B3C64"/>
    <w:rsid w:val="006C2819"/>
    <w:rsid w:val="006C2BD6"/>
    <w:rsid w:val="006E3ED8"/>
    <w:rsid w:val="006F4D12"/>
    <w:rsid w:val="007045EE"/>
    <w:rsid w:val="00734559"/>
    <w:rsid w:val="00734AF6"/>
    <w:rsid w:val="00735A39"/>
    <w:rsid w:val="0075234A"/>
    <w:rsid w:val="00755378"/>
    <w:rsid w:val="00756765"/>
    <w:rsid w:val="00773210"/>
    <w:rsid w:val="0078364A"/>
    <w:rsid w:val="007A68BD"/>
    <w:rsid w:val="007B02FF"/>
    <w:rsid w:val="007B7051"/>
    <w:rsid w:val="007C67AF"/>
    <w:rsid w:val="007D70FA"/>
    <w:rsid w:val="007E5542"/>
    <w:rsid w:val="007E64DA"/>
    <w:rsid w:val="007E7295"/>
    <w:rsid w:val="008000B4"/>
    <w:rsid w:val="00806E9D"/>
    <w:rsid w:val="00814944"/>
    <w:rsid w:val="00817D82"/>
    <w:rsid w:val="00822E40"/>
    <w:rsid w:val="008230A2"/>
    <w:rsid w:val="0083322E"/>
    <w:rsid w:val="00834A62"/>
    <w:rsid w:val="008479D3"/>
    <w:rsid w:val="00853964"/>
    <w:rsid w:val="00857684"/>
    <w:rsid w:val="0086453E"/>
    <w:rsid w:val="00864F08"/>
    <w:rsid w:val="00866DD5"/>
    <w:rsid w:val="008738AD"/>
    <w:rsid w:val="00883DE5"/>
    <w:rsid w:val="0089018A"/>
    <w:rsid w:val="00895585"/>
    <w:rsid w:val="008B133D"/>
    <w:rsid w:val="008B27C9"/>
    <w:rsid w:val="008C4357"/>
    <w:rsid w:val="008D5E01"/>
    <w:rsid w:val="008E4054"/>
    <w:rsid w:val="008E742A"/>
    <w:rsid w:val="008F4CA7"/>
    <w:rsid w:val="009101AB"/>
    <w:rsid w:val="00910C54"/>
    <w:rsid w:val="00913832"/>
    <w:rsid w:val="009144BD"/>
    <w:rsid w:val="00915D55"/>
    <w:rsid w:val="00922229"/>
    <w:rsid w:val="00931626"/>
    <w:rsid w:val="009318D0"/>
    <w:rsid w:val="009341FD"/>
    <w:rsid w:val="00952D6B"/>
    <w:rsid w:val="009558DA"/>
    <w:rsid w:val="00962A64"/>
    <w:rsid w:val="00962B54"/>
    <w:rsid w:val="00967123"/>
    <w:rsid w:val="00983B7E"/>
    <w:rsid w:val="00986A85"/>
    <w:rsid w:val="009954A0"/>
    <w:rsid w:val="009A531C"/>
    <w:rsid w:val="009B2C6A"/>
    <w:rsid w:val="009B2EA4"/>
    <w:rsid w:val="009C55C7"/>
    <w:rsid w:val="009D04CB"/>
    <w:rsid w:val="009E0EF9"/>
    <w:rsid w:val="009F5F14"/>
    <w:rsid w:val="00A0767D"/>
    <w:rsid w:val="00A1765E"/>
    <w:rsid w:val="00A5068A"/>
    <w:rsid w:val="00A80AB1"/>
    <w:rsid w:val="00A844F6"/>
    <w:rsid w:val="00AA737F"/>
    <w:rsid w:val="00AB4774"/>
    <w:rsid w:val="00AC1ECE"/>
    <w:rsid w:val="00AE04C9"/>
    <w:rsid w:val="00AE0661"/>
    <w:rsid w:val="00AE14CD"/>
    <w:rsid w:val="00AE32DB"/>
    <w:rsid w:val="00B0641A"/>
    <w:rsid w:val="00B101B2"/>
    <w:rsid w:val="00B215DE"/>
    <w:rsid w:val="00B278F4"/>
    <w:rsid w:val="00B27C3C"/>
    <w:rsid w:val="00B3115D"/>
    <w:rsid w:val="00B47EBE"/>
    <w:rsid w:val="00B55307"/>
    <w:rsid w:val="00B575A0"/>
    <w:rsid w:val="00B74990"/>
    <w:rsid w:val="00B7558C"/>
    <w:rsid w:val="00B80F95"/>
    <w:rsid w:val="00B8209F"/>
    <w:rsid w:val="00B85EA8"/>
    <w:rsid w:val="00BA5745"/>
    <w:rsid w:val="00BB3AAF"/>
    <w:rsid w:val="00BB42B0"/>
    <w:rsid w:val="00BB67EE"/>
    <w:rsid w:val="00BC1D2D"/>
    <w:rsid w:val="00BC23A4"/>
    <w:rsid w:val="00BD1048"/>
    <w:rsid w:val="00BE7509"/>
    <w:rsid w:val="00BF13A3"/>
    <w:rsid w:val="00BF4BF7"/>
    <w:rsid w:val="00BF7096"/>
    <w:rsid w:val="00C00C36"/>
    <w:rsid w:val="00C06DCC"/>
    <w:rsid w:val="00C11D35"/>
    <w:rsid w:val="00C206A9"/>
    <w:rsid w:val="00C35C9A"/>
    <w:rsid w:val="00C40D81"/>
    <w:rsid w:val="00C66C9F"/>
    <w:rsid w:val="00C77442"/>
    <w:rsid w:val="00C77957"/>
    <w:rsid w:val="00C84558"/>
    <w:rsid w:val="00C93C80"/>
    <w:rsid w:val="00CA2409"/>
    <w:rsid w:val="00CA6A2D"/>
    <w:rsid w:val="00CC143A"/>
    <w:rsid w:val="00CD10F5"/>
    <w:rsid w:val="00CD11F8"/>
    <w:rsid w:val="00CD62F5"/>
    <w:rsid w:val="00CE1143"/>
    <w:rsid w:val="00CF3CB1"/>
    <w:rsid w:val="00D11B77"/>
    <w:rsid w:val="00D17CF4"/>
    <w:rsid w:val="00D27ED0"/>
    <w:rsid w:val="00D3253B"/>
    <w:rsid w:val="00D331C4"/>
    <w:rsid w:val="00D34ECF"/>
    <w:rsid w:val="00D43527"/>
    <w:rsid w:val="00D83C13"/>
    <w:rsid w:val="00DA47AA"/>
    <w:rsid w:val="00DC573E"/>
    <w:rsid w:val="00DD0723"/>
    <w:rsid w:val="00DD34BB"/>
    <w:rsid w:val="00DD4FC5"/>
    <w:rsid w:val="00DE2754"/>
    <w:rsid w:val="00DE3941"/>
    <w:rsid w:val="00DE505C"/>
    <w:rsid w:val="00DF7AEF"/>
    <w:rsid w:val="00E07087"/>
    <w:rsid w:val="00E1504F"/>
    <w:rsid w:val="00E2206A"/>
    <w:rsid w:val="00E32F8F"/>
    <w:rsid w:val="00E40933"/>
    <w:rsid w:val="00E522CB"/>
    <w:rsid w:val="00E70856"/>
    <w:rsid w:val="00E72D4C"/>
    <w:rsid w:val="00E72D88"/>
    <w:rsid w:val="00EB134E"/>
    <w:rsid w:val="00EB2A12"/>
    <w:rsid w:val="00EB2BD3"/>
    <w:rsid w:val="00EC5244"/>
    <w:rsid w:val="00ED2CC6"/>
    <w:rsid w:val="00EE6857"/>
    <w:rsid w:val="00EE74C3"/>
    <w:rsid w:val="00EF18C2"/>
    <w:rsid w:val="00EF45F4"/>
    <w:rsid w:val="00EF5927"/>
    <w:rsid w:val="00EF7C51"/>
    <w:rsid w:val="00F03CF7"/>
    <w:rsid w:val="00F1299B"/>
    <w:rsid w:val="00F14414"/>
    <w:rsid w:val="00F14A4B"/>
    <w:rsid w:val="00F22E12"/>
    <w:rsid w:val="00F243D9"/>
    <w:rsid w:val="00F354E8"/>
    <w:rsid w:val="00F367EA"/>
    <w:rsid w:val="00F462CF"/>
    <w:rsid w:val="00F63870"/>
    <w:rsid w:val="00F75BF3"/>
    <w:rsid w:val="00F8229A"/>
    <w:rsid w:val="00F83C15"/>
    <w:rsid w:val="00F9615A"/>
    <w:rsid w:val="00FA0B08"/>
    <w:rsid w:val="00FA61BF"/>
    <w:rsid w:val="00FB390D"/>
    <w:rsid w:val="00FC1AD2"/>
    <w:rsid w:val="00FE6857"/>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3F8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552"/>
    <w:pPr>
      <w:tabs>
        <w:tab w:val="center" w:pos="4252"/>
        <w:tab w:val="right" w:pos="8504"/>
      </w:tabs>
      <w:snapToGrid w:val="0"/>
    </w:pPr>
  </w:style>
  <w:style w:type="character" w:customStyle="1" w:styleId="HeaderChar">
    <w:name w:val="Header Char"/>
    <w:basedOn w:val="DefaultParagraphFont"/>
    <w:link w:val="Header"/>
    <w:uiPriority w:val="99"/>
    <w:rsid w:val="00646552"/>
  </w:style>
  <w:style w:type="paragraph" w:styleId="Footer">
    <w:name w:val="footer"/>
    <w:basedOn w:val="Normal"/>
    <w:link w:val="FooterChar"/>
    <w:uiPriority w:val="99"/>
    <w:unhideWhenUsed/>
    <w:rsid w:val="00646552"/>
    <w:pPr>
      <w:tabs>
        <w:tab w:val="center" w:pos="4252"/>
        <w:tab w:val="right" w:pos="8504"/>
      </w:tabs>
      <w:snapToGrid w:val="0"/>
    </w:pPr>
  </w:style>
  <w:style w:type="character" w:customStyle="1" w:styleId="FooterChar">
    <w:name w:val="Footer Char"/>
    <w:basedOn w:val="DefaultParagraphFont"/>
    <w:link w:val="Footer"/>
    <w:uiPriority w:val="99"/>
    <w:rsid w:val="00646552"/>
  </w:style>
  <w:style w:type="character" w:customStyle="1" w:styleId="tlid-translation">
    <w:name w:val="tlid-translation"/>
    <w:basedOn w:val="DefaultParagraphFont"/>
    <w:rsid w:val="008D5E01"/>
  </w:style>
  <w:style w:type="character" w:styleId="Emphasis">
    <w:name w:val="Emphasis"/>
    <w:basedOn w:val="DefaultParagraphFont"/>
    <w:uiPriority w:val="20"/>
    <w:qFormat/>
    <w:rsid w:val="009954A0"/>
    <w:rPr>
      <w:i/>
      <w:iCs/>
    </w:rPr>
  </w:style>
  <w:style w:type="paragraph" w:customStyle="1" w:styleId="Default">
    <w:name w:val="Default"/>
    <w:rsid w:val="003053BB"/>
    <w:pPr>
      <w:widowControl w:val="0"/>
      <w:autoSpaceDE w:val="0"/>
      <w:autoSpaceDN w:val="0"/>
      <w:adjustRightInd w:val="0"/>
    </w:pPr>
    <w:rPr>
      <w:rFonts w:ascii="Arial" w:hAnsi="Arial" w:cs="Arial"/>
      <w:color w:val="000000"/>
      <w:kern w:val="0"/>
      <w:sz w:val="24"/>
      <w:szCs w:val="24"/>
    </w:rPr>
  </w:style>
  <w:style w:type="character" w:styleId="Hyperlink">
    <w:name w:val="Hyperlink"/>
    <w:basedOn w:val="DefaultParagraphFont"/>
    <w:rsid w:val="003053BB"/>
    <w:rPr>
      <w:color w:val="0000FF"/>
      <w:u w:val="single"/>
    </w:rPr>
  </w:style>
  <w:style w:type="paragraph" w:styleId="ListParagraph">
    <w:name w:val="List Paragraph"/>
    <w:basedOn w:val="Normal"/>
    <w:uiPriority w:val="34"/>
    <w:qFormat/>
    <w:rsid w:val="00CF3CB1"/>
    <w:pPr>
      <w:ind w:leftChars="400" w:left="840"/>
    </w:pPr>
  </w:style>
  <w:style w:type="paragraph" w:styleId="NormalWeb">
    <w:name w:val="Normal (Web)"/>
    <w:basedOn w:val="Normal"/>
    <w:uiPriority w:val="99"/>
    <w:semiHidden/>
    <w:unhideWhenUsed/>
    <w:rsid w:val="00F83C15"/>
    <w:pPr>
      <w:widowControl/>
      <w:spacing w:before="100" w:beforeAutospacing="1" w:after="100" w:afterAutospacing="1"/>
      <w:jc w:val="left"/>
    </w:pPr>
    <w:rPr>
      <w:rFonts w:ascii="MS PGothic" w:eastAsia="MS PGothic" w:hAnsi="MS PGothic" w:cs="MS PGothic"/>
      <w:kern w:val="0"/>
      <w:sz w:val="24"/>
      <w:szCs w:val="24"/>
    </w:rPr>
  </w:style>
  <w:style w:type="paragraph" w:styleId="BalloonText">
    <w:name w:val="Balloon Text"/>
    <w:basedOn w:val="Normal"/>
    <w:link w:val="BalloonTextChar"/>
    <w:uiPriority w:val="99"/>
    <w:semiHidden/>
    <w:unhideWhenUsed/>
    <w:rsid w:val="0061517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1517E"/>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915D55"/>
    <w:rPr>
      <w:sz w:val="16"/>
      <w:szCs w:val="16"/>
    </w:rPr>
  </w:style>
  <w:style w:type="paragraph" w:styleId="CommentText">
    <w:name w:val="annotation text"/>
    <w:basedOn w:val="Normal"/>
    <w:link w:val="CommentTextChar"/>
    <w:uiPriority w:val="99"/>
    <w:semiHidden/>
    <w:unhideWhenUsed/>
    <w:rsid w:val="00915D55"/>
    <w:rPr>
      <w:sz w:val="20"/>
      <w:szCs w:val="20"/>
    </w:rPr>
  </w:style>
  <w:style w:type="character" w:customStyle="1" w:styleId="CommentTextChar">
    <w:name w:val="Comment Text Char"/>
    <w:basedOn w:val="DefaultParagraphFont"/>
    <w:link w:val="CommentText"/>
    <w:uiPriority w:val="99"/>
    <w:semiHidden/>
    <w:rsid w:val="00915D55"/>
    <w:rPr>
      <w:sz w:val="20"/>
      <w:szCs w:val="20"/>
    </w:rPr>
  </w:style>
  <w:style w:type="paragraph" w:styleId="CommentSubject">
    <w:name w:val="annotation subject"/>
    <w:basedOn w:val="CommentText"/>
    <w:next w:val="CommentText"/>
    <w:link w:val="CommentSubjectChar"/>
    <w:uiPriority w:val="99"/>
    <w:semiHidden/>
    <w:unhideWhenUsed/>
    <w:rsid w:val="00915D55"/>
    <w:rPr>
      <w:b/>
      <w:bCs/>
    </w:rPr>
  </w:style>
  <w:style w:type="character" w:customStyle="1" w:styleId="CommentSubjectChar">
    <w:name w:val="Comment Subject Char"/>
    <w:basedOn w:val="CommentTextChar"/>
    <w:link w:val="CommentSubject"/>
    <w:uiPriority w:val="99"/>
    <w:semiHidden/>
    <w:rsid w:val="00915D55"/>
    <w:rPr>
      <w:b/>
      <w:bCs/>
      <w:sz w:val="20"/>
      <w:szCs w:val="20"/>
    </w:rPr>
  </w:style>
  <w:style w:type="paragraph" w:styleId="Revision">
    <w:name w:val="Revision"/>
    <w:hidden/>
    <w:uiPriority w:val="99"/>
    <w:semiHidden/>
    <w:rsid w:val="00DD3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50180">
      <w:bodyDiv w:val="1"/>
      <w:marLeft w:val="0"/>
      <w:marRight w:val="0"/>
      <w:marTop w:val="0"/>
      <w:marBottom w:val="0"/>
      <w:divBdr>
        <w:top w:val="none" w:sz="0" w:space="0" w:color="auto"/>
        <w:left w:val="none" w:sz="0" w:space="0" w:color="auto"/>
        <w:bottom w:val="none" w:sz="0" w:space="0" w:color="auto"/>
        <w:right w:val="none" w:sz="0" w:space="0" w:color="auto"/>
      </w:divBdr>
    </w:div>
    <w:div w:id="577179420">
      <w:bodyDiv w:val="1"/>
      <w:marLeft w:val="0"/>
      <w:marRight w:val="0"/>
      <w:marTop w:val="0"/>
      <w:marBottom w:val="0"/>
      <w:divBdr>
        <w:top w:val="none" w:sz="0" w:space="0" w:color="auto"/>
        <w:left w:val="none" w:sz="0" w:space="0" w:color="auto"/>
        <w:bottom w:val="none" w:sz="0" w:space="0" w:color="auto"/>
        <w:right w:val="none" w:sz="0" w:space="0" w:color="auto"/>
      </w:divBdr>
    </w:div>
    <w:div w:id="804393313">
      <w:bodyDiv w:val="1"/>
      <w:marLeft w:val="0"/>
      <w:marRight w:val="0"/>
      <w:marTop w:val="0"/>
      <w:marBottom w:val="0"/>
      <w:divBdr>
        <w:top w:val="none" w:sz="0" w:space="0" w:color="auto"/>
        <w:left w:val="none" w:sz="0" w:space="0" w:color="auto"/>
        <w:bottom w:val="none" w:sz="0" w:space="0" w:color="auto"/>
        <w:right w:val="none" w:sz="0" w:space="0" w:color="auto"/>
      </w:divBdr>
    </w:div>
    <w:div w:id="212908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ll.Irving@nottingh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9712CFA3E448F4A6F49D96EA7312C2"/>
        <w:category>
          <w:name w:val="全般"/>
          <w:gallery w:val="placeholder"/>
        </w:category>
        <w:types>
          <w:type w:val="bbPlcHdr"/>
        </w:types>
        <w:behaviors>
          <w:behavior w:val="content"/>
        </w:behaviors>
        <w:guid w:val="{E95B3999-1C89-4491-9C11-5D9E9A8CFDD8}"/>
      </w:docPartPr>
      <w:docPartBody>
        <w:p w:rsidR="00322006" w:rsidRDefault="00322006" w:rsidP="00322006">
          <w:pPr>
            <w:pStyle w:val="729712CFA3E448F4A6F49D96EA7312C2"/>
          </w:pPr>
          <w:r>
            <w:rPr>
              <w:lang w:val="ja-JP"/>
            </w:rPr>
            <w:t>[</w:t>
          </w:r>
          <w:r>
            <w:rPr>
              <w:lang w:val="ja-JP"/>
            </w:rPr>
            <w:t>ここに入力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ＭＳ明朝">
    <w:altName w:val="Yu Gothic"/>
    <w:panose1 w:val="00000000000000000000"/>
    <w:charset w:val="80"/>
    <w:family w:val="auto"/>
    <w:notTrueType/>
    <w:pitch w:val="default"/>
    <w:sig w:usb0="00000000" w:usb1="08070000" w:usb2="00000010" w:usb3="00000000" w:csb0="00020000" w:csb1="00000000"/>
  </w:font>
  <w:font w:name="AdvGulliv-R">
    <w:altName w:val="ＭＳ 明朝"/>
    <w:panose1 w:val="00000000000000000000"/>
    <w:charset w:val="00"/>
    <w:family w:val="roman"/>
    <w:notTrueType/>
    <w:pitch w:val="default"/>
    <w:sig w:usb0="00000003" w:usb1="08070000" w:usb2="00000010" w:usb3="00000000" w:csb0="00020001" w:csb1="00000000"/>
  </w:font>
  <w:font w:name="Lato-Regular">
    <w:altName w:val="MS Gothic"/>
    <w:panose1 w:val="00000000000000000000"/>
    <w:charset w:val="80"/>
    <w:family w:val="auto"/>
    <w:notTrueType/>
    <w:pitch w:val="default"/>
    <w:sig w:usb0="00000000" w:usb1="08070000" w:usb2="00000010" w:usb3="00000000" w:csb0="00020001" w:csb1="00000000"/>
  </w:font>
  <w:font w:name="AdvOT678fd422">
    <w:altName w:val="MS Gothic"/>
    <w:panose1 w:val="00000000000000000000"/>
    <w:charset w:val="80"/>
    <w:family w:val="auto"/>
    <w:notTrueType/>
    <w:pitch w:val="default"/>
    <w:sig w:usb0="00000001" w:usb1="08070000" w:usb2="00000010" w:usb3="00000000" w:csb0="00020000" w:csb1="00000000"/>
  </w:font>
  <w:font w:name="AdvP4C4E74">
    <w:altName w:val="Yu Gothic"/>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AdvOT3bd4862d.I">
    <w:altName w:val="Yu Gothic"/>
    <w:panose1 w:val="00000000000000000000"/>
    <w:charset w:val="80"/>
    <w:family w:val="auto"/>
    <w:notTrueType/>
    <w:pitch w:val="default"/>
    <w:sig w:usb0="00000000" w:usb1="08070000" w:usb2="00000010" w:usb3="00000000" w:csb0="00020000" w:csb1="00000000"/>
  </w:font>
  <w:font w:name="AdvP4C4E51">
    <w:altName w:val="Yu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06"/>
    <w:rsid w:val="00000B65"/>
    <w:rsid w:val="000B0582"/>
    <w:rsid w:val="000C543C"/>
    <w:rsid w:val="00101ED7"/>
    <w:rsid w:val="00142C22"/>
    <w:rsid w:val="00322006"/>
    <w:rsid w:val="00412820"/>
    <w:rsid w:val="005678C5"/>
    <w:rsid w:val="006A73D9"/>
    <w:rsid w:val="007634E5"/>
    <w:rsid w:val="007D68D9"/>
    <w:rsid w:val="00846D96"/>
    <w:rsid w:val="008A6B29"/>
    <w:rsid w:val="008E3477"/>
    <w:rsid w:val="00A26370"/>
    <w:rsid w:val="00A41818"/>
    <w:rsid w:val="00C54DE4"/>
    <w:rsid w:val="00CE79CF"/>
    <w:rsid w:val="00D77451"/>
    <w:rsid w:val="00DA5459"/>
    <w:rsid w:val="00E46735"/>
    <w:rsid w:val="00E5047D"/>
    <w:rsid w:val="00EF5E5E"/>
    <w:rsid w:val="00F8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9712CFA3E448F4A6F49D96EA7312C2">
    <w:name w:val="729712CFA3E448F4A6F49D96EA7312C2"/>
    <w:rsid w:val="0032200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5192</Words>
  <Characters>29595</Characters>
  <Application>Microsoft Office Word</Application>
  <DocSecurity>0</DocSecurity>
  <Lines>246</Lines>
  <Paragraphs>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2020-04-02T15:17:00Z</dcterms:created>
  <dcterms:modified xsi:type="dcterms:W3CDTF">2020-04-02T15:17:00Z</dcterms:modified>
</cp:coreProperties>
</file>